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ABE2E" w14:textId="77777777" w:rsidR="003C7B6B" w:rsidRDefault="00471E86">
      <w:r>
        <w:rPr>
          <w:noProof/>
        </w:rPr>
        <w:drawing>
          <wp:anchor distT="0" distB="0" distL="114300" distR="114300" simplePos="0" relativeHeight="76" behindDoc="0" locked="0" layoutInCell="1" allowOverlap="1" wp14:anchorId="1B9ABE2E" wp14:editId="1B9ABE2F">
            <wp:simplePos x="0" y="0"/>
            <wp:positionH relativeFrom="column">
              <wp:align>left</wp:align>
            </wp:positionH>
            <wp:positionV relativeFrom="paragraph">
              <wp:align>top</wp:align>
            </wp:positionV>
            <wp:extent cx="2476442" cy="2070000"/>
            <wp:effectExtent l="0" t="0" r="58" b="6450"/>
            <wp:wrapSquare wrapText="bothSides"/>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1B9ABE2F" w14:textId="77777777" w:rsidR="003C7B6B" w:rsidRDefault="003C7B6B">
      <w:pPr>
        <w:pStyle w:val="Heading1"/>
      </w:pPr>
      <w:bookmarkStart w:id="0" w:name="_Toc32303547"/>
    </w:p>
    <w:p w14:paraId="1B9ABE30" w14:textId="77777777" w:rsidR="003C7B6B" w:rsidRDefault="003C7B6B">
      <w:pPr>
        <w:pStyle w:val="Heading1"/>
      </w:pPr>
    </w:p>
    <w:p w14:paraId="1B9ABE31" w14:textId="77777777" w:rsidR="003C7B6B" w:rsidRDefault="003C7B6B">
      <w:pPr>
        <w:pStyle w:val="Heading1"/>
      </w:pPr>
    </w:p>
    <w:p w14:paraId="1B9ABE32" w14:textId="77777777" w:rsidR="003C7B6B" w:rsidRDefault="00471E86">
      <w:pPr>
        <w:pStyle w:val="Heading1"/>
      </w:pPr>
      <w:bookmarkStart w:id="1" w:name="_Toc33176231"/>
      <w:r>
        <w:t>G-Cloud 12 Call-Off Contract</w:t>
      </w:r>
      <w:bookmarkEnd w:id="0"/>
      <w:bookmarkEnd w:id="1"/>
    </w:p>
    <w:p w14:paraId="1B9ABE33" w14:textId="77777777" w:rsidR="003C7B6B" w:rsidRDefault="003C7B6B">
      <w:pPr>
        <w:rPr>
          <w:sz w:val="28"/>
          <w:szCs w:val="28"/>
        </w:rPr>
      </w:pPr>
    </w:p>
    <w:p w14:paraId="1B9ABE34" w14:textId="77777777" w:rsidR="003C7B6B" w:rsidRDefault="003C7B6B">
      <w:pPr>
        <w:rPr>
          <w:sz w:val="28"/>
          <w:szCs w:val="28"/>
        </w:rPr>
      </w:pPr>
    </w:p>
    <w:p w14:paraId="1B9ABE35" w14:textId="77777777" w:rsidR="003C7B6B" w:rsidRDefault="00471E86">
      <w:pPr>
        <w:rPr>
          <w:rFonts w:eastAsia="Times New Roman"/>
          <w:lang w:eastAsia="en-US"/>
        </w:rPr>
      </w:pPr>
      <w:r>
        <w:rPr>
          <w:rFonts w:eastAsia="Times New Roman"/>
          <w:lang w:eastAsia="en-US"/>
        </w:rPr>
        <w:t>This Call-Off Contract for the G-Cloud 12 Framework Agreement (RM1557.12) includes:</w:t>
      </w:r>
    </w:p>
    <w:p w14:paraId="1B9ABE36" w14:textId="77777777" w:rsidR="003C7B6B" w:rsidRDefault="00471E86">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1B9ABE37" w14:textId="77777777" w:rsidR="003C7B6B" w:rsidRDefault="00471E86">
      <w:pPr>
        <w:pStyle w:val="TOC2"/>
      </w:pPr>
      <w:r>
        <w:rPr>
          <w:rFonts w:ascii="Arial" w:hAnsi="Arial"/>
          <w:b w:val="0"/>
        </w:rPr>
        <w:t>Part A: Order Form</w:t>
      </w:r>
      <w:r>
        <w:rPr>
          <w:rFonts w:ascii="Arial" w:hAnsi="Arial"/>
          <w:b w:val="0"/>
        </w:rPr>
        <w:tab/>
        <w:t>2</w:t>
      </w:r>
    </w:p>
    <w:p w14:paraId="1B9ABE38" w14:textId="77777777" w:rsidR="003C7B6B" w:rsidRDefault="00471E86">
      <w:pPr>
        <w:pStyle w:val="TOC2"/>
      </w:pPr>
      <w:r>
        <w:rPr>
          <w:rFonts w:ascii="Arial" w:hAnsi="Arial"/>
          <w:b w:val="0"/>
        </w:rPr>
        <w:t>Schedule 1: Services</w:t>
      </w:r>
      <w:r>
        <w:rPr>
          <w:rFonts w:ascii="Arial" w:hAnsi="Arial"/>
          <w:b w:val="0"/>
        </w:rPr>
        <w:tab/>
        <w:t>12</w:t>
      </w:r>
    </w:p>
    <w:p w14:paraId="1B9ABE39" w14:textId="77777777" w:rsidR="003C7B6B" w:rsidRDefault="00471E86">
      <w:pPr>
        <w:pStyle w:val="TOC2"/>
      </w:pPr>
      <w:r>
        <w:rPr>
          <w:rFonts w:ascii="Arial" w:hAnsi="Arial"/>
          <w:b w:val="0"/>
        </w:rPr>
        <w:t>Schedule 2: Call-Off Contract charges</w:t>
      </w:r>
      <w:r>
        <w:rPr>
          <w:rFonts w:ascii="Arial" w:hAnsi="Arial"/>
          <w:b w:val="0"/>
        </w:rPr>
        <w:tab/>
        <w:t>12</w:t>
      </w:r>
    </w:p>
    <w:p w14:paraId="1B9ABE3A" w14:textId="77777777" w:rsidR="003C7B6B" w:rsidRDefault="00471E86">
      <w:pPr>
        <w:pStyle w:val="TOC2"/>
      </w:pPr>
      <w:r>
        <w:rPr>
          <w:rFonts w:ascii="Arial" w:hAnsi="Arial"/>
          <w:b w:val="0"/>
        </w:rPr>
        <w:t>Part B: Terms and conditions</w:t>
      </w:r>
      <w:r>
        <w:rPr>
          <w:rFonts w:ascii="Arial" w:hAnsi="Arial"/>
          <w:b w:val="0"/>
        </w:rPr>
        <w:tab/>
        <w:t>13</w:t>
      </w:r>
    </w:p>
    <w:p w14:paraId="1B9ABE3B" w14:textId="77777777" w:rsidR="003C7B6B" w:rsidRDefault="00471E86">
      <w:pPr>
        <w:pStyle w:val="TOC2"/>
      </w:pPr>
      <w:r>
        <w:rPr>
          <w:rFonts w:ascii="Arial" w:hAnsi="Arial"/>
          <w:b w:val="0"/>
        </w:rPr>
        <w:t>Schedule 3: Collaboration agreement</w:t>
      </w:r>
      <w:r>
        <w:rPr>
          <w:rFonts w:ascii="Arial" w:hAnsi="Arial"/>
          <w:b w:val="0"/>
        </w:rPr>
        <w:tab/>
        <w:t>32</w:t>
      </w:r>
    </w:p>
    <w:p w14:paraId="1B9ABE3C" w14:textId="77777777" w:rsidR="003C7B6B" w:rsidRDefault="00471E86">
      <w:pPr>
        <w:pStyle w:val="TOC2"/>
      </w:pPr>
      <w:r>
        <w:rPr>
          <w:rFonts w:ascii="Arial" w:hAnsi="Arial"/>
          <w:b w:val="0"/>
        </w:rPr>
        <w:t>Schedule 4: Alternative clauses</w:t>
      </w:r>
      <w:r>
        <w:rPr>
          <w:rFonts w:ascii="Arial" w:hAnsi="Arial"/>
          <w:b w:val="0"/>
        </w:rPr>
        <w:tab/>
        <w:t>44</w:t>
      </w:r>
    </w:p>
    <w:p w14:paraId="1B9ABE3D" w14:textId="77777777" w:rsidR="003C7B6B" w:rsidRDefault="00471E86">
      <w:pPr>
        <w:pStyle w:val="TOC2"/>
      </w:pPr>
      <w:r>
        <w:rPr>
          <w:rFonts w:ascii="Arial" w:hAnsi="Arial"/>
          <w:b w:val="0"/>
        </w:rPr>
        <w:t>Schedule 5: Guarantee</w:t>
      </w:r>
      <w:r>
        <w:rPr>
          <w:rFonts w:ascii="Arial" w:hAnsi="Arial"/>
          <w:b w:val="0"/>
        </w:rPr>
        <w:tab/>
        <w:t>49</w:t>
      </w:r>
    </w:p>
    <w:p w14:paraId="1B9ABE3E" w14:textId="77777777" w:rsidR="003C7B6B" w:rsidRDefault="00471E86">
      <w:pPr>
        <w:pStyle w:val="TOC2"/>
      </w:pPr>
      <w:r>
        <w:rPr>
          <w:rFonts w:ascii="Arial" w:hAnsi="Arial"/>
          <w:b w:val="0"/>
        </w:rPr>
        <w:t>Schedule 6: Glossary and interpretations</w:t>
      </w:r>
      <w:r>
        <w:rPr>
          <w:rFonts w:ascii="Arial" w:hAnsi="Arial"/>
          <w:b w:val="0"/>
        </w:rPr>
        <w:tab/>
        <w:t>57</w:t>
      </w:r>
    </w:p>
    <w:p w14:paraId="1B9ABE3F" w14:textId="77777777" w:rsidR="003C7B6B" w:rsidRDefault="00471E86">
      <w:pPr>
        <w:pStyle w:val="TOC2"/>
        <w:rPr>
          <w:rFonts w:ascii="Arial" w:hAnsi="Arial"/>
          <w:b w:val="0"/>
        </w:rPr>
      </w:pPr>
      <w:r>
        <w:rPr>
          <w:rFonts w:ascii="Arial" w:hAnsi="Arial"/>
          <w:b w:val="0"/>
        </w:rPr>
        <w:t>Schedule 7: GDPR Information</w:t>
      </w:r>
      <w:r>
        <w:rPr>
          <w:rFonts w:ascii="Arial" w:hAnsi="Arial"/>
          <w:b w:val="0"/>
        </w:rPr>
        <w:tab/>
        <w:t>68</w:t>
      </w:r>
    </w:p>
    <w:p w14:paraId="1B9ABE40" w14:textId="77777777" w:rsidR="003C7B6B" w:rsidRDefault="00471E86">
      <w:pPr>
        <w:pStyle w:val="TOC2"/>
        <w:rPr>
          <w:rFonts w:ascii="Arial" w:hAnsi="Arial"/>
          <w:b w:val="0"/>
        </w:rPr>
      </w:pPr>
      <w:r>
        <w:rPr>
          <w:rFonts w:ascii="Arial" w:hAnsi="Arial"/>
          <w:b w:val="0"/>
        </w:rPr>
        <w:t>Schedule 8: Authority's Mandatory Terms</w:t>
      </w:r>
      <w:r>
        <w:rPr>
          <w:rFonts w:ascii="Arial" w:hAnsi="Arial"/>
          <w:b w:val="0"/>
        </w:rPr>
        <w:tab/>
        <w:t>69</w:t>
      </w:r>
    </w:p>
    <w:p w14:paraId="1B9ABE41" w14:textId="77777777" w:rsidR="003C7B6B" w:rsidRDefault="00471E86">
      <w:pPr>
        <w:pStyle w:val="TOC2"/>
        <w:rPr>
          <w:rFonts w:ascii="Arial" w:hAnsi="Arial"/>
          <w:b w:val="0"/>
        </w:rPr>
      </w:pPr>
      <w:r>
        <w:rPr>
          <w:rFonts w:ascii="Arial" w:hAnsi="Arial"/>
          <w:b w:val="0"/>
        </w:rPr>
        <w:t>Schedule 9: Security Questionnaire Plan</w:t>
      </w:r>
      <w:r>
        <w:rPr>
          <w:rFonts w:ascii="Arial" w:hAnsi="Arial"/>
          <w:b w:val="0"/>
        </w:rPr>
        <w:tab/>
        <w:t>78</w:t>
      </w:r>
    </w:p>
    <w:p w14:paraId="1B9ABE42" w14:textId="77777777" w:rsidR="003C7B6B" w:rsidRDefault="003C7B6B">
      <w:pPr>
        <w:tabs>
          <w:tab w:val="right" w:leader="dot" w:pos="9360"/>
        </w:tabs>
      </w:pPr>
    </w:p>
    <w:p w14:paraId="1B9ABE43" w14:textId="77777777" w:rsidR="003C7B6B" w:rsidRDefault="003C7B6B">
      <w:pPr>
        <w:tabs>
          <w:tab w:val="right" w:leader="dot" w:pos="9360"/>
        </w:tabs>
      </w:pPr>
    </w:p>
    <w:p w14:paraId="1B9ABE44" w14:textId="77777777" w:rsidR="003C7B6B" w:rsidRDefault="00471E86">
      <w:pPr>
        <w:tabs>
          <w:tab w:val="right" w:leader="dot" w:pos="9360"/>
        </w:tabs>
      </w:pPr>
      <w:r>
        <w:t xml:space="preserve">  </w:t>
      </w:r>
    </w:p>
    <w:p w14:paraId="1B9ABE45" w14:textId="77777777" w:rsidR="003C7B6B" w:rsidRDefault="00471E86">
      <w:pPr>
        <w:pageBreakBefore/>
      </w:pPr>
      <w:r>
        <w:lastRenderedPageBreak/>
        <w:fldChar w:fldCharType="end"/>
      </w:r>
    </w:p>
    <w:p w14:paraId="1B9ABE46" w14:textId="77777777" w:rsidR="003C7B6B" w:rsidRDefault="00471E86">
      <w:pPr>
        <w:pStyle w:val="Heading2"/>
      </w:pPr>
      <w:bookmarkStart w:id="2" w:name="_Toc33176232"/>
      <w:r>
        <w:t>Part A: Order Form</w:t>
      </w:r>
      <w:bookmarkEnd w:id="2"/>
    </w:p>
    <w:p w14:paraId="1B9ABE47" w14:textId="77777777" w:rsidR="003C7B6B" w:rsidRDefault="00471E86">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3C7B6B" w14:paraId="1B9ABE4B"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48" w14:textId="77777777" w:rsidR="003C7B6B" w:rsidRDefault="00471E86">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49" w14:textId="77777777" w:rsidR="003C7B6B" w:rsidRDefault="003C7B6B"/>
          <w:p w14:paraId="1B9ABE4A" w14:textId="77777777" w:rsidR="003C7B6B" w:rsidRDefault="00471E86">
            <w:r>
              <w:t>689897062887007</w:t>
            </w:r>
          </w:p>
        </w:tc>
      </w:tr>
      <w:tr w:rsidR="003C7B6B" w14:paraId="1B9ABE4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4C" w14:textId="77777777" w:rsidR="003C7B6B" w:rsidRDefault="00471E86">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4D" w14:textId="77777777" w:rsidR="003C7B6B" w:rsidRDefault="00471E86">
            <w:pPr>
              <w:spacing w:before="240"/>
            </w:pPr>
            <w:r>
              <w:t>SR876736460</w:t>
            </w:r>
          </w:p>
        </w:tc>
      </w:tr>
      <w:tr w:rsidR="003C7B6B" w14:paraId="1B9ABE5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4F" w14:textId="77777777" w:rsidR="003C7B6B" w:rsidRDefault="00471E86">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50" w14:textId="77777777" w:rsidR="003C7B6B" w:rsidRDefault="00471E86">
            <w:pPr>
              <w:spacing w:before="240"/>
            </w:pPr>
            <w:r>
              <w:t>Cloud Operating Model - Advisory Services</w:t>
            </w:r>
          </w:p>
        </w:tc>
      </w:tr>
      <w:tr w:rsidR="003C7B6B" w14:paraId="1B9ABE5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52" w14:textId="77777777" w:rsidR="003C7B6B" w:rsidRDefault="00471E86">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53" w14:textId="77777777" w:rsidR="003C7B6B" w:rsidRDefault="00471E86">
            <w:pPr>
              <w:spacing w:before="240"/>
            </w:pPr>
            <w:r>
              <w:t>Developing a new Target Operating Model (TOM) aligned to the existing Cloud operating model to bring Crown Hosting and the AVS Cloud Solution fully into scope for Enterprise Cloud Services (ECS).</w:t>
            </w:r>
          </w:p>
        </w:tc>
      </w:tr>
      <w:tr w:rsidR="003C7B6B" w14:paraId="1B9ABE5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55" w14:textId="77777777" w:rsidR="003C7B6B" w:rsidRDefault="00471E86">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56" w14:textId="60C3D64B" w:rsidR="003C7B6B" w:rsidRDefault="009E7B6D">
            <w:pPr>
              <w:spacing w:before="240"/>
            </w:pPr>
            <w:r>
              <w:t>14</w:t>
            </w:r>
            <w:r w:rsidR="00471E86">
              <w:t>/03/2022</w:t>
            </w:r>
          </w:p>
        </w:tc>
      </w:tr>
      <w:tr w:rsidR="003C7B6B" w14:paraId="1B9ABE5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58" w14:textId="77777777" w:rsidR="003C7B6B" w:rsidRDefault="00471E86">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59" w14:textId="27ABEAB6" w:rsidR="003C7B6B" w:rsidRDefault="00D64F15">
            <w:pPr>
              <w:spacing w:before="240"/>
            </w:pPr>
            <w:r>
              <w:t>13/09</w:t>
            </w:r>
            <w:r w:rsidR="00471E86">
              <w:t>/2022</w:t>
            </w:r>
          </w:p>
        </w:tc>
      </w:tr>
      <w:tr w:rsidR="003C7B6B" w14:paraId="1B9ABE5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5B" w14:textId="77777777" w:rsidR="003C7B6B" w:rsidRDefault="00471E86">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5C" w14:textId="77777777" w:rsidR="003C7B6B" w:rsidRDefault="00471E86">
            <w:pPr>
              <w:spacing w:before="240"/>
            </w:pPr>
            <w:r>
              <w:t>£460,000.00</w:t>
            </w:r>
          </w:p>
        </w:tc>
      </w:tr>
      <w:tr w:rsidR="003C7B6B" w14:paraId="1B9ABE6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5E" w14:textId="77777777" w:rsidR="003C7B6B" w:rsidRDefault="00471E86">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5F" w14:textId="77777777" w:rsidR="003C7B6B" w:rsidRDefault="00471E86">
            <w:pPr>
              <w:spacing w:before="240"/>
            </w:pPr>
            <w:r>
              <w:t>Monthly Invoices. PO transfer via SAP Ariba Network.</w:t>
            </w:r>
          </w:p>
        </w:tc>
      </w:tr>
      <w:tr w:rsidR="003C7B6B" w14:paraId="1B9ABE6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61" w14:textId="77777777" w:rsidR="003C7B6B" w:rsidRDefault="00471E86">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62" w14:textId="77777777" w:rsidR="003C7B6B" w:rsidRDefault="00471E86">
            <w:pPr>
              <w:spacing w:before="240"/>
            </w:pPr>
            <w:r>
              <w:t>TBC</w:t>
            </w:r>
          </w:p>
        </w:tc>
      </w:tr>
    </w:tbl>
    <w:p w14:paraId="1B9ABE64" w14:textId="77777777" w:rsidR="003C7B6B" w:rsidRDefault="00471E86">
      <w:pPr>
        <w:spacing w:before="240"/>
      </w:pPr>
      <w:r>
        <w:t xml:space="preserve"> </w:t>
      </w:r>
    </w:p>
    <w:p w14:paraId="1B9ABE65" w14:textId="77777777" w:rsidR="003C7B6B" w:rsidRDefault="00471E86">
      <w:pPr>
        <w:spacing w:before="240" w:after="240"/>
      </w:pPr>
      <w:r>
        <w:t>This Order Form is issued under the G-Cloud 12 Framework Agreement (RM1557.12).</w:t>
      </w:r>
    </w:p>
    <w:p w14:paraId="1B9ABE66" w14:textId="77777777" w:rsidR="003C7B6B" w:rsidRDefault="00471E86">
      <w:pPr>
        <w:spacing w:before="240"/>
      </w:pPr>
      <w:r>
        <w:t>Buyers can use this Order Form to specify their G-Cloud service requirements when placing an Order.</w:t>
      </w:r>
    </w:p>
    <w:p w14:paraId="1B9ABE67" w14:textId="77777777" w:rsidR="003C7B6B" w:rsidRDefault="00471E86">
      <w:pPr>
        <w:spacing w:before="240"/>
      </w:pPr>
      <w:r>
        <w:t>The Order Form cannot be used to alter existing terms or add any extra terms that materially change the Deliverables offered by the Supplier and defined in the Application.</w:t>
      </w:r>
    </w:p>
    <w:p w14:paraId="1B9ABE68" w14:textId="77777777" w:rsidR="003C7B6B" w:rsidRDefault="00471E86">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3C7B6B" w14:paraId="1B9ABE6E"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69" w14:textId="77777777" w:rsidR="003C7B6B" w:rsidRDefault="00471E86">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6A" w14:textId="77777777" w:rsidR="003C7B6B" w:rsidRDefault="00471E86">
            <w:pPr>
              <w:spacing w:before="240"/>
            </w:pPr>
            <w:r>
              <w:t xml:space="preserve">Buyer’s name: </w:t>
            </w:r>
          </w:p>
          <w:p w14:paraId="1B9ABE6B" w14:textId="77777777" w:rsidR="003C7B6B" w:rsidRDefault="00471E86">
            <w:pPr>
              <w:spacing w:before="240"/>
            </w:pPr>
            <w:r>
              <w:t xml:space="preserve">The Commissioners for Her Majesty’s Revenue &amp; Customs </w:t>
            </w:r>
          </w:p>
          <w:p w14:paraId="1B9ABE6C" w14:textId="77777777" w:rsidR="003C7B6B" w:rsidRDefault="00471E86">
            <w:pPr>
              <w:spacing w:before="240"/>
            </w:pPr>
            <w:r>
              <w:t xml:space="preserve">Buyer’s main address: </w:t>
            </w:r>
          </w:p>
          <w:p w14:paraId="1B9ABE6D" w14:textId="77777777" w:rsidR="003C7B6B" w:rsidRDefault="00471E86">
            <w:pPr>
              <w:spacing w:before="240"/>
            </w:pPr>
            <w:r>
              <w:t>100 Parliament Street, London. SW1A 2BQ</w:t>
            </w:r>
          </w:p>
        </w:tc>
      </w:tr>
      <w:tr w:rsidR="003C7B6B" w14:paraId="1B9ABE78"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6F" w14:textId="77777777" w:rsidR="003C7B6B" w:rsidRDefault="00471E86">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70" w14:textId="77777777" w:rsidR="003C7B6B" w:rsidRDefault="00471E86">
            <w:pPr>
              <w:spacing w:before="240"/>
            </w:pPr>
            <w:r>
              <w:t>Credera Limited</w:t>
            </w:r>
          </w:p>
          <w:p w14:paraId="1B9ABE71" w14:textId="77777777" w:rsidR="003C7B6B" w:rsidRDefault="00471E86">
            <w:pPr>
              <w:spacing w:before="240"/>
            </w:pPr>
            <w:r>
              <w:rPr>
                <w:color w:val="0B0C0C"/>
                <w:shd w:val="clear" w:color="auto" w:fill="FFFFFF"/>
              </w:rPr>
              <w:t>0333 043 9000</w:t>
            </w:r>
            <w:r>
              <w:t xml:space="preserve"> </w:t>
            </w:r>
          </w:p>
          <w:p w14:paraId="1B9ABE72" w14:textId="77777777" w:rsidR="003C7B6B" w:rsidRDefault="00471E86">
            <w:pPr>
              <w:spacing w:before="240"/>
            </w:pPr>
            <w:r>
              <w:t>Bankside 3 90-100 Southwark Street</w:t>
            </w:r>
          </w:p>
          <w:p w14:paraId="1B9ABE73" w14:textId="77777777" w:rsidR="003C7B6B" w:rsidRDefault="00471E86">
            <w:pPr>
              <w:spacing w:before="240"/>
            </w:pPr>
            <w:r>
              <w:t>London</w:t>
            </w:r>
          </w:p>
          <w:p w14:paraId="1B9ABE74" w14:textId="77777777" w:rsidR="003C7B6B" w:rsidRDefault="00471E86">
            <w:pPr>
              <w:spacing w:before="240"/>
            </w:pPr>
            <w:r>
              <w:t>England</w:t>
            </w:r>
          </w:p>
          <w:p w14:paraId="1B9ABE75" w14:textId="77777777" w:rsidR="003C7B6B" w:rsidRDefault="00471E86">
            <w:pPr>
              <w:spacing w:before="240"/>
            </w:pPr>
            <w:r>
              <w:t xml:space="preserve">SE1 0SW </w:t>
            </w:r>
          </w:p>
          <w:p w14:paraId="1B9ABE76" w14:textId="77777777" w:rsidR="003C7B6B" w:rsidRDefault="00471E86">
            <w:pPr>
              <w:spacing w:before="240"/>
            </w:pPr>
            <w:r>
              <w:t>United Kingdom</w:t>
            </w:r>
          </w:p>
          <w:p w14:paraId="1B9ABE77" w14:textId="77777777" w:rsidR="003C7B6B" w:rsidRDefault="00471E86">
            <w:pPr>
              <w:spacing w:before="240"/>
            </w:pPr>
            <w:r>
              <w:t>Company number: 2387340</w:t>
            </w:r>
          </w:p>
        </w:tc>
      </w:tr>
      <w:tr w:rsidR="003C7B6B" w14:paraId="1B9ABE7A"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79" w14:textId="77777777" w:rsidR="003C7B6B" w:rsidRDefault="00471E86">
            <w:pPr>
              <w:spacing w:before="240" w:after="240"/>
              <w:rPr>
                <w:b/>
              </w:rPr>
            </w:pPr>
            <w:r>
              <w:rPr>
                <w:b/>
              </w:rPr>
              <w:t>Together the ‘Parties’</w:t>
            </w:r>
          </w:p>
        </w:tc>
      </w:tr>
    </w:tbl>
    <w:p w14:paraId="1B9ABE7B" w14:textId="77777777" w:rsidR="003C7B6B" w:rsidRDefault="003C7B6B">
      <w:pPr>
        <w:spacing w:before="240" w:after="240"/>
        <w:rPr>
          <w:b/>
        </w:rPr>
      </w:pPr>
    </w:p>
    <w:p w14:paraId="1B9ABE7C" w14:textId="77777777" w:rsidR="003C7B6B" w:rsidRDefault="00471E86">
      <w:pPr>
        <w:pStyle w:val="Heading3"/>
        <w:rPr>
          <w:color w:val="auto"/>
        </w:rPr>
      </w:pPr>
      <w:r>
        <w:rPr>
          <w:color w:val="auto"/>
        </w:rPr>
        <w:t>Principal contact details</w:t>
      </w:r>
    </w:p>
    <w:p w14:paraId="1B9ABE7D" w14:textId="77777777" w:rsidR="003C7B6B" w:rsidRDefault="00471E86">
      <w:pPr>
        <w:spacing w:before="240" w:after="120" w:line="480" w:lineRule="auto"/>
        <w:rPr>
          <w:b/>
        </w:rPr>
      </w:pPr>
      <w:r>
        <w:rPr>
          <w:b/>
        </w:rPr>
        <w:t>For the Buyer:</w:t>
      </w:r>
    </w:p>
    <w:p w14:paraId="4EAA6B94" w14:textId="751882B4" w:rsidR="004E63D1" w:rsidRPr="004E63D1" w:rsidRDefault="004E63D1" w:rsidP="004E63D1">
      <w:pPr>
        <w:spacing w:line="360" w:lineRule="auto"/>
        <w:rPr>
          <w:bCs/>
        </w:rPr>
      </w:pPr>
      <w:r w:rsidRPr="004E63D1">
        <w:rPr>
          <w:bCs/>
        </w:rPr>
        <w:t xml:space="preserve">Title: </w:t>
      </w:r>
      <w:r w:rsidR="00185DAC" w:rsidRPr="00185DAC">
        <w:rPr>
          <w:bCs/>
          <w:highlight w:val="black"/>
        </w:rPr>
        <w:t>XXXXXXXXXXXXXXXXXXX</w:t>
      </w:r>
    </w:p>
    <w:p w14:paraId="7AEDE8B3" w14:textId="38BE6444" w:rsidR="004E63D1" w:rsidRPr="004E63D1" w:rsidRDefault="004E63D1" w:rsidP="004E63D1">
      <w:pPr>
        <w:spacing w:line="360" w:lineRule="auto"/>
        <w:rPr>
          <w:bCs/>
        </w:rPr>
      </w:pPr>
      <w:r w:rsidRPr="004E63D1">
        <w:rPr>
          <w:bCs/>
        </w:rPr>
        <w:t xml:space="preserve">Name: </w:t>
      </w:r>
      <w:r w:rsidR="00185DAC" w:rsidRPr="00185DAC">
        <w:rPr>
          <w:bCs/>
          <w:highlight w:val="black"/>
        </w:rPr>
        <w:t>XXXXXXXXXX</w:t>
      </w:r>
    </w:p>
    <w:p w14:paraId="1405165D" w14:textId="59AD3C7F" w:rsidR="004E63D1" w:rsidRPr="004E63D1" w:rsidRDefault="004E63D1" w:rsidP="004E63D1">
      <w:pPr>
        <w:spacing w:line="360" w:lineRule="auto"/>
        <w:rPr>
          <w:bCs/>
        </w:rPr>
      </w:pPr>
      <w:r w:rsidRPr="004E63D1">
        <w:rPr>
          <w:bCs/>
        </w:rPr>
        <w:t xml:space="preserve">Email: </w:t>
      </w:r>
      <w:r w:rsidR="00185DAC" w:rsidRPr="00185DAC">
        <w:rPr>
          <w:bCs/>
          <w:highlight w:val="black"/>
        </w:rPr>
        <w:t>XXXXXXXXXXXXXXXX</w:t>
      </w:r>
      <w:r>
        <w:rPr>
          <w:bCs/>
        </w:rPr>
        <w:t xml:space="preserve"> </w:t>
      </w:r>
    </w:p>
    <w:p w14:paraId="1B9ABE82" w14:textId="7B195459" w:rsidR="003C7B6B" w:rsidRPr="004E63D1" w:rsidRDefault="004E63D1" w:rsidP="004E63D1">
      <w:pPr>
        <w:spacing w:line="360" w:lineRule="auto"/>
        <w:rPr>
          <w:bCs/>
        </w:rPr>
      </w:pPr>
      <w:r w:rsidRPr="004E63D1">
        <w:rPr>
          <w:bCs/>
        </w:rPr>
        <w:t xml:space="preserve">Phone: </w:t>
      </w:r>
      <w:r w:rsidR="00185DAC" w:rsidRPr="00185DAC">
        <w:rPr>
          <w:bCs/>
          <w:highlight w:val="black"/>
        </w:rPr>
        <w:t>XXXXXX</w:t>
      </w:r>
      <w:r w:rsidR="00185DAC">
        <w:rPr>
          <w:bCs/>
          <w:highlight w:val="black"/>
        </w:rPr>
        <w:t>X</w:t>
      </w:r>
      <w:r w:rsidR="00185DAC" w:rsidRPr="00185DAC">
        <w:rPr>
          <w:bCs/>
          <w:highlight w:val="black"/>
        </w:rPr>
        <w:t>XXX</w:t>
      </w:r>
    </w:p>
    <w:p w14:paraId="735A525A" w14:textId="77777777" w:rsidR="004E63D1" w:rsidRDefault="004E63D1">
      <w:pPr>
        <w:spacing w:line="480" w:lineRule="auto"/>
        <w:rPr>
          <w:b/>
        </w:rPr>
      </w:pPr>
    </w:p>
    <w:p w14:paraId="1B9ABE83" w14:textId="4B1B5A0C" w:rsidR="003C7B6B" w:rsidRDefault="00471E86">
      <w:pPr>
        <w:spacing w:line="480" w:lineRule="auto"/>
        <w:rPr>
          <w:b/>
        </w:rPr>
      </w:pPr>
      <w:r>
        <w:rPr>
          <w:b/>
        </w:rPr>
        <w:t>For the Supplier:</w:t>
      </w:r>
    </w:p>
    <w:p w14:paraId="1B9ABE84" w14:textId="1264B034" w:rsidR="003C7B6B" w:rsidRDefault="00471E86">
      <w:pPr>
        <w:spacing w:after="120" w:line="240" w:lineRule="auto"/>
      </w:pPr>
      <w:r>
        <w:t xml:space="preserve">Title: </w:t>
      </w:r>
      <w:r w:rsidR="00185DAC" w:rsidRPr="00185DAC">
        <w:rPr>
          <w:highlight w:val="black"/>
        </w:rPr>
        <w:t>XXXXXXXXXXX</w:t>
      </w:r>
    </w:p>
    <w:p w14:paraId="1B9ABE85" w14:textId="4310E422" w:rsidR="003C7B6B" w:rsidRDefault="00471E86">
      <w:pPr>
        <w:spacing w:after="120" w:line="240" w:lineRule="auto"/>
      </w:pPr>
      <w:r>
        <w:t xml:space="preserve">Name: </w:t>
      </w:r>
      <w:r w:rsidR="00185DAC" w:rsidRPr="00185DAC">
        <w:rPr>
          <w:highlight w:val="black"/>
        </w:rPr>
        <w:t>XXXXXXXXXXXXXX</w:t>
      </w:r>
    </w:p>
    <w:p w14:paraId="1B9ABE86" w14:textId="23E75EC6" w:rsidR="003C7B6B" w:rsidRDefault="00471E86">
      <w:pPr>
        <w:spacing w:after="120" w:line="240" w:lineRule="auto"/>
      </w:pPr>
      <w:r>
        <w:t xml:space="preserve">Email: </w:t>
      </w:r>
      <w:r w:rsidR="00185DAC" w:rsidRPr="00185DAC">
        <w:rPr>
          <w:highlight w:val="black"/>
        </w:rPr>
        <w:t>XXXXXXXXXXXXXXXXX</w:t>
      </w:r>
    </w:p>
    <w:p w14:paraId="1B9ABE87" w14:textId="111B4745" w:rsidR="003C7B6B" w:rsidRDefault="00471E86">
      <w:pPr>
        <w:spacing w:after="120" w:line="240" w:lineRule="auto"/>
      </w:pPr>
      <w:r>
        <w:t xml:space="preserve">Phone: </w:t>
      </w:r>
      <w:r w:rsidR="00185DAC" w:rsidRPr="00185DAC">
        <w:rPr>
          <w:highlight w:val="black"/>
        </w:rPr>
        <w:t>XXXXXXXXXX</w:t>
      </w:r>
    </w:p>
    <w:p w14:paraId="6C517714" w14:textId="77777777" w:rsidR="00185DAC" w:rsidRDefault="00185DAC" w:rsidP="00185DAC">
      <w:pPr>
        <w:spacing w:after="160" w:line="259" w:lineRule="auto"/>
        <w:jc w:val="center"/>
        <w:rPr>
          <w:b/>
          <w:bCs/>
        </w:rPr>
      </w:pPr>
    </w:p>
    <w:p w14:paraId="1B9ABE88" w14:textId="0C523B72" w:rsidR="003C7B6B" w:rsidRPr="00185DAC" w:rsidRDefault="00185DAC" w:rsidP="00185DAC">
      <w:pPr>
        <w:spacing w:after="160" w:line="259" w:lineRule="auto"/>
        <w:jc w:val="center"/>
        <w:rPr>
          <w:rFonts w:eastAsia="Calibri"/>
          <w:b/>
          <w:bCs/>
          <w:lang w:eastAsia="en-US"/>
        </w:rPr>
      </w:pPr>
      <w:r w:rsidRPr="00BF4310">
        <w:rPr>
          <w:b/>
          <w:bCs/>
        </w:rPr>
        <w:t>Information redacted under section 43 (2) of FOI Act 2000.</w:t>
      </w:r>
    </w:p>
    <w:p w14:paraId="1B9ABE89" w14:textId="77777777" w:rsidR="003C7B6B" w:rsidRDefault="00471E86">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3C7B6B" w14:paraId="1B9ABE8D"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8A" w14:textId="77777777" w:rsidR="003C7B6B" w:rsidRDefault="00471E86">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8B" w14:textId="1A22B019" w:rsidR="003C7B6B" w:rsidRDefault="00471E86">
            <w:pPr>
              <w:spacing w:before="240"/>
            </w:pPr>
            <w:r>
              <w:t xml:space="preserve">This Call-Off Contract Starts on </w:t>
            </w:r>
            <w:r w:rsidR="009C2C6B">
              <w:rPr>
                <w:b/>
              </w:rPr>
              <w:t>14</w:t>
            </w:r>
            <w:r w:rsidR="009C2C6B" w:rsidRPr="009C2C6B">
              <w:rPr>
                <w:b/>
                <w:vertAlign w:val="superscript"/>
              </w:rPr>
              <w:t>th</w:t>
            </w:r>
            <w:r w:rsidR="009C2C6B">
              <w:rPr>
                <w:b/>
              </w:rPr>
              <w:t xml:space="preserve"> </w:t>
            </w:r>
            <w:r>
              <w:rPr>
                <w:b/>
              </w:rPr>
              <w:t xml:space="preserve">March 2022 </w:t>
            </w:r>
            <w:r>
              <w:t xml:space="preserve">and is valid for </w:t>
            </w:r>
            <w:r>
              <w:rPr>
                <w:b/>
              </w:rPr>
              <w:t>6 months.</w:t>
            </w:r>
          </w:p>
          <w:p w14:paraId="1B9ABE8C" w14:textId="77777777" w:rsidR="003C7B6B" w:rsidRDefault="00471E86">
            <w:pPr>
              <w:spacing w:before="240"/>
            </w:pPr>
            <w:r>
              <w:t>The date and number of days or months is subject to clause 1.2 in Part B below.</w:t>
            </w:r>
          </w:p>
        </w:tc>
      </w:tr>
      <w:tr w:rsidR="003C7B6B" w14:paraId="1B9ABE91"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8E" w14:textId="77777777" w:rsidR="003C7B6B" w:rsidRDefault="00471E86">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8F" w14:textId="77777777" w:rsidR="003C7B6B" w:rsidRDefault="00471E86">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1B9ABE90" w14:textId="77777777" w:rsidR="003C7B6B" w:rsidRDefault="00471E86">
            <w:pPr>
              <w:spacing w:before="240"/>
            </w:pPr>
            <w:r>
              <w:t xml:space="preserve">The notice period for the Buyer is a maximum of </w:t>
            </w:r>
            <w:r>
              <w:rPr>
                <w:b/>
              </w:rPr>
              <w:t>30</w:t>
            </w:r>
            <w:r>
              <w:t xml:space="preserve"> days from the date of written notice for Ending without cause (as per clause 18.1).</w:t>
            </w:r>
          </w:p>
        </w:tc>
      </w:tr>
      <w:tr w:rsidR="003C7B6B" w14:paraId="1B9ABE95" w14:textId="77777777">
        <w:trPr>
          <w:trHeight w:val="2462"/>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92" w14:textId="77777777" w:rsidR="003C7B6B" w:rsidRDefault="00471E86">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93" w14:textId="77777777" w:rsidR="003C7B6B" w:rsidRDefault="00471E86">
            <w:pPr>
              <w:spacing w:before="240"/>
            </w:pPr>
            <w:r>
              <w:t>This Call-off Contract can be extended by the Buyer for 1 period of 3 months, by giving the Supplier 30 days written notice before its expiry. The extension periods are subject to clauses 1.3 and 1.4 in Part B below.</w:t>
            </w:r>
          </w:p>
          <w:p w14:paraId="1B9ABE94" w14:textId="77777777" w:rsidR="003C7B6B" w:rsidRDefault="00471E86">
            <w:pPr>
              <w:spacing w:before="240"/>
            </w:pPr>
            <w:r>
              <w:t>Charges for any extended Term will be as per the G-Cloud pricing available at the time for such extension.</w:t>
            </w:r>
          </w:p>
        </w:tc>
      </w:tr>
    </w:tbl>
    <w:p w14:paraId="1B9ABE96" w14:textId="77777777" w:rsidR="003C7B6B" w:rsidRDefault="00471E86">
      <w:pPr>
        <w:pStyle w:val="Heading3"/>
        <w:rPr>
          <w:color w:val="auto"/>
        </w:rPr>
      </w:pPr>
      <w:r>
        <w:rPr>
          <w:color w:val="auto"/>
        </w:rPr>
        <w:t>Buyer contractual details</w:t>
      </w:r>
    </w:p>
    <w:p w14:paraId="1B9ABE97" w14:textId="77777777" w:rsidR="003C7B6B" w:rsidRDefault="00471E86">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3C7B6B" w14:paraId="1B9ABE9B"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98" w14:textId="77777777" w:rsidR="003C7B6B" w:rsidRDefault="00471E86">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99" w14:textId="77777777" w:rsidR="003C7B6B" w:rsidRDefault="00471E86">
            <w:pPr>
              <w:spacing w:before="240"/>
            </w:pPr>
            <w:r>
              <w:t>This Call-Off Contract is for the provision of Services under:</w:t>
            </w:r>
          </w:p>
          <w:p w14:paraId="1B9ABE9A" w14:textId="77777777" w:rsidR="003C7B6B" w:rsidRDefault="00471E86">
            <w:pPr>
              <w:pStyle w:val="ListParagraph"/>
              <w:numPr>
                <w:ilvl w:val="0"/>
                <w:numId w:val="1"/>
              </w:numPr>
              <w:spacing w:before="240"/>
            </w:pPr>
            <w:r>
              <w:t xml:space="preserve">Lot 3: Cloud support </w:t>
            </w:r>
          </w:p>
        </w:tc>
      </w:tr>
      <w:tr w:rsidR="003C7B6B" w14:paraId="1B9ABE9E" w14:textId="77777777">
        <w:trPr>
          <w:trHeight w:val="1344"/>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9C" w14:textId="77777777" w:rsidR="003C7B6B" w:rsidRDefault="00471E86">
            <w:pPr>
              <w:spacing w:before="240"/>
              <w:rPr>
                <w:b/>
              </w:rPr>
            </w:pPr>
            <w:r>
              <w:rPr>
                <w:b/>
              </w:rPr>
              <w:lastRenderedPageBreak/>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B9ABE9D" w14:textId="77777777" w:rsidR="003C7B6B" w:rsidRDefault="00471E86">
            <w:pPr>
              <w:spacing w:before="240"/>
            </w:pPr>
            <w:r>
              <w:t>The Services to be provided by the Supplier under the above Lot are listed in Framework Section 2 and outlined at Schedule 1 of this document.</w:t>
            </w:r>
          </w:p>
        </w:tc>
      </w:tr>
      <w:tr w:rsidR="003C7B6B" w14:paraId="1B9ABEA1"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9F" w14:textId="77777777" w:rsidR="003C7B6B" w:rsidRDefault="00471E86">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B9ABEA0" w14:textId="77777777" w:rsidR="003C7B6B" w:rsidRDefault="00471E86">
            <w:pPr>
              <w:spacing w:before="240"/>
              <w:rPr>
                <w:bCs/>
              </w:rPr>
            </w:pPr>
            <w:r>
              <w:rPr>
                <w:bCs/>
              </w:rPr>
              <w:t>N/A</w:t>
            </w:r>
          </w:p>
        </w:tc>
      </w:tr>
      <w:tr w:rsidR="003C7B6B" w14:paraId="1B9ABEA4" w14:textId="77777777">
        <w:trPr>
          <w:trHeight w:val="1263"/>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A2" w14:textId="77777777" w:rsidR="003C7B6B" w:rsidRDefault="00471E86">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B9ABEA3" w14:textId="77777777" w:rsidR="003C7B6B" w:rsidRDefault="00471E86">
            <w:pPr>
              <w:spacing w:before="240"/>
            </w:pPr>
            <w:r>
              <w:t>N/A</w:t>
            </w:r>
          </w:p>
        </w:tc>
      </w:tr>
      <w:tr w:rsidR="003C7B6B" w14:paraId="1B9ABEAA"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A5" w14:textId="77777777" w:rsidR="003C7B6B" w:rsidRDefault="00471E86">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A6" w14:textId="77777777" w:rsidR="003C7B6B" w:rsidRDefault="00471E86">
            <w:pPr>
              <w:spacing w:before="240"/>
            </w:pPr>
            <w:r>
              <w:t xml:space="preserve">The quality standards required for this Call-Off Contract are: </w:t>
            </w:r>
          </w:p>
          <w:p w14:paraId="1B9ABEA7" w14:textId="77777777" w:rsidR="003C7B6B" w:rsidRDefault="00471E86">
            <w:pPr>
              <w:spacing w:before="240"/>
            </w:pPr>
            <w:r>
              <w:t>Supplier to work to specific industry requirements.</w:t>
            </w:r>
          </w:p>
          <w:p w14:paraId="1B9ABEA8" w14:textId="77777777" w:rsidR="003C7B6B" w:rsidRDefault="003C7B6B">
            <w:pPr>
              <w:spacing w:before="240"/>
            </w:pPr>
          </w:p>
        </w:tc>
        <w:tc>
          <w:tcPr>
            <w:tcW w:w="46" w:type="dxa"/>
            <w:shd w:val="clear" w:color="auto" w:fill="auto"/>
            <w:tcMar>
              <w:top w:w="0" w:type="dxa"/>
              <w:left w:w="10" w:type="dxa"/>
              <w:bottom w:w="0" w:type="dxa"/>
              <w:right w:w="10" w:type="dxa"/>
            </w:tcMar>
          </w:tcPr>
          <w:p w14:paraId="1B9ABEA9" w14:textId="77777777" w:rsidR="003C7B6B" w:rsidRDefault="003C7B6B">
            <w:pPr>
              <w:spacing w:before="240"/>
            </w:pPr>
          </w:p>
        </w:tc>
      </w:tr>
      <w:tr w:rsidR="003C7B6B" w14:paraId="1B9ABEAF"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AB" w14:textId="77777777" w:rsidR="003C7B6B" w:rsidRDefault="00471E86">
            <w:pPr>
              <w:spacing w:before="240"/>
              <w:rPr>
                <w:b/>
              </w:rPr>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AC" w14:textId="77777777" w:rsidR="003C7B6B" w:rsidRDefault="00471E86">
            <w:pPr>
              <w:spacing w:before="240"/>
            </w:pPr>
            <w:r>
              <w:t xml:space="preserve">The technical standards used as a requirement for this Call-Off Contract are: </w:t>
            </w:r>
          </w:p>
          <w:p w14:paraId="1B9ABEAD" w14:textId="77777777" w:rsidR="003C7B6B" w:rsidRDefault="00471E86">
            <w:pPr>
              <w:spacing w:before="240"/>
            </w:pPr>
            <w:r>
              <w:t>Supplier to work to specific industry requirements.</w:t>
            </w:r>
          </w:p>
        </w:tc>
        <w:tc>
          <w:tcPr>
            <w:tcW w:w="46" w:type="dxa"/>
            <w:shd w:val="clear" w:color="auto" w:fill="auto"/>
            <w:tcMar>
              <w:top w:w="0" w:type="dxa"/>
              <w:left w:w="10" w:type="dxa"/>
              <w:bottom w:w="0" w:type="dxa"/>
              <w:right w:w="10" w:type="dxa"/>
            </w:tcMar>
          </w:tcPr>
          <w:p w14:paraId="1B9ABEAE" w14:textId="77777777" w:rsidR="003C7B6B" w:rsidRDefault="003C7B6B">
            <w:pPr>
              <w:spacing w:before="240"/>
            </w:pPr>
          </w:p>
        </w:tc>
      </w:tr>
      <w:tr w:rsidR="003C7B6B" w14:paraId="1B9ABEB4"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B0" w14:textId="77777777" w:rsidR="003C7B6B" w:rsidRDefault="00471E86">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B1" w14:textId="77777777" w:rsidR="003C7B6B" w:rsidRDefault="003C7B6B"/>
          <w:p w14:paraId="1B9ABEB2" w14:textId="77777777" w:rsidR="003C7B6B" w:rsidRDefault="00471E86">
            <w:r>
              <w:t>The service level and availability criteria required for this Call-Off Contract are to be agreed in each Statement of Works as described in Schedule 1- Services.</w:t>
            </w:r>
          </w:p>
        </w:tc>
        <w:tc>
          <w:tcPr>
            <w:tcW w:w="46" w:type="dxa"/>
            <w:shd w:val="clear" w:color="auto" w:fill="auto"/>
            <w:tcMar>
              <w:top w:w="0" w:type="dxa"/>
              <w:left w:w="10" w:type="dxa"/>
              <w:bottom w:w="0" w:type="dxa"/>
              <w:right w:w="10" w:type="dxa"/>
            </w:tcMar>
          </w:tcPr>
          <w:p w14:paraId="1B9ABEB3" w14:textId="77777777" w:rsidR="003C7B6B" w:rsidRDefault="003C7B6B">
            <w:pPr>
              <w:pStyle w:val="ListParagraph"/>
            </w:pPr>
          </w:p>
        </w:tc>
      </w:tr>
      <w:tr w:rsidR="003C7B6B" w14:paraId="1B9ABEB9"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B5" w14:textId="77777777" w:rsidR="003C7B6B" w:rsidRDefault="00471E86">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B6" w14:textId="77777777" w:rsidR="003C7B6B" w:rsidRDefault="003C7B6B"/>
          <w:p w14:paraId="1B9ABEB7" w14:textId="77777777" w:rsidR="003C7B6B" w:rsidRDefault="00471E86">
            <w:r>
              <w:t>Supplier and Buyer will meet virtually, via MS Teams, week commencing 21.02.2022 to discuss services required, expected deliverables and ways of working.</w:t>
            </w:r>
          </w:p>
        </w:tc>
        <w:tc>
          <w:tcPr>
            <w:tcW w:w="46" w:type="dxa"/>
            <w:shd w:val="clear" w:color="auto" w:fill="auto"/>
            <w:tcMar>
              <w:top w:w="0" w:type="dxa"/>
              <w:left w:w="10" w:type="dxa"/>
              <w:bottom w:w="0" w:type="dxa"/>
              <w:right w:w="10" w:type="dxa"/>
            </w:tcMar>
          </w:tcPr>
          <w:p w14:paraId="1B9ABEB8" w14:textId="77777777" w:rsidR="003C7B6B" w:rsidRDefault="003C7B6B">
            <w:pPr>
              <w:pStyle w:val="ListParagraph"/>
            </w:pPr>
          </w:p>
        </w:tc>
      </w:tr>
      <w:tr w:rsidR="003C7B6B" w14:paraId="1B9ABEBD"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BA" w14:textId="77777777" w:rsidR="003C7B6B" w:rsidRDefault="00471E86">
            <w:pPr>
              <w:spacing w:before="240"/>
              <w:rPr>
                <w:b/>
              </w:rPr>
            </w:pPr>
            <w:r>
              <w:rPr>
                <w:b/>
              </w:rPr>
              <w:lastRenderedPageBreak/>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BB" w14:textId="77777777" w:rsidR="003C7B6B" w:rsidRDefault="00471E86">
            <w:r>
              <w:t>Exit Plan to be proposed by the Supplier and agreed by the Buyer in the first 2 months of the agreement.</w:t>
            </w:r>
          </w:p>
        </w:tc>
        <w:tc>
          <w:tcPr>
            <w:tcW w:w="46" w:type="dxa"/>
            <w:shd w:val="clear" w:color="auto" w:fill="auto"/>
            <w:tcMar>
              <w:top w:w="0" w:type="dxa"/>
              <w:left w:w="10" w:type="dxa"/>
              <w:bottom w:w="0" w:type="dxa"/>
              <w:right w:w="10" w:type="dxa"/>
            </w:tcMar>
          </w:tcPr>
          <w:p w14:paraId="1B9ABEBC" w14:textId="77777777" w:rsidR="003C7B6B" w:rsidRDefault="003C7B6B">
            <w:pPr>
              <w:pStyle w:val="ListParagraph"/>
            </w:pPr>
          </w:p>
        </w:tc>
      </w:tr>
      <w:tr w:rsidR="003C7B6B" w14:paraId="1B9ABEC1"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BE" w14:textId="77777777" w:rsidR="003C7B6B" w:rsidRDefault="00471E86">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BF" w14:textId="77777777" w:rsidR="003C7B6B" w:rsidRDefault="00471E86">
            <w:pPr>
              <w:spacing w:before="240"/>
            </w:pPr>
            <w:r>
              <w:t>N/A</w:t>
            </w:r>
          </w:p>
        </w:tc>
        <w:tc>
          <w:tcPr>
            <w:tcW w:w="46" w:type="dxa"/>
            <w:shd w:val="clear" w:color="auto" w:fill="auto"/>
            <w:tcMar>
              <w:top w:w="0" w:type="dxa"/>
              <w:left w:w="10" w:type="dxa"/>
              <w:bottom w:w="0" w:type="dxa"/>
              <w:right w:w="10" w:type="dxa"/>
            </w:tcMar>
          </w:tcPr>
          <w:p w14:paraId="1B9ABEC0" w14:textId="77777777" w:rsidR="003C7B6B" w:rsidRDefault="003C7B6B">
            <w:pPr>
              <w:spacing w:before="240"/>
            </w:pPr>
          </w:p>
        </w:tc>
      </w:tr>
      <w:tr w:rsidR="003C7B6B" w14:paraId="1B9ABEC7"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C2" w14:textId="77777777" w:rsidR="003C7B6B" w:rsidRDefault="00471E86">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C3" w14:textId="77777777" w:rsidR="003C7B6B" w:rsidRDefault="00471E86">
            <w:pPr>
              <w:spacing w:before="240"/>
            </w:pPr>
            <w:r>
              <w:t xml:space="preserve">The annual total liability of either Party for all Property Defaults will not exceed the charges payable by the Buyer to the Supplier during the call-off contract term. </w:t>
            </w:r>
          </w:p>
          <w:p w14:paraId="1B9ABEC4" w14:textId="77777777" w:rsidR="003C7B6B" w:rsidRDefault="00471E86">
            <w:pPr>
              <w:spacing w:before="240"/>
            </w:pPr>
            <w:r>
              <w:t xml:space="preserve">The annual total liability for Buyer Data Defaults will not exceed 125% of the Charges payable by the Buyer to the Supplier during the Call-Off Contract Term. </w:t>
            </w:r>
          </w:p>
          <w:p w14:paraId="1B9ABEC5" w14:textId="77777777" w:rsidR="003C7B6B" w:rsidRDefault="00471E86">
            <w:pPr>
              <w:spacing w:before="240"/>
            </w:pPr>
            <w:r>
              <w:t>The annual total liability for all other Defaults will not exceed 125% of the Charges payable by the Buyer to the Supplier during the Call-Off Contract Term.</w:t>
            </w:r>
          </w:p>
        </w:tc>
        <w:tc>
          <w:tcPr>
            <w:tcW w:w="46" w:type="dxa"/>
            <w:shd w:val="clear" w:color="auto" w:fill="auto"/>
            <w:tcMar>
              <w:top w:w="0" w:type="dxa"/>
              <w:left w:w="10" w:type="dxa"/>
              <w:bottom w:w="0" w:type="dxa"/>
              <w:right w:w="10" w:type="dxa"/>
            </w:tcMar>
          </w:tcPr>
          <w:p w14:paraId="1B9ABEC6" w14:textId="77777777" w:rsidR="003C7B6B" w:rsidRDefault="003C7B6B">
            <w:pPr>
              <w:spacing w:before="240"/>
            </w:pPr>
          </w:p>
        </w:tc>
      </w:tr>
      <w:tr w:rsidR="003C7B6B" w14:paraId="1B9ABECF"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C8" w14:textId="77777777" w:rsidR="003C7B6B" w:rsidRDefault="00471E86">
            <w:pPr>
              <w:spacing w:before="240"/>
              <w:rPr>
                <w:b/>
              </w:rPr>
            </w:pPr>
            <w:r>
              <w:rPr>
                <w:b/>
              </w:rPr>
              <w:lastRenderedPageBreak/>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C9" w14:textId="77777777" w:rsidR="003C7B6B" w:rsidRDefault="00471E86">
            <w:pPr>
              <w:spacing w:before="240"/>
            </w:pPr>
            <w:r>
              <w:t>The insurance(s) required will be:</w:t>
            </w:r>
          </w:p>
          <w:p w14:paraId="1B9ABECA" w14:textId="77777777" w:rsidR="003C7B6B" w:rsidRDefault="00471E86">
            <w:pPr>
              <w:numPr>
                <w:ilvl w:val="0"/>
                <w:numId w:val="2"/>
              </w:numPr>
            </w:pPr>
            <w:r>
              <w:rPr>
                <w:sz w:val="14"/>
                <w:szCs w:val="14"/>
              </w:rPr>
              <w:t xml:space="preserve"> </w:t>
            </w:r>
            <w:r>
              <w:t>a minimum insurance period of 6 years following the expiration or Ending of this Call-Off Contract</w:t>
            </w:r>
          </w:p>
          <w:p w14:paraId="1B9ABECB" w14:textId="77777777" w:rsidR="003C7B6B" w:rsidRDefault="00471E86">
            <w:pPr>
              <w:numPr>
                <w:ilvl w:val="0"/>
                <w:numId w:val="2"/>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B9ABECC" w14:textId="77777777" w:rsidR="003C7B6B" w:rsidRDefault="00471E86">
            <w:pPr>
              <w:numPr>
                <w:ilvl w:val="0"/>
                <w:numId w:val="2"/>
              </w:numPr>
            </w:pPr>
            <w:r>
              <w:rPr>
                <w:sz w:val="14"/>
                <w:szCs w:val="14"/>
              </w:rPr>
              <w:t xml:space="preserve"> </w:t>
            </w:r>
            <w:r>
              <w:t>employers' liability insurance with a minimum limit of £5,000,000 or any higher minimum limit required by Law</w:t>
            </w:r>
          </w:p>
          <w:p w14:paraId="1B9ABECD" w14:textId="77777777" w:rsidR="003C7B6B" w:rsidRDefault="003C7B6B">
            <w:pPr>
              <w:spacing w:before="240"/>
            </w:pPr>
          </w:p>
        </w:tc>
        <w:tc>
          <w:tcPr>
            <w:tcW w:w="46" w:type="dxa"/>
            <w:shd w:val="clear" w:color="auto" w:fill="auto"/>
            <w:tcMar>
              <w:top w:w="0" w:type="dxa"/>
              <w:left w:w="10" w:type="dxa"/>
              <w:bottom w:w="0" w:type="dxa"/>
              <w:right w:w="10" w:type="dxa"/>
            </w:tcMar>
          </w:tcPr>
          <w:p w14:paraId="1B9ABECE" w14:textId="77777777" w:rsidR="003C7B6B" w:rsidRDefault="003C7B6B">
            <w:pPr>
              <w:spacing w:before="240"/>
            </w:pPr>
          </w:p>
        </w:tc>
      </w:tr>
      <w:tr w:rsidR="003C7B6B" w14:paraId="1B9ABED3"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D0" w14:textId="77777777" w:rsidR="003C7B6B" w:rsidRDefault="00471E86">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D1" w14:textId="77777777" w:rsidR="003C7B6B" w:rsidRDefault="00471E86">
            <w:pPr>
              <w:spacing w:before="240"/>
            </w:pPr>
            <w:r>
              <w:t>A Party may End this Call-Off Contract if the Other Party is affected by a Force Majeure Event that lasts for more than 15 consecutive days.</w:t>
            </w:r>
          </w:p>
        </w:tc>
        <w:tc>
          <w:tcPr>
            <w:tcW w:w="46" w:type="dxa"/>
            <w:shd w:val="clear" w:color="auto" w:fill="auto"/>
            <w:tcMar>
              <w:top w:w="0" w:type="dxa"/>
              <w:left w:w="10" w:type="dxa"/>
              <w:bottom w:w="0" w:type="dxa"/>
              <w:right w:w="10" w:type="dxa"/>
            </w:tcMar>
          </w:tcPr>
          <w:p w14:paraId="1B9ABED2" w14:textId="77777777" w:rsidR="003C7B6B" w:rsidRDefault="003C7B6B">
            <w:pPr>
              <w:spacing w:before="240"/>
            </w:pPr>
          </w:p>
        </w:tc>
      </w:tr>
      <w:tr w:rsidR="003C7B6B" w14:paraId="1B9ABED7"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D4" w14:textId="77777777" w:rsidR="003C7B6B" w:rsidRDefault="00471E86">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D5" w14:textId="77777777" w:rsidR="003C7B6B" w:rsidRDefault="00471E86">
            <w:pPr>
              <w:spacing w:before="240"/>
            </w:pPr>
            <w:r>
              <w:t>All Framework Agreement audit provisions will be incorporated under clause 2.1 of this Call-Off Contract to enable the Buyer to carry out audits.</w:t>
            </w:r>
          </w:p>
        </w:tc>
        <w:tc>
          <w:tcPr>
            <w:tcW w:w="46" w:type="dxa"/>
            <w:shd w:val="clear" w:color="auto" w:fill="auto"/>
            <w:tcMar>
              <w:top w:w="0" w:type="dxa"/>
              <w:left w:w="10" w:type="dxa"/>
              <w:bottom w:w="0" w:type="dxa"/>
              <w:right w:w="10" w:type="dxa"/>
            </w:tcMar>
          </w:tcPr>
          <w:p w14:paraId="1B9ABED6" w14:textId="77777777" w:rsidR="003C7B6B" w:rsidRDefault="003C7B6B">
            <w:pPr>
              <w:spacing w:before="240"/>
            </w:pPr>
          </w:p>
        </w:tc>
      </w:tr>
      <w:tr w:rsidR="003C7B6B" w14:paraId="1B9ABEDB"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D8" w14:textId="77777777" w:rsidR="003C7B6B" w:rsidRDefault="00471E86">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D9" w14:textId="77777777" w:rsidR="003C7B6B" w:rsidRDefault="00471E86">
            <w:pPr>
              <w:spacing w:before="240"/>
            </w:pPr>
            <w:r>
              <w:t>N/A</w:t>
            </w:r>
          </w:p>
        </w:tc>
        <w:tc>
          <w:tcPr>
            <w:tcW w:w="46" w:type="dxa"/>
            <w:shd w:val="clear" w:color="auto" w:fill="auto"/>
            <w:tcMar>
              <w:top w:w="0" w:type="dxa"/>
              <w:left w:w="10" w:type="dxa"/>
              <w:bottom w:w="0" w:type="dxa"/>
              <w:right w:w="10" w:type="dxa"/>
            </w:tcMar>
          </w:tcPr>
          <w:p w14:paraId="1B9ABEDA" w14:textId="77777777" w:rsidR="003C7B6B" w:rsidRDefault="003C7B6B">
            <w:pPr>
              <w:spacing w:before="240"/>
            </w:pPr>
          </w:p>
        </w:tc>
      </w:tr>
      <w:tr w:rsidR="003C7B6B" w14:paraId="1B9ABEDF"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DC" w14:textId="77777777" w:rsidR="003C7B6B" w:rsidRDefault="00471E86">
            <w:pPr>
              <w:spacing w:before="240"/>
              <w:rPr>
                <w:b/>
              </w:rPr>
            </w:pPr>
            <w:r>
              <w:rPr>
                <w:b/>
              </w:rPr>
              <w:lastRenderedPageBreak/>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B9ABEDD" w14:textId="77777777" w:rsidR="003C7B6B" w:rsidRDefault="00471E86">
            <w:pPr>
              <w:spacing w:before="240"/>
            </w:pPr>
            <w:r>
              <w:t>N/A</w:t>
            </w:r>
          </w:p>
        </w:tc>
        <w:tc>
          <w:tcPr>
            <w:tcW w:w="46" w:type="dxa"/>
            <w:shd w:val="clear" w:color="auto" w:fill="auto"/>
            <w:tcMar>
              <w:top w:w="0" w:type="dxa"/>
              <w:left w:w="10" w:type="dxa"/>
              <w:bottom w:w="0" w:type="dxa"/>
              <w:right w:w="10" w:type="dxa"/>
            </w:tcMar>
          </w:tcPr>
          <w:p w14:paraId="1B9ABEDE" w14:textId="77777777" w:rsidR="003C7B6B" w:rsidRDefault="003C7B6B">
            <w:pPr>
              <w:spacing w:before="240"/>
            </w:pPr>
          </w:p>
        </w:tc>
      </w:tr>
    </w:tbl>
    <w:p w14:paraId="1B9ABEE0" w14:textId="77777777" w:rsidR="003C7B6B" w:rsidRDefault="003C7B6B">
      <w:pPr>
        <w:spacing w:before="240" w:after="120"/>
      </w:pPr>
    </w:p>
    <w:p w14:paraId="1B9ABEE1" w14:textId="77777777" w:rsidR="003C7B6B" w:rsidRDefault="00471E86">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3C7B6B" w14:paraId="1B9ABEE4"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E2" w14:textId="77777777" w:rsidR="003C7B6B" w:rsidRDefault="00471E86">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E3" w14:textId="77777777" w:rsidR="003C7B6B" w:rsidRDefault="00471E86">
            <w:pPr>
              <w:spacing w:before="240"/>
            </w:pPr>
            <w:r>
              <w:t>Supplier’s Subcontractors or Partners are not applicable in the delivery of this service.</w:t>
            </w:r>
          </w:p>
        </w:tc>
      </w:tr>
    </w:tbl>
    <w:p w14:paraId="1B9ABEE5" w14:textId="77777777" w:rsidR="003C7B6B" w:rsidRDefault="003C7B6B">
      <w:pPr>
        <w:spacing w:before="240" w:after="120"/>
      </w:pPr>
    </w:p>
    <w:p w14:paraId="1B9ABEE6" w14:textId="77777777" w:rsidR="003C7B6B" w:rsidRDefault="00471E86">
      <w:pPr>
        <w:pStyle w:val="Heading3"/>
        <w:rPr>
          <w:color w:val="auto"/>
        </w:rPr>
      </w:pPr>
      <w:r>
        <w:rPr>
          <w:color w:val="auto"/>
        </w:rPr>
        <w:t>Call-Off Contract charges and payment</w:t>
      </w:r>
    </w:p>
    <w:p w14:paraId="1B9ABEE7" w14:textId="77777777" w:rsidR="003C7B6B" w:rsidRDefault="00471E86">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3C7B6B" w14:paraId="1B9ABEEA"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E8" w14:textId="77777777" w:rsidR="003C7B6B" w:rsidRDefault="00471E86">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E9" w14:textId="77777777" w:rsidR="003C7B6B" w:rsidRDefault="00471E86">
            <w:pPr>
              <w:spacing w:before="240"/>
            </w:pPr>
            <w:r>
              <w:t>The payment method for this Call-Off Contract is BACS.</w:t>
            </w:r>
          </w:p>
        </w:tc>
      </w:tr>
      <w:tr w:rsidR="003C7B6B" w14:paraId="1B9ABEED"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EB" w14:textId="77777777" w:rsidR="003C7B6B" w:rsidRDefault="00471E86">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EC" w14:textId="77777777" w:rsidR="003C7B6B" w:rsidRDefault="00471E86">
            <w:pPr>
              <w:spacing w:before="240"/>
            </w:pPr>
            <w:r>
              <w:t>The payment profile for this Call-Off Contract is monthly in arrears.</w:t>
            </w:r>
          </w:p>
        </w:tc>
      </w:tr>
      <w:tr w:rsidR="003C7B6B" w14:paraId="1B9ABEF0"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EE" w14:textId="77777777" w:rsidR="003C7B6B" w:rsidRDefault="00471E86">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EF" w14:textId="77777777" w:rsidR="003C7B6B" w:rsidRDefault="00471E86">
            <w:pPr>
              <w:spacing w:before="240"/>
            </w:pPr>
            <w:r>
              <w:t>The Supplier will issue electronic invoices monthly in arrears. The Buyer will pay the Supplier within 30 days of receipt of a valid invoice.</w:t>
            </w:r>
          </w:p>
        </w:tc>
      </w:tr>
      <w:tr w:rsidR="003C7B6B" w14:paraId="1B9ABEF3"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F1" w14:textId="77777777" w:rsidR="003C7B6B" w:rsidRDefault="00471E86">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F2" w14:textId="77777777" w:rsidR="003C7B6B" w:rsidRDefault="00471E86">
            <w:pPr>
              <w:spacing w:before="240"/>
            </w:pPr>
            <w:r>
              <w:t>Payments will be directed via HMRC SAP Ariba Network.</w:t>
            </w:r>
          </w:p>
        </w:tc>
      </w:tr>
      <w:tr w:rsidR="003C7B6B" w14:paraId="1B9ABEF6"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F4" w14:textId="77777777" w:rsidR="003C7B6B" w:rsidRDefault="00471E86">
            <w:pPr>
              <w:spacing w:before="240"/>
            </w:pPr>
            <w:r>
              <w:rPr>
                <w:b/>
              </w:rPr>
              <w:lastRenderedPageBreak/>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F5" w14:textId="77777777" w:rsidR="003C7B6B" w:rsidRDefault="00471E86">
            <w:pPr>
              <w:spacing w:before="240"/>
            </w:pPr>
            <w:r>
              <w:t>All invoices must include purchase/limit order detail.</w:t>
            </w:r>
          </w:p>
        </w:tc>
      </w:tr>
      <w:tr w:rsidR="003C7B6B" w14:paraId="1B9ABEF9"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F7" w14:textId="77777777" w:rsidR="003C7B6B" w:rsidRDefault="00471E86">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F8" w14:textId="77777777" w:rsidR="003C7B6B" w:rsidRDefault="00471E86">
            <w:pPr>
              <w:spacing w:before="240"/>
            </w:pPr>
            <w:r>
              <w:t>Invoice will be sent to the Buyer monthly.</w:t>
            </w:r>
          </w:p>
        </w:tc>
      </w:tr>
      <w:tr w:rsidR="003C7B6B" w14:paraId="1B9ABEFC"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FA" w14:textId="77777777" w:rsidR="003C7B6B" w:rsidRDefault="00471E86">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FB" w14:textId="77777777" w:rsidR="003C7B6B" w:rsidRDefault="00471E86">
            <w:pPr>
              <w:spacing w:before="240"/>
            </w:pPr>
            <w:r>
              <w:t>The total value of this Call-Off Contract is £460,000.00</w:t>
            </w:r>
          </w:p>
        </w:tc>
      </w:tr>
      <w:tr w:rsidR="003C7B6B" w14:paraId="1B9ABEFF"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FD" w14:textId="77777777" w:rsidR="003C7B6B" w:rsidRDefault="00471E86">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EFE" w14:textId="77777777" w:rsidR="003C7B6B" w:rsidRDefault="00471E86">
            <w:pPr>
              <w:spacing w:before="240"/>
            </w:pPr>
            <w:r>
              <w:t>The breakdown of the Charges can be found in Schedule 2 – Call-Off Contract Charges.</w:t>
            </w:r>
          </w:p>
        </w:tc>
      </w:tr>
    </w:tbl>
    <w:p w14:paraId="1B9ABF00" w14:textId="77777777" w:rsidR="003C7B6B" w:rsidRDefault="003C7B6B"/>
    <w:p w14:paraId="1B9ABF01" w14:textId="77777777" w:rsidR="003C7B6B" w:rsidRDefault="00471E86">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3C7B6B" w14:paraId="1B9ABF05"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02" w14:textId="77777777" w:rsidR="003C7B6B" w:rsidRDefault="00471E86">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03" w14:textId="77777777" w:rsidR="003C7B6B" w:rsidRDefault="00471E86">
            <w:pPr>
              <w:spacing w:before="240"/>
            </w:pPr>
            <w:r>
              <w:t xml:space="preserve">This Call-Off Contract will include the milestones outlined in Schedule 1: Services 1.3. </w:t>
            </w:r>
          </w:p>
          <w:p w14:paraId="1B9ABF04" w14:textId="77777777" w:rsidR="003C7B6B" w:rsidRDefault="00471E86">
            <w:pPr>
              <w:spacing w:before="240"/>
            </w:pPr>
            <w:r>
              <w:t>This Call-Off Contract will include an implementation offboarding plan as outlined in Buyer Contractual Detail.</w:t>
            </w:r>
          </w:p>
        </w:tc>
      </w:tr>
      <w:tr w:rsidR="003C7B6B" w14:paraId="1B9ABF08" w14:textId="77777777">
        <w:trPr>
          <w:trHeight w:val="10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06" w14:textId="77777777" w:rsidR="003C7B6B" w:rsidRDefault="00471E86">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07" w14:textId="77777777" w:rsidR="003C7B6B" w:rsidRDefault="00471E86">
            <w:pPr>
              <w:spacing w:before="240"/>
            </w:pPr>
            <w:r>
              <w:t>N/A</w:t>
            </w:r>
          </w:p>
        </w:tc>
      </w:tr>
      <w:tr w:rsidR="003C7B6B" w14:paraId="1B9ABF0B" w14:textId="77777777">
        <w:trPr>
          <w:trHeight w:val="120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09" w14:textId="77777777" w:rsidR="003C7B6B" w:rsidRDefault="00471E86">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0A" w14:textId="77777777" w:rsidR="003C7B6B" w:rsidRDefault="00471E86">
            <w:pPr>
              <w:spacing w:before="240"/>
            </w:pPr>
            <w:r>
              <w:t>N/A</w:t>
            </w:r>
          </w:p>
        </w:tc>
      </w:tr>
      <w:tr w:rsidR="003C7B6B" w14:paraId="1B9ABF0E"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0C" w14:textId="77777777" w:rsidR="003C7B6B" w:rsidRDefault="00471E86">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0D" w14:textId="77777777" w:rsidR="003C7B6B" w:rsidRDefault="00471E86">
            <w:pPr>
              <w:spacing w:before="240"/>
            </w:pPr>
            <w:r>
              <w:t>The Supplier shall comply with the Authority’s mandatory terms as set out in Schedule 8 of this Call-Off Contract. For the avoidance of doubt and contrary to any other provision relating to precedence of terms in this Call-Off Contract, in case of any ambiguity or conflict, the Authority’s mandatory terms in Schedule 8 will supersede any other terms in this Call-Off Contract.</w:t>
            </w:r>
          </w:p>
        </w:tc>
      </w:tr>
      <w:tr w:rsidR="003C7B6B" w14:paraId="1B9ABF11" w14:textId="77777777">
        <w:trPr>
          <w:trHeight w:val="132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0F" w14:textId="77777777" w:rsidR="003C7B6B" w:rsidRDefault="00471E86">
            <w:pPr>
              <w:spacing w:before="240"/>
              <w:rPr>
                <w:b/>
              </w:rPr>
            </w:pPr>
            <w:r>
              <w:rPr>
                <w:b/>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10" w14:textId="77777777" w:rsidR="003C7B6B" w:rsidRDefault="00471E86">
            <w:pPr>
              <w:spacing w:before="240"/>
            </w:pPr>
            <w:r>
              <w:t>N/A</w:t>
            </w:r>
          </w:p>
        </w:tc>
      </w:tr>
      <w:tr w:rsidR="003C7B6B" w14:paraId="1B9ABF14"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12" w14:textId="77777777" w:rsidR="003C7B6B" w:rsidRDefault="00471E86">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13" w14:textId="77777777" w:rsidR="003C7B6B" w:rsidRDefault="00471E86">
            <w:pPr>
              <w:spacing w:before="240"/>
            </w:pPr>
            <w:r>
              <w:t>N/A</w:t>
            </w:r>
          </w:p>
        </w:tc>
      </w:tr>
      <w:tr w:rsidR="003C7B6B" w14:paraId="1B9ABF17" w14:textId="77777777">
        <w:trPr>
          <w:trHeight w:val="140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15" w14:textId="77777777" w:rsidR="003C7B6B" w:rsidRDefault="00471E86">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16" w14:textId="77777777" w:rsidR="003C7B6B" w:rsidRDefault="00471E86">
            <w:pPr>
              <w:spacing w:before="240"/>
            </w:pPr>
            <w:r>
              <w:t>N/A</w:t>
            </w:r>
          </w:p>
        </w:tc>
      </w:tr>
      <w:tr w:rsidR="003C7B6B" w14:paraId="1B9ABF1A"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18" w14:textId="77777777" w:rsidR="003C7B6B" w:rsidRDefault="00471E86">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19" w14:textId="77777777" w:rsidR="003C7B6B" w:rsidRDefault="00471E86">
            <w:pPr>
              <w:spacing w:before="240"/>
            </w:pPr>
            <w:r>
              <w:t>N/A- no HMRC personal data is being handled, generated or stored. The Security Plan can be found at Schedule 9: Security Questionnaire Response.</w:t>
            </w:r>
          </w:p>
        </w:tc>
      </w:tr>
    </w:tbl>
    <w:p w14:paraId="1B9ABF1B" w14:textId="77777777" w:rsidR="003C7B6B" w:rsidRDefault="00471E86">
      <w:pPr>
        <w:spacing w:before="240" w:after="240"/>
      </w:pPr>
      <w:r>
        <w:t xml:space="preserve"> </w:t>
      </w:r>
    </w:p>
    <w:p w14:paraId="1B9ABF1C" w14:textId="77777777" w:rsidR="003C7B6B" w:rsidRDefault="00471E86">
      <w:pPr>
        <w:pStyle w:val="Heading3"/>
        <w:rPr>
          <w:color w:val="auto"/>
        </w:rPr>
      </w:pPr>
      <w:r>
        <w:rPr>
          <w:color w:val="auto"/>
        </w:rPr>
        <w:t xml:space="preserve">1. </w:t>
      </w:r>
      <w:r>
        <w:rPr>
          <w:color w:val="auto"/>
        </w:rPr>
        <w:tab/>
        <w:t>Formation of contract</w:t>
      </w:r>
    </w:p>
    <w:p w14:paraId="1B9ABF1D" w14:textId="77777777" w:rsidR="003C7B6B" w:rsidRDefault="00471E86">
      <w:pPr>
        <w:ind w:left="720" w:hanging="720"/>
      </w:pPr>
      <w:r>
        <w:t>1.1</w:t>
      </w:r>
      <w:r>
        <w:tab/>
        <w:t>By signing and returning this Order Form (Part A), the Supplier agrees to enter into a Call-Off Contract with the Buyer.</w:t>
      </w:r>
    </w:p>
    <w:p w14:paraId="1B9ABF1E" w14:textId="77777777" w:rsidR="003C7B6B" w:rsidRDefault="003C7B6B">
      <w:pPr>
        <w:ind w:firstLine="720"/>
      </w:pPr>
    </w:p>
    <w:p w14:paraId="1B9ABF1F" w14:textId="77777777" w:rsidR="003C7B6B" w:rsidRDefault="00471E86">
      <w:pPr>
        <w:ind w:left="720" w:hanging="720"/>
      </w:pPr>
      <w:r>
        <w:t>1.2</w:t>
      </w:r>
      <w:r>
        <w:tab/>
        <w:t>The Parties agree that they have read the Order Form (Part A) and the Call-Off Contract terms and by signing below agree to be bound by this Call-Off Contract.</w:t>
      </w:r>
    </w:p>
    <w:p w14:paraId="1B9ABF20" w14:textId="77777777" w:rsidR="003C7B6B" w:rsidRDefault="003C7B6B">
      <w:pPr>
        <w:ind w:firstLine="720"/>
      </w:pPr>
    </w:p>
    <w:p w14:paraId="1B9ABF21" w14:textId="77777777" w:rsidR="003C7B6B" w:rsidRDefault="00471E86">
      <w:pPr>
        <w:ind w:left="720" w:hanging="720"/>
      </w:pPr>
      <w:r>
        <w:t>1.3</w:t>
      </w:r>
      <w:r>
        <w:tab/>
        <w:t>This Call-Off Contract will be formed when the Buyer acknowledges receipt of the signed copy of the Order Form from the Supplier.</w:t>
      </w:r>
    </w:p>
    <w:p w14:paraId="1B9ABF22" w14:textId="77777777" w:rsidR="003C7B6B" w:rsidRDefault="003C7B6B">
      <w:pPr>
        <w:ind w:firstLine="720"/>
      </w:pPr>
    </w:p>
    <w:p w14:paraId="1B9ABF23" w14:textId="77777777" w:rsidR="003C7B6B" w:rsidRDefault="00471E86">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B9ABF24" w14:textId="77777777" w:rsidR="003C7B6B" w:rsidRDefault="003C7B6B"/>
    <w:p w14:paraId="1B9ABF25" w14:textId="77777777" w:rsidR="003C7B6B" w:rsidRDefault="00471E86">
      <w:pPr>
        <w:pStyle w:val="Heading3"/>
        <w:rPr>
          <w:color w:val="auto"/>
        </w:rPr>
      </w:pPr>
      <w:r>
        <w:rPr>
          <w:color w:val="auto"/>
        </w:rPr>
        <w:t xml:space="preserve">2. </w:t>
      </w:r>
      <w:r>
        <w:rPr>
          <w:color w:val="auto"/>
        </w:rPr>
        <w:tab/>
        <w:t>Background to the agreement</w:t>
      </w:r>
    </w:p>
    <w:p w14:paraId="1B9ABF26" w14:textId="77777777" w:rsidR="003C7B6B" w:rsidRDefault="00471E86">
      <w:pPr>
        <w:ind w:left="720" w:hanging="720"/>
      </w:pPr>
      <w:r>
        <w:t>2.1</w:t>
      </w:r>
      <w:r>
        <w:tab/>
        <w:t>The Supplier is a provider of G-Cloud Services and agreed to provide the Services under the terms of Framework Agreement number RM1557.12.</w:t>
      </w:r>
    </w:p>
    <w:p w14:paraId="1B9ABF27" w14:textId="77777777" w:rsidR="003C7B6B" w:rsidRDefault="003C7B6B">
      <w:pPr>
        <w:ind w:left="720"/>
      </w:pPr>
    </w:p>
    <w:p w14:paraId="1B9ABF28" w14:textId="77777777" w:rsidR="003C7B6B" w:rsidRDefault="00471E86">
      <w:r>
        <w:t>2.2</w:t>
      </w:r>
      <w:r>
        <w:tab/>
        <w:t>The Buyer provided an Order Form for Services to the Supplier.</w:t>
      </w:r>
    </w:p>
    <w:p w14:paraId="1B9ABF29" w14:textId="77777777" w:rsidR="003C7B6B" w:rsidRDefault="003C7B6B"/>
    <w:p w14:paraId="1B9ABF2A" w14:textId="77777777" w:rsidR="003C7B6B" w:rsidRDefault="003C7B6B">
      <w:pPr>
        <w:pageBreakBefore/>
      </w:pPr>
    </w:p>
    <w:p w14:paraId="1B9ABF2B" w14:textId="77777777" w:rsidR="003C7B6B" w:rsidRDefault="003C7B6B"/>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3C7B6B" w14:paraId="1B9ABF2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2C" w14:textId="77777777" w:rsidR="003C7B6B" w:rsidRDefault="00471E86">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2D" w14:textId="77777777" w:rsidR="003C7B6B" w:rsidRDefault="00471E86">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2E" w14:textId="77777777" w:rsidR="003C7B6B" w:rsidRDefault="00471E86">
            <w:pPr>
              <w:spacing w:before="240"/>
            </w:pPr>
            <w:r>
              <w:t>Buyer</w:t>
            </w:r>
          </w:p>
        </w:tc>
      </w:tr>
      <w:tr w:rsidR="00185DAC" w14:paraId="1B9ABF3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30" w14:textId="77777777" w:rsidR="00185DAC" w:rsidRDefault="00185DAC" w:rsidP="00185DAC">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31" w14:textId="5ED3FBE8" w:rsidR="00185DAC" w:rsidRDefault="00185DAC" w:rsidP="00185DAC">
            <w:pPr>
              <w:spacing w:before="240"/>
            </w:pPr>
            <w:r w:rsidRPr="00A86F49">
              <w:rPr>
                <w:highlight w:val="black"/>
              </w:rPr>
              <w:t>XXXXXXXX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32" w14:textId="0573D13F" w:rsidR="00185DAC" w:rsidRDefault="00185DAC" w:rsidP="00185DAC">
            <w:pPr>
              <w:spacing w:before="240"/>
            </w:pPr>
            <w:r w:rsidRPr="00A86F49">
              <w:rPr>
                <w:highlight w:val="black"/>
              </w:rPr>
              <w:t>XXXXXXXX</w:t>
            </w:r>
          </w:p>
        </w:tc>
      </w:tr>
      <w:tr w:rsidR="00185DAC" w14:paraId="1B9ABF3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34" w14:textId="77777777" w:rsidR="00185DAC" w:rsidRDefault="00185DAC" w:rsidP="00185DAC">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35" w14:textId="472F08D2" w:rsidR="00185DAC" w:rsidRDefault="00185DAC" w:rsidP="00185DAC">
            <w:pPr>
              <w:spacing w:before="240"/>
            </w:pPr>
            <w:r w:rsidRPr="00A86F49">
              <w:rPr>
                <w:highlight w:val="black"/>
              </w:rPr>
              <w:t>XXXXXXXXXX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36" w14:textId="72723D33" w:rsidR="00185DAC" w:rsidRDefault="00185DAC" w:rsidP="00185DAC">
            <w:pPr>
              <w:spacing w:before="240"/>
            </w:pPr>
            <w:r w:rsidRPr="00A86F49">
              <w:rPr>
                <w:highlight w:val="black"/>
              </w:rPr>
              <w:t>XXXXXXXXXX</w:t>
            </w:r>
          </w:p>
        </w:tc>
      </w:tr>
      <w:tr w:rsidR="00185DAC" w14:paraId="1B9ABF3B"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38" w14:textId="77777777" w:rsidR="00185DAC" w:rsidRDefault="00185DAC" w:rsidP="00185DAC">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39" w14:textId="23A2B05C" w:rsidR="00185DAC" w:rsidRDefault="00185DAC" w:rsidP="00185DAC">
            <w:r w:rsidRPr="00A86F49">
              <w:rPr>
                <w:highlight w:val="black"/>
              </w:rPr>
              <w:t>XXXXXXXXXXX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3A" w14:textId="33548361" w:rsidR="00185DAC" w:rsidRDefault="00185DAC" w:rsidP="00185DAC">
            <w:pPr>
              <w:widowControl w:val="0"/>
            </w:pPr>
            <w:r w:rsidRPr="00A86F49">
              <w:rPr>
                <w:highlight w:val="black"/>
              </w:rPr>
              <w:t>XXXXXXXXXXX</w:t>
            </w:r>
          </w:p>
        </w:tc>
      </w:tr>
      <w:tr w:rsidR="00185DAC" w14:paraId="1B9ABF3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3C" w14:textId="77777777" w:rsidR="00185DAC" w:rsidRDefault="00185DAC" w:rsidP="00185DAC">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3D" w14:textId="4C40DE6E" w:rsidR="00185DAC" w:rsidRDefault="00185DAC" w:rsidP="00185DAC">
            <w:pPr>
              <w:spacing w:before="240"/>
            </w:pPr>
            <w:r w:rsidRPr="00A86F49">
              <w:rPr>
                <w:highlight w:val="black"/>
              </w:rPr>
              <w:t>XXXXX</w:t>
            </w:r>
            <w:r>
              <w:rPr>
                <w:highlight w:val="black"/>
              </w:rPr>
              <w:t>X</w:t>
            </w:r>
            <w:r w:rsidRPr="00A86F49">
              <w:rPr>
                <w:highlight w:val="black"/>
              </w:rPr>
              <w:t>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BF3E" w14:textId="6FA1F2A8" w:rsidR="00185DAC" w:rsidRDefault="00185DAC" w:rsidP="00185DAC">
            <w:pPr>
              <w:spacing w:before="240"/>
            </w:pPr>
            <w:r w:rsidRPr="00A86F49">
              <w:rPr>
                <w:highlight w:val="black"/>
              </w:rPr>
              <w:t>XXXXXXX</w:t>
            </w:r>
          </w:p>
        </w:tc>
      </w:tr>
    </w:tbl>
    <w:p w14:paraId="1B9ABF40" w14:textId="77777777" w:rsidR="003C7B6B" w:rsidRDefault="00471E86">
      <w:pPr>
        <w:spacing w:before="240"/>
        <w:rPr>
          <w:b/>
        </w:rPr>
      </w:pPr>
      <w:r>
        <w:rPr>
          <w:b/>
        </w:rPr>
        <w:t xml:space="preserve"> </w:t>
      </w:r>
    </w:p>
    <w:p w14:paraId="644E232B" w14:textId="77777777" w:rsidR="00185DAC" w:rsidRPr="00BF4310" w:rsidRDefault="00185DAC" w:rsidP="00185DAC">
      <w:pPr>
        <w:spacing w:after="160" w:line="259" w:lineRule="auto"/>
        <w:jc w:val="center"/>
        <w:rPr>
          <w:rFonts w:eastAsia="Calibri"/>
          <w:b/>
          <w:bCs/>
          <w:lang w:eastAsia="en-US"/>
        </w:rPr>
      </w:pPr>
      <w:bookmarkStart w:id="3" w:name="_Toc33176233"/>
      <w:r w:rsidRPr="00BF4310">
        <w:rPr>
          <w:b/>
          <w:bCs/>
        </w:rPr>
        <w:t>Information redacted under section 43 (2) of FOI Act 2000.</w:t>
      </w:r>
    </w:p>
    <w:p w14:paraId="1B9ABF41" w14:textId="77777777" w:rsidR="003C7B6B" w:rsidRDefault="003C7B6B">
      <w:pPr>
        <w:pStyle w:val="Heading2"/>
      </w:pPr>
    </w:p>
    <w:p w14:paraId="1B9ABF42" w14:textId="77777777" w:rsidR="003C7B6B" w:rsidRDefault="003C7B6B">
      <w:pPr>
        <w:pStyle w:val="Heading2"/>
      </w:pPr>
    </w:p>
    <w:p w14:paraId="1B9ABF43" w14:textId="77777777" w:rsidR="003C7B6B" w:rsidRDefault="003C7B6B">
      <w:pPr>
        <w:pStyle w:val="Heading2"/>
      </w:pPr>
    </w:p>
    <w:p w14:paraId="1B9ABF44" w14:textId="77777777" w:rsidR="003C7B6B" w:rsidRDefault="003C7B6B">
      <w:pPr>
        <w:pStyle w:val="Heading2"/>
      </w:pPr>
    </w:p>
    <w:p w14:paraId="1B9ABF45" w14:textId="77777777" w:rsidR="003C7B6B" w:rsidRDefault="003C7B6B">
      <w:pPr>
        <w:pStyle w:val="Heading2"/>
      </w:pPr>
    </w:p>
    <w:p w14:paraId="1B9ABF46" w14:textId="77777777" w:rsidR="003C7B6B" w:rsidRDefault="003C7B6B">
      <w:pPr>
        <w:pStyle w:val="Heading2"/>
      </w:pPr>
    </w:p>
    <w:p w14:paraId="1B9ABF47" w14:textId="77777777" w:rsidR="003C7B6B" w:rsidRDefault="003C7B6B">
      <w:pPr>
        <w:pStyle w:val="Heading2"/>
      </w:pPr>
    </w:p>
    <w:p w14:paraId="1B9ABF48" w14:textId="77777777" w:rsidR="003C7B6B" w:rsidRDefault="003C7B6B">
      <w:pPr>
        <w:pStyle w:val="Heading2"/>
      </w:pPr>
    </w:p>
    <w:p w14:paraId="1B9ABF49" w14:textId="77777777" w:rsidR="003C7B6B" w:rsidRDefault="003C7B6B">
      <w:pPr>
        <w:pStyle w:val="Heading2"/>
      </w:pPr>
    </w:p>
    <w:p w14:paraId="1B9ABF4A" w14:textId="77777777" w:rsidR="003C7B6B" w:rsidRDefault="003C7B6B">
      <w:pPr>
        <w:pStyle w:val="Heading2"/>
      </w:pPr>
    </w:p>
    <w:p w14:paraId="1B9ABF4B" w14:textId="77777777" w:rsidR="003C7B6B" w:rsidRDefault="003C7B6B"/>
    <w:p w14:paraId="1B9ABF4C" w14:textId="77777777" w:rsidR="003C7B6B" w:rsidRDefault="003C7B6B">
      <w:pPr>
        <w:pStyle w:val="Heading2"/>
      </w:pPr>
    </w:p>
    <w:p w14:paraId="1B9ABF4D" w14:textId="77777777" w:rsidR="003C7B6B" w:rsidRDefault="00471E86">
      <w:pPr>
        <w:pStyle w:val="Heading2"/>
      </w:pPr>
      <w:r>
        <w:t>Schedule 1: Services</w:t>
      </w:r>
      <w:bookmarkEnd w:id="3"/>
    </w:p>
    <w:p w14:paraId="1B9ABF4E" w14:textId="77777777" w:rsidR="003C7B6B" w:rsidRDefault="00471E86">
      <w:pPr>
        <w:pStyle w:val="ListParagraph"/>
        <w:numPr>
          <w:ilvl w:val="1"/>
          <w:numId w:val="3"/>
        </w:numPr>
        <w:rPr>
          <w:b/>
          <w:bCs/>
          <w:szCs w:val="24"/>
        </w:rPr>
      </w:pPr>
      <w:r>
        <w:rPr>
          <w:b/>
          <w:bCs/>
          <w:szCs w:val="24"/>
        </w:rPr>
        <w:t>Background</w:t>
      </w:r>
    </w:p>
    <w:p w14:paraId="1B9ABF4F" w14:textId="77777777" w:rsidR="003C7B6B" w:rsidRDefault="003C7B6B">
      <w:pPr>
        <w:rPr>
          <w:szCs w:val="24"/>
        </w:rPr>
      </w:pPr>
    </w:p>
    <w:p w14:paraId="1B9ABF50" w14:textId="77777777" w:rsidR="003C7B6B" w:rsidRDefault="00471E86">
      <w:pPr>
        <w:rPr>
          <w:szCs w:val="24"/>
        </w:rPr>
      </w:pPr>
      <w:r>
        <w:rPr>
          <w:szCs w:val="24"/>
        </w:rPr>
        <w:t>HMRC require development of a new Target Operating Model (TOM) aligned to the existing</w:t>
      </w:r>
    </w:p>
    <w:p w14:paraId="1B9ABF51" w14:textId="77777777" w:rsidR="003C7B6B" w:rsidRDefault="00471E86">
      <w:pPr>
        <w:rPr>
          <w:szCs w:val="24"/>
        </w:rPr>
      </w:pPr>
      <w:r>
        <w:rPr>
          <w:szCs w:val="24"/>
        </w:rPr>
        <w:t>Cloud operating model to bring Crown Hosting and the AVS Cloud Solution fully into scope</w:t>
      </w:r>
    </w:p>
    <w:p w14:paraId="1B9ABF52" w14:textId="77777777" w:rsidR="003C7B6B" w:rsidRDefault="00471E86">
      <w:pPr>
        <w:rPr>
          <w:szCs w:val="24"/>
        </w:rPr>
      </w:pPr>
      <w:r>
        <w:rPr>
          <w:szCs w:val="24"/>
        </w:rPr>
        <w:t xml:space="preserve">for Enterprise Cloud Services (ECS). </w:t>
      </w:r>
    </w:p>
    <w:p w14:paraId="1B9ABF53" w14:textId="77777777" w:rsidR="003C7B6B" w:rsidRDefault="003C7B6B">
      <w:pPr>
        <w:pStyle w:val="ListParagraph"/>
        <w:rPr>
          <w:szCs w:val="24"/>
        </w:rPr>
      </w:pPr>
    </w:p>
    <w:p w14:paraId="1B9ABF54" w14:textId="77777777" w:rsidR="003C7B6B" w:rsidRDefault="00471E86">
      <w:pPr>
        <w:rPr>
          <w:szCs w:val="24"/>
        </w:rPr>
      </w:pPr>
      <w:r>
        <w:rPr>
          <w:szCs w:val="24"/>
        </w:rPr>
        <w:t>We require external expertise to develop cloud processes, organisational design, tools, and staff capabilities to support the transformation to Cloud.</w:t>
      </w:r>
    </w:p>
    <w:p w14:paraId="1B9ABF55" w14:textId="77777777" w:rsidR="003C7B6B" w:rsidRDefault="003C7B6B">
      <w:pPr>
        <w:pStyle w:val="ListParagraph"/>
        <w:rPr>
          <w:szCs w:val="24"/>
        </w:rPr>
      </w:pPr>
    </w:p>
    <w:p w14:paraId="1B9ABF56" w14:textId="77777777" w:rsidR="003C7B6B" w:rsidRDefault="00471E86">
      <w:pPr>
        <w:rPr>
          <w:szCs w:val="24"/>
        </w:rPr>
      </w:pPr>
      <w:r>
        <w:rPr>
          <w:szCs w:val="24"/>
        </w:rPr>
        <w:t>Scope of work will cover:</w:t>
      </w:r>
    </w:p>
    <w:p w14:paraId="1B9ABF57" w14:textId="77777777" w:rsidR="003C7B6B" w:rsidRDefault="00471E86">
      <w:pPr>
        <w:pStyle w:val="ListParagraph"/>
        <w:numPr>
          <w:ilvl w:val="0"/>
          <w:numId w:val="4"/>
        </w:numPr>
        <w:rPr>
          <w:szCs w:val="24"/>
        </w:rPr>
      </w:pPr>
      <w:r>
        <w:rPr>
          <w:szCs w:val="24"/>
        </w:rPr>
        <w:t>Creating a Tier 1 Shared Responsibility Matrix (SRM) for Crown Hosting and updating AVS where required</w:t>
      </w:r>
    </w:p>
    <w:p w14:paraId="1B9ABF58" w14:textId="77777777" w:rsidR="003C7B6B" w:rsidRDefault="00471E86">
      <w:pPr>
        <w:pStyle w:val="ListParagraph"/>
        <w:numPr>
          <w:ilvl w:val="0"/>
          <w:numId w:val="4"/>
        </w:numPr>
        <w:rPr>
          <w:szCs w:val="24"/>
        </w:rPr>
      </w:pPr>
      <w:r>
        <w:rPr>
          <w:szCs w:val="24"/>
        </w:rPr>
        <w:t>Creating/updating Target Operation Model (TOM) to support both Crown Hosting and AVS environments aligned to the existing Cloud operating model</w:t>
      </w:r>
    </w:p>
    <w:p w14:paraId="1B9ABF59" w14:textId="77777777" w:rsidR="003C7B6B" w:rsidRDefault="00471E86">
      <w:pPr>
        <w:pStyle w:val="ListParagraph"/>
        <w:numPr>
          <w:ilvl w:val="0"/>
          <w:numId w:val="4"/>
        </w:numPr>
        <w:rPr>
          <w:szCs w:val="24"/>
        </w:rPr>
      </w:pPr>
      <w:r>
        <w:rPr>
          <w:szCs w:val="24"/>
        </w:rPr>
        <w:t>Ensure catalogue of available and approved products is established and maintainable for each hosting location</w:t>
      </w:r>
    </w:p>
    <w:p w14:paraId="1B9ABF5A" w14:textId="77777777" w:rsidR="003C7B6B" w:rsidRDefault="00471E86">
      <w:pPr>
        <w:pStyle w:val="ListParagraph"/>
        <w:numPr>
          <w:ilvl w:val="0"/>
          <w:numId w:val="4"/>
        </w:numPr>
        <w:rPr>
          <w:szCs w:val="24"/>
        </w:rPr>
      </w:pPr>
      <w:r>
        <w:rPr>
          <w:szCs w:val="24"/>
        </w:rPr>
        <w:t>Refine governance approach for private hosting including alignment to HMRC ITIL management processes</w:t>
      </w:r>
    </w:p>
    <w:p w14:paraId="1B9ABF5B" w14:textId="77777777" w:rsidR="003C7B6B" w:rsidRDefault="00471E86">
      <w:pPr>
        <w:pStyle w:val="ListParagraph"/>
        <w:numPr>
          <w:ilvl w:val="0"/>
          <w:numId w:val="4"/>
        </w:numPr>
        <w:rPr>
          <w:szCs w:val="24"/>
        </w:rPr>
      </w:pPr>
      <w:r>
        <w:rPr>
          <w:szCs w:val="24"/>
        </w:rPr>
        <w:t>Facilitate service introduction activities</w:t>
      </w:r>
    </w:p>
    <w:p w14:paraId="1B9ABF5C" w14:textId="77777777" w:rsidR="003C7B6B" w:rsidRDefault="00471E86">
      <w:pPr>
        <w:pStyle w:val="ListParagraph"/>
        <w:numPr>
          <w:ilvl w:val="0"/>
          <w:numId w:val="4"/>
        </w:numPr>
        <w:rPr>
          <w:szCs w:val="24"/>
        </w:rPr>
      </w:pPr>
      <w:r>
        <w:rPr>
          <w:szCs w:val="24"/>
        </w:rPr>
        <w:t>Develop and validate Funding Model which includes cost model and recharging</w:t>
      </w:r>
    </w:p>
    <w:p w14:paraId="1B9ABF5D" w14:textId="77777777" w:rsidR="003C7B6B" w:rsidRDefault="00471E86">
      <w:pPr>
        <w:pStyle w:val="ListParagraph"/>
        <w:numPr>
          <w:ilvl w:val="0"/>
          <w:numId w:val="4"/>
        </w:numPr>
      </w:pPr>
      <w:r>
        <w:rPr>
          <w:szCs w:val="24"/>
        </w:rPr>
        <w:t>Process Design of financial management of environments</w:t>
      </w:r>
      <w:r>
        <w:rPr>
          <w:b/>
        </w:rPr>
        <w:t xml:space="preserve"> </w:t>
      </w:r>
    </w:p>
    <w:p w14:paraId="1B9ABF5E" w14:textId="77777777" w:rsidR="003C7B6B" w:rsidRDefault="003C7B6B">
      <w:pPr>
        <w:pStyle w:val="ListParagraph"/>
        <w:spacing w:before="240"/>
        <w:ind w:left="360"/>
        <w:rPr>
          <w:b/>
        </w:rPr>
      </w:pPr>
    </w:p>
    <w:p w14:paraId="1B9ABF5F" w14:textId="77777777" w:rsidR="003C7B6B" w:rsidRDefault="00471E86">
      <w:pPr>
        <w:pStyle w:val="ListParagraph"/>
        <w:numPr>
          <w:ilvl w:val="1"/>
          <w:numId w:val="3"/>
        </w:numPr>
        <w:spacing w:before="240"/>
        <w:rPr>
          <w:b/>
        </w:rPr>
      </w:pPr>
      <w:r>
        <w:rPr>
          <w:b/>
        </w:rPr>
        <w:t>Resource:</w:t>
      </w:r>
    </w:p>
    <w:p w14:paraId="392B0F41" w14:textId="12E1FD64" w:rsidR="004E63D1" w:rsidRPr="004E63D1" w:rsidRDefault="004E63D1">
      <w:pPr>
        <w:spacing w:before="240"/>
      </w:pPr>
      <w:r w:rsidRPr="004E63D1">
        <w:t>Resources provided by Credera can be substituted at Credera’s discretion, and in line with their delivery of the services. Substitutions must be discussed with HMRC in advance.</w:t>
      </w:r>
    </w:p>
    <w:p w14:paraId="70AB26AC" w14:textId="77777777" w:rsidR="00CD0600" w:rsidRDefault="00CD0600" w:rsidP="00B510EE">
      <w:pPr>
        <w:spacing w:after="160" w:line="259" w:lineRule="auto"/>
        <w:jc w:val="center"/>
        <w:rPr>
          <w:b/>
          <w:bCs/>
        </w:rPr>
      </w:pPr>
    </w:p>
    <w:p w14:paraId="323744D8" w14:textId="0CAD5539" w:rsidR="00B510EE" w:rsidRDefault="00CD0600" w:rsidP="00B510EE">
      <w:pPr>
        <w:spacing w:after="160" w:line="259" w:lineRule="auto"/>
        <w:jc w:val="center"/>
        <w:rPr>
          <w:b/>
          <w:bCs/>
        </w:rPr>
      </w:pPr>
      <w:r w:rsidRPr="00CD0600">
        <w:rPr>
          <w:b/>
          <w:bCs/>
          <w:highlight w:val="black"/>
        </w:rPr>
        <w:t>XXXXXXXXXXXXXXXXXXXXXXXXXXXXXXXXXXXXXXXXXXXXXXXXXXXXXXXXXXXX</w:t>
      </w:r>
    </w:p>
    <w:p w14:paraId="01F911F8" w14:textId="77777777" w:rsidR="00CD0600" w:rsidRDefault="00CD0600" w:rsidP="00B510EE">
      <w:pPr>
        <w:spacing w:after="160" w:line="259" w:lineRule="auto"/>
        <w:jc w:val="center"/>
        <w:rPr>
          <w:b/>
          <w:bCs/>
        </w:rPr>
      </w:pPr>
    </w:p>
    <w:p w14:paraId="127EF2CC" w14:textId="3471849C" w:rsidR="00B510EE" w:rsidRDefault="00B510EE" w:rsidP="00B510EE">
      <w:pPr>
        <w:spacing w:after="160" w:line="259" w:lineRule="auto"/>
        <w:jc w:val="center"/>
        <w:rPr>
          <w:rFonts w:eastAsia="Calibri"/>
          <w:b/>
          <w:bCs/>
          <w:lang w:eastAsia="en-US"/>
        </w:rPr>
      </w:pPr>
      <w:r w:rsidRPr="00BF4310">
        <w:rPr>
          <w:b/>
          <w:bCs/>
        </w:rPr>
        <w:t>Information redacted under section 43 (2) of FOI Act 2000.</w:t>
      </w:r>
    </w:p>
    <w:p w14:paraId="767058B4" w14:textId="77777777" w:rsidR="00B510EE" w:rsidRPr="00B510EE" w:rsidRDefault="00B510EE" w:rsidP="00B510EE">
      <w:pPr>
        <w:spacing w:after="160" w:line="259" w:lineRule="auto"/>
        <w:jc w:val="center"/>
        <w:rPr>
          <w:rFonts w:eastAsia="Calibri"/>
          <w:b/>
          <w:bCs/>
          <w:lang w:eastAsia="en-US"/>
        </w:rPr>
      </w:pPr>
    </w:p>
    <w:p w14:paraId="1B9ABF66" w14:textId="77777777" w:rsidR="003C7B6B" w:rsidRDefault="00471E86">
      <w:pPr>
        <w:pStyle w:val="ListParagraph"/>
        <w:numPr>
          <w:ilvl w:val="1"/>
          <w:numId w:val="3"/>
        </w:numPr>
        <w:rPr>
          <w:b/>
          <w:bCs/>
          <w:color w:val="000000"/>
          <w:sz w:val="24"/>
          <w:szCs w:val="24"/>
        </w:rPr>
      </w:pPr>
      <w:r>
        <w:rPr>
          <w:b/>
          <w:bCs/>
          <w:color w:val="000000"/>
          <w:sz w:val="24"/>
          <w:szCs w:val="24"/>
        </w:rPr>
        <w:t xml:space="preserve"> Objectives and Deliverables:</w:t>
      </w:r>
    </w:p>
    <w:p w14:paraId="1B9ABF67" w14:textId="77777777" w:rsidR="003C7B6B" w:rsidRDefault="003C7B6B">
      <w:pPr>
        <w:pStyle w:val="ListParagraph"/>
        <w:ind w:left="360"/>
        <w:rPr>
          <w:b/>
          <w:bCs/>
          <w:color w:val="000000"/>
          <w:sz w:val="24"/>
          <w:szCs w:val="24"/>
        </w:rPr>
      </w:pPr>
    </w:p>
    <w:p w14:paraId="1B9ABF68" w14:textId="77777777" w:rsidR="003C7B6B" w:rsidRDefault="00471E86">
      <w:pPr>
        <w:rPr>
          <w:b/>
          <w:bCs/>
          <w:color w:val="000000"/>
        </w:rPr>
      </w:pPr>
      <w:r>
        <w:rPr>
          <w:b/>
          <w:bCs/>
          <w:color w:val="000000"/>
        </w:rPr>
        <w:t>Detailed Scope of Work</w:t>
      </w:r>
    </w:p>
    <w:p w14:paraId="1B9ABF69" w14:textId="2A3D4B06" w:rsidR="003C7B6B" w:rsidRDefault="00471E86">
      <w:pPr>
        <w:pStyle w:val="ListParagraph"/>
        <w:numPr>
          <w:ilvl w:val="0"/>
          <w:numId w:val="5"/>
        </w:numPr>
        <w:suppressAutoHyphens w:val="0"/>
        <w:spacing w:line="240" w:lineRule="auto"/>
        <w:textAlignment w:val="auto"/>
      </w:pPr>
      <w:r>
        <w:rPr>
          <w:rFonts w:eastAsia="Times New Roman"/>
          <w:color w:val="000000"/>
        </w:rPr>
        <w:t>Create a</w:t>
      </w:r>
      <w:r>
        <w:rPr>
          <w:rFonts w:eastAsia="Times New Roman"/>
        </w:rPr>
        <w:t xml:space="preserve"> </w:t>
      </w:r>
      <w:r>
        <w:rPr>
          <w:rFonts w:eastAsia="Times New Roman"/>
          <w:color w:val="000000"/>
        </w:rPr>
        <w:t xml:space="preserve">Tier 1 </w:t>
      </w:r>
      <w:r>
        <w:rPr>
          <w:rFonts w:eastAsia="Times New Roman"/>
        </w:rPr>
        <w:t xml:space="preserve">Shared Responsibility Matrix (SRM) </w:t>
      </w:r>
      <w:r>
        <w:rPr>
          <w:rFonts w:eastAsia="Times New Roman"/>
          <w:color w:val="000000"/>
        </w:rPr>
        <w:t>for</w:t>
      </w:r>
      <w:r>
        <w:rPr>
          <w:rFonts w:eastAsia="Times New Roman"/>
        </w:rPr>
        <w:t xml:space="preserve"> Crown Hosting and </w:t>
      </w:r>
      <w:r>
        <w:rPr>
          <w:rFonts w:eastAsia="Times New Roman"/>
          <w:color w:val="000000"/>
        </w:rPr>
        <w:t xml:space="preserve">update </w:t>
      </w:r>
      <w:r w:rsidR="009A173A">
        <w:rPr>
          <w:rFonts w:eastAsia="Times New Roman"/>
          <w:color w:val="000000"/>
        </w:rPr>
        <w:t xml:space="preserve">the </w:t>
      </w:r>
      <w:r>
        <w:rPr>
          <w:rFonts w:eastAsia="Times New Roman"/>
        </w:rPr>
        <w:t xml:space="preserve">AVS </w:t>
      </w:r>
      <w:r w:rsidR="009A173A">
        <w:rPr>
          <w:rFonts w:eastAsia="Times New Roman"/>
        </w:rPr>
        <w:t xml:space="preserve">SRM </w:t>
      </w:r>
      <w:r>
        <w:rPr>
          <w:rFonts w:eastAsia="Times New Roman"/>
          <w:color w:val="000000"/>
        </w:rPr>
        <w:t>where required</w:t>
      </w:r>
    </w:p>
    <w:p w14:paraId="1B9ABF6A" w14:textId="77777777" w:rsidR="003C7B6B" w:rsidRDefault="00471E86">
      <w:pPr>
        <w:pStyle w:val="ListParagraph"/>
        <w:numPr>
          <w:ilvl w:val="0"/>
          <w:numId w:val="5"/>
        </w:numPr>
        <w:suppressAutoHyphens w:val="0"/>
        <w:spacing w:line="240" w:lineRule="auto"/>
        <w:textAlignment w:val="auto"/>
      </w:pPr>
      <w:r>
        <w:rPr>
          <w:rFonts w:eastAsia="Times New Roman"/>
        </w:rPr>
        <w:t xml:space="preserve">Create/update </w:t>
      </w:r>
      <w:r>
        <w:rPr>
          <w:rFonts w:eastAsia="Times New Roman"/>
          <w:color w:val="000000"/>
        </w:rPr>
        <w:t xml:space="preserve">Target </w:t>
      </w:r>
      <w:r>
        <w:rPr>
          <w:rFonts w:eastAsia="Times New Roman"/>
        </w:rPr>
        <w:t>Operation Model (</w:t>
      </w:r>
      <w:r>
        <w:rPr>
          <w:rFonts w:eastAsia="Times New Roman"/>
          <w:color w:val="000000"/>
        </w:rPr>
        <w:t>T</w:t>
      </w:r>
      <w:r>
        <w:rPr>
          <w:rFonts w:eastAsia="Times New Roman"/>
        </w:rPr>
        <w:t xml:space="preserve">OM) to support both Crown Hosting and AVS environments </w:t>
      </w:r>
      <w:r>
        <w:rPr>
          <w:rFonts w:eastAsia="Times New Roman"/>
          <w:color w:val="000000"/>
        </w:rPr>
        <w:t>aligned to the existing Cloud operating model</w:t>
      </w:r>
    </w:p>
    <w:p w14:paraId="1B9ABF6B" w14:textId="77777777" w:rsidR="003C7B6B" w:rsidRDefault="00471E86">
      <w:pPr>
        <w:pStyle w:val="ListParagraph"/>
        <w:numPr>
          <w:ilvl w:val="1"/>
          <w:numId w:val="5"/>
        </w:numPr>
        <w:suppressAutoHyphens w:val="0"/>
        <w:spacing w:line="240" w:lineRule="auto"/>
        <w:textAlignment w:val="auto"/>
      </w:pPr>
      <w:r>
        <w:rPr>
          <w:rFonts w:eastAsia="Times New Roman"/>
          <w:color w:val="000000"/>
        </w:rPr>
        <w:t>T</w:t>
      </w:r>
      <w:r>
        <w:rPr>
          <w:rFonts w:eastAsia="Times New Roman"/>
        </w:rPr>
        <w:t>OM - Develop/</w:t>
      </w:r>
      <w:r>
        <w:rPr>
          <w:rFonts w:eastAsia="Times New Roman"/>
          <w:color w:val="000000"/>
        </w:rPr>
        <w:t>e</w:t>
      </w:r>
      <w:r>
        <w:rPr>
          <w:rFonts w:eastAsia="Times New Roman"/>
        </w:rPr>
        <w:t>nhance Operating Models to deliver service</w:t>
      </w:r>
    </w:p>
    <w:p w14:paraId="1B9ABF6C" w14:textId="3FCA6076" w:rsidR="003C7B6B" w:rsidRDefault="00471E86">
      <w:pPr>
        <w:pStyle w:val="ListParagraph"/>
        <w:numPr>
          <w:ilvl w:val="2"/>
          <w:numId w:val="5"/>
        </w:numPr>
        <w:suppressAutoHyphens w:val="0"/>
        <w:spacing w:line="240" w:lineRule="auto"/>
        <w:textAlignment w:val="auto"/>
        <w:rPr>
          <w:rFonts w:eastAsia="Times New Roman"/>
        </w:rPr>
      </w:pPr>
      <w:r>
        <w:rPr>
          <w:rFonts w:eastAsia="Times New Roman"/>
        </w:rPr>
        <w:t xml:space="preserve">Define holistic HMRC service strategy and service design for Crown </w:t>
      </w:r>
      <w:r w:rsidR="00A107DE">
        <w:rPr>
          <w:rFonts w:eastAsia="Times New Roman"/>
        </w:rPr>
        <w:t>H</w:t>
      </w:r>
      <w:r>
        <w:rPr>
          <w:rFonts w:eastAsia="Times New Roman"/>
        </w:rPr>
        <w:t>osting and AVS aligned to public cloud approach</w:t>
      </w:r>
    </w:p>
    <w:p w14:paraId="1B9ABF6D" w14:textId="77777777" w:rsidR="003C7B6B" w:rsidRDefault="00471E86">
      <w:pPr>
        <w:pStyle w:val="ListParagraph"/>
        <w:numPr>
          <w:ilvl w:val="2"/>
          <w:numId w:val="5"/>
        </w:numPr>
        <w:suppressAutoHyphens w:val="0"/>
        <w:spacing w:line="240" w:lineRule="auto"/>
        <w:textAlignment w:val="auto"/>
        <w:rPr>
          <w:rFonts w:eastAsia="Times New Roman"/>
        </w:rPr>
      </w:pPr>
      <w:r>
        <w:rPr>
          <w:rFonts w:eastAsia="Times New Roman"/>
        </w:rPr>
        <w:t>Support evolution of legacy datacentre approach to private cloud</w:t>
      </w:r>
    </w:p>
    <w:p w14:paraId="1B9ABF6E" w14:textId="77777777" w:rsidR="003C7B6B" w:rsidRDefault="00471E86">
      <w:pPr>
        <w:pStyle w:val="ListParagraph"/>
        <w:numPr>
          <w:ilvl w:val="2"/>
          <w:numId w:val="5"/>
        </w:numPr>
        <w:suppressAutoHyphens w:val="0"/>
        <w:spacing w:line="240" w:lineRule="auto"/>
        <w:textAlignment w:val="auto"/>
        <w:rPr>
          <w:rFonts w:eastAsia="Times New Roman"/>
        </w:rPr>
      </w:pPr>
      <w:r>
        <w:rPr>
          <w:rFonts w:eastAsia="Times New Roman"/>
        </w:rPr>
        <w:lastRenderedPageBreak/>
        <w:t>Harmonise process between private and public cloud</w:t>
      </w:r>
    </w:p>
    <w:p w14:paraId="1B9ABF6F" w14:textId="77777777" w:rsidR="003C7B6B" w:rsidRDefault="00471E86">
      <w:pPr>
        <w:pStyle w:val="ListParagraph"/>
        <w:numPr>
          <w:ilvl w:val="2"/>
          <w:numId w:val="5"/>
        </w:numPr>
        <w:suppressAutoHyphens w:val="0"/>
        <w:spacing w:line="240" w:lineRule="auto"/>
        <w:textAlignment w:val="auto"/>
        <w:rPr>
          <w:rFonts w:eastAsia="Times New Roman"/>
        </w:rPr>
      </w:pPr>
      <w:r>
        <w:rPr>
          <w:rFonts w:eastAsia="Times New Roman"/>
        </w:rPr>
        <w:t>Define capability roadmap e.g., monitoring across boundaries</w:t>
      </w:r>
    </w:p>
    <w:p w14:paraId="1B9ABF70" w14:textId="77777777" w:rsidR="003C7B6B" w:rsidRDefault="00471E86">
      <w:pPr>
        <w:pStyle w:val="ListParagraph"/>
        <w:numPr>
          <w:ilvl w:val="1"/>
          <w:numId w:val="5"/>
        </w:numPr>
        <w:suppressAutoHyphens w:val="0"/>
        <w:spacing w:line="240" w:lineRule="auto"/>
        <w:textAlignment w:val="auto"/>
        <w:rPr>
          <w:rFonts w:eastAsia="Times New Roman"/>
        </w:rPr>
      </w:pPr>
      <w:r>
        <w:rPr>
          <w:rFonts w:eastAsia="Times New Roman"/>
        </w:rPr>
        <w:t>Service Design</w:t>
      </w:r>
    </w:p>
    <w:p w14:paraId="1B9ABF71" w14:textId="77777777" w:rsidR="003C7B6B" w:rsidRDefault="00471E86">
      <w:pPr>
        <w:pStyle w:val="ListParagraph"/>
        <w:numPr>
          <w:ilvl w:val="2"/>
          <w:numId w:val="5"/>
        </w:numPr>
        <w:suppressAutoHyphens w:val="0"/>
        <w:spacing w:line="240" w:lineRule="auto"/>
        <w:textAlignment w:val="auto"/>
        <w:rPr>
          <w:rFonts w:eastAsia="Times New Roman"/>
          <w:color w:val="000000"/>
        </w:rPr>
      </w:pPr>
      <w:r>
        <w:rPr>
          <w:rFonts w:eastAsia="Times New Roman"/>
          <w:color w:val="000000"/>
        </w:rPr>
        <w:t>Define service levels and alignment to HMRC SRM Framework</w:t>
      </w:r>
    </w:p>
    <w:p w14:paraId="1B9ABF72" w14:textId="77777777" w:rsidR="003C7B6B" w:rsidRDefault="00471E86">
      <w:pPr>
        <w:pStyle w:val="ListParagraph"/>
        <w:numPr>
          <w:ilvl w:val="2"/>
          <w:numId w:val="5"/>
        </w:numPr>
        <w:suppressAutoHyphens w:val="0"/>
        <w:spacing w:line="240" w:lineRule="auto"/>
        <w:textAlignment w:val="auto"/>
      </w:pPr>
      <w:r>
        <w:rPr>
          <w:rFonts w:eastAsia="Times New Roman"/>
          <w:color w:val="000000"/>
        </w:rPr>
        <w:t>Utilise a standardised template approach to capture all relevant data points to support the management of the E2E service in accordance with the TOM</w:t>
      </w:r>
    </w:p>
    <w:p w14:paraId="1B9ABF73" w14:textId="7B733D82" w:rsidR="003C7B6B" w:rsidRDefault="00471E86">
      <w:pPr>
        <w:pStyle w:val="ListParagraph"/>
        <w:numPr>
          <w:ilvl w:val="2"/>
          <w:numId w:val="5"/>
        </w:numPr>
        <w:suppressAutoHyphens w:val="0"/>
        <w:spacing w:line="240" w:lineRule="auto"/>
        <w:textAlignment w:val="auto"/>
      </w:pPr>
      <w:r>
        <w:rPr>
          <w:rFonts w:eastAsia="Times New Roman"/>
        </w:rPr>
        <w:t xml:space="preserve">Validate that Service Wraps exist for all </w:t>
      </w:r>
      <w:r w:rsidR="004E63D1">
        <w:rPr>
          <w:rFonts w:eastAsia="Times New Roman"/>
        </w:rPr>
        <w:t>Crown Hosting and AVS components</w:t>
      </w:r>
      <w:r>
        <w:rPr>
          <w:rFonts w:eastAsia="Times New Roman"/>
        </w:rPr>
        <w:t xml:space="preserve"> identified within the SRM</w:t>
      </w:r>
      <w:r>
        <w:rPr>
          <w:rFonts w:eastAsia="Times New Roman"/>
          <w:color w:val="000000"/>
        </w:rPr>
        <w:t>, T</w:t>
      </w:r>
      <w:r>
        <w:rPr>
          <w:rFonts w:eastAsia="Times New Roman"/>
        </w:rPr>
        <w:t>OM and where absent developing them in line with the following:</w:t>
      </w:r>
    </w:p>
    <w:p w14:paraId="1B9ABF74" w14:textId="77777777" w:rsidR="003C7B6B" w:rsidRDefault="00471E86">
      <w:pPr>
        <w:pStyle w:val="ListParagraph"/>
        <w:numPr>
          <w:ilvl w:val="3"/>
          <w:numId w:val="5"/>
        </w:numPr>
        <w:suppressAutoHyphens w:val="0"/>
        <w:spacing w:line="240" w:lineRule="auto"/>
        <w:textAlignment w:val="auto"/>
      </w:pPr>
      <w:r>
        <w:rPr>
          <w:rFonts w:eastAsia="Times New Roman"/>
        </w:rPr>
        <w:t>Populate</w:t>
      </w:r>
      <w:r>
        <w:rPr>
          <w:rFonts w:eastAsia="Times New Roman"/>
          <w:color w:val="000000"/>
        </w:rPr>
        <w:t xml:space="preserve"> standardised template with all existing data and identify gaps; areas covered include but not limited to:</w:t>
      </w:r>
    </w:p>
    <w:p w14:paraId="1B9ABF75" w14:textId="77777777" w:rsidR="003C7B6B" w:rsidRDefault="00471E86">
      <w:pPr>
        <w:pStyle w:val="ListParagraph"/>
        <w:numPr>
          <w:ilvl w:val="4"/>
          <w:numId w:val="5"/>
        </w:numPr>
        <w:suppressAutoHyphens w:val="0"/>
        <w:spacing w:line="240" w:lineRule="auto"/>
        <w:textAlignment w:val="auto"/>
        <w:rPr>
          <w:rFonts w:eastAsia="Times New Roman"/>
        </w:rPr>
      </w:pPr>
      <w:r>
        <w:rPr>
          <w:rFonts w:eastAsia="Times New Roman"/>
        </w:rPr>
        <w:t>Define support model RACI template</w:t>
      </w:r>
    </w:p>
    <w:p w14:paraId="1B9ABF76" w14:textId="77777777" w:rsidR="003C7B6B" w:rsidRDefault="00471E86">
      <w:pPr>
        <w:pStyle w:val="ListParagraph"/>
        <w:numPr>
          <w:ilvl w:val="4"/>
          <w:numId w:val="5"/>
        </w:numPr>
        <w:suppressAutoHyphens w:val="0"/>
        <w:spacing w:line="240" w:lineRule="auto"/>
        <w:textAlignment w:val="auto"/>
      </w:pPr>
      <w:r>
        <w:rPr>
          <w:rFonts w:eastAsia="Times New Roman"/>
        </w:rPr>
        <w:t>Confirm contractual cover</w:t>
      </w:r>
      <w:r>
        <w:rPr>
          <w:rFonts w:eastAsia="Times New Roman"/>
          <w:color w:val="000000"/>
        </w:rPr>
        <w:t xml:space="preserve"> in place or required</w:t>
      </w:r>
    </w:p>
    <w:p w14:paraId="1B9ABF77" w14:textId="77777777" w:rsidR="003C7B6B" w:rsidRDefault="00471E86">
      <w:pPr>
        <w:pStyle w:val="ListParagraph"/>
        <w:numPr>
          <w:ilvl w:val="4"/>
          <w:numId w:val="5"/>
        </w:numPr>
        <w:suppressAutoHyphens w:val="0"/>
        <w:spacing w:line="240" w:lineRule="auto"/>
        <w:textAlignment w:val="auto"/>
      </w:pPr>
      <w:r>
        <w:rPr>
          <w:rFonts w:eastAsia="Times New Roman"/>
        </w:rPr>
        <w:t>Clarify</w:t>
      </w:r>
      <w:r>
        <w:rPr>
          <w:rFonts w:eastAsia="Times New Roman"/>
          <w:color w:val="000000"/>
        </w:rPr>
        <w:t>/validate</w:t>
      </w:r>
      <w:r>
        <w:rPr>
          <w:rFonts w:eastAsia="Times New Roman"/>
        </w:rPr>
        <w:t xml:space="preserve"> </w:t>
      </w:r>
      <w:r>
        <w:rPr>
          <w:rFonts w:eastAsia="Times New Roman"/>
          <w:color w:val="000000"/>
        </w:rPr>
        <w:t xml:space="preserve">all </w:t>
      </w:r>
      <w:r>
        <w:rPr>
          <w:rFonts w:eastAsia="Times New Roman"/>
        </w:rPr>
        <w:t>interfaces and handoffs between all parties (suppliers</w:t>
      </w:r>
      <w:r>
        <w:rPr>
          <w:rFonts w:eastAsia="Times New Roman"/>
          <w:color w:val="000000"/>
        </w:rPr>
        <w:t xml:space="preserve">, </w:t>
      </w:r>
      <w:r>
        <w:rPr>
          <w:rFonts w:eastAsia="Times New Roman"/>
        </w:rPr>
        <w:t>internal</w:t>
      </w:r>
      <w:r>
        <w:rPr>
          <w:rFonts w:eastAsia="Times New Roman"/>
          <w:color w:val="000000"/>
        </w:rPr>
        <w:t xml:space="preserve"> and resolver groups</w:t>
      </w:r>
      <w:r>
        <w:rPr>
          <w:rFonts w:eastAsia="Times New Roman"/>
        </w:rPr>
        <w:t>)</w:t>
      </w:r>
    </w:p>
    <w:p w14:paraId="1B9ABF78" w14:textId="77777777" w:rsidR="003C7B6B" w:rsidRDefault="00471E86">
      <w:pPr>
        <w:pStyle w:val="ListParagraph"/>
        <w:numPr>
          <w:ilvl w:val="4"/>
          <w:numId w:val="5"/>
        </w:numPr>
        <w:suppressAutoHyphens w:val="0"/>
        <w:spacing w:line="240" w:lineRule="auto"/>
        <w:textAlignment w:val="auto"/>
      </w:pPr>
      <w:r>
        <w:rPr>
          <w:rFonts w:eastAsia="Times New Roman"/>
          <w:color w:val="000000"/>
        </w:rPr>
        <w:t xml:space="preserve">Identify all the </w:t>
      </w:r>
      <w:r>
        <w:rPr>
          <w:rFonts w:eastAsia="Times New Roman"/>
        </w:rPr>
        <w:t xml:space="preserve">information to be passed between </w:t>
      </w:r>
      <w:r>
        <w:rPr>
          <w:rFonts w:eastAsia="Times New Roman"/>
          <w:color w:val="000000"/>
        </w:rPr>
        <w:t>the p</w:t>
      </w:r>
      <w:r>
        <w:rPr>
          <w:rFonts w:eastAsia="Times New Roman"/>
        </w:rPr>
        <w:t>arties</w:t>
      </w:r>
      <w:r>
        <w:rPr>
          <w:rFonts w:eastAsia="Times New Roman"/>
          <w:color w:val="000000"/>
        </w:rPr>
        <w:t xml:space="preserve"> and how</w:t>
      </w:r>
    </w:p>
    <w:p w14:paraId="1B9ABF79" w14:textId="77777777" w:rsidR="003C7B6B" w:rsidRDefault="00471E86">
      <w:pPr>
        <w:pStyle w:val="ListParagraph"/>
        <w:numPr>
          <w:ilvl w:val="4"/>
          <w:numId w:val="5"/>
        </w:numPr>
        <w:suppressAutoHyphens w:val="0"/>
        <w:spacing w:line="240" w:lineRule="auto"/>
        <w:textAlignment w:val="auto"/>
      </w:pPr>
      <w:r>
        <w:rPr>
          <w:rFonts w:eastAsia="Times New Roman"/>
          <w:color w:val="000000"/>
        </w:rPr>
        <w:t xml:space="preserve">Validate and update detail within </w:t>
      </w:r>
      <w:r>
        <w:rPr>
          <w:rFonts w:eastAsia="Times New Roman"/>
        </w:rPr>
        <w:t xml:space="preserve">support model </w:t>
      </w:r>
      <w:r>
        <w:rPr>
          <w:rFonts w:eastAsia="Times New Roman"/>
          <w:color w:val="000000"/>
        </w:rPr>
        <w:t>RACI with all parties</w:t>
      </w:r>
    </w:p>
    <w:p w14:paraId="1B9ABF7A" w14:textId="51E35D3E" w:rsidR="003C7B6B" w:rsidRDefault="00471E86">
      <w:pPr>
        <w:pStyle w:val="ListParagraph"/>
        <w:numPr>
          <w:ilvl w:val="4"/>
          <w:numId w:val="5"/>
        </w:numPr>
        <w:suppressAutoHyphens w:val="0"/>
        <w:spacing w:line="240" w:lineRule="auto"/>
        <w:textAlignment w:val="auto"/>
      </w:pPr>
      <w:r>
        <w:rPr>
          <w:rFonts w:eastAsia="Times New Roman"/>
          <w:color w:val="000000"/>
        </w:rPr>
        <w:t>Define/update p</w:t>
      </w:r>
      <w:r>
        <w:rPr>
          <w:rFonts w:eastAsia="Times New Roman"/>
        </w:rPr>
        <w:t>rocesses including SLA, OLA</w:t>
      </w:r>
      <w:r w:rsidR="00667945">
        <w:rPr>
          <w:rFonts w:eastAsia="Times New Roman"/>
        </w:rPr>
        <w:t>s</w:t>
      </w:r>
      <w:r>
        <w:rPr>
          <w:rFonts w:eastAsia="Times New Roman"/>
        </w:rPr>
        <w:t xml:space="preserve"> and KPIs</w:t>
      </w:r>
      <w:r>
        <w:rPr>
          <w:rFonts w:eastAsia="Times New Roman"/>
          <w:color w:val="000000"/>
        </w:rPr>
        <w:t xml:space="preserve"> in support of the E2E service</w:t>
      </w:r>
    </w:p>
    <w:p w14:paraId="1B9ABF7B" w14:textId="77777777" w:rsidR="003C7B6B" w:rsidRDefault="00471E86">
      <w:pPr>
        <w:pStyle w:val="ListParagraph"/>
        <w:numPr>
          <w:ilvl w:val="0"/>
          <w:numId w:val="5"/>
        </w:numPr>
        <w:suppressAutoHyphens w:val="0"/>
        <w:spacing w:line="240" w:lineRule="auto"/>
        <w:textAlignment w:val="auto"/>
        <w:rPr>
          <w:rFonts w:eastAsia="Times New Roman"/>
        </w:rPr>
      </w:pPr>
      <w:r>
        <w:rPr>
          <w:rFonts w:eastAsia="Times New Roman"/>
        </w:rPr>
        <w:t>Product Catalogue</w:t>
      </w:r>
    </w:p>
    <w:p w14:paraId="1B9ABF7C" w14:textId="77777777" w:rsidR="003C7B6B" w:rsidRDefault="00471E86">
      <w:pPr>
        <w:pStyle w:val="ListParagraph"/>
        <w:numPr>
          <w:ilvl w:val="1"/>
          <w:numId w:val="5"/>
        </w:numPr>
        <w:suppressAutoHyphens w:val="0"/>
        <w:spacing w:line="240" w:lineRule="auto"/>
        <w:textAlignment w:val="auto"/>
        <w:rPr>
          <w:rFonts w:eastAsia="Times New Roman"/>
        </w:rPr>
      </w:pPr>
      <w:r>
        <w:rPr>
          <w:rFonts w:eastAsia="Times New Roman"/>
        </w:rPr>
        <w:t>Ensure catalogue of available and approved products is established and maintainable for each hosting location</w:t>
      </w:r>
    </w:p>
    <w:p w14:paraId="1B9ABF7D" w14:textId="77777777" w:rsidR="003C7B6B" w:rsidRDefault="00471E86">
      <w:pPr>
        <w:pStyle w:val="ListParagraph"/>
        <w:numPr>
          <w:ilvl w:val="1"/>
          <w:numId w:val="5"/>
        </w:numPr>
        <w:suppressAutoHyphens w:val="0"/>
        <w:spacing w:line="240" w:lineRule="auto"/>
        <w:textAlignment w:val="auto"/>
        <w:rPr>
          <w:rFonts w:eastAsia="Times New Roman"/>
        </w:rPr>
      </w:pPr>
      <w:r>
        <w:rPr>
          <w:rFonts w:eastAsia="Times New Roman"/>
        </w:rPr>
        <w:t>Seek consistency across platform</w:t>
      </w:r>
    </w:p>
    <w:p w14:paraId="1B9ABF7E" w14:textId="77777777" w:rsidR="003C7B6B" w:rsidRDefault="00471E86">
      <w:pPr>
        <w:pStyle w:val="ListParagraph"/>
        <w:numPr>
          <w:ilvl w:val="0"/>
          <w:numId w:val="5"/>
        </w:numPr>
        <w:suppressAutoHyphens w:val="0"/>
        <w:spacing w:line="240" w:lineRule="auto"/>
        <w:textAlignment w:val="auto"/>
        <w:rPr>
          <w:rFonts w:eastAsia="Times New Roman"/>
        </w:rPr>
      </w:pPr>
      <w:r>
        <w:rPr>
          <w:rFonts w:eastAsia="Times New Roman"/>
        </w:rPr>
        <w:t>Governance</w:t>
      </w:r>
    </w:p>
    <w:p w14:paraId="1B9ABF7F" w14:textId="77777777" w:rsidR="003C7B6B" w:rsidRDefault="00471E86">
      <w:pPr>
        <w:pStyle w:val="ListParagraph"/>
        <w:numPr>
          <w:ilvl w:val="1"/>
          <w:numId w:val="5"/>
        </w:numPr>
        <w:suppressAutoHyphens w:val="0"/>
        <w:spacing w:line="240" w:lineRule="auto"/>
        <w:textAlignment w:val="auto"/>
      </w:pPr>
      <w:r>
        <w:rPr>
          <w:rFonts w:eastAsia="Times New Roman"/>
        </w:rPr>
        <w:t xml:space="preserve">Refine governance approach for private </w:t>
      </w:r>
      <w:r>
        <w:rPr>
          <w:rFonts w:eastAsia="Times New Roman"/>
          <w:color w:val="000000"/>
        </w:rPr>
        <w:t>hosting</w:t>
      </w:r>
      <w:r>
        <w:rPr>
          <w:rFonts w:eastAsia="Times New Roman"/>
        </w:rPr>
        <w:t xml:space="preserve"> including alignment to HMRC </w:t>
      </w:r>
      <w:r>
        <w:rPr>
          <w:rFonts w:eastAsia="Times New Roman"/>
          <w:color w:val="000000"/>
        </w:rPr>
        <w:t>ITIL</w:t>
      </w:r>
      <w:r>
        <w:rPr>
          <w:rFonts w:eastAsia="Times New Roman"/>
        </w:rPr>
        <w:t xml:space="preserve"> management processes</w:t>
      </w:r>
    </w:p>
    <w:p w14:paraId="1B9ABF80" w14:textId="77777777" w:rsidR="003C7B6B" w:rsidRDefault="00471E86">
      <w:pPr>
        <w:pStyle w:val="ListParagraph"/>
        <w:numPr>
          <w:ilvl w:val="1"/>
          <w:numId w:val="5"/>
        </w:numPr>
        <w:suppressAutoHyphens w:val="0"/>
        <w:spacing w:line="240" w:lineRule="auto"/>
        <w:textAlignment w:val="auto"/>
        <w:rPr>
          <w:rFonts w:eastAsia="Times New Roman"/>
        </w:rPr>
      </w:pPr>
      <w:r>
        <w:rPr>
          <w:rFonts w:eastAsia="Times New Roman"/>
        </w:rPr>
        <w:t>Facilitate service introduction activities</w:t>
      </w:r>
    </w:p>
    <w:p w14:paraId="1B9ABF81" w14:textId="77777777" w:rsidR="003C7B6B" w:rsidRDefault="00471E86">
      <w:pPr>
        <w:pStyle w:val="ListParagraph"/>
        <w:numPr>
          <w:ilvl w:val="1"/>
          <w:numId w:val="5"/>
        </w:numPr>
        <w:suppressAutoHyphens w:val="0"/>
        <w:spacing w:line="240" w:lineRule="auto"/>
        <w:textAlignment w:val="auto"/>
        <w:rPr>
          <w:rFonts w:eastAsia="Times New Roman"/>
        </w:rPr>
      </w:pPr>
      <w:r>
        <w:rPr>
          <w:rFonts w:eastAsia="Times New Roman"/>
        </w:rPr>
        <w:t>Establish governance for AVS</w:t>
      </w:r>
    </w:p>
    <w:p w14:paraId="1B9ABF82" w14:textId="77777777" w:rsidR="003C7B6B" w:rsidRDefault="00471E86">
      <w:pPr>
        <w:pStyle w:val="ListParagraph"/>
        <w:numPr>
          <w:ilvl w:val="0"/>
          <w:numId w:val="5"/>
        </w:numPr>
        <w:suppressAutoHyphens w:val="0"/>
        <w:spacing w:line="240" w:lineRule="auto"/>
        <w:textAlignment w:val="auto"/>
        <w:rPr>
          <w:rFonts w:eastAsia="Times New Roman"/>
        </w:rPr>
      </w:pPr>
      <w:r>
        <w:rPr>
          <w:rFonts w:eastAsia="Times New Roman"/>
        </w:rPr>
        <w:t xml:space="preserve">Financial Operations (FinOps) – </w:t>
      </w:r>
      <w:r w:rsidRPr="00052397">
        <w:rPr>
          <w:rFonts w:eastAsia="Times New Roman"/>
          <w:u w:val="single"/>
        </w:rPr>
        <w:t>Support/Validation Role Only</w:t>
      </w:r>
    </w:p>
    <w:p w14:paraId="1B9ABF83" w14:textId="1A7CED37" w:rsidR="003C7B6B" w:rsidRDefault="00F73B36">
      <w:pPr>
        <w:pStyle w:val="ListParagraph"/>
        <w:numPr>
          <w:ilvl w:val="1"/>
          <w:numId w:val="5"/>
        </w:numPr>
        <w:suppressAutoHyphens w:val="0"/>
        <w:spacing w:line="240" w:lineRule="auto"/>
        <w:textAlignment w:val="auto"/>
        <w:rPr>
          <w:rFonts w:eastAsia="Times New Roman"/>
        </w:rPr>
      </w:pPr>
      <w:r>
        <w:rPr>
          <w:rFonts w:eastAsia="Times New Roman"/>
        </w:rPr>
        <w:t>V</w:t>
      </w:r>
      <w:r w:rsidR="00471E86">
        <w:rPr>
          <w:rFonts w:eastAsia="Times New Roman"/>
        </w:rPr>
        <w:t>alidate Funding Model which includes cost model and recharging</w:t>
      </w:r>
    </w:p>
    <w:p w14:paraId="1B9ABF84" w14:textId="789BC8E7" w:rsidR="003C7B6B" w:rsidRDefault="00B25C5E">
      <w:pPr>
        <w:pStyle w:val="ListParagraph"/>
        <w:numPr>
          <w:ilvl w:val="1"/>
          <w:numId w:val="5"/>
        </w:numPr>
        <w:suppressAutoHyphens w:val="0"/>
        <w:spacing w:line="240" w:lineRule="auto"/>
        <w:textAlignment w:val="auto"/>
      </w:pPr>
      <w:r>
        <w:rPr>
          <w:rFonts w:eastAsia="Times New Roman"/>
          <w:color w:val="000000"/>
        </w:rPr>
        <w:t xml:space="preserve">Support </w:t>
      </w:r>
      <w:r w:rsidR="00471E86">
        <w:rPr>
          <w:rFonts w:eastAsia="Times New Roman"/>
          <w:color w:val="000000"/>
        </w:rPr>
        <w:t>Process Design of financial management of environments including</w:t>
      </w:r>
    </w:p>
    <w:p w14:paraId="1B9ABF85" w14:textId="77777777" w:rsidR="003C7B6B" w:rsidRDefault="00471E86">
      <w:pPr>
        <w:pStyle w:val="ListParagraph"/>
        <w:numPr>
          <w:ilvl w:val="2"/>
          <w:numId w:val="5"/>
        </w:numPr>
        <w:suppressAutoHyphens w:val="0"/>
        <w:spacing w:line="240" w:lineRule="auto"/>
        <w:textAlignment w:val="auto"/>
        <w:rPr>
          <w:rFonts w:eastAsia="Times New Roman"/>
        </w:rPr>
      </w:pPr>
      <w:r>
        <w:rPr>
          <w:rFonts w:eastAsia="Times New Roman"/>
        </w:rPr>
        <w:t>Central charging and payments</w:t>
      </w:r>
    </w:p>
    <w:p w14:paraId="1B9ABF86" w14:textId="77777777" w:rsidR="003C7B6B" w:rsidRDefault="00471E86">
      <w:pPr>
        <w:pStyle w:val="ListParagraph"/>
        <w:numPr>
          <w:ilvl w:val="2"/>
          <w:numId w:val="5"/>
        </w:numPr>
        <w:suppressAutoHyphens w:val="0"/>
        <w:spacing w:line="240" w:lineRule="auto"/>
        <w:textAlignment w:val="auto"/>
        <w:rPr>
          <w:rFonts w:eastAsia="Times New Roman"/>
        </w:rPr>
      </w:pPr>
      <w:r>
        <w:rPr>
          <w:rFonts w:eastAsia="Times New Roman"/>
        </w:rPr>
        <w:t>Reviews</w:t>
      </w:r>
    </w:p>
    <w:p w14:paraId="1B9ABF87" w14:textId="77777777" w:rsidR="003C7B6B" w:rsidRDefault="00471E86">
      <w:pPr>
        <w:pStyle w:val="ListParagraph"/>
        <w:numPr>
          <w:ilvl w:val="2"/>
          <w:numId w:val="5"/>
        </w:numPr>
        <w:suppressAutoHyphens w:val="0"/>
        <w:spacing w:line="240" w:lineRule="auto"/>
        <w:textAlignment w:val="auto"/>
        <w:rPr>
          <w:rFonts w:eastAsia="Times New Roman"/>
        </w:rPr>
      </w:pPr>
      <w:r>
        <w:rPr>
          <w:rFonts w:eastAsia="Times New Roman"/>
        </w:rPr>
        <w:t>Capacity management</w:t>
      </w:r>
    </w:p>
    <w:p w14:paraId="1B9ABF88" w14:textId="77777777" w:rsidR="003C7B6B" w:rsidRDefault="00471E86">
      <w:pPr>
        <w:pStyle w:val="ListParagraph"/>
        <w:numPr>
          <w:ilvl w:val="2"/>
          <w:numId w:val="5"/>
        </w:numPr>
        <w:suppressAutoHyphens w:val="0"/>
        <w:spacing w:line="240" w:lineRule="auto"/>
        <w:textAlignment w:val="auto"/>
        <w:rPr>
          <w:rFonts w:eastAsia="Times New Roman"/>
        </w:rPr>
      </w:pPr>
      <w:r>
        <w:rPr>
          <w:rFonts w:eastAsia="Times New Roman"/>
        </w:rPr>
        <w:t>Resources</w:t>
      </w:r>
    </w:p>
    <w:p w14:paraId="1B9ABF89" w14:textId="62814514" w:rsidR="003C7B6B" w:rsidRDefault="00471E86">
      <w:pPr>
        <w:pStyle w:val="ListParagraph"/>
        <w:numPr>
          <w:ilvl w:val="2"/>
          <w:numId w:val="5"/>
        </w:numPr>
        <w:suppressAutoHyphens w:val="0"/>
        <w:spacing w:line="240" w:lineRule="auto"/>
        <w:textAlignment w:val="auto"/>
        <w:rPr>
          <w:rFonts w:eastAsia="Times New Roman"/>
        </w:rPr>
      </w:pPr>
      <w:r>
        <w:rPr>
          <w:rFonts w:eastAsia="Times New Roman"/>
        </w:rPr>
        <w:t>Environments</w:t>
      </w:r>
      <w:r w:rsidR="009E7E20">
        <w:rPr>
          <w:rFonts w:eastAsia="Times New Roman"/>
        </w:rPr>
        <w:t>.</w:t>
      </w:r>
    </w:p>
    <w:p w14:paraId="1B9ABF8A" w14:textId="77777777" w:rsidR="003C7B6B" w:rsidRDefault="003C7B6B">
      <w:pPr>
        <w:suppressAutoHyphens w:val="0"/>
        <w:spacing w:line="240" w:lineRule="auto"/>
        <w:textAlignment w:val="auto"/>
        <w:rPr>
          <w:b/>
          <w:bCs/>
          <w:color w:val="000000"/>
        </w:rPr>
      </w:pPr>
    </w:p>
    <w:p w14:paraId="1B9ABF8B" w14:textId="77777777" w:rsidR="003C7B6B" w:rsidRDefault="003C7B6B">
      <w:pPr>
        <w:suppressAutoHyphens w:val="0"/>
        <w:spacing w:line="240" w:lineRule="auto"/>
        <w:textAlignment w:val="auto"/>
        <w:rPr>
          <w:b/>
          <w:bCs/>
          <w:color w:val="000000"/>
        </w:rPr>
      </w:pPr>
    </w:p>
    <w:p w14:paraId="1B9ABF8C" w14:textId="77777777" w:rsidR="003C7B6B" w:rsidRDefault="00471E86">
      <w:pPr>
        <w:suppressAutoHyphens w:val="0"/>
        <w:spacing w:line="240" w:lineRule="auto"/>
        <w:textAlignment w:val="auto"/>
        <w:rPr>
          <w:b/>
          <w:bCs/>
          <w:color w:val="000000"/>
        </w:rPr>
      </w:pPr>
      <w:r>
        <w:rPr>
          <w:b/>
          <w:bCs/>
          <w:color w:val="000000"/>
        </w:rPr>
        <w:t>Abridged/Summary Version</w:t>
      </w:r>
    </w:p>
    <w:p w14:paraId="1B9ABF8D" w14:textId="77777777" w:rsidR="003C7B6B" w:rsidRDefault="003C7B6B">
      <w:pPr>
        <w:suppressAutoHyphens w:val="0"/>
        <w:spacing w:line="240" w:lineRule="auto"/>
        <w:textAlignment w:val="auto"/>
        <w:rPr>
          <w:b/>
          <w:bCs/>
          <w:color w:val="000000"/>
        </w:rPr>
      </w:pPr>
    </w:p>
    <w:p w14:paraId="1B9ABF8F" w14:textId="7FD1C7CF" w:rsidR="003C7B6B" w:rsidRDefault="004E63D1">
      <w:pPr>
        <w:pStyle w:val="ListParagraph"/>
        <w:spacing w:before="240"/>
        <w:ind w:left="360"/>
      </w:pPr>
      <w:r w:rsidRPr="004E63D1">
        <w:t>The following table provides an indicative timeline for the creation of the deliverables, that will be confirmed / updated in line with the Implementation Plan being created by the Supplier within the first 30 days of this Agreement.</w:t>
      </w:r>
    </w:p>
    <w:p w14:paraId="2584095E" w14:textId="77777777" w:rsidR="004E63D1" w:rsidRDefault="004E63D1">
      <w:pPr>
        <w:pStyle w:val="ListParagraph"/>
        <w:spacing w:before="240"/>
        <w:ind w:left="360"/>
      </w:pPr>
    </w:p>
    <w:tbl>
      <w:tblPr>
        <w:tblW w:w="8901" w:type="dxa"/>
        <w:tblInd w:w="720" w:type="dxa"/>
        <w:tblCellMar>
          <w:left w:w="10" w:type="dxa"/>
          <w:right w:w="10" w:type="dxa"/>
        </w:tblCellMar>
        <w:tblLook w:val="0000" w:firstRow="0" w:lastRow="0" w:firstColumn="0" w:lastColumn="0" w:noHBand="0" w:noVBand="0"/>
      </w:tblPr>
      <w:tblGrid>
        <w:gridCol w:w="760"/>
        <w:gridCol w:w="4614"/>
        <w:gridCol w:w="3527"/>
      </w:tblGrid>
      <w:tr w:rsidR="003C7B6B" w14:paraId="1B9ABF93" w14:textId="77777777">
        <w:tc>
          <w:tcPr>
            <w:tcW w:w="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9ABF90" w14:textId="77777777" w:rsidR="003C7B6B" w:rsidRPr="004E63D1" w:rsidRDefault="00471E86">
            <w:pPr>
              <w:rPr>
                <w:b/>
                <w:bCs/>
              </w:rPr>
            </w:pPr>
            <w:r w:rsidRPr="004E63D1">
              <w:rPr>
                <w:b/>
                <w:bCs/>
              </w:rPr>
              <w:t>Ref</w:t>
            </w:r>
          </w:p>
        </w:tc>
        <w:tc>
          <w:tcPr>
            <w:tcW w:w="461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9ABF91" w14:textId="77777777" w:rsidR="003C7B6B" w:rsidRPr="004E63D1" w:rsidRDefault="00471E86">
            <w:pPr>
              <w:rPr>
                <w:b/>
                <w:bCs/>
              </w:rPr>
            </w:pPr>
            <w:r w:rsidRPr="004E63D1">
              <w:rPr>
                <w:b/>
                <w:bCs/>
              </w:rPr>
              <w:t>Key Deliverables and Scope of Work</w:t>
            </w:r>
          </w:p>
        </w:tc>
        <w:tc>
          <w:tcPr>
            <w:tcW w:w="3527" w:type="dxa"/>
            <w:tcBorders>
              <w:top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1B9ABF92" w14:textId="29E72BCF" w:rsidR="003C7B6B" w:rsidRPr="004E63D1" w:rsidRDefault="004E63D1">
            <w:pPr>
              <w:rPr>
                <w:b/>
                <w:bCs/>
                <w:shd w:val="clear" w:color="auto" w:fill="FFFF00"/>
              </w:rPr>
            </w:pPr>
            <w:r w:rsidRPr="004E63D1">
              <w:rPr>
                <w:rFonts w:eastAsia="Times New Roman"/>
                <w:b/>
                <w:bCs/>
                <w:color w:val="000000"/>
              </w:rPr>
              <w:t>I</w:t>
            </w:r>
            <w:r>
              <w:rPr>
                <w:rFonts w:eastAsia="Times New Roman"/>
                <w:b/>
                <w:bCs/>
                <w:color w:val="000000"/>
              </w:rPr>
              <w:t>ndicative Timeline for Delivery</w:t>
            </w:r>
          </w:p>
        </w:tc>
      </w:tr>
      <w:tr w:rsidR="003C7B6B" w14:paraId="1B9ABF97" w14:textId="77777777">
        <w:tc>
          <w:tcPr>
            <w:tcW w:w="7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9ABF94" w14:textId="77777777" w:rsidR="003C7B6B" w:rsidRDefault="00471E86">
            <w:pPr>
              <w:ind w:left="360"/>
            </w:pPr>
            <w:r>
              <w:t>1</w:t>
            </w:r>
          </w:p>
        </w:tc>
        <w:tc>
          <w:tcPr>
            <w:tcW w:w="4614" w:type="dxa"/>
            <w:tcBorders>
              <w:bottom w:val="single" w:sz="8" w:space="0" w:color="000000"/>
              <w:right w:val="single" w:sz="8" w:space="0" w:color="000000"/>
            </w:tcBorders>
            <w:shd w:val="clear" w:color="auto" w:fill="auto"/>
            <w:tcMar>
              <w:top w:w="0" w:type="dxa"/>
              <w:left w:w="108" w:type="dxa"/>
              <w:bottom w:w="0" w:type="dxa"/>
              <w:right w:w="108" w:type="dxa"/>
            </w:tcMar>
          </w:tcPr>
          <w:p w14:paraId="1B9ABF95" w14:textId="77777777" w:rsidR="003C7B6B" w:rsidRPr="004E63D1" w:rsidRDefault="00471E86">
            <w:r w:rsidRPr="004E63D1">
              <w:t>Update the Shared Responsibility Matrix (SRM) to encompasses Crown Hosting and AVS platforms</w:t>
            </w:r>
          </w:p>
        </w:tc>
        <w:tc>
          <w:tcPr>
            <w:tcW w:w="3527" w:type="dxa"/>
            <w:tcBorders>
              <w:bottom w:val="single" w:sz="8" w:space="0" w:color="000000"/>
              <w:right w:val="single" w:sz="8" w:space="0" w:color="000000"/>
            </w:tcBorders>
            <w:shd w:val="clear" w:color="auto" w:fill="auto"/>
            <w:tcMar>
              <w:top w:w="0" w:type="dxa"/>
              <w:left w:w="10" w:type="dxa"/>
              <w:bottom w:w="0" w:type="dxa"/>
              <w:right w:w="10" w:type="dxa"/>
            </w:tcMar>
          </w:tcPr>
          <w:p w14:paraId="1B9ABF96" w14:textId="6A02C715" w:rsidR="003C7B6B" w:rsidRPr="004E63D1" w:rsidRDefault="004E63D1">
            <w:pPr>
              <w:rPr>
                <w:shd w:val="clear" w:color="auto" w:fill="FFFF00"/>
              </w:rPr>
            </w:pPr>
            <w:r>
              <w:t>End April ‘22</w:t>
            </w:r>
          </w:p>
        </w:tc>
      </w:tr>
      <w:tr w:rsidR="004E63D1" w14:paraId="1B9ABF9B" w14:textId="77777777">
        <w:tc>
          <w:tcPr>
            <w:tcW w:w="7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9ABF98" w14:textId="77777777" w:rsidR="004E63D1" w:rsidRDefault="004E63D1" w:rsidP="004E63D1">
            <w:pPr>
              <w:ind w:left="360"/>
              <w:rPr>
                <w:color w:val="000000"/>
              </w:rPr>
            </w:pPr>
            <w:r>
              <w:rPr>
                <w:color w:val="000000"/>
              </w:rPr>
              <w:t>2</w:t>
            </w:r>
          </w:p>
        </w:tc>
        <w:tc>
          <w:tcPr>
            <w:tcW w:w="4614" w:type="dxa"/>
            <w:tcBorders>
              <w:bottom w:val="single" w:sz="8" w:space="0" w:color="000000"/>
              <w:right w:val="single" w:sz="8" w:space="0" w:color="000000"/>
            </w:tcBorders>
            <w:shd w:val="clear" w:color="auto" w:fill="auto"/>
            <w:tcMar>
              <w:top w:w="0" w:type="dxa"/>
              <w:left w:w="108" w:type="dxa"/>
              <w:bottom w:w="0" w:type="dxa"/>
              <w:right w:w="108" w:type="dxa"/>
            </w:tcMar>
          </w:tcPr>
          <w:p w14:paraId="1B9ABF99" w14:textId="45A51AB7" w:rsidR="004E63D1" w:rsidRDefault="004E63D1" w:rsidP="004E63D1">
            <w:r>
              <w:rPr>
                <w:color w:val="000000"/>
              </w:rPr>
              <w:t xml:space="preserve">Design </w:t>
            </w:r>
            <w:r>
              <w:t>Service Wraps (Support Model) required to support the SRM</w:t>
            </w:r>
            <w:r>
              <w:rPr>
                <w:color w:val="000000"/>
              </w:rPr>
              <w:t xml:space="preserve"> and support the implementation of a small number of </w:t>
            </w:r>
            <w:r>
              <w:rPr>
                <w:color w:val="000000"/>
              </w:rPr>
              <w:lastRenderedPageBreak/>
              <w:t>processes (number to be agreed) to maintain in BAU</w:t>
            </w:r>
          </w:p>
        </w:tc>
        <w:tc>
          <w:tcPr>
            <w:tcW w:w="3527" w:type="dxa"/>
            <w:tcBorders>
              <w:bottom w:val="single" w:sz="8" w:space="0" w:color="000000"/>
              <w:right w:val="single" w:sz="8" w:space="0" w:color="000000"/>
            </w:tcBorders>
            <w:shd w:val="clear" w:color="auto" w:fill="auto"/>
            <w:tcMar>
              <w:top w:w="0" w:type="dxa"/>
              <w:left w:w="10" w:type="dxa"/>
              <w:bottom w:w="0" w:type="dxa"/>
              <w:right w:w="10" w:type="dxa"/>
            </w:tcMar>
          </w:tcPr>
          <w:p w14:paraId="1B9ABF9A" w14:textId="6F667E6E" w:rsidR="004E63D1" w:rsidRDefault="004E63D1" w:rsidP="004E63D1">
            <w:pPr>
              <w:rPr>
                <w:color w:val="000000"/>
                <w:shd w:val="clear" w:color="auto" w:fill="FFFF00"/>
              </w:rPr>
            </w:pPr>
            <w:r>
              <w:lastRenderedPageBreak/>
              <w:t>End May ‘22</w:t>
            </w:r>
          </w:p>
        </w:tc>
      </w:tr>
      <w:tr w:rsidR="004E63D1" w14:paraId="1B9ABF9F" w14:textId="77777777">
        <w:tc>
          <w:tcPr>
            <w:tcW w:w="7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9ABF9C" w14:textId="77777777" w:rsidR="004E63D1" w:rsidRDefault="004E63D1" w:rsidP="004E63D1">
            <w:pPr>
              <w:ind w:left="360"/>
            </w:pPr>
            <w:r>
              <w:t>3</w:t>
            </w:r>
          </w:p>
        </w:tc>
        <w:tc>
          <w:tcPr>
            <w:tcW w:w="4614" w:type="dxa"/>
            <w:tcBorders>
              <w:bottom w:val="single" w:sz="8" w:space="0" w:color="000000"/>
              <w:right w:val="single" w:sz="8" w:space="0" w:color="000000"/>
            </w:tcBorders>
            <w:shd w:val="clear" w:color="auto" w:fill="auto"/>
            <w:tcMar>
              <w:top w:w="0" w:type="dxa"/>
              <w:left w:w="108" w:type="dxa"/>
              <w:bottom w:w="0" w:type="dxa"/>
              <w:right w:w="108" w:type="dxa"/>
            </w:tcMar>
          </w:tcPr>
          <w:p w14:paraId="1B9ABF9D" w14:textId="6A629764" w:rsidR="004E63D1" w:rsidRDefault="004E63D1" w:rsidP="004E63D1">
            <w:r>
              <w:t xml:space="preserve">Clarify all interfaces and handoffs between all parties (suppliers and internal) </w:t>
            </w:r>
            <w:r>
              <w:rPr>
                <w:color w:val="000000"/>
              </w:rPr>
              <w:t>within the Support Model</w:t>
            </w:r>
          </w:p>
        </w:tc>
        <w:tc>
          <w:tcPr>
            <w:tcW w:w="3527" w:type="dxa"/>
            <w:tcBorders>
              <w:bottom w:val="single" w:sz="8" w:space="0" w:color="000000"/>
              <w:right w:val="single" w:sz="8" w:space="0" w:color="000000"/>
            </w:tcBorders>
            <w:shd w:val="clear" w:color="auto" w:fill="auto"/>
            <w:tcMar>
              <w:top w:w="0" w:type="dxa"/>
              <w:left w:w="10" w:type="dxa"/>
              <w:bottom w:w="0" w:type="dxa"/>
              <w:right w:w="10" w:type="dxa"/>
            </w:tcMar>
          </w:tcPr>
          <w:p w14:paraId="1B9ABF9E" w14:textId="211FB0E7" w:rsidR="004E63D1" w:rsidRDefault="004E63D1" w:rsidP="004E63D1">
            <w:pPr>
              <w:rPr>
                <w:shd w:val="clear" w:color="auto" w:fill="FFFF00"/>
              </w:rPr>
            </w:pPr>
            <w:r>
              <w:t>End May ‘22</w:t>
            </w:r>
          </w:p>
        </w:tc>
      </w:tr>
      <w:tr w:rsidR="004E63D1" w14:paraId="1B9ABFA6" w14:textId="77777777">
        <w:tc>
          <w:tcPr>
            <w:tcW w:w="7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9ABFA0" w14:textId="77777777" w:rsidR="004E63D1" w:rsidRDefault="004E63D1" w:rsidP="004E63D1">
            <w:pPr>
              <w:ind w:left="360"/>
            </w:pPr>
            <w:r>
              <w:t>4</w:t>
            </w:r>
          </w:p>
        </w:tc>
        <w:tc>
          <w:tcPr>
            <w:tcW w:w="4614" w:type="dxa"/>
            <w:tcBorders>
              <w:bottom w:val="single" w:sz="8" w:space="0" w:color="000000"/>
              <w:right w:val="single" w:sz="8" w:space="0" w:color="000000"/>
            </w:tcBorders>
            <w:shd w:val="clear" w:color="auto" w:fill="auto"/>
            <w:tcMar>
              <w:top w:w="0" w:type="dxa"/>
              <w:left w:w="108" w:type="dxa"/>
              <w:bottom w:w="0" w:type="dxa"/>
              <w:right w:w="108" w:type="dxa"/>
            </w:tcMar>
          </w:tcPr>
          <w:p w14:paraId="1B9ABFA1" w14:textId="69FEC01C" w:rsidR="004E63D1" w:rsidRDefault="004E63D1" w:rsidP="004E63D1">
            <w:r>
              <w:t>Update/Enhance Operating Models to deliver service</w:t>
            </w:r>
          </w:p>
          <w:p w14:paraId="1B9ABFA2" w14:textId="6D1CE602" w:rsidR="004E63D1" w:rsidRDefault="004E63D1" w:rsidP="004E63D1">
            <w:pPr>
              <w:pStyle w:val="ListParagraph"/>
              <w:numPr>
                <w:ilvl w:val="0"/>
                <w:numId w:val="6"/>
              </w:numPr>
              <w:suppressAutoHyphens w:val="0"/>
              <w:spacing w:line="240" w:lineRule="auto"/>
              <w:textAlignment w:val="auto"/>
              <w:rPr>
                <w:rFonts w:eastAsia="Times New Roman"/>
              </w:rPr>
            </w:pPr>
            <w:r>
              <w:rPr>
                <w:rFonts w:eastAsia="Times New Roman"/>
              </w:rPr>
              <w:t>Design holistic HMRC service strategy and service design for Crown hosting and AVS aligned to public cloud approach</w:t>
            </w:r>
          </w:p>
          <w:p w14:paraId="1B9ABFA3" w14:textId="77777777" w:rsidR="004E63D1" w:rsidRDefault="004E63D1" w:rsidP="004E63D1">
            <w:pPr>
              <w:pStyle w:val="ListParagraph"/>
              <w:numPr>
                <w:ilvl w:val="0"/>
                <w:numId w:val="6"/>
              </w:numPr>
              <w:suppressAutoHyphens w:val="0"/>
              <w:spacing w:line="240" w:lineRule="auto"/>
              <w:textAlignment w:val="auto"/>
              <w:rPr>
                <w:rFonts w:eastAsia="Times New Roman"/>
              </w:rPr>
            </w:pPr>
            <w:r>
              <w:rPr>
                <w:rFonts w:eastAsia="Times New Roman"/>
              </w:rPr>
              <w:t>Support evolution of legacy datacentre approach to private cloud</w:t>
            </w:r>
          </w:p>
          <w:p w14:paraId="1B9ABFA4" w14:textId="08B0D3E4" w:rsidR="004E63D1" w:rsidRDefault="004E63D1" w:rsidP="004E63D1">
            <w:pPr>
              <w:pStyle w:val="ListParagraph"/>
              <w:numPr>
                <w:ilvl w:val="0"/>
                <w:numId w:val="6"/>
              </w:numPr>
              <w:suppressAutoHyphens w:val="0"/>
              <w:spacing w:line="240" w:lineRule="auto"/>
              <w:textAlignment w:val="auto"/>
              <w:rPr>
                <w:rFonts w:eastAsia="Times New Roman"/>
              </w:rPr>
            </w:pPr>
            <w:r>
              <w:rPr>
                <w:rFonts w:eastAsia="Times New Roman"/>
              </w:rPr>
              <w:t>Design harmonised processes between private and public cloud</w:t>
            </w:r>
          </w:p>
        </w:tc>
        <w:tc>
          <w:tcPr>
            <w:tcW w:w="3527" w:type="dxa"/>
            <w:tcBorders>
              <w:bottom w:val="single" w:sz="8" w:space="0" w:color="000000"/>
              <w:right w:val="single" w:sz="8" w:space="0" w:color="000000"/>
            </w:tcBorders>
            <w:shd w:val="clear" w:color="auto" w:fill="auto"/>
            <w:tcMar>
              <w:top w:w="0" w:type="dxa"/>
              <w:left w:w="10" w:type="dxa"/>
              <w:bottom w:w="0" w:type="dxa"/>
              <w:right w:w="10" w:type="dxa"/>
            </w:tcMar>
          </w:tcPr>
          <w:p w14:paraId="1B9ABFA5" w14:textId="6446BD28" w:rsidR="004E63D1" w:rsidRDefault="004E63D1" w:rsidP="004E63D1">
            <w:pPr>
              <w:rPr>
                <w:shd w:val="clear" w:color="auto" w:fill="FFFF00"/>
              </w:rPr>
            </w:pPr>
            <w:r>
              <w:t>End Jun ‘22</w:t>
            </w:r>
          </w:p>
        </w:tc>
      </w:tr>
      <w:tr w:rsidR="004E63D1" w14:paraId="1B9ABFAA" w14:textId="77777777">
        <w:tc>
          <w:tcPr>
            <w:tcW w:w="7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9ABFA7" w14:textId="77777777" w:rsidR="004E63D1" w:rsidRDefault="004E63D1" w:rsidP="004E63D1">
            <w:pPr>
              <w:jc w:val="center"/>
            </w:pPr>
            <w:r>
              <w:t>5</w:t>
            </w:r>
          </w:p>
        </w:tc>
        <w:tc>
          <w:tcPr>
            <w:tcW w:w="4614" w:type="dxa"/>
            <w:tcBorders>
              <w:bottom w:val="single" w:sz="8" w:space="0" w:color="000000"/>
              <w:right w:val="single" w:sz="8" w:space="0" w:color="000000"/>
            </w:tcBorders>
            <w:shd w:val="clear" w:color="auto" w:fill="auto"/>
            <w:tcMar>
              <w:top w:w="0" w:type="dxa"/>
              <w:left w:w="108" w:type="dxa"/>
              <w:bottom w:w="0" w:type="dxa"/>
              <w:right w:w="108" w:type="dxa"/>
            </w:tcMar>
          </w:tcPr>
          <w:p w14:paraId="1B9ABFA8" w14:textId="69914E65" w:rsidR="004E63D1" w:rsidRDefault="004E63D1" w:rsidP="004E63D1">
            <w:r>
              <w:t xml:space="preserve">Ensure </w:t>
            </w:r>
            <w:r>
              <w:rPr>
                <w:color w:val="000000"/>
              </w:rPr>
              <w:t xml:space="preserve">a </w:t>
            </w:r>
            <w:r>
              <w:t xml:space="preserve">catalogue of available and approved products is established and maintainable for each hosting </w:t>
            </w:r>
            <w:r w:rsidR="000D1D78">
              <w:t>model</w:t>
            </w:r>
          </w:p>
        </w:tc>
        <w:tc>
          <w:tcPr>
            <w:tcW w:w="3527" w:type="dxa"/>
            <w:tcBorders>
              <w:bottom w:val="single" w:sz="8" w:space="0" w:color="000000"/>
              <w:right w:val="single" w:sz="8" w:space="0" w:color="000000"/>
            </w:tcBorders>
            <w:shd w:val="clear" w:color="auto" w:fill="auto"/>
            <w:tcMar>
              <w:top w:w="0" w:type="dxa"/>
              <w:left w:w="10" w:type="dxa"/>
              <w:bottom w:w="0" w:type="dxa"/>
              <w:right w:w="10" w:type="dxa"/>
            </w:tcMar>
          </w:tcPr>
          <w:p w14:paraId="1B9ABFA9" w14:textId="1C465E06" w:rsidR="004E63D1" w:rsidRDefault="004E63D1" w:rsidP="004E63D1">
            <w:pPr>
              <w:rPr>
                <w:shd w:val="clear" w:color="auto" w:fill="FFFF00"/>
              </w:rPr>
            </w:pPr>
            <w:r>
              <w:t>Mid Sept ‘22</w:t>
            </w:r>
          </w:p>
        </w:tc>
      </w:tr>
      <w:tr w:rsidR="004E63D1" w14:paraId="1B9ABFB1" w14:textId="77777777">
        <w:tc>
          <w:tcPr>
            <w:tcW w:w="7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9ABFAB" w14:textId="77777777" w:rsidR="004E63D1" w:rsidRDefault="004E63D1" w:rsidP="004E63D1">
            <w:pPr>
              <w:ind w:left="360"/>
            </w:pPr>
            <w:r>
              <w:t>6</w:t>
            </w:r>
          </w:p>
        </w:tc>
        <w:tc>
          <w:tcPr>
            <w:tcW w:w="4614" w:type="dxa"/>
            <w:tcBorders>
              <w:bottom w:val="single" w:sz="8" w:space="0" w:color="000000"/>
              <w:right w:val="single" w:sz="8" w:space="0" w:color="000000"/>
            </w:tcBorders>
            <w:shd w:val="clear" w:color="auto" w:fill="auto"/>
            <w:tcMar>
              <w:top w:w="0" w:type="dxa"/>
              <w:left w:w="108" w:type="dxa"/>
              <w:bottom w:w="0" w:type="dxa"/>
              <w:right w:w="108" w:type="dxa"/>
            </w:tcMar>
          </w:tcPr>
          <w:p w14:paraId="1B9ABFAC" w14:textId="77777777" w:rsidR="004E63D1" w:rsidRDefault="004E63D1" w:rsidP="004E63D1">
            <w:r>
              <w:t>Governance</w:t>
            </w:r>
          </w:p>
          <w:p w14:paraId="1B9ABFAD" w14:textId="77777777" w:rsidR="004E63D1" w:rsidRDefault="004E63D1" w:rsidP="004E63D1">
            <w:pPr>
              <w:pStyle w:val="ListParagraph"/>
              <w:numPr>
                <w:ilvl w:val="0"/>
                <w:numId w:val="7"/>
              </w:numPr>
              <w:suppressAutoHyphens w:val="0"/>
              <w:spacing w:line="240" w:lineRule="auto"/>
              <w:textAlignment w:val="auto"/>
              <w:rPr>
                <w:rFonts w:eastAsia="Times New Roman"/>
              </w:rPr>
            </w:pPr>
            <w:r>
              <w:rPr>
                <w:rFonts w:eastAsia="Times New Roman"/>
              </w:rPr>
              <w:t>Refine governance approach for private cloud including alignment to HMRC change management processes</w:t>
            </w:r>
          </w:p>
          <w:p w14:paraId="1B9ABFAE" w14:textId="77777777" w:rsidR="004E63D1" w:rsidRDefault="004E63D1" w:rsidP="004E63D1">
            <w:pPr>
              <w:pStyle w:val="ListParagraph"/>
              <w:numPr>
                <w:ilvl w:val="0"/>
                <w:numId w:val="7"/>
              </w:numPr>
              <w:suppressAutoHyphens w:val="0"/>
              <w:spacing w:line="240" w:lineRule="auto"/>
              <w:textAlignment w:val="auto"/>
              <w:rPr>
                <w:rFonts w:eastAsia="Times New Roman"/>
              </w:rPr>
            </w:pPr>
            <w:r>
              <w:rPr>
                <w:rFonts w:eastAsia="Times New Roman"/>
              </w:rPr>
              <w:t>Facilitate service introduction activities</w:t>
            </w:r>
          </w:p>
          <w:p w14:paraId="1B9ABFAF" w14:textId="77777777" w:rsidR="004E63D1" w:rsidRDefault="004E63D1" w:rsidP="004E63D1">
            <w:pPr>
              <w:pStyle w:val="ListParagraph"/>
              <w:numPr>
                <w:ilvl w:val="0"/>
                <w:numId w:val="7"/>
              </w:numPr>
              <w:suppressAutoHyphens w:val="0"/>
              <w:spacing w:line="240" w:lineRule="auto"/>
              <w:textAlignment w:val="auto"/>
              <w:rPr>
                <w:rFonts w:eastAsia="Times New Roman"/>
              </w:rPr>
            </w:pPr>
            <w:r>
              <w:rPr>
                <w:rFonts w:eastAsia="Times New Roman"/>
              </w:rPr>
              <w:t>Establish governance for AVS</w:t>
            </w:r>
          </w:p>
        </w:tc>
        <w:tc>
          <w:tcPr>
            <w:tcW w:w="3527" w:type="dxa"/>
            <w:tcBorders>
              <w:bottom w:val="single" w:sz="8" w:space="0" w:color="000000"/>
              <w:right w:val="single" w:sz="8" w:space="0" w:color="000000"/>
            </w:tcBorders>
            <w:shd w:val="clear" w:color="auto" w:fill="auto"/>
            <w:tcMar>
              <w:top w:w="0" w:type="dxa"/>
              <w:left w:w="10" w:type="dxa"/>
              <w:bottom w:w="0" w:type="dxa"/>
              <w:right w:w="10" w:type="dxa"/>
            </w:tcMar>
          </w:tcPr>
          <w:p w14:paraId="1B9ABFB0" w14:textId="51B786D9" w:rsidR="004E63D1" w:rsidRPr="004E63D1" w:rsidRDefault="00C25E9C" w:rsidP="004E63D1">
            <w:pPr>
              <w:rPr>
                <w:shd w:val="clear" w:color="auto" w:fill="FFFF00"/>
              </w:rPr>
            </w:pPr>
            <w:r>
              <w:t>Ongoing</w:t>
            </w:r>
          </w:p>
        </w:tc>
      </w:tr>
    </w:tbl>
    <w:p w14:paraId="1B9ABFB2" w14:textId="77777777" w:rsidR="003C7B6B" w:rsidRDefault="00471E86">
      <w:pPr>
        <w:pStyle w:val="Heading2"/>
      </w:pPr>
      <w:bookmarkStart w:id="4" w:name="_Toc33176234"/>
      <w:r>
        <w:t>Schedule 2: Call-Off Contract charges</w:t>
      </w:r>
      <w:bookmarkEnd w:id="4"/>
    </w:p>
    <w:p w14:paraId="1B9ABFB3" w14:textId="77777777" w:rsidR="003C7B6B" w:rsidRDefault="00471E86">
      <w:r>
        <w:t xml:space="preserve">For each individual Service, the applicable Call-Off Contract Charges (in accordance with the Supplier’s Digital Marketplace pricing document) can’t be amended during the term of the Call-Off Contract. </w:t>
      </w:r>
    </w:p>
    <w:p w14:paraId="1B9ABFB4" w14:textId="77777777" w:rsidR="003C7B6B" w:rsidRDefault="003C7B6B"/>
    <w:p w14:paraId="1B9ABFB5" w14:textId="77777777" w:rsidR="003C7B6B" w:rsidRDefault="00471E86">
      <w:r>
        <w:t xml:space="preserve">The detailed Charges breakdown for the provision of Services during the Term will include: HMRC will be charged at the below day rate. The Supplier’s personnel will work a maximum of 20 days per month. Any additional day work will require prior authorisation in writing from the Authority. </w:t>
      </w:r>
    </w:p>
    <w:p w14:paraId="1B9ABFB6" w14:textId="77777777" w:rsidR="003C7B6B" w:rsidRDefault="003C7B6B"/>
    <w:p w14:paraId="1B9ABFB7" w14:textId="77777777" w:rsidR="003C7B6B" w:rsidRDefault="00471E86">
      <w:r>
        <w:t>The Supplier will provide a breakdown of works and billable hours on a weekly basis for review and tracking purposes.</w:t>
      </w:r>
    </w:p>
    <w:p w14:paraId="1B9ABFB8" w14:textId="77777777" w:rsidR="003C7B6B" w:rsidRDefault="003C7B6B"/>
    <w:p w14:paraId="1B9ABFB9" w14:textId="77777777" w:rsidR="003C7B6B" w:rsidRDefault="00471E86">
      <w:r>
        <w:t>Invoices will be submitted monthly through HMRCs electronic payment system. This contract is capped at £460,000.00.</w:t>
      </w:r>
    </w:p>
    <w:p w14:paraId="1B9ABFBA" w14:textId="77777777" w:rsidR="003C7B6B" w:rsidRDefault="003C7B6B">
      <w:pPr>
        <w:rPr>
          <w:b/>
          <w:bCs/>
          <w:u w:val="single"/>
        </w:rPr>
      </w:pPr>
    </w:p>
    <w:p w14:paraId="1B9ABFBB" w14:textId="77777777" w:rsidR="003C7B6B" w:rsidRDefault="00471E86">
      <w:pPr>
        <w:rPr>
          <w:b/>
          <w:bCs/>
          <w:u w:val="single"/>
        </w:rPr>
      </w:pPr>
      <w:r>
        <w:rPr>
          <w:b/>
          <w:bCs/>
          <w:u w:val="single"/>
        </w:rPr>
        <w:t>Standard Rate Card</w:t>
      </w:r>
    </w:p>
    <w:p w14:paraId="1B9ABFBC" w14:textId="77777777" w:rsidR="003C7B6B" w:rsidRDefault="003C7B6B"/>
    <w:tbl>
      <w:tblPr>
        <w:tblW w:w="9631" w:type="dxa"/>
        <w:tblCellMar>
          <w:left w:w="10" w:type="dxa"/>
          <w:right w:w="10" w:type="dxa"/>
        </w:tblCellMar>
        <w:tblLook w:val="0000" w:firstRow="0" w:lastRow="0" w:firstColumn="0" w:lastColumn="0" w:noHBand="0" w:noVBand="0"/>
      </w:tblPr>
      <w:tblGrid>
        <w:gridCol w:w="1355"/>
        <w:gridCol w:w="1250"/>
        <w:gridCol w:w="1283"/>
        <w:gridCol w:w="1694"/>
        <w:gridCol w:w="1450"/>
        <w:gridCol w:w="1450"/>
        <w:gridCol w:w="1149"/>
      </w:tblGrid>
      <w:tr w:rsidR="003C7B6B" w14:paraId="1B9ABFC4" w14:textId="77777777">
        <w:trPr>
          <w:trHeight w:val="1550"/>
        </w:trPr>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BD" w14:textId="77777777" w:rsidR="003C7B6B" w:rsidRDefault="003C7B6B">
            <w:pPr>
              <w:spacing w:line="240" w:lineRule="auto"/>
              <w:rPr>
                <w:b/>
                <w:bCs/>
                <w:sz w:val="20"/>
                <w:szCs w:val="20"/>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BE" w14:textId="77777777" w:rsidR="003C7B6B" w:rsidRDefault="00471E86">
            <w:pPr>
              <w:spacing w:line="240" w:lineRule="auto"/>
              <w:rPr>
                <w:b/>
                <w:bCs/>
                <w:sz w:val="20"/>
                <w:szCs w:val="20"/>
              </w:rPr>
            </w:pPr>
            <w:r>
              <w:rPr>
                <w:b/>
                <w:bCs/>
                <w:sz w:val="20"/>
                <w:szCs w:val="20"/>
              </w:rPr>
              <w:t>Strategy and agriculture</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BF" w14:textId="77777777" w:rsidR="003C7B6B" w:rsidRDefault="00471E86">
            <w:pPr>
              <w:spacing w:line="240" w:lineRule="auto"/>
              <w:rPr>
                <w:b/>
                <w:bCs/>
                <w:sz w:val="20"/>
                <w:szCs w:val="20"/>
              </w:rPr>
            </w:pPr>
            <w:r>
              <w:rPr>
                <w:b/>
                <w:bCs/>
                <w:sz w:val="20"/>
                <w:szCs w:val="20"/>
              </w:rPr>
              <w:t>Business change</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C0" w14:textId="77777777" w:rsidR="003C7B6B" w:rsidRDefault="00471E86">
            <w:pPr>
              <w:spacing w:line="240" w:lineRule="auto"/>
              <w:rPr>
                <w:b/>
                <w:bCs/>
                <w:sz w:val="20"/>
                <w:szCs w:val="20"/>
              </w:rPr>
            </w:pPr>
            <w:r>
              <w:rPr>
                <w:b/>
                <w:bCs/>
                <w:sz w:val="20"/>
                <w:szCs w:val="20"/>
              </w:rPr>
              <w:t>Solution development and implementation</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C1" w14:textId="77777777" w:rsidR="003C7B6B" w:rsidRDefault="00471E86">
            <w:pPr>
              <w:spacing w:line="240" w:lineRule="auto"/>
              <w:rPr>
                <w:b/>
                <w:bCs/>
                <w:sz w:val="20"/>
                <w:szCs w:val="20"/>
              </w:rPr>
            </w:pPr>
            <w:r>
              <w:rPr>
                <w:b/>
                <w:bCs/>
                <w:sz w:val="20"/>
                <w:szCs w:val="20"/>
              </w:rPr>
              <w:t>Service management</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C2" w14:textId="77777777" w:rsidR="003C7B6B" w:rsidRDefault="00471E86">
            <w:pPr>
              <w:spacing w:line="240" w:lineRule="auto"/>
              <w:rPr>
                <w:b/>
                <w:bCs/>
                <w:sz w:val="20"/>
                <w:szCs w:val="20"/>
              </w:rPr>
            </w:pPr>
            <w:r>
              <w:rPr>
                <w:b/>
                <w:bCs/>
                <w:sz w:val="20"/>
                <w:szCs w:val="20"/>
              </w:rPr>
              <w:t>Procurement and management support</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C3" w14:textId="77777777" w:rsidR="003C7B6B" w:rsidRDefault="00471E86">
            <w:pPr>
              <w:spacing w:line="240" w:lineRule="auto"/>
              <w:rPr>
                <w:b/>
                <w:bCs/>
                <w:sz w:val="20"/>
                <w:szCs w:val="20"/>
              </w:rPr>
            </w:pPr>
            <w:r>
              <w:rPr>
                <w:b/>
                <w:bCs/>
                <w:sz w:val="20"/>
                <w:szCs w:val="20"/>
              </w:rPr>
              <w:t>Client interface</w:t>
            </w:r>
          </w:p>
        </w:tc>
      </w:tr>
      <w:tr w:rsidR="00F4105E" w14:paraId="1B9ABFCC" w14:textId="77777777">
        <w:trPr>
          <w:trHeight w:val="272"/>
        </w:trPr>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C5" w14:textId="77777777" w:rsidR="00F4105E" w:rsidRDefault="00F4105E" w:rsidP="00F4105E">
            <w:pPr>
              <w:spacing w:line="240" w:lineRule="auto"/>
              <w:rPr>
                <w:b/>
                <w:bCs/>
                <w:sz w:val="20"/>
                <w:szCs w:val="20"/>
              </w:rPr>
            </w:pPr>
            <w:r>
              <w:rPr>
                <w:b/>
                <w:bCs/>
                <w:sz w:val="20"/>
                <w:szCs w:val="20"/>
              </w:rPr>
              <w:t>1. Follow</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C6" w14:textId="2A35B0F1" w:rsidR="00F4105E" w:rsidRDefault="00F4105E" w:rsidP="00F4105E">
            <w:pPr>
              <w:spacing w:line="240" w:lineRule="auto"/>
              <w:jc w:val="center"/>
              <w:rPr>
                <w:sz w:val="20"/>
                <w:szCs w:val="20"/>
              </w:rPr>
            </w:pPr>
            <w:r w:rsidRPr="003934CF">
              <w:rPr>
                <w:sz w:val="20"/>
                <w:szCs w:val="20"/>
                <w:highlight w:val="black"/>
              </w:rPr>
              <w:t>XXXX</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C7" w14:textId="5B760E97" w:rsidR="00F4105E" w:rsidRDefault="00F4105E" w:rsidP="00F4105E">
            <w:pPr>
              <w:spacing w:line="240" w:lineRule="auto"/>
              <w:jc w:val="center"/>
              <w:rPr>
                <w:sz w:val="20"/>
                <w:szCs w:val="20"/>
              </w:rPr>
            </w:pPr>
            <w:r w:rsidRPr="003934CF">
              <w:rPr>
                <w:sz w:val="20"/>
                <w:szCs w:val="20"/>
                <w:highlight w:val="black"/>
              </w:rPr>
              <w:t>XXXX</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C8" w14:textId="00B97FA9" w:rsidR="00F4105E" w:rsidRDefault="00F4105E" w:rsidP="00F4105E">
            <w:pPr>
              <w:spacing w:line="240" w:lineRule="auto"/>
              <w:jc w:val="center"/>
              <w:rPr>
                <w:sz w:val="20"/>
                <w:szCs w:val="20"/>
              </w:rPr>
            </w:pPr>
            <w:r w:rsidRPr="003934CF">
              <w:rPr>
                <w:sz w:val="20"/>
                <w:szCs w:val="20"/>
                <w:highlight w:val="black"/>
              </w:rPr>
              <w:t>XXXX</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C9" w14:textId="7CEF8AEE" w:rsidR="00F4105E" w:rsidRDefault="00F4105E" w:rsidP="00F4105E">
            <w:pPr>
              <w:spacing w:line="240" w:lineRule="auto"/>
              <w:jc w:val="center"/>
              <w:rPr>
                <w:sz w:val="20"/>
                <w:szCs w:val="20"/>
              </w:rPr>
            </w:pPr>
            <w:r w:rsidRPr="003934CF">
              <w:rPr>
                <w:sz w:val="20"/>
                <w:szCs w:val="20"/>
                <w:highlight w:val="black"/>
              </w:rPr>
              <w:t>XXXX</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CA" w14:textId="4B98DB86" w:rsidR="00F4105E" w:rsidRDefault="00F4105E" w:rsidP="00F4105E">
            <w:pPr>
              <w:spacing w:line="240" w:lineRule="auto"/>
              <w:jc w:val="center"/>
              <w:rPr>
                <w:sz w:val="20"/>
                <w:szCs w:val="20"/>
              </w:rPr>
            </w:pPr>
            <w:r w:rsidRPr="003934CF">
              <w:rPr>
                <w:sz w:val="20"/>
                <w:szCs w:val="20"/>
                <w:highlight w:val="black"/>
              </w:rPr>
              <w:t>XXXX</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CB" w14:textId="774816CD" w:rsidR="00F4105E" w:rsidRDefault="00F4105E" w:rsidP="00F4105E">
            <w:pPr>
              <w:spacing w:line="240" w:lineRule="auto"/>
              <w:jc w:val="center"/>
              <w:rPr>
                <w:sz w:val="20"/>
                <w:szCs w:val="20"/>
              </w:rPr>
            </w:pPr>
            <w:r w:rsidRPr="003934CF">
              <w:rPr>
                <w:sz w:val="20"/>
                <w:szCs w:val="20"/>
                <w:highlight w:val="black"/>
              </w:rPr>
              <w:t>XXXX</w:t>
            </w:r>
          </w:p>
        </w:tc>
      </w:tr>
      <w:tr w:rsidR="00F4105E" w14:paraId="1B9ABFD4" w14:textId="77777777">
        <w:trPr>
          <w:trHeight w:val="277"/>
        </w:trPr>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CD" w14:textId="77777777" w:rsidR="00F4105E" w:rsidRDefault="00F4105E" w:rsidP="00F4105E">
            <w:pPr>
              <w:spacing w:line="240" w:lineRule="auto"/>
              <w:rPr>
                <w:b/>
                <w:bCs/>
                <w:sz w:val="20"/>
                <w:szCs w:val="20"/>
              </w:rPr>
            </w:pPr>
            <w:r>
              <w:rPr>
                <w:b/>
                <w:bCs/>
                <w:sz w:val="20"/>
                <w:szCs w:val="20"/>
              </w:rPr>
              <w:lastRenderedPageBreak/>
              <w:t>2. Assist</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CE" w14:textId="5802B4DC" w:rsidR="00F4105E" w:rsidRDefault="00F4105E" w:rsidP="00F4105E">
            <w:pPr>
              <w:spacing w:line="240" w:lineRule="auto"/>
              <w:jc w:val="center"/>
              <w:rPr>
                <w:sz w:val="20"/>
                <w:szCs w:val="20"/>
              </w:rPr>
            </w:pPr>
            <w:r w:rsidRPr="003934CF">
              <w:rPr>
                <w:sz w:val="20"/>
                <w:szCs w:val="20"/>
                <w:highlight w:val="black"/>
              </w:rPr>
              <w:t>XXXX</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CF" w14:textId="27A631E3" w:rsidR="00F4105E" w:rsidRDefault="00F4105E" w:rsidP="00F4105E">
            <w:pPr>
              <w:spacing w:line="240" w:lineRule="auto"/>
              <w:jc w:val="center"/>
              <w:rPr>
                <w:sz w:val="20"/>
                <w:szCs w:val="20"/>
              </w:rPr>
            </w:pPr>
            <w:r w:rsidRPr="003934CF">
              <w:rPr>
                <w:sz w:val="20"/>
                <w:szCs w:val="20"/>
                <w:highlight w:val="black"/>
              </w:rPr>
              <w:t>XXXX</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D0" w14:textId="61B4A868" w:rsidR="00F4105E" w:rsidRDefault="00F4105E" w:rsidP="00F4105E">
            <w:pPr>
              <w:spacing w:line="240" w:lineRule="auto"/>
              <w:jc w:val="center"/>
              <w:rPr>
                <w:sz w:val="20"/>
                <w:szCs w:val="20"/>
              </w:rPr>
            </w:pPr>
            <w:r w:rsidRPr="003934CF">
              <w:rPr>
                <w:sz w:val="20"/>
                <w:szCs w:val="20"/>
                <w:highlight w:val="black"/>
              </w:rPr>
              <w:t>XXXX</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D1" w14:textId="18D7EC08" w:rsidR="00F4105E" w:rsidRDefault="00F4105E" w:rsidP="00F4105E">
            <w:pPr>
              <w:spacing w:line="240" w:lineRule="auto"/>
              <w:jc w:val="center"/>
              <w:rPr>
                <w:sz w:val="20"/>
                <w:szCs w:val="20"/>
              </w:rPr>
            </w:pPr>
            <w:r w:rsidRPr="003934CF">
              <w:rPr>
                <w:sz w:val="20"/>
                <w:szCs w:val="20"/>
                <w:highlight w:val="black"/>
              </w:rPr>
              <w:t>XXXX</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D2" w14:textId="71DF1757" w:rsidR="00F4105E" w:rsidRDefault="00F4105E" w:rsidP="00F4105E">
            <w:pPr>
              <w:spacing w:line="240" w:lineRule="auto"/>
              <w:jc w:val="center"/>
              <w:rPr>
                <w:sz w:val="20"/>
                <w:szCs w:val="20"/>
              </w:rPr>
            </w:pPr>
            <w:r w:rsidRPr="003934CF">
              <w:rPr>
                <w:sz w:val="20"/>
                <w:szCs w:val="20"/>
                <w:highlight w:val="black"/>
              </w:rPr>
              <w:t>XXXX</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D3" w14:textId="40BA01F9" w:rsidR="00F4105E" w:rsidRDefault="00F4105E" w:rsidP="00F4105E">
            <w:pPr>
              <w:spacing w:line="240" w:lineRule="auto"/>
              <w:jc w:val="center"/>
              <w:rPr>
                <w:sz w:val="20"/>
                <w:szCs w:val="20"/>
              </w:rPr>
            </w:pPr>
            <w:r w:rsidRPr="003934CF">
              <w:rPr>
                <w:sz w:val="20"/>
                <w:szCs w:val="20"/>
                <w:highlight w:val="black"/>
              </w:rPr>
              <w:t>XXXX</w:t>
            </w:r>
          </w:p>
        </w:tc>
      </w:tr>
      <w:tr w:rsidR="00F4105E" w14:paraId="1B9ABFDC" w14:textId="77777777">
        <w:trPr>
          <w:trHeight w:val="143"/>
        </w:trPr>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D5" w14:textId="77777777" w:rsidR="00F4105E" w:rsidRDefault="00F4105E" w:rsidP="00F4105E">
            <w:pPr>
              <w:spacing w:line="240" w:lineRule="auto"/>
              <w:rPr>
                <w:b/>
                <w:bCs/>
                <w:sz w:val="20"/>
                <w:szCs w:val="20"/>
              </w:rPr>
            </w:pPr>
            <w:r>
              <w:rPr>
                <w:b/>
                <w:bCs/>
                <w:sz w:val="20"/>
                <w:szCs w:val="20"/>
              </w:rPr>
              <w:t>3. Apply</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D6" w14:textId="3002E70B" w:rsidR="00F4105E" w:rsidRDefault="00F4105E" w:rsidP="00F4105E">
            <w:pPr>
              <w:spacing w:line="240" w:lineRule="auto"/>
              <w:jc w:val="center"/>
              <w:rPr>
                <w:sz w:val="20"/>
                <w:szCs w:val="20"/>
              </w:rPr>
            </w:pPr>
            <w:r w:rsidRPr="003934CF">
              <w:rPr>
                <w:sz w:val="20"/>
                <w:szCs w:val="20"/>
                <w:highlight w:val="black"/>
              </w:rPr>
              <w:t>XXXX</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D7" w14:textId="4F080BAF" w:rsidR="00F4105E" w:rsidRDefault="00F4105E" w:rsidP="00F4105E">
            <w:pPr>
              <w:spacing w:line="240" w:lineRule="auto"/>
              <w:jc w:val="center"/>
              <w:rPr>
                <w:sz w:val="20"/>
                <w:szCs w:val="20"/>
              </w:rPr>
            </w:pPr>
            <w:r w:rsidRPr="003934CF">
              <w:rPr>
                <w:sz w:val="20"/>
                <w:szCs w:val="20"/>
                <w:highlight w:val="black"/>
              </w:rPr>
              <w:t>XXXX</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D8" w14:textId="20D7C6A1" w:rsidR="00F4105E" w:rsidRDefault="00F4105E" w:rsidP="00F4105E">
            <w:pPr>
              <w:spacing w:line="240" w:lineRule="auto"/>
              <w:jc w:val="center"/>
              <w:rPr>
                <w:sz w:val="20"/>
                <w:szCs w:val="20"/>
              </w:rPr>
            </w:pPr>
            <w:r w:rsidRPr="003934CF">
              <w:rPr>
                <w:sz w:val="20"/>
                <w:szCs w:val="20"/>
                <w:highlight w:val="black"/>
              </w:rPr>
              <w:t>XXXX</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D9" w14:textId="004C618B" w:rsidR="00F4105E" w:rsidRDefault="00F4105E" w:rsidP="00F4105E">
            <w:pPr>
              <w:spacing w:line="240" w:lineRule="auto"/>
              <w:jc w:val="center"/>
              <w:rPr>
                <w:sz w:val="20"/>
                <w:szCs w:val="20"/>
              </w:rPr>
            </w:pPr>
            <w:r w:rsidRPr="003934CF">
              <w:rPr>
                <w:sz w:val="20"/>
                <w:szCs w:val="20"/>
                <w:highlight w:val="black"/>
              </w:rPr>
              <w:t>XXXX</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DA" w14:textId="1599D0D8" w:rsidR="00F4105E" w:rsidRDefault="00F4105E" w:rsidP="00F4105E">
            <w:pPr>
              <w:spacing w:line="240" w:lineRule="auto"/>
              <w:jc w:val="center"/>
              <w:rPr>
                <w:sz w:val="20"/>
                <w:szCs w:val="20"/>
              </w:rPr>
            </w:pPr>
            <w:r w:rsidRPr="003934CF">
              <w:rPr>
                <w:sz w:val="20"/>
                <w:szCs w:val="20"/>
                <w:highlight w:val="black"/>
              </w:rPr>
              <w:t>XXXX</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DB" w14:textId="50EDF072" w:rsidR="00F4105E" w:rsidRDefault="00F4105E" w:rsidP="00F4105E">
            <w:pPr>
              <w:spacing w:line="240" w:lineRule="auto"/>
              <w:jc w:val="center"/>
              <w:rPr>
                <w:sz w:val="20"/>
                <w:szCs w:val="20"/>
              </w:rPr>
            </w:pPr>
            <w:r w:rsidRPr="003934CF">
              <w:rPr>
                <w:sz w:val="20"/>
                <w:szCs w:val="20"/>
                <w:highlight w:val="black"/>
              </w:rPr>
              <w:t>XXXX</w:t>
            </w:r>
          </w:p>
        </w:tc>
      </w:tr>
      <w:tr w:rsidR="00F4105E" w14:paraId="1B9ABFE4" w14:textId="77777777">
        <w:trPr>
          <w:trHeight w:val="285"/>
        </w:trPr>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DD" w14:textId="77777777" w:rsidR="00F4105E" w:rsidRDefault="00F4105E" w:rsidP="00F4105E">
            <w:pPr>
              <w:spacing w:line="240" w:lineRule="auto"/>
              <w:rPr>
                <w:b/>
                <w:bCs/>
                <w:sz w:val="20"/>
                <w:szCs w:val="20"/>
              </w:rPr>
            </w:pPr>
            <w:r>
              <w:rPr>
                <w:b/>
                <w:bCs/>
                <w:sz w:val="20"/>
                <w:szCs w:val="20"/>
              </w:rPr>
              <w:t>4. Enable</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DE" w14:textId="445CF997" w:rsidR="00F4105E" w:rsidRDefault="00F4105E" w:rsidP="00F4105E">
            <w:pPr>
              <w:spacing w:line="240" w:lineRule="auto"/>
              <w:jc w:val="center"/>
              <w:rPr>
                <w:sz w:val="20"/>
                <w:szCs w:val="20"/>
              </w:rPr>
            </w:pPr>
            <w:r w:rsidRPr="003934CF">
              <w:rPr>
                <w:sz w:val="20"/>
                <w:szCs w:val="20"/>
                <w:highlight w:val="black"/>
              </w:rPr>
              <w:t>XXXX</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DF" w14:textId="7A142135" w:rsidR="00F4105E" w:rsidRDefault="00F4105E" w:rsidP="00F4105E">
            <w:pPr>
              <w:spacing w:line="240" w:lineRule="auto"/>
              <w:jc w:val="center"/>
              <w:rPr>
                <w:sz w:val="20"/>
                <w:szCs w:val="20"/>
              </w:rPr>
            </w:pPr>
            <w:r w:rsidRPr="003934CF">
              <w:rPr>
                <w:sz w:val="20"/>
                <w:szCs w:val="20"/>
                <w:highlight w:val="black"/>
              </w:rPr>
              <w:t>XXXX</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E0" w14:textId="3F51D458" w:rsidR="00F4105E" w:rsidRDefault="00F4105E" w:rsidP="00F4105E">
            <w:pPr>
              <w:spacing w:line="240" w:lineRule="auto"/>
              <w:jc w:val="center"/>
              <w:rPr>
                <w:sz w:val="20"/>
                <w:szCs w:val="20"/>
              </w:rPr>
            </w:pPr>
            <w:r w:rsidRPr="003934CF">
              <w:rPr>
                <w:sz w:val="20"/>
                <w:szCs w:val="20"/>
                <w:highlight w:val="black"/>
              </w:rPr>
              <w:t>XXXX</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E1" w14:textId="6CC34FDD" w:rsidR="00F4105E" w:rsidRDefault="00F4105E" w:rsidP="00F4105E">
            <w:pPr>
              <w:spacing w:line="240" w:lineRule="auto"/>
              <w:jc w:val="center"/>
              <w:rPr>
                <w:sz w:val="20"/>
                <w:szCs w:val="20"/>
              </w:rPr>
            </w:pPr>
            <w:r w:rsidRPr="003934CF">
              <w:rPr>
                <w:sz w:val="20"/>
                <w:szCs w:val="20"/>
                <w:highlight w:val="black"/>
              </w:rPr>
              <w:t>XXXX</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E2" w14:textId="607BA64C" w:rsidR="00F4105E" w:rsidRDefault="00F4105E" w:rsidP="00F4105E">
            <w:pPr>
              <w:spacing w:line="240" w:lineRule="auto"/>
              <w:jc w:val="center"/>
              <w:rPr>
                <w:sz w:val="20"/>
                <w:szCs w:val="20"/>
              </w:rPr>
            </w:pPr>
            <w:r w:rsidRPr="003934CF">
              <w:rPr>
                <w:sz w:val="20"/>
                <w:szCs w:val="20"/>
                <w:highlight w:val="black"/>
              </w:rPr>
              <w:t>XXXX</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E3" w14:textId="2DD616BD" w:rsidR="00F4105E" w:rsidRDefault="00F4105E" w:rsidP="00F4105E">
            <w:pPr>
              <w:spacing w:line="240" w:lineRule="auto"/>
              <w:jc w:val="center"/>
              <w:rPr>
                <w:sz w:val="20"/>
                <w:szCs w:val="20"/>
              </w:rPr>
            </w:pPr>
            <w:r w:rsidRPr="003934CF">
              <w:rPr>
                <w:sz w:val="20"/>
                <w:szCs w:val="20"/>
                <w:highlight w:val="black"/>
              </w:rPr>
              <w:t>XXXX</w:t>
            </w:r>
          </w:p>
        </w:tc>
      </w:tr>
      <w:tr w:rsidR="00F4105E" w14:paraId="1B9ABFEC" w14:textId="77777777">
        <w:trPr>
          <w:trHeight w:val="558"/>
        </w:trPr>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E5" w14:textId="77777777" w:rsidR="00F4105E" w:rsidRDefault="00F4105E" w:rsidP="00F4105E">
            <w:pPr>
              <w:spacing w:line="240" w:lineRule="auto"/>
              <w:rPr>
                <w:b/>
                <w:bCs/>
                <w:sz w:val="20"/>
                <w:szCs w:val="20"/>
              </w:rPr>
            </w:pPr>
            <w:r>
              <w:rPr>
                <w:b/>
                <w:bCs/>
                <w:sz w:val="20"/>
                <w:szCs w:val="20"/>
              </w:rPr>
              <w:t>5. Ensure of influence</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E6" w14:textId="518B61E4" w:rsidR="00F4105E" w:rsidRDefault="00F4105E" w:rsidP="00F4105E">
            <w:pPr>
              <w:spacing w:line="240" w:lineRule="auto"/>
              <w:jc w:val="center"/>
              <w:rPr>
                <w:sz w:val="20"/>
                <w:szCs w:val="20"/>
              </w:rPr>
            </w:pPr>
            <w:r w:rsidRPr="003934CF">
              <w:rPr>
                <w:sz w:val="20"/>
                <w:szCs w:val="20"/>
                <w:highlight w:val="black"/>
              </w:rPr>
              <w:t>XXXX</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E7" w14:textId="623DAC17" w:rsidR="00F4105E" w:rsidRDefault="00F4105E" w:rsidP="00F4105E">
            <w:pPr>
              <w:spacing w:line="240" w:lineRule="auto"/>
              <w:jc w:val="center"/>
              <w:rPr>
                <w:sz w:val="20"/>
                <w:szCs w:val="20"/>
              </w:rPr>
            </w:pPr>
            <w:r w:rsidRPr="003934CF">
              <w:rPr>
                <w:sz w:val="20"/>
                <w:szCs w:val="20"/>
                <w:highlight w:val="black"/>
              </w:rPr>
              <w:t>XXXX</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E8" w14:textId="1B6D4A63" w:rsidR="00F4105E" w:rsidRDefault="00F4105E" w:rsidP="00F4105E">
            <w:pPr>
              <w:spacing w:line="240" w:lineRule="auto"/>
              <w:jc w:val="center"/>
              <w:rPr>
                <w:sz w:val="20"/>
                <w:szCs w:val="20"/>
              </w:rPr>
            </w:pPr>
            <w:r w:rsidRPr="003934CF">
              <w:rPr>
                <w:sz w:val="20"/>
                <w:szCs w:val="20"/>
                <w:highlight w:val="black"/>
              </w:rPr>
              <w:t>XXXX</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E9" w14:textId="5981CF6B" w:rsidR="00F4105E" w:rsidRDefault="00F4105E" w:rsidP="00F4105E">
            <w:pPr>
              <w:spacing w:line="240" w:lineRule="auto"/>
              <w:jc w:val="center"/>
              <w:rPr>
                <w:sz w:val="20"/>
                <w:szCs w:val="20"/>
              </w:rPr>
            </w:pPr>
            <w:r w:rsidRPr="003934CF">
              <w:rPr>
                <w:sz w:val="20"/>
                <w:szCs w:val="20"/>
                <w:highlight w:val="black"/>
              </w:rPr>
              <w:t>XXXX</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EA" w14:textId="751E3896" w:rsidR="00F4105E" w:rsidRDefault="00F4105E" w:rsidP="00F4105E">
            <w:pPr>
              <w:spacing w:line="240" w:lineRule="auto"/>
              <w:jc w:val="center"/>
              <w:rPr>
                <w:sz w:val="20"/>
                <w:szCs w:val="20"/>
              </w:rPr>
            </w:pPr>
            <w:r w:rsidRPr="003934CF">
              <w:rPr>
                <w:sz w:val="20"/>
                <w:szCs w:val="20"/>
                <w:highlight w:val="black"/>
              </w:rPr>
              <w:t>XXXX</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EB" w14:textId="0B905B10" w:rsidR="00F4105E" w:rsidRDefault="00F4105E" w:rsidP="00F4105E">
            <w:pPr>
              <w:spacing w:line="240" w:lineRule="auto"/>
              <w:jc w:val="center"/>
              <w:rPr>
                <w:sz w:val="20"/>
                <w:szCs w:val="20"/>
              </w:rPr>
            </w:pPr>
            <w:r w:rsidRPr="003934CF">
              <w:rPr>
                <w:sz w:val="20"/>
                <w:szCs w:val="20"/>
                <w:highlight w:val="black"/>
              </w:rPr>
              <w:t>XXXX</w:t>
            </w:r>
          </w:p>
        </w:tc>
      </w:tr>
      <w:tr w:rsidR="00F4105E" w14:paraId="1B9ABFF4" w14:textId="77777777">
        <w:trPr>
          <w:trHeight w:val="552"/>
        </w:trPr>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ED" w14:textId="77777777" w:rsidR="00F4105E" w:rsidRDefault="00F4105E" w:rsidP="00F4105E">
            <w:pPr>
              <w:spacing w:line="240" w:lineRule="auto"/>
              <w:rPr>
                <w:b/>
                <w:bCs/>
                <w:sz w:val="20"/>
                <w:szCs w:val="20"/>
              </w:rPr>
            </w:pPr>
            <w:r>
              <w:rPr>
                <w:b/>
                <w:bCs/>
                <w:sz w:val="20"/>
                <w:szCs w:val="20"/>
              </w:rPr>
              <w:t>6. Initiate or influence</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EE" w14:textId="405DE01F" w:rsidR="00F4105E" w:rsidRDefault="00F4105E" w:rsidP="00F4105E">
            <w:pPr>
              <w:spacing w:line="240" w:lineRule="auto"/>
              <w:jc w:val="center"/>
              <w:rPr>
                <w:sz w:val="20"/>
                <w:szCs w:val="20"/>
              </w:rPr>
            </w:pPr>
            <w:r w:rsidRPr="003934CF">
              <w:rPr>
                <w:sz w:val="20"/>
                <w:szCs w:val="20"/>
                <w:highlight w:val="black"/>
              </w:rPr>
              <w:t>XXXX</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EF" w14:textId="5E7E407C" w:rsidR="00F4105E" w:rsidRDefault="00F4105E" w:rsidP="00F4105E">
            <w:pPr>
              <w:spacing w:line="240" w:lineRule="auto"/>
              <w:jc w:val="center"/>
              <w:rPr>
                <w:sz w:val="20"/>
                <w:szCs w:val="20"/>
              </w:rPr>
            </w:pPr>
            <w:r w:rsidRPr="003934CF">
              <w:rPr>
                <w:sz w:val="20"/>
                <w:szCs w:val="20"/>
                <w:highlight w:val="black"/>
              </w:rPr>
              <w:t>XXXX</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F0" w14:textId="78F3FF13" w:rsidR="00F4105E" w:rsidRDefault="00F4105E" w:rsidP="00F4105E">
            <w:pPr>
              <w:spacing w:line="240" w:lineRule="auto"/>
              <w:jc w:val="center"/>
              <w:rPr>
                <w:sz w:val="20"/>
                <w:szCs w:val="20"/>
              </w:rPr>
            </w:pPr>
            <w:r w:rsidRPr="003934CF">
              <w:rPr>
                <w:sz w:val="20"/>
                <w:szCs w:val="20"/>
                <w:highlight w:val="black"/>
              </w:rPr>
              <w:t>XXXX</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F1" w14:textId="4F4C321F" w:rsidR="00F4105E" w:rsidRDefault="00F4105E" w:rsidP="00F4105E">
            <w:pPr>
              <w:spacing w:line="240" w:lineRule="auto"/>
              <w:jc w:val="center"/>
              <w:rPr>
                <w:sz w:val="20"/>
                <w:szCs w:val="20"/>
              </w:rPr>
            </w:pPr>
            <w:r w:rsidRPr="003934CF">
              <w:rPr>
                <w:sz w:val="20"/>
                <w:szCs w:val="20"/>
                <w:highlight w:val="black"/>
              </w:rPr>
              <w:t>XXXX</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F2" w14:textId="46B7853C" w:rsidR="00F4105E" w:rsidRDefault="00F4105E" w:rsidP="00F4105E">
            <w:pPr>
              <w:spacing w:line="240" w:lineRule="auto"/>
              <w:jc w:val="center"/>
              <w:rPr>
                <w:sz w:val="20"/>
                <w:szCs w:val="20"/>
              </w:rPr>
            </w:pPr>
            <w:r w:rsidRPr="003934CF">
              <w:rPr>
                <w:sz w:val="20"/>
                <w:szCs w:val="20"/>
                <w:highlight w:val="black"/>
              </w:rPr>
              <w:t>XXXX</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F3" w14:textId="3A464B41" w:rsidR="00F4105E" w:rsidRDefault="00F4105E" w:rsidP="00F4105E">
            <w:pPr>
              <w:spacing w:line="240" w:lineRule="auto"/>
              <w:jc w:val="center"/>
              <w:rPr>
                <w:sz w:val="20"/>
                <w:szCs w:val="20"/>
              </w:rPr>
            </w:pPr>
            <w:r w:rsidRPr="003934CF">
              <w:rPr>
                <w:sz w:val="20"/>
                <w:szCs w:val="20"/>
                <w:highlight w:val="black"/>
              </w:rPr>
              <w:t>XXXX</w:t>
            </w:r>
          </w:p>
        </w:tc>
      </w:tr>
      <w:tr w:rsidR="00F4105E" w14:paraId="1B9ABFFC" w14:textId="77777777">
        <w:trPr>
          <w:trHeight w:val="843"/>
        </w:trPr>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F5" w14:textId="77777777" w:rsidR="00F4105E" w:rsidRDefault="00F4105E" w:rsidP="00F4105E">
            <w:pPr>
              <w:spacing w:line="240" w:lineRule="auto"/>
              <w:rPr>
                <w:b/>
                <w:bCs/>
                <w:sz w:val="20"/>
                <w:szCs w:val="20"/>
              </w:rPr>
            </w:pPr>
            <w:r>
              <w:rPr>
                <w:b/>
                <w:bCs/>
                <w:sz w:val="20"/>
                <w:szCs w:val="20"/>
              </w:rPr>
              <w:t>7. Set Strategy or inspire</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F6" w14:textId="038E20C6" w:rsidR="00F4105E" w:rsidRDefault="00F4105E" w:rsidP="00F4105E">
            <w:pPr>
              <w:spacing w:line="240" w:lineRule="auto"/>
              <w:jc w:val="center"/>
              <w:rPr>
                <w:sz w:val="20"/>
                <w:szCs w:val="20"/>
              </w:rPr>
            </w:pPr>
            <w:r w:rsidRPr="003934CF">
              <w:rPr>
                <w:sz w:val="20"/>
                <w:szCs w:val="20"/>
                <w:highlight w:val="black"/>
              </w:rPr>
              <w:t>XXXX</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F7" w14:textId="46650B1A" w:rsidR="00F4105E" w:rsidRDefault="00F4105E" w:rsidP="00F4105E">
            <w:pPr>
              <w:spacing w:line="240" w:lineRule="auto"/>
              <w:jc w:val="center"/>
              <w:rPr>
                <w:sz w:val="20"/>
                <w:szCs w:val="20"/>
              </w:rPr>
            </w:pPr>
            <w:r w:rsidRPr="003934CF">
              <w:rPr>
                <w:sz w:val="20"/>
                <w:szCs w:val="20"/>
                <w:highlight w:val="black"/>
              </w:rPr>
              <w:t>XXXX</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F8" w14:textId="22B72DF9" w:rsidR="00F4105E" w:rsidRDefault="00F4105E" w:rsidP="00F4105E">
            <w:pPr>
              <w:spacing w:line="240" w:lineRule="auto"/>
              <w:jc w:val="center"/>
              <w:rPr>
                <w:sz w:val="20"/>
                <w:szCs w:val="20"/>
              </w:rPr>
            </w:pPr>
            <w:r w:rsidRPr="003934CF">
              <w:rPr>
                <w:sz w:val="20"/>
                <w:szCs w:val="20"/>
                <w:highlight w:val="black"/>
              </w:rPr>
              <w:t>XXXX</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F9" w14:textId="5A4284C8" w:rsidR="00F4105E" w:rsidRDefault="00F4105E" w:rsidP="00F4105E">
            <w:pPr>
              <w:spacing w:line="240" w:lineRule="auto"/>
              <w:jc w:val="center"/>
              <w:rPr>
                <w:sz w:val="20"/>
                <w:szCs w:val="20"/>
              </w:rPr>
            </w:pPr>
            <w:r w:rsidRPr="003934CF">
              <w:rPr>
                <w:sz w:val="20"/>
                <w:szCs w:val="20"/>
                <w:highlight w:val="black"/>
              </w:rPr>
              <w:t>XXXX</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FA" w14:textId="6CF0B646" w:rsidR="00F4105E" w:rsidRDefault="00F4105E" w:rsidP="00F4105E">
            <w:pPr>
              <w:spacing w:line="240" w:lineRule="auto"/>
              <w:jc w:val="center"/>
              <w:rPr>
                <w:sz w:val="20"/>
                <w:szCs w:val="20"/>
              </w:rPr>
            </w:pPr>
            <w:r w:rsidRPr="003934CF">
              <w:rPr>
                <w:sz w:val="20"/>
                <w:szCs w:val="20"/>
                <w:highlight w:val="black"/>
              </w:rPr>
              <w:t>XXXX</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BFFB" w14:textId="65E8AD5B" w:rsidR="00F4105E" w:rsidRDefault="00F4105E" w:rsidP="00F4105E">
            <w:pPr>
              <w:spacing w:line="240" w:lineRule="auto"/>
              <w:jc w:val="center"/>
              <w:rPr>
                <w:sz w:val="20"/>
                <w:szCs w:val="20"/>
              </w:rPr>
            </w:pPr>
            <w:r w:rsidRPr="003934CF">
              <w:rPr>
                <w:sz w:val="20"/>
                <w:szCs w:val="20"/>
                <w:highlight w:val="black"/>
              </w:rPr>
              <w:t>XXXX</w:t>
            </w:r>
          </w:p>
        </w:tc>
      </w:tr>
    </w:tbl>
    <w:p w14:paraId="1B9ABFFD" w14:textId="77777777" w:rsidR="003C7B6B" w:rsidRDefault="003C7B6B"/>
    <w:p w14:paraId="1B9ABFFE" w14:textId="3D58C031" w:rsidR="003C7B6B" w:rsidRDefault="00471E86">
      <w:r>
        <w:t xml:space="preserve">All rates quoted include travel expenses within the M25 but are exclusive of VAT and </w:t>
      </w:r>
      <w:commentRangeStart w:id="5"/>
      <w:commentRangeStart w:id="6"/>
      <w:r>
        <w:t>other Expenses</w:t>
      </w:r>
      <w:r w:rsidR="00C25E9C">
        <w:t xml:space="preserve"> (any travel expenses outside the M25)</w:t>
      </w:r>
      <w:r>
        <w:t xml:space="preserve"> </w:t>
      </w:r>
      <w:commentRangeEnd w:id="5"/>
      <w:r>
        <w:rPr>
          <w:rStyle w:val="CommentReference"/>
        </w:rPr>
        <w:commentReference w:id="5"/>
      </w:r>
      <w:commentRangeEnd w:id="6"/>
      <w:r w:rsidR="00A51891">
        <w:rPr>
          <w:rStyle w:val="CommentReference"/>
        </w:rPr>
        <w:commentReference w:id="6"/>
      </w:r>
      <w:r>
        <w:t>which will be re-charged at cost.  All expenses will be approved in writing by HMRC before being presented by the Supplier.</w:t>
      </w:r>
    </w:p>
    <w:p w14:paraId="10D1E368" w14:textId="2F2AC36A" w:rsidR="00F4105E" w:rsidRDefault="00F4105E"/>
    <w:p w14:paraId="16978D48" w14:textId="05A56CA1" w:rsidR="00F4105E" w:rsidRPr="00F4105E" w:rsidRDefault="00F4105E" w:rsidP="00F4105E">
      <w:pPr>
        <w:spacing w:after="160" w:line="259" w:lineRule="auto"/>
        <w:jc w:val="center"/>
        <w:rPr>
          <w:rFonts w:eastAsia="Calibri"/>
          <w:b/>
          <w:bCs/>
          <w:lang w:eastAsia="en-US"/>
        </w:rPr>
      </w:pPr>
      <w:r w:rsidRPr="00BF4310">
        <w:rPr>
          <w:b/>
          <w:bCs/>
        </w:rPr>
        <w:t>Information redacted under section 43 (2) of FOI Act 2000</w:t>
      </w:r>
      <w:r>
        <w:rPr>
          <w:b/>
          <w:bCs/>
        </w:rPr>
        <w:t>.</w:t>
      </w:r>
    </w:p>
    <w:p w14:paraId="1B9ABFFF" w14:textId="77777777" w:rsidR="003C7B6B" w:rsidRDefault="00471E86">
      <w:pPr>
        <w:pStyle w:val="Heading2"/>
        <w:pageBreakBefore/>
      </w:pPr>
      <w:bookmarkStart w:id="7" w:name="_Toc33176235"/>
      <w:r>
        <w:lastRenderedPageBreak/>
        <w:t>Part B: Terms and conditions</w:t>
      </w:r>
      <w:bookmarkEnd w:id="7"/>
    </w:p>
    <w:p w14:paraId="1B9AC000" w14:textId="77777777" w:rsidR="003C7B6B" w:rsidRDefault="00471E86">
      <w:pPr>
        <w:pStyle w:val="Heading3"/>
        <w:spacing w:before="0" w:after="100"/>
        <w:rPr>
          <w:color w:val="auto"/>
        </w:rPr>
      </w:pPr>
      <w:r>
        <w:rPr>
          <w:color w:val="auto"/>
        </w:rPr>
        <w:t>1.</w:t>
      </w:r>
      <w:r>
        <w:rPr>
          <w:color w:val="auto"/>
        </w:rPr>
        <w:tab/>
        <w:t>Call-Off Contract Start date and length</w:t>
      </w:r>
    </w:p>
    <w:p w14:paraId="1B9AC001" w14:textId="77777777" w:rsidR="003C7B6B" w:rsidRDefault="00471E86">
      <w:r>
        <w:t>1.1</w:t>
      </w:r>
      <w:r>
        <w:tab/>
        <w:t>The Supplier must start providing the Services on the date specified in the Order Form.</w:t>
      </w:r>
    </w:p>
    <w:p w14:paraId="1B9AC002" w14:textId="77777777" w:rsidR="003C7B6B" w:rsidRDefault="003C7B6B">
      <w:pPr>
        <w:ind w:firstLine="720"/>
      </w:pPr>
    </w:p>
    <w:p w14:paraId="1B9AC003" w14:textId="77777777" w:rsidR="003C7B6B" w:rsidRDefault="00471E86">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1B9AC004" w14:textId="77777777" w:rsidR="003C7B6B" w:rsidRDefault="003C7B6B">
      <w:pPr>
        <w:ind w:left="720"/>
      </w:pPr>
    </w:p>
    <w:p w14:paraId="1B9AC005" w14:textId="77777777" w:rsidR="003C7B6B" w:rsidRDefault="00471E86">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1B9AC006" w14:textId="77777777" w:rsidR="003C7B6B" w:rsidRDefault="003C7B6B">
      <w:pPr>
        <w:ind w:left="720"/>
      </w:pPr>
    </w:p>
    <w:p w14:paraId="1B9AC007" w14:textId="77777777" w:rsidR="003C7B6B" w:rsidRDefault="00471E86">
      <w:pPr>
        <w:ind w:left="720" w:hanging="720"/>
      </w:pPr>
      <w:r>
        <w:t>1.4</w:t>
      </w:r>
      <w:r>
        <w:tab/>
        <w:t>The Parties must comply with the requirements under clauses 21.3 to 21.8 if the Buyer reserves the right in the Order Form to extend the contract beyond 24 months.</w:t>
      </w:r>
    </w:p>
    <w:p w14:paraId="1B9AC008" w14:textId="77777777" w:rsidR="003C7B6B" w:rsidRDefault="003C7B6B">
      <w:pPr>
        <w:spacing w:before="240" w:after="240"/>
      </w:pPr>
    </w:p>
    <w:p w14:paraId="1B9AC009" w14:textId="77777777" w:rsidR="003C7B6B" w:rsidRDefault="00471E86">
      <w:pPr>
        <w:pStyle w:val="Heading3"/>
        <w:spacing w:before="0" w:after="100"/>
        <w:rPr>
          <w:color w:val="auto"/>
        </w:rPr>
      </w:pPr>
      <w:r>
        <w:rPr>
          <w:color w:val="auto"/>
        </w:rPr>
        <w:t>2.</w:t>
      </w:r>
      <w:r>
        <w:rPr>
          <w:color w:val="auto"/>
        </w:rPr>
        <w:tab/>
        <w:t>Incorporation of terms</w:t>
      </w:r>
    </w:p>
    <w:p w14:paraId="1B9AC00A" w14:textId="77777777" w:rsidR="003C7B6B" w:rsidRDefault="00471E86">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1B9AC00B" w14:textId="77777777" w:rsidR="003C7B6B" w:rsidRDefault="00471E86">
      <w:pPr>
        <w:pStyle w:val="ListParagraph"/>
        <w:numPr>
          <w:ilvl w:val="0"/>
          <w:numId w:val="8"/>
        </w:numPr>
      </w:pPr>
      <w:r>
        <w:rPr>
          <w:sz w:val="14"/>
          <w:szCs w:val="14"/>
        </w:rPr>
        <w:t xml:space="preserve"> </w:t>
      </w:r>
      <w:r>
        <w:t>4.1 (Warranties and representations)</w:t>
      </w:r>
    </w:p>
    <w:p w14:paraId="1B9AC00C" w14:textId="77777777" w:rsidR="003C7B6B" w:rsidRDefault="00471E86">
      <w:pPr>
        <w:pStyle w:val="ListParagraph"/>
        <w:numPr>
          <w:ilvl w:val="0"/>
          <w:numId w:val="8"/>
        </w:numPr>
      </w:pPr>
      <w:r>
        <w:t>4.2 to 4.7 (Liability)</w:t>
      </w:r>
    </w:p>
    <w:p w14:paraId="1B9AC00D" w14:textId="77777777" w:rsidR="003C7B6B" w:rsidRDefault="00471E86">
      <w:pPr>
        <w:pStyle w:val="ListParagraph"/>
        <w:numPr>
          <w:ilvl w:val="0"/>
          <w:numId w:val="8"/>
        </w:numPr>
      </w:pPr>
      <w:r>
        <w:t>4.11 to 4.12 (IR35)</w:t>
      </w:r>
    </w:p>
    <w:p w14:paraId="1B9AC00E" w14:textId="77777777" w:rsidR="003C7B6B" w:rsidRDefault="00471E86">
      <w:pPr>
        <w:pStyle w:val="ListParagraph"/>
        <w:numPr>
          <w:ilvl w:val="0"/>
          <w:numId w:val="8"/>
        </w:numPr>
      </w:pPr>
      <w:r>
        <w:t>5.4 to 5.5 (Force majeure)</w:t>
      </w:r>
    </w:p>
    <w:p w14:paraId="1B9AC00F" w14:textId="77777777" w:rsidR="003C7B6B" w:rsidRDefault="00471E86">
      <w:pPr>
        <w:pStyle w:val="ListParagraph"/>
        <w:numPr>
          <w:ilvl w:val="0"/>
          <w:numId w:val="8"/>
        </w:numPr>
      </w:pPr>
      <w:r>
        <w:t>5.8 (Continuing rights)</w:t>
      </w:r>
    </w:p>
    <w:p w14:paraId="1B9AC010" w14:textId="77777777" w:rsidR="003C7B6B" w:rsidRDefault="00471E86">
      <w:pPr>
        <w:pStyle w:val="ListParagraph"/>
        <w:numPr>
          <w:ilvl w:val="0"/>
          <w:numId w:val="8"/>
        </w:numPr>
      </w:pPr>
      <w:r>
        <w:t>5.9 to 5.11 (Change of control)</w:t>
      </w:r>
    </w:p>
    <w:p w14:paraId="1B9AC011" w14:textId="77777777" w:rsidR="003C7B6B" w:rsidRDefault="00471E86">
      <w:pPr>
        <w:pStyle w:val="ListParagraph"/>
        <w:numPr>
          <w:ilvl w:val="0"/>
          <w:numId w:val="8"/>
        </w:numPr>
      </w:pPr>
      <w:r>
        <w:t>5.12 (Fraud)</w:t>
      </w:r>
    </w:p>
    <w:p w14:paraId="1B9AC012" w14:textId="77777777" w:rsidR="003C7B6B" w:rsidRDefault="00471E86">
      <w:pPr>
        <w:pStyle w:val="ListParagraph"/>
        <w:numPr>
          <w:ilvl w:val="0"/>
          <w:numId w:val="8"/>
        </w:numPr>
      </w:pPr>
      <w:r>
        <w:t>5.13 (Notice of fraud)</w:t>
      </w:r>
    </w:p>
    <w:p w14:paraId="1B9AC013" w14:textId="77777777" w:rsidR="003C7B6B" w:rsidRDefault="00471E86">
      <w:pPr>
        <w:pStyle w:val="ListParagraph"/>
        <w:numPr>
          <w:ilvl w:val="0"/>
          <w:numId w:val="8"/>
        </w:numPr>
      </w:pPr>
      <w:r>
        <w:t>7.1 to 7.2 (Transparency)</w:t>
      </w:r>
    </w:p>
    <w:p w14:paraId="1B9AC014" w14:textId="77777777" w:rsidR="003C7B6B" w:rsidRDefault="00471E86">
      <w:pPr>
        <w:pStyle w:val="ListParagraph"/>
        <w:numPr>
          <w:ilvl w:val="0"/>
          <w:numId w:val="8"/>
        </w:numPr>
      </w:pPr>
      <w:r>
        <w:t>8.3 (Order of precedence)</w:t>
      </w:r>
    </w:p>
    <w:p w14:paraId="1B9AC015" w14:textId="77777777" w:rsidR="003C7B6B" w:rsidRDefault="00471E86">
      <w:pPr>
        <w:pStyle w:val="ListParagraph"/>
        <w:numPr>
          <w:ilvl w:val="0"/>
          <w:numId w:val="8"/>
        </w:numPr>
      </w:pPr>
      <w:r>
        <w:t>8.6 (Relationship)</w:t>
      </w:r>
    </w:p>
    <w:p w14:paraId="1B9AC016" w14:textId="77777777" w:rsidR="003C7B6B" w:rsidRDefault="00471E86">
      <w:pPr>
        <w:pStyle w:val="ListParagraph"/>
        <w:numPr>
          <w:ilvl w:val="0"/>
          <w:numId w:val="8"/>
        </w:numPr>
      </w:pPr>
      <w:r>
        <w:t>8.9 to 8.11 (Entire agreement)</w:t>
      </w:r>
    </w:p>
    <w:p w14:paraId="1B9AC017" w14:textId="77777777" w:rsidR="003C7B6B" w:rsidRDefault="00471E86">
      <w:pPr>
        <w:pStyle w:val="ListParagraph"/>
        <w:numPr>
          <w:ilvl w:val="0"/>
          <w:numId w:val="8"/>
        </w:numPr>
      </w:pPr>
      <w:r>
        <w:t>8.12 (Law and jurisdiction)</w:t>
      </w:r>
    </w:p>
    <w:p w14:paraId="1B9AC018" w14:textId="77777777" w:rsidR="003C7B6B" w:rsidRDefault="00471E86">
      <w:pPr>
        <w:pStyle w:val="ListParagraph"/>
        <w:numPr>
          <w:ilvl w:val="0"/>
          <w:numId w:val="8"/>
        </w:numPr>
      </w:pPr>
      <w:r>
        <w:t>8.13 to 8.14 (Legislative change)</w:t>
      </w:r>
    </w:p>
    <w:p w14:paraId="1B9AC019" w14:textId="77777777" w:rsidR="003C7B6B" w:rsidRDefault="00471E86">
      <w:pPr>
        <w:pStyle w:val="ListParagraph"/>
        <w:numPr>
          <w:ilvl w:val="0"/>
          <w:numId w:val="8"/>
        </w:numPr>
      </w:pPr>
      <w:r>
        <w:t>8.15 to 8.19 (Bribery and corruption)</w:t>
      </w:r>
    </w:p>
    <w:p w14:paraId="1B9AC01A" w14:textId="77777777" w:rsidR="003C7B6B" w:rsidRDefault="00471E86">
      <w:pPr>
        <w:pStyle w:val="ListParagraph"/>
        <w:numPr>
          <w:ilvl w:val="0"/>
          <w:numId w:val="8"/>
        </w:numPr>
      </w:pPr>
      <w:r>
        <w:t>8.20 to 8.29 (Freedom of Information Act)</w:t>
      </w:r>
    </w:p>
    <w:p w14:paraId="1B9AC01B" w14:textId="77777777" w:rsidR="003C7B6B" w:rsidRDefault="00471E86">
      <w:pPr>
        <w:pStyle w:val="ListParagraph"/>
        <w:numPr>
          <w:ilvl w:val="0"/>
          <w:numId w:val="8"/>
        </w:numPr>
      </w:pPr>
      <w:r>
        <w:t>8.30 to 8.31 (Promoting tax compliance)</w:t>
      </w:r>
    </w:p>
    <w:p w14:paraId="1B9AC01C" w14:textId="77777777" w:rsidR="003C7B6B" w:rsidRDefault="00471E86">
      <w:pPr>
        <w:pStyle w:val="ListParagraph"/>
        <w:numPr>
          <w:ilvl w:val="0"/>
          <w:numId w:val="8"/>
        </w:numPr>
      </w:pPr>
      <w:r>
        <w:t>8.32 to 8.33 (Official Secrets Act)</w:t>
      </w:r>
    </w:p>
    <w:p w14:paraId="1B9AC01D" w14:textId="77777777" w:rsidR="003C7B6B" w:rsidRDefault="00471E86">
      <w:pPr>
        <w:pStyle w:val="ListParagraph"/>
        <w:numPr>
          <w:ilvl w:val="0"/>
          <w:numId w:val="8"/>
        </w:numPr>
      </w:pPr>
      <w:r>
        <w:t>8.34 to 8.37 (Transfer and subcontracting)</w:t>
      </w:r>
    </w:p>
    <w:p w14:paraId="1B9AC01E" w14:textId="77777777" w:rsidR="003C7B6B" w:rsidRDefault="00471E86">
      <w:pPr>
        <w:pStyle w:val="ListParagraph"/>
        <w:numPr>
          <w:ilvl w:val="0"/>
          <w:numId w:val="8"/>
        </w:numPr>
      </w:pPr>
      <w:r>
        <w:t>8.40 to 8.43 (Complaints handling and resolution)</w:t>
      </w:r>
    </w:p>
    <w:p w14:paraId="1B9AC01F" w14:textId="77777777" w:rsidR="003C7B6B" w:rsidRDefault="00471E86">
      <w:pPr>
        <w:pStyle w:val="ListParagraph"/>
        <w:numPr>
          <w:ilvl w:val="0"/>
          <w:numId w:val="8"/>
        </w:numPr>
      </w:pPr>
      <w:r>
        <w:t>8.44 to 8.50 (Conflicts of interest and ethical walls)</w:t>
      </w:r>
    </w:p>
    <w:p w14:paraId="1B9AC020" w14:textId="77777777" w:rsidR="003C7B6B" w:rsidRDefault="00471E86">
      <w:pPr>
        <w:pStyle w:val="ListParagraph"/>
        <w:numPr>
          <w:ilvl w:val="0"/>
          <w:numId w:val="8"/>
        </w:numPr>
      </w:pPr>
      <w:r>
        <w:t>8.51 to 8.53 (Publicity and branding)</w:t>
      </w:r>
    </w:p>
    <w:p w14:paraId="1B9AC021" w14:textId="77777777" w:rsidR="003C7B6B" w:rsidRDefault="00471E86">
      <w:pPr>
        <w:pStyle w:val="ListParagraph"/>
        <w:numPr>
          <w:ilvl w:val="0"/>
          <w:numId w:val="8"/>
        </w:numPr>
      </w:pPr>
      <w:r>
        <w:t>8.54 to 8.56 (Equality and diversity)</w:t>
      </w:r>
    </w:p>
    <w:p w14:paraId="1B9AC022" w14:textId="77777777" w:rsidR="003C7B6B" w:rsidRDefault="00471E86">
      <w:pPr>
        <w:pStyle w:val="ListParagraph"/>
        <w:numPr>
          <w:ilvl w:val="0"/>
          <w:numId w:val="8"/>
        </w:numPr>
      </w:pPr>
      <w:r>
        <w:t>8.59 to 8.60 (Data protection</w:t>
      </w:r>
    </w:p>
    <w:p w14:paraId="1B9AC023" w14:textId="77777777" w:rsidR="003C7B6B" w:rsidRDefault="00471E86">
      <w:pPr>
        <w:pStyle w:val="ListParagraph"/>
        <w:numPr>
          <w:ilvl w:val="0"/>
          <w:numId w:val="8"/>
        </w:numPr>
      </w:pPr>
      <w:r>
        <w:t>8.64 to 8.65 (Severability)</w:t>
      </w:r>
    </w:p>
    <w:p w14:paraId="1B9AC024" w14:textId="77777777" w:rsidR="003C7B6B" w:rsidRDefault="00471E86">
      <w:pPr>
        <w:pStyle w:val="ListParagraph"/>
        <w:numPr>
          <w:ilvl w:val="0"/>
          <w:numId w:val="8"/>
        </w:numPr>
      </w:pPr>
      <w:r>
        <w:lastRenderedPageBreak/>
        <w:t>8.66 to 8.69 (Managing disputes and Mediation)</w:t>
      </w:r>
    </w:p>
    <w:p w14:paraId="1B9AC025" w14:textId="77777777" w:rsidR="003C7B6B" w:rsidRDefault="00471E86">
      <w:pPr>
        <w:pStyle w:val="ListParagraph"/>
        <w:numPr>
          <w:ilvl w:val="0"/>
          <w:numId w:val="8"/>
        </w:numPr>
      </w:pPr>
      <w:r>
        <w:t>8.80 to 8.88 (Confidentiality)</w:t>
      </w:r>
    </w:p>
    <w:p w14:paraId="1B9AC026" w14:textId="77777777" w:rsidR="003C7B6B" w:rsidRDefault="00471E86">
      <w:pPr>
        <w:pStyle w:val="ListParagraph"/>
        <w:numPr>
          <w:ilvl w:val="0"/>
          <w:numId w:val="8"/>
        </w:numPr>
      </w:pPr>
      <w:r>
        <w:t>8.89 to 8.90 (Waiver and cumulative remedies)</w:t>
      </w:r>
    </w:p>
    <w:p w14:paraId="1B9AC027" w14:textId="77777777" w:rsidR="003C7B6B" w:rsidRDefault="00471E86">
      <w:pPr>
        <w:pStyle w:val="ListParagraph"/>
        <w:numPr>
          <w:ilvl w:val="0"/>
          <w:numId w:val="8"/>
        </w:numPr>
      </w:pPr>
      <w:r>
        <w:t>8.91 to 8.101 (Corporate Social Responsibility)</w:t>
      </w:r>
    </w:p>
    <w:p w14:paraId="1B9AC028" w14:textId="77777777" w:rsidR="003C7B6B" w:rsidRDefault="00471E86">
      <w:pPr>
        <w:pStyle w:val="ListParagraph"/>
        <w:numPr>
          <w:ilvl w:val="0"/>
          <w:numId w:val="8"/>
        </w:numPr>
      </w:pPr>
      <w:r>
        <w:t>paragraphs 1 to 10 of the Framework Agreement glossary and interpretation</w:t>
      </w:r>
    </w:p>
    <w:p w14:paraId="1B9AC029" w14:textId="77777777" w:rsidR="003C7B6B" w:rsidRDefault="00471E86">
      <w:pPr>
        <w:pStyle w:val="ListParagraph"/>
        <w:numPr>
          <w:ilvl w:val="0"/>
          <w:numId w:val="9"/>
        </w:numPr>
      </w:pPr>
      <w:r>
        <w:t>any audit provisions from the Framework Agreement set out by the Buyer in the Order Form</w:t>
      </w:r>
    </w:p>
    <w:p w14:paraId="1B9AC02A" w14:textId="77777777" w:rsidR="003C7B6B" w:rsidRDefault="00471E86">
      <w:pPr>
        <w:ind w:left="720"/>
      </w:pPr>
      <w:r>
        <w:t xml:space="preserve"> </w:t>
      </w:r>
    </w:p>
    <w:p w14:paraId="1B9AC02B" w14:textId="77777777" w:rsidR="003C7B6B" w:rsidRDefault="00471E86">
      <w:pPr>
        <w:spacing w:after="240"/>
      </w:pPr>
      <w:r>
        <w:t>2.2</w:t>
      </w:r>
      <w:r>
        <w:tab/>
        <w:t>The Framework Agreement provisions in clause 2.1 will be modified as follows:</w:t>
      </w:r>
    </w:p>
    <w:p w14:paraId="1B9AC02C" w14:textId="77777777" w:rsidR="003C7B6B" w:rsidRDefault="00471E86">
      <w:pPr>
        <w:ind w:left="1440" w:hanging="720"/>
      </w:pPr>
      <w:r>
        <w:t>2.2.1</w:t>
      </w:r>
      <w:r>
        <w:tab/>
        <w:t>a reference to the ‘Framework Agreement’ will be a reference to the ‘Call-Off Contract’</w:t>
      </w:r>
    </w:p>
    <w:p w14:paraId="1B9AC02D" w14:textId="77777777" w:rsidR="003C7B6B" w:rsidRDefault="00471E86">
      <w:pPr>
        <w:ind w:firstLine="720"/>
      </w:pPr>
      <w:r>
        <w:t>2.2.2</w:t>
      </w:r>
      <w:r>
        <w:tab/>
        <w:t>a reference to ‘CCS’ will be a reference to ‘the Buyer’</w:t>
      </w:r>
    </w:p>
    <w:p w14:paraId="1B9AC02E" w14:textId="77777777" w:rsidR="003C7B6B" w:rsidRDefault="00471E86">
      <w:pPr>
        <w:ind w:left="1440" w:hanging="720"/>
      </w:pPr>
      <w:r>
        <w:t>2.2.3</w:t>
      </w:r>
      <w:r>
        <w:tab/>
        <w:t>a reference to the ‘Parties’ and a ‘Party’ will be a reference to the Buyer and Supplier as Parties under this Call-Off Contract</w:t>
      </w:r>
    </w:p>
    <w:p w14:paraId="1B9AC02F" w14:textId="77777777" w:rsidR="003C7B6B" w:rsidRDefault="003C7B6B"/>
    <w:p w14:paraId="1B9AC030" w14:textId="77777777" w:rsidR="003C7B6B" w:rsidRDefault="00471E86">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B9AC031" w14:textId="77777777" w:rsidR="003C7B6B" w:rsidRDefault="003C7B6B">
      <w:pPr>
        <w:ind w:left="720"/>
      </w:pPr>
    </w:p>
    <w:p w14:paraId="1B9AC032" w14:textId="77777777" w:rsidR="003C7B6B" w:rsidRDefault="00471E86">
      <w:pPr>
        <w:ind w:left="720" w:hanging="720"/>
      </w:pPr>
      <w:r>
        <w:t>2.4</w:t>
      </w:r>
      <w:r>
        <w:tab/>
        <w:t>The Framework Agreement incorporated clauses will be referred to as incorporated Framework clause ‘XX’, where ‘XX’ is the Framework Agreement clause number.</w:t>
      </w:r>
    </w:p>
    <w:p w14:paraId="1B9AC033" w14:textId="77777777" w:rsidR="003C7B6B" w:rsidRDefault="003C7B6B">
      <w:pPr>
        <w:ind w:firstLine="720"/>
      </w:pPr>
    </w:p>
    <w:p w14:paraId="1B9AC034" w14:textId="77777777" w:rsidR="003C7B6B" w:rsidRDefault="00471E86">
      <w:pPr>
        <w:ind w:left="720" w:hanging="720"/>
      </w:pPr>
      <w:r>
        <w:t>2.5</w:t>
      </w:r>
      <w:r>
        <w:tab/>
        <w:t>When an Order Form is signed, the terms and conditions agreed in it will be incorporated into this Call-Off Contract.</w:t>
      </w:r>
    </w:p>
    <w:p w14:paraId="1B9AC035" w14:textId="77777777" w:rsidR="003C7B6B" w:rsidRDefault="003C7B6B"/>
    <w:p w14:paraId="1B9AC036" w14:textId="77777777" w:rsidR="003C7B6B" w:rsidRDefault="00471E86">
      <w:pPr>
        <w:pStyle w:val="Heading3"/>
        <w:spacing w:before="0" w:after="100"/>
        <w:rPr>
          <w:color w:val="auto"/>
        </w:rPr>
      </w:pPr>
      <w:r>
        <w:rPr>
          <w:color w:val="auto"/>
        </w:rPr>
        <w:t>3.</w:t>
      </w:r>
      <w:r>
        <w:rPr>
          <w:color w:val="auto"/>
        </w:rPr>
        <w:tab/>
        <w:t>Supply of services</w:t>
      </w:r>
    </w:p>
    <w:p w14:paraId="1B9AC037" w14:textId="77777777" w:rsidR="003C7B6B" w:rsidRDefault="00471E86">
      <w:pPr>
        <w:spacing w:before="240" w:after="240"/>
        <w:ind w:left="720" w:hanging="720"/>
      </w:pPr>
      <w:r>
        <w:t>3.1</w:t>
      </w:r>
      <w:r>
        <w:tab/>
        <w:t>The Supplier agrees to supply the G-Cloud Services and any Additional Services under the terms of the Call-Off Contract and the Supplier’s Application.</w:t>
      </w:r>
    </w:p>
    <w:p w14:paraId="1B9AC038" w14:textId="77777777" w:rsidR="003C7B6B" w:rsidRDefault="00471E86">
      <w:pPr>
        <w:ind w:left="720" w:hanging="720"/>
      </w:pPr>
      <w:r>
        <w:t>3.2</w:t>
      </w:r>
      <w:r>
        <w:tab/>
        <w:t>The Supplier undertakes that each G-Cloud Service will meet the Buyer’s acceptance criteria, as defined in the Order Form.</w:t>
      </w:r>
    </w:p>
    <w:p w14:paraId="1B9AC039" w14:textId="77777777" w:rsidR="003C7B6B" w:rsidRDefault="003C7B6B"/>
    <w:p w14:paraId="1B9AC03A" w14:textId="77777777" w:rsidR="003C7B6B" w:rsidRDefault="00471E86">
      <w:pPr>
        <w:pStyle w:val="Heading3"/>
        <w:spacing w:before="0" w:after="100"/>
        <w:rPr>
          <w:color w:val="auto"/>
        </w:rPr>
      </w:pPr>
      <w:r>
        <w:rPr>
          <w:color w:val="auto"/>
        </w:rPr>
        <w:t>4.</w:t>
      </w:r>
      <w:r>
        <w:rPr>
          <w:color w:val="auto"/>
        </w:rPr>
        <w:tab/>
        <w:t>Supplier staff</w:t>
      </w:r>
    </w:p>
    <w:p w14:paraId="1B9AC03B" w14:textId="77777777" w:rsidR="003C7B6B" w:rsidRDefault="00471E86">
      <w:pPr>
        <w:spacing w:before="240" w:after="240"/>
      </w:pPr>
      <w:r>
        <w:t>4.1</w:t>
      </w:r>
      <w:r>
        <w:tab/>
        <w:t>The Supplier Staff must:</w:t>
      </w:r>
    </w:p>
    <w:p w14:paraId="1B9AC03C" w14:textId="77777777" w:rsidR="003C7B6B" w:rsidRDefault="00471E86">
      <w:pPr>
        <w:ind w:firstLine="720"/>
      </w:pPr>
      <w:r>
        <w:t>4.1.1</w:t>
      </w:r>
      <w:r>
        <w:tab/>
        <w:t>be appropriately experienced, qualified and trained to supply the Services</w:t>
      </w:r>
    </w:p>
    <w:p w14:paraId="1B9AC03D" w14:textId="77777777" w:rsidR="003C7B6B" w:rsidRDefault="003C7B6B"/>
    <w:p w14:paraId="1B9AC03E" w14:textId="77777777" w:rsidR="003C7B6B" w:rsidRDefault="00471E86">
      <w:pPr>
        <w:ind w:firstLine="720"/>
      </w:pPr>
      <w:r>
        <w:t>4.1.2</w:t>
      </w:r>
      <w:r>
        <w:tab/>
        <w:t>apply all due skill, care and diligence in faithfully performing those duties</w:t>
      </w:r>
    </w:p>
    <w:p w14:paraId="1B9AC03F" w14:textId="77777777" w:rsidR="003C7B6B" w:rsidRDefault="003C7B6B"/>
    <w:p w14:paraId="1B9AC040" w14:textId="77777777" w:rsidR="003C7B6B" w:rsidRDefault="00471E86">
      <w:pPr>
        <w:ind w:left="720"/>
      </w:pPr>
      <w:r>
        <w:t>4.1.3</w:t>
      </w:r>
      <w:r>
        <w:tab/>
        <w:t>obey all lawful instructions and reasonable directions of the Buyer and provide the Services to the reasonable satisfaction of the Buyer</w:t>
      </w:r>
    </w:p>
    <w:p w14:paraId="1B9AC041" w14:textId="77777777" w:rsidR="003C7B6B" w:rsidRDefault="003C7B6B"/>
    <w:p w14:paraId="1B9AC042" w14:textId="77777777" w:rsidR="003C7B6B" w:rsidRDefault="00471E86">
      <w:pPr>
        <w:ind w:firstLine="720"/>
      </w:pPr>
      <w:r>
        <w:t>4.1.4</w:t>
      </w:r>
      <w:r>
        <w:tab/>
        <w:t>respond to any enquiries about the Services as soon as reasonably possible</w:t>
      </w:r>
    </w:p>
    <w:p w14:paraId="1B9AC043" w14:textId="77777777" w:rsidR="003C7B6B" w:rsidRDefault="003C7B6B"/>
    <w:p w14:paraId="1B9AC044" w14:textId="77777777" w:rsidR="003C7B6B" w:rsidRDefault="00471E86">
      <w:pPr>
        <w:ind w:firstLine="720"/>
      </w:pPr>
      <w:r>
        <w:t>4.1.5</w:t>
      </w:r>
      <w:r>
        <w:tab/>
        <w:t>complete any necessary Supplier Staff vetting as specified by the Buyer</w:t>
      </w:r>
    </w:p>
    <w:p w14:paraId="1B9AC045" w14:textId="77777777" w:rsidR="003C7B6B" w:rsidRDefault="003C7B6B"/>
    <w:p w14:paraId="1B9AC046" w14:textId="77777777" w:rsidR="003C7B6B" w:rsidRDefault="00471E86">
      <w:pPr>
        <w:ind w:left="720" w:hanging="720"/>
      </w:pPr>
      <w:r>
        <w:lastRenderedPageBreak/>
        <w:t>4.2</w:t>
      </w:r>
      <w:r>
        <w:tab/>
        <w:t>The Supplier must retain overall control of the Supplier Staff so that they are not considered to be employees, workers, agents or contractors of the Buyer.</w:t>
      </w:r>
    </w:p>
    <w:p w14:paraId="1B9AC047" w14:textId="77777777" w:rsidR="003C7B6B" w:rsidRDefault="003C7B6B">
      <w:pPr>
        <w:ind w:firstLine="720"/>
      </w:pPr>
    </w:p>
    <w:p w14:paraId="1B9AC048" w14:textId="77777777" w:rsidR="003C7B6B" w:rsidRDefault="00471E86">
      <w:pPr>
        <w:ind w:left="720" w:hanging="720"/>
      </w:pPr>
      <w:r>
        <w:t>4.3</w:t>
      </w:r>
      <w:r>
        <w:tab/>
        <w:t>The Supplier may substitute any Supplier Staff as long as they have the equivalent experience and qualifications to the substituted staff member.</w:t>
      </w:r>
    </w:p>
    <w:p w14:paraId="1B9AC049" w14:textId="77777777" w:rsidR="003C7B6B" w:rsidRDefault="003C7B6B">
      <w:pPr>
        <w:ind w:firstLine="720"/>
      </w:pPr>
    </w:p>
    <w:p w14:paraId="1B9AC04A" w14:textId="77777777" w:rsidR="003C7B6B" w:rsidRDefault="00471E86">
      <w:pPr>
        <w:ind w:left="720" w:hanging="720"/>
      </w:pPr>
      <w:r>
        <w:t>4.4</w:t>
      </w:r>
      <w:r>
        <w:tab/>
        <w:t>The Buyer may conduct IR35 Assessments using the ESI tool to assess whether the Supplier’s engagement under the Call-Off Contract is Inside or Outside IR35.</w:t>
      </w:r>
    </w:p>
    <w:p w14:paraId="1B9AC04B" w14:textId="77777777" w:rsidR="003C7B6B" w:rsidRDefault="003C7B6B">
      <w:pPr>
        <w:ind w:firstLine="720"/>
      </w:pPr>
    </w:p>
    <w:p w14:paraId="1B9AC04C" w14:textId="77777777" w:rsidR="003C7B6B" w:rsidRDefault="00471E86">
      <w:pPr>
        <w:ind w:left="720" w:hanging="720"/>
      </w:pPr>
      <w:r>
        <w:t>4.5</w:t>
      </w:r>
      <w:r>
        <w:tab/>
        <w:t>The Buyer may End this Call-Off Contract for Material Breach as per clause 18.5 hereunder if the Supplier is delivering the Services Inside IR35.</w:t>
      </w:r>
    </w:p>
    <w:p w14:paraId="1B9AC04D" w14:textId="77777777" w:rsidR="003C7B6B" w:rsidRDefault="003C7B6B">
      <w:pPr>
        <w:ind w:firstLine="720"/>
      </w:pPr>
    </w:p>
    <w:p w14:paraId="1B9AC04E" w14:textId="77777777" w:rsidR="003C7B6B" w:rsidRDefault="00471E86">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B9AC04F" w14:textId="77777777" w:rsidR="003C7B6B" w:rsidRDefault="003C7B6B">
      <w:pPr>
        <w:ind w:left="720"/>
      </w:pPr>
    </w:p>
    <w:p w14:paraId="1B9AC050" w14:textId="77777777" w:rsidR="003C7B6B" w:rsidRDefault="00471E86">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1B9AC051" w14:textId="77777777" w:rsidR="003C7B6B" w:rsidRDefault="003C7B6B">
      <w:pPr>
        <w:ind w:left="720"/>
      </w:pPr>
    </w:p>
    <w:p w14:paraId="1B9AC052" w14:textId="77777777" w:rsidR="003C7B6B" w:rsidRDefault="00471E86">
      <w:pPr>
        <w:ind w:left="720" w:hanging="720"/>
      </w:pPr>
      <w:r>
        <w:t>4.8</w:t>
      </w:r>
      <w:r>
        <w:tab/>
        <w:t>If it is determined by the Buyer that the Supplier is Outside IR35, the Buyer will provide the ESI reference number and a copy of the PDF to the Supplier.</w:t>
      </w:r>
    </w:p>
    <w:p w14:paraId="1B9AC053" w14:textId="77777777" w:rsidR="003C7B6B" w:rsidRDefault="003C7B6B">
      <w:pPr>
        <w:spacing w:before="240" w:after="240"/>
        <w:ind w:left="720"/>
      </w:pPr>
    </w:p>
    <w:p w14:paraId="1B9AC054" w14:textId="77777777" w:rsidR="003C7B6B" w:rsidRDefault="00471E86">
      <w:pPr>
        <w:pStyle w:val="Heading3"/>
        <w:spacing w:before="0" w:after="100"/>
        <w:rPr>
          <w:color w:val="auto"/>
        </w:rPr>
      </w:pPr>
      <w:r>
        <w:rPr>
          <w:color w:val="auto"/>
        </w:rPr>
        <w:t>5.</w:t>
      </w:r>
      <w:r>
        <w:rPr>
          <w:color w:val="auto"/>
        </w:rPr>
        <w:tab/>
        <w:t>Due diligence</w:t>
      </w:r>
    </w:p>
    <w:p w14:paraId="1B9AC055" w14:textId="77777777" w:rsidR="003C7B6B" w:rsidRDefault="00471E86">
      <w:pPr>
        <w:spacing w:before="240" w:after="120"/>
      </w:pPr>
      <w:r>
        <w:t xml:space="preserve"> 5.1</w:t>
      </w:r>
      <w:r>
        <w:tab/>
        <w:t>Both Parties agree that when entering into a Call-Off Contract they:</w:t>
      </w:r>
    </w:p>
    <w:p w14:paraId="1B9AC056" w14:textId="77777777" w:rsidR="003C7B6B" w:rsidRDefault="00471E86">
      <w:pPr>
        <w:spacing w:after="120"/>
        <w:ind w:left="1440" w:hanging="720"/>
      </w:pPr>
      <w:r>
        <w:t>5.1.1</w:t>
      </w:r>
      <w:r>
        <w:tab/>
        <w:t>have made their own enquiries and are satisfied by the accuracy of any information supplied by the other Party</w:t>
      </w:r>
    </w:p>
    <w:p w14:paraId="1B9AC057" w14:textId="77777777" w:rsidR="003C7B6B" w:rsidRDefault="00471E86">
      <w:pPr>
        <w:spacing w:after="120"/>
        <w:ind w:left="1440" w:hanging="720"/>
      </w:pPr>
      <w:r>
        <w:t>5.1.2</w:t>
      </w:r>
      <w:r>
        <w:tab/>
        <w:t>are confident that they can fulfil their obligations according to the Call-Off Contract terms</w:t>
      </w:r>
    </w:p>
    <w:p w14:paraId="1B9AC058" w14:textId="77777777" w:rsidR="003C7B6B" w:rsidRDefault="00471E86">
      <w:pPr>
        <w:spacing w:after="120"/>
        <w:ind w:firstLine="720"/>
      </w:pPr>
      <w:r>
        <w:t>5.1.3</w:t>
      </w:r>
      <w:r>
        <w:tab/>
        <w:t>have raised all due diligence questions before signing the Call-Off Contract</w:t>
      </w:r>
    </w:p>
    <w:p w14:paraId="1B9AC059" w14:textId="77777777" w:rsidR="003C7B6B" w:rsidRDefault="00471E86">
      <w:pPr>
        <w:ind w:firstLine="720"/>
      </w:pPr>
      <w:r>
        <w:t>5.1.4</w:t>
      </w:r>
      <w:r>
        <w:tab/>
        <w:t>have entered into the Call-Off Contract relying on its own due diligence</w:t>
      </w:r>
    </w:p>
    <w:p w14:paraId="1B9AC05A" w14:textId="77777777" w:rsidR="003C7B6B" w:rsidRDefault="003C7B6B">
      <w:pPr>
        <w:spacing w:before="240"/>
      </w:pPr>
    </w:p>
    <w:p w14:paraId="1B9AC05B" w14:textId="77777777" w:rsidR="003C7B6B" w:rsidRDefault="00471E86">
      <w:pPr>
        <w:pStyle w:val="Heading3"/>
        <w:spacing w:before="0" w:after="100"/>
        <w:rPr>
          <w:color w:val="auto"/>
        </w:rPr>
      </w:pPr>
      <w:r>
        <w:rPr>
          <w:color w:val="auto"/>
        </w:rPr>
        <w:t xml:space="preserve">6. </w:t>
      </w:r>
      <w:r>
        <w:rPr>
          <w:color w:val="auto"/>
        </w:rPr>
        <w:tab/>
        <w:t>Business continuity and disaster recovery</w:t>
      </w:r>
    </w:p>
    <w:p w14:paraId="1B9AC05C" w14:textId="77777777" w:rsidR="003C7B6B" w:rsidRDefault="00471E86">
      <w:pPr>
        <w:ind w:left="720" w:hanging="720"/>
      </w:pPr>
      <w:r>
        <w:t>6.1</w:t>
      </w:r>
      <w:r>
        <w:tab/>
        <w:t>The Supplier will have a clear business continuity and disaster recovery plan in their service descriptions.</w:t>
      </w:r>
    </w:p>
    <w:p w14:paraId="1B9AC05D" w14:textId="77777777" w:rsidR="003C7B6B" w:rsidRDefault="003C7B6B"/>
    <w:p w14:paraId="1B9AC05E" w14:textId="77777777" w:rsidR="003C7B6B" w:rsidRDefault="00471E86">
      <w:pPr>
        <w:ind w:left="720" w:hanging="720"/>
      </w:pPr>
      <w:r>
        <w:t>6.2</w:t>
      </w:r>
      <w:r>
        <w:tab/>
        <w:t>The Supplier’s business continuity and disaster recovery services are part of the Services and will be performed by the Supplier when required.</w:t>
      </w:r>
    </w:p>
    <w:p w14:paraId="1B9AC05F" w14:textId="77777777" w:rsidR="003C7B6B" w:rsidRDefault="00471E86">
      <w:pPr>
        <w:ind w:left="720" w:hanging="720"/>
      </w:pPr>
      <w:r>
        <w:t>6.3</w:t>
      </w:r>
      <w:r>
        <w:tab/>
        <w:t>If requested by the Buyer prior to entering into this Call-Off Contract, the Supplier must ensure that its business continuity and disaster recovery plan is consistent with the Buyer’s own plans.</w:t>
      </w:r>
    </w:p>
    <w:p w14:paraId="1B9AC060" w14:textId="77777777" w:rsidR="003C7B6B" w:rsidRDefault="003C7B6B"/>
    <w:p w14:paraId="1B9AC061" w14:textId="77777777" w:rsidR="003C7B6B" w:rsidRDefault="00471E86">
      <w:pPr>
        <w:pStyle w:val="Heading3"/>
        <w:spacing w:before="0" w:after="100"/>
        <w:rPr>
          <w:color w:val="auto"/>
        </w:rPr>
      </w:pPr>
      <w:r>
        <w:rPr>
          <w:color w:val="auto"/>
        </w:rPr>
        <w:t>7.</w:t>
      </w:r>
      <w:r>
        <w:rPr>
          <w:color w:val="auto"/>
        </w:rPr>
        <w:tab/>
        <w:t>Payment, VAT and Call-Off Contract charges</w:t>
      </w:r>
    </w:p>
    <w:p w14:paraId="1B9AC062" w14:textId="77777777" w:rsidR="003C7B6B" w:rsidRDefault="00471E86">
      <w:pPr>
        <w:spacing w:after="120"/>
        <w:ind w:left="720" w:hanging="720"/>
      </w:pPr>
      <w:r>
        <w:t>7.1</w:t>
      </w:r>
      <w:r>
        <w:tab/>
        <w:t>The Buyer must pay the Charges following clauses 7.2 to 7.11 for the Supplier’s delivery of the Services.</w:t>
      </w:r>
    </w:p>
    <w:p w14:paraId="1B9AC063" w14:textId="77777777" w:rsidR="003C7B6B" w:rsidRDefault="00471E86">
      <w:pPr>
        <w:ind w:left="720" w:hanging="720"/>
      </w:pPr>
      <w:r>
        <w:t>7.2</w:t>
      </w:r>
      <w:r>
        <w:tab/>
        <w:t>The Buyer will pay the Supplier within the number of days specified in the Order Form on receipt of a valid invoice.</w:t>
      </w:r>
    </w:p>
    <w:p w14:paraId="1B9AC064" w14:textId="77777777" w:rsidR="003C7B6B" w:rsidRDefault="00471E86">
      <w:pPr>
        <w:spacing w:after="120"/>
        <w:ind w:left="720" w:hanging="720"/>
      </w:pPr>
      <w:r>
        <w:t>7.3</w:t>
      </w:r>
      <w:r>
        <w:tab/>
        <w:t>The Call-Off Contract Charges include all Charges for payment Processing. All invoices submitted to the Buyer for the Services will be exclusive of any Management Charge.</w:t>
      </w:r>
    </w:p>
    <w:p w14:paraId="1B9AC065" w14:textId="77777777" w:rsidR="003C7B6B" w:rsidRDefault="00471E86">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B9AC066" w14:textId="77777777" w:rsidR="003C7B6B" w:rsidRDefault="00471E86">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1B9AC067" w14:textId="77777777" w:rsidR="003C7B6B" w:rsidRDefault="00471E86">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1B9AC068" w14:textId="77777777" w:rsidR="003C7B6B" w:rsidRDefault="00471E86">
      <w:pPr>
        <w:spacing w:after="120"/>
      </w:pPr>
      <w:r>
        <w:t>7.7</w:t>
      </w:r>
      <w:r>
        <w:tab/>
        <w:t>All Charges payable by the Buyer to the Supplier will include VAT at the appropriate Rate.</w:t>
      </w:r>
    </w:p>
    <w:p w14:paraId="1B9AC069" w14:textId="77777777" w:rsidR="003C7B6B" w:rsidRDefault="00471E86">
      <w:pPr>
        <w:spacing w:after="120"/>
        <w:ind w:left="720" w:hanging="720"/>
      </w:pPr>
      <w:r>
        <w:t>7.8</w:t>
      </w:r>
      <w:r>
        <w:tab/>
        <w:t>The Supplier must add VAT to the Charges at the appropriate rate with visibility of the amount as a separate line item.</w:t>
      </w:r>
    </w:p>
    <w:p w14:paraId="1B9AC06A" w14:textId="77777777" w:rsidR="003C7B6B" w:rsidRDefault="00471E86">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B9AC06B" w14:textId="77777777" w:rsidR="003C7B6B" w:rsidRDefault="00471E86">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1B9AC06C" w14:textId="77777777" w:rsidR="003C7B6B" w:rsidRDefault="00471E86">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B9AC06D" w14:textId="77777777" w:rsidR="003C7B6B" w:rsidRDefault="00471E86">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B9AC06E" w14:textId="77777777" w:rsidR="003C7B6B" w:rsidRDefault="003C7B6B">
      <w:pPr>
        <w:ind w:left="720"/>
      </w:pPr>
    </w:p>
    <w:p w14:paraId="1B9AC06F" w14:textId="77777777" w:rsidR="003C7B6B" w:rsidRDefault="00471E86">
      <w:pPr>
        <w:pStyle w:val="Heading3"/>
        <w:rPr>
          <w:color w:val="auto"/>
        </w:rPr>
      </w:pPr>
      <w:r>
        <w:rPr>
          <w:color w:val="auto"/>
        </w:rPr>
        <w:t>8.</w:t>
      </w:r>
      <w:r>
        <w:rPr>
          <w:color w:val="auto"/>
        </w:rPr>
        <w:tab/>
        <w:t>Recovery of sums due and right of set-off</w:t>
      </w:r>
    </w:p>
    <w:p w14:paraId="1B9AC070" w14:textId="77777777" w:rsidR="003C7B6B" w:rsidRDefault="00471E86">
      <w:pPr>
        <w:spacing w:before="240" w:after="240"/>
        <w:ind w:left="720" w:hanging="720"/>
      </w:pPr>
      <w:r>
        <w:t>8.1</w:t>
      </w:r>
      <w:r>
        <w:tab/>
        <w:t>If a Supplier owes money to the Buyer, the Buyer may deduct that sum from the Call-Off Contract Charges.</w:t>
      </w:r>
    </w:p>
    <w:p w14:paraId="1B9AC071" w14:textId="77777777" w:rsidR="003C7B6B" w:rsidRDefault="003C7B6B">
      <w:pPr>
        <w:spacing w:before="240" w:after="240"/>
        <w:ind w:left="720" w:hanging="720"/>
      </w:pPr>
    </w:p>
    <w:p w14:paraId="1B9AC072" w14:textId="77777777" w:rsidR="003C7B6B" w:rsidRDefault="00471E86">
      <w:pPr>
        <w:pStyle w:val="Heading3"/>
        <w:rPr>
          <w:color w:val="auto"/>
        </w:rPr>
      </w:pPr>
      <w:r>
        <w:rPr>
          <w:color w:val="auto"/>
        </w:rPr>
        <w:lastRenderedPageBreak/>
        <w:t>9.</w:t>
      </w:r>
      <w:r>
        <w:rPr>
          <w:color w:val="auto"/>
        </w:rPr>
        <w:tab/>
        <w:t>Insurance</w:t>
      </w:r>
    </w:p>
    <w:p w14:paraId="1B9AC073" w14:textId="77777777" w:rsidR="003C7B6B" w:rsidRDefault="00471E86">
      <w:pPr>
        <w:spacing w:before="240" w:after="240"/>
        <w:ind w:left="660" w:hanging="660"/>
      </w:pPr>
      <w:r>
        <w:t>9.1</w:t>
      </w:r>
      <w:r>
        <w:tab/>
        <w:t>The Supplier will maintain the insurances required by the Buyer including those in this clause.</w:t>
      </w:r>
    </w:p>
    <w:p w14:paraId="1B9AC074" w14:textId="77777777" w:rsidR="003C7B6B" w:rsidRDefault="00471E86">
      <w:r>
        <w:t>9.2</w:t>
      </w:r>
      <w:r>
        <w:tab/>
        <w:t>The Supplier will ensure that:</w:t>
      </w:r>
    </w:p>
    <w:p w14:paraId="1B9AC075" w14:textId="77777777" w:rsidR="003C7B6B" w:rsidRDefault="003C7B6B"/>
    <w:p w14:paraId="1B9AC076" w14:textId="77777777" w:rsidR="003C7B6B" w:rsidRDefault="00471E86">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B9AC077" w14:textId="77777777" w:rsidR="003C7B6B" w:rsidRDefault="003C7B6B">
      <w:pPr>
        <w:ind w:firstLine="720"/>
      </w:pPr>
    </w:p>
    <w:p w14:paraId="1B9AC078" w14:textId="77777777" w:rsidR="003C7B6B" w:rsidRDefault="00471E86">
      <w:pPr>
        <w:ind w:left="1440" w:hanging="720"/>
      </w:pPr>
      <w:r>
        <w:t>9.2.2</w:t>
      </w:r>
      <w:r>
        <w:tab/>
        <w:t>the third-party public and products liability insurance contains an ‘indemnity to principals’ clause for the Buyer’s benefit</w:t>
      </w:r>
    </w:p>
    <w:p w14:paraId="1B9AC079" w14:textId="77777777" w:rsidR="003C7B6B" w:rsidRDefault="003C7B6B">
      <w:pPr>
        <w:ind w:firstLine="720"/>
      </w:pPr>
    </w:p>
    <w:p w14:paraId="1B9AC07A" w14:textId="77777777" w:rsidR="003C7B6B" w:rsidRDefault="00471E86">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1B9AC07B" w14:textId="77777777" w:rsidR="003C7B6B" w:rsidRDefault="003C7B6B">
      <w:pPr>
        <w:ind w:firstLine="720"/>
      </w:pPr>
    </w:p>
    <w:p w14:paraId="1B9AC07C" w14:textId="77777777" w:rsidR="003C7B6B" w:rsidRDefault="00471E86">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1B9AC07D" w14:textId="77777777" w:rsidR="003C7B6B" w:rsidRDefault="003C7B6B">
      <w:pPr>
        <w:ind w:left="720"/>
      </w:pPr>
    </w:p>
    <w:p w14:paraId="1B9AC07E" w14:textId="77777777" w:rsidR="003C7B6B" w:rsidRDefault="00471E86">
      <w:pPr>
        <w:ind w:left="720" w:hanging="720"/>
      </w:pPr>
      <w:r>
        <w:t>9.3</w:t>
      </w:r>
      <w:r>
        <w:tab/>
        <w:t>If requested by the Buyer, the Supplier will obtain additional insurance policies, or extend existing policies bought under the Framework Agreement.</w:t>
      </w:r>
    </w:p>
    <w:p w14:paraId="1B9AC07F" w14:textId="77777777" w:rsidR="003C7B6B" w:rsidRDefault="003C7B6B">
      <w:pPr>
        <w:ind w:left="720" w:firstLine="720"/>
      </w:pPr>
    </w:p>
    <w:p w14:paraId="1B9AC080" w14:textId="77777777" w:rsidR="003C7B6B" w:rsidRDefault="00471E86">
      <w:pPr>
        <w:ind w:left="720" w:hanging="720"/>
      </w:pPr>
      <w:r>
        <w:t>9.4</w:t>
      </w:r>
      <w:r>
        <w:tab/>
        <w:t>If requested by the Buyer, the Supplier will provide the following to show compliance with this clause:</w:t>
      </w:r>
    </w:p>
    <w:p w14:paraId="1B9AC081" w14:textId="77777777" w:rsidR="003C7B6B" w:rsidRDefault="003C7B6B">
      <w:pPr>
        <w:ind w:firstLine="720"/>
      </w:pPr>
    </w:p>
    <w:p w14:paraId="1B9AC082" w14:textId="77777777" w:rsidR="003C7B6B" w:rsidRDefault="00471E86">
      <w:pPr>
        <w:ind w:firstLine="720"/>
      </w:pPr>
      <w:r>
        <w:t>9.4.1</w:t>
      </w:r>
      <w:r>
        <w:tab/>
        <w:t>a broker's verification of insurance</w:t>
      </w:r>
    </w:p>
    <w:p w14:paraId="1B9AC083" w14:textId="77777777" w:rsidR="003C7B6B" w:rsidRDefault="003C7B6B">
      <w:pPr>
        <w:ind w:firstLine="720"/>
      </w:pPr>
    </w:p>
    <w:p w14:paraId="1B9AC084" w14:textId="77777777" w:rsidR="003C7B6B" w:rsidRDefault="00471E86">
      <w:pPr>
        <w:ind w:firstLine="720"/>
      </w:pPr>
      <w:r>
        <w:t>9.4.2</w:t>
      </w:r>
      <w:r>
        <w:tab/>
        <w:t>receipts for the insurance premium</w:t>
      </w:r>
    </w:p>
    <w:p w14:paraId="1B9AC085" w14:textId="77777777" w:rsidR="003C7B6B" w:rsidRDefault="003C7B6B">
      <w:pPr>
        <w:ind w:firstLine="720"/>
      </w:pPr>
    </w:p>
    <w:p w14:paraId="1B9AC086" w14:textId="77777777" w:rsidR="003C7B6B" w:rsidRDefault="00471E86">
      <w:pPr>
        <w:ind w:firstLine="720"/>
      </w:pPr>
      <w:r>
        <w:t>9.4.3</w:t>
      </w:r>
      <w:r>
        <w:tab/>
        <w:t>evidence of payment of the latest premiums due</w:t>
      </w:r>
    </w:p>
    <w:p w14:paraId="1B9AC087" w14:textId="77777777" w:rsidR="003C7B6B" w:rsidRDefault="003C7B6B">
      <w:pPr>
        <w:ind w:firstLine="720"/>
      </w:pPr>
    </w:p>
    <w:p w14:paraId="1B9AC088" w14:textId="77777777" w:rsidR="003C7B6B" w:rsidRDefault="00471E86">
      <w:pPr>
        <w:ind w:left="720" w:hanging="720"/>
      </w:pPr>
      <w:r>
        <w:t>9.5</w:t>
      </w:r>
      <w:r>
        <w:tab/>
        <w:t>Insurance will not relieve the Supplier of any liabilities under the Framework Agreement or this Call-Off Contract and the Supplier will:</w:t>
      </w:r>
    </w:p>
    <w:p w14:paraId="1B9AC089" w14:textId="77777777" w:rsidR="003C7B6B" w:rsidRDefault="003C7B6B">
      <w:pPr>
        <w:ind w:firstLine="720"/>
      </w:pPr>
    </w:p>
    <w:p w14:paraId="1B9AC08A" w14:textId="77777777" w:rsidR="003C7B6B" w:rsidRDefault="00471E86">
      <w:pPr>
        <w:ind w:left="1440" w:hanging="720"/>
      </w:pPr>
      <w:r>
        <w:t>9.5.1</w:t>
      </w:r>
      <w:r>
        <w:tab/>
        <w:t>take all risk control measures using Good Industry Practice, including the investigation and reports of claims to insurers</w:t>
      </w:r>
    </w:p>
    <w:p w14:paraId="1B9AC08B" w14:textId="77777777" w:rsidR="003C7B6B" w:rsidRDefault="003C7B6B">
      <w:pPr>
        <w:ind w:left="720" w:firstLine="720"/>
      </w:pPr>
    </w:p>
    <w:p w14:paraId="1B9AC08C" w14:textId="77777777" w:rsidR="003C7B6B" w:rsidRDefault="00471E86">
      <w:pPr>
        <w:ind w:left="1440" w:hanging="720"/>
      </w:pPr>
      <w:r>
        <w:t>9.5.2</w:t>
      </w:r>
      <w:r>
        <w:tab/>
        <w:t>promptly notify the insurers in writing of any relevant material fact under any Insurances</w:t>
      </w:r>
    </w:p>
    <w:p w14:paraId="1B9AC08D" w14:textId="77777777" w:rsidR="003C7B6B" w:rsidRDefault="003C7B6B">
      <w:pPr>
        <w:ind w:firstLine="720"/>
      </w:pPr>
    </w:p>
    <w:p w14:paraId="1B9AC08E" w14:textId="77777777" w:rsidR="003C7B6B" w:rsidRDefault="00471E86">
      <w:pPr>
        <w:ind w:left="1440" w:hanging="720"/>
      </w:pPr>
      <w:r>
        <w:t>9.5.3</w:t>
      </w:r>
      <w:r>
        <w:tab/>
        <w:t>hold all insurance policies and require any broker arranging the insurance to hold any insurance slips and other evidence of insurance</w:t>
      </w:r>
    </w:p>
    <w:p w14:paraId="1B9AC08F" w14:textId="77777777" w:rsidR="003C7B6B" w:rsidRDefault="00471E86">
      <w:r>
        <w:t xml:space="preserve"> </w:t>
      </w:r>
    </w:p>
    <w:p w14:paraId="1B9AC090" w14:textId="77777777" w:rsidR="003C7B6B" w:rsidRDefault="00471E86">
      <w:pPr>
        <w:ind w:left="720" w:hanging="720"/>
      </w:pPr>
      <w:r>
        <w:t>9.6</w:t>
      </w:r>
      <w:r>
        <w:tab/>
        <w:t>The Supplier will not do or omit to do anything, which would destroy or impair the legal validity of the insurance.</w:t>
      </w:r>
    </w:p>
    <w:p w14:paraId="1B9AC091" w14:textId="77777777" w:rsidR="003C7B6B" w:rsidRDefault="003C7B6B">
      <w:pPr>
        <w:ind w:firstLine="720"/>
      </w:pPr>
    </w:p>
    <w:p w14:paraId="1B9AC092" w14:textId="77777777" w:rsidR="003C7B6B" w:rsidRDefault="00471E86">
      <w:pPr>
        <w:ind w:left="720" w:hanging="720"/>
      </w:pPr>
      <w:r>
        <w:t>9.7</w:t>
      </w:r>
      <w:r>
        <w:tab/>
        <w:t>The Supplier will notify CCS and the Buyer as soon as possible if any insurance policies have been, or are due to be, cancelled, suspended, Ended or not renewed.</w:t>
      </w:r>
    </w:p>
    <w:p w14:paraId="1B9AC093" w14:textId="77777777" w:rsidR="003C7B6B" w:rsidRDefault="003C7B6B">
      <w:pPr>
        <w:ind w:firstLine="720"/>
      </w:pPr>
    </w:p>
    <w:p w14:paraId="1B9AC094" w14:textId="77777777" w:rsidR="003C7B6B" w:rsidRDefault="00471E86">
      <w:r>
        <w:t>9.8</w:t>
      </w:r>
      <w:r>
        <w:tab/>
        <w:t>The Supplier will be liable for the payment of any:</w:t>
      </w:r>
    </w:p>
    <w:p w14:paraId="1B9AC095" w14:textId="77777777" w:rsidR="003C7B6B" w:rsidRDefault="003C7B6B"/>
    <w:p w14:paraId="1B9AC096" w14:textId="77777777" w:rsidR="003C7B6B" w:rsidRDefault="00471E86">
      <w:pPr>
        <w:ind w:firstLine="720"/>
      </w:pPr>
      <w:r>
        <w:t>9.8.1</w:t>
      </w:r>
      <w:r>
        <w:tab/>
        <w:t>premiums, which it will pay promptly</w:t>
      </w:r>
    </w:p>
    <w:p w14:paraId="1B9AC097" w14:textId="77777777" w:rsidR="003C7B6B" w:rsidRDefault="00471E86">
      <w:pPr>
        <w:ind w:firstLine="720"/>
      </w:pPr>
      <w:r>
        <w:t>9.8.2</w:t>
      </w:r>
      <w:r>
        <w:tab/>
        <w:t>excess or deductibles and will not be entitled to recover this from the Buyer</w:t>
      </w:r>
    </w:p>
    <w:p w14:paraId="1B9AC098" w14:textId="77777777" w:rsidR="003C7B6B" w:rsidRDefault="003C7B6B">
      <w:pPr>
        <w:ind w:firstLine="720"/>
      </w:pPr>
    </w:p>
    <w:p w14:paraId="1B9AC099" w14:textId="77777777" w:rsidR="003C7B6B" w:rsidRDefault="00471E86">
      <w:pPr>
        <w:pStyle w:val="Heading3"/>
        <w:spacing w:before="0" w:after="100"/>
        <w:rPr>
          <w:color w:val="auto"/>
        </w:rPr>
      </w:pPr>
      <w:r>
        <w:rPr>
          <w:color w:val="auto"/>
        </w:rPr>
        <w:t>10.</w:t>
      </w:r>
      <w:r>
        <w:rPr>
          <w:color w:val="auto"/>
        </w:rPr>
        <w:tab/>
        <w:t>Confidentiality</w:t>
      </w:r>
    </w:p>
    <w:p w14:paraId="1B9AC09A" w14:textId="77777777" w:rsidR="003C7B6B" w:rsidRDefault="00471E86">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1B9AC09B" w14:textId="77777777" w:rsidR="003C7B6B" w:rsidRDefault="003C7B6B">
      <w:pPr>
        <w:ind w:left="720" w:hanging="720"/>
      </w:pPr>
    </w:p>
    <w:p w14:paraId="1B9AC09C" w14:textId="77777777" w:rsidR="003C7B6B" w:rsidRDefault="00471E86">
      <w:pPr>
        <w:pStyle w:val="Heading3"/>
        <w:spacing w:before="0" w:after="100"/>
        <w:rPr>
          <w:color w:val="auto"/>
        </w:rPr>
      </w:pPr>
      <w:r>
        <w:rPr>
          <w:color w:val="auto"/>
        </w:rPr>
        <w:t>11.</w:t>
      </w:r>
      <w:r>
        <w:rPr>
          <w:color w:val="auto"/>
        </w:rPr>
        <w:tab/>
        <w:t>Intellectual Property Rights</w:t>
      </w:r>
    </w:p>
    <w:p w14:paraId="1B9AC09D" w14:textId="77777777" w:rsidR="003C7B6B" w:rsidRDefault="00471E86">
      <w:pPr>
        <w:ind w:left="720" w:hanging="720"/>
      </w:pPr>
      <w:r>
        <w:t>11.1</w:t>
      </w:r>
      <w:r>
        <w:tab/>
        <w:t>Unless otherwise specified in this Call-Off Contract, a Party will not acquire any right, title or interest in or to the Intellectual Property Rights (IPRs) of the other Party or its Licensors.</w:t>
      </w:r>
    </w:p>
    <w:p w14:paraId="1B9AC09E" w14:textId="77777777" w:rsidR="003C7B6B" w:rsidRDefault="003C7B6B">
      <w:pPr>
        <w:ind w:left="720"/>
      </w:pPr>
    </w:p>
    <w:p w14:paraId="1B9AC09F" w14:textId="77777777" w:rsidR="003C7B6B" w:rsidRDefault="00471E86">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1B9AC0A0" w14:textId="77777777" w:rsidR="003C7B6B" w:rsidRDefault="003C7B6B">
      <w:pPr>
        <w:ind w:left="720"/>
      </w:pPr>
    </w:p>
    <w:p w14:paraId="1B9AC0A1" w14:textId="77777777" w:rsidR="003C7B6B" w:rsidRDefault="00471E86">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1B9AC0A2" w14:textId="77777777" w:rsidR="003C7B6B" w:rsidRDefault="003C7B6B">
      <w:pPr>
        <w:ind w:left="720"/>
      </w:pPr>
    </w:p>
    <w:p w14:paraId="1B9AC0A3" w14:textId="77777777" w:rsidR="003C7B6B" w:rsidRDefault="00471E86">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1B9AC0A4" w14:textId="77777777" w:rsidR="003C7B6B" w:rsidRDefault="003C7B6B">
      <w:pPr>
        <w:ind w:left="720"/>
      </w:pPr>
    </w:p>
    <w:p w14:paraId="1B9AC0A5" w14:textId="77777777" w:rsidR="003C7B6B" w:rsidRDefault="00471E86">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1B9AC0A6" w14:textId="77777777" w:rsidR="003C7B6B" w:rsidRDefault="003C7B6B">
      <w:pPr>
        <w:ind w:firstLine="720"/>
      </w:pPr>
    </w:p>
    <w:p w14:paraId="1B9AC0A7" w14:textId="77777777" w:rsidR="003C7B6B" w:rsidRDefault="00471E86">
      <w:pPr>
        <w:ind w:firstLine="720"/>
      </w:pPr>
      <w:r>
        <w:t>11.5.1</w:t>
      </w:r>
      <w:r>
        <w:tab/>
        <w:t>rights granted to the Buyer under this Call-Off Contract</w:t>
      </w:r>
    </w:p>
    <w:p w14:paraId="1B9AC0A8" w14:textId="77777777" w:rsidR="003C7B6B" w:rsidRDefault="003C7B6B"/>
    <w:p w14:paraId="1B9AC0A9" w14:textId="77777777" w:rsidR="003C7B6B" w:rsidRDefault="00471E86">
      <w:pPr>
        <w:ind w:firstLine="720"/>
      </w:pPr>
      <w:r>
        <w:t>11.5.2</w:t>
      </w:r>
      <w:r>
        <w:tab/>
        <w:t>Supplier’s performance of the Services</w:t>
      </w:r>
    </w:p>
    <w:p w14:paraId="1B9AC0AA" w14:textId="77777777" w:rsidR="003C7B6B" w:rsidRDefault="003C7B6B">
      <w:pPr>
        <w:ind w:firstLine="720"/>
      </w:pPr>
    </w:p>
    <w:p w14:paraId="1B9AC0AB" w14:textId="77777777" w:rsidR="003C7B6B" w:rsidRDefault="00471E86">
      <w:pPr>
        <w:ind w:firstLine="720"/>
      </w:pPr>
      <w:r>
        <w:t>11.5.3</w:t>
      </w:r>
      <w:r>
        <w:tab/>
        <w:t>use by the Buyer of the Services</w:t>
      </w:r>
    </w:p>
    <w:p w14:paraId="1B9AC0AC" w14:textId="77777777" w:rsidR="003C7B6B" w:rsidRDefault="003C7B6B">
      <w:pPr>
        <w:ind w:firstLine="720"/>
      </w:pPr>
    </w:p>
    <w:p w14:paraId="1B9AC0AD" w14:textId="77777777" w:rsidR="003C7B6B" w:rsidRDefault="00471E86">
      <w:pPr>
        <w:ind w:left="720" w:hanging="720"/>
      </w:pPr>
      <w:r>
        <w:t>11.6</w:t>
      </w:r>
      <w:r>
        <w:tab/>
        <w:t>If an IPR Claim is made, or is likely to be made, the Supplier will immediately notify the Buyer in writing and must at its own expense after written approval from the Buyer, either:</w:t>
      </w:r>
    </w:p>
    <w:p w14:paraId="1B9AC0AE" w14:textId="77777777" w:rsidR="003C7B6B" w:rsidRDefault="003C7B6B">
      <w:pPr>
        <w:ind w:firstLine="720"/>
      </w:pPr>
    </w:p>
    <w:p w14:paraId="1B9AC0AF" w14:textId="77777777" w:rsidR="003C7B6B" w:rsidRDefault="00471E86">
      <w:pPr>
        <w:ind w:left="1440" w:hanging="720"/>
      </w:pPr>
      <w:r>
        <w:t>11.6.1</w:t>
      </w:r>
      <w:r>
        <w:tab/>
        <w:t>modify the relevant part of the Services without reducing its functionality or performance</w:t>
      </w:r>
    </w:p>
    <w:p w14:paraId="1B9AC0B0" w14:textId="77777777" w:rsidR="003C7B6B" w:rsidRDefault="003C7B6B">
      <w:pPr>
        <w:ind w:left="720" w:firstLine="720"/>
      </w:pPr>
    </w:p>
    <w:p w14:paraId="1B9AC0B1" w14:textId="77777777" w:rsidR="003C7B6B" w:rsidRDefault="00471E86">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1B9AC0B2" w14:textId="77777777" w:rsidR="003C7B6B" w:rsidRDefault="003C7B6B">
      <w:pPr>
        <w:ind w:left="1440"/>
      </w:pPr>
    </w:p>
    <w:p w14:paraId="1B9AC0B3" w14:textId="77777777" w:rsidR="003C7B6B" w:rsidRDefault="00471E86">
      <w:pPr>
        <w:ind w:left="1440" w:hanging="720"/>
      </w:pPr>
      <w:r>
        <w:t>11.6.3</w:t>
      </w:r>
      <w:r>
        <w:tab/>
        <w:t>buy a licence to use and supply the Services which are the subject of the alleged infringement, on terms acceptable to the Buyer</w:t>
      </w:r>
    </w:p>
    <w:p w14:paraId="1B9AC0B4" w14:textId="77777777" w:rsidR="003C7B6B" w:rsidRDefault="003C7B6B">
      <w:pPr>
        <w:ind w:left="720" w:firstLine="720"/>
      </w:pPr>
    </w:p>
    <w:p w14:paraId="1B9AC0B5" w14:textId="77777777" w:rsidR="003C7B6B" w:rsidRDefault="00471E86">
      <w:r>
        <w:t>11.7</w:t>
      </w:r>
      <w:r>
        <w:tab/>
        <w:t>Clause 11.5 will not apply if the IPR Claim is from:</w:t>
      </w:r>
    </w:p>
    <w:p w14:paraId="1B9AC0B6" w14:textId="77777777" w:rsidR="003C7B6B" w:rsidRDefault="003C7B6B"/>
    <w:p w14:paraId="1B9AC0B7" w14:textId="77777777" w:rsidR="003C7B6B" w:rsidRDefault="00471E86">
      <w:pPr>
        <w:ind w:left="1440" w:hanging="720"/>
      </w:pPr>
      <w:r>
        <w:t>11.7.2</w:t>
      </w:r>
      <w:r>
        <w:tab/>
        <w:t>the use of data supplied by the Buyer which the Supplier isn’t required to verify under this Call-Off Contract</w:t>
      </w:r>
    </w:p>
    <w:p w14:paraId="1B9AC0B8" w14:textId="77777777" w:rsidR="003C7B6B" w:rsidRDefault="003C7B6B">
      <w:pPr>
        <w:ind w:left="720" w:firstLine="720"/>
      </w:pPr>
    </w:p>
    <w:p w14:paraId="1B9AC0B9" w14:textId="77777777" w:rsidR="003C7B6B" w:rsidRDefault="00471E86">
      <w:pPr>
        <w:ind w:firstLine="720"/>
      </w:pPr>
      <w:r>
        <w:t>11.7.3</w:t>
      </w:r>
      <w:r>
        <w:tab/>
        <w:t>other material provided by the Buyer necessary for the Services</w:t>
      </w:r>
    </w:p>
    <w:p w14:paraId="1B9AC0BA" w14:textId="77777777" w:rsidR="003C7B6B" w:rsidRDefault="003C7B6B">
      <w:pPr>
        <w:ind w:firstLine="720"/>
      </w:pPr>
    </w:p>
    <w:p w14:paraId="1B9AC0BB" w14:textId="77777777" w:rsidR="003C7B6B" w:rsidRDefault="00471E86">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1B9AC0BC" w14:textId="77777777" w:rsidR="003C7B6B" w:rsidRDefault="003C7B6B">
      <w:pPr>
        <w:ind w:left="720" w:hanging="720"/>
      </w:pPr>
    </w:p>
    <w:p w14:paraId="1B9AC0BD" w14:textId="77777777" w:rsidR="003C7B6B" w:rsidRDefault="00471E86">
      <w:pPr>
        <w:pStyle w:val="Heading3"/>
        <w:rPr>
          <w:color w:val="auto"/>
        </w:rPr>
      </w:pPr>
      <w:r>
        <w:rPr>
          <w:color w:val="auto"/>
        </w:rPr>
        <w:t>12.</w:t>
      </w:r>
      <w:r>
        <w:rPr>
          <w:color w:val="auto"/>
        </w:rPr>
        <w:tab/>
        <w:t>Protection of information</w:t>
      </w:r>
    </w:p>
    <w:p w14:paraId="1B9AC0BE" w14:textId="77777777" w:rsidR="003C7B6B" w:rsidRDefault="00471E86">
      <w:pPr>
        <w:spacing w:before="240" w:after="240"/>
      </w:pPr>
      <w:r>
        <w:t>12.1</w:t>
      </w:r>
      <w:r>
        <w:tab/>
        <w:t>The Supplier must:</w:t>
      </w:r>
    </w:p>
    <w:p w14:paraId="1B9AC0BF" w14:textId="77777777" w:rsidR="003C7B6B" w:rsidRDefault="00471E86">
      <w:pPr>
        <w:ind w:left="1440" w:hanging="720"/>
      </w:pPr>
      <w:r>
        <w:t>12.1.1</w:t>
      </w:r>
      <w:r>
        <w:tab/>
        <w:t>comply with the Buyer’s written instructions and this Call-Off Contract when Processing Buyer Personal Data</w:t>
      </w:r>
    </w:p>
    <w:p w14:paraId="1B9AC0C0" w14:textId="77777777" w:rsidR="003C7B6B" w:rsidRDefault="003C7B6B">
      <w:pPr>
        <w:ind w:left="720" w:firstLine="720"/>
      </w:pPr>
    </w:p>
    <w:p w14:paraId="1B9AC0C1" w14:textId="77777777" w:rsidR="003C7B6B" w:rsidRDefault="00471E86">
      <w:pPr>
        <w:ind w:left="1440" w:hanging="720"/>
      </w:pPr>
      <w:r>
        <w:t>12.1.2</w:t>
      </w:r>
      <w:r>
        <w:tab/>
        <w:t>only Process the Buyer Personal Data as necessary for the provision of the G-Cloud Services or as required by Law or any Regulatory Body</w:t>
      </w:r>
    </w:p>
    <w:p w14:paraId="1B9AC0C2" w14:textId="77777777" w:rsidR="003C7B6B" w:rsidRDefault="003C7B6B">
      <w:pPr>
        <w:ind w:left="720" w:firstLine="720"/>
      </w:pPr>
    </w:p>
    <w:p w14:paraId="1B9AC0C3" w14:textId="77777777" w:rsidR="003C7B6B" w:rsidRDefault="00471E86">
      <w:pPr>
        <w:ind w:left="1440" w:hanging="720"/>
      </w:pPr>
      <w:r>
        <w:t>12.1.3</w:t>
      </w:r>
      <w:r>
        <w:tab/>
        <w:t>take reasonable steps to ensure that any Supplier Staff who have access to Buyer Personal Data act in compliance with Supplier's security processes</w:t>
      </w:r>
    </w:p>
    <w:p w14:paraId="1B9AC0C4" w14:textId="77777777" w:rsidR="003C7B6B" w:rsidRDefault="003C7B6B">
      <w:pPr>
        <w:ind w:left="720" w:firstLine="720"/>
      </w:pPr>
    </w:p>
    <w:p w14:paraId="1B9AC0C5" w14:textId="77777777" w:rsidR="003C7B6B" w:rsidRDefault="00471E86">
      <w:pPr>
        <w:ind w:left="720" w:hanging="720"/>
      </w:pPr>
      <w:r>
        <w:t>12.2</w:t>
      </w:r>
      <w:r>
        <w:tab/>
        <w:t>The Supplier must fully assist with any complaint or request for Buyer Personal Data including by:</w:t>
      </w:r>
    </w:p>
    <w:p w14:paraId="1B9AC0C6" w14:textId="77777777" w:rsidR="003C7B6B" w:rsidRDefault="003C7B6B">
      <w:pPr>
        <w:ind w:firstLine="720"/>
      </w:pPr>
    </w:p>
    <w:p w14:paraId="1B9AC0C7" w14:textId="77777777" w:rsidR="003C7B6B" w:rsidRDefault="00471E86">
      <w:pPr>
        <w:ind w:firstLine="720"/>
      </w:pPr>
      <w:r>
        <w:t>12.2.1</w:t>
      </w:r>
      <w:r>
        <w:tab/>
        <w:t>providing the Buyer with full details of the complaint or request</w:t>
      </w:r>
    </w:p>
    <w:p w14:paraId="1B9AC0C8" w14:textId="77777777" w:rsidR="003C7B6B" w:rsidRDefault="003C7B6B">
      <w:pPr>
        <w:ind w:firstLine="720"/>
      </w:pPr>
    </w:p>
    <w:p w14:paraId="1B9AC0C9" w14:textId="77777777" w:rsidR="003C7B6B" w:rsidRDefault="00471E86">
      <w:pPr>
        <w:ind w:left="1440" w:hanging="720"/>
      </w:pPr>
      <w:r>
        <w:t>12.2.2</w:t>
      </w:r>
      <w:r>
        <w:tab/>
        <w:t>complying with a data access request within the timescales in the Data Protection Legislation and following the Buyer’s instructions</w:t>
      </w:r>
    </w:p>
    <w:p w14:paraId="1B9AC0CA" w14:textId="77777777" w:rsidR="003C7B6B" w:rsidRDefault="003C7B6B"/>
    <w:p w14:paraId="1B9AC0CB" w14:textId="77777777" w:rsidR="003C7B6B" w:rsidRDefault="00471E86">
      <w:pPr>
        <w:ind w:left="1440" w:hanging="720"/>
      </w:pPr>
      <w:r>
        <w:t>12.2.3</w:t>
      </w:r>
      <w:r>
        <w:tab/>
        <w:t>providing the Buyer with any Buyer Personal Data it holds about a Data Subject (within the timescales required by the Buyer)</w:t>
      </w:r>
    </w:p>
    <w:p w14:paraId="1B9AC0CC" w14:textId="77777777" w:rsidR="003C7B6B" w:rsidRDefault="003C7B6B">
      <w:pPr>
        <w:ind w:left="720" w:firstLine="720"/>
      </w:pPr>
    </w:p>
    <w:p w14:paraId="1B9AC0CD" w14:textId="77777777" w:rsidR="003C7B6B" w:rsidRDefault="00471E86">
      <w:pPr>
        <w:ind w:firstLine="720"/>
      </w:pPr>
      <w:r>
        <w:t>12.2.4</w:t>
      </w:r>
      <w:r>
        <w:tab/>
        <w:t>providing the Buyer with any information requested by the Data Subject</w:t>
      </w:r>
    </w:p>
    <w:p w14:paraId="1B9AC0CE" w14:textId="77777777" w:rsidR="003C7B6B" w:rsidRDefault="003C7B6B">
      <w:pPr>
        <w:ind w:firstLine="720"/>
      </w:pPr>
    </w:p>
    <w:p w14:paraId="1B9AC0CF" w14:textId="77777777" w:rsidR="003C7B6B" w:rsidRDefault="00471E86">
      <w:pPr>
        <w:ind w:left="720" w:hanging="720"/>
      </w:pPr>
      <w:r>
        <w:t>12.3</w:t>
      </w:r>
      <w:r>
        <w:tab/>
        <w:t>The Supplier must get prior written consent from the Buyer to transfer Buyer Personal Data to any other person (including any Subcontractors) for the provision of the G-Cloud Services.</w:t>
      </w:r>
    </w:p>
    <w:p w14:paraId="1B9AC0D0" w14:textId="77777777" w:rsidR="003C7B6B" w:rsidRDefault="003C7B6B">
      <w:pPr>
        <w:ind w:left="720" w:hanging="720"/>
      </w:pPr>
    </w:p>
    <w:p w14:paraId="1B9AC0D1" w14:textId="77777777" w:rsidR="003C7B6B" w:rsidRDefault="00471E86">
      <w:pPr>
        <w:pStyle w:val="Heading3"/>
        <w:rPr>
          <w:color w:val="auto"/>
        </w:rPr>
      </w:pPr>
      <w:r>
        <w:rPr>
          <w:color w:val="auto"/>
        </w:rPr>
        <w:lastRenderedPageBreak/>
        <w:t>13.</w:t>
      </w:r>
      <w:r>
        <w:rPr>
          <w:color w:val="auto"/>
        </w:rPr>
        <w:tab/>
        <w:t>Buyer data</w:t>
      </w:r>
    </w:p>
    <w:p w14:paraId="1B9AC0D2" w14:textId="77777777" w:rsidR="003C7B6B" w:rsidRDefault="00471E86">
      <w:pPr>
        <w:spacing w:before="240" w:after="240"/>
      </w:pPr>
      <w:r>
        <w:t>13.1</w:t>
      </w:r>
      <w:r>
        <w:tab/>
        <w:t>The Supplier must not remove any proprietary notices in the Buyer Data.</w:t>
      </w:r>
    </w:p>
    <w:p w14:paraId="1B9AC0D3" w14:textId="77777777" w:rsidR="003C7B6B" w:rsidRDefault="00471E86">
      <w:r>
        <w:t>13.2</w:t>
      </w:r>
      <w:r>
        <w:tab/>
        <w:t>The Supplier will not store or use Buyer Data except if necessary to fulfil its</w:t>
      </w:r>
    </w:p>
    <w:p w14:paraId="1B9AC0D4" w14:textId="77777777" w:rsidR="003C7B6B" w:rsidRDefault="00471E86">
      <w:pPr>
        <w:ind w:firstLine="720"/>
      </w:pPr>
      <w:r>
        <w:t>obligations.</w:t>
      </w:r>
    </w:p>
    <w:p w14:paraId="1B9AC0D5" w14:textId="77777777" w:rsidR="003C7B6B" w:rsidRDefault="003C7B6B"/>
    <w:p w14:paraId="1B9AC0D6" w14:textId="77777777" w:rsidR="003C7B6B" w:rsidRDefault="00471E86">
      <w:pPr>
        <w:ind w:left="720" w:hanging="720"/>
      </w:pPr>
      <w:r>
        <w:t>13.3</w:t>
      </w:r>
      <w:r>
        <w:tab/>
        <w:t>If Buyer Data is processed by the Supplier, the Supplier will supply the data to the Buyer as requested.</w:t>
      </w:r>
    </w:p>
    <w:p w14:paraId="1B9AC0D7" w14:textId="77777777" w:rsidR="003C7B6B" w:rsidRDefault="003C7B6B"/>
    <w:p w14:paraId="1B9AC0D8" w14:textId="77777777" w:rsidR="003C7B6B" w:rsidRDefault="00471E86">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1B9AC0D9" w14:textId="77777777" w:rsidR="003C7B6B" w:rsidRDefault="003C7B6B">
      <w:pPr>
        <w:ind w:left="720"/>
      </w:pPr>
    </w:p>
    <w:p w14:paraId="1B9AC0DA" w14:textId="77777777" w:rsidR="003C7B6B" w:rsidRDefault="00471E86">
      <w:pPr>
        <w:ind w:left="720" w:hanging="720"/>
      </w:pPr>
      <w:r>
        <w:t>13.5</w:t>
      </w:r>
      <w:r>
        <w:tab/>
        <w:t>The Supplier will preserve the integrity of Buyer Data processed by the Supplier and prevent its corruption and loss.</w:t>
      </w:r>
    </w:p>
    <w:p w14:paraId="1B9AC0DB" w14:textId="77777777" w:rsidR="003C7B6B" w:rsidRDefault="003C7B6B">
      <w:pPr>
        <w:ind w:firstLine="720"/>
      </w:pPr>
    </w:p>
    <w:p w14:paraId="1B9AC0DC" w14:textId="77777777" w:rsidR="003C7B6B" w:rsidRDefault="00471E86">
      <w:pPr>
        <w:ind w:left="720" w:hanging="720"/>
      </w:pPr>
      <w:r>
        <w:t>13.6</w:t>
      </w:r>
      <w:r>
        <w:tab/>
        <w:t>The Supplier will ensure that any Supplier system which holds any protectively marked Buyer Data or other government data will comply with:</w:t>
      </w:r>
    </w:p>
    <w:p w14:paraId="1B9AC0DD" w14:textId="77777777" w:rsidR="003C7B6B" w:rsidRDefault="003C7B6B">
      <w:pPr>
        <w:ind w:firstLine="720"/>
      </w:pPr>
    </w:p>
    <w:p w14:paraId="1B9AC0DE" w14:textId="77777777" w:rsidR="003C7B6B" w:rsidRDefault="00471E86">
      <w:pPr>
        <w:ind w:firstLine="720"/>
      </w:pPr>
      <w:r>
        <w:t>13.6.1</w:t>
      </w:r>
      <w:r>
        <w:tab/>
        <w:t>the principles in the Security Policy Framework:</w:t>
      </w:r>
      <w:hyperlink r:id="rId15" w:history="1">
        <w:r>
          <w:rPr>
            <w:u w:val="single"/>
          </w:rPr>
          <w:t xml:space="preserve"> </w:t>
        </w:r>
      </w:hyperlink>
    </w:p>
    <w:p w14:paraId="1B9AC0DF" w14:textId="77777777" w:rsidR="003C7B6B" w:rsidRDefault="001370FD">
      <w:pPr>
        <w:ind w:left="1440"/>
      </w:pPr>
      <w:hyperlink r:id="rId16" w:history="1">
        <w:r w:rsidR="00471E86">
          <w:rPr>
            <w:rStyle w:val="Hyperlink"/>
          </w:rPr>
          <w:t>https://www.gov.uk/government/publications/security-policy-framework</w:t>
        </w:r>
      </w:hyperlink>
      <w:r w:rsidR="00471E86">
        <w:rPr>
          <w:rStyle w:val="Hyperlink"/>
          <w:color w:val="auto"/>
        </w:rPr>
        <w:t xml:space="preserve"> and</w:t>
      </w:r>
    </w:p>
    <w:p w14:paraId="1B9AC0E0" w14:textId="77777777" w:rsidR="003C7B6B" w:rsidRDefault="00471E86">
      <w:pPr>
        <w:ind w:left="1440"/>
      </w:pPr>
      <w:r>
        <w:t>the Government Security Classification policy:</w:t>
      </w:r>
      <w:r>
        <w:rPr>
          <w:u w:val="single"/>
        </w:rPr>
        <w:t xml:space="preserve"> https:/www.gov.uk/government/publications/government-security-classifications</w:t>
      </w:r>
    </w:p>
    <w:p w14:paraId="1B9AC0E1" w14:textId="77777777" w:rsidR="003C7B6B" w:rsidRDefault="003C7B6B">
      <w:pPr>
        <w:ind w:left="1440"/>
      </w:pPr>
    </w:p>
    <w:p w14:paraId="1B9AC0E2" w14:textId="77777777" w:rsidR="003C7B6B" w:rsidRDefault="00471E86">
      <w:pPr>
        <w:ind w:firstLine="720"/>
      </w:pPr>
      <w:r>
        <w:t>13.6.2</w:t>
      </w:r>
      <w:r>
        <w:tab/>
        <w:t>guidance issued by the Centre for Protection of National Infrastructure on</w:t>
      </w:r>
    </w:p>
    <w:p w14:paraId="1B9AC0E3" w14:textId="77777777" w:rsidR="003C7B6B" w:rsidRDefault="00471E86">
      <w:pPr>
        <w:ind w:left="720" w:firstLine="720"/>
      </w:pPr>
      <w:r>
        <w:t>Risk Management:</w:t>
      </w:r>
    </w:p>
    <w:p w14:paraId="1B9AC0E4" w14:textId="77777777" w:rsidR="003C7B6B" w:rsidRDefault="001370FD">
      <w:pPr>
        <w:ind w:left="720" w:firstLine="720"/>
      </w:pPr>
      <w:hyperlink r:id="rId17" w:history="1">
        <w:r w:rsidR="00471E86">
          <w:rPr>
            <w:u w:val="single"/>
          </w:rPr>
          <w:t>https://www.cpni.gov.uk/content/adopt-risk-management-approach</w:t>
        </w:r>
      </w:hyperlink>
      <w:r w:rsidR="00471E86">
        <w:t xml:space="preserve"> and</w:t>
      </w:r>
    </w:p>
    <w:p w14:paraId="1B9AC0E5" w14:textId="77777777" w:rsidR="003C7B6B" w:rsidRDefault="00471E86">
      <w:pPr>
        <w:ind w:left="720" w:firstLine="720"/>
      </w:pPr>
      <w:r>
        <w:t>Protection of Sensitive Information and Assets:</w:t>
      </w:r>
      <w:hyperlink r:id="rId18" w:history="1">
        <w:r>
          <w:rPr>
            <w:u w:val="single"/>
          </w:rPr>
          <w:t xml:space="preserve"> </w:t>
        </w:r>
      </w:hyperlink>
    </w:p>
    <w:p w14:paraId="1B9AC0E6" w14:textId="77777777" w:rsidR="003C7B6B" w:rsidRDefault="001370FD">
      <w:pPr>
        <w:ind w:left="720" w:firstLine="720"/>
      </w:pPr>
      <w:hyperlink r:id="rId19" w:history="1">
        <w:r w:rsidR="00471E86">
          <w:rPr>
            <w:u w:val="single"/>
          </w:rPr>
          <w:t>https://www.cpni.gov.uk/protection-sensitive-information-and-assets</w:t>
        </w:r>
      </w:hyperlink>
    </w:p>
    <w:p w14:paraId="1B9AC0E7" w14:textId="77777777" w:rsidR="003C7B6B" w:rsidRDefault="003C7B6B">
      <w:pPr>
        <w:ind w:left="720" w:firstLine="720"/>
      </w:pPr>
    </w:p>
    <w:p w14:paraId="1B9AC0E8" w14:textId="77777777" w:rsidR="003C7B6B" w:rsidRDefault="00471E86">
      <w:pPr>
        <w:ind w:left="1440" w:hanging="720"/>
      </w:pPr>
      <w:r>
        <w:t>13.6.3</w:t>
      </w:r>
      <w:r>
        <w:tab/>
        <w:t>the National Cyber Security Centre’s (NCSC) information risk management guidance:</w:t>
      </w:r>
    </w:p>
    <w:p w14:paraId="1B9AC0E9" w14:textId="77777777" w:rsidR="003C7B6B" w:rsidRDefault="001370FD">
      <w:pPr>
        <w:ind w:left="720" w:firstLine="720"/>
      </w:pPr>
      <w:hyperlink r:id="rId20" w:history="1">
        <w:r w:rsidR="00471E86">
          <w:rPr>
            <w:u w:val="single"/>
          </w:rPr>
          <w:t>https://www.ncsc.gov.uk/collection/risk-management-collection</w:t>
        </w:r>
      </w:hyperlink>
    </w:p>
    <w:p w14:paraId="1B9AC0EA" w14:textId="77777777" w:rsidR="003C7B6B" w:rsidRDefault="003C7B6B"/>
    <w:p w14:paraId="1B9AC0EB" w14:textId="77777777" w:rsidR="003C7B6B" w:rsidRDefault="00471E86">
      <w:pPr>
        <w:ind w:left="1440" w:hanging="720"/>
      </w:pPr>
      <w:r>
        <w:t>13.6.4</w:t>
      </w:r>
      <w:r>
        <w:tab/>
        <w:t>government best practice in the design and implementation of system components, including network principles, security design principles for digital services and the secure email blueprint:</w:t>
      </w:r>
    </w:p>
    <w:p w14:paraId="1B9AC0EC" w14:textId="77777777" w:rsidR="003C7B6B" w:rsidRDefault="001370FD">
      <w:pPr>
        <w:ind w:left="1440"/>
      </w:pPr>
      <w:hyperlink r:id="rId21" w:history="1">
        <w:r w:rsidR="00471E86">
          <w:rPr>
            <w:rStyle w:val="Hyperlink"/>
            <w:color w:val="auto"/>
          </w:rPr>
          <w:t>https://www.gov.uk/government/publications/technology-code-of-practice/technology-code-of-practice</w:t>
        </w:r>
      </w:hyperlink>
    </w:p>
    <w:p w14:paraId="1B9AC0ED" w14:textId="77777777" w:rsidR="003C7B6B" w:rsidRDefault="003C7B6B">
      <w:pPr>
        <w:ind w:left="1440"/>
      </w:pPr>
    </w:p>
    <w:p w14:paraId="1B9AC0EE" w14:textId="77777777" w:rsidR="003C7B6B" w:rsidRDefault="00471E86">
      <w:pPr>
        <w:ind w:left="1440" w:hanging="720"/>
      </w:pPr>
      <w:r>
        <w:t>13.6.5</w:t>
      </w:r>
      <w:r>
        <w:tab/>
        <w:t>the security requirements of cloud services using the NCSC Cloud Security Principles and accompanying guidance:</w:t>
      </w:r>
      <w:hyperlink r:id="rId22" w:history="1">
        <w:r>
          <w:rPr>
            <w:u w:val="single"/>
          </w:rPr>
          <w:t xml:space="preserve"> </w:t>
        </w:r>
      </w:hyperlink>
    </w:p>
    <w:p w14:paraId="1B9AC0EF" w14:textId="77777777" w:rsidR="003C7B6B" w:rsidRDefault="001370FD">
      <w:pPr>
        <w:ind w:left="720" w:firstLine="720"/>
      </w:pPr>
      <w:hyperlink r:id="rId23" w:history="1">
        <w:r w:rsidR="00471E86">
          <w:rPr>
            <w:rStyle w:val="Hyperlink"/>
            <w:color w:val="auto"/>
          </w:rPr>
          <w:t>https://www.ncsc.gov.uk/guidance/implementing-cloud-security-principles</w:t>
        </w:r>
      </w:hyperlink>
    </w:p>
    <w:p w14:paraId="1B9AC0F0" w14:textId="77777777" w:rsidR="003C7B6B" w:rsidRDefault="003C7B6B"/>
    <w:p w14:paraId="1B9AC0F1" w14:textId="77777777" w:rsidR="003C7B6B" w:rsidRDefault="00471E86">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1B9AC0F2" w14:textId="77777777" w:rsidR="003C7B6B" w:rsidRDefault="003C7B6B"/>
    <w:p w14:paraId="1B9AC0F3" w14:textId="77777777" w:rsidR="003C7B6B" w:rsidRDefault="00471E86">
      <w:r>
        <w:t>13.7</w:t>
      </w:r>
      <w:r>
        <w:tab/>
        <w:t>The Buyer will specify any security requirements for this project in the Order Form.</w:t>
      </w:r>
    </w:p>
    <w:p w14:paraId="1B9AC0F4" w14:textId="77777777" w:rsidR="003C7B6B" w:rsidRDefault="003C7B6B"/>
    <w:p w14:paraId="1B9AC0F5" w14:textId="77777777" w:rsidR="003C7B6B" w:rsidRDefault="00471E86">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B9AC0F6" w14:textId="77777777" w:rsidR="003C7B6B" w:rsidRDefault="003C7B6B">
      <w:pPr>
        <w:ind w:left="720"/>
      </w:pPr>
    </w:p>
    <w:p w14:paraId="1B9AC0F7" w14:textId="77777777" w:rsidR="003C7B6B" w:rsidRDefault="00471E86">
      <w:pPr>
        <w:ind w:left="720" w:hanging="720"/>
      </w:pPr>
      <w:r>
        <w:t>13.9</w:t>
      </w:r>
      <w:r>
        <w:tab/>
        <w:t>The Supplier agrees to use the appropriate organisational, operational and technological processes to keep the Buyer Data safe from unauthorised use or access, loss, destruction, theft or disclosure.</w:t>
      </w:r>
    </w:p>
    <w:p w14:paraId="1B9AC0F8" w14:textId="77777777" w:rsidR="003C7B6B" w:rsidRDefault="003C7B6B">
      <w:pPr>
        <w:ind w:left="720"/>
      </w:pPr>
    </w:p>
    <w:p w14:paraId="1B9AC0F9" w14:textId="77777777" w:rsidR="003C7B6B" w:rsidRDefault="00471E86">
      <w:pPr>
        <w:ind w:left="720" w:hanging="720"/>
      </w:pPr>
      <w:r>
        <w:t>13.10</w:t>
      </w:r>
      <w:r>
        <w:tab/>
        <w:t>The provisions of this clause 13 will apply during the term of this Call-Off Contract and for as long as the Supplier holds the Buyer’s Data.</w:t>
      </w:r>
    </w:p>
    <w:p w14:paraId="1B9AC0FA" w14:textId="77777777" w:rsidR="003C7B6B" w:rsidRDefault="003C7B6B">
      <w:pPr>
        <w:spacing w:before="240" w:after="240"/>
      </w:pPr>
    </w:p>
    <w:p w14:paraId="1B9AC0FB" w14:textId="77777777" w:rsidR="003C7B6B" w:rsidRDefault="00471E86">
      <w:pPr>
        <w:pStyle w:val="Heading3"/>
        <w:rPr>
          <w:color w:val="auto"/>
        </w:rPr>
      </w:pPr>
      <w:r>
        <w:rPr>
          <w:color w:val="auto"/>
        </w:rPr>
        <w:t>14.</w:t>
      </w:r>
      <w:r>
        <w:rPr>
          <w:color w:val="auto"/>
        </w:rPr>
        <w:tab/>
        <w:t>Standards and quality</w:t>
      </w:r>
    </w:p>
    <w:p w14:paraId="1B9AC0FC" w14:textId="77777777" w:rsidR="003C7B6B" w:rsidRDefault="00471E86">
      <w:pPr>
        <w:ind w:left="720" w:hanging="720"/>
      </w:pPr>
      <w:r>
        <w:t>14.1</w:t>
      </w:r>
      <w:r>
        <w:tab/>
        <w:t>The Supplier will comply with any standards in this Call-Off Contract, the Order Form and the Framework Agreement.</w:t>
      </w:r>
    </w:p>
    <w:p w14:paraId="1B9AC0FD" w14:textId="77777777" w:rsidR="003C7B6B" w:rsidRDefault="003C7B6B">
      <w:pPr>
        <w:ind w:firstLine="720"/>
      </w:pPr>
    </w:p>
    <w:p w14:paraId="1B9AC0FE" w14:textId="77777777" w:rsidR="003C7B6B" w:rsidRDefault="00471E86">
      <w:pPr>
        <w:ind w:left="720" w:hanging="720"/>
      </w:pPr>
      <w:r>
        <w:t>14.2</w:t>
      </w:r>
      <w:r>
        <w:tab/>
        <w:t>The Supplier will deliver the Services in a way that enables the Buyer to comply with its obligations under the Technology Code of Practice, which is at:</w:t>
      </w:r>
      <w:hyperlink r:id="rId24" w:history="1">
        <w:r>
          <w:rPr>
            <w:u w:val="single"/>
          </w:rPr>
          <w:t xml:space="preserve"> </w:t>
        </w:r>
      </w:hyperlink>
    </w:p>
    <w:p w14:paraId="1B9AC0FF" w14:textId="77777777" w:rsidR="003C7B6B" w:rsidRDefault="001370FD">
      <w:pPr>
        <w:ind w:left="720"/>
      </w:pPr>
      <w:hyperlink r:id="rId25" w:history="1">
        <w:r w:rsidR="00471E86">
          <w:rPr>
            <w:u w:val="single"/>
          </w:rPr>
          <w:t>https://www.gov.uk/government/publications/technology-code-of-practice/technology-code-of-practice</w:t>
        </w:r>
      </w:hyperlink>
    </w:p>
    <w:p w14:paraId="1B9AC100" w14:textId="77777777" w:rsidR="003C7B6B" w:rsidRDefault="003C7B6B">
      <w:pPr>
        <w:ind w:left="720" w:hanging="720"/>
      </w:pPr>
    </w:p>
    <w:p w14:paraId="1B9AC101" w14:textId="77777777" w:rsidR="003C7B6B" w:rsidRDefault="00471E86">
      <w:pPr>
        <w:ind w:left="720" w:hanging="720"/>
      </w:pPr>
      <w:r>
        <w:t>14.3</w:t>
      </w:r>
      <w:r>
        <w:tab/>
        <w:t>If requested by the Buyer, the Supplier must, at its own cost, ensure that the G-Cloud Services comply with the requirements in the PSN Code of Practice.</w:t>
      </w:r>
    </w:p>
    <w:p w14:paraId="1B9AC102" w14:textId="77777777" w:rsidR="003C7B6B" w:rsidRDefault="003C7B6B">
      <w:pPr>
        <w:ind w:firstLine="720"/>
      </w:pPr>
    </w:p>
    <w:p w14:paraId="1B9AC103" w14:textId="77777777" w:rsidR="003C7B6B" w:rsidRDefault="00471E86">
      <w:pPr>
        <w:ind w:left="720" w:hanging="720"/>
      </w:pPr>
      <w:r>
        <w:t>14.4</w:t>
      </w:r>
      <w:r>
        <w:tab/>
        <w:t>If any PSN Services are Subcontracted by the Supplier, the Supplier must ensure that the services have the relevant PSN compliance certification.</w:t>
      </w:r>
    </w:p>
    <w:p w14:paraId="1B9AC104" w14:textId="77777777" w:rsidR="003C7B6B" w:rsidRDefault="003C7B6B">
      <w:pPr>
        <w:ind w:firstLine="720"/>
      </w:pPr>
    </w:p>
    <w:p w14:paraId="1B9AC105" w14:textId="77777777" w:rsidR="003C7B6B" w:rsidRDefault="00471E86">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1B9AC106" w14:textId="77777777" w:rsidR="003C7B6B" w:rsidRDefault="00471E86">
      <w:r>
        <w:t xml:space="preserve"> </w:t>
      </w:r>
    </w:p>
    <w:p w14:paraId="1B9AC107" w14:textId="77777777" w:rsidR="003C7B6B" w:rsidRDefault="00471E86">
      <w:pPr>
        <w:pStyle w:val="Heading3"/>
        <w:rPr>
          <w:color w:val="auto"/>
        </w:rPr>
      </w:pPr>
      <w:r>
        <w:rPr>
          <w:color w:val="auto"/>
        </w:rPr>
        <w:t>15.</w:t>
      </w:r>
      <w:r>
        <w:rPr>
          <w:color w:val="auto"/>
        </w:rPr>
        <w:tab/>
        <w:t>Open source</w:t>
      </w:r>
    </w:p>
    <w:p w14:paraId="1B9AC108" w14:textId="77777777" w:rsidR="003C7B6B" w:rsidRDefault="00471E86">
      <w:pPr>
        <w:ind w:left="720" w:hanging="720"/>
      </w:pPr>
      <w:r>
        <w:t>15.1</w:t>
      </w:r>
      <w:r>
        <w:tab/>
        <w:t>All software created for the Buyer must be suitable for publication as open source, unless otherwise agreed by the Buyer.</w:t>
      </w:r>
    </w:p>
    <w:p w14:paraId="1B9AC109" w14:textId="77777777" w:rsidR="003C7B6B" w:rsidRDefault="003C7B6B">
      <w:pPr>
        <w:ind w:firstLine="720"/>
      </w:pPr>
    </w:p>
    <w:p w14:paraId="1B9AC10A" w14:textId="77777777" w:rsidR="003C7B6B" w:rsidRDefault="00471E86">
      <w:pPr>
        <w:ind w:left="720" w:hanging="720"/>
      </w:pPr>
      <w:r>
        <w:t>15.2</w:t>
      </w:r>
      <w:r>
        <w:tab/>
        <w:t>If software needs to be converted before publication as open source, the Supplier must also provide the converted format unless otherwise agreed by the Buyer.</w:t>
      </w:r>
    </w:p>
    <w:p w14:paraId="1B9AC10B" w14:textId="77777777" w:rsidR="003C7B6B" w:rsidRDefault="00471E86">
      <w:pPr>
        <w:spacing w:before="240" w:after="240"/>
        <w:ind w:left="720"/>
      </w:pPr>
      <w:r>
        <w:t xml:space="preserve"> </w:t>
      </w:r>
    </w:p>
    <w:p w14:paraId="1B9AC10C" w14:textId="77777777" w:rsidR="003C7B6B" w:rsidRDefault="00471E86">
      <w:pPr>
        <w:pStyle w:val="Heading3"/>
        <w:rPr>
          <w:color w:val="auto"/>
        </w:rPr>
      </w:pPr>
      <w:r>
        <w:rPr>
          <w:color w:val="auto"/>
        </w:rPr>
        <w:t>16.</w:t>
      </w:r>
      <w:r>
        <w:rPr>
          <w:color w:val="auto"/>
        </w:rPr>
        <w:tab/>
        <w:t>Security</w:t>
      </w:r>
    </w:p>
    <w:p w14:paraId="1B9AC10D" w14:textId="77777777" w:rsidR="003C7B6B" w:rsidRDefault="00471E86">
      <w:pPr>
        <w:ind w:left="720" w:hanging="720"/>
      </w:pPr>
      <w:r>
        <w:t>16.1</w:t>
      </w:r>
      <w:r>
        <w:tab/>
        <w:t xml:space="preserve">If requested to do so by the Buyer, before entering into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B9AC10E" w14:textId="77777777" w:rsidR="003C7B6B" w:rsidRDefault="003C7B6B">
      <w:pPr>
        <w:ind w:left="720"/>
      </w:pPr>
    </w:p>
    <w:p w14:paraId="1B9AC10F" w14:textId="77777777" w:rsidR="003C7B6B" w:rsidRDefault="00471E86">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1B9AC110" w14:textId="77777777" w:rsidR="003C7B6B" w:rsidRDefault="003C7B6B">
      <w:pPr>
        <w:ind w:left="720"/>
      </w:pPr>
    </w:p>
    <w:p w14:paraId="1B9AC111" w14:textId="77777777" w:rsidR="003C7B6B" w:rsidRDefault="00471E86">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1B9AC112" w14:textId="77777777" w:rsidR="003C7B6B" w:rsidRDefault="003C7B6B">
      <w:pPr>
        <w:ind w:firstLine="720"/>
      </w:pPr>
    </w:p>
    <w:p w14:paraId="1B9AC113" w14:textId="77777777" w:rsidR="003C7B6B" w:rsidRDefault="00471E86">
      <w:r>
        <w:t>16.4</w:t>
      </w:r>
      <w:r>
        <w:tab/>
        <w:t>Responsibility for costs will be at the:</w:t>
      </w:r>
    </w:p>
    <w:p w14:paraId="1B9AC114" w14:textId="77777777" w:rsidR="003C7B6B" w:rsidRDefault="00471E86">
      <w:r>
        <w:tab/>
      </w:r>
    </w:p>
    <w:p w14:paraId="1B9AC115" w14:textId="77777777" w:rsidR="003C7B6B" w:rsidRDefault="00471E86">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B9AC116" w14:textId="77777777" w:rsidR="003C7B6B" w:rsidRDefault="003C7B6B">
      <w:pPr>
        <w:ind w:left="1440"/>
      </w:pPr>
    </w:p>
    <w:p w14:paraId="1B9AC117" w14:textId="77777777" w:rsidR="003C7B6B" w:rsidRDefault="00471E86">
      <w:pPr>
        <w:ind w:left="1440" w:hanging="720"/>
      </w:pPr>
      <w:r>
        <w:t>16.4.2</w:t>
      </w:r>
      <w:r>
        <w:tab/>
        <w:t>Buyer’s expense if the Malicious Software originates from the Buyer software or the Service Data, while the Service Data was under the Buyer’s control</w:t>
      </w:r>
    </w:p>
    <w:p w14:paraId="1B9AC118" w14:textId="77777777" w:rsidR="003C7B6B" w:rsidRDefault="003C7B6B">
      <w:pPr>
        <w:ind w:left="720" w:firstLine="720"/>
      </w:pPr>
    </w:p>
    <w:p w14:paraId="1B9AC119" w14:textId="77777777" w:rsidR="003C7B6B" w:rsidRDefault="00471E86">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1B9AC11A" w14:textId="77777777" w:rsidR="003C7B6B" w:rsidRDefault="003C7B6B">
      <w:pPr>
        <w:ind w:left="720"/>
      </w:pPr>
    </w:p>
    <w:p w14:paraId="1B9AC11B" w14:textId="77777777" w:rsidR="003C7B6B" w:rsidRDefault="00471E86">
      <w:pPr>
        <w:ind w:left="720" w:hanging="720"/>
      </w:pPr>
      <w:r>
        <w:t>16.6</w:t>
      </w:r>
      <w:r>
        <w:tab/>
        <w:t>Any system development by the Supplier should also comply with the government’s ‘10 Steps to Cyber Security’ guidance:</w:t>
      </w:r>
      <w:hyperlink r:id="rId26" w:history="1">
        <w:r>
          <w:rPr>
            <w:u w:val="single"/>
          </w:rPr>
          <w:t xml:space="preserve"> </w:t>
        </w:r>
      </w:hyperlink>
    </w:p>
    <w:p w14:paraId="1B9AC11C" w14:textId="77777777" w:rsidR="003C7B6B" w:rsidRDefault="001370FD">
      <w:pPr>
        <w:ind w:left="720"/>
      </w:pPr>
      <w:hyperlink r:id="rId27" w:history="1">
        <w:r w:rsidR="00471E86">
          <w:rPr>
            <w:u w:val="single"/>
          </w:rPr>
          <w:t>https://www.ncsc.gov.uk/guidance/10-steps-cyber-security</w:t>
        </w:r>
      </w:hyperlink>
    </w:p>
    <w:p w14:paraId="1B9AC11D" w14:textId="77777777" w:rsidR="003C7B6B" w:rsidRDefault="003C7B6B">
      <w:pPr>
        <w:ind w:left="720"/>
      </w:pPr>
    </w:p>
    <w:p w14:paraId="1B9AC11E" w14:textId="77777777" w:rsidR="003C7B6B" w:rsidRDefault="00471E86">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1B9AC11F" w14:textId="77777777" w:rsidR="003C7B6B" w:rsidRDefault="00471E86">
      <w:r>
        <w:t xml:space="preserve"> </w:t>
      </w:r>
    </w:p>
    <w:p w14:paraId="1B9AC120" w14:textId="77777777" w:rsidR="003C7B6B" w:rsidRDefault="00471E86">
      <w:pPr>
        <w:pStyle w:val="Heading3"/>
        <w:rPr>
          <w:color w:val="auto"/>
        </w:rPr>
      </w:pPr>
      <w:r>
        <w:rPr>
          <w:color w:val="auto"/>
        </w:rPr>
        <w:t>17.</w:t>
      </w:r>
      <w:r>
        <w:rPr>
          <w:color w:val="auto"/>
        </w:rPr>
        <w:tab/>
        <w:t>Guarantee</w:t>
      </w:r>
    </w:p>
    <w:p w14:paraId="1B9AC121" w14:textId="77777777" w:rsidR="003C7B6B" w:rsidRDefault="00471E86">
      <w:pPr>
        <w:ind w:left="720" w:hanging="720"/>
      </w:pPr>
      <w:r>
        <w:t>17.1</w:t>
      </w:r>
      <w:r>
        <w:tab/>
        <w:t>If this Call-Off Contract is conditional on receipt of a Guarantee that is acceptable to the Buyer, the Supplier must give the Buyer on or before the Start date:</w:t>
      </w:r>
    </w:p>
    <w:p w14:paraId="1B9AC122" w14:textId="77777777" w:rsidR="003C7B6B" w:rsidRDefault="003C7B6B">
      <w:pPr>
        <w:ind w:firstLine="720"/>
      </w:pPr>
    </w:p>
    <w:p w14:paraId="1B9AC123" w14:textId="77777777" w:rsidR="003C7B6B" w:rsidRDefault="00471E86">
      <w:pPr>
        <w:ind w:firstLine="720"/>
      </w:pPr>
      <w:r>
        <w:t>17.1.1</w:t>
      </w:r>
      <w:r>
        <w:tab/>
        <w:t>an executed Guarantee in the form at Schedule 5</w:t>
      </w:r>
    </w:p>
    <w:p w14:paraId="1B9AC124" w14:textId="77777777" w:rsidR="003C7B6B" w:rsidRDefault="003C7B6B"/>
    <w:p w14:paraId="1B9AC125" w14:textId="77777777" w:rsidR="003C7B6B" w:rsidRDefault="00471E86">
      <w:pPr>
        <w:ind w:left="1440" w:hanging="720"/>
      </w:pPr>
      <w:r>
        <w:t>17.1.2</w:t>
      </w:r>
      <w:r>
        <w:tab/>
        <w:t>a certified copy of the passed resolution or board minutes of the guarantor approving the execution of the Guarantee</w:t>
      </w:r>
    </w:p>
    <w:p w14:paraId="1B9AC126" w14:textId="77777777" w:rsidR="003C7B6B" w:rsidRDefault="003C7B6B">
      <w:pPr>
        <w:ind w:left="720" w:firstLine="720"/>
      </w:pPr>
    </w:p>
    <w:p w14:paraId="1B9AC127" w14:textId="77777777" w:rsidR="003C7B6B" w:rsidRDefault="00471E86">
      <w:pPr>
        <w:pStyle w:val="Heading3"/>
        <w:rPr>
          <w:color w:val="auto"/>
        </w:rPr>
      </w:pPr>
      <w:r>
        <w:rPr>
          <w:color w:val="auto"/>
        </w:rPr>
        <w:lastRenderedPageBreak/>
        <w:t>18.</w:t>
      </w:r>
      <w:r>
        <w:rPr>
          <w:color w:val="auto"/>
        </w:rPr>
        <w:tab/>
        <w:t>Ending the Call-Off Contract</w:t>
      </w:r>
    </w:p>
    <w:p w14:paraId="1B9AC128" w14:textId="77777777" w:rsidR="003C7B6B" w:rsidRDefault="00471E86">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1B9AC129" w14:textId="77777777" w:rsidR="003C7B6B" w:rsidRDefault="003C7B6B">
      <w:pPr>
        <w:ind w:left="720"/>
      </w:pPr>
    </w:p>
    <w:p w14:paraId="1B9AC12A" w14:textId="77777777" w:rsidR="003C7B6B" w:rsidRDefault="00471E86">
      <w:r>
        <w:t>18.2</w:t>
      </w:r>
      <w:r>
        <w:tab/>
        <w:t>The Parties agree that the:</w:t>
      </w:r>
    </w:p>
    <w:p w14:paraId="1B9AC12B" w14:textId="77777777" w:rsidR="003C7B6B" w:rsidRDefault="003C7B6B"/>
    <w:p w14:paraId="1B9AC12C" w14:textId="77777777" w:rsidR="003C7B6B" w:rsidRDefault="00471E86">
      <w:pPr>
        <w:ind w:left="1440" w:hanging="720"/>
      </w:pPr>
      <w:r>
        <w:t>18.2.1</w:t>
      </w:r>
      <w:r>
        <w:tab/>
        <w:t>Buyer’s right to End the Call-Off Contract under clause 18.1 is reasonable considering the type of cloud Service being provided</w:t>
      </w:r>
    </w:p>
    <w:p w14:paraId="1B9AC12D" w14:textId="77777777" w:rsidR="003C7B6B" w:rsidRDefault="003C7B6B">
      <w:pPr>
        <w:ind w:left="720"/>
      </w:pPr>
    </w:p>
    <w:p w14:paraId="1B9AC12E" w14:textId="77777777" w:rsidR="003C7B6B" w:rsidRDefault="00471E86">
      <w:pPr>
        <w:ind w:left="1440" w:hanging="720"/>
      </w:pPr>
      <w:r>
        <w:t>18.2.2</w:t>
      </w:r>
      <w:r>
        <w:tab/>
        <w:t>Call-Off Contract Charges paid during the notice period is reasonable compensation and covers all the Supplier’s avoidable costs or Losses</w:t>
      </w:r>
    </w:p>
    <w:p w14:paraId="1B9AC12F" w14:textId="77777777" w:rsidR="003C7B6B" w:rsidRDefault="003C7B6B">
      <w:pPr>
        <w:ind w:left="720" w:firstLine="720"/>
      </w:pPr>
    </w:p>
    <w:p w14:paraId="1B9AC130" w14:textId="77777777" w:rsidR="003C7B6B" w:rsidRDefault="00471E86">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B9AC131" w14:textId="77777777" w:rsidR="003C7B6B" w:rsidRDefault="003C7B6B">
      <w:pPr>
        <w:ind w:left="720"/>
      </w:pPr>
    </w:p>
    <w:p w14:paraId="1B9AC132" w14:textId="77777777" w:rsidR="003C7B6B" w:rsidRDefault="00471E86">
      <w:pPr>
        <w:ind w:left="720" w:hanging="720"/>
      </w:pPr>
      <w:r>
        <w:t>18.4</w:t>
      </w:r>
      <w:r>
        <w:tab/>
        <w:t>The Buyer will have the right to End this Call-Off Contract at any time with immediate effect by written notice to the Supplier if either the Supplier commits:</w:t>
      </w:r>
    </w:p>
    <w:p w14:paraId="1B9AC133" w14:textId="77777777" w:rsidR="003C7B6B" w:rsidRDefault="003C7B6B">
      <w:pPr>
        <w:ind w:firstLine="720"/>
      </w:pPr>
    </w:p>
    <w:p w14:paraId="1B9AC134" w14:textId="77777777" w:rsidR="003C7B6B" w:rsidRDefault="00471E86">
      <w:pPr>
        <w:ind w:left="1440" w:hanging="720"/>
      </w:pPr>
      <w:r>
        <w:t>18.4.1</w:t>
      </w:r>
      <w:r>
        <w:tab/>
        <w:t>a Supplier Default and if the Supplier Default cannot, in the reasonable opinion of the Buyer, be remedied</w:t>
      </w:r>
    </w:p>
    <w:p w14:paraId="1B9AC135" w14:textId="77777777" w:rsidR="003C7B6B" w:rsidRDefault="003C7B6B">
      <w:pPr>
        <w:ind w:left="720" w:firstLine="720"/>
      </w:pPr>
    </w:p>
    <w:p w14:paraId="1B9AC136" w14:textId="77777777" w:rsidR="003C7B6B" w:rsidRDefault="00471E86">
      <w:pPr>
        <w:ind w:firstLine="720"/>
      </w:pPr>
      <w:r>
        <w:t>18.4.2</w:t>
      </w:r>
      <w:r>
        <w:tab/>
        <w:t>any fraud</w:t>
      </w:r>
    </w:p>
    <w:p w14:paraId="1B9AC137" w14:textId="77777777" w:rsidR="003C7B6B" w:rsidRDefault="003C7B6B">
      <w:pPr>
        <w:ind w:firstLine="720"/>
      </w:pPr>
    </w:p>
    <w:p w14:paraId="1B9AC138" w14:textId="77777777" w:rsidR="003C7B6B" w:rsidRDefault="00471E86">
      <w:r>
        <w:t>18.5</w:t>
      </w:r>
      <w:r>
        <w:tab/>
        <w:t>A Party can End this Call-Off Contract at any time with immediate effect by written notice if:</w:t>
      </w:r>
    </w:p>
    <w:p w14:paraId="1B9AC139" w14:textId="77777777" w:rsidR="003C7B6B" w:rsidRDefault="003C7B6B">
      <w:pPr>
        <w:ind w:firstLine="720"/>
      </w:pPr>
    </w:p>
    <w:p w14:paraId="1B9AC13A" w14:textId="77777777" w:rsidR="003C7B6B" w:rsidRDefault="00471E86">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1B9AC13B" w14:textId="77777777" w:rsidR="003C7B6B" w:rsidRDefault="003C7B6B">
      <w:pPr>
        <w:ind w:left="1440"/>
      </w:pPr>
    </w:p>
    <w:p w14:paraId="1B9AC13C" w14:textId="77777777" w:rsidR="003C7B6B" w:rsidRDefault="00471E86">
      <w:pPr>
        <w:ind w:firstLine="720"/>
      </w:pPr>
      <w:r>
        <w:t>18.5.2</w:t>
      </w:r>
      <w:r>
        <w:tab/>
        <w:t>an Insolvency Event of the other Party happens</w:t>
      </w:r>
    </w:p>
    <w:p w14:paraId="1B9AC13D" w14:textId="77777777" w:rsidR="003C7B6B" w:rsidRDefault="003C7B6B">
      <w:pPr>
        <w:ind w:firstLine="720"/>
      </w:pPr>
    </w:p>
    <w:p w14:paraId="1B9AC13E" w14:textId="77777777" w:rsidR="003C7B6B" w:rsidRDefault="00471E86">
      <w:pPr>
        <w:ind w:left="1440" w:hanging="720"/>
      </w:pPr>
      <w:r>
        <w:t>18.5.3</w:t>
      </w:r>
      <w:r>
        <w:tab/>
        <w:t>the other Party ceases or threatens to cease to carry on the whole or any material part of its business</w:t>
      </w:r>
    </w:p>
    <w:p w14:paraId="1B9AC13F" w14:textId="77777777" w:rsidR="003C7B6B" w:rsidRDefault="003C7B6B">
      <w:pPr>
        <w:ind w:left="720" w:firstLine="720"/>
      </w:pPr>
    </w:p>
    <w:p w14:paraId="1B9AC140" w14:textId="77777777" w:rsidR="003C7B6B" w:rsidRDefault="00471E86">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B9AC141" w14:textId="77777777" w:rsidR="003C7B6B" w:rsidRDefault="003C7B6B">
      <w:pPr>
        <w:ind w:left="720"/>
      </w:pPr>
    </w:p>
    <w:p w14:paraId="1B9AC142" w14:textId="77777777" w:rsidR="003C7B6B" w:rsidRDefault="00471E86">
      <w:pPr>
        <w:ind w:left="720" w:hanging="720"/>
      </w:pPr>
      <w:r>
        <w:t>18.7</w:t>
      </w:r>
      <w:r>
        <w:tab/>
        <w:t>A Party who isn’t relying on a Force Majeure event will have the right to End this Call-Off Contract if clause 23.1 applies.</w:t>
      </w:r>
    </w:p>
    <w:p w14:paraId="1B9AC143" w14:textId="77777777" w:rsidR="003C7B6B" w:rsidRDefault="00471E86">
      <w:pPr>
        <w:ind w:left="720" w:hanging="720"/>
      </w:pPr>
      <w:r>
        <w:t xml:space="preserve"> </w:t>
      </w:r>
    </w:p>
    <w:p w14:paraId="1B9AC144" w14:textId="77777777" w:rsidR="003C7B6B" w:rsidRDefault="00471E86">
      <w:pPr>
        <w:pStyle w:val="Heading3"/>
        <w:rPr>
          <w:color w:val="auto"/>
        </w:rPr>
      </w:pPr>
      <w:r>
        <w:rPr>
          <w:color w:val="auto"/>
        </w:rPr>
        <w:lastRenderedPageBreak/>
        <w:t>19.</w:t>
      </w:r>
      <w:r>
        <w:rPr>
          <w:color w:val="auto"/>
        </w:rPr>
        <w:tab/>
        <w:t>Consequences of suspension, ending and expiry</w:t>
      </w:r>
    </w:p>
    <w:p w14:paraId="1B9AC145" w14:textId="77777777" w:rsidR="003C7B6B" w:rsidRDefault="00471E86">
      <w:pPr>
        <w:ind w:left="720" w:hanging="720"/>
      </w:pPr>
      <w:r>
        <w:t>19.1</w:t>
      </w:r>
      <w:r>
        <w:tab/>
        <w:t>If a Buyer has the right to End a Call-Off Contract, it may elect to suspend this Call-Off Contract or any part of it.</w:t>
      </w:r>
    </w:p>
    <w:p w14:paraId="1B9AC146" w14:textId="77777777" w:rsidR="003C7B6B" w:rsidRDefault="003C7B6B"/>
    <w:p w14:paraId="1B9AC147" w14:textId="77777777" w:rsidR="003C7B6B" w:rsidRDefault="00471E86">
      <w:pPr>
        <w:ind w:left="720" w:hanging="720"/>
      </w:pPr>
      <w:r>
        <w:t>19.2</w:t>
      </w:r>
      <w:r>
        <w:tab/>
        <w:t>Even if a notice has been served to End this Call-Off Contract or any part of it, the Supplier must continue to provide the Ordered G-Cloud Services until the dates set out in the notice.</w:t>
      </w:r>
    </w:p>
    <w:p w14:paraId="1B9AC148" w14:textId="77777777" w:rsidR="003C7B6B" w:rsidRDefault="003C7B6B">
      <w:pPr>
        <w:ind w:left="720" w:hanging="720"/>
      </w:pPr>
    </w:p>
    <w:p w14:paraId="1B9AC149" w14:textId="77777777" w:rsidR="003C7B6B" w:rsidRDefault="00471E86">
      <w:pPr>
        <w:ind w:left="720" w:hanging="720"/>
      </w:pPr>
      <w:r>
        <w:t>19.3</w:t>
      </w:r>
      <w:r>
        <w:tab/>
        <w:t>The rights and obligations of the Parties will cease on the Expiry Date or End Date whichever applies) of this Call-Off Contract, except those continuing provisions described in clause 19.4.</w:t>
      </w:r>
    </w:p>
    <w:p w14:paraId="1B9AC14A" w14:textId="77777777" w:rsidR="003C7B6B" w:rsidRDefault="003C7B6B"/>
    <w:p w14:paraId="1B9AC14B" w14:textId="77777777" w:rsidR="003C7B6B" w:rsidRDefault="00471E86">
      <w:r>
        <w:t>19.4</w:t>
      </w:r>
      <w:r>
        <w:tab/>
        <w:t>Ending or expiry of this Call-Off Contract will not affect:</w:t>
      </w:r>
    </w:p>
    <w:p w14:paraId="1B9AC14C" w14:textId="77777777" w:rsidR="003C7B6B" w:rsidRDefault="003C7B6B"/>
    <w:p w14:paraId="1B9AC14D" w14:textId="77777777" w:rsidR="003C7B6B" w:rsidRDefault="00471E86">
      <w:pPr>
        <w:ind w:firstLine="720"/>
      </w:pPr>
      <w:r>
        <w:t>19.4.1</w:t>
      </w:r>
      <w:r>
        <w:tab/>
        <w:t>any rights, remedies or obligations accrued before its Ending or expiration</w:t>
      </w:r>
    </w:p>
    <w:p w14:paraId="1B9AC14E" w14:textId="77777777" w:rsidR="003C7B6B" w:rsidRDefault="003C7B6B"/>
    <w:p w14:paraId="1B9AC14F" w14:textId="77777777" w:rsidR="003C7B6B" w:rsidRDefault="00471E86">
      <w:pPr>
        <w:ind w:left="1440" w:hanging="720"/>
      </w:pPr>
      <w:r>
        <w:t>19.4.2</w:t>
      </w:r>
      <w:r>
        <w:tab/>
        <w:t>the right of either Party to recover any amount outstanding at the time of Ending or expiry</w:t>
      </w:r>
    </w:p>
    <w:p w14:paraId="1B9AC150" w14:textId="77777777" w:rsidR="003C7B6B" w:rsidRDefault="003C7B6B"/>
    <w:p w14:paraId="1B9AC151" w14:textId="77777777" w:rsidR="003C7B6B" w:rsidRDefault="00471E86">
      <w:pPr>
        <w:ind w:left="1440" w:hanging="720"/>
      </w:pPr>
      <w:r>
        <w:t>19.4.3</w:t>
      </w:r>
      <w:r>
        <w:tab/>
        <w:t>the continuing rights, remedies or obligations of the Buyer or the Supplier under clauses</w:t>
      </w:r>
    </w:p>
    <w:p w14:paraId="1B9AC152" w14:textId="77777777" w:rsidR="003C7B6B" w:rsidRDefault="00471E86">
      <w:pPr>
        <w:pStyle w:val="ListParagraph"/>
        <w:numPr>
          <w:ilvl w:val="1"/>
          <w:numId w:val="9"/>
        </w:numPr>
      </w:pPr>
      <w:r>
        <w:t>7 (Payment, VAT and Call-Off Contract charges)</w:t>
      </w:r>
    </w:p>
    <w:p w14:paraId="1B9AC153" w14:textId="77777777" w:rsidR="003C7B6B" w:rsidRDefault="00471E86">
      <w:pPr>
        <w:pStyle w:val="ListParagraph"/>
        <w:numPr>
          <w:ilvl w:val="1"/>
          <w:numId w:val="9"/>
        </w:numPr>
      </w:pPr>
      <w:r>
        <w:t>8 (Recovery of sums due and right of set-off)</w:t>
      </w:r>
    </w:p>
    <w:p w14:paraId="1B9AC154" w14:textId="77777777" w:rsidR="003C7B6B" w:rsidRDefault="00471E86">
      <w:pPr>
        <w:pStyle w:val="ListParagraph"/>
        <w:numPr>
          <w:ilvl w:val="1"/>
          <w:numId w:val="9"/>
        </w:numPr>
      </w:pPr>
      <w:r>
        <w:t>9 (Insurance)</w:t>
      </w:r>
    </w:p>
    <w:p w14:paraId="1B9AC155" w14:textId="77777777" w:rsidR="003C7B6B" w:rsidRDefault="00471E86">
      <w:pPr>
        <w:pStyle w:val="ListParagraph"/>
        <w:numPr>
          <w:ilvl w:val="1"/>
          <w:numId w:val="9"/>
        </w:numPr>
      </w:pPr>
      <w:r>
        <w:t>10 (Confidentiality)</w:t>
      </w:r>
    </w:p>
    <w:p w14:paraId="1B9AC156" w14:textId="77777777" w:rsidR="003C7B6B" w:rsidRDefault="00471E86">
      <w:pPr>
        <w:pStyle w:val="ListParagraph"/>
        <w:numPr>
          <w:ilvl w:val="1"/>
          <w:numId w:val="9"/>
        </w:numPr>
      </w:pPr>
      <w:r>
        <w:t>11 (Intellectual property rights)</w:t>
      </w:r>
    </w:p>
    <w:p w14:paraId="1B9AC157" w14:textId="77777777" w:rsidR="003C7B6B" w:rsidRDefault="00471E86">
      <w:pPr>
        <w:pStyle w:val="ListParagraph"/>
        <w:numPr>
          <w:ilvl w:val="1"/>
          <w:numId w:val="9"/>
        </w:numPr>
      </w:pPr>
      <w:r>
        <w:t>12 (Protection of information)</w:t>
      </w:r>
    </w:p>
    <w:p w14:paraId="1B9AC158" w14:textId="77777777" w:rsidR="003C7B6B" w:rsidRDefault="00471E86">
      <w:pPr>
        <w:pStyle w:val="ListParagraph"/>
        <w:numPr>
          <w:ilvl w:val="1"/>
          <w:numId w:val="9"/>
        </w:numPr>
      </w:pPr>
      <w:r>
        <w:t>13 (Buyer data)</w:t>
      </w:r>
    </w:p>
    <w:p w14:paraId="1B9AC159" w14:textId="77777777" w:rsidR="003C7B6B" w:rsidRDefault="00471E86">
      <w:pPr>
        <w:pStyle w:val="ListParagraph"/>
        <w:numPr>
          <w:ilvl w:val="1"/>
          <w:numId w:val="9"/>
        </w:numPr>
      </w:pPr>
      <w:r>
        <w:t>19 (Consequences of suspension, ending and expiry)</w:t>
      </w:r>
    </w:p>
    <w:p w14:paraId="1B9AC15A" w14:textId="77777777" w:rsidR="003C7B6B" w:rsidRDefault="00471E86">
      <w:pPr>
        <w:pStyle w:val="ListParagraph"/>
        <w:numPr>
          <w:ilvl w:val="1"/>
          <w:numId w:val="9"/>
        </w:numPr>
      </w:pPr>
      <w:r>
        <w:t>24 (Liability); incorporated Framework Agreement clauses: 4.2 to 4.7 (Liability)</w:t>
      </w:r>
    </w:p>
    <w:p w14:paraId="1B9AC15B" w14:textId="77777777" w:rsidR="003C7B6B" w:rsidRDefault="00471E86">
      <w:pPr>
        <w:pStyle w:val="ListParagraph"/>
        <w:numPr>
          <w:ilvl w:val="1"/>
          <w:numId w:val="9"/>
        </w:numPr>
      </w:pPr>
      <w:r>
        <w:t>8.44 to 8.50 (Conflicts of interest and ethical walls)</w:t>
      </w:r>
    </w:p>
    <w:p w14:paraId="1B9AC15C" w14:textId="77777777" w:rsidR="003C7B6B" w:rsidRDefault="00471E86">
      <w:pPr>
        <w:pStyle w:val="ListParagraph"/>
        <w:numPr>
          <w:ilvl w:val="1"/>
          <w:numId w:val="9"/>
        </w:numPr>
      </w:pPr>
      <w:r>
        <w:t>8.89 to 8.90 (Waiver and cumulative remedies)</w:t>
      </w:r>
    </w:p>
    <w:p w14:paraId="1B9AC15D" w14:textId="77777777" w:rsidR="003C7B6B" w:rsidRDefault="003C7B6B">
      <w:pPr>
        <w:ind w:firstLine="720"/>
      </w:pPr>
    </w:p>
    <w:p w14:paraId="1B9AC15E" w14:textId="77777777" w:rsidR="003C7B6B" w:rsidRDefault="00471E86">
      <w:pPr>
        <w:ind w:left="1440" w:hanging="720"/>
      </w:pPr>
      <w:r>
        <w:t>19.4.4</w:t>
      </w:r>
      <w:r>
        <w:tab/>
        <w:t>any other provision of the Framework Agreement or this Call-Off Contract which expressly or by implication is in force even if it Ends or expires</w:t>
      </w:r>
    </w:p>
    <w:p w14:paraId="1B9AC15F" w14:textId="77777777" w:rsidR="003C7B6B" w:rsidRDefault="00471E86">
      <w:r>
        <w:t xml:space="preserve"> </w:t>
      </w:r>
    </w:p>
    <w:p w14:paraId="1B9AC160" w14:textId="77777777" w:rsidR="003C7B6B" w:rsidRDefault="00471E86">
      <w:r>
        <w:t>19.5</w:t>
      </w:r>
      <w:r>
        <w:tab/>
        <w:t>At the end of the Call-Off Contract Term, the Supplier must promptly:</w:t>
      </w:r>
    </w:p>
    <w:p w14:paraId="1B9AC161" w14:textId="77777777" w:rsidR="003C7B6B" w:rsidRDefault="003C7B6B"/>
    <w:p w14:paraId="1B9AC162" w14:textId="77777777" w:rsidR="003C7B6B" w:rsidRDefault="00471E86">
      <w:pPr>
        <w:ind w:left="1440" w:hanging="720"/>
      </w:pPr>
      <w:r>
        <w:t>19.5.1</w:t>
      </w:r>
      <w:r>
        <w:tab/>
        <w:t>return all Buyer Data including all copies of Buyer software, code and any other software licensed by the Buyer to the Supplier under it</w:t>
      </w:r>
    </w:p>
    <w:p w14:paraId="1B9AC163" w14:textId="77777777" w:rsidR="003C7B6B" w:rsidRDefault="003C7B6B">
      <w:pPr>
        <w:ind w:firstLine="720"/>
      </w:pPr>
    </w:p>
    <w:p w14:paraId="1B9AC164" w14:textId="77777777" w:rsidR="003C7B6B" w:rsidRDefault="00471E86">
      <w:pPr>
        <w:ind w:left="1440" w:hanging="720"/>
      </w:pPr>
      <w:r>
        <w:t>19.5.2</w:t>
      </w:r>
      <w:r>
        <w:tab/>
        <w:t>return any materials created by the Supplier under this Call-Off Contract if the IPRs are owned by the Buyer</w:t>
      </w:r>
    </w:p>
    <w:p w14:paraId="1B9AC165" w14:textId="77777777" w:rsidR="003C7B6B" w:rsidRDefault="003C7B6B">
      <w:pPr>
        <w:ind w:firstLine="720"/>
      </w:pPr>
    </w:p>
    <w:p w14:paraId="1B9AC166" w14:textId="77777777" w:rsidR="003C7B6B" w:rsidRDefault="00471E86">
      <w:pPr>
        <w:ind w:left="1440" w:hanging="720"/>
      </w:pPr>
      <w:r>
        <w:t>19.5.3</w:t>
      </w:r>
      <w:r>
        <w:tab/>
        <w:t>stop using the Buyer Data and, at the direction of the Buyer, provide the Buyer with a complete and uncorrupted version in electronic form in the formats and on media agreed with the Buyer</w:t>
      </w:r>
    </w:p>
    <w:p w14:paraId="1B9AC167" w14:textId="77777777" w:rsidR="003C7B6B" w:rsidRDefault="003C7B6B">
      <w:pPr>
        <w:ind w:firstLine="720"/>
      </w:pPr>
    </w:p>
    <w:p w14:paraId="1B9AC168" w14:textId="77777777" w:rsidR="003C7B6B" w:rsidRDefault="00471E86">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1B9AC169" w14:textId="77777777" w:rsidR="003C7B6B" w:rsidRDefault="003C7B6B">
      <w:pPr>
        <w:ind w:left="720"/>
      </w:pPr>
    </w:p>
    <w:p w14:paraId="1B9AC16A" w14:textId="77777777" w:rsidR="003C7B6B" w:rsidRDefault="00471E86">
      <w:pPr>
        <w:ind w:firstLine="720"/>
      </w:pPr>
      <w:r>
        <w:t>19.5.5</w:t>
      </w:r>
      <w:r>
        <w:tab/>
        <w:t>work with the Buyer on any ongoing work</w:t>
      </w:r>
    </w:p>
    <w:p w14:paraId="1B9AC16B" w14:textId="77777777" w:rsidR="003C7B6B" w:rsidRDefault="003C7B6B"/>
    <w:p w14:paraId="1B9AC16C" w14:textId="77777777" w:rsidR="003C7B6B" w:rsidRDefault="00471E86">
      <w:pPr>
        <w:ind w:left="1440" w:hanging="720"/>
      </w:pPr>
      <w:r>
        <w:t>19.5.6</w:t>
      </w:r>
      <w:r>
        <w:tab/>
        <w:t>return any sums prepaid for Services which have not been delivered to the Buyer, within 10 Working Days of the End or Expiry Date</w:t>
      </w:r>
    </w:p>
    <w:p w14:paraId="1B9AC16D" w14:textId="77777777" w:rsidR="003C7B6B" w:rsidRDefault="003C7B6B">
      <w:pPr>
        <w:ind w:firstLine="720"/>
      </w:pPr>
    </w:p>
    <w:p w14:paraId="1B9AC16E" w14:textId="77777777" w:rsidR="003C7B6B" w:rsidRDefault="003C7B6B"/>
    <w:p w14:paraId="1B9AC16F" w14:textId="77777777" w:rsidR="003C7B6B" w:rsidRDefault="00471E86">
      <w:pPr>
        <w:ind w:left="720" w:hanging="720"/>
      </w:pPr>
      <w:r>
        <w:t>19.6</w:t>
      </w:r>
      <w:r>
        <w:tab/>
        <w:t>Each Party will return all of the other Party’s Confidential Information and confirm this has been done, unless there is a legal requirement to keep it or this Call-Off Contract states otherwise.</w:t>
      </w:r>
    </w:p>
    <w:p w14:paraId="1B9AC170" w14:textId="77777777" w:rsidR="003C7B6B" w:rsidRDefault="003C7B6B">
      <w:pPr>
        <w:ind w:left="720"/>
      </w:pPr>
    </w:p>
    <w:p w14:paraId="1B9AC171" w14:textId="77777777" w:rsidR="003C7B6B" w:rsidRDefault="00471E86">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1B9AC172" w14:textId="77777777" w:rsidR="003C7B6B" w:rsidRDefault="003C7B6B"/>
    <w:p w14:paraId="1B9AC173" w14:textId="77777777" w:rsidR="003C7B6B" w:rsidRDefault="00471E86">
      <w:pPr>
        <w:pStyle w:val="Heading3"/>
        <w:rPr>
          <w:color w:val="auto"/>
        </w:rPr>
      </w:pPr>
      <w:r>
        <w:rPr>
          <w:color w:val="auto"/>
        </w:rPr>
        <w:t>20.</w:t>
      </w:r>
      <w:r>
        <w:rPr>
          <w:color w:val="auto"/>
        </w:rPr>
        <w:tab/>
        <w:t>Notices</w:t>
      </w:r>
    </w:p>
    <w:p w14:paraId="1B9AC174" w14:textId="77777777" w:rsidR="003C7B6B" w:rsidRDefault="00471E86">
      <w:pPr>
        <w:ind w:left="720" w:hanging="720"/>
      </w:pPr>
      <w:r>
        <w:t>20.1</w:t>
      </w:r>
      <w:r>
        <w:tab/>
        <w:t>Any notices sent must be in writing. For the purpose of this clause, an email is accepted as being 'in writing'.</w:t>
      </w:r>
    </w:p>
    <w:p w14:paraId="1B9AC175" w14:textId="77777777" w:rsidR="003C7B6B" w:rsidRDefault="003C7B6B">
      <w:pPr>
        <w:ind w:left="720" w:hanging="720"/>
      </w:pPr>
    </w:p>
    <w:p w14:paraId="1B9AC176" w14:textId="77777777" w:rsidR="003C7B6B" w:rsidRDefault="00471E86">
      <w:pPr>
        <w:pStyle w:val="ListParagraph"/>
        <w:numPr>
          <w:ilvl w:val="0"/>
          <w:numId w:val="10"/>
        </w:numPr>
        <w:spacing w:after="120" w:line="360" w:lineRule="auto"/>
      </w:pPr>
      <w:r>
        <w:t>Manner of delivery: email</w:t>
      </w:r>
    </w:p>
    <w:p w14:paraId="1B9AC177" w14:textId="77777777" w:rsidR="003C7B6B" w:rsidRDefault="00471E86">
      <w:pPr>
        <w:pStyle w:val="ListParagraph"/>
        <w:numPr>
          <w:ilvl w:val="0"/>
          <w:numId w:val="10"/>
        </w:numPr>
        <w:spacing w:line="360" w:lineRule="auto"/>
      </w:pPr>
      <w:r>
        <w:t>Deemed time of delivery: 9am on the first Working Day after sending</w:t>
      </w:r>
    </w:p>
    <w:p w14:paraId="1B9AC178" w14:textId="77777777" w:rsidR="003C7B6B" w:rsidRDefault="00471E86">
      <w:pPr>
        <w:pStyle w:val="ListParagraph"/>
        <w:numPr>
          <w:ilvl w:val="0"/>
          <w:numId w:val="10"/>
        </w:numPr>
      </w:pPr>
      <w:r>
        <w:t>Proof of service: Sent in an emailed letter in PDF format to the correct email address without any error message</w:t>
      </w:r>
    </w:p>
    <w:p w14:paraId="1B9AC179" w14:textId="77777777" w:rsidR="003C7B6B" w:rsidRDefault="003C7B6B"/>
    <w:p w14:paraId="1B9AC17A" w14:textId="77777777" w:rsidR="003C7B6B" w:rsidRDefault="00471E86">
      <w:pPr>
        <w:ind w:left="720" w:hanging="720"/>
      </w:pPr>
      <w:r>
        <w:t>20.2</w:t>
      </w:r>
      <w:r>
        <w:tab/>
        <w:t>This clause does not apply to any legal action or other method of dispute resolution which should be sent to the addresses in the Order Form (other than a dispute notice under this Call-Off Contract).</w:t>
      </w:r>
    </w:p>
    <w:p w14:paraId="1B9AC17B" w14:textId="77777777" w:rsidR="003C7B6B" w:rsidRDefault="003C7B6B">
      <w:pPr>
        <w:spacing w:before="240" w:after="240"/>
        <w:ind w:left="720"/>
      </w:pPr>
    </w:p>
    <w:p w14:paraId="1B9AC17C" w14:textId="77777777" w:rsidR="003C7B6B" w:rsidRDefault="00471E86">
      <w:pPr>
        <w:pStyle w:val="Heading3"/>
        <w:rPr>
          <w:color w:val="auto"/>
        </w:rPr>
      </w:pPr>
      <w:r>
        <w:rPr>
          <w:color w:val="auto"/>
        </w:rPr>
        <w:t>21.</w:t>
      </w:r>
      <w:r>
        <w:rPr>
          <w:color w:val="auto"/>
        </w:rPr>
        <w:tab/>
        <w:t>Exit plan</w:t>
      </w:r>
    </w:p>
    <w:p w14:paraId="1B9AC17D" w14:textId="77777777" w:rsidR="003C7B6B" w:rsidRDefault="00471E86">
      <w:pPr>
        <w:ind w:left="720" w:hanging="720"/>
      </w:pPr>
      <w:r>
        <w:t>21.1</w:t>
      </w:r>
      <w:r>
        <w:tab/>
        <w:t>The Supplier must provide an exit plan in its Application which ensures continuity of service and the Supplier will follow it.</w:t>
      </w:r>
    </w:p>
    <w:p w14:paraId="1B9AC17E" w14:textId="77777777" w:rsidR="003C7B6B" w:rsidRDefault="003C7B6B">
      <w:pPr>
        <w:ind w:firstLine="720"/>
      </w:pPr>
    </w:p>
    <w:p w14:paraId="1B9AC17F" w14:textId="77777777" w:rsidR="003C7B6B" w:rsidRDefault="00471E86">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1B9AC180" w14:textId="77777777" w:rsidR="003C7B6B" w:rsidRDefault="003C7B6B">
      <w:pPr>
        <w:ind w:left="720"/>
      </w:pPr>
    </w:p>
    <w:p w14:paraId="1B9AC181" w14:textId="77777777" w:rsidR="003C7B6B" w:rsidRDefault="00471E86">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1B9AC182" w14:textId="77777777" w:rsidR="003C7B6B" w:rsidRDefault="003C7B6B">
      <w:pPr>
        <w:ind w:left="720"/>
      </w:pPr>
    </w:p>
    <w:p w14:paraId="1B9AC183" w14:textId="77777777" w:rsidR="003C7B6B" w:rsidRDefault="00471E86">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1B9AC184" w14:textId="77777777" w:rsidR="003C7B6B" w:rsidRDefault="003C7B6B">
      <w:pPr>
        <w:ind w:left="720"/>
      </w:pPr>
    </w:p>
    <w:p w14:paraId="1B9AC185" w14:textId="77777777" w:rsidR="003C7B6B" w:rsidRDefault="00471E86">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1B9AC186" w14:textId="77777777" w:rsidR="003C7B6B" w:rsidRDefault="003C7B6B">
      <w:pPr>
        <w:ind w:left="720"/>
      </w:pPr>
    </w:p>
    <w:p w14:paraId="1B9AC187" w14:textId="77777777" w:rsidR="003C7B6B" w:rsidRDefault="00471E86">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B9AC188" w14:textId="77777777" w:rsidR="003C7B6B" w:rsidRDefault="003C7B6B">
      <w:pPr>
        <w:ind w:left="720"/>
      </w:pPr>
    </w:p>
    <w:p w14:paraId="1B9AC189" w14:textId="77777777" w:rsidR="003C7B6B" w:rsidRDefault="00471E86">
      <w:pPr>
        <w:ind w:left="1440" w:hanging="720"/>
      </w:pPr>
      <w:r>
        <w:t>21.6.1</w:t>
      </w:r>
      <w:r>
        <w:tab/>
        <w:t>the Buyer will be able to transfer the Services to a replacement supplier before the expiry or Ending of the extension period on terms that are commercially reasonable and acceptable to the Buyer</w:t>
      </w:r>
    </w:p>
    <w:p w14:paraId="1B9AC18A" w14:textId="77777777" w:rsidR="003C7B6B" w:rsidRDefault="003C7B6B"/>
    <w:p w14:paraId="1B9AC18B" w14:textId="77777777" w:rsidR="003C7B6B" w:rsidRDefault="00471E86">
      <w:pPr>
        <w:ind w:firstLine="720"/>
      </w:pPr>
      <w:r>
        <w:t>21.6.2</w:t>
      </w:r>
      <w:r>
        <w:tab/>
        <w:t>there will be no adverse impact on service continuity</w:t>
      </w:r>
    </w:p>
    <w:p w14:paraId="1B9AC18C" w14:textId="77777777" w:rsidR="003C7B6B" w:rsidRDefault="003C7B6B">
      <w:pPr>
        <w:ind w:firstLine="720"/>
      </w:pPr>
    </w:p>
    <w:p w14:paraId="1B9AC18D" w14:textId="77777777" w:rsidR="003C7B6B" w:rsidRDefault="00471E86">
      <w:pPr>
        <w:ind w:firstLine="720"/>
      </w:pPr>
      <w:r>
        <w:t>21.6.3</w:t>
      </w:r>
      <w:r>
        <w:tab/>
        <w:t>there is no vendor lock-in to the Supplier’s Service at exit</w:t>
      </w:r>
    </w:p>
    <w:p w14:paraId="1B9AC18E" w14:textId="77777777" w:rsidR="003C7B6B" w:rsidRDefault="003C7B6B"/>
    <w:p w14:paraId="1B9AC18F" w14:textId="77777777" w:rsidR="003C7B6B" w:rsidRDefault="00471E86">
      <w:pPr>
        <w:ind w:firstLine="720"/>
      </w:pPr>
      <w:r>
        <w:t>21.6.4</w:t>
      </w:r>
      <w:r>
        <w:tab/>
        <w:t>it enables the Buyer to meet its obligations under the Technology Code Of Practice</w:t>
      </w:r>
    </w:p>
    <w:p w14:paraId="1B9AC190" w14:textId="77777777" w:rsidR="003C7B6B" w:rsidRDefault="003C7B6B">
      <w:pPr>
        <w:ind w:left="720" w:firstLine="720"/>
      </w:pPr>
    </w:p>
    <w:p w14:paraId="1B9AC191" w14:textId="77777777" w:rsidR="003C7B6B" w:rsidRDefault="00471E86">
      <w:pPr>
        <w:ind w:left="720" w:hanging="720"/>
      </w:pPr>
      <w:r>
        <w:t>21.7</w:t>
      </w:r>
      <w:r>
        <w:tab/>
        <w:t>If approval is obtained by the Buyer to extend the Term, then the Supplier will comply with its obligations in the additional exit plan.</w:t>
      </w:r>
    </w:p>
    <w:p w14:paraId="1B9AC192" w14:textId="77777777" w:rsidR="003C7B6B" w:rsidRDefault="003C7B6B">
      <w:pPr>
        <w:ind w:firstLine="720"/>
      </w:pPr>
    </w:p>
    <w:p w14:paraId="1B9AC193" w14:textId="77777777" w:rsidR="003C7B6B" w:rsidRDefault="00471E86">
      <w:pPr>
        <w:ind w:left="720" w:hanging="720"/>
      </w:pPr>
      <w:r>
        <w:t>21.8</w:t>
      </w:r>
      <w:r>
        <w:tab/>
        <w:t>The additional exit plan must set out full details of timescales, activities and roles and responsibilities of the Parties for:</w:t>
      </w:r>
    </w:p>
    <w:p w14:paraId="1B9AC194" w14:textId="77777777" w:rsidR="003C7B6B" w:rsidRDefault="003C7B6B">
      <w:pPr>
        <w:ind w:firstLine="720"/>
      </w:pPr>
    </w:p>
    <w:p w14:paraId="1B9AC195" w14:textId="77777777" w:rsidR="003C7B6B" w:rsidRDefault="00471E86">
      <w:pPr>
        <w:ind w:left="1440" w:hanging="720"/>
      </w:pPr>
      <w:r>
        <w:t>21.8.1</w:t>
      </w:r>
      <w:r>
        <w:tab/>
        <w:t>the transfer to the Buyer of any technical information, instructions, manuals and code reasonably required by the Buyer to enable a smooth migration from the Supplier</w:t>
      </w:r>
    </w:p>
    <w:p w14:paraId="1B9AC196" w14:textId="77777777" w:rsidR="003C7B6B" w:rsidRDefault="003C7B6B">
      <w:pPr>
        <w:ind w:left="1440"/>
      </w:pPr>
    </w:p>
    <w:p w14:paraId="1B9AC197" w14:textId="77777777" w:rsidR="003C7B6B" w:rsidRDefault="00471E86">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B9AC198" w14:textId="77777777" w:rsidR="003C7B6B" w:rsidRDefault="003C7B6B">
      <w:pPr>
        <w:ind w:left="1440"/>
      </w:pPr>
    </w:p>
    <w:p w14:paraId="1B9AC199" w14:textId="77777777" w:rsidR="003C7B6B" w:rsidRDefault="00471E86">
      <w:pPr>
        <w:ind w:left="1440" w:hanging="720"/>
      </w:pPr>
      <w:r>
        <w:t>21.8.3</w:t>
      </w:r>
      <w:r>
        <w:tab/>
        <w:t>the transfer of Project Specific IPR items and other Buyer customisations, configurations and databases to the Buyer or a replacement supplier</w:t>
      </w:r>
    </w:p>
    <w:p w14:paraId="1B9AC19A" w14:textId="77777777" w:rsidR="003C7B6B" w:rsidRDefault="003C7B6B">
      <w:pPr>
        <w:ind w:left="720" w:firstLine="720"/>
      </w:pPr>
    </w:p>
    <w:p w14:paraId="1B9AC19B" w14:textId="77777777" w:rsidR="003C7B6B" w:rsidRDefault="00471E86">
      <w:pPr>
        <w:ind w:firstLine="720"/>
      </w:pPr>
      <w:r>
        <w:t>21.8.4</w:t>
      </w:r>
      <w:r>
        <w:tab/>
        <w:t>the testing and assurance strategy for exported Buyer Data</w:t>
      </w:r>
    </w:p>
    <w:p w14:paraId="1B9AC19C" w14:textId="77777777" w:rsidR="003C7B6B" w:rsidRDefault="003C7B6B">
      <w:pPr>
        <w:ind w:firstLine="720"/>
      </w:pPr>
    </w:p>
    <w:p w14:paraId="1B9AC19D" w14:textId="77777777" w:rsidR="003C7B6B" w:rsidRDefault="00471E86">
      <w:pPr>
        <w:ind w:firstLine="720"/>
      </w:pPr>
      <w:r>
        <w:t>21.8.5</w:t>
      </w:r>
      <w:r>
        <w:tab/>
        <w:t>if relevant, TUPE-related activity to comply with the TUPE regulations</w:t>
      </w:r>
    </w:p>
    <w:p w14:paraId="1B9AC19E" w14:textId="77777777" w:rsidR="003C7B6B" w:rsidRDefault="003C7B6B">
      <w:pPr>
        <w:ind w:firstLine="720"/>
      </w:pPr>
    </w:p>
    <w:p w14:paraId="1B9AC19F" w14:textId="77777777" w:rsidR="003C7B6B" w:rsidRDefault="00471E86">
      <w:pPr>
        <w:ind w:left="1440" w:hanging="720"/>
      </w:pPr>
      <w:r>
        <w:t>21.8.6</w:t>
      </w:r>
      <w:r>
        <w:tab/>
        <w:t>any other activities and information which is reasonably required to ensure continuity of Service during the exit period and an orderly transition</w:t>
      </w:r>
    </w:p>
    <w:p w14:paraId="1B9AC1A0" w14:textId="77777777" w:rsidR="003C7B6B" w:rsidRDefault="003C7B6B"/>
    <w:p w14:paraId="1B9AC1A1" w14:textId="77777777" w:rsidR="003C7B6B" w:rsidRDefault="00471E86">
      <w:pPr>
        <w:pStyle w:val="Heading3"/>
        <w:rPr>
          <w:color w:val="auto"/>
        </w:rPr>
      </w:pPr>
      <w:r>
        <w:rPr>
          <w:color w:val="auto"/>
        </w:rPr>
        <w:lastRenderedPageBreak/>
        <w:t>22.</w:t>
      </w:r>
      <w:r>
        <w:rPr>
          <w:color w:val="auto"/>
        </w:rPr>
        <w:tab/>
        <w:t>Handover to replacement supplier</w:t>
      </w:r>
    </w:p>
    <w:p w14:paraId="1B9AC1A2" w14:textId="77777777" w:rsidR="003C7B6B" w:rsidRDefault="00471E86">
      <w:pPr>
        <w:ind w:left="720" w:hanging="720"/>
      </w:pPr>
      <w:r>
        <w:t>22.1</w:t>
      </w:r>
      <w:r>
        <w:tab/>
        <w:t>At least 10 Working Days before the Expiry Date or End Date, the Supplier must provide any:</w:t>
      </w:r>
    </w:p>
    <w:p w14:paraId="1B9AC1A3" w14:textId="77777777" w:rsidR="003C7B6B" w:rsidRDefault="003C7B6B">
      <w:pPr>
        <w:ind w:firstLine="720"/>
      </w:pPr>
    </w:p>
    <w:p w14:paraId="1B9AC1A4" w14:textId="77777777" w:rsidR="003C7B6B" w:rsidRDefault="00471E86">
      <w:pPr>
        <w:ind w:left="1440" w:hanging="720"/>
      </w:pPr>
      <w:r>
        <w:t>22.1.1</w:t>
      </w:r>
      <w:r>
        <w:tab/>
        <w:t>data (including Buyer Data), Buyer Personal Data and Buyer Confidential Information in the Supplier’s possession, power or control</w:t>
      </w:r>
    </w:p>
    <w:p w14:paraId="1B9AC1A5" w14:textId="77777777" w:rsidR="003C7B6B" w:rsidRDefault="003C7B6B">
      <w:pPr>
        <w:ind w:left="720" w:firstLine="720"/>
      </w:pPr>
    </w:p>
    <w:p w14:paraId="1B9AC1A6" w14:textId="77777777" w:rsidR="003C7B6B" w:rsidRDefault="00471E86">
      <w:pPr>
        <w:ind w:firstLine="720"/>
      </w:pPr>
      <w:r>
        <w:t>22.1.2</w:t>
      </w:r>
      <w:r>
        <w:tab/>
        <w:t>other information reasonably requested by the Buyer</w:t>
      </w:r>
    </w:p>
    <w:p w14:paraId="1B9AC1A7" w14:textId="77777777" w:rsidR="003C7B6B" w:rsidRDefault="003C7B6B">
      <w:pPr>
        <w:ind w:firstLine="720"/>
      </w:pPr>
    </w:p>
    <w:p w14:paraId="1B9AC1A8" w14:textId="77777777" w:rsidR="003C7B6B" w:rsidRDefault="00471E86">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B9AC1A9" w14:textId="77777777" w:rsidR="003C7B6B" w:rsidRDefault="003C7B6B">
      <w:pPr>
        <w:ind w:left="720"/>
      </w:pPr>
    </w:p>
    <w:p w14:paraId="1B9AC1AA" w14:textId="77777777" w:rsidR="003C7B6B" w:rsidRDefault="00471E86">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B9AC1AB" w14:textId="77777777" w:rsidR="003C7B6B" w:rsidRDefault="003C7B6B">
      <w:pPr>
        <w:ind w:left="720"/>
      </w:pPr>
    </w:p>
    <w:p w14:paraId="1B9AC1AC" w14:textId="77777777" w:rsidR="003C7B6B" w:rsidRDefault="00471E86">
      <w:pPr>
        <w:pStyle w:val="Heading3"/>
        <w:rPr>
          <w:color w:val="auto"/>
        </w:rPr>
      </w:pPr>
      <w:r>
        <w:rPr>
          <w:color w:val="auto"/>
        </w:rPr>
        <w:t>23.</w:t>
      </w:r>
      <w:r>
        <w:rPr>
          <w:color w:val="auto"/>
        </w:rPr>
        <w:tab/>
        <w:t>Force majeure</w:t>
      </w:r>
    </w:p>
    <w:p w14:paraId="1B9AC1AD" w14:textId="77777777" w:rsidR="003C7B6B" w:rsidRDefault="00471E86">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1B9AC1AE" w14:textId="77777777" w:rsidR="003C7B6B" w:rsidRDefault="003C7B6B">
      <w:pPr>
        <w:ind w:left="720" w:hanging="720"/>
      </w:pPr>
    </w:p>
    <w:p w14:paraId="1B9AC1AF" w14:textId="77777777" w:rsidR="003C7B6B" w:rsidRDefault="00471E86">
      <w:pPr>
        <w:pStyle w:val="Heading3"/>
        <w:rPr>
          <w:color w:val="auto"/>
        </w:rPr>
      </w:pPr>
      <w:r>
        <w:rPr>
          <w:color w:val="auto"/>
        </w:rPr>
        <w:t>24.</w:t>
      </w:r>
      <w:r>
        <w:rPr>
          <w:color w:val="auto"/>
        </w:rPr>
        <w:tab/>
        <w:t>Liability</w:t>
      </w:r>
    </w:p>
    <w:p w14:paraId="1B9AC1B0" w14:textId="77777777" w:rsidR="003C7B6B" w:rsidRDefault="00471E86">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1B9AC1B1" w14:textId="77777777" w:rsidR="003C7B6B" w:rsidRDefault="003C7B6B">
      <w:pPr>
        <w:ind w:left="720"/>
      </w:pPr>
    </w:p>
    <w:p w14:paraId="1B9AC1B2" w14:textId="77777777" w:rsidR="003C7B6B" w:rsidRDefault="00471E86">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B9AC1B3" w14:textId="77777777" w:rsidR="003C7B6B" w:rsidRDefault="003C7B6B">
      <w:pPr>
        <w:ind w:left="1440"/>
      </w:pPr>
    </w:p>
    <w:p w14:paraId="1B9AC1B4" w14:textId="77777777" w:rsidR="003C7B6B" w:rsidRDefault="00471E86">
      <w:pPr>
        <w:ind w:left="1440" w:hanging="720"/>
      </w:pPr>
      <w:r>
        <w:t>24.1.2</w:t>
      </w:r>
      <w:r>
        <w:tab/>
        <w:t>Buyer Data: for all Defaults by the Supplier resulting in direct loss, destruction, corruption, degradation or damage to any Buyer Data, will not exceed the amount in the Order Form</w:t>
      </w:r>
    </w:p>
    <w:p w14:paraId="1B9AC1B5" w14:textId="77777777" w:rsidR="003C7B6B" w:rsidRDefault="003C7B6B">
      <w:pPr>
        <w:ind w:left="1440"/>
      </w:pPr>
    </w:p>
    <w:p w14:paraId="1B9AC1B6" w14:textId="77777777" w:rsidR="003C7B6B" w:rsidRDefault="00471E86">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1B9AC1B7" w14:textId="77777777" w:rsidR="003C7B6B" w:rsidRDefault="003C7B6B">
      <w:pPr>
        <w:spacing w:before="240" w:after="240"/>
      </w:pPr>
    </w:p>
    <w:p w14:paraId="1B9AC1B8" w14:textId="77777777" w:rsidR="003C7B6B" w:rsidRDefault="00471E86">
      <w:pPr>
        <w:pStyle w:val="Heading3"/>
        <w:rPr>
          <w:color w:val="auto"/>
        </w:rPr>
      </w:pPr>
      <w:r>
        <w:rPr>
          <w:color w:val="auto"/>
        </w:rPr>
        <w:lastRenderedPageBreak/>
        <w:t>25.</w:t>
      </w:r>
      <w:r>
        <w:rPr>
          <w:color w:val="auto"/>
        </w:rPr>
        <w:tab/>
        <w:t>Premises</w:t>
      </w:r>
    </w:p>
    <w:p w14:paraId="1B9AC1B9" w14:textId="77777777" w:rsidR="003C7B6B" w:rsidRDefault="00471E86">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1B9AC1BA" w14:textId="77777777" w:rsidR="003C7B6B" w:rsidRDefault="003C7B6B">
      <w:pPr>
        <w:ind w:left="720"/>
      </w:pPr>
    </w:p>
    <w:p w14:paraId="1B9AC1BB" w14:textId="77777777" w:rsidR="003C7B6B" w:rsidRDefault="00471E86">
      <w:pPr>
        <w:ind w:left="720" w:hanging="720"/>
      </w:pPr>
      <w:r>
        <w:t>25.2</w:t>
      </w:r>
      <w:r>
        <w:tab/>
        <w:t>The Supplier will use the Buyer’s premises solely for the performance of its obligations under this Call-Off Contract.</w:t>
      </w:r>
    </w:p>
    <w:p w14:paraId="1B9AC1BC" w14:textId="77777777" w:rsidR="003C7B6B" w:rsidRDefault="003C7B6B">
      <w:pPr>
        <w:ind w:firstLine="720"/>
      </w:pPr>
    </w:p>
    <w:p w14:paraId="1B9AC1BD" w14:textId="77777777" w:rsidR="003C7B6B" w:rsidRDefault="00471E86">
      <w:r>
        <w:t>25.3</w:t>
      </w:r>
      <w:r>
        <w:tab/>
        <w:t>The Supplier will vacate the Buyer’s premises when the Call-Off Contract Ends or expires.</w:t>
      </w:r>
    </w:p>
    <w:p w14:paraId="1B9AC1BE" w14:textId="77777777" w:rsidR="003C7B6B" w:rsidRDefault="003C7B6B">
      <w:pPr>
        <w:ind w:firstLine="720"/>
      </w:pPr>
    </w:p>
    <w:p w14:paraId="1B9AC1BF" w14:textId="77777777" w:rsidR="003C7B6B" w:rsidRDefault="00471E86">
      <w:r>
        <w:t>25.4</w:t>
      </w:r>
      <w:r>
        <w:tab/>
        <w:t>This clause does not create a tenancy or exclusive right of occupation.</w:t>
      </w:r>
    </w:p>
    <w:p w14:paraId="1B9AC1C0" w14:textId="77777777" w:rsidR="003C7B6B" w:rsidRDefault="003C7B6B"/>
    <w:p w14:paraId="1B9AC1C1" w14:textId="77777777" w:rsidR="003C7B6B" w:rsidRDefault="00471E86">
      <w:r>
        <w:t>25.5</w:t>
      </w:r>
      <w:r>
        <w:tab/>
        <w:t>While on the Buyer’s premises, the Supplier will:</w:t>
      </w:r>
    </w:p>
    <w:p w14:paraId="1B9AC1C2" w14:textId="77777777" w:rsidR="003C7B6B" w:rsidRDefault="003C7B6B"/>
    <w:p w14:paraId="1B9AC1C3" w14:textId="77777777" w:rsidR="003C7B6B" w:rsidRDefault="00471E86">
      <w:pPr>
        <w:ind w:left="1440" w:hanging="720"/>
      </w:pPr>
      <w:r>
        <w:t>25.5.1</w:t>
      </w:r>
      <w:r>
        <w:tab/>
        <w:t>comply with any security requirements at the premises and not do anything to weaken the security of the premises</w:t>
      </w:r>
    </w:p>
    <w:p w14:paraId="1B9AC1C4" w14:textId="77777777" w:rsidR="003C7B6B" w:rsidRDefault="003C7B6B">
      <w:pPr>
        <w:ind w:left="720"/>
      </w:pPr>
    </w:p>
    <w:p w14:paraId="1B9AC1C5" w14:textId="77777777" w:rsidR="003C7B6B" w:rsidRDefault="00471E86">
      <w:pPr>
        <w:ind w:firstLine="720"/>
      </w:pPr>
      <w:r>
        <w:t>25.5.2</w:t>
      </w:r>
      <w:r>
        <w:tab/>
        <w:t>comply with Buyer requirements for the conduct of personnel</w:t>
      </w:r>
    </w:p>
    <w:p w14:paraId="1B9AC1C6" w14:textId="77777777" w:rsidR="003C7B6B" w:rsidRDefault="003C7B6B">
      <w:pPr>
        <w:ind w:firstLine="720"/>
      </w:pPr>
    </w:p>
    <w:p w14:paraId="1B9AC1C7" w14:textId="77777777" w:rsidR="003C7B6B" w:rsidRDefault="00471E86">
      <w:pPr>
        <w:ind w:firstLine="720"/>
      </w:pPr>
      <w:r>
        <w:t>25.5.3</w:t>
      </w:r>
      <w:r>
        <w:tab/>
        <w:t>comply with any health and safety measures implemented by the Buyer</w:t>
      </w:r>
    </w:p>
    <w:p w14:paraId="1B9AC1C8" w14:textId="77777777" w:rsidR="003C7B6B" w:rsidRDefault="003C7B6B">
      <w:pPr>
        <w:ind w:firstLine="720"/>
      </w:pPr>
    </w:p>
    <w:p w14:paraId="1B9AC1C9" w14:textId="77777777" w:rsidR="003C7B6B" w:rsidRDefault="00471E86">
      <w:pPr>
        <w:ind w:left="1440" w:hanging="720"/>
      </w:pPr>
      <w:r>
        <w:t>25.5.4</w:t>
      </w:r>
      <w:r>
        <w:tab/>
        <w:t>immediately notify the Buyer of any incident on the premises that causes any damage to Property which could cause personal injury</w:t>
      </w:r>
    </w:p>
    <w:p w14:paraId="1B9AC1CA" w14:textId="77777777" w:rsidR="003C7B6B" w:rsidRDefault="003C7B6B">
      <w:pPr>
        <w:ind w:left="720" w:firstLine="720"/>
      </w:pPr>
    </w:p>
    <w:p w14:paraId="1B9AC1CB" w14:textId="77777777" w:rsidR="003C7B6B" w:rsidRDefault="00471E86">
      <w:pPr>
        <w:ind w:left="720" w:hanging="720"/>
      </w:pPr>
      <w:r>
        <w:t>25.6</w:t>
      </w:r>
      <w:r>
        <w:tab/>
        <w:t>The Supplier will ensure that its health and safety policy statement (as required by the Health and Safety at Work etc Act 1974) is made available to the Buyer on request.</w:t>
      </w:r>
    </w:p>
    <w:p w14:paraId="1B9AC1CC" w14:textId="77777777" w:rsidR="003C7B6B" w:rsidRDefault="003C7B6B">
      <w:pPr>
        <w:ind w:left="720" w:hanging="720"/>
      </w:pPr>
    </w:p>
    <w:p w14:paraId="1B9AC1CD" w14:textId="77777777" w:rsidR="003C7B6B" w:rsidRDefault="00471E86">
      <w:pPr>
        <w:pStyle w:val="Heading3"/>
        <w:rPr>
          <w:color w:val="auto"/>
        </w:rPr>
      </w:pPr>
      <w:r>
        <w:rPr>
          <w:color w:val="auto"/>
        </w:rPr>
        <w:t>26.</w:t>
      </w:r>
      <w:r>
        <w:rPr>
          <w:color w:val="auto"/>
        </w:rPr>
        <w:tab/>
        <w:t>Equipment</w:t>
      </w:r>
    </w:p>
    <w:p w14:paraId="1B9AC1CE" w14:textId="77777777" w:rsidR="003C7B6B" w:rsidRDefault="00471E86">
      <w:pPr>
        <w:spacing w:before="240" w:after="240"/>
      </w:pPr>
      <w:r>
        <w:t>26.1</w:t>
      </w:r>
      <w:r>
        <w:tab/>
        <w:t>The Supplier is responsible for providing any Equipment which the Supplier requires to provide the Services.</w:t>
      </w:r>
    </w:p>
    <w:p w14:paraId="1B9AC1CF" w14:textId="77777777" w:rsidR="003C7B6B" w:rsidRDefault="003C7B6B">
      <w:pPr>
        <w:ind w:firstLine="720"/>
      </w:pPr>
    </w:p>
    <w:p w14:paraId="1B9AC1D0" w14:textId="77777777" w:rsidR="003C7B6B" w:rsidRDefault="00471E86">
      <w:pPr>
        <w:ind w:left="720" w:hanging="720"/>
      </w:pPr>
      <w:r>
        <w:t>26.2</w:t>
      </w:r>
      <w:r>
        <w:tab/>
        <w:t>Any Equipment brought onto the premises will be at the Supplier's own risk and the Buyer will have no liability for any loss of, or damage to, any Equipment.</w:t>
      </w:r>
    </w:p>
    <w:p w14:paraId="1B9AC1D1" w14:textId="77777777" w:rsidR="003C7B6B" w:rsidRDefault="003C7B6B">
      <w:pPr>
        <w:ind w:firstLine="720"/>
      </w:pPr>
    </w:p>
    <w:p w14:paraId="1B9AC1D2" w14:textId="77777777" w:rsidR="003C7B6B" w:rsidRDefault="00471E86">
      <w:pPr>
        <w:ind w:left="720" w:hanging="720"/>
      </w:pPr>
      <w:r>
        <w:t>26.3</w:t>
      </w:r>
      <w:r>
        <w:tab/>
        <w:t>When the Call-Off Contract Ends or expires, the Supplier will remove the Equipment and any other materials leaving the premises in a safe and clean condition.</w:t>
      </w:r>
    </w:p>
    <w:p w14:paraId="1B9AC1D3" w14:textId="77777777" w:rsidR="003C7B6B" w:rsidRDefault="003C7B6B">
      <w:pPr>
        <w:ind w:left="720" w:hanging="720"/>
      </w:pPr>
    </w:p>
    <w:p w14:paraId="1B9AC1D4" w14:textId="77777777" w:rsidR="003C7B6B" w:rsidRDefault="00471E86">
      <w:pPr>
        <w:pStyle w:val="Heading3"/>
        <w:rPr>
          <w:color w:val="auto"/>
        </w:rPr>
      </w:pPr>
      <w:r>
        <w:rPr>
          <w:color w:val="auto"/>
        </w:rPr>
        <w:t>27.</w:t>
      </w:r>
      <w:r>
        <w:rPr>
          <w:color w:val="auto"/>
        </w:rPr>
        <w:tab/>
        <w:t>The Contracts (Rights of Third Parties) Act 1999</w:t>
      </w:r>
    </w:p>
    <w:p w14:paraId="1B9AC1D5" w14:textId="77777777" w:rsidR="003C7B6B" w:rsidRDefault="003C7B6B"/>
    <w:p w14:paraId="1B9AC1D6" w14:textId="77777777" w:rsidR="003C7B6B" w:rsidRDefault="00471E86">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B9AC1D7" w14:textId="77777777" w:rsidR="003C7B6B" w:rsidRDefault="003C7B6B">
      <w:pPr>
        <w:ind w:left="720" w:hanging="720"/>
      </w:pPr>
    </w:p>
    <w:p w14:paraId="1B9AC1D8" w14:textId="77777777" w:rsidR="003C7B6B" w:rsidRDefault="00471E86">
      <w:pPr>
        <w:pStyle w:val="Heading3"/>
        <w:rPr>
          <w:color w:val="auto"/>
        </w:rPr>
      </w:pPr>
      <w:r>
        <w:rPr>
          <w:color w:val="auto"/>
        </w:rPr>
        <w:lastRenderedPageBreak/>
        <w:t>28.</w:t>
      </w:r>
      <w:r>
        <w:rPr>
          <w:color w:val="auto"/>
        </w:rPr>
        <w:tab/>
        <w:t>Environmental requirements</w:t>
      </w:r>
    </w:p>
    <w:p w14:paraId="1B9AC1D9" w14:textId="77777777" w:rsidR="003C7B6B" w:rsidRDefault="00471E86">
      <w:pPr>
        <w:ind w:left="720" w:hanging="720"/>
      </w:pPr>
      <w:r>
        <w:t>28.1</w:t>
      </w:r>
      <w:r>
        <w:tab/>
        <w:t>The Buyer will provide a copy of its environmental policy to the Supplier on request, which the Supplier will comply with.</w:t>
      </w:r>
    </w:p>
    <w:p w14:paraId="1B9AC1DA" w14:textId="77777777" w:rsidR="003C7B6B" w:rsidRDefault="003C7B6B">
      <w:pPr>
        <w:ind w:firstLine="720"/>
      </w:pPr>
    </w:p>
    <w:p w14:paraId="1B9AC1DB" w14:textId="77777777" w:rsidR="003C7B6B" w:rsidRDefault="00471E86">
      <w:pPr>
        <w:ind w:left="720" w:hanging="720"/>
      </w:pPr>
      <w:r>
        <w:t>28.2</w:t>
      </w:r>
      <w:r>
        <w:tab/>
        <w:t>The Supplier must provide reasonable support to enable Buyers to work in an environmentally friendly way, for example by helping them recycle or lower their carbon footprint.</w:t>
      </w:r>
    </w:p>
    <w:p w14:paraId="1B9AC1DC" w14:textId="77777777" w:rsidR="003C7B6B" w:rsidRDefault="003C7B6B">
      <w:pPr>
        <w:ind w:left="720" w:hanging="720"/>
      </w:pPr>
    </w:p>
    <w:p w14:paraId="1B9AC1DD" w14:textId="77777777" w:rsidR="003C7B6B" w:rsidRDefault="00471E86">
      <w:pPr>
        <w:pStyle w:val="Heading3"/>
        <w:rPr>
          <w:color w:val="auto"/>
        </w:rPr>
      </w:pPr>
      <w:r>
        <w:rPr>
          <w:color w:val="auto"/>
        </w:rPr>
        <w:t>29.</w:t>
      </w:r>
      <w:r>
        <w:rPr>
          <w:color w:val="auto"/>
        </w:rPr>
        <w:tab/>
        <w:t>The Employment Regulations (TUPE)</w:t>
      </w:r>
    </w:p>
    <w:p w14:paraId="1B9AC1DE" w14:textId="77777777" w:rsidR="003C7B6B" w:rsidRDefault="00471E86">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B9AC1DF" w14:textId="77777777" w:rsidR="003C7B6B" w:rsidRDefault="003C7B6B">
      <w:pPr>
        <w:ind w:left="720"/>
      </w:pPr>
    </w:p>
    <w:p w14:paraId="1B9AC1E0" w14:textId="77777777" w:rsidR="003C7B6B" w:rsidRDefault="00471E86">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B9AC1E1" w14:textId="77777777" w:rsidR="003C7B6B" w:rsidRDefault="003C7B6B">
      <w:pPr>
        <w:ind w:left="720"/>
      </w:pPr>
    </w:p>
    <w:p w14:paraId="1B9AC1E2" w14:textId="77777777" w:rsidR="003C7B6B" w:rsidRDefault="00471E86">
      <w:pPr>
        <w:ind w:firstLine="720"/>
      </w:pPr>
      <w:r>
        <w:t>29.2.1</w:t>
      </w:r>
      <w:r>
        <w:tab/>
      </w:r>
      <w:r>
        <w:tab/>
        <w:t>the activities they perform</w:t>
      </w:r>
    </w:p>
    <w:p w14:paraId="1B9AC1E3" w14:textId="77777777" w:rsidR="003C7B6B" w:rsidRDefault="00471E86">
      <w:pPr>
        <w:ind w:firstLine="720"/>
      </w:pPr>
      <w:r>
        <w:t>29.2.2</w:t>
      </w:r>
      <w:r>
        <w:tab/>
      </w:r>
      <w:r>
        <w:tab/>
        <w:t>age</w:t>
      </w:r>
    </w:p>
    <w:p w14:paraId="1B9AC1E4" w14:textId="77777777" w:rsidR="003C7B6B" w:rsidRDefault="00471E86">
      <w:pPr>
        <w:ind w:firstLine="720"/>
      </w:pPr>
      <w:r>
        <w:t>29.2.3</w:t>
      </w:r>
      <w:r>
        <w:tab/>
      </w:r>
      <w:r>
        <w:tab/>
        <w:t>start date</w:t>
      </w:r>
    </w:p>
    <w:p w14:paraId="1B9AC1E5" w14:textId="77777777" w:rsidR="003C7B6B" w:rsidRDefault="00471E86">
      <w:pPr>
        <w:ind w:firstLine="720"/>
      </w:pPr>
      <w:r>
        <w:t>29.2.4</w:t>
      </w:r>
      <w:r>
        <w:tab/>
      </w:r>
      <w:r>
        <w:tab/>
        <w:t>place of work</w:t>
      </w:r>
    </w:p>
    <w:p w14:paraId="1B9AC1E6" w14:textId="77777777" w:rsidR="003C7B6B" w:rsidRDefault="00471E86">
      <w:pPr>
        <w:ind w:firstLine="720"/>
      </w:pPr>
      <w:r>
        <w:t>29.2.5</w:t>
      </w:r>
      <w:r>
        <w:tab/>
      </w:r>
      <w:r>
        <w:tab/>
        <w:t>notice period</w:t>
      </w:r>
    </w:p>
    <w:p w14:paraId="1B9AC1E7" w14:textId="77777777" w:rsidR="003C7B6B" w:rsidRDefault="00471E86">
      <w:pPr>
        <w:ind w:firstLine="720"/>
      </w:pPr>
      <w:r>
        <w:t>29.2.6</w:t>
      </w:r>
      <w:r>
        <w:tab/>
      </w:r>
      <w:r>
        <w:tab/>
        <w:t>redundancy payment entitlement</w:t>
      </w:r>
    </w:p>
    <w:p w14:paraId="1B9AC1E8" w14:textId="77777777" w:rsidR="003C7B6B" w:rsidRDefault="00471E86">
      <w:pPr>
        <w:ind w:firstLine="720"/>
      </w:pPr>
      <w:r>
        <w:t>29.2.7</w:t>
      </w:r>
      <w:r>
        <w:tab/>
      </w:r>
      <w:r>
        <w:tab/>
        <w:t>salary, benefits and pension entitlements</w:t>
      </w:r>
    </w:p>
    <w:p w14:paraId="1B9AC1E9" w14:textId="77777777" w:rsidR="003C7B6B" w:rsidRDefault="00471E86">
      <w:pPr>
        <w:ind w:firstLine="720"/>
      </w:pPr>
      <w:r>
        <w:t>29.2.8</w:t>
      </w:r>
      <w:r>
        <w:tab/>
      </w:r>
      <w:r>
        <w:tab/>
        <w:t>employment status</w:t>
      </w:r>
    </w:p>
    <w:p w14:paraId="1B9AC1EA" w14:textId="77777777" w:rsidR="003C7B6B" w:rsidRDefault="00471E86">
      <w:pPr>
        <w:ind w:firstLine="720"/>
      </w:pPr>
      <w:r>
        <w:t>29.2.9</w:t>
      </w:r>
      <w:r>
        <w:tab/>
      </w:r>
      <w:r>
        <w:tab/>
        <w:t>identity of employer</w:t>
      </w:r>
    </w:p>
    <w:p w14:paraId="1B9AC1EB" w14:textId="77777777" w:rsidR="003C7B6B" w:rsidRDefault="00471E86">
      <w:pPr>
        <w:ind w:firstLine="720"/>
      </w:pPr>
      <w:r>
        <w:t>29.2.10</w:t>
      </w:r>
      <w:r>
        <w:tab/>
        <w:t>working arrangements</w:t>
      </w:r>
    </w:p>
    <w:p w14:paraId="1B9AC1EC" w14:textId="77777777" w:rsidR="003C7B6B" w:rsidRDefault="00471E86">
      <w:pPr>
        <w:ind w:firstLine="720"/>
      </w:pPr>
      <w:r>
        <w:t>29.2.11</w:t>
      </w:r>
      <w:r>
        <w:tab/>
        <w:t>outstanding liabilities</w:t>
      </w:r>
    </w:p>
    <w:p w14:paraId="1B9AC1ED" w14:textId="77777777" w:rsidR="003C7B6B" w:rsidRDefault="00471E86">
      <w:pPr>
        <w:ind w:firstLine="720"/>
      </w:pPr>
      <w:r>
        <w:t>29.2.12</w:t>
      </w:r>
      <w:r>
        <w:tab/>
        <w:t>sickness absence</w:t>
      </w:r>
    </w:p>
    <w:p w14:paraId="1B9AC1EE" w14:textId="77777777" w:rsidR="003C7B6B" w:rsidRDefault="00471E86">
      <w:pPr>
        <w:ind w:firstLine="720"/>
      </w:pPr>
      <w:r>
        <w:t>29.2.13</w:t>
      </w:r>
      <w:r>
        <w:tab/>
        <w:t>copies of all relevant employment contracts and related documents</w:t>
      </w:r>
    </w:p>
    <w:p w14:paraId="1B9AC1EF" w14:textId="77777777" w:rsidR="003C7B6B" w:rsidRDefault="00471E86">
      <w:pPr>
        <w:ind w:firstLine="720"/>
      </w:pPr>
      <w:r>
        <w:t>29.2.14</w:t>
      </w:r>
      <w:r>
        <w:tab/>
        <w:t>all information required under regulation 11 of TUPE or as reasonably</w:t>
      </w:r>
    </w:p>
    <w:p w14:paraId="1B9AC1F0" w14:textId="77777777" w:rsidR="003C7B6B" w:rsidRDefault="00471E86">
      <w:pPr>
        <w:ind w:left="1440" w:firstLine="720"/>
      </w:pPr>
      <w:r>
        <w:t>requested by the Buyer</w:t>
      </w:r>
    </w:p>
    <w:p w14:paraId="1B9AC1F1" w14:textId="77777777" w:rsidR="003C7B6B" w:rsidRDefault="003C7B6B">
      <w:pPr>
        <w:ind w:left="720" w:firstLine="720"/>
      </w:pPr>
    </w:p>
    <w:p w14:paraId="1B9AC1F2" w14:textId="77777777" w:rsidR="003C7B6B" w:rsidRDefault="00471E86">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B9AC1F3" w14:textId="77777777" w:rsidR="003C7B6B" w:rsidRDefault="003C7B6B">
      <w:pPr>
        <w:ind w:left="720"/>
      </w:pPr>
    </w:p>
    <w:p w14:paraId="1B9AC1F4" w14:textId="77777777" w:rsidR="003C7B6B" w:rsidRDefault="00471E86">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B9AC1F5" w14:textId="77777777" w:rsidR="003C7B6B" w:rsidRDefault="003C7B6B">
      <w:pPr>
        <w:ind w:left="720"/>
      </w:pPr>
    </w:p>
    <w:p w14:paraId="1B9AC1F6" w14:textId="77777777" w:rsidR="003C7B6B" w:rsidRDefault="00471E86">
      <w:pPr>
        <w:ind w:left="720" w:hanging="720"/>
      </w:pPr>
      <w:r>
        <w:t>29.5</w:t>
      </w:r>
      <w:r>
        <w:tab/>
        <w:t>The Supplier will co-operate with the re-tendering of this Call-Off Contract by allowing the Replacement Supplier to communicate with and meet the affected employees or their representatives.</w:t>
      </w:r>
    </w:p>
    <w:p w14:paraId="1B9AC1F7" w14:textId="77777777" w:rsidR="003C7B6B" w:rsidRDefault="003C7B6B">
      <w:pPr>
        <w:ind w:left="720"/>
      </w:pPr>
    </w:p>
    <w:p w14:paraId="1B9AC1F8" w14:textId="77777777" w:rsidR="003C7B6B" w:rsidRDefault="00471E86">
      <w:pPr>
        <w:ind w:left="720" w:hanging="720"/>
      </w:pPr>
      <w:r>
        <w:t>29.6</w:t>
      </w:r>
      <w:r>
        <w:tab/>
        <w:t>The Supplier will indemnify the Buyer or any Replacement Supplier for all Loss arising from both:</w:t>
      </w:r>
    </w:p>
    <w:p w14:paraId="1B9AC1F9" w14:textId="77777777" w:rsidR="003C7B6B" w:rsidRDefault="003C7B6B">
      <w:pPr>
        <w:ind w:firstLine="720"/>
      </w:pPr>
    </w:p>
    <w:p w14:paraId="1B9AC1FA" w14:textId="77777777" w:rsidR="003C7B6B" w:rsidRDefault="00471E86">
      <w:pPr>
        <w:ind w:firstLine="720"/>
      </w:pPr>
      <w:r>
        <w:t>29.6.1</w:t>
      </w:r>
      <w:r>
        <w:tab/>
        <w:t>its failure to comply with the provisions of this clause</w:t>
      </w:r>
    </w:p>
    <w:p w14:paraId="1B9AC1FB" w14:textId="77777777" w:rsidR="003C7B6B" w:rsidRDefault="003C7B6B">
      <w:pPr>
        <w:ind w:firstLine="720"/>
      </w:pPr>
    </w:p>
    <w:p w14:paraId="1B9AC1FC" w14:textId="77777777" w:rsidR="003C7B6B" w:rsidRDefault="00471E86">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1B9AC1FD" w14:textId="77777777" w:rsidR="003C7B6B" w:rsidRDefault="003C7B6B">
      <w:pPr>
        <w:ind w:left="1440"/>
      </w:pPr>
    </w:p>
    <w:p w14:paraId="1B9AC1FE" w14:textId="77777777" w:rsidR="003C7B6B" w:rsidRDefault="00471E86">
      <w:pPr>
        <w:ind w:left="720" w:hanging="720"/>
      </w:pPr>
      <w:r>
        <w:t>29.7</w:t>
      </w:r>
      <w:r>
        <w:tab/>
        <w:t>The provisions of this clause apply during the Term of this Call-Off Contract and indefinitely after it Ends or expires.</w:t>
      </w:r>
    </w:p>
    <w:p w14:paraId="1B9AC1FF" w14:textId="77777777" w:rsidR="003C7B6B" w:rsidRDefault="003C7B6B">
      <w:pPr>
        <w:ind w:firstLine="720"/>
      </w:pPr>
    </w:p>
    <w:p w14:paraId="1B9AC200" w14:textId="77777777" w:rsidR="003C7B6B" w:rsidRDefault="00471E86">
      <w:pPr>
        <w:ind w:left="720" w:hanging="720"/>
      </w:pPr>
      <w:r>
        <w:t>29.8</w:t>
      </w:r>
      <w:r>
        <w:tab/>
        <w:t>For these TUPE clauses, the relevant third party will be able to enforce its rights under this clause but their consent will not be required to vary these clauses as the Buyer and Supplier may agree.</w:t>
      </w:r>
    </w:p>
    <w:p w14:paraId="1B9AC201" w14:textId="77777777" w:rsidR="003C7B6B" w:rsidRDefault="003C7B6B">
      <w:pPr>
        <w:ind w:left="720" w:hanging="720"/>
      </w:pPr>
    </w:p>
    <w:p w14:paraId="1B9AC202" w14:textId="77777777" w:rsidR="003C7B6B" w:rsidRDefault="00471E86">
      <w:pPr>
        <w:pStyle w:val="Heading3"/>
        <w:rPr>
          <w:color w:val="auto"/>
        </w:rPr>
      </w:pPr>
      <w:r>
        <w:rPr>
          <w:color w:val="auto"/>
        </w:rPr>
        <w:t>30.</w:t>
      </w:r>
      <w:r>
        <w:rPr>
          <w:color w:val="auto"/>
        </w:rPr>
        <w:tab/>
        <w:t>Additional G-Cloud services</w:t>
      </w:r>
    </w:p>
    <w:p w14:paraId="1B9AC203" w14:textId="77777777" w:rsidR="003C7B6B" w:rsidRDefault="00471E86">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1B9AC204" w14:textId="77777777" w:rsidR="003C7B6B" w:rsidRDefault="003C7B6B">
      <w:pPr>
        <w:ind w:left="720"/>
      </w:pPr>
    </w:p>
    <w:p w14:paraId="1B9AC205" w14:textId="77777777" w:rsidR="003C7B6B" w:rsidRDefault="00471E86">
      <w:pPr>
        <w:ind w:left="720" w:hanging="720"/>
      </w:pPr>
      <w:r>
        <w:t>30.2</w:t>
      </w:r>
      <w:r>
        <w:tab/>
        <w:t>If reasonably requested to do so by the Buyer in the Order Form, the Supplier must provide and monitor performance of the Additional Services using an Implementation Plan.</w:t>
      </w:r>
    </w:p>
    <w:p w14:paraId="1B9AC206" w14:textId="77777777" w:rsidR="003C7B6B" w:rsidRDefault="003C7B6B">
      <w:pPr>
        <w:ind w:left="720" w:hanging="720"/>
      </w:pPr>
    </w:p>
    <w:p w14:paraId="1B9AC207" w14:textId="77777777" w:rsidR="003C7B6B" w:rsidRDefault="00471E86">
      <w:pPr>
        <w:pStyle w:val="Heading3"/>
        <w:rPr>
          <w:color w:val="auto"/>
        </w:rPr>
      </w:pPr>
      <w:r>
        <w:rPr>
          <w:color w:val="auto"/>
        </w:rPr>
        <w:t>31.</w:t>
      </w:r>
      <w:r>
        <w:rPr>
          <w:color w:val="auto"/>
        </w:rPr>
        <w:tab/>
        <w:t>Collaboration</w:t>
      </w:r>
    </w:p>
    <w:p w14:paraId="1B9AC208" w14:textId="77777777" w:rsidR="003C7B6B" w:rsidRDefault="00471E86">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1B9AC209" w14:textId="77777777" w:rsidR="003C7B6B" w:rsidRDefault="003C7B6B">
      <w:pPr>
        <w:ind w:left="720"/>
      </w:pPr>
    </w:p>
    <w:p w14:paraId="1B9AC20A" w14:textId="77777777" w:rsidR="003C7B6B" w:rsidRDefault="00471E86">
      <w:r>
        <w:t>31.2</w:t>
      </w:r>
      <w:r>
        <w:tab/>
        <w:t>In addition to any obligations under the Collaboration Agreement, the Supplier must:</w:t>
      </w:r>
    </w:p>
    <w:p w14:paraId="1B9AC20B" w14:textId="77777777" w:rsidR="003C7B6B" w:rsidRDefault="003C7B6B"/>
    <w:p w14:paraId="1B9AC20C" w14:textId="77777777" w:rsidR="003C7B6B" w:rsidRDefault="00471E86">
      <w:pPr>
        <w:ind w:firstLine="720"/>
      </w:pPr>
      <w:r>
        <w:t>31.2.1</w:t>
      </w:r>
      <w:r>
        <w:tab/>
        <w:t>work proactively and in good faith with each of the Buyer’s contractors</w:t>
      </w:r>
    </w:p>
    <w:p w14:paraId="1B9AC20D" w14:textId="77777777" w:rsidR="003C7B6B" w:rsidRDefault="003C7B6B">
      <w:pPr>
        <w:ind w:firstLine="720"/>
      </w:pPr>
    </w:p>
    <w:p w14:paraId="1B9AC20E" w14:textId="77777777" w:rsidR="003C7B6B" w:rsidRDefault="00471E86">
      <w:pPr>
        <w:ind w:left="1440" w:hanging="720"/>
      </w:pPr>
      <w:r>
        <w:t>31.2.2</w:t>
      </w:r>
      <w:r>
        <w:tab/>
        <w:t>co-operate and share information with the Buyer’s contractors to enable the efficient operation of the Buyer’s ICT services and G-Cloud Services</w:t>
      </w:r>
    </w:p>
    <w:p w14:paraId="1B9AC20F" w14:textId="77777777" w:rsidR="003C7B6B" w:rsidRDefault="003C7B6B">
      <w:pPr>
        <w:ind w:left="1440" w:hanging="720"/>
      </w:pPr>
    </w:p>
    <w:p w14:paraId="1B9AC210" w14:textId="77777777" w:rsidR="003C7B6B" w:rsidRDefault="00471E86">
      <w:pPr>
        <w:pStyle w:val="Heading3"/>
        <w:rPr>
          <w:color w:val="auto"/>
        </w:rPr>
      </w:pPr>
      <w:r>
        <w:rPr>
          <w:color w:val="auto"/>
        </w:rPr>
        <w:t>32.</w:t>
      </w:r>
      <w:r>
        <w:rPr>
          <w:color w:val="auto"/>
        </w:rPr>
        <w:tab/>
        <w:t>Variation process</w:t>
      </w:r>
    </w:p>
    <w:p w14:paraId="1B9AC211" w14:textId="77777777" w:rsidR="003C7B6B" w:rsidRDefault="00471E86">
      <w:pPr>
        <w:ind w:left="720" w:hanging="720"/>
      </w:pPr>
      <w:r>
        <w:t>32.1</w:t>
      </w:r>
      <w:r>
        <w:tab/>
        <w:t>The Buyer can request in writing a change to this Call-Off Contract if it isn’t a material change to the Framework Agreement/or this Call-Off Contract. Once implemented, it is called a Variation.</w:t>
      </w:r>
    </w:p>
    <w:p w14:paraId="1B9AC212" w14:textId="77777777" w:rsidR="003C7B6B" w:rsidRDefault="003C7B6B">
      <w:pPr>
        <w:ind w:left="720"/>
      </w:pPr>
    </w:p>
    <w:p w14:paraId="1B9AC213" w14:textId="77777777" w:rsidR="003C7B6B" w:rsidRDefault="00471E86">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B9AC214" w14:textId="77777777" w:rsidR="003C7B6B" w:rsidRDefault="003C7B6B"/>
    <w:p w14:paraId="1B9AC215" w14:textId="77777777" w:rsidR="003C7B6B" w:rsidRDefault="00471E86">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1B9AC216" w14:textId="77777777" w:rsidR="003C7B6B" w:rsidRDefault="003C7B6B">
      <w:pPr>
        <w:ind w:left="720" w:hanging="720"/>
      </w:pPr>
    </w:p>
    <w:p w14:paraId="1B9AC217" w14:textId="77777777" w:rsidR="003C7B6B" w:rsidRDefault="00471E86">
      <w:pPr>
        <w:pStyle w:val="Heading3"/>
        <w:rPr>
          <w:color w:val="auto"/>
        </w:rPr>
      </w:pPr>
      <w:r>
        <w:rPr>
          <w:color w:val="auto"/>
        </w:rPr>
        <w:t>33.</w:t>
      </w:r>
      <w:r>
        <w:rPr>
          <w:color w:val="auto"/>
        </w:rPr>
        <w:tab/>
        <w:t>Data Protection Legislation (GDPR)</w:t>
      </w:r>
    </w:p>
    <w:p w14:paraId="1B9AC218" w14:textId="77777777" w:rsidR="003C7B6B" w:rsidRDefault="00471E86">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1B9AC219" w14:textId="77777777" w:rsidR="003C7B6B" w:rsidRDefault="003C7B6B"/>
    <w:p w14:paraId="1B9AC21A" w14:textId="77777777" w:rsidR="003C7B6B" w:rsidRDefault="003C7B6B">
      <w:pPr>
        <w:pageBreakBefore/>
        <w:rPr>
          <w:b/>
        </w:rPr>
      </w:pPr>
    </w:p>
    <w:p w14:paraId="1B9AC21B" w14:textId="77777777" w:rsidR="003C7B6B" w:rsidRDefault="00471E86">
      <w:pPr>
        <w:pStyle w:val="Heading2"/>
      </w:pPr>
      <w:bookmarkStart w:id="8" w:name="_Toc33176236"/>
      <w:r>
        <w:t>Schedule 3: Collaboration agreement</w:t>
      </w:r>
      <w:bookmarkEnd w:id="8"/>
    </w:p>
    <w:p w14:paraId="1B9AC21C" w14:textId="77777777" w:rsidR="003C7B6B" w:rsidRDefault="003C7B6B"/>
    <w:p w14:paraId="1B9AC21D" w14:textId="77777777" w:rsidR="003C7B6B" w:rsidRDefault="00471E86">
      <w:r>
        <w:t>N/A</w:t>
      </w:r>
    </w:p>
    <w:p w14:paraId="1B9AC21E" w14:textId="77777777" w:rsidR="003C7B6B" w:rsidRDefault="003C7B6B">
      <w:pPr>
        <w:pageBreakBefore/>
      </w:pPr>
    </w:p>
    <w:p w14:paraId="1B9AC21F" w14:textId="77777777" w:rsidR="003C7B6B" w:rsidRDefault="00471E86">
      <w:pPr>
        <w:pStyle w:val="Heading2"/>
      </w:pPr>
      <w:bookmarkStart w:id="9" w:name="_Toc33176237"/>
      <w:r>
        <w:t>Schedule 4: Alternative clauses</w:t>
      </w:r>
      <w:bookmarkEnd w:id="9"/>
    </w:p>
    <w:p w14:paraId="1B9AC220" w14:textId="77777777" w:rsidR="003C7B6B" w:rsidRDefault="00471E86">
      <w:pPr>
        <w:pStyle w:val="Heading3"/>
        <w:rPr>
          <w:color w:val="auto"/>
        </w:rPr>
      </w:pPr>
      <w:r>
        <w:rPr>
          <w:color w:val="auto"/>
        </w:rPr>
        <w:t>1.</w:t>
      </w:r>
      <w:r>
        <w:rPr>
          <w:color w:val="auto"/>
        </w:rPr>
        <w:tab/>
        <w:t>Introduction</w:t>
      </w:r>
    </w:p>
    <w:p w14:paraId="1B9AC221" w14:textId="77777777" w:rsidR="003C7B6B" w:rsidRDefault="00471E86">
      <w:pPr>
        <w:ind w:firstLine="720"/>
      </w:pPr>
      <w:r>
        <w:t>1.1</w:t>
      </w:r>
      <w:r>
        <w:tab/>
        <w:t>This Schedule specifies the alternative clauses that may be requested in the</w:t>
      </w:r>
    </w:p>
    <w:p w14:paraId="1B9AC222" w14:textId="77777777" w:rsidR="003C7B6B" w:rsidRDefault="00471E86">
      <w:pPr>
        <w:ind w:firstLine="720"/>
      </w:pPr>
      <w:r>
        <w:t>Order Form and, if requested in the Order Form, will apply to this Call-Off Contract.</w:t>
      </w:r>
    </w:p>
    <w:p w14:paraId="1B9AC223" w14:textId="77777777" w:rsidR="003C7B6B" w:rsidRDefault="003C7B6B"/>
    <w:p w14:paraId="1B9AC224" w14:textId="77777777" w:rsidR="003C7B6B" w:rsidRDefault="00471E86">
      <w:pPr>
        <w:pStyle w:val="Heading3"/>
        <w:rPr>
          <w:color w:val="auto"/>
        </w:rPr>
      </w:pPr>
      <w:r>
        <w:rPr>
          <w:color w:val="auto"/>
        </w:rPr>
        <w:t>2.</w:t>
      </w:r>
      <w:r>
        <w:rPr>
          <w:color w:val="auto"/>
        </w:rPr>
        <w:tab/>
        <w:t>Clauses selected</w:t>
      </w:r>
    </w:p>
    <w:p w14:paraId="1B9AC225" w14:textId="77777777" w:rsidR="003C7B6B" w:rsidRDefault="00471E86">
      <w:pPr>
        <w:ind w:firstLine="720"/>
      </w:pPr>
      <w:r>
        <w:t>2.1</w:t>
      </w:r>
      <w:r>
        <w:tab/>
        <w:t>The Customer may, in the Order Form, request the following alternative Clauses:</w:t>
      </w:r>
    </w:p>
    <w:p w14:paraId="1B9AC226" w14:textId="77777777" w:rsidR="003C7B6B" w:rsidRDefault="003C7B6B">
      <w:pPr>
        <w:ind w:left="720" w:firstLine="720"/>
      </w:pPr>
    </w:p>
    <w:p w14:paraId="1B9AC227" w14:textId="77777777" w:rsidR="003C7B6B" w:rsidRDefault="00471E86">
      <w:pPr>
        <w:ind w:left="720" w:firstLine="720"/>
      </w:pPr>
      <w:r>
        <w:t>2.1.1</w:t>
      </w:r>
      <w:r>
        <w:tab/>
        <w:t>Scots Law and Jurisdiction</w:t>
      </w:r>
    </w:p>
    <w:p w14:paraId="1B9AC228" w14:textId="77777777" w:rsidR="003C7B6B" w:rsidRDefault="003C7B6B">
      <w:pPr>
        <w:ind w:firstLine="720"/>
      </w:pPr>
    </w:p>
    <w:p w14:paraId="1B9AC229" w14:textId="77777777" w:rsidR="003C7B6B" w:rsidRDefault="00471E86">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1B9AC22A" w14:textId="77777777" w:rsidR="003C7B6B" w:rsidRDefault="003C7B6B"/>
    <w:p w14:paraId="1B9AC22B" w14:textId="77777777" w:rsidR="003C7B6B" w:rsidRDefault="00471E86">
      <w:pPr>
        <w:ind w:left="2160" w:hanging="720"/>
      </w:pPr>
      <w:r>
        <w:t>2.1.3</w:t>
      </w:r>
      <w:r>
        <w:tab/>
        <w:t>Reference to England and Wales in Working Days definition within the Glossary and interpretations section will be replaced with Scotland.</w:t>
      </w:r>
    </w:p>
    <w:p w14:paraId="1B9AC22C" w14:textId="77777777" w:rsidR="003C7B6B" w:rsidRDefault="003C7B6B"/>
    <w:p w14:paraId="1B9AC22D" w14:textId="77777777" w:rsidR="003C7B6B" w:rsidRDefault="00471E86">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1B9AC22E" w14:textId="77777777" w:rsidR="003C7B6B" w:rsidRDefault="003C7B6B"/>
    <w:p w14:paraId="1B9AC22F" w14:textId="77777777" w:rsidR="003C7B6B" w:rsidRDefault="00471E86">
      <w:pPr>
        <w:ind w:left="2160" w:hanging="720"/>
      </w:pPr>
      <w:r>
        <w:t>2.1.5</w:t>
      </w:r>
      <w:r>
        <w:tab/>
        <w:t>Reference to the Supply of Goods and Services Act 1982 will be removed in incorporated Framework Agreement clause 4.2.</w:t>
      </w:r>
    </w:p>
    <w:p w14:paraId="1B9AC230" w14:textId="77777777" w:rsidR="003C7B6B" w:rsidRDefault="003C7B6B"/>
    <w:p w14:paraId="1B9AC231" w14:textId="77777777" w:rsidR="003C7B6B" w:rsidRDefault="00471E86">
      <w:pPr>
        <w:ind w:left="720" w:firstLine="720"/>
      </w:pPr>
      <w:r>
        <w:t>2.1.6</w:t>
      </w:r>
      <w:r>
        <w:tab/>
        <w:t>References to “tort” will be replaced with “delict” throughout</w:t>
      </w:r>
    </w:p>
    <w:p w14:paraId="1B9AC232" w14:textId="77777777" w:rsidR="003C7B6B" w:rsidRDefault="003C7B6B"/>
    <w:p w14:paraId="1B9AC233" w14:textId="77777777" w:rsidR="003C7B6B" w:rsidRDefault="00471E86">
      <w:r>
        <w:t>2.2</w:t>
      </w:r>
      <w:r>
        <w:tab/>
        <w:t>The Customer may, in the Order Form, request the following Alternative Clauses:</w:t>
      </w:r>
    </w:p>
    <w:p w14:paraId="1B9AC234" w14:textId="77777777" w:rsidR="003C7B6B" w:rsidRDefault="003C7B6B"/>
    <w:p w14:paraId="1B9AC235" w14:textId="77777777" w:rsidR="003C7B6B" w:rsidRDefault="00471E86">
      <w:pPr>
        <w:ind w:left="1440"/>
      </w:pPr>
      <w:r>
        <w:t>2.2.1 Northern Ireland Law (see paragraph 2.3, 2.4, 2.5, 2.6 and 2.7 of this Schedule)</w:t>
      </w:r>
    </w:p>
    <w:p w14:paraId="1B9AC236" w14:textId="77777777" w:rsidR="003C7B6B" w:rsidRDefault="003C7B6B"/>
    <w:p w14:paraId="1B9AC237" w14:textId="77777777" w:rsidR="003C7B6B" w:rsidRDefault="00471E86">
      <w:pPr>
        <w:pStyle w:val="Heading3"/>
        <w:rPr>
          <w:color w:val="auto"/>
        </w:rPr>
      </w:pPr>
      <w:r>
        <w:rPr>
          <w:color w:val="auto"/>
        </w:rPr>
        <w:t>2.3</w:t>
      </w:r>
      <w:r>
        <w:rPr>
          <w:color w:val="auto"/>
        </w:rPr>
        <w:tab/>
        <w:t>Discrimination</w:t>
      </w:r>
    </w:p>
    <w:p w14:paraId="1B9AC238" w14:textId="77777777" w:rsidR="003C7B6B" w:rsidRDefault="00471E86">
      <w:pPr>
        <w:ind w:left="1440" w:hanging="720"/>
      </w:pPr>
      <w:r>
        <w:t>2.3.1</w:t>
      </w:r>
      <w:r>
        <w:tab/>
        <w:t>The Supplier will comply with all applicable fair employment, equality of treatment and anti-discrimination legislation, including, in particular the:</w:t>
      </w:r>
    </w:p>
    <w:p w14:paraId="1B9AC239" w14:textId="77777777" w:rsidR="003C7B6B" w:rsidRDefault="003C7B6B">
      <w:pPr>
        <w:ind w:left="1440"/>
      </w:pPr>
    </w:p>
    <w:p w14:paraId="1B9AC23A" w14:textId="77777777" w:rsidR="003C7B6B" w:rsidRDefault="00471E86">
      <w:pPr>
        <w:pStyle w:val="ListParagraph"/>
        <w:numPr>
          <w:ilvl w:val="0"/>
          <w:numId w:val="11"/>
        </w:numPr>
      </w:pPr>
      <w:r>
        <w:t>Employment (Northern Ireland) Order 2002</w:t>
      </w:r>
    </w:p>
    <w:p w14:paraId="1B9AC23B" w14:textId="77777777" w:rsidR="003C7B6B" w:rsidRDefault="00471E86">
      <w:pPr>
        <w:pStyle w:val="ListParagraph"/>
        <w:numPr>
          <w:ilvl w:val="0"/>
          <w:numId w:val="11"/>
        </w:numPr>
      </w:pPr>
      <w:r>
        <w:t>Fair Employment and Treatment (Northern Ireland) Order 1998</w:t>
      </w:r>
    </w:p>
    <w:p w14:paraId="1B9AC23C" w14:textId="77777777" w:rsidR="003C7B6B" w:rsidRDefault="00471E86">
      <w:pPr>
        <w:pStyle w:val="ListParagraph"/>
        <w:numPr>
          <w:ilvl w:val="0"/>
          <w:numId w:val="11"/>
        </w:numPr>
      </w:pPr>
      <w:r>
        <w:t>Sex Discrimination (Northern Ireland) Order 1976 and 1988</w:t>
      </w:r>
    </w:p>
    <w:p w14:paraId="1B9AC23D" w14:textId="77777777" w:rsidR="003C7B6B" w:rsidRDefault="00471E86">
      <w:pPr>
        <w:pStyle w:val="ListParagraph"/>
        <w:numPr>
          <w:ilvl w:val="0"/>
          <w:numId w:val="11"/>
        </w:numPr>
      </w:pPr>
      <w:r>
        <w:t>Employment Equality (Sexual   Orientation) Regulations (Northern Ireland) 2003</w:t>
      </w:r>
    </w:p>
    <w:p w14:paraId="1B9AC23E" w14:textId="77777777" w:rsidR="003C7B6B" w:rsidRDefault="00471E86">
      <w:pPr>
        <w:pStyle w:val="ListParagraph"/>
        <w:numPr>
          <w:ilvl w:val="0"/>
          <w:numId w:val="11"/>
        </w:numPr>
      </w:pPr>
      <w:r>
        <w:lastRenderedPageBreak/>
        <w:t>Equal Pay Act (Northern Ireland) 1970</w:t>
      </w:r>
    </w:p>
    <w:p w14:paraId="1B9AC23F" w14:textId="77777777" w:rsidR="003C7B6B" w:rsidRDefault="00471E86">
      <w:pPr>
        <w:pStyle w:val="ListParagraph"/>
        <w:numPr>
          <w:ilvl w:val="0"/>
          <w:numId w:val="11"/>
        </w:numPr>
      </w:pPr>
      <w:r>
        <w:t>Disability Discrimination Act 1995</w:t>
      </w:r>
    </w:p>
    <w:p w14:paraId="1B9AC240" w14:textId="77777777" w:rsidR="003C7B6B" w:rsidRDefault="00471E86">
      <w:pPr>
        <w:pStyle w:val="ListParagraph"/>
        <w:numPr>
          <w:ilvl w:val="0"/>
          <w:numId w:val="11"/>
        </w:numPr>
      </w:pPr>
      <w:r>
        <w:t>Race Relations (Northern Ireland) Order 1997</w:t>
      </w:r>
    </w:p>
    <w:p w14:paraId="1B9AC241" w14:textId="77777777" w:rsidR="003C7B6B" w:rsidRDefault="00471E86">
      <w:pPr>
        <w:pStyle w:val="ListParagraph"/>
        <w:numPr>
          <w:ilvl w:val="0"/>
          <w:numId w:val="11"/>
        </w:numPr>
      </w:pPr>
      <w:r>
        <w:t>Employment Relations (Northern Ireland) Order 1999 and Employment Rights (Northern Ireland) Order 1996</w:t>
      </w:r>
    </w:p>
    <w:p w14:paraId="1B9AC242" w14:textId="77777777" w:rsidR="003C7B6B" w:rsidRDefault="00471E86">
      <w:pPr>
        <w:pStyle w:val="ListParagraph"/>
        <w:numPr>
          <w:ilvl w:val="0"/>
          <w:numId w:val="11"/>
        </w:numPr>
      </w:pPr>
      <w:r>
        <w:t>Employment Equality (Age) Regulations (Northern Ireland) 2006</w:t>
      </w:r>
    </w:p>
    <w:p w14:paraId="1B9AC243" w14:textId="77777777" w:rsidR="003C7B6B" w:rsidRDefault="00471E86">
      <w:pPr>
        <w:pStyle w:val="ListParagraph"/>
        <w:numPr>
          <w:ilvl w:val="0"/>
          <w:numId w:val="11"/>
        </w:numPr>
      </w:pPr>
      <w:r>
        <w:t>Part-time Workers (Prevention of less Favourable Treatment) Regulation 2000</w:t>
      </w:r>
    </w:p>
    <w:p w14:paraId="1B9AC244" w14:textId="77777777" w:rsidR="003C7B6B" w:rsidRDefault="00471E86">
      <w:pPr>
        <w:pStyle w:val="ListParagraph"/>
        <w:numPr>
          <w:ilvl w:val="0"/>
          <w:numId w:val="11"/>
        </w:numPr>
      </w:pPr>
      <w:r>
        <w:t>Fixed-term Employees (Prevention of Less Favourable Treatment) Regulations 2002</w:t>
      </w:r>
    </w:p>
    <w:p w14:paraId="1B9AC245" w14:textId="77777777" w:rsidR="003C7B6B" w:rsidRDefault="00471E86">
      <w:pPr>
        <w:pStyle w:val="ListParagraph"/>
        <w:numPr>
          <w:ilvl w:val="0"/>
          <w:numId w:val="11"/>
        </w:numPr>
      </w:pPr>
      <w:r>
        <w:t>The Disability Discrimination (Northern Ireland) Order 2006</w:t>
      </w:r>
    </w:p>
    <w:p w14:paraId="1B9AC246" w14:textId="77777777" w:rsidR="003C7B6B" w:rsidRDefault="00471E86">
      <w:pPr>
        <w:pStyle w:val="ListParagraph"/>
        <w:numPr>
          <w:ilvl w:val="0"/>
          <w:numId w:val="11"/>
        </w:numPr>
      </w:pPr>
      <w:r>
        <w:t>The Employment Relations (Northern Ireland) Order 2004</w:t>
      </w:r>
    </w:p>
    <w:p w14:paraId="1B9AC247" w14:textId="77777777" w:rsidR="003C7B6B" w:rsidRDefault="00471E86">
      <w:pPr>
        <w:pStyle w:val="ListParagraph"/>
        <w:numPr>
          <w:ilvl w:val="0"/>
          <w:numId w:val="11"/>
        </w:numPr>
      </w:pPr>
      <w:r>
        <w:t>Equality Act (Sexual Orientation) Regulations (Northern Ireland) 2006</w:t>
      </w:r>
    </w:p>
    <w:p w14:paraId="1B9AC248" w14:textId="77777777" w:rsidR="003C7B6B" w:rsidRDefault="00471E86">
      <w:pPr>
        <w:pStyle w:val="ListParagraph"/>
        <w:numPr>
          <w:ilvl w:val="0"/>
          <w:numId w:val="11"/>
        </w:numPr>
      </w:pPr>
      <w:r>
        <w:t>Employment Relations (Northern Ireland) Order 2004</w:t>
      </w:r>
    </w:p>
    <w:p w14:paraId="1B9AC249" w14:textId="77777777" w:rsidR="003C7B6B" w:rsidRDefault="00471E86">
      <w:pPr>
        <w:pStyle w:val="ListParagraph"/>
        <w:numPr>
          <w:ilvl w:val="0"/>
          <w:numId w:val="11"/>
        </w:numPr>
      </w:pPr>
      <w:r>
        <w:t>Work and Families (Northern Ireland) Order 2006</w:t>
      </w:r>
    </w:p>
    <w:p w14:paraId="1B9AC24A" w14:textId="77777777" w:rsidR="003C7B6B" w:rsidRDefault="003C7B6B">
      <w:pPr>
        <w:ind w:left="360"/>
      </w:pPr>
    </w:p>
    <w:p w14:paraId="1B9AC24B" w14:textId="77777777" w:rsidR="003C7B6B" w:rsidRDefault="00471E86">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1B9AC24C" w14:textId="77777777" w:rsidR="003C7B6B" w:rsidRDefault="003C7B6B"/>
    <w:p w14:paraId="1B9AC24D" w14:textId="77777777" w:rsidR="003C7B6B" w:rsidRDefault="00471E86">
      <w:pPr>
        <w:ind w:left="720" w:firstLine="720"/>
      </w:pPr>
      <w:r>
        <w:t>a.</w:t>
      </w:r>
      <w:r>
        <w:tab/>
        <w:t>persons of different religious beliefs or political opinions</w:t>
      </w:r>
    </w:p>
    <w:p w14:paraId="1B9AC24E" w14:textId="77777777" w:rsidR="003C7B6B" w:rsidRDefault="00471E86">
      <w:pPr>
        <w:ind w:left="720" w:firstLine="720"/>
      </w:pPr>
      <w:r>
        <w:t>b.</w:t>
      </w:r>
      <w:r>
        <w:tab/>
        <w:t>men and women or married and unmarried persons</w:t>
      </w:r>
    </w:p>
    <w:p w14:paraId="1B9AC24F" w14:textId="77777777" w:rsidR="003C7B6B" w:rsidRDefault="00471E86">
      <w:pPr>
        <w:ind w:left="720" w:firstLine="720"/>
      </w:pPr>
      <w:r>
        <w:t>c.</w:t>
      </w:r>
      <w:r>
        <w:tab/>
        <w:t>persons with and without dependants (including women who are</w:t>
      </w:r>
    </w:p>
    <w:p w14:paraId="1B9AC250" w14:textId="77777777" w:rsidR="003C7B6B" w:rsidRDefault="00471E86">
      <w:pPr>
        <w:ind w:left="1440" w:firstLine="720"/>
      </w:pPr>
      <w:r>
        <w:t>pregnant or on maternity leave and men on paternity leave)</w:t>
      </w:r>
    </w:p>
    <w:p w14:paraId="1B9AC251" w14:textId="77777777" w:rsidR="003C7B6B" w:rsidRDefault="00471E86">
      <w:pPr>
        <w:ind w:left="720" w:firstLine="720"/>
      </w:pPr>
      <w:r>
        <w:t>d.</w:t>
      </w:r>
      <w:r>
        <w:tab/>
        <w:t>persons of different racial groups (within the meaning of the Race</w:t>
      </w:r>
    </w:p>
    <w:p w14:paraId="1B9AC252" w14:textId="77777777" w:rsidR="003C7B6B" w:rsidRDefault="00471E86">
      <w:pPr>
        <w:ind w:left="1440" w:firstLine="720"/>
      </w:pPr>
      <w:r>
        <w:t>Relations (Northern Ireland) Order 1997)</w:t>
      </w:r>
    </w:p>
    <w:p w14:paraId="1B9AC253" w14:textId="77777777" w:rsidR="003C7B6B" w:rsidRDefault="00471E86">
      <w:pPr>
        <w:ind w:left="720" w:firstLine="720"/>
      </w:pPr>
      <w:r>
        <w:t>e.</w:t>
      </w:r>
      <w:r>
        <w:tab/>
        <w:t>persons with and without a disability (within the meaning of the</w:t>
      </w:r>
    </w:p>
    <w:p w14:paraId="1B9AC254" w14:textId="77777777" w:rsidR="003C7B6B" w:rsidRDefault="00471E86">
      <w:pPr>
        <w:ind w:left="1440" w:firstLine="720"/>
      </w:pPr>
      <w:r>
        <w:t>Disability Discrimination Act 1995)</w:t>
      </w:r>
    </w:p>
    <w:p w14:paraId="1B9AC255" w14:textId="77777777" w:rsidR="003C7B6B" w:rsidRDefault="00471E86">
      <w:pPr>
        <w:ind w:left="720" w:firstLine="720"/>
      </w:pPr>
      <w:r>
        <w:t>f.</w:t>
      </w:r>
      <w:r>
        <w:tab/>
        <w:t>persons of different ages</w:t>
      </w:r>
    </w:p>
    <w:p w14:paraId="1B9AC256" w14:textId="77777777" w:rsidR="003C7B6B" w:rsidRDefault="00471E86">
      <w:pPr>
        <w:ind w:left="720" w:firstLine="720"/>
      </w:pPr>
      <w:r>
        <w:t>g.</w:t>
      </w:r>
      <w:r>
        <w:tab/>
        <w:t>persons of differing sexual orientation</w:t>
      </w:r>
    </w:p>
    <w:p w14:paraId="1B9AC257" w14:textId="77777777" w:rsidR="003C7B6B" w:rsidRDefault="00471E86">
      <w:r>
        <w:t xml:space="preserve"> </w:t>
      </w:r>
    </w:p>
    <w:p w14:paraId="1B9AC258" w14:textId="77777777" w:rsidR="003C7B6B" w:rsidRDefault="00471E86">
      <w:pPr>
        <w:ind w:firstLine="720"/>
      </w:pPr>
      <w:r>
        <w:t>2.3.2</w:t>
      </w:r>
      <w:r>
        <w:tab/>
        <w:t>The Supplier will take all reasonable steps to secure the observance of clause</w:t>
      </w:r>
    </w:p>
    <w:p w14:paraId="1B9AC259" w14:textId="77777777" w:rsidR="003C7B6B" w:rsidRDefault="00471E86">
      <w:pPr>
        <w:ind w:left="720" w:firstLine="720"/>
      </w:pPr>
      <w:r>
        <w:t>2.3.1 of this Schedule by all Supplier Staff.</w:t>
      </w:r>
    </w:p>
    <w:p w14:paraId="1B9AC25A" w14:textId="77777777" w:rsidR="003C7B6B" w:rsidRDefault="00471E86">
      <w:pPr>
        <w:spacing w:before="240" w:after="240"/>
        <w:ind w:left="1440"/>
      </w:pPr>
      <w:r>
        <w:rPr>
          <w:sz w:val="20"/>
          <w:szCs w:val="20"/>
        </w:rPr>
        <w:t xml:space="preserve"> </w:t>
      </w:r>
    </w:p>
    <w:p w14:paraId="1B9AC25B" w14:textId="77777777" w:rsidR="003C7B6B" w:rsidRDefault="00471E86">
      <w:pPr>
        <w:pStyle w:val="Heading3"/>
        <w:rPr>
          <w:color w:val="auto"/>
        </w:rPr>
      </w:pPr>
      <w:r>
        <w:rPr>
          <w:color w:val="auto"/>
        </w:rPr>
        <w:t>2.4</w:t>
      </w:r>
      <w:r>
        <w:rPr>
          <w:color w:val="auto"/>
        </w:rPr>
        <w:tab/>
        <w:t>Equality policies and practices</w:t>
      </w:r>
    </w:p>
    <w:p w14:paraId="1B9AC25C" w14:textId="77777777" w:rsidR="003C7B6B" w:rsidRDefault="00471E86">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B9AC25D" w14:textId="77777777" w:rsidR="003C7B6B" w:rsidRDefault="003C7B6B">
      <w:pPr>
        <w:ind w:left="1440" w:hanging="720"/>
      </w:pPr>
    </w:p>
    <w:p w14:paraId="1B9AC25E" w14:textId="77777777" w:rsidR="003C7B6B" w:rsidRDefault="00471E86">
      <w:pPr>
        <w:ind w:left="1440" w:hanging="720"/>
      </w:pPr>
      <w:r>
        <w:t>2.4.2</w:t>
      </w:r>
      <w:r>
        <w:tab/>
        <w:t>The Supplier will take all reasonable steps to ensure that all of the Supplier Staff comply with its equal opportunities policies (referred to in clause 2.3 above). These steps will include:</w:t>
      </w:r>
    </w:p>
    <w:p w14:paraId="1B9AC25F" w14:textId="77777777" w:rsidR="003C7B6B" w:rsidRDefault="003C7B6B">
      <w:pPr>
        <w:ind w:left="1440"/>
      </w:pPr>
    </w:p>
    <w:p w14:paraId="1B9AC260" w14:textId="77777777" w:rsidR="003C7B6B" w:rsidRDefault="00471E86">
      <w:pPr>
        <w:ind w:left="720" w:firstLine="720"/>
      </w:pPr>
      <w:r>
        <w:t>a.</w:t>
      </w:r>
      <w:r>
        <w:tab/>
        <w:t>the issue of written instructions to staff and other relevant persons</w:t>
      </w:r>
    </w:p>
    <w:p w14:paraId="1B9AC261" w14:textId="77777777" w:rsidR="003C7B6B" w:rsidRDefault="00471E86">
      <w:pPr>
        <w:ind w:left="2160" w:hanging="720"/>
      </w:pPr>
      <w:r>
        <w:t>b.</w:t>
      </w:r>
      <w:r>
        <w:tab/>
        <w:t>the appointment or designation of a senior manager with responsibility for equal opportunities</w:t>
      </w:r>
    </w:p>
    <w:p w14:paraId="1B9AC262" w14:textId="77777777" w:rsidR="003C7B6B" w:rsidRDefault="00471E86">
      <w:pPr>
        <w:ind w:left="2160" w:hanging="720"/>
      </w:pPr>
      <w:r>
        <w:lastRenderedPageBreak/>
        <w:t>c.</w:t>
      </w:r>
      <w:r>
        <w:tab/>
        <w:t>training of all staff and other relevant persons in equal opportunities and harassment matters</w:t>
      </w:r>
    </w:p>
    <w:p w14:paraId="1B9AC263" w14:textId="77777777" w:rsidR="003C7B6B" w:rsidRDefault="00471E86">
      <w:pPr>
        <w:ind w:left="2160" w:hanging="720"/>
      </w:pPr>
      <w:r>
        <w:t>d.</w:t>
      </w:r>
      <w:r>
        <w:tab/>
        <w:t>the inclusion of the topic of equality as an agenda item at team, management and staff meetings</w:t>
      </w:r>
    </w:p>
    <w:p w14:paraId="1B9AC264" w14:textId="77777777" w:rsidR="003C7B6B" w:rsidRDefault="003C7B6B"/>
    <w:p w14:paraId="1B9AC265" w14:textId="77777777" w:rsidR="003C7B6B" w:rsidRDefault="00471E86">
      <w:pPr>
        <w:ind w:left="720"/>
      </w:pPr>
      <w:r>
        <w:t>The Supplier will procure that its Subcontractors do likewise with their equal opportunities policies.</w:t>
      </w:r>
    </w:p>
    <w:p w14:paraId="1B9AC266" w14:textId="77777777" w:rsidR="003C7B6B" w:rsidRDefault="003C7B6B">
      <w:pPr>
        <w:ind w:left="720"/>
      </w:pPr>
    </w:p>
    <w:p w14:paraId="1B9AC267" w14:textId="77777777" w:rsidR="003C7B6B" w:rsidRDefault="00471E86">
      <w:pPr>
        <w:ind w:firstLine="720"/>
      </w:pPr>
      <w:r>
        <w:t>2.4.3</w:t>
      </w:r>
      <w:r>
        <w:tab/>
        <w:t>The Supplier will inform the Customer as soon as possible in the event of:</w:t>
      </w:r>
    </w:p>
    <w:p w14:paraId="1B9AC268" w14:textId="77777777" w:rsidR="003C7B6B" w:rsidRDefault="003C7B6B"/>
    <w:p w14:paraId="1B9AC269" w14:textId="77777777" w:rsidR="003C7B6B" w:rsidRDefault="00471E86">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1B9AC26A" w14:textId="77777777" w:rsidR="003C7B6B" w:rsidRDefault="00471E86">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1B9AC26B" w14:textId="77777777" w:rsidR="003C7B6B" w:rsidRDefault="003C7B6B">
      <w:pPr>
        <w:ind w:left="2160"/>
      </w:pPr>
    </w:p>
    <w:p w14:paraId="1B9AC26C" w14:textId="77777777" w:rsidR="003C7B6B" w:rsidRDefault="00471E86">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1B9AC26D" w14:textId="77777777" w:rsidR="003C7B6B" w:rsidRDefault="003C7B6B"/>
    <w:p w14:paraId="1B9AC26E" w14:textId="77777777" w:rsidR="003C7B6B" w:rsidRDefault="00471E86">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B9AC26F" w14:textId="77777777" w:rsidR="003C7B6B" w:rsidRDefault="003C7B6B">
      <w:pPr>
        <w:ind w:left="1440"/>
      </w:pPr>
    </w:p>
    <w:p w14:paraId="1B9AC270" w14:textId="77777777" w:rsidR="003C7B6B" w:rsidRDefault="00471E86">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1B9AC271" w14:textId="77777777" w:rsidR="003C7B6B" w:rsidRDefault="003C7B6B">
      <w:pPr>
        <w:ind w:left="1440" w:hanging="720"/>
      </w:pPr>
    </w:p>
    <w:p w14:paraId="1B9AC272" w14:textId="77777777" w:rsidR="003C7B6B" w:rsidRDefault="00471E86">
      <w:pPr>
        <w:pStyle w:val="Heading3"/>
        <w:rPr>
          <w:color w:val="auto"/>
        </w:rPr>
      </w:pPr>
      <w:r>
        <w:rPr>
          <w:color w:val="auto"/>
        </w:rPr>
        <w:t>2.5</w:t>
      </w:r>
      <w:r>
        <w:rPr>
          <w:color w:val="auto"/>
        </w:rPr>
        <w:tab/>
        <w:t>Equality</w:t>
      </w:r>
    </w:p>
    <w:p w14:paraId="1B9AC273" w14:textId="77777777" w:rsidR="003C7B6B" w:rsidRDefault="00471E86">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B9AC274" w14:textId="77777777" w:rsidR="003C7B6B" w:rsidRDefault="003C7B6B">
      <w:pPr>
        <w:ind w:left="1440"/>
      </w:pPr>
    </w:p>
    <w:p w14:paraId="1B9AC275" w14:textId="77777777" w:rsidR="003C7B6B" w:rsidRDefault="00471E86">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1B9AC276" w14:textId="77777777" w:rsidR="003C7B6B" w:rsidRDefault="003C7B6B"/>
    <w:p w14:paraId="1B9AC277" w14:textId="77777777" w:rsidR="003C7B6B" w:rsidRDefault="00471E86">
      <w:pPr>
        <w:pStyle w:val="Heading3"/>
        <w:rPr>
          <w:color w:val="auto"/>
        </w:rPr>
      </w:pPr>
      <w:r>
        <w:rPr>
          <w:color w:val="auto"/>
        </w:rPr>
        <w:t>2.6</w:t>
      </w:r>
      <w:r>
        <w:rPr>
          <w:color w:val="auto"/>
        </w:rPr>
        <w:tab/>
        <w:t>Health and safety</w:t>
      </w:r>
    </w:p>
    <w:p w14:paraId="1B9AC278" w14:textId="77777777" w:rsidR="003C7B6B" w:rsidRDefault="00471E86">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1B9AC279" w14:textId="77777777" w:rsidR="003C7B6B" w:rsidRDefault="003C7B6B">
      <w:pPr>
        <w:ind w:left="1440"/>
      </w:pPr>
    </w:p>
    <w:p w14:paraId="1B9AC27A" w14:textId="77777777" w:rsidR="003C7B6B" w:rsidRDefault="00471E86">
      <w:pPr>
        <w:ind w:left="1440" w:hanging="720"/>
      </w:pPr>
      <w:r>
        <w:t>2.6.2</w:t>
      </w:r>
      <w:r>
        <w:tab/>
        <w:t>While on the Customer premises, the Supplier will comply with any health and safety measures implemented by the Customer in respect of Supplier Staff and other persons working there.</w:t>
      </w:r>
    </w:p>
    <w:p w14:paraId="1B9AC27B" w14:textId="77777777" w:rsidR="003C7B6B" w:rsidRDefault="003C7B6B"/>
    <w:p w14:paraId="1B9AC27C" w14:textId="77777777" w:rsidR="003C7B6B" w:rsidRDefault="00471E86">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1B9AC27D" w14:textId="77777777" w:rsidR="003C7B6B" w:rsidRDefault="003C7B6B"/>
    <w:p w14:paraId="1B9AC27E" w14:textId="77777777" w:rsidR="003C7B6B" w:rsidRDefault="00471E86">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1B9AC27F" w14:textId="77777777" w:rsidR="003C7B6B" w:rsidRDefault="003C7B6B"/>
    <w:p w14:paraId="1B9AC280" w14:textId="77777777" w:rsidR="003C7B6B" w:rsidRDefault="00471E86">
      <w:pPr>
        <w:ind w:left="1440" w:hanging="720"/>
      </w:pPr>
      <w:r>
        <w:t>2.6.5</w:t>
      </w:r>
      <w:r>
        <w:tab/>
        <w:t>The Supplier will ensure that its health and safety policy statement (as required by the Health and Safety at Work (Northern Ireland) Order 1978) is made available to the Customer on request.</w:t>
      </w:r>
    </w:p>
    <w:p w14:paraId="1B9AC281" w14:textId="77777777" w:rsidR="003C7B6B" w:rsidRDefault="003C7B6B"/>
    <w:p w14:paraId="1B9AC282" w14:textId="77777777" w:rsidR="003C7B6B" w:rsidRDefault="00471E86">
      <w:pPr>
        <w:pStyle w:val="Heading3"/>
        <w:rPr>
          <w:color w:val="auto"/>
        </w:rPr>
      </w:pPr>
      <w:r>
        <w:rPr>
          <w:color w:val="auto"/>
        </w:rPr>
        <w:t>2.7</w:t>
      </w:r>
      <w:r>
        <w:rPr>
          <w:color w:val="auto"/>
        </w:rPr>
        <w:tab/>
        <w:t>Criminal damage</w:t>
      </w:r>
    </w:p>
    <w:p w14:paraId="1B9AC283" w14:textId="77777777" w:rsidR="003C7B6B" w:rsidRDefault="00471E86">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B9AC284" w14:textId="77777777" w:rsidR="003C7B6B" w:rsidRDefault="003C7B6B"/>
    <w:p w14:paraId="1B9AC285" w14:textId="77777777" w:rsidR="003C7B6B" w:rsidRDefault="00471E86">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B9AC286" w14:textId="77777777" w:rsidR="003C7B6B" w:rsidRDefault="003C7B6B"/>
    <w:p w14:paraId="1B9AC287" w14:textId="77777777" w:rsidR="003C7B6B" w:rsidRDefault="00471E86">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1B9AC288" w14:textId="77777777" w:rsidR="003C7B6B" w:rsidRDefault="003C7B6B"/>
    <w:p w14:paraId="1B9AC289" w14:textId="77777777" w:rsidR="003C7B6B" w:rsidRDefault="00471E86">
      <w:pPr>
        <w:ind w:left="1440" w:hanging="720"/>
      </w:pPr>
      <w:r>
        <w:t>2.7.4</w:t>
      </w:r>
      <w:r>
        <w:tab/>
        <w:t>The Supplier will apply any compensation paid under the Compensation Order in respect of damage to the relevant assets towards the repair, reinstatement or replacement of the assets affected.</w:t>
      </w:r>
    </w:p>
    <w:p w14:paraId="1B9AC28A" w14:textId="77777777" w:rsidR="003C7B6B" w:rsidRDefault="003C7B6B"/>
    <w:p w14:paraId="1B9AC28B" w14:textId="77777777" w:rsidR="003C7B6B" w:rsidRDefault="003C7B6B">
      <w:pPr>
        <w:rPr>
          <w:b/>
        </w:rPr>
      </w:pPr>
    </w:p>
    <w:p w14:paraId="1B9AC28C" w14:textId="77777777" w:rsidR="003C7B6B" w:rsidRDefault="003C7B6B">
      <w:bookmarkStart w:id="10" w:name="_Toc33176238"/>
    </w:p>
    <w:p w14:paraId="1B9AC28D" w14:textId="77777777" w:rsidR="003C7B6B" w:rsidRDefault="00471E86">
      <w:pPr>
        <w:pStyle w:val="Heading2"/>
        <w:pageBreakBefore/>
      </w:pPr>
      <w:r>
        <w:lastRenderedPageBreak/>
        <w:t>Schedule 5: Guarantee</w:t>
      </w:r>
      <w:bookmarkEnd w:id="10"/>
    </w:p>
    <w:p w14:paraId="1B9AC28E" w14:textId="77777777" w:rsidR="003C7B6B" w:rsidRDefault="003C7B6B"/>
    <w:p w14:paraId="1B9AC28F" w14:textId="77777777" w:rsidR="003C7B6B" w:rsidRDefault="00471E86">
      <w:r>
        <w:t>N/A</w:t>
      </w:r>
    </w:p>
    <w:p w14:paraId="1B9AC290" w14:textId="77777777" w:rsidR="003C7B6B" w:rsidRDefault="003C7B6B">
      <w:pPr>
        <w:pageBreakBefore/>
        <w:rPr>
          <w:b/>
        </w:rPr>
      </w:pPr>
    </w:p>
    <w:p w14:paraId="1B9AC291" w14:textId="77777777" w:rsidR="003C7B6B" w:rsidRDefault="00471E86">
      <w:pPr>
        <w:pStyle w:val="Heading2"/>
      </w:pPr>
      <w:bookmarkStart w:id="11" w:name="_Toc33176239"/>
      <w:r>
        <w:t>Schedule 6: Glossary and interpretations</w:t>
      </w:r>
      <w:bookmarkEnd w:id="11"/>
    </w:p>
    <w:p w14:paraId="1B9AC292" w14:textId="77777777" w:rsidR="003C7B6B" w:rsidRDefault="00471E86">
      <w:r>
        <w:t>In this Call-Off Contract the following expressions mean:</w:t>
      </w:r>
    </w:p>
    <w:p w14:paraId="1B9AC293" w14:textId="77777777" w:rsidR="003C7B6B" w:rsidRDefault="003C7B6B"/>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3C7B6B" w14:paraId="1B9AC296"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94" w14:textId="77777777" w:rsidR="003C7B6B" w:rsidRDefault="00471E86">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95" w14:textId="77777777" w:rsidR="003C7B6B" w:rsidRDefault="00471E86">
            <w:pPr>
              <w:spacing w:before="240"/>
              <w:rPr>
                <w:sz w:val="20"/>
                <w:szCs w:val="20"/>
              </w:rPr>
            </w:pPr>
            <w:r>
              <w:rPr>
                <w:sz w:val="20"/>
                <w:szCs w:val="20"/>
              </w:rPr>
              <w:t>Meaning</w:t>
            </w:r>
          </w:p>
        </w:tc>
      </w:tr>
      <w:tr w:rsidR="003C7B6B" w14:paraId="1B9AC29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97" w14:textId="77777777" w:rsidR="003C7B6B" w:rsidRDefault="00471E86">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98" w14:textId="77777777" w:rsidR="003C7B6B" w:rsidRDefault="00471E86">
            <w:pPr>
              <w:spacing w:before="240"/>
              <w:rPr>
                <w:sz w:val="20"/>
                <w:szCs w:val="20"/>
              </w:rPr>
            </w:pPr>
            <w:r>
              <w:rPr>
                <w:sz w:val="20"/>
                <w:szCs w:val="20"/>
              </w:rPr>
              <w:t>Any services ancillary to the G-Cloud Services that are in the scope of Framework Agreement Section 2 (Services Offered) which a Buyer may request.</w:t>
            </w:r>
          </w:p>
        </w:tc>
      </w:tr>
      <w:tr w:rsidR="003C7B6B" w14:paraId="1B9AC29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9A" w14:textId="77777777" w:rsidR="003C7B6B" w:rsidRDefault="00471E86">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9B" w14:textId="77777777" w:rsidR="003C7B6B" w:rsidRDefault="00471E86">
            <w:pPr>
              <w:spacing w:before="240"/>
              <w:rPr>
                <w:sz w:val="20"/>
                <w:szCs w:val="20"/>
              </w:rPr>
            </w:pPr>
            <w:r>
              <w:rPr>
                <w:sz w:val="20"/>
                <w:szCs w:val="20"/>
              </w:rPr>
              <w:t>The agreement to be entered into to enable the Supplier to participate in the relevant Civil Service pension scheme(s).</w:t>
            </w:r>
          </w:p>
        </w:tc>
      </w:tr>
      <w:tr w:rsidR="003C7B6B" w14:paraId="1B9AC29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9D" w14:textId="77777777" w:rsidR="003C7B6B" w:rsidRDefault="00471E86">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9E" w14:textId="77777777" w:rsidR="003C7B6B" w:rsidRDefault="00471E86">
            <w:pPr>
              <w:spacing w:before="240"/>
              <w:rPr>
                <w:sz w:val="20"/>
                <w:szCs w:val="20"/>
              </w:rPr>
            </w:pPr>
            <w:r>
              <w:rPr>
                <w:sz w:val="20"/>
                <w:szCs w:val="20"/>
              </w:rPr>
              <w:t>The response submitted by the Supplier to the Invitation to Tender (known as the Invitation to Apply on the Digital Marketplace).</w:t>
            </w:r>
          </w:p>
        </w:tc>
      </w:tr>
      <w:tr w:rsidR="003C7B6B" w14:paraId="1B9AC2A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A0" w14:textId="77777777" w:rsidR="003C7B6B" w:rsidRDefault="00471E86">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A1" w14:textId="77777777" w:rsidR="003C7B6B" w:rsidRDefault="00471E86">
            <w:pPr>
              <w:spacing w:before="240"/>
              <w:rPr>
                <w:sz w:val="20"/>
                <w:szCs w:val="20"/>
              </w:rPr>
            </w:pPr>
            <w:r>
              <w:rPr>
                <w:sz w:val="20"/>
                <w:szCs w:val="20"/>
              </w:rPr>
              <w:t>An audit carried out under the incorporated Framework Agreement clauses specified by the Buyer in the Order (if any).</w:t>
            </w:r>
          </w:p>
        </w:tc>
      </w:tr>
      <w:tr w:rsidR="003C7B6B" w14:paraId="1B9AC2A8"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A3" w14:textId="77777777" w:rsidR="003C7B6B" w:rsidRDefault="00471E86">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A4" w14:textId="77777777" w:rsidR="003C7B6B" w:rsidRDefault="00471E86">
            <w:pPr>
              <w:spacing w:before="240"/>
              <w:rPr>
                <w:sz w:val="20"/>
                <w:szCs w:val="20"/>
              </w:rPr>
            </w:pPr>
            <w:r>
              <w:rPr>
                <w:sz w:val="20"/>
                <w:szCs w:val="20"/>
              </w:rPr>
              <w:t>For each Party, IPRs:</w:t>
            </w:r>
          </w:p>
          <w:p w14:paraId="1B9AC2A5" w14:textId="77777777" w:rsidR="003C7B6B" w:rsidRDefault="00471E86">
            <w:pPr>
              <w:pStyle w:val="ListParagraph"/>
              <w:numPr>
                <w:ilvl w:val="0"/>
                <w:numId w:val="1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1B9AC2A6" w14:textId="77777777" w:rsidR="003C7B6B" w:rsidRDefault="00471E86">
            <w:pPr>
              <w:pStyle w:val="ListParagraph"/>
              <w:numPr>
                <w:ilvl w:val="0"/>
                <w:numId w:val="12"/>
              </w:numPr>
              <w:rPr>
                <w:sz w:val="20"/>
                <w:szCs w:val="20"/>
              </w:rPr>
            </w:pPr>
            <w:r>
              <w:rPr>
                <w:sz w:val="20"/>
                <w:szCs w:val="20"/>
              </w:rPr>
              <w:t>created by the Party independently of this Call-Off Contract, or</w:t>
            </w:r>
          </w:p>
          <w:p w14:paraId="1B9AC2A7" w14:textId="77777777" w:rsidR="003C7B6B" w:rsidRDefault="00471E86">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3C7B6B" w14:paraId="1B9AC2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A9" w14:textId="77777777" w:rsidR="003C7B6B" w:rsidRDefault="00471E86">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AA" w14:textId="77777777" w:rsidR="003C7B6B" w:rsidRDefault="00471E86">
            <w:pPr>
              <w:spacing w:before="240"/>
              <w:rPr>
                <w:sz w:val="20"/>
                <w:szCs w:val="20"/>
              </w:rPr>
            </w:pPr>
            <w:r>
              <w:rPr>
                <w:sz w:val="20"/>
                <w:szCs w:val="20"/>
              </w:rPr>
              <w:t>The contracting authority ordering services as set out in the Order Form.</w:t>
            </w:r>
          </w:p>
        </w:tc>
      </w:tr>
      <w:tr w:rsidR="003C7B6B" w14:paraId="1B9AC2A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AC" w14:textId="77777777" w:rsidR="003C7B6B" w:rsidRDefault="00471E86">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AD" w14:textId="77777777" w:rsidR="003C7B6B" w:rsidRDefault="00471E86">
            <w:pPr>
              <w:spacing w:before="240"/>
              <w:rPr>
                <w:sz w:val="20"/>
                <w:szCs w:val="20"/>
              </w:rPr>
            </w:pPr>
            <w:r>
              <w:rPr>
                <w:sz w:val="20"/>
                <w:szCs w:val="20"/>
              </w:rPr>
              <w:t>All data supplied by the Buyer to the Supplier including Personal Data and Service Data that is owned and managed by the Buyer.</w:t>
            </w:r>
          </w:p>
        </w:tc>
      </w:tr>
      <w:tr w:rsidR="003C7B6B" w14:paraId="1B9AC2B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AF" w14:textId="77777777" w:rsidR="003C7B6B" w:rsidRDefault="00471E86">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B0" w14:textId="77777777" w:rsidR="003C7B6B" w:rsidRDefault="00471E86">
            <w:pPr>
              <w:spacing w:before="240"/>
              <w:rPr>
                <w:sz w:val="20"/>
                <w:szCs w:val="20"/>
              </w:rPr>
            </w:pPr>
            <w:r>
              <w:rPr>
                <w:sz w:val="20"/>
                <w:szCs w:val="20"/>
              </w:rPr>
              <w:t>The Personal Data supplied by the Buyer to the Supplier for purposes of, or in connection with, this Call-Off Contract.</w:t>
            </w:r>
          </w:p>
        </w:tc>
      </w:tr>
      <w:tr w:rsidR="003C7B6B" w14:paraId="1B9AC2B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B2" w14:textId="77777777" w:rsidR="003C7B6B" w:rsidRDefault="00471E86">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B3" w14:textId="77777777" w:rsidR="003C7B6B" w:rsidRDefault="00471E86">
            <w:pPr>
              <w:spacing w:before="240"/>
              <w:rPr>
                <w:sz w:val="20"/>
                <w:szCs w:val="20"/>
              </w:rPr>
            </w:pPr>
            <w:r>
              <w:rPr>
                <w:sz w:val="20"/>
                <w:szCs w:val="20"/>
              </w:rPr>
              <w:t>The representative appointed by the Buyer under this Call-Off Contract.</w:t>
            </w:r>
          </w:p>
        </w:tc>
      </w:tr>
      <w:tr w:rsidR="003C7B6B" w14:paraId="1B9AC2B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B5" w14:textId="77777777" w:rsidR="003C7B6B" w:rsidRDefault="00471E86">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B6" w14:textId="77777777" w:rsidR="003C7B6B" w:rsidRDefault="00471E86">
            <w:pPr>
              <w:spacing w:before="240"/>
              <w:rPr>
                <w:sz w:val="20"/>
                <w:szCs w:val="20"/>
              </w:rPr>
            </w:pPr>
            <w:r>
              <w:rPr>
                <w:sz w:val="20"/>
                <w:szCs w:val="20"/>
              </w:rPr>
              <w:t>Software owned by or licensed to the Buyer (other than under this Agreement), which is or will be used by the Supplier to provide the Services.</w:t>
            </w:r>
          </w:p>
        </w:tc>
      </w:tr>
      <w:tr w:rsidR="003C7B6B" w14:paraId="1B9AC2B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B8" w14:textId="77777777" w:rsidR="003C7B6B" w:rsidRDefault="00471E86">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B9" w14:textId="77777777" w:rsidR="003C7B6B" w:rsidRDefault="00471E86">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3C7B6B" w14:paraId="1B9AC2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BB" w14:textId="77777777" w:rsidR="003C7B6B" w:rsidRDefault="00471E86">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BC" w14:textId="77777777" w:rsidR="003C7B6B" w:rsidRDefault="00471E86">
            <w:pPr>
              <w:spacing w:before="240"/>
              <w:rPr>
                <w:sz w:val="20"/>
                <w:szCs w:val="20"/>
              </w:rPr>
            </w:pPr>
            <w:r>
              <w:rPr>
                <w:sz w:val="20"/>
                <w:szCs w:val="20"/>
              </w:rPr>
              <w:t>The prices (excluding any applicable VAT), payable to the Supplier by the Buyer under this Call-Off Contract.</w:t>
            </w:r>
          </w:p>
        </w:tc>
      </w:tr>
      <w:tr w:rsidR="003C7B6B" w14:paraId="1B9AC2C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BE" w14:textId="77777777" w:rsidR="003C7B6B" w:rsidRDefault="00471E86">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BF" w14:textId="77777777" w:rsidR="003C7B6B" w:rsidRDefault="00471E86">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3C7B6B" w14:paraId="1B9AC2C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C1" w14:textId="77777777" w:rsidR="003C7B6B" w:rsidRDefault="00471E86">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C2" w14:textId="77777777" w:rsidR="003C7B6B" w:rsidRDefault="00471E86">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3C7B6B" w14:paraId="1B9AC2C8"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C4" w14:textId="77777777" w:rsidR="003C7B6B" w:rsidRDefault="00471E86">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C5" w14:textId="77777777" w:rsidR="003C7B6B" w:rsidRDefault="00471E86">
            <w:pPr>
              <w:spacing w:before="240"/>
              <w:rPr>
                <w:sz w:val="20"/>
                <w:szCs w:val="20"/>
              </w:rPr>
            </w:pPr>
            <w:r>
              <w:rPr>
                <w:sz w:val="20"/>
                <w:szCs w:val="20"/>
              </w:rPr>
              <w:t>Data, Personal Data and any information, which may include (but isn’t limited to) any:</w:t>
            </w:r>
          </w:p>
          <w:p w14:paraId="1B9AC2C6" w14:textId="77777777" w:rsidR="003C7B6B" w:rsidRDefault="00471E86">
            <w:pPr>
              <w:pStyle w:val="ListParagraph"/>
              <w:numPr>
                <w:ilvl w:val="0"/>
                <w:numId w:val="1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1B9AC2C7" w14:textId="77777777" w:rsidR="003C7B6B" w:rsidRDefault="00471E86">
            <w:pPr>
              <w:pStyle w:val="ListParagraph"/>
              <w:numPr>
                <w:ilvl w:val="0"/>
                <w:numId w:val="13"/>
              </w:numPr>
              <w:rPr>
                <w:sz w:val="20"/>
                <w:szCs w:val="20"/>
              </w:rPr>
            </w:pPr>
            <w:r>
              <w:rPr>
                <w:sz w:val="20"/>
                <w:szCs w:val="20"/>
              </w:rPr>
              <w:t>other information clearly designated as being confidential or which ought reasonably be considered to be confidential (whether or not it is marked 'confidential').</w:t>
            </w:r>
          </w:p>
        </w:tc>
      </w:tr>
      <w:tr w:rsidR="003C7B6B" w14:paraId="1B9AC2CC"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C9" w14:textId="77777777" w:rsidR="003C7B6B" w:rsidRDefault="00471E86">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CA" w14:textId="77777777" w:rsidR="003C7B6B" w:rsidRDefault="00471E86">
            <w:pPr>
              <w:spacing w:before="240"/>
              <w:rPr>
                <w:sz w:val="20"/>
                <w:szCs w:val="20"/>
              </w:rPr>
            </w:pPr>
            <w:r>
              <w:rPr>
                <w:sz w:val="20"/>
                <w:szCs w:val="20"/>
              </w:rPr>
              <w:t>‘Control’ as defined in section 1124 and 450 of the Corporation Tax</w:t>
            </w:r>
          </w:p>
          <w:p w14:paraId="1B9AC2CB" w14:textId="77777777" w:rsidR="003C7B6B" w:rsidRDefault="00471E86">
            <w:pPr>
              <w:spacing w:before="240"/>
              <w:rPr>
                <w:sz w:val="20"/>
                <w:szCs w:val="20"/>
              </w:rPr>
            </w:pPr>
            <w:r>
              <w:rPr>
                <w:sz w:val="20"/>
                <w:szCs w:val="20"/>
              </w:rPr>
              <w:t>Act 2010. 'Controls' and 'Controlled' will be interpreted accordingly.</w:t>
            </w:r>
          </w:p>
        </w:tc>
      </w:tr>
      <w:tr w:rsidR="003C7B6B" w14:paraId="1B9AC2C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CD" w14:textId="77777777" w:rsidR="003C7B6B" w:rsidRDefault="00471E86">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CE" w14:textId="77777777" w:rsidR="003C7B6B" w:rsidRDefault="00471E86">
            <w:pPr>
              <w:spacing w:before="240"/>
              <w:rPr>
                <w:sz w:val="20"/>
                <w:szCs w:val="20"/>
              </w:rPr>
            </w:pPr>
            <w:r>
              <w:rPr>
                <w:sz w:val="20"/>
                <w:szCs w:val="20"/>
              </w:rPr>
              <w:t>Takes the meaning given in the GDPR.</w:t>
            </w:r>
          </w:p>
        </w:tc>
      </w:tr>
      <w:tr w:rsidR="003C7B6B" w14:paraId="1B9AC2D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D0" w14:textId="77777777" w:rsidR="003C7B6B" w:rsidRDefault="00471E86">
            <w:pPr>
              <w:spacing w:before="240"/>
              <w:rPr>
                <w:b/>
                <w:sz w:val="20"/>
                <w:szCs w:val="20"/>
              </w:rPr>
            </w:pPr>
            <w:r>
              <w:rPr>
                <w:b/>
                <w:sz w:val="20"/>
                <w:szCs w:val="20"/>
              </w:rPr>
              <w:t>Crown</w:t>
            </w:r>
          </w:p>
          <w:p w14:paraId="1B9AC2D1" w14:textId="77777777" w:rsidR="003C7B6B" w:rsidRDefault="00471E86">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D2" w14:textId="77777777" w:rsidR="003C7B6B" w:rsidRDefault="00471E86">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3C7B6B" w14:paraId="1B9AC2D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D4" w14:textId="77777777" w:rsidR="003C7B6B" w:rsidRDefault="00471E86">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D5" w14:textId="77777777" w:rsidR="003C7B6B" w:rsidRDefault="00471E86">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3C7B6B" w14:paraId="1B9AC2D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D7" w14:textId="77777777" w:rsidR="003C7B6B" w:rsidRDefault="00471E86">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D8" w14:textId="77777777" w:rsidR="003C7B6B" w:rsidRDefault="00471E86">
            <w:pPr>
              <w:spacing w:before="240"/>
              <w:rPr>
                <w:sz w:val="20"/>
                <w:szCs w:val="20"/>
              </w:rPr>
            </w:pPr>
            <w:r>
              <w:rPr>
                <w:sz w:val="20"/>
                <w:szCs w:val="20"/>
              </w:rPr>
              <w:t>An assessment by the Controller of the impact of the envisaged Processing on the protection of Personal Data.</w:t>
            </w:r>
          </w:p>
        </w:tc>
      </w:tr>
      <w:tr w:rsidR="003C7B6B" w14:paraId="1B9AC2DF"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DA" w14:textId="77777777" w:rsidR="003C7B6B" w:rsidRDefault="00471E86">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DB" w14:textId="77777777" w:rsidR="003C7B6B" w:rsidRDefault="00471E86">
            <w:pPr>
              <w:spacing w:before="240"/>
              <w:rPr>
                <w:sz w:val="20"/>
                <w:szCs w:val="20"/>
              </w:rPr>
            </w:pPr>
            <w:r>
              <w:rPr>
                <w:sz w:val="20"/>
                <w:szCs w:val="20"/>
              </w:rPr>
              <w:t>Data Protection Legislation means:</w:t>
            </w:r>
          </w:p>
          <w:p w14:paraId="1B9AC2DC" w14:textId="77777777" w:rsidR="003C7B6B" w:rsidRDefault="00471E86">
            <w:pPr>
              <w:rPr>
                <w:sz w:val="20"/>
                <w:szCs w:val="20"/>
              </w:rPr>
            </w:pPr>
            <w:r>
              <w:rPr>
                <w:sz w:val="20"/>
                <w:szCs w:val="20"/>
              </w:rPr>
              <w:t>(i) the GDPR, the LED and any applicable national implementing Laws as amended from time to time</w:t>
            </w:r>
          </w:p>
          <w:p w14:paraId="1B9AC2DD" w14:textId="77777777" w:rsidR="003C7B6B" w:rsidRDefault="00471E86">
            <w:pPr>
              <w:ind w:left="720" w:hanging="720"/>
              <w:rPr>
                <w:sz w:val="20"/>
                <w:szCs w:val="20"/>
              </w:rPr>
            </w:pPr>
            <w:r>
              <w:rPr>
                <w:sz w:val="20"/>
                <w:szCs w:val="20"/>
              </w:rPr>
              <w:t>(ii) the DPA 2018 to the extent that it relates to Processing of Personal Data and privacy</w:t>
            </w:r>
          </w:p>
          <w:p w14:paraId="1B9AC2DE" w14:textId="77777777" w:rsidR="003C7B6B" w:rsidRDefault="00471E86">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3C7B6B" w14:paraId="1B9AC2E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E0" w14:textId="77777777" w:rsidR="003C7B6B" w:rsidRDefault="00471E86">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E1" w14:textId="77777777" w:rsidR="003C7B6B" w:rsidRDefault="00471E86">
            <w:pPr>
              <w:spacing w:before="240"/>
              <w:rPr>
                <w:sz w:val="20"/>
                <w:szCs w:val="20"/>
              </w:rPr>
            </w:pPr>
            <w:r>
              <w:rPr>
                <w:sz w:val="20"/>
                <w:szCs w:val="20"/>
              </w:rPr>
              <w:t>Takes the meaning given in the GDPR</w:t>
            </w:r>
          </w:p>
        </w:tc>
      </w:tr>
      <w:tr w:rsidR="003C7B6B" w14:paraId="1B9AC2E8"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E3" w14:textId="77777777" w:rsidR="003C7B6B" w:rsidRDefault="00471E86">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E4" w14:textId="77777777" w:rsidR="003C7B6B" w:rsidRDefault="00471E86">
            <w:pPr>
              <w:spacing w:before="240"/>
              <w:rPr>
                <w:sz w:val="20"/>
                <w:szCs w:val="20"/>
              </w:rPr>
            </w:pPr>
            <w:r>
              <w:rPr>
                <w:sz w:val="20"/>
                <w:szCs w:val="20"/>
              </w:rPr>
              <w:t>Default is any:</w:t>
            </w:r>
          </w:p>
          <w:p w14:paraId="1B9AC2E5" w14:textId="77777777" w:rsidR="003C7B6B" w:rsidRDefault="00471E86">
            <w:pPr>
              <w:pStyle w:val="ListParagraph"/>
              <w:numPr>
                <w:ilvl w:val="0"/>
                <w:numId w:val="14"/>
              </w:numPr>
              <w:rPr>
                <w:sz w:val="20"/>
                <w:szCs w:val="20"/>
              </w:rPr>
            </w:pPr>
            <w:r>
              <w:rPr>
                <w:sz w:val="20"/>
                <w:szCs w:val="20"/>
              </w:rPr>
              <w:t>breach of the obligations of the Supplier (including any fundamental breach or breach of a fundamental term)</w:t>
            </w:r>
          </w:p>
          <w:p w14:paraId="1B9AC2E6" w14:textId="77777777" w:rsidR="003C7B6B" w:rsidRDefault="00471E86">
            <w:pPr>
              <w:pStyle w:val="ListParagraph"/>
              <w:numPr>
                <w:ilvl w:val="0"/>
                <w:numId w:val="1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1B9AC2E7" w14:textId="77777777" w:rsidR="003C7B6B" w:rsidRDefault="00471E86">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3C7B6B" w14:paraId="1B9AC2E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E9" w14:textId="77777777" w:rsidR="003C7B6B" w:rsidRDefault="00471E86">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EA" w14:textId="77777777" w:rsidR="003C7B6B" w:rsidRDefault="00471E86">
            <w:pPr>
              <w:spacing w:before="240"/>
              <w:rPr>
                <w:sz w:val="20"/>
                <w:szCs w:val="20"/>
              </w:rPr>
            </w:pPr>
            <w:r>
              <w:rPr>
                <w:sz w:val="20"/>
                <w:szCs w:val="20"/>
              </w:rPr>
              <w:t>The G-Cloud Services the Buyer contracts the Supplier to provide under this Call-Off Contract.</w:t>
            </w:r>
          </w:p>
        </w:tc>
      </w:tr>
      <w:tr w:rsidR="003C7B6B" w14:paraId="1B9AC2E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EC" w14:textId="77777777" w:rsidR="003C7B6B" w:rsidRDefault="00471E86">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ED" w14:textId="77777777" w:rsidR="003C7B6B" w:rsidRDefault="00471E86">
            <w:pPr>
              <w:spacing w:before="240"/>
            </w:pPr>
            <w:r>
              <w:rPr>
                <w:sz w:val="20"/>
                <w:szCs w:val="20"/>
              </w:rPr>
              <w:t>The government marketplace where Services are available for Buyers to buy. (</w:t>
            </w:r>
            <w:hyperlink r:id="rId28" w:history="1">
              <w:r>
                <w:rPr>
                  <w:sz w:val="20"/>
                  <w:szCs w:val="20"/>
                  <w:u w:val="single"/>
                </w:rPr>
                <w:t>https://www.digitalmarketplace.service.gov.uk</w:t>
              </w:r>
            </w:hyperlink>
            <w:r>
              <w:rPr>
                <w:sz w:val="20"/>
                <w:szCs w:val="20"/>
              </w:rPr>
              <w:t>/)</w:t>
            </w:r>
          </w:p>
        </w:tc>
      </w:tr>
      <w:tr w:rsidR="003C7B6B" w14:paraId="1B9AC2F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EF" w14:textId="77777777" w:rsidR="003C7B6B" w:rsidRDefault="00471E86">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F0" w14:textId="77777777" w:rsidR="003C7B6B" w:rsidRDefault="00471E86">
            <w:pPr>
              <w:spacing w:before="240"/>
              <w:rPr>
                <w:sz w:val="20"/>
                <w:szCs w:val="20"/>
              </w:rPr>
            </w:pPr>
            <w:r>
              <w:rPr>
                <w:sz w:val="20"/>
                <w:szCs w:val="20"/>
              </w:rPr>
              <w:t>Data Protection Act 2018.</w:t>
            </w:r>
          </w:p>
        </w:tc>
      </w:tr>
      <w:tr w:rsidR="003C7B6B" w14:paraId="1B9AC2F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F2" w14:textId="77777777" w:rsidR="003C7B6B" w:rsidRDefault="00471E86">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F3" w14:textId="77777777" w:rsidR="003C7B6B" w:rsidRDefault="00471E86">
            <w:pPr>
              <w:spacing w:before="240"/>
              <w:rPr>
                <w:sz w:val="20"/>
                <w:szCs w:val="20"/>
              </w:rPr>
            </w:pPr>
            <w:r>
              <w:rPr>
                <w:sz w:val="20"/>
                <w:szCs w:val="20"/>
              </w:rPr>
              <w:t>The Transfer of Undertakings (Protection of Employment) Regulations 2006 (SI 2006/246) (‘TUPE’) which implements the Acquired Rights Directive.</w:t>
            </w:r>
          </w:p>
        </w:tc>
      </w:tr>
      <w:tr w:rsidR="003C7B6B" w14:paraId="1B9AC2F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F5" w14:textId="77777777" w:rsidR="003C7B6B" w:rsidRDefault="00471E86">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F6" w14:textId="77777777" w:rsidR="003C7B6B" w:rsidRDefault="00471E86">
            <w:pPr>
              <w:spacing w:before="240"/>
              <w:rPr>
                <w:sz w:val="20"/>
                <w:szCs w:val="20"/>
              </w:rPr>
            </w:pPr>
            <w:r>
              <w:rPr>
                <w:sz w:val="20"/>
                <w:szCs w:val="20"/>
              </w:rPr>
              <w:t>Means to terminate; and Ended and Ending are construed accordingly.</w:t>
            </w:r>
          </w:p>
        </w:tc>
      </w:tr>
      <w:tr w:rsidR="003C7B6B" w14:paraId="1B9AC2F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F8" w14:textId="77777777" w:rsidR="003C7B6B" w:rsidRDefault="00471E86">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F9" w14:textId="77777777" w:rsidR="003C7B6B" w:rsidRDefault="00471E86">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3C7B6B" w14:paraId="1B9AC2F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FB" w14:textId="77777777" w:rsidR="003C7B6B" w:rsidRDefault="00471E86">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FC" w14:textId="77777777" w:rsidR="003C7B6B" w:rsidRDefault="00471E86">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3C7B6B" w14:paraId="1B9AC30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FE" w14:textId="77777777" w:rsidR="003C7B6B" w:rsidRDefault="00471E86">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2FF" w14:textId="77777777" w:rsidR="003C7B6B" w:rsidRDefault="00471E86">
            <w:pPr>
              <w:spacing w:before="240"/>
              <w:rPr>
                <w:sz w:val="20"/>
                <w:szCs w:val="20"/>
              </w:rPr>
            </w:pPr>
            <w:r>
              <w:rPr>
                <w:sz w:val="20"/>
                <w:szCs w:val="20"/>
              </w:rPr>
              <w:t>The 14 digit ESI reference number from the summary of the outcome screen of the ESI tool.</w:t>
            </w:r>
          </w:p>
        </w:tc>
      </w:tr>
      <w:tr w:rsidR="003C7B6B" w14:paraId="1B9AC304"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01" w14:textId="77777777" w:rsidR="003C7B6B" w:rsidRDefault="00471E86">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02" w14:textId="77777777" w:rsidR="003C7B6B" w:rsidRDefault="00471E86">
            <w:pPr>
              <w:spacing w:before="240"/>
              <w:rPr>
                <w:sz w:val="20"/>
                <w:szCs w:val="20"/>
              </w:rPr>
            </w:pPr>
            <w:r>
              <w:rPr>
                <w:sz w:val="20"/>
                <w:szCs w:val="20"/>
              </w:rPr>
              <w:t>The HMRC Employment Status Indicator test tool. The most up-to-date version must be used. At the time of drafting the tool may be found here:</w:t>
            </w:r>
          </w:p>
          <w:p w14:paraId="1B9AC303" w14:textId="77777777" w:rsidR="003C7B6B" w:rsidRDefault="001370FD">
            <w:hyperlink r:id="rId29" w:history="1">
              <w:r w:rsidR="00471E86">
                <w:rPr>
                  <w:rStyle w:val="Hyperlink"/>
                  <w:color w:val="auto"/>
                </w:rPr>
                <w:t>https://www.gov.uk/guidance/check-employment-status-for-tax</w:t>
              </w:r>
            </w:hyperlink>
          </w:p>
        </w:tc>
      </w:tr>
      <w:tr w:rsidR="003C7B6B" w14:paraId="1B9AC30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05" w14:textId="77777777" w:rsidR="003C7B6B" w:rsidRDefault="00471E86">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06" w14:textId="77777777" w:rsidR="003C7B6B" w:rsidRDefault="00471E86">
            <w:pPr>
              <w:spacing w:before="240"/>
              <w:rPr>
                <w:sz w:val="20"/>
                <w:szCs w:val="20"/>
              </w:rPr>
            </w:pPr>
            <w:r>
              <w:rPr>
                <w:sz w:val="20"/>
                <w:szCs w:val="20"/>
              </w:rPr>
              <w:t>The expiry date of this Call-Off Contract in the Order Form.</w:t>
            </w:r>
          </w:p>
        </w:tc>
      </w:tr>
      <w:tr w:rsidR="003C7B6B" w14:paraId="1B9AC314"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08" w14:textId="77777777" w:rsidR="003C7B6B" w:rsidRDefault="00471E86">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09" w14:textId="77777777" w:rsidR="003C7B6B" w:rsidRDefault="00471E86">
            <w:pPr>
              <w:spacing w:before="240"/>
              <w:rPr>
                <w:sz w:val="20"/>
                <w:szCs w:val="20"/>
              </w:rPr>
            </w:pPr>
            <w:r>
              <w:rPr>
                <w:sz w:val="20"/>
                <w:szCs w:val="20"/>
              </w:rPr>
              <w:t>A force Majeure event means anything affecting either Party's performance of their obligations arising from any:</w:t>
            </w:r>
          </w:p>
          <w:p w14:paraId="1B9AC30A" w14:textId="77777777" w:rsidR="003C7B6B" w:rsidRDefault="00471E86">
            <w:pPr>
              <w:pStyle w:val="ListParagraph"/>
              <w:numPr>
                <w:ilvl w:val="0"/>
                <w:numId w:val="15"/>
              </w:numPr>
              <w:rPr>
                <w:sz w:val="20"/>
                <w:szCs w:val="20"/>
              </w:rPr>
            </w:pPr>
            <w:r>
              <w:rPr>
                <w:sz w:val="20"/>
                <w:szCs w:val="20"/>
              </w:rPr>
              <w:t>acts, events or omissions beyond the reasonable control of the affected Party</w:t>
            </w:r>
          </w:p>
          <w:p w14:paraId="1B9AC30B" w14:textId="77777777" w:rsidR="003C7B6B" w:rsidRDefault="00471E86">
            <w:pPr>
              <w:pStyle w:val="ListParagraph"/>
              <w:numPr>
                <w:ilvl w:val="0"/>
                <w:numId w:val="16"/>
              </w:numPr>
              <w:rPr>
                <w:sz w:val="20"/>
                <w:szCs w:val="20"/>
              </w:rPr>
            </w:pPr>
            <w:r>
              <w:rPr>
                <w:sz w:val="20"/>
                <w:szCs w:val="20"/>
              </w:rPr>
              <w:t>riots, war or armed conflict, acts of terrorism, nuclear, biological or chemical warfare</w:t>
            </w:r>
          </w:p>
          <w:p w14:paraId="1B9AC30C" w14:textId="77777777" w:rsidR="003C7B6B" w:rsidRDefault="00471E86">
            <w:pPr>
              <w:pStyle w:val="ListParagraph"/>
              <w:numPr>
                <w:ilvl w:val="0"/>
                <w:numId w:val="17"/>
              </w:numPr>
            </w:pPr>
            <w:r>
              <w:t xml:space="preserve">acts of government, local government or Regulatory </w:t>
            </w:r>
            <w:r>
              <w:rPr>
                <w:sz w:val="20"/>
                <w:szCs w:val="20"/>
              </w:rPr>
              <w:t>Bodies</w:t>
            </w:r>
          </w:p>
          <w:p w14:paraId="1B9AC30D" w14:textId="77777777" w:rsidR="003C7B6B" w:rsidRDefault="00471E86">
            <w:pPr>
              <w:pStyle w:val="ListParagraph"/>
              <w:numPr>
                <w:ilvl w:val="0"/>
                <w:numId w:val="18"/>
              </w:numPr>
            </w:pPr>
            <w:r>
              <w:rPr>
                <w:sz w:val="14"/>
                <w:szCs w:val="14"/>
              </w:rPr>
              <w:t xml:space="preserve"> </w:t>
            </w:r>
            <w:r>
              <w:rPr>
                <w:sz w:val="20"/>
                <w:szCs w:val="20"/>
              </w:rPr>
              <w:t>fire, flood or disaster and any failure or shortage of power or fuel</w:t>
            </w:r>
          </w:p>
          <w:p w14:paraId="1B9AC30E" w14:textId="77777777" w:rsidR="003C7B6B" w:rsidRDefault="00471E86">
            <w:pPr>
              <w:pStyle w:val="ListParagraph"/>
              <w:numPr>
                <w:ilvl w:val="0"/>
                <w:numId w:val="19"/>
              </w:numPr>
              <w:rPr>
                <w:sz w:val="20"/>
                <w:szCs w:val="20"/>
              </w:rPr>
            </w:pPr>
            <w:r>
              <w:rPr>
                <w:sz w:val="20"/>
                <w:szCs w:val="20"/>
              </w:rPr>
              <w:t>industrial dispute affecting a third party for which a substitute third party isn’t reasonably available</w:t>
            </w:r>
          </w:p>
          <w:p w14:paraId="1B9AC30F" w14:textId="77777777" w:rsidR="003C7B6B" w:rsidRDefault="00471E86">
            <w:pPr>
              <w:spacing w:before="240"/>
              <w:rPr>
                <w:sz w:val="20"/>
                <w:szCs w:val="20"/>
              </w:rPr>
            </w:pPr>
            <w:r>
              <w:rPr>
                <w:sz w:val="20"/>
                <w:szCs w:val="20"/>
              </w:rPr>
              <w:t>The following do not constitute a Force Majeure event:</w:t>
            </w:r>
          </w:p>
          <w:p w14:paraId="1B9AC310" w14:textId="77777777" w:rsidR="003C7B6B" w:rsidRDefault="00471E86">
            <w:pPr>
              <w:pStyle w:val="ListParagraph"/>
              <w:numPr>
                <w:ilvl w:val="0"/>
                <w:numId w:val="20"/>
              </w:numPr>
              <w:rPr>
                <w:sz w:val="20"/>
                <w:szCs w:val="20"/>
              </w:rPr>
            </w:pPr>
            <w:r>
              <w:rPr>
                <w:sz w:val="20"/>
                <w:szCs w:val="20"/>
              </w:rPr>
              <w:t>any industrial dispute about the Supplier, its staff, or failure in the Supplier’s (or a Subcontractor's) supply chain</w:t>
            </w:r>
          </w:p>
          <w:p w14:paraId="1B9AC311" w14:textId="77777777" w:rsidR="003C7B6B" w:rsidRDefault="00471E86">
            <w:pPr>
              <w:pStyle w:val="ListParagraph"/>
              <w:numPr>
                <w:ilvl w:val="0"/>
                <w:numId w:val="20"/>
              </w:numPr>
              <w:rPr>
                <w:sz w:val="20"/>
                <w:szCs w:val="20"/>
              </w:rPr>
            </w:pPr>
            <w:r>
              <w:rPr>
                <w:sz w:val="20"/>
                <w:szCs w:val="20"/>
              </w:rPr>
              <w:t>any event which is attributable to the wilful act, neglect or failure to take reasonable precautions by the Party seeking to rely on Force Majeure</w:t>
            </w:r>
          </w:p>
          <w:p w14:paraId="1B9AC312" w14:textId="77777777" w:rsidR="003C7B6B" w:rsidRDefault="00471E86">
            <w:pPr>
              <w:pStyle w:val="ListParagraph"/>
              <w:numPr>
                <w:ilvl w:val="0"/>
                <w:numId w:val="20"/>
              </w:numPr>
              <w:rPr>
                <w:sz w:val="20"/>
                <w:szCs w:val="20"/>
              </w:rPr>
            </w:pPr>
            <w:r>
              <w:rPr>
                <w:sz w:val="20"/>
                <w:szCs w:val="20"/>
              </w:rPr>
              <w:t>the event was foreseeable by the Party seeking to rely on Force Majeure at the time this Call-Off Contract was entered into</w:t>
            </w:r>
          </w:p>
          <w:p w14:paraId="1B9AC313" w14:textId="77777777" w:rsidR="003C7B6B" w:rsidRDefault="00471E86">
            <w:pPr>
              <w:pStyle w:val="ListParagraph"/>
              <w:numPr>
                <w:ilvl w:val="0"/>
                <w:numId w:val="2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3C7B6B" w14:paraId="1B9AC31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15" w14:textId="77777777" w:rsidR="003C7B6B" w:rsidRDefault="00471E86">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16" w14:textId="77777777" w:rsidR="003C7B6B" w:rsidRDefault="00471E86">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3C7B6B" w14:paraId="1B9AC3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18" w14:textId="77777777" w:rsidR="003C7B6B" w:rsidRDefault="00471E86">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19" w14:textId="77777777" w:rsidR="003C7B6B" w:rsidRDefault="00471E86">
            <w:pPr>
              <w:spacing w:before="240"/>
              <w:rPr>
                <w:sz w:val="20"/>
                <w:szCs w:val="20"/>
              </w:rPr>
            </w:pPr>
            <w:r>
              <w:rPr>
                <w:sz w:val="20"/>
                <w:szCs w:val="20"/>
              </w:rPr>
              <w:t>The clauses of framework agreement RM1557.12 together with the Framework Schedules.</w:t>
            </w:r>
          </w:p>
        </w:tc>
      </w:tr>
      <w:tr w:rsidR="003C7B6B" w14:paraId="1B9AC31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1B" w14:textId="77777777" w:rsidR="003C7B6B" w:rsidRDefault="00471E86">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1C" w14:textId="77777777" w:rsidR="003C7B6B" w:rsidRDefault="00471E86">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3C7B6B" w14:paraId="1B9AC32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1E" w14:textId="77777777" w:rsidR="003C7B6B" w:rsidRDefault="00471E86">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1F" w14:textId="77777777" w:rsidR="003C7B6B" w:rsidRDefault="00471E86">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3C7B6B" w14:paraId="1B9AC323"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21" w14:textId="77777777" w:rsidR="003C7B6B" w:rsidRDefault="00471E86">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22" w14:textId="77777777" w:rsidR="003C7B6B" w:rsidRDefault="00471E86">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3C7B6B" w14:paraId="1B9AC32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24" w14:textId="77777777" w:rsidR="003C7B6B" w:rsidRDefault="00471E86">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25" w14:textId="77777777" w:rsidR="003C7B6B" w:rsidRDefault="00471E86">
            <w:pPr>
              <w:spacing w:before="240"/>
              <w:rPr>
                <w:sz w:val="20"/>
                <w:szCs w:val="20"/>
              </w:rPr>
            </w:pPr>
            <w:r>
              <w:rPr>
                <w:sz w:val="20"/>
                <w:szCs w:val="20"/>
              </w:rPr>
              <w:t>General Data Protection Regulation (Regulation (EU) 2016/679)</w:t>
            </w:r>
          </w:p>
        </w:tc>
      </w:tr>
      <w:tr w:rsidR="003C7B6B" w14:paraId="1B9AC32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27" w14:textId="77777777" w:rsidR="003C7B6B" w:rsidRDefault="00471E86">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28" w14:textId="77777777" w:rsidR="003C7B6B" w:rsidRDefault="00471E86">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C7B6B" w14:paraId="1B9AC32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2A" w14:textId="77777777" w:rsidR="003C7B6B" w:rsidRDefault="00471E86">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2B" w14:textId="77777777" w:rsidR="003C7B6B" w:rsidRDefault="00471E86">
            <w:pPr>
              <w:spacing w:before="240"/>
              <w:rPr>
                <w:sz w:val="20"/>
                <w:szCs w:val="20"/>
              </w:rPr>
            </w:pPr>
            <w:r>
              <w:rPr>
                <w:sz w:val="20"/>
                <w:szCs w:val="20"/>
              </w:rPr>
              <w:t>The government’s preferred method of purchasing and payment for low value goods or services.</w:t>
            </w:r>
          </w:p>
        </w:tc>
      </w:tr>
      <w:tr w:rsidR="003C7B6B" w14:paraId="1B9AC32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2D" w14:textId="77777777" w:rsidR="003C7B6B" w:rsidRDefault="00471E86">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2E" w14:textId="77777777" w:rsidR="003C7B6B" w:rsidRDefault="00471E86">
            <w:pPr>
              <w:spacing w:before="240"/>
              <w:rPr>
                <w:sz w:val="20"/>
                <w:szCs w:val="20"/>
              </w:rPr>
            </w:pPr>
            <w:r>
              <w:rPr>
                <w:sz w:val="20"/>
                <w:szCs w:val="20"/>
              </w:rPr>
              <w:t>The guarantee described in Schedule 5.</w:t>
            </w:r>
          </w:p>
        </w:tc>
      </w:tr>
      <w:tr w:rsidR="003C7B6B" w14:paraId="1B9AC33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30" w14:textId="77777777" w:rsidR="003C7B6B" w:rsidRDefault="00471E86">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31" w14:textId="77777777" w:rsidR="003C7B6B" w:rsidRDefault="00471E86">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3C7B6B" w14:paraId="1B9AC33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33" w14:textId="77777777" w:rsidR="003C7B6B" w:rsidRDefault="00471E86">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34" w14:textId="77777777" w:rsidR="003C7B6B" w:rsidRDefault="00471E86">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3C7B6B" w14:paraId="1B9AC33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36" w14:textId="77777777" w:rsidR="003C7B6B" w:rsidRDefault="00471E86">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37" w14:textId="77777777" w:rsidR="003C7B6B" w:rsidRDefault="00471E86">
            <w:pPr>
              <w:spacing w:before="240"/>
              <w:rPr>
                <w:sz w:val="20"/>
                <w:szCs w:val="20"/>
              </w:rPr>
            </w:pPr>
            <w:r>
              <w:rPr>
                <w:sz w:val="20"/>
                <w:szCs w:val="20"/>
              </w:rPr>
              <w:t>ESI tool completed by contractors on their own behalf at the request of CCS or the Buyer (as applicable) under clause 4.6.</w:t>
            </w:r>
          </w:p>
        </w:tc>
      </w:tr>
      <w:tr w:rsidR="003C7B6B" w14:paraId="1B9AC33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39" w14:textId="77777777" w:rsidR="003C7B6B" w:rsidRDefault="00471E86">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3A" w14:textId="77777777" w:rsidR="003C7B6B" w:rsidRDefault="00471E86">
            <w:pPr>
              <w:spacing w:before="240"/>
              <w:rPr>
                <w:sz w:val="20"/>
                <w:szCs w:val="20"/>
              </w:rPr>
            </w:pPr>
            <w:r>
              <w:rPr>
                <w:sz w:val="20"/>
                <w:szCs w:val="20"/>
              </w:rPr>
              <w:t>Has the meaning given under section 84 of the Freedom of Information Act 2000.</w:t>
            </w:r>
          </w:p>
        </w:tc>
      </w:tr>
      <w:tr w:rsidR="003C7B6B" w14:paraId="1B9AC33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3C" w14:textId="77777777" w:rsidR="003C7B6B" w:rsidRDefault="00471E86">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3D" w14:textId="77777777" w:rsidR="003C7B6B" w:rsidRDefault="00471E86">
            <w:pPr>
              <w:spacing w:before="240"/>
              <w:rPr>
                <w:sz w:val="20"/>
                <w:szCs w:val="20"/>
              </w:rPr>
            </w:pPr>
            <w:r>
              <w:rPr>
                <w:sz w:val="20"/>
                <w:szCs w:val="20"/>
              </w:rPr>
              <w:t>The information security management system and process developed by the Supplier in accordance with clause 16.1.</w:t>
            </w:r>
          </w:p>
        </w:tc>
      </w:tr>
      <w:tr w:rsidR="003C7B6B" w14:paraId="1B9AC34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3F" w14:textId="77777777" w:rsidR="003C7B6B" w:rsidRDefault="00471E86">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40" w14:textId="77777777" w:rsidR="003C7B6B" w:rsidRDefault="00471E86">
            <w:pPr>
              <w:spacing w:before="240"/>
              <w:rPr>
                <w:sz w:val="20"/>
                <w:szCs w:val="20"/>
              </w:rPr>
            </w:pPr>
            <w:r>
              <w:rPr>
                <w:sz w:val="20"/>
                <w:szCs w:val="20"/>
              </w:rPr>
              <w:t>Contractual engagements which would be determined to be within the scope of the IR35 Intermediaries legislation if assessed using the ESI tool.</w:t>
            </w:r>
          </w:p>
        </w:tc>
      </w:tr>
      <w:tr w:rsidR="003C7B6B" w14:paraId="1B9AC349"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42" w14:textId="77777777" w:rsidR="003C7B6B" w:rsidRDefault="00471E86">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43" w14:textId="77777777" w:rsidR="003C7B6B" w:rsidRDefault="00471E86">
            <w:pPr>
              <w:spacing w:before="240"/>
              <w:rPr>
                <w:sz w:val="20"/>
                <w:szCs w:val="20"/>
              </w:rPr>
            </w:pPr>
            <w:r>
              <w:rPr>
                <w:sz w:val="20"/>
                <w:szCs w:val="20"/>
              </w:rPr>
              <w:t>Can be:</w:t>
            </w:r>
          </w:p>
          <w:p w14:paraId="1B9AC344" w14:textId="77777777" w:rsidR="003C7B6B" w:rsidRDefault="00471E86">
            <w:pPr>
              <w:pStyle w:val="ListParagraph"/>
              <w:numPr>
                <w:ilvl w:val="0"/>
                <w:numId w:val="21"/>
              </w:numPr>
            </w:pPr>
            <w:r>
              <w:rPr>
                <w:sz w:val="14"/>
                <w:szCs w:val="14"/>
              </w:rPr>
              <w:t xml:space="preserve"> </w:t>
            </w:r>
            <w:r>
              <w:rPr>
                <w:sz w:val="20"/>
                <w:szCs w:val="20"/>
              </w:rPr>
              <w:t>a voluntary arrangement</w:t>
            </w:r>
          </w:p>
          <w:p w14:paraId="1B9AC345" w14:textId="77777777" w:rsidR="003C7B6B" w:rsidRDefault="00471E86">
            <w:pPr>
              <w:pStyle w:val="ListParagraph"/>
              <w:numPr>
                <w:ilvl w:val="0"/>
                <w:numId w:val="21"/>
              </w:numPr>
              <w:rPr>
                <w:sz w:val="20"/>
                <w:szCs w:val="20"/>
              </w:rPr>
            </w:pPr>
            <w:r>
              <w:rPr>
                <w:sz w:val="20"/>
                <w:szCs w:val="20"/>
              </w:rPr>
              <w:t>a winding-up petition</w:t>
            </w:r>
          </w:p>
          <w:p w14:paraId="1B9AC346" w14:textId="77777777" w:rsidR="003C7B6B" w:rsidRDefault="00471E86">
            <w:pPr>
              <w:pStyle w:val="ListParagraph"/>
              <w:numPr>
                <w:ilvl w:val="0"/>
                <w:numId w:val="21"/>
              </w:numPr>
              <w:rPr>
                <w:sz w:val="20"/>
                <w:szCs w:val="20"/>
              </w:rPr>
            </w:pPr>
            <w:r>
              <w:rPr>
                <w:sz w:val="20"/>
                <w:szCs w:val="20"/>
              </w:rPr>
              <w:t>the appointment of a receiver or administrator</w:t>
            </w:r>
          </w:p>
          <w:p w14:paraId="1B9AC347" w14:textId="77777777" w:rsidR="003C7B6B" w:rsidRDefault="00471E86">
            <w:pPr>
              <w:pStyle w:val="ListParagraph"/>
              <w:numPr>
                <w:ilvl w:val="0"/>
                <w:numId w:val="21"/>
              </w:numPr>
              <w:rPr>
                <w:sz w:val="20"/>
                <w:szCs w:val="20"/>
              </w:rPr>
            </w:pPr>
            <w:r>
              <w:rPr>
                <w:sz w:val="20"/>
                <w:szCs w:val="20"/>
              </w:rPr>
              <w:t>an unresolved statutory demand</w:t>
            </w:r>
          </w:p>
          <w:p w14:paraId="1B9AC348" w14:textId="77777777" w:rsidR="003C7B6B" w:rsidRDefault="00471E86">
            <w:pPr>
              <w:pStyle w:val="ListParagraph"/>
              <w:numPr>
                <w:ilvl w:val="0"/>
                <w:numId w:val="21"/>
              </w:numPr>
            </w:pPr>
            <w:r>
              <w:t>a S</w:t>
            </w:r>
            <w:r>
              <w:rPr>
                <w:sz w:val="20"/>
                <w:szCs w:val="20"/>
              </w:rPr>
              <w:t>chedule A1 moratorium</w:t>
            </w:r>
          </w:p>
        </w:tc>
      </w:tr>
      <w:tr w:rsidR="003C7B6B" w14:paraId="1B9AC34F"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4A" w14:textId="77777777" w:rsidR="003C7B6B" w:rsidRDefault="00471E86">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4B" w14:textId="77777777" w:rsidR="003C7B6B" w:rsidRDefault="00471E86">
            <w:pPr>
              <w:spacing w:before="240"/>
              <w:rPr>
                <w:sz w:val="20"/>
                <w:szCs w:val="20"/>
              </w:rPr>
            </w:pPr>
            <w:r>
              <w:rPr>
                <w:sz w:val="20"/>
                <w:szCs w:val="20"/>
              </w:rPr>
              <w:t>Intellectual Property Rights are:</w:t>
            </w:r>
          </w:p>
          <w:p w14:paraId="1B9AC34C" w14:textId="77777777" w:rsidR="003C7B6B" w:rsidRDefault="00471E86">
            <w:pPr>
              <w:pStyle w:val="ListParagraph"/>
              <w:numPr>
                <w:ilvl w:val="0"/>
                <w:numId w:val="2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B9AC34D" w14:textId="77777777" w:rsidR="003C7B6B" w:rsidRDefault="00471E86">
            <w:pPr>
              <w:pStyle w:val="ListParagraph"/>
              <w:numPr>
                <w:ilvl w:val="0"/>
                <w:numId w:val="22"/>
              </w:numPr>
              <w:rPr>
                <w:sz w:val="20"/>
                <w:szCs w:val="20"/>
              </w:rPr>
            </w:pPr>
            <w:r>
              <w:rPr>
                <w:sz w:val="20"/>
                <w:szCs w:val="20"/>
              </w:rPr>
              <w:t>applications for registration, and the right to apply for registration, for any of the rights listed at (a) that are capable of being registered in any country or jurisdiction</w:t>
            </w:r>
          </w:p>
          <w:p w14:paraId="1B9AC34E" w14:textId="77777777" w:rsidR="003C7B6B" w:rsidRDefault="00471E86">
            <w:pPr>
              <w:pStyle w:val="ListParagraph"/>
              <w:numPr>
                <w:ilvl w:val="0"/>
                <w:numId w:val="22"/>
              </w:numPr>
              <w:rPr>
                <w:sz w:val="20"/>
                <w:szCs w:val="20"/>
              </w:rPr>
            </w:pPr>
            <w:r>
              <w:rPr>
                <w:sz w:val="20"/>
                <w:szCs w:val="20"/>
              </w:rPr>
              <w:t>all other rights having equivalent or similar effect in any country or jurisdiction</w:t>
            </w:r>
          </w:p>
        </w:tc>
      </w:tr>
      <w:tr w:rsidR="003C7B6B" w14:paraId="1B9AC356"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50" w14:textId="77777777" w:rsidR="003C7B6B" w:rsidRDefault="00471E86">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51" w14:textId="77777777" w:rsidR="003C7B6B" w:rsidRDefault="00471E86">
            <w:pPr>
              <w:spacing w:before="240"/>
              <w:rPr>
                <w:sz w:val="20"/>
                <w:szCs w:val="20"/>
              </w:rPr>
            </w:pPr>
            <w:r>
              <w:rPr>
                <w:sz w:val="20"/>
                <w:szCs w:val="20"/>
              </w:rPr>
              <w:t>For the purposes of the IR35 rules an intermediary can be:</w:t>
            </w:r>
          </w:p>
          <w:p w14:paraId="1B9AC352" w14:textId="77777777" w:rsidR="003C7B6B" w:rsidRDefault="00471E86">
            <w:pPr>
              <w:pStyle w:val="ListParagraph"/>
              <w:numPr>
                <w:ilvl w:val="0"/>
                <w:numId w:val="23"/>
              </w:numPr>
              <w:rPr>
                <w:sz w:val="20"/>
                <w:szCs w:val="20"/>
              </w:rPr>
            </w:pPr>
            <w:r>
              <w:rPr>
                <w:sz w:val="20"/>
                <w:szCs w:val="20"/>
              </w:rPr>
              <w:t>the supplier's own limited company</w:t>
            </w:r>
          </w:p>
          <w:p w14:paraId="1B9AC353" w14:textId="77777777" w:rsidR="003C7B6B" w:rsidRDefault="00471E86">
            <w:pPr>
              <w:pStyle w:val="ListParagraph"/>
              <w:numPr>
                <w:ilvl w:val="0"/>
                <w:numId w:val="23"/>
              </w:numPr>
              <w:rPr>
                <w:sz w:val="20"/>
                <w:szCs w:val="20"/>
              </w:rPr>
            </w:pPr>
            <w:r>
              <w:rPr>
                <w:sz w:val="20"/>
                <w:szCs w:val="20"/>
              </w:rPr>
              <w:t>a service or a personal service company</w:t>
            </w:r>
          </w:p>
          <w:p w14:paraId="1B9AC354" w14:textId="77777777" w:rsidR="003C7B6B" w:rsidRDefault="00471E86">
            <w:pPr>
              <w:pStyle w:val="ListParagraph"/>
              <w:numPr>
                <w:ilvl w:val="0"/>
                <w:numId w:val="23"/>
              </w:numPr>
              <w:rPr>
                <w:sz w:val="20"/>
                <w:szCs w:val="20"/>
              </w:rPr>
            </w:pPr>
            <w:r>
              <w:rPr>
                <w:sz w:val="20"/>
                <w:szCs w:val="20"/>
              </w:rPr>
              <w:t>a partnership</w:t>
            </w:r>
          </w:p>
          <w:p w14:paraId="1B9AC355" w14:textId="77777777" w:rsidR="003C7B6B" w:rsidRDefault="00471E86">
            <w:pPr>
              <w:spacing w:before="240"/>
              <w:rPr>
                <w:sz w:val="20"/>
                <w:szCs w:val="20"/>
              </w:rPr>
            </w:pPr>
            <w:r>
              <w:rPr>
                <w:sz w:val="20"/>
                <w:szCs w:val="20"/>
              </w:rPr>
              <w:t>It does not apply if you work for a client through a Managed Service Company (MSC) or agency (for example, an employment agency).</w:t>
            </w:r>
          </w:p>
        </w:tc>
      </w:tr>
      <w:tr w:rsidR="003C7B6B" w14:paraId="1B9AC35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57" w14:textId="77777777" w:rsidR="003C7B6B" w:rsidRDefault="00471E86">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58" w14:textId="77777777" w:rsidR="003C7B6B" w:rsidRDefault="00471E86">
            <w:pPr>
              <w:spacing w:before="240"/>
              <w:rPr>
                <w:sz w:val="20"/>
                <w:szCs w:val="20"/>
              </w:rPr>
            </w:pPr>
            <w:r>
              <w:rPr>
                <w:sz w:val="20"/>
                <w:szCs w:val="20"/>
              </w:rPr>
              <w:t>As set out in clause 11.5.</w:t>
            </w:r>
          </w:p>
        </w:tc>
      </w:tr>
      <w:tr w:rsidR="003C7B6B" w14:paraId="1B9AC35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5A" w14:textId="77777777" w:rsidR="003C7B6B" w:rsidRDefault="00471E86">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5B" w14:textId="77777777" w:rsidR="003C7B6B" w:rsidRDefault="00471E86">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3C7B6B" w14:paraId="1B9AC3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5D" w14:textId="77777777" w:rsidR="003C7B6B" w:rsidRDefault="00471E86">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5E" w14:textId="77777777" w:rsidR="003C7B6B" w:rsidRDefault="00471E86">
            <w:pPr>
              <w:spacing w:before="240"/>
              <w:rPr>
                <w:sz w:val="20"/>
                <w:szCs w:val="20"/>
              </w:rPr>
            </w:pPr>
            <w:r>
              <w:rPr>
                <w:sz w:val="20"/>
                <w:szCs w:val="20"/>
              </w:rPr>
              <w:t>Assessment of employment status using the ESI tool to determine if engagement is Inside or Outside IR35.</w:t>
            </w:r>
          </w:p>
        </w:tc>
      </w:tr>
      <w:tr w:rsidR="003C7B6B" w14:paraId="1B9AC36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60" w14:textId="77777777" w:rsidR="003C7B6B" w:rsidRDefault="00471E86">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61" w14:textId="77777777" w:rsidR="003C7B6B" w:rsidRDefault="00471E86">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3C7B6B" w14:paraId="1B9AC365"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63" w14:textId="77777777" w:rsidR="003C7B6B" w:rsidRDefault="00471E86">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64" w14:textId="77777777" w:rsidR="003C7B6B" w:rsidRDefault="00471E86">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C7B6B" w14:paraId="1B9AC36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66" w14:textId="77777777" w:rsidR="003C7B6B" w:rsidRDefault="00471E86">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67" w14:textId="77777777" w:rsidR="003C7B6B" w:rsidRDefault="00471E86">
            <w:pPr>
              <w:spacing w:before="240"/>
              <w:rPr>
                <w:sz w:val="20"/>
                <w:szCs w:val="20"/>
              </w:rPr>
            </w:pPr>
            <w:r>
              <w:rPr>
                <w:sz w:val="20"/>
                <w:szCs w:val="20"/>
              </w:rPr>
              <w:t>Law Enforcement Directive (EU) 2016/680.</w:t>
            </w:r>
          </w:p>
        </w:tc>
      </w:tr>
      <w:tr w:rsidR="003C7B6B" w14:paraId="1B9AC36B"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69" w14:textId="77777777" w:rsidR="003C7B6B" w:rsidRDefault="00471E86">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6A" w14:textId="77777777" w:rsidR="003C7B6B" w:rsidRDefault="00471E86">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3C7B6B" w14:paraId="1B9AC36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6C" w14:textId="77777777" w:rsidR="003C7B6B" w:rsidRDefault="00471E86">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6D" w14:textId="77777777" w:rsidR="003C7B6B" w:rsidRDefault="00471E86">
            <w:pPr>
              <w:spacing w:before="240"/>
              <w:rPr>
                <w:sz w:val="20"/>
                <w:szCs w:val="20"/>
              </w:rPr>
            </w:pPr>
            <w:r>
              <w:rPr>
                <w:sz w:val="20"/>
                <w:szCs w:val="20"/>
              </w:rPr>
              <w:t>Any of the 3 Lots specified in the ITT and Lots will be construed accordingly.</w:t>
            </w:r>
          </w:p>
        </w:tc>
      </w:tr>
      <w:tr w:rsidR="003C7B6B" w14:paraId="1B9AC371"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6F" w14:textId="77777777" w:rsidR="003C7B6B" w:rsidRDefault="00471E86">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70" w14:textId="77777777" w:rsidR="003C7B6B" w:rsidRDefault="00471E86">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C7B6B" w14:paraId="1B9AC37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72" w14:textId="77777777" w:rsidR="003C7B6B" w:rsidRDefault="00471E86">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73" w14:textId="77777777" w:rsidR="003C7B6B" w:rsidRDefault="00471E86">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C7B6B" w14:paraId="1B9AC37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75" w14:textId="77777777" w:rsidR="003C7B6B" w:rsidRDefault="00471E86">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76" w14:textId="77777777" w:rsidR="003C7B6B" w:rsidRDefault="00471E86">
            <w:pPr>
              <w:spacing w:before="240"/>
              <w:rPr>
                <w:sz w:val="20"/>
                <w:szCs w:val="20"/>
              </w:rPr>
            </w:pPr>
            <w:r>
              <w:rPr>
                <w:sz w:val="20"/>
                <w:szCs w:val="20"/>
              </w:rPr>
              <w:t>The management information specified in Framework Agreement section 6 (What you report to CCS).</w:t>
            </w:r>
          </w:p>
        </w:tc>
      </w:tr>
      <w:tr w:rsidR="003C7B6B" w14:paraId="1B9AC37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78" w14:textId="77777777" w:rsidR="003C7B6B" w:rsidRDefault="00471E86">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79" w14:textId="77777777" w:rsidR="003C7B6B" w:rsidRDefault="00471E86">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3C7B6B" w14:paraId="1B9AC37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7B" w14:textId="77777777" w:rsidR="003C7B6B" w:rsidRDefault="00471E86">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7C" w14:textId="77777777" w:rsidR="003C7B6B" w:rsidRDefault="00471E86">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3C7B6B" w14:paraId="1B9AC38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7E" w14:textId="77777777" w:rsidR="003C7B6B" w:rsidRDefault="00471E86">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7F" w14:textId="77777777" w:rsidR="003C7B6B" w:rsidRDefault="00471E86">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3C7B6B" w14:paraId="1B9AC3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81" w14:textId="77777777" w:rsidR="003C7B6B" w:rsidRDefault="00471E86">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82" w14:textId="77777777" w:rsidR="003C7B6B" w:rsidRDefault="00471E86">
            <w:pPr>
              <w:spacing w:before="240"/>
              <w:rPr>
                <w:sz w:val="20"/>
                <w:szCs w:val="20"/>
              </w:rPr>
            </w:pPr>
            <w:r>
              <w:rPr>
                <w:sz w:val="20"/>
                <w:szCs w:val="20"/>
              </w:rPr>
              <w:t>An order for G-Cloud Services placed by a contracting body with the Supplier in accordance with the ordering processes.</w:t>
            </w:r>
          </w:p>
        </w:tc>
      </w:tr>
      <w:tr w:rsidR="003C7B6B" w14:paraId="1B9AC3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84" w14:textId="77777777" w:rsidR="003C7B6B" w:rsidRDefault="00471E86">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85" w14:textId="77777777" w:rsidR="003C7B6B" w:rsidRDefault="00471E86">
            <w:pPr>
              <w:spacing w:before="240"/>
              <w:rPr>
                <w:sz w:val="20"/>
                <w:szCs w:val="20"/>
              </w:rPr>
            </w:pPr>
            <w:r>
              <w:rPr>
                <w:sz w:val="20"/>
                <w:szCs w:val="20"/>
              </w:rPr>
              <w:t>The order form set out in Part A of the Call-Off Contract to be used by a Buyer to order G-Cloud Services.</w:t>
            </w:r>
          </w:p>
        </w:tc>
      </w:tr>
      <w:tr w:rsidR="003C7B6B" w14:paraId="1B9AC38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87" w14:textId="77777777" w:rsidR="003C7B6B" w:rsidRDefault="00471E86">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88" w14:textId="77777777" w:rsidR="003C7B6B" w:rsidRDefault="00471E86">
            <w:pPr>
              <w:spacing w:before="240"/>
              <w:rPr>
                <w:sz w:val="20"/>
                <w:szCs w:val="20"/>
              </w:rPr>
            </w:pPr>
            <w:r>
              <w:rPr>
                <w:sz w:val="20"/>
                <w:szCs w:val="20"/>
              </w:rPr>
              <w:t>G-Cloud Services which are the subject of an order by the Buyer.</w:t>
            </w:r>
          </w:p>
        </w:tc>
      </w:tr>
      <w:tr w:rsidR="003C7B6B" w14:paraId="1B9AC38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8A" w14:textId="77777777" w:rsidR="003C7B6B" w:rsidRDefault="00471E86">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8B" w14:textId="77777777" w:rsidR="003C7B6B" w:rsidRDefault="00471E86">
            <w:pPr>
              <w:spacing w:before="240"/>
              <w:rPr>
                <w:sz w:val="20"/>
                <w:szCs w:val="20"/>
              </w:rPr>
            </w:pPr>
            <w:r>
              <w:rPr>
                <w:sz w:val="20"/>
                <w:szCs w:val="20"/>
              </w:rPr>
              <w:t>Contractual engagements which would be determined to not be within the scope of the IR35 intermediaries legislation if assessed using the ESI tool.</w:t>
            </w:r>
          </w:p>
        </w:tc>
      </w:tr>
      <w:tr w:rsidR="003C7B6B" w14:paraId="1B9AC3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8D" w14:textId="77777777" w:rsidR="003C7B6B" w:rsidRDefault="00471E86">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8E" w14:textId="77777777" w:rsidR="003C7B6B" w:rsidRDefault="00471E86">
            <w:pPr>
              <w:spacing w:before="240"/>
              <w:rPr>
                <w:sz w:val="20"/>
                <w:szCs w:val="20"/>
              </w:rPr>
            </w:pPr>
            <w:r>
              <w:rPr>
                <w:sz w:val="20"/>
                <w:szCs w:val="20"/>
              </w:rPr>
              <w:t>The Buyer or the Supplier and ‘Parties’ will be interpreted accordingly.</w:t>
            </w:r>
          </w:p>
        </w:tc>
      </w:tr>
      <w:tr w:rsidR="003C7B6B" w14:paraId="1B9AC39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90" w14:textId="77777777" w:rsidR="003C7B6B" w:rsidRDefault="00471E86">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91" w14:textId="77777777" w:rsidR="003C7B6B" w:rsidRDefault="00471E86">
            <w:pPr>
              <w:spacing w:before="240"/>
              <w:rPr>
                <w:sz w:val="20"/>
                <w:szCs w:val="20"/>
              </w:rPr>
            </w:pPr>
            <w:r>
              <w:rPr>
                <w:sz w:val="20"/>
                <w:szCs w:val="20"/>
              </w:rPr>
              <w:t>Takes the meaning given in the GDPR.</w:t>
            </w:r>
          </w:p>
        </w:tc>
      </w:tr>
      <w:tr w:rsidR="003C7B6B" w14:paraId="1B9AC39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93" w14:textId="77777777" w:rsidR="003C7B6B" w:rsidRDefault="00471E86">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94" w14:textId="77777777" w:rsidR="003C7B6B" w:rsidRDefault="00471E86">
            <w:pPr>
              <w:spacing w:before="240"/>
              <w:rPr>
                <w:sz w:val="20"/>
                <w:szCs w:val="20"/>
              </w:rPr>
            </w:pPr>
            <w:r>
              <w:rPr>
                <w:sz w:val="20"/>
                <w:szCs w:val="20"/>
              </w:rPr>
              <w:t>Takes the meaning given in the GDPR.</w:t>
            </w:r>
          </w:p>
        </w:tc>
      </w:tr>
      <w:tr w:rsidR="003C7B6B" w14:paraId="1B9AC39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96" w14:textId="77777777" w:rsidR="003C7B6B" w:rsidRDefault="00471E86">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97" w14:textId="77777777" w:rsidR="003C7B6B" w:rsidRDefault="00471E86">
            <w:pPr>
              <w:spacing w:before="240"/>
              <w:rPr>
                <w:sz w:val="20"/>
                <w:szCs w:val="20"/>
              </w:rPr>
            </w:pPr>
            <w:r>
              <w:rPr>
                <w:sz w:val="20"/>
                <w:szCs w:val="20"/>
              </w:rPr>
              <w:t>Takes the meaning given in the GDPR.</w:t>
            </w:r>
          </w:p>
        </w:tc>
      </w:tr>
      <w:tr w:rsidR="003C7B6B" w14:paraId="1B9AC39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99" w14:textId="77777777" w:rsidR="003C7B6B" w:rsidRDefault="00471E86">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9A" w14:textId="77777777" w:rsidR="003C7B6B" w:rsidRDefault="00471E86">
            <w:pPr>
              <w:spacing w:before="240"/>
              <w:rPr>
                <w:sz w:val="20"/>
                <w:szCs w:val="20"/>
              </w:rPr>
            </w:pPr>
            <w:r>
              <w:rPr>
                <w:sz w:val="20"/>
                <w:szCs w:val="20"/>
              </w:rPr>
              <w:t>Takes the meaning given in the GDPR.</w:t>
            </w:r>
          </w:p>
        </w:tc>
      </w:tr>
      <w:tr w:rsidR="003C7B6B" w14:paraId="1B9AC3A5"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9C" w14:textId="77777777" w:rsidR="003C7B6B" w:rsidRDefault="00471E86">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9D" w14:textId="77777777" w:rsidR="003C7B6B" w:rsidRDefault="00471E86">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1B9AC39E" w14:textId="77777777" w:rsidR="003C7B6B" w:rsidRDefault="00471E86">
            <w:pPr>
              <w:pStyle w:val="ListParagraph"/>
              <w:numPr>
                <w:ilvl w:val="0"/>
                <w:numId w:val="24"/>
              </w:numPr>
              <w:rPr>
                <w:sz w:val="20"/>
                <w:szCs w:val="20"/>
              </w:rPr>
            </w:pPr>
            <w:r>
              <w:rPr>
                <w:sz w:val="20"/>
                <w:szCs w:val="20"/>
              </w:rPr>
              <w:t>induce that person to perform improperly a relevant function or activity</w:t>
            </w:r>
          </w:p>
          <w:p w14:paraId="1B9AC39F" w14:textId="77777777" w:rsidR="003C7B6B" w:rsidRDefault="00471E86">
            <w:pPr>
              <w:pStyle w:val="ListParagraph"/>
              <w:numPr>
                <w:ilvl w:val="0"/>
                <w:numId w:val="24"/>
              </w:numPr>
              <w:rPr>
                <w:sz w:val="20"/>
                <w:szCs w:val="20"/>
              </w:rPr>
            </w:pPr>
            <w:r>
              <w:rPr>
                <w:sz w:val="20"/>
                <w:szCs w:val="20"/>
              </w:rPr>
              <w:t>reward that person for improper performance of a relevant function or activity</w:t>
            </w:r>
          </w:p>
          <w:p w14:paraId="1B9AC3A0" w14:textId="77777777" w:rsidR="003C7B6B" w:rsidRDefault="00471E86">
            <w:pPr>
              <w:pStyle w:val="ListParagraph"/>
              <w:numPr>
                <w:ilvl w:val="0"/>
                <w:numId w:val="24"/>
              </w:numPr>
              <w:rPr>
                <w:sz w:val="20"/>
                <w:szCs w:val="20"/>
              </w:rPr>
            </w:pPr>
            <w:r>
              <w:rPr>
                <w:sz w:val="20"/>
                <w:szCs w:val="20"/>
              </w:rPr>
              <w:t>commit any offence:</w:t>
            </w:r>
          </w:p>
          <w:p w14:paraId="1B9AC3A1" w14:textId="77777777" w:rsidR="003C7B6B" w:rsidRDefault="00471E86">
            <w:pPr>
              <w:pStyle w:val="ListParagraph"/>
              <w:numPr>
                <w:ilvl w:val="1"/>
                <w:numId w:val="24"/>
              </w:numPr>
              <w:rPr>
                <w:sz w:val="20"/>
                <w:szCs w:val="20"/>
              </w:rPr>
            </w:pPr>
            <w:r>
              <w:rPr>
                <w:sz w:val="20"/>
                <w:szCs w:val="20"/>
              </w:rPr>
              <w:t>under the Bribery Act 2010</w:t>
            </w:r>
          </w:p>
          <w:p w14:paraId="1B9AC3A2" w14:textId="77777777" w:rsidR="003C7B6B" w:rsidRDefault="00471E86">
            <w:pPr>
              <w:pStyle w:val="ListParagraph"/>
              <w:numPr>
                <w:ilvl w:val="1"/>
                <w:numId w:val="24"/>
              </w:numPr>
              <w:rPr>
                <w:sz w:val="20"/>
                <w:szCs w:val="20"/>
              </w:rPr>
            </w:pPr>
            <w:r>
              <w:rPr>
                <w:sz w:val="20"/>
                <w:szCs w:val="20"/>
              </w:rPr>
              <w:t>under legislation creating offences concerning Fraud</w:t>
            </w:r>
          </w:p>
          <w:p w14:paraId="1B9AC3A3" w14:textId="77777777" w:rsidR="003C7B6B" w:rsidRDefault="00471E86">
            <w:pPr>
              <w:pStyle w:val="ListParagraph"/>
              <w:numPr>
                <w:ilvl w:val="1"/>
                <w:numId w:val="24"/>
              </w:numPr>
            </w:pPr>
            <w:r>
              <w:t>at common Law concerning Fraud</w:t>
            </w:r>
          </w:p>
          <w:p w14:paraId="1B9AC3A4" w14:textId="77777777" w:rsidR="003C7B6B" w:rsidRDefault="00471E86">
            <w:pPr>
              <w:pStyle w:val="ListParagraph"/>
              <w:numPr>
                <w:ilvl w:val="1"/>
                <w:numId w:val="24"/>
              </w:numPr>
              <w:rPr>
                <w:sz w:val="20"/>
                <w:szCs w:val="20"/>
              </w:rPr>
            </w:pPr>
            <w:r>
              <w:rPr>
                <w:sz w:val="20"/>
                <w:szCs w:val="20"/>
              </w:rPr>
              <w:t>committing or attempting or conspiring to commit Fraud</w:t>
            </w:r>
          </w:p>
        </w:tc>
      </w:tr>
      <w:tr w:rsidR="003C7B6B" w14:paraId="1B9AC3A8"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A6" w14:textId="77777777" w:rsidR="003C7B6B" w:rsidRDefault="00471E86">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A7" w14:textId="77777777" w:rsidR="003C7B6B" w:rsidRDefault="00471E86">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3C7B6B" w14:paraId="1B9AC3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A9" w14:textId="77777777" w:rsidR="003C7B6B" w:rsidRDefault="00471E86">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AA" w14:textId="77777777" w:rsidR="003C7B6B" w:rsidRDefault="00471E86">
            <w:pPr>
              <w:spacing w:before="240"/>
              <w:rPr>
                <w:sz w:val="20"/>
                <w:szCs w:val="20"/>
              </w:rPr>
            </w:pPr>
            <w:r>
              <w:rPr>
                <w:sz w:val="20"/>
                <w:szCs w:val="20"/>
              </w:rPr>
              <w:t>Assets and property including technical infrastructure, IPRs and equipment.</w:t>
            </w:r>
          </w:p>
        </w:tc>
      </w:tr>
      <w:tr w:rsidR="003C7B6B" w14:paraId="1B9AC3AE"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AC" w14:textId="77777777" w:rsidR="003C7B6B" w:rsidRDefault="00471E86">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AD" w14:textId="77777777" w:rsidR="003C7B6B" w:rsidRDefault="00471E86">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C7B6B" w14:paraId="1B9AC3B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AF" w14:textId="77777777" w:rsidR="003C7B6B" w:rsidRDefault="00471E86">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B0" w14:textId="77777777" w:rsidR="003C7B6B" w:rsidRDefault="00471E86">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3C7B6B" w14:paraId="1B9AC3B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B2" w14:textId="77777777" w:rsidR="003C7B6B" w:rsidRDefault="00471E86">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B3" w14:textId="77777777" w:rsidR="003C7B6B" w:rsidRDefault="00471E86">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3C7B6B" w14:paraId="1B9AC3B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B5" w14:textId="77777777" w:rsidR="003C7B6B" w:rsidRDefault="00471E86">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B6" w14:textId="77777777" w:rsidR="003C7B6B" w:rsidRDefault="00471E86">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3C7B6B" w14:paraId="1B9AC3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B8" w14:textId="77777777" w:rsidR="003C7B6B" w:rsidRDefault="00471E86">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B9" w14:textId="77777777" w:rsidR="003C7B6B" w:rsidRDefault="00471E86">
            <w:pPr>
              <w:spacing w:before="240"/>
              <w:rPr>
                <w:sz w:val="20"/>
                <w:szCs w:val="20"/>
              </w:rPr>
            </w:pPr>
            <w:r>
              <w:rPr>
                <w:sz w:val="20"/>
                <w:szCs w:val="20"/>
              </w:rPr>
              <w:t>A transfer of employment to which the employment regulations applies.</w:t>
            </w:r>
          </w:p>
        </w:tc>
      </w:tr>
      <w:tr w:rsidR="003C7B6B" w14:paraId="1B9AC3B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BB" w14:textId="77777777" w:rsidR="003C7B6B" w:rsidRDefault="00471E86">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BC" w14:textId="77777777" w:rsidR="003C7B6B" w:rsidRDefault="00471E86">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3C7B6B" w14:paraId="1B9AC3C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BE" w14:textId="77777777" w:rsidR="003C7B6B" w:rsidRDefault="00471E86">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BF" w14:textId="77777777" w:rsidR="003C7B6B" w:rsidRDefault="00471E86">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3C7B6B" w14:paraId="1B9AC3C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C1" w14:textId="77777777" w:rsidR="003C7B6B" w:rsidRDefault="00471E86">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C2" w14:textId="77777777" w:rsidR="003C7B6B" w:rsidRDefault="00471E86">
            <w:pPr>
              <w:spacing w:before="240"/>
              <w:rPr>
                <w:sz w:val="20"/>
                <w:szCs w:val="20"/>
              </w:rPr>
            </w:pPr>
            <w:r>
              <w:rPr>
                <w:sz w:val="20"/>
                <w:szCs w:val="20"/>
              </w:rPr>
              <w:t>The Supplier's security management plan developed by the Supplier in accordance with clause 16.1.</w:t>
            </w:r>
          </w:p>
        </w:tc>
      </w:tr>
      <w:tr w:rsidR="003C7B6B" w14:paraId="1B9AC3C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C4" w14:textId="77777777" w:rsidR="003C7B6B" w:rsidRDefault="00471E86">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C5" w14:textId="77777777" w:rsidR="003C7B6B" w:rsidRDefault="00471E86">
            <w:pPr>
              <w:spacing w:before="240"/>
              <w:rPr>
                <w:sz w:val="20"/>
                <w:szCs w:val="20"/>
              </w:rPr>
            </w:pPr>
            <w:r>
              <w:rPr>
                <w:sz w:val="20"/>
                <w:szCs w:val="20"/>
              </w:rPr>
              <w:t>The services ordered by the Buyer as set out in the Order Form.</w:t>
            </w:r>
          </w:p>
        </w:tc>
      </w:tr>
      <w:tr w:rsidR="003C7B6B" w14:paraId="1B9AC3C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C7" w14:textId="77777777" w:rsidR="003C7B6B" w:rsidRDefault="00471E86">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C8" w14:textId="77777777" w:rsidR="003C7B6B" w:rsidRDefault="00471E86">
            <w:pPr>
              <w:spacing w:before="240"/>
              <w:rPr>
                <w:sz w:val="20"/>
                <w:szCs w:val="20"/>
              </w:rPr>
            </w:pPr>
            <w:r>
              <w:rPr>
                <w:sz w:val="20"/>
                <w:szCs w:val="20"/>
              </w:rPr>
              <w:t>Data that is owned or managed by the Buyer and used for the G-Cloud Services, including backup data.</w:t>
            </w:r>
          </w:p>
        </w:tc>
      </w:tr>
      <w:tr w:rsidR="003C7B6B" w14:paraId="1B9AC3C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CA" w14:textId="77777777" w:rsidR="003C7B6B" w:rsidRDefault="00471E86">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CB" w14:textId="77777777" w:rsidR="003C7B6B" w:rsidRDefault="00471E86">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3C7B6B" w14:paraId="1B9AC3C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CD" w14:textId="77777777" w:rsidR="003C7B6B" w:rsidRDefault="00471E86">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CE" w14:textId="77777777" w:rsidR="003C7B6B" w:rsidRDefault="00471E86">
            <w:pPr>
              <w:spacing w:before="240"/>
              <w:rPr>
                <w:sz w:val="20"/>
                <w:szCs w:val="20"/>
              </w:rPr>
            </w:pPr>
            <w:r>
              <w:rPr>
                <w:sz w:val="20"/>
                <w:szCs w:val="20"/>
              </w:rPr>
              <w:t>The description of the Supplier service offering as published on the Digital Marketplace.</w:t>
            </w:r>
          </w:p>
        </w:tc>
      </w:tr>
      <w:tr w:rsidR="003C7B6B" w14:paraId="1B9AC3D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D0" w14:textId="77777777" w:rsidR="003C7B6B" w:rsidRDefault="00471E86">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D1" w14:textId="77777777" w:rsidR="003C7B6B" w:rsidRDefault="00471E86">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3C7B6B" w14:paraId="1B9AC3D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D3" w14:textId="77777777" w:rsidR="003C7B6B" w:rsidRDefault="00471E86">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D4" w14:textId="77777777" w:rsidR="003C7B6B" w:rsidRDefault="00471E86">
            <w:pPr>
              <w:spacing w:before="240"/>
            </w:pPr>
            <w:r>
              <w:rPr>
                <w:sz w:val="20"/>
                <w:szCs w:val="20"/>
              </w:rPr>
              <w:t>The approval process used by a central government Buyer if it needs to spend money on certain digital or technology services, see</w:t>
            </w:r>
            <w:hyperlink r:id="rId30" w:history="1">
              <w:r>
                <w:t xml:space="preserve"> </w:t>
              </w:r>
            </w:hyperlink>
            <w:hyperlink r:id="rId31" w:history="1">
              <w:r>
                <w:rPr>
                  <w:sz w:val="20"/>
                  <w:szCs w:val="20"/>
                  <w:u w:val="single"/>
                </w:rPr>
                <w:t>https://www.gov.uk/service-manual/agile-delivery/spend-controls-check-if-you-need-approval-to-spend-money-on-a-service</w:t>
              </w:r>
            </w:hyperlink>
          </w:p>
        </w:tc>
      </w:tr>
      <w:tr w:rsidR="003C7B6B" w14:paraId="1B9AC3D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D6" w14:textId="77777777" w:rsidR="003C7B6B" w:rsidRDefault="00471E86">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D7" w14:textId="77777777" w:rsidR="003C7B6B" w:rsidRDefault="00471E86">
            <w:pPr>
              <w:spacing w:before="240"/>
              <w:rPr>
                <w:sz w:val="20"/>
                <w:szCs w:val="20"/>
              </w:rPr>
            </w:pPr>
            <w:r>
              <w:rPr>
                <w:sz w:val="20"/>
                <w:szCs w:val="20"/>
              </w:rPr>
              <w:t>The Start date of this Call-Off Contract as set out in the Order Form.</w:t>
            </w:r>
          </w:p>
        </w:tc>
      </w:tr>
      <w:tr w:rsidR="003C7B6B" w14:paraId="1B9AC3D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D9" w14:textId="77777777" w:rsidR="003C7B6B" w:rsidRDefault="00471E86">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DA" w14:textId="77777777" w:rsidR="003C7B6B" w:rsidRDefault="00471E86">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C7B6B" w14:paraId="1B9AC3D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DC" w14:textId="77777777" w:rsidR="003C7B6B" w:rsidRDefault="00471E86">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DD" w14:textId="77777777" w:rsidR="003C7B6B" w:rsidRDefault="00471E86">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3C7B6B" w14:paraId="1B9AC3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DF" w14:textId="77777777" w:rsidR="003C7B6B" w:rsidRDefault="00471E86">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E0" w14:textId="77777777" w:rsidR="003C7B6B" w:rsidRDefault="00471E86">
            <w:pPr>
              <w:spacing w:before="240"/>
              <w:rPr>
                <w:sz w:val="20"/>
                <w:szCs w:val="20"/>
              </w:rPr>
            </w:pPr>
            <w:r>
              <w:rPr>
                <w:sz w:val="20"/>
                <w:szCs w:val="20"/>
              </w:rPr>
              <w:t>Any third party appointed to process Personal Data on behalf of the Supplier under this Call-Off Contract.</w:t>
            </w:r>
          </w:p>
        </w:tc>
      </w:tr>
      <w:tr w:rsidR="003C7B6B" w14:paraId="1B9AC3E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E2" w14:textId="77777777" w:rsidR="003C7B6B" w:rsidRDefault="00471E86">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E3" w14:textId="77777777" w:rsidR="003C7B6B" w:rsidRDefault="00471E86">
            <w:pPr>
              <w:spacing w:before="240"/>
              <w:rPr>
                <w:sz w:val="20"/>
                <w:szCs w:val="20"/>
              </w:rPr>
            </w:pPr>
            <w:r>
              <w:rPr>
                <w:sz w:val="20"/>
                <w:szCs w:val="20"/>
              </w:rPr>
              <w:t>The person, firm or company identified in the Order Form.</w:t>
            </w:r>
          </w:p>
        </w:tc>
      </w:tr>
      <w:tr w:rsidR="003C7B6B" w14:paraId="1B9AC3E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E5" w14:textId="77777777" w:rsidR="003C7B6B" w:rsidRDefault="00471E86">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E6" w14:textId="77777777" w:rsidR="003C7B6B" w:rsidRDefault="00471E86">
            <w:pPr>
              <w:spacing w:before="240"/>
              <w:rPr>
                <w:sz w:val="20"/>
                <w:szCs w:val="20"/>
              </w:rPr>
            </w:pPr>
            <w:r>
              <w:rPr>
                <w:sz w:val="20"/>
                <w:szCs w:val="20"/>
              </w:rPr>
              <w:t>The representative appointed by the Supplier from time to time in relation to the Call-Off Contract.</w:t>
            </w:r>
          </w:p>
        </w:tc>
      </w:tr>
      <w:tr w:rsidR="003C7B6B" w14:paraId="1B9AC3E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E8" w14:textId="77777777" w:rsidR="003C7B6B" w:rsidRDefault="00471E86">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E9" w14:textId="77777777" w:rsidR="003C7B6B" w:rsidRDefault="00471E86">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3C7B6B" w14:paraId="1B9AC3E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EB" w14:textId="77777777" w:rsidR="003C7B6B" w:rsidRDefault="00471E86">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EC" w14:textId="77777777" w:rsidR="003C7B6B" w:rsidRDefault="00471E86">
            <w:pPr>
              <w:spacing w:before="240"/>
              <w:rPr>
                <w:sz w:val="20"/>
                <w:szCs w:val="20"/>
              </w:rPr>
            </w:pPr>
            <w:r>
              <w:rPr>
                <w:sz w:val="20"/>
                <w:szCs w:val="20"/>
              </w:rPr>
              <w:t>The relevant G-Cloud Service terms and conditions as set out in the Terms and Conditions document supplied as part of the Supplier’s Application.</w:t>
            </w:r>
          </w:p>
        </w:tc>
      </w:tr>
      <w:tr w:rsidR="003C7B6B" w14:paraId="1B9AC3F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EE" w14:textId="77777777" w:rsidR="003C7B6B" w:rsidRDefault="00471E86">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EF" w14:textId="77777777" w:rsidR="003C7B6B" w:rsidRDefault="00471E86">
            <w:pPr>
              <w:spacing w:before="240"/>
              <w:rPr>
                <w:sz w:val="20"/>
                <w:szCs w:val="20"/>
              </w:rPr>
            </w:pPr>
            <w:r>
              <w:rPr>
                <w:sz w:val="20"/>
                <w:szCs w:val="20"/>
              </w:rPr>
              <w:t>The term of this Call-Off Contract as set out in the Order Form.</w:t>
            </w:r>
          </w:p>
        </w:tc>
      </w:tr>
      <w:tr w:rsidR="003C7B6B" w14:paraId="1B9AC3F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F1" w14:textId="77777777" w:rsidR="003C7B6B" w:rsidRDefault="00471E86">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F2" w14:textId="77777777" w:rsidR="003C7B6B" w:rsidRDefault="00471E86">
            <w:pPr>
              <w:spacing w:before="240"/>
              <w:rPr>
                <w:sz w:val="20"/>
                <w:szCs w:val="20"/>
              </w:rPr>
            </w:pPr>
            <w:r>
              <w:rPr>
                <w:sz w:val="20"/>
                <w:szCs w:val="20"/>
              </w:rPr>
              <w:t>This has the meaning given to it in clause 32 (Variation process).</w:t>
            </w:r>
          </w:p>
        </w:tc>
      </w:tr>
      <w:tr w:rsidR="003C7B6B" w14:paraId="1B9AC3F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F4" w14:textId="77777777" w:rsidR="003C7B6B" w:rsidRDefault="00471E86">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F5" w14:textId="77777777" w:rsidR="003C7B6B" w:rsidRDefault="00471E86">
            <w:pPr>
              <w:spacing w:before="240"/>
              <w:rPr>
                <w:sz w:val="20"/>
                <w:szCs w:val="20"/>
              </w:rPr>
            </w:pPr>
            <w:r>
              <w:rPr>
                <w:sz w:val="20"/>
                <w:szCs w:val="20"/>
              </w:rPr>
              <w:t>Any day other than a Saturday, Sunday or public holiday in England and Wales.</w:t>
            </w:r>
          </w:p>
        </w:tc>
      </w:tr>
      <w:tr w:rsidR="003C7B6B" w14:paraId="1B9AC3F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F7" w14:textId="77777777" w:rsidR="003C7B6B" w:rsidRDefault="00471E86">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C3F8" w14:textId="77777777" w:rsidR="003C7B6B" w:rsidRDefault="00471E86">
            <w:pPr>
              <w:spacing w:before="240"/>
              <w:rPr>
                <w:sz w:val="20"/>
                <w:szCs w:val="20"/>
              </w:rPr>
            </w:pPr>
            <w:r>
              <w:rPr>
                <w:sz w:val="20"/>
                <w:szCs w:val="20"/>
              </w:rPr>
              <w:t>A contract year.</w:t>
            </w:r>
          </w:p>
        </w:tc>
      </w:tr>
    </w:tbl>
    <w:p w14:paraId="1B9AC3FA" w14:textId="77777777" w:rsidR="003C7B6B" w:rsidRDefault="00471E86">
      <w:pPr>
        <w:spacing w:before="240" w:after="240"/>
      </w:pPr>
      <w:r>
        <w:t xml:space="preserve"> </w:t>
      </w:r>
    </w:p>
    <w:p w14:paraId="1B9AC3FB" w14:textId="77777777" w:rsidR="003C7B6B" w:rsidRDefault="003C7B6B">
      <w:pPr>
        <w:pageBreakBefore/>
      </w:pPr>
    </w:p>
    <w:p w14:paraId="1B9AC3FC" w14:textId="77777777" w:rsidR="003C7B6B" w:rsidRDefault="00471E86">
      <w:pPr>
        <w:pStyle w:val="Heading2"/>
      </w:pPr>
      <w:bookmarkStart w:id="12" w:name="_Toc33176240"/>
      <w:r>
        <w:t>Schedule 7: GDPR Information</w:t>
      </w:r>
      <w:bookmarkEnd w:id="12"/>
    </w:p>
    <w:p w14:paraId="1B9AC3FD" w14:textId="77777777" w:rsidR="003C7B6B" w:rsidRDefault="00471E86">
      <w:r>
        <w:t xml:space="preserve">Not Applicable- No HMRC personal data is being transferred. </w:t>
      </w:r>
    </w:p>
    <w:p w14:paraId="1B9AC3FE" w14:textId="77777777" w:rsidR="003C7B6B" w:rsidRDefault="003C7B6B"/>
    <w:p w14:paraId="1B9AC3FF" w14:textId="77777777" w:rsidR="003C7B6B" w:rsidRDefault="00471E86">
      <w:r>
        <w:t>The Security Plan to be used can be found at Schedule 9: Security Questionnaire Response.</w:t>
      </w:r>
    </w:p>
    <w:p w14:paraId="1B9AC400" w14:textId="77777777" w:rsidR="003C7B6B" w:rsidRDefault="003C7B6B"/>
    <w:p w14:paraId="1B9AC401" w14:textId="77777777" w:rsidR="003C7B6B" w:rsidRDefault="003C7B6B"/>
    <w:p w14:paraId="1B9AC402" w14:textId="77777777" w:rsidR="003C7B6B" w:rsidRDefault="003C7B6B"/>
    <w:p w14:paraId="1B9AC403" w14:textId="77777777" w:rsidR="003C7B6B" w:rsidRDefault="003C7B6B"/>
    <w:p w14:paraId="1B9AC404" w14:textId="77777777" w:rsidR="003C7B6B" w:rsidRDefault="003C7B6B"/>
    <w:p w14:paraId="1B9AC405" w14:textId="77777777" w:rsidR="003C7B6B" w:rsidRDefault="003C7B6B"/>
    <w:p w14:paraId="1B9AC406" w14:textId="77777777" w:rsidR="003C7B6B" w:rsidRDefault="003C7B6B"/>
    <w:p w14:paraId="1B9AC407" w14:textId="77777777" w:rsidR="003C7B6B" w:rsidRDefault="003C7B6B"/>
    <w:p w14:paraId="1B9AC408" w14:textId="77777777" w:rsidR="003C7B6B" w:rsidRDefault="003C7B6B"/>
    <w:p w14:paraId="1B9AC409" w14:textId="77777777" w:rsidR="003C7B6B" w:rsidRDefault="003C7B6B"/>
    <w:p w14:paraId="1B9AC40A" w14:textId="77777777" w:rsidR="003C7B6B" w:rsidRDefault="003C7B6B"/>
    <w:p w14:paraId="1B9AC40B" w14:textId="77777777" w:rsidR="003C7B6B" w:rsidRDefault="003C7B6B"/>
    <w:p w14:paraId="1B9AC40C" w14:textId="77777777" w:rsidR="003C7B6B" w:rsidRDefault="003C7B6B"/>
    <w:p w14:paraId="1B9AC40D" w14:textId="77777777" w:rsidR="003C7B6B" w:rsidRDefault="003C7B6B"/>
    <w:p w14:paraId="1B9AC40E" w14:textId="77777777" w:rsidR="003C7B6B" w:rsidRDefault="003C7B6B"/>
    <w:p w14:paraId="1B9AC40F" w14:textId="77777777" w:rsidR="003C7B6B" w:rsidRDefault="003C7B6B"/>
    <w:p w14:paraId="1B9AC410" w14:textId="77777777" w:rsidR="003C7B6B" w:rsidRDefault="003C7B6B"/>
    <w:p w14:paraId="1B9AC411" w14:textId="77777777" w:rsidR="003C7B6B" w:rsidRDefault="003C7B6B"/>
    <w:p w14:paraId="1B9AC412" w14:textId="77777777" w:rsidR="003C7B6B" w:rsidRDefault="003C7B6B"/>
    <w:p w14:paraId="1B9AC413" w14:textId="77777777" w:rsidR="003C7B6B" w:rsidRDefault="003C7B6B"/>
    <w:p w14:paraId="1B9AC414" w14:textId="77777777" w:rsidR="003C7B6B" w:rsidRDefault="003C7B6B"/>
    <w:p w14:paraId="1B9AC415" w14:textId="77777777" w:rsidR="003C7B6B" w:rsidRDefault="003C7B6B"/>
    <w:p w14:paraId="1B9AC416" w14:textId="77777777" w:rsidR="003C7B6B" w:rsidRDefault="003C7B6B"/>
    <w:p w14:paraId="1B9AC417" w14:textId="77777777" w:rsidR="003C7B6B" w:rsidRDefault="003C7B6B"/>
    <w:p w14:paraId="1B9AC418" w14:textId="77777777" w:rsidR="003C7B6B" w:rsidRDefault="003C7B6B"/>
    <w:p w14:paraId="1B9AC419" w14:textId="77777777" w:rsidR="003C7B6B" w:rsidRDefault="003C7B6B"/>
    <w:p w14:paraId="1B9AC41A" w14:textId="77777777" w:rsidR="003C7B6B" w:rsidRDefault="003C7B6B"/>
    <w:p w14:paraId="1B9AC41B" w14:textId="77777777" w:rsidR="003C7B6B" w:rsidRDefault="003C7B6B"/>
    <w:p w14:paraId="1B9AC41C" w14:textId="77777777" w:rsidR="003C7B6B" w:rsidRDefault="003C7B6B"/>
    <w:p w14:paraId="1B9AC41D" w14:textId="77777777" w:rsidR="003C7B6B" w:rsidRDefault="003C7B6B"/>
    <w:p w14:paraId="1B9AC41E" w14:textId="77777777" w:rsidR="003C7B6B" w:rsidRDefault="003C7B6B"/>
    <w:p w14:paraId="1B9AC41F" w14:textId="77777777" w:rsidR="003C7B6B" w:rsidRDefault="003C7B6B"/>
    <w:p w14:paraId="1B9AC420" w14:textId="77777777" w:rsidR="003C7B6B" w:rsidRDefault="003C7B6B"/>
    <w:p w14:paraId="1B9AC421" w14:textId="77777777" w:rsidR="003C7B6B" w:rsidRDefault="003C7B6B"/>
    <w:p w14:paraId="1B9AC422" w14:textId="77777777" w:rsidR="003C7B6B" w:rsidRDefault="003C7B6B"/>
    <w:p w14:paraId="1B9AC423" w14:textId="77777777" w:rsidR="003C7B6B" w:rsidRDefault="003C7B6B"/>
    <w:p w14:paraId="1B9AC424" w14:textId="77777777" w:rsidR="003C7B6B" w:rsidRDefault="003C7B6B"/>
    <w:p w14:paraId="1B9AC425" w14:textId="77777777" w:rsidR="003C7B6B" w:rsidRDefault="003C7B6B"/>
    <w:p w14:paraId="1B9AC426" w14:textId="77777777" w:rsidR="003C7B6B" w:rsidRDefault="003C7B6B"/>
    <w:p w14:paraId="1B9AC427" w14:textId="77777777" w:rsidR="003C7B6B" w:rsidRDefault="003C7B6B">
      <w:pPr>
        <w:pStyle w:val="ListParagraph"/>
        <w:rPr>
          <w:rFonts w:cs="Calibri"/>
          <w:b/>
        </w:rPr>
      </w:pPr>
    </w:p>
    <w:p w14:paraId="1B9AC428" w14:textId="77777777" w:rsidR="003C7B6B" w:rsidRDefault="00471E86">
      <w:pPr>
        <w:ind w:left="142" w:right="394"/>
        <w:jc w:val="both"/>
      </w:pPr>
      <w:r>
        <w:rPr>
          <w:noProof/>
        </w:rPr>
        <w:lastRenderedPageBreak/>
        <w:drawing>
          <wp:inline distT="0" distB="0" distL="0" distR="0" wp14:anchorId="1B9ABE30" wp14:editId="1B9ABE31">
            <wp:extent cx="1444102" cy="859307"/>
            <wp:effectExtent l="0" t="0" r="3698" b="0"/>
            <wp:docPr id="4" name="Picture 234" descr="C:\Users\7219689\AppData\Local\Microsoft\Windows\INetCache\Content.Word\HM_Revenue_&amp;_Custom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a:stretch>
                      <a:fillRect/>
                    </a:stretch>
                  </pic:blipFill>
                  <pic:spPr>
                    <a:xfrm>
                      <a:off x="0" y="0"/>
                      <a:ext cx="1444102" cy="859307"/>
                    </a:xfrm>
                    <a:prstGeom prst="rect">
                      <a:avLst/>
                    </a:prstGeom>
                    <a:noFill/>
                    <a:ln>
                      <a:noFill/>
                      <a:prstDash/>
                    </a:ln>
                  </pic:spPr>
                </pic:pic>
              </a:graphicData>
            </a:graphic>
          </wp:inline>
        </w:drawing>
      </w:r>
    </w:p>
    <w:p w14:paraId="1B9AC429" w14:textId="77777777" w:rsidR="003C7B6B" w:rsidRDefault="00471E86">
      <w:pPr>
        <w:ind w:left="142" w:right="394"/>
        <w:jc w:val="center"/>
        <w:rPr>
          <w:rFonts w:cs="Calibri"/>
          <w:b/>
        </w:rPr>
      </w:pPr>
      <w:r>
        <w:rPr>
          <w:rFonts w:cs="Calibri"/>
          <w:b/>
        </w:rPr>
        <w:t>Schedule 8</w:t>
      </w:r>
    </w:p>
    <w:p w14:paraId="1B9AC42A" w14:textId="77777777" w:rsidR="003C7B6B" w:rsidRDefault="00471E86">
      <w:pPr>
        <w:ind w:left="142" w:right="394"/>
        <w:jc w:val="center"/>
        <w:rPr>
          <w:rFonts w:cs="Calibri"/>
          <w:b/>
        </w:rPr>
      </w:pPr>
      <w:r>
        <w:rPr>
          <w:rFonts w:cs="Calibri"/>
          <w:b/>
        </w:rPr>
        <w:t>AUTHORITY’S MANDATORY TERMS</w:t>
      </w:r>
    </w:p>
    <w:p w14:paraId="1B9AC42B" w14:textId="77777777" w:rsidR="003C7B6B" w:rsidRDefault="00471E86">
      <w:pPr>
        <w:pStyle w:val="BodyText"/>
        <w:numPr>
          <w:ilvl w:val="0"/>
          <w:numId w:val="25"/>
        </w:numPr>
        <w:spacing w:before="121"/>
        <w:ind w:left="567" w:right="394" w:hanging="425"/>
        <w:jc w:val="both"/>
      </w:pPr>
      <w:r>
        <w:rPr>
          <w:rFonts w:ascii="Calibri" w:hAnsi="Calibri" w:cs="Calibri"/>
          <w:sz w:val="22"/>
          <w:szCs w:val="22"/>
        </w:rPr>
        <w:t>For the avoidance of doubt, references to ‘the Agreement’ mean the attached Call-Off Contract between</w:t>
      </w:r>
      <w:r>
        <w:rPr>
          <w:rFonts w:ascii="Calibri" w:hAnsi="Calibri" w:cs="Calibri"/>
          <w:spacing w:val="-8"/>
          <w:sz w:val="22"/>
          <w:szCs w:val="22"/>
        </w:rPr>
        <w:t xml:space="preserve"> </w:t>
      </w:r>
      <w:r>
        <w:rPr>
          <w:rFonts w:ascii="Calibri" w:hAnsi="Calibri" w:cs="Calibri"/>
          <w:sz w:val="22"/>
          <w:szCs w:val="22"/>
        </w:rPr>
        <w:t>the Supplier and</w:t>
      </w:r>
      <w:r>
        <w:rPr>
          <w:rFonts w:ascii="Calibri" w:hAnsi="Calibri" w:cs="Calibri"/>
          <w:spacing w:val="-9"/>
          <w:sz w:val="22"/>
          <w:szCs w:val="22"/>
        </w:rPr>
        <w:t xml:space="preserve"> </w:t>
      </w:r>
      <w:r>
        <w:rPr>
          <w:rFonts w:ascii="Calibri" w:hAnsi="Calibri" w:cs="Calibri"/>
          <w:sz w:val="22"/>
          <w:szCs w:val="22"/>
        </w:rPr>
        <w:t xml:space="preserve">the Authority. </w:t>
      </w:r>
      <w:r>
        <w:rPr>
          <w:rFonts w:ascii="Calibri" w:hAnsi="Calibri" w:cs="Calibri"/>
          <w:spacing w:val="-9"/>
          <w:sz w:val="22"/>
          <w:szCs w:val="22"/>
        </w:rPr>
        <w:t>References to ‘the Authority’ mean ‘the Buyer’ (the Commissioners for Her Majesty’s Revenue and Customs).</w:t>
      </w:r>
    </w:p>
    <w:p w14:paraId="1B9AC42C" w14:textId="77777777" w:rsidR="003C7B6B" w:rsidRDefault="00471E86">
      <w:pPr>
        <w:pStyle w:val="BodyText"/>
        <w:numPr>
          <w:ilvl w:val="0"/>
          <w:numId w:val="25"/>
        </w:numPr>
        <w:spacing w:before="121"/>
        <w:ind w:left="567" w:right="394" w:hanging="425"/>
        <w:jc w:val="both"/>
      </w:pPr>
      <w:r>
        <w:rPr>
          <w:rFonts w:ascii="Calibri" w:hAnsi="Calibri" w:cs="Calibri"/>
          <w:sz w:val="22"/>
          <w:szCs w:val="22"/>
        </w:rPr>
        <w:t>The Agreement incorporates the Authority’s mandatory terms set out in this Schedule 8.</w:t>
      </w:r>
      <w:r>
        <w:rPr>
          <w:rFonts w:ascii="Calibri" w:hAnsi="Calibri" w:cs="Calibri"/>
          <w:spacing w:val="-9"/>
          <w:sz w:val="22"/>
          <w:szCs w:val="22"/>
        </w:rPr>
        <w:t xml:space="preserve"> </w:t>
      </w:r>
    </w:p>
    <w:p w14:paraId="1B9AC42D" w14:textId="77777777" w:rsidR="003C7B6B" w:rsidRDefault="00471E86">
      <w:pPr>
        <w:pStyle w:val="BodyText"/>
        <w:numPr>
          <w:ilvl w:val="0"/>
          <w:numId w:val="25"/>
        </w:numPr>
        <w:spacing w:before="121"/>
        <w:ind w:left="567" w:right="394" w:hanging="425"/>
        <w:jc w:val="both"/>
        <w:rPr>
          <w:rFonts w:ascii="Calibri" w:hAnsi="Calibri" w:cs="Calibri"/>
          <w:sz w:val="22"/>
          <w:szCs w:val="22"/>
        </w:rPr>
      </w:pPr>
      <w:r>
        <w:rPr>
          <w:rFonts w:ascii="Calibri" w:hAnsi="Calibri" w:cs="Calibri"/>
          <w:sz w:val="22"/>
          <w:szCs w:val="22"/>
        </w:rPr>
        <w:t xml:space="preserve">In case of any ambiguity or conflict, the Authority’s mandatory terms in this Schedule 8 will supersede any other terms in the Agreement.  </w:t>
      </w:r>
    </w:p>
    <w:p w14:paraId="1B9AC42E" w14:textId="77777777" w:rsidR="003C7B6B" w:rsidRDefault="00471E86">
      <w:pPr>
        <w:pStyle w:val="BodyText"/>
        <w:numPr>
          <w:ilvl w:val="0"/>
          <w:numId w:val="25"/>
        </w:numPr>
        <w:spacing w:before="121"/>
        <w:ind w:left="567" w:right="394" w:hanging="425"/>
        <w:jc w:val="both"/>
        <w:rPr>
          <w:rFonts w:ascii="Calibri" w:hAnsi="Calibri" w:cs="Calibri"/>
          <w:sz w:val="22"/>
          <w:szCs w:val="22"/>
        </w:rPr>
      </w:pPr>
      <w:r>
        <w:rPr>
          <w:rFonts w:ascii="Calibri" w:hAnsi="Calibri" w:cs="Calibri"/>
          <w:sz w:val="22"/>
          <w:szCs w:val="22"/>
        </w:rPr>
        <w:t>For the avoidance of doubt, the relevant definitions for the purposes of the defined terms set out in the Authority’s mandatory terms in this Schedule 8 are the definitions set out at Clause 1 of this Schedule 8.</w:t>
      </w:r>
    </w:p>
    <w:p w14:paraId="1B9AC42F" w14:textId="77777777" w:rsidR="003C7B6B" w:rsidRDefault="003C7B6B">
      <w:pPr>
        <w:pStyle w:val="ListParagraph"/>
        <w:ind w:left="426"/>
        <w:rPr>
          <w:rFonts w:cs="Calibri"/>
          <w:b/>
        </w:rPr>
      </w:pPr>
    </w:p>
    <w:p w14:paraId="1B9AC430" w14:textId="77777777" w:rsidR="003C7B6B" w:rsidRDefault="00471E86">
      <w:pPr>
        <w:pStyle w:val="ListParagraph"/>
        <w:numPr>
          <w:ilvl w:val="0"/>
          <w:numId w:val="26"/>
        </w:numPr>
        <w:suppressAutoHyphens w:val="0"/>
        <w:spacing w:after="160" w:line="244" w:lineRule="auto"/>
        <w:ind w:left="426" w:hanging="426"/>
        <w:textAlignment w:val="auto"/>
        <w:rPr>
          <w:rFonts w:cs="Calibri"/>
          <w:b/>
        </w:rPr>
      </w:pPr>
      <w:r>
        <w:rPr>
          <w:rFonts w:cs="Calibri"/>
          <w:b/>
        </w:rPr>
        <w:t xml:space="preserve">Definitions </w:t>
      </w:r>
    </w:p>
    <w:tbl>
      <w:tblPr>
        <w:tblW w:w="8918" w:type="dxa"/>
        <w:tblInd w:w="108" w:type="dxa"/>
        <w:tblCellMar>
          <w:left w:w="10" w:type="dxa"/>
          <w:right w:w="10" w:type="dxa"/>
        </w:tblCellMar>
        <w:tblLook w:val="0000" w:firstRow="0" w:lastRow="0" w:firstColumn="0" w:lastColumn="0" w:noHBand="0" w:noVBand="0"/>
      </w:tblPr>
      <w:tblGrid>
        <w:gridCol w:w="2160"/>
        <w:gridCol w:w="6758"/>
      </w:tblGrid>
      <w:tr w:rsidR="003C7B6B" w14:paraId="1B9AC433" w14:textId="77777777">
        <w:tc>
          <w:tcPr>
            <w:tcW w:w="2160" w:type="dxa"/>
            <w:shd w:val="clear" w:color="auto" w:fill="auto"/>
            <w:tcMar>
              <w:top w:w="0" w:type="dxa"/>
              <w:left w:w="108" w:type="dxa"/>
              <w:bottom w:w="0" w:type="dxa"/>
              <w:right w:w="108" w:type="dxa"/>
            </w:tcMar>
          </w:tcPr>
          <w:p w14:paraId="1B9AC431" w14:textId="77777777" w:rsidR="003C7B6B" w:rsidRDefault="00471E86">
            <w:pPr>
              <w:rPr>
                <w:rFonts w:cs="Calibri"/>
                <w:b/>
              </w:rPr>
            </w:pPr>
            <w:r>
              <w:rPr>
                <w:rFonts w:cs="Calibri"/>
                <w:b/>
              </w:rPr>
              <w:t>“Affiliate”</w:t>
            </w:r>
          </w:p>
        </w:tc>
        <w:tc>
          <w:tcPr>
            <w:tcW w:w="6758" w:type="dxa"/>
            <w:shd w:val="clear" w:color="auto" w:fill="auto"/>
            <w:tcMar>
              <w:top w:w="0" w:type="dxa"/>
              <w:left w:w="108" w:type="dxa"/>
              <w:bottom w:w="0" w:type="dxa"/>
              <w:right w:w="108" w:type="dxa"/>
            </w:tcMar>
          </w:tcPr>
          <w:p w14:paraId="1B9AC432" w14:textId="77777777" w:rsidR="003C7B6B" w:rsidRDefault="00471E86">
            <w:r>
              <w:t>in relation to a body corporate, any other entity which directly or indirectly Controls, is Controlled by, or is under direct or indirect common Control with, that body corporate from time to time;</w:t>
            </w:r>
          </w:p>
        </w:tc>
      </w:tr>
      <w:tr w:rsidR="003C7B6B" w14:paraId="1B9AC439" w14:textId="77777777">
        <w:tc>
          <w:tcPr>
            <w:tcW w:w="2160" w:type="dxa"/>
            <w:shd w:val="clear" w:color="auto" w:fill="auto"/>
            <w:tcMar>
              <w:top w:w="0" w:type="dxa"/>
              <w:left w:w="108" w:type="dxa"/>
              <w:bottom w:w="0" w:type="dxa"/>
              <w:right w:w="108" w:type="dxa"/>
            </w:tcMar>
          </w:tcPr>
          <w:p w14:paraId="1B9AC434" w14:textId="77777777" w:rsidR="003C7B6B" w:rsidRDefault="00471E86">
            <w:pPr>
              <w:rPr>
                <w:rFonts w:cs="Calibri"/>
                <w:b/>
              </w:rPr>
            </w:pPr>
            <w:r>
              <w:rPr>
                <w:rFonts w:cs="Calibri"/>
                <w:b/>
              </w:rPr>
              <w:t>“Authority Data”</w:t>
            </w:r>
          </w:p>
        </w:tc>
        <w:tc>
          <w:tcPr>
            <w:tcW w:w="6758" w:type="dxa"/>
            <w:shd w:val="clear" w:color="auto" w:fill="auto"/>
            <w:tcMar>
              <w:top w:w="0" w:type="dxa"/>
              <w:left w:w="108" w:type="dxa"/>
              <w:bottom w:w="0" w:type="dxa"/>
              <w:right w:w="108" w:type="dxa"/>
            </w:tcMar>
          </w:tcPr>
          <w:p w14:paraId="1B9AC435" w14:textId="77777777" w:rsidR="003C7B6B" w:rsidRDefault="00471E86">
            <w:pPr>
              <w:pStyle w:val="ListParagraph"/>
              <w:numPr>
                <w:ilvl w:val="0"/>
                <w:numId w:val="27"/>
              </w:numPr>
              <w:suppressAutoHyphens w:val="0"/>
              <w:spacing w:after="160" w:line="244" w:lineRule="auto"/>
              <w:textAlignment w:val="auto"/>
              <w:rPr>
                <w:rFonts w:cs="Calibri"/>
              </w:rPr>
            </w:pPr>
            <w:r>
              <w:rPr>
                <w:rFonts w:cs="Calibri"/>
              </w:rPr>
              <w:t>the data, text, drawings, diagrams, images or sounds (together with any database made up of any of these) which are embodied in any electronic, magnetic, optical or tangible media, and which are:</w:t>
            </w:r>
          </w:p>
          <w:p w14:paraId="1B9AC436" w14:textId="77777777" w:rsidR="003C7B6B" w:rsidRDefault="00471E86">
            <w:pPr>
              <w:numPr>
                <w:ilvl w:val="3"/>
                <w:numId w:val="27"/>
              </w:numPr>
              <w:tabs>
                <w:tab w:val="left" w:pos="759"/>
              </w:tabs>
              <w:suppressAutoHyphens w:val="0"/>
              <w:spacing w:after="160" w:line="244" w:lineRule="auto"/>
              <w:ind w:left="829" w:hanging="283"/>
              <w:textAlignment w:val="auto"/>
              <w:rPr>
                <w:rFonts w:cs="Calibri"/>
              </w:rPr>
            </w:pPr>
            <w:r>
              <w:rPr>
                <w:rFonts w:cs="Calibri"/>
              </w:rPr>
              <w:t xml:space="preserve">supplied to the Supplier by or on behalf of the Authority; and/or </w:t>
            </w:r>
          </w:p>
          <w:p w14:paraId="1B9AC437" w14:textId="77777777" w:rsidR="003C7B6B" w:rsidRDefault="00471E86">
            <w:pPr>
              <w:numPr>
                <w:ilvl w:val="3"/>
                <w:numId w:val="27"/>
              </w:numPr>
              <w:tabs>
                <w:tab w:val="left" w:pos="759"/>
              </w:tabs>
              <w:suppressAutoHyphens w:val="0"/>
              <w:spacing w:after="160" w:line="244" w:lineRule="auto"/>
              <w:ind w:left="829" w:hanging="283"/>
              <w:textAlignment w:val="auto"/>
              <w:rPr>
                <w:rFonts w:cs="Calibri"/>
              </w:rPr>
            </w:pPr>
            <w:r>
              <w:rPr>
                <w:rFonts w:cs="Calibri"/>
              </w:rPr>
              <w:t>which the Supplier is required to generate, process, store or transmit pursuant to this Agreement; or</w:t>
            </w:r>
          </w:p>
          <w:p w14:paraId="1B9AC438" w14:textId="77777777" w:rsidR="003C7B6B" w:rsidRDefault="00471E86">
            <w:pPr>
              <w:pStyle w:val="ListParagraph"/>
              <w:numPr>
                <w:ilvl w:val="0"/>
                <w:numId w:val="27"/>
              </w:numPr>
              <w:suppressAutoHyphens w:val="0"/>
              <w:spacing w:after="160" w:line="244" w:lineRule="auto"/>
              <w:textAlignment w:val="auto"/>
              <w:rPr>
                <w:rFonts w:cs="Calibri"/>
              </w:rPr>
            </w:pPr>
            <w:r>
              <w:rPr>
                <w:rFonts w:cs="Calibri"/>
              </w:rPr>
              <w:t>any Personal Data for which the Authority is the Controller, or any data derived from such Personal Data which has had any designatory data identifiers removed so that an individual cannot be identified;</w:t>
            </w:r>
          </w:p>
        </w:tc>
      </w:tr>
      <w:tr w:rsidR="003C7B6B" w14:paraId="1B9AC43D" w14:textId="77777777">
        <w:tc>
          <w:tcPr>
            <w:tcW w:w="2160" w:type="dxa"/>
            <w:shd w:val="clear" w:color="auto" w:fill="auto"/>
            <w:tcMar>
              <w:top w:w="0" w:type="dxa"/>
              <w:left w:w="108" w:type="dxa"/>
              <w:bottom w:w="0" w:type="dxa"/>
              <w:right w:w="108" w:type="dxa"/>
            </w:tcMar>
          </w:tcPr>
          <w:p w14:paraId="1B9AC43A" w14:textId="77777777" w:rsidR="003C7B6B" w:rsidRDefault="00471E86">
            <w:r>
              <w:rPr>
                <w:rFonts w:ascii="Calibri" w:eastAsia="Times New Roman" w:hAnsi="Calibri" w:cs="Calibri"/>
                <w:b/>
                <w:bCs/>
              </w:rPr>
              <w:t>“Charges”</w:t>
            </w:r>
            <w:r>
              <w:rPr>
                <w:rFonts w:ascii="Calibri" w:eastAsia="Times New Roman" w:hAnsi="Calibri" w:cs="Calibri"/>
              </w:rPr>
              <w:t> </w:t>
            </w:r>
          </w:p>
        </w:tc>
        <w:tc>
          <w:tcPr>
            <w:tcW w:w="6758" w:type="dxa"/>
            <w:shd w:val="clear" w:color="auto" w:fill="auto"/>
            <w:tcMar>
              <w:top w:w="0" w:type="dxa"/>
              <w:left w:w="108" w:type="dxa"/>
              <w:bottom w:w="0" w:type="dxa"/>
              <w:right w:w="108" w:type="dxa"/>
            </w:tcMar>
          </w:tcPr>
          <w:p w14:paraId="1B9AC43B" w14:textId="77777777" w:rsidR="003C7B6B" w:rsidRDefault="00471E86">
            <w:pPr>
              <w:rPr>
                <w:rFonts w:ascii="Calibri" w:eastAsia="Times New Roman" w:hAnsi="Calibri" w:cs="Calibri"/>
              </w:rPr>
            </w:pPr>
            <w:r>
              <w:rPr>
                <w:rFonts w:ascii="Calibri" w:eastAsia="Times New Roman" w:hAnsi="Calibri" w:cs="Calibri"/>
              </w:rPr>
              <w:t>the charges for the Services as specified in Schedule 2;</w:t>
            </w:r>
          </w:p>
          <w:p w14:paraId="1B9AC43C" w14:textId="77777777" w:rsidR="003C7B6B" w:rsidRDefault="003C7B6B">
            <w:pPr>
              <w:rPr>
                <w:rFonts w:cs="Calibri"/>
              </w:rPr>
            </w:pPr>
          </w:p>
        </w:tc>
      </w:tr>
      <w:tr w:rsidR="003C7B6B" w14:paraId="1B9AC440" w14:textId="77777777">
        <w:tc>
          <w:tcPr>
            <w:tcW w:w="2160" w:type="dxa"/>
            <w:shd w:val="clear" w:color="auto" w:fill="auto"/>
            <w:tcMar>
              <w:top w:w="0" w:type="dxa"/>
              <w:left w:w="108" w:type="dxa"/>
              <w:bottom w:w="0" w:type="dxa"/>
              <w:right w:w="108" w:type="dxa"/>
            </w:tcMar>
          </w:tcPr>
          <w:p w14:paraId="1B9AC43E" w14:textId="77777777" w:rsidR="003C7B6B" w:rsidRDefault="00471E86">
            <w:r>
              <w:rPr>
                <w:rFonts w:cs="Calibri"/>
                <w:b/>
              </w:rPr>
              <w:t>“Connected Company”</w:t>
            </w:r>
          </w:p>
        </w:tc>
        <w:tc>
          <w:tcPr>
            <w:tcW w:w="6758" w:type="dxa"/>
            <w:shd w:val="clear" w:color="auto" w:fill="auto"/>
            <w:tcMar>
              <w:top w:w="0" w:type="dxa"/>
              <w:left w:w="108" w:type="dxa"/>
              <w:bottom w:w="0" w:type="dxa"/>
              <w:right w:w="108" w:type="dxa"/>
            </w:tcMar>
          </w:tcPr>
          <w:p w14:paraId="1B9AC43F" w14:textId="77777777" w:rsidR="003C7B6B" w:rsidRDefault="00471E86">
            <w:pPr>
              <w:jc w:val="both"/>
              <w:rPr>
                <w:rFonts w:eastAsia="Times New Roman" w:cs="Calibri"/>
              </w:rPr>
            </w:pPr>
            <w:r>
              <w:rPr>
                <w:rFonts w:eastAsia="Times New Roman" w:cs="Calibri"/>
              </w:rPr>
              <w:t>means, in relation to a company, entity or other person, the Affiliates of that company, entity or other person or any other person associated with such company, entity or other person;</w:t>
            </w:r>
          </w:p>
        </w:tc>
      </w:tr>
      <w:tr w:rsidR="003C7B6B" w14:paraId="1B9AC443" w14:textId="77777777">
        <w:tc>
          <w:tcPr>
            <w:tcW w:w="2160" w:type="dxa"/>
            <w:shd w:val="clear" w:color="auto" w:fill="auto"/>
            <w:tcMar>
              <w:top w:w="0" w:type="dxa"/>
              <w:left w:w="108" w:type="dxa"/>
              <w:bottom w:w="0" w:type="dxa"/>
              <w:right w:w="108" w:type="dxa"/>
            </w:tcMar>
          </w:tcPr>
          <w:p w14:paraId="1B9AC441" w14:textId="77777777" w:rsidR="003C7B6B" w:rsidRDefault="00471E86">
            <w:pPr>
              <w:rPr>
                <w:rFonts w:cs="Calibri"/>
                <w:b/>
              </w:rPr>
            </w:pPr>
            <w:r>
              <w:rPr>
                <w:rFonts w:cs="Calibri"/>
                <w:b/>
              </w:rPr>
              <w:t>“Control”</w:t>
            </w:r>
          </w:p>
        </w:tc>
        <w:tc>
          <w:tcPr>
            <w:tcW w:w="6758" w:type="dxa"/>
            <w:shd w:val="clear" w:color="auto" w:fill="auto"/>
            <w:tcMar>
              <w:top w:w="0" w:type="dxa"/>
              <w:left w:w="108" w:type="dxa"/>
              <w:bottom w:w="0" w:type="dxa"/>
              <w:right w:w="108" w:type="dxa"/>
            </w:tcMar>
          </w:tcPr>
          <w:p w14:paraId="1B9AC442" w14:textId="77777777" w:rsidR="003C7B6B" w:rsidRDefault="00471E86">
            <w:pPr>
              <w:jc w:val="both"/>
            </w:pPr>
            <w:r>
              <w:t xml:space="preserve">the possession by a  person, directly or indirectly, of the power to direct or cause the direction of the management and policies of the other person (whether through the ownership of voting shares, by contract or otherwise) and </w:t>
            </w:r>
            <w:r>
              <w:rPr>
                <w:bCs/>
              </w:rPr>
              <w:t>“</w:t>
            </w:r>
            <w:r>
              <w:t xml:space="preserve">Controls” and </w:t>
            </w:r>
            <w:r>
              <w:rPr>
                <w:bCs/>
              </w:rPr>
              <w:t>“</w:t>
            </w:r>
            <w:r>
              <w:t>Controlled” shall be interpreted accordingly;</w:t>
            </w:r>
          </w:p>
        </w:tc>
      </w:tr>
      <w:tr w:rsidR="003C7B6B" w14:paraId="1B9AC446" w14:textId="77777777">
        <w:tc>
          <w:tcPr>
            <w:tcW w:w="2160" w:type="dxa"/>
            <w:shd w:val="clear" w:color="auto" w:fill="auto"/>
            <w:tcMar>
              <w:top w:w="0" w:type="dxa"/>
              <w:left w:w="108" w:type="dxa"/>
              <w:bottom w:w="0" w:type="dxa"/>
              <w:right w:w="108" w:type="dxa"/>
            </w:tcMar>
          </w:tcPr>
          <w:p w14:paraId="1B9AC444" w14:textId="77777777" w:rsidR="003C7B6B" w:rsidRDefault="00471E86">
            <w:pPr>
              <w:rPr>
                <w:rFonts w:cs="Calibri"/>
                <w:b/>
              </w:rPr>
            </w:pPr>
            <w:r>
              <w:rPr>
                <w:rFonts w:cs="Calibri"/>
                <w:b/>
              </w:rPr>
              <w:t>“Controller”, “Processor”, “Data Subject”,</w:t>
            </w:r>
          </w:p>
        </w:tc>
        <w:tc>
          <w:tcPr>
            <w:tcW w:w="6758" w:type="dxa"/>
            <w:shd w:val="clear" w:color="auto" w:fill="auto"/>
            <w:tcMar>
              <w:top w:w="0" w:type="dxa"/>
              <w:left w:w="108" w:type="dxa"/>
              <w:bottom w:w="0" w:type="dxa"/>
              <w:right w:w="108" w:type="dxa"/>
            </w:tcMar>
          </w:tcPr>
          <w:p w14:paraId="1B9AC445" w14:textId="77777777" w:rsidR="003C7B6B" w:rsidRDefault="00471E86">
            <w:pPr>
              <w:jc w:val="both"/>
            </w:pPr>
            <w:r>
              <w:rPr>
                <w:rFonts w:cs="Calibri"/>
              </w:rPr>
              <w:t xml:space="preserve">take the meaning given in the UK GDPR;  </w:t>
            </w:r>
          </w:p>
        </w:tc>
      </w:tr>
      <w:tr w:rsidR="003C7B6B" w14:paraId="1B9AC44A" w14:textId="77777777">
        <w:tc>
          <w:tcPr>
            <w:tcW w:w="2160" w:type="dxa"/>
            <w:shd w:val="clear" w:color="auto" w:fill="auto"/>
            <w:tcMar>
              <w:top w:w="0" w:type="dxa"/>
              <w:left w:w="108" w:type="dxa"/>
              <w:bottom w:w="0" w:type="dxa"/>
              <w:right w:w="108" w:type="dxa"/>
            </w:tcMar>
          </w:tcPr>
          <w:p w14:paraId="1B9AC447" w14:textId="77777777" w:rsidR="003C7B6B" w:rsidRDefault="00471E86">
            <w:pPr>
              <w:rPr>
                <w:rFonts w:cs="Calibri"/>
                <w:b/>
              </w:rPr>
            </w:pPr>
            <w:r>
              <w:rPr>
                <w:rFonts w:cs="Calibri"/>
                <w:b/>
              </w:rPr>
              <w:lastRenderedPageBreak/>
              <w:t>“Data Protection Legislation”</w:t>
            </w:r>
          </w:p>
        </w:tc>
        <w:tc>
          <w:tcPr>
            <w:tcW w:w="6758" w:type="dxa"/>
            <w:shd w:val="clear" w:color="auto" w:fill="auto"/>
            <w:tcMar>
              <w:top w:w="0" w:type="dxa"/>
              <w:left w:w="108" w:type="dxa"/>
              <w:bottom w:w="0" w:type="dxa"/>
              <w:right w:w="108" w:type="dxa"/>
            </w:tcMar>
          </w:tcPr>
          <w:p w14:paraId="1B9AC448" w14:textId="77777777" w:rsidR="003C7B6B" w:rsidRDefault="00471E86">
            <w:pPr>
              <w:pStyle w:val="ListParagraph"/>
              <w:numPr>
                <w:ilvl w:val="1"/>
                <w:numId w:val="25"/>
              </w:numPr>
              <w:suppressAutoHyphens w:val="0"/>
              <w:spacing w:after="160" w:line="244" w:lineRule="auto"/>
              <w:ind w:left="465" w:hanging="465"/>
              <w:jc w:val="both"/>
              <w:textAlignment w:val="auto"/>
            </w:pPr>
            <w:r>
              <w:rPr>
                <w:rFonts w:cs="Calibri"/>
              </w:rPr>
              <w:t xml:space="preserve">"the data protection legislation" as defined in section 3(9) of the Data Protection Act 2018; and; </w:t>
            </w:r>
          </w:p>
          <w:p w14:paraId="1B9AC449" w14:textId="77777777" w:rsidR="003C7B6B" w:rsidRDefault="00471E86">
            <w:pPr>
              <w:pStyle w:val="ListParagraph"/>
              <w:numPr>
                <w:ilvl w:val="1"/>
                <w:numId w:val="25"/>
              </w:numPr>
              <w:suppressAutoHyphens w:val="0"/>
              <w:spacing w:after="160" w:line="244" w:lineRule="auto"/>
              <w:ind w:left="459" w:hanging="425"/>
              <w:jc w:val="both"/>
              <w:textAlignment w:val="auto"/>
            </w:pPr>
            <w:r>
              <w:rPr>
                <w:rFonts w:cs="Calibri"/>
              </w:rPr>
              <w:t>all applicable Law about the processing of personal data and privacy;</w:t>
            </w:r>
          </w:p>
        </w:tc>
      </w:tr>
      <w:tr w:rsidR="003C7B6B" w14:paraId="1B9AC44F" w14:textId="77777777">
        <w:tc>
          <w:tcPr>
            <w:tcW w:w="2160" w:type="dxa"/>
            <w:shd w:val="clear" w:color="auto" w:fill="auto"/>
            <w:tcMar>
              <w:top w:w="0" w:type="dxa"/>
              <w:left w:w="108" w:type="dxa"/>
              <w:bottom w:w="0" w:type="dxa"/>
              <w:right w:w="108" w:type="dxa"/>
            </w:tcMar>
          </w:tcPr>
          <w:p w14:paraId="1B9AC44B" w14:textId="77777777" w:rsidR="003C7B6B" w:rsidRDefault="00471E86">
            <w:r>
              <w:rPr>
                <w:rFonts w:cs="Calibri"/>
                <w:b/>
              </w:rPr>
              <w:t>“Key Subcontractor”</w:t>
            </w:r>
          </w:p>
        </w:tc>
        <w:tc>
          <w:tcPr>
            <w:tcW w:w="6758" w:type="dxa"/>
            <w:shd w:val="clear" w:color="auto" w:fill="auto"/>
            <w:tcMar>
              <w:top w:w="0" w:type="dxa"/>
              <w:left w:w="108" w:type="dxa"/>
              <w:bottom w:w="0" w:type="dxa"/>
              <w:right w:w="108" w:type="dxa"/>
            </w:tcMar>
          </w:tcPr>
          <w:p w14:paraId="1B9AC44C" w14:textId="77777777" w:rsidR="003C7B6B" w:rsidRDefault="00471E86">
            <w:pPr>
              <w:jc w:val="both"/>
              <w:rPr>
                <w:rFonts w:eastAsia="Times New Roman" w:cs="Calibri"/>
              </w:rPr>
            </w:pPr>
            <w:r>
              <w:rPr>
                <w:rFonts w:eastAsia="Times New Roman" w:cs="Calibri"/>
              </w:rPr>
              <w:t>any Subcontractor:</w:t>
            </w:r>
          </w:p>
          <w:p w14:paraId="1B9AC44D" w14:textId="77777777" w:rsidR="003C7B6B" w:rsidRDefault="00471E86">
            <w:pPr>
              <w:pStyle w:val="ListParagraph"/>
              <w:numPr>
                <w:ilvl w:val="0"/>
                <w:numId w:val="28"/>
              </w:numPr>
              <w:suppressAutoHyphens w:val="0"/>
              <w:spacing w:after="160" w:line="244" w:lineRule="auto"/>
              <w:ind w:left="459" w:hanging="425"/>
              <w:jc w:val="both"/>
              <w:textAlignment w:val="auto"/>
              <w:rPr>
                <w:rFonts w:eastAsia="Times New Roman" w:cs="Calibri"/>
              </w:rPr>
            </w:pPr>
            <w:r>
              <w:rPr>
                <w:rFonts w:eastAsia="Times New Roman" w:cs="Calibri"/>
              </w:rPr>
              <w:t>which, in the opinion of the Authority, performs (or would perform if appointed) a critical role in the provision of all or any part of the Services; and/or</w:t>
            </w:r>
          </w:p>
          <w:p w14:paraId="1B9AC44E" w14:textId="77777777" w:rsidR="003C7B6B" w:rsidRDefault="00471E86">
            <w:pPr>
              <w:pStyle w:val="ListParagraph"/>
              <w:numPr>
                <w:ilvl w:val="0"/>
                <w:numId w:val="28"/>
              </w:numPr>
              <w:suppressAutoHyphens w:val="0"/>
              <w:spacing w:after="160" w:line="244" w:lineRule="auto"/>
              <w:ind w:left="459" w:hanging="425"/>
              <w:jc w:val="both"/>
              <w:textAlignment w:val="auto"/>
              <w:rPr>
                <w:rFonts w:eastAsia="Times New Roman" w:cs="Calibri"/>
              </w:rPr>
            </w:pPr>
            <w:r>
              <w:rPr>
                <w:rFonts w:eastAsia="Times New Roman" w:cs="Calibri"/>
              </w:rPr>
              <w:t>with a Subcontract with a contract value which at the time of appointment exceeds (or would exceed if appointed) ten per cent (10%) of the aggregate Charges forecast to be payable under this Call-Off Contract;</w:t>
            </w:r>
          </w:p>
        </w:tc>
      </w:tr>
      <w:tr w:rsidR="003C7B6B" w14:paraId="1B9AC452" w14:textId="77777777">
        <w:tc>
          <w:tcPr>
            <w:tcW w:w="2160" w:type="dxa"/>
            <w:shd w:val="clear" w:color="auto" w:fill="auto"/>
            <w:tcMar>
              <w:top w:w="0" w:type="dxa"/>
              <w:left w:w="108" w:type="dxa"/>
              <w:bottom w:w="0" w:type="dxa"/>
              <w:right w:w="108" w:type="dxa"/>
            </w:tcMar>
          </w:tcPr>
          <w:p w14:paraId="1B9AC450" w14:textId="77777777" w:rsidR="003C7B6B" w:rsidRDefault="00471E86">
            <w:r>
              <w:rPr>
                <w:rFonts w:cs="Calibri"/>
                <w:b/>
              </w:rPr>
              <w:t>“Law”</w:t>
            </w:r>
          </w:p>
        </w:tc>
        <w:tc>
          <w:tcPr>
            <w:tcW w:w="6758" w:type="dxa"/>
            <w:shd w:val="clear" w:color="auto" w:fill="auto"/>
            <w:tcMar>
              <w:top w:w="0" w:type="dxa"/>
              <w:left w:w="108" w:type="dxa"/>
              <w:bottom w:w="0" w:type="dxa"/>
              <w:right w:w="108" w:type="dxa"/>
            </w:tcMar>
          </w:tcPr>
          <w:p w14:paraId="1B9AC451" w14:textId="77777777" w:rsidR="003C7B6B" w:rsidRDefault="00471E86">
            <w:r>
              <w:rPr>
                <w:rStyle w:val="normaltextrun1"/>
                <w:rFonts w:cs="Calibri"/>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3C7B6B" w14:paraId="1B9AC455" w14:textId="77777777">
        <w:tc>
          <w:tcPr>
            <w:tcW w:w="2160" w:type="dxa"/>
            <w:shd w:val="clear" w:color="auto" w:fill="auto"/>
            <w:tcMar>
              <w:top w:w="0" w:type="dxa"/>
              <w:left w:w="108" w:type="dxa"/>
              <w:bottom w:w="0" w:type="dxa"/>
              <w:right w:w="108" w:type="dxa"/>
            </w:tcMar>
          </w:tcPr>
          <w:p w14:paraId="1B9AC453" w14:textId="77777777" w:rsidR="003C7B6B" w:rsidRDefault="00471E86">
            <w:r>
              <w:rPr>
                <w:rFonts w:cs="Calibri"/>
                <w:b/>
              </w:rPr>
              <w:t>“Personal Data”</w:t>
            </w:r>
          </w:p>
        </w:tc>
        <w:tc>
          <w:tcPr>
            <w:tcW w:w="6758" w:type="dxa"/>
            <w:shd w:val="clear" w:color="auto" w:fill="auto"/>
            <w:tcMar>
              <w:top w:w="0" w:type="dxa"/>
              <w:left w:w="108" w:type="dxa"/>
              <w:bottom w:w="0" w:type="dxa"/>
              <w:right w:w="108" w:type="dxa"/>
            </w:tcMar>
          </w:tcPr>
          <w:p w14:paraId="1B9AC454" w14:textId="77777777" w:rsidR="003C7B6B" w:rsidRDefault="00471E86">
            <w:pPr>
              <w:rPr>
                <w:rFonts w:cs="Calibri"/>
              </w:rPr>
            </w:pPr>
            <w:r>
              <w:rPr>
                <w:rFonts w:cs="Calibri"/>
              </w:rPr>
              <w:t xml:space="preserve">has the meaning given in the UK GDPR; </w:t>
            </w:r>
          </w:p>
        </w:tc>
      </w:tr>
      <w:tr w:rsidR="003C7B6B" w14:paraId="1B9AC458" w14:textId="77777777">
        <w:tc>
          <w:tcPr>
            <w:tcW w:w="2160" w:type="dxa"/>
            <w:shd w:val="clear" w:color="auto" w:fill="auto"/>
            <w:tcMar>
              <w:top w:w="0" w:type="dxa"/>
              <w:left w:w="108" w:type="dxa"/>
              <w:bottom w:w="0" w:type="dxa"/>
              <w:right w:w="108" w:type="dxa"/>
            </w:tcMar>
          </w:tcPr>
          <w:p w14:paraId="1B9AC456" w14:textId="77777777" w:rsidR="003C7B6B" w:rsidRDefault="00471E86">
            <w:r>
              <w:rPr>
                <w:rFonts w:ascii="Calibri" w:eastAsia="Times New Roman" w:hAnsi="Calibri" w:cs="Calibri"/>
                <w:b/>
                <w:bCs/>
              </w:rPr>
              <w:t>“Purchase Order Number”</w:t>
            </w:r>
            <w:r>
              <w:rPr>
                <w:rFonts w:ascii="Calibri" w:eastAsia="Times New Roman" w:hAnsi="Calibri" w:cs="Calibri"/>
              </w:rPr>
              <w:t> </w:t>
            </w:r>
          </w:p>
        </w:tc>
        <w:tc>
          <w:tcPr>
            <w:tcW w:w="6758" w:type="dxa"/>
            <w:shd w:val="clear" w:color="auto" w:fill="auto"/>
            <w:tcMar>
              <w:top w:w="0" w:type="dxa"/>
              <w:left w:w="108" w:type="dxa"/>
              <w:bottom w:w="0" w:type="dxa"/>
              <w:right w:w="108" w:type="dxa"/>
            </w:tcMar>
          </w:tcPr>
          <w:p w14:paraId="1B9AC457" w14:textId="77777777" w:rsidR="003C7B6B" w:rsidRDefault="00471E86">
            <w:r>
              <w:rPr>
                <w:rFonts w:ascii="Calibri" w:eastAsia="Times New Roman" w:hAnsi="Calibri" w:cs="Calibri"/>
              </w:rPr>
              <w:t>the Authority’s unique number relating to the supply of the Services;  </w:t>
            </w:r>
          </w:p>
        </w:tc>
      </w:tr>
      <w:tr w:rsidR="003C7B6B" w14:paraId="1B9AC45B" w14:textId="77777777">
        <w:tc>
          <w:tcPr>
            <w:tcW w:w="2160" w:type="dxa"/>
            <w:shd w:val="clear" w:color="auto" w:fill="auto"/>
            <w:tcMar>
              <w:top w:w="0" w:type="dxa"/>
              <w:left w:w="108" w:type="dxa"/>
              <w:bottom w:w="0" w:type="dxa"/>
              <w:right w:w="108" w:type="dxa"/>
            </w:tcMar>
          </w:tcPr>
          <w:p w14:paraId="1B9AC459" w14:textId="77777777" w:rsidR="003C7B6B" w:rsidRDefault="00471E86">
            <w:r>
              <w:rPr>
                <w:rFonts w:ascii="Calibri" w:eastAsia="Times New Roman" w:hAnsi="Calibri" w:cs="Calibri"/>
                <w:b/>
                <w:bCs/>
              </w:rPr>
              <w:t>“Services”</w:t>
            </w:r>
            <w:r>
              <w:rPr>
                <w:rFonts w:ascii="Calibri" w:eastAsia="Times New Roman" w:hAnsi="Calibri" w:cs="Calibri"/>
              </w:rPr>
              <w:t> </w:t>
            </w:r>
          </w:p>
        </w:tc>
        <w:tc>
          <w:tcPr>
            <w:tcW w:w="6758" w:type="dxa"/>
            <w:shd w:val="clear" w:color="auto" w:fill="auto"/>
            <w:tcMar>
              <w:top w:w="0" w:type="dxa"/>
              <w:left w:w="108" w:type="dxa"/>
              <w:bottom w:w="0" w:type="dxa"/>
              <w:right w:w="108" w:type="dxa"/>
            </w:tcMar>
          </w:tcPr>
          <w:p w14:paraId="1B9AC45A" w14:textId="77777777" w:rsidR="003C7B6B" w:rsidRDefault="00471E86">
            <w:r>
              <w:rPr>
                <w:rFonts w:ascii="Calibri" w:eastAsia="Times New Roman" w:hAnsi="Calibri" w:cs="Calibri"/>
              </w:rPr>
              <w:t>the services to be supplied by the Supplier to the Authority under the Agreement, including the provision of any Goods;</w:t>
            </w:r>
          </w:p>
        </w:tc>
      </w:tr>
      <w:tr w:rsidR="003C7B6B" w14:paraId="1B9AC45E" w14:textId="77777777">
        <w:tc>
          <w:tcPr>
            <w:tcW w:w="2160" w:type="dxa"/>
            <w:shd w:val="clear" w:color="auto" w:fill="auto"/>
            <w:tcMar>
              <w:top w:w="0" w:type="dxa"/>
              <w:left w:w="108" w:type="dxa"/>
              <w:bottom w:w="0" w:type="dxa"/>
              <w:right w:w="108" w:type="dxa"/>
            </w:tcMar>
          </w:tcPr>
          <w:p w14:paraId="1B9AC45C" w14:textId="77777777" w:rsidR="003C7B6B" w:rsidRDefault="00471E86">
            <w:pPr>
              <w:rPr>
                <w:rFonts w:cs="Calibri"/>
                <w:b/>
              </w:rPr>
            </w:pPr>
            <w:r>
              <w:rPr>
                <w:rFonts w:cs="Calibri"/>
                <w:b/>
              </w:rPr>
              <w:t>“Subcontract”</w:t>
            </w:r>
          </w:p>
        </w:tc>
        <w:tc>
          <w:tcPr>
            <w:tcW w:w="6758" w:type="dxa"/>
            <w:shd w:val="clear" w:color="auto" w:fill="auto"/>
            <w:tcMar>
              <w:top w:w="0" w:type="dxa"/>
              <w:left w:w="108" w:type="dxa"/>
              <w:bottom w:w="0" w:type="dxa"/>
              <w:right w:w="108" w:type="dxa"/>
            </w:tcMar>
          </w:tcPr>
          <w:p w14:paraId="1B9AC45D" w14:textId="77777777" w:rsidR="003C7B6B" w:rsidRDefault="00471E86">
            <w:pPr>
              <w:rPr>
                <w:rFonts w:cs="Calibri"/>
              </w:rPr>
            </w:pPr>
            <w:r>
              <w:rPr>
                <w:rFonts w:cs="Calibr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3C7B6B" w14:paraId="1B9AC464" w14:textId="77777777">
        <w:tc>
          <w:tcPr>
            <w:tcW w:w="2160" w:type="dxa"/>
            <w:shd w:val="clear" w:color="auto" w:fill="auto"/>
            <w:tcMar>
              <w:top w:w="0" w:type="dxa"/>
              <w:left w:w="108" w:type="dxa"/>
              <w:bottom w:w="0" w:type="dxa"/>
              <w:right w:w="108" w:type="dxa"/>
            </w:tcMar>
          </w:tcPr>
          <w:p w14:paraId="1B9AC45F" w14:textId="77777777" w:rsidR="003C7B6B" w:rsidRDefault="00471E86">
            <w:r>
              <w:rPr>
                <w:rFonts w:cs="Calibri"/>
                <w:b/>
              </w:rPr>
              <w:t>“</w:t>
            </w:r>
            <w:r>
              <w:rPr>
                <w:rFonts w:cs="Calibri"/>
                <w:b/>
                <w:spacing w:val="-2"/>
              </w:rPr>
              <w:t>Subcontractor</w:t>
            </w:r>
            <w:r>
              <w:rPr>
                <w:rFonts w:cs="Calibri"/>
                <w:b/>
              </w:rPr>
              <w:t>”</w:t>
            </w:r>
          </w:p>
        </w:tc>
        <w:tc>
          <w:tcPr>
            <w:tcW w:w="6758" w:type="dxa"/>
            <w:shd w:val="clear" w:color="auto" w:fill="auto"/>
            <w:tcMar>
              <w:top w:w="0" w:type="dxa"/>
              <w:left w:w="108" w:type="dxa"/>
              <w:bottom w:w="0" w:type="dxa"/>
              <w:right w:w="108" w:type="dxa"/>
            </w:tcMar>
          </w:tcPr>
          <w:p w14:paraId="1B9AC460" w14:textId="77777777" w:rsidR="003C7B6B" w:rsidRDefault="00471E86">
            <w:pPr>
              <w:widowControl w:val="0"/>
              <w:spacing w:before="120" w:after="120"/>
              <w:rPr>
                <w:rFonts w:cs="Calibri"/>
              </w:rPr>
            </w:pPr>
            <w:r>
              <w:rPr>
                <w:rFonts w:cs="Calibri"/>
              </w:rPr>
              <w:t>any third party with whom:</w:t>
            </w:r>
          </w:p>
          <w:p w14:paraId="1B9AC461" w14:textId="77777777" w:rsidR="003C7B6B" w:rsidRDefault="00471E86">
            <w:pPr>
              <w:numPr>
                <w:ilvl w:val="0"/>
                <w:numId w:val="29"/>
              </w:numPr>
              <w:tabs>
                <w:tab w:val="left" w:pos="-75"/>
              </w:tabs>
              <w:suppressAutoHyphens w:val="0"/>
              <w:spacing w:before="120" w:after="120" w:line="244" w:lineRule="auto"/>
              <w:ind w:left="507" w:hanging="507"/>
              <w:jc w:val="both"/>
              <w:textAlignment w:val="auto"/>
              <w:rPr>
                <w:rFonts w:cs="Calibri"/>
              </w:rPr>
            </w:pPr>
            <w:r>
              <w:rPr>
                <w:rFonts w:cs="Calibri"/>
              </w:rPr>
              <w:t xml:space="preserve">the Supplier enters into a Subcontract; or </w:t>
            </w:r>
          </w:p>
          <w:p w14:paraId="1B9AC462" w14:textId="77777777" w:rsidR="003C7B6B" w:rsidRDefault="00471E86">
            <w:pPr>
              <w:numPr>
                <w:ilvl w:val="0"/>
                <w:numId w:val="29"/>
              </w:numPr>
              <w:tabs>
                <w:tab w:val="left" w:pos="-75"/>
              </w:tabs>
              <w:suppressAutoHyphens w:val="0"/>
              <w:spacing w:before="120" w:after="120" w:line="244" w:lineRule="auto"/>
              <w:ind w:left="507" w:hanging="507"/>
              <w:jc w:val="both"/>
              <w:textAlignment w:val="auto"/>
              <w:rPr>
                <w:rFonts w:cs="Calibri"/>
              </w:rPr>
            </w:pPr>
            <w:r>
              <w:rPr>
                <w:rFonts w:cs="Calibri"/>
              </w:rPr>
              <w:t>a third party under (a) above enters into a Subcontract,</w:t>
            </w:r>
          </w:p>
          <w:p w14:paraId="1B9AC463" w14:textId="77777777" w:rsidR="003C7B6B" w:rsidRDefault="00471E86">
            <w:pPr>
              <w:widowControl w:val="0"/>
              <w:spacing w:before="120" w:after="120"/>
              <w:ind w:left="-15"/>
              <w:outlineLvl w:val="2"/>
              <w:rPr>
                <w:rFonts w:cs="Calibri"/>
                <w:bCs/>
                <w:spacing w:val="-2"/>
              </w:rPr>
            </w:pPr>
            <w:r>
              <w:rPr>
                <w:rFonts w:cs="Calibri"/>
                <w:bCs/>
                <w:spacing w:val="-2"/>
              </w:rPr>
              <w:t>or the servants or agents of that third party;</w:t>
            </w:r>
          </w:p>
        </w:tc>
      </w:tr>
      <w:tr w:rsidR="003C7B6B" w14:paraId="1B9AC467" w14:textId="77777777">
        <w:tc>
          <w:tcPr>
            <w:tcW w:w="2160" w:type="dxa"/>
            <w:shd w:val="clear" w:color="auto" w:fill="auto"/>
            <w:tcMar>
              <w:top w:w="0" w:type="dxa"/>
              <w:left w:w="108" w:type="dxa"/>
              <w:bottom w:w="0" w:type="dxa"/>
              <w:right w:w="108" w:type="dxa"/>
            </w:tcMar>
          </w:tcPr>
          <w:p w14:paraId="1B9AC465" w14:textId="77777777" w:rsidR="003C7B6B" w:rsidRDefault="00471E86">
            <w:pPr>
              <w:rPr>
                <w:rFonts w:cs="Calibri"/>
                <w:b/>
              </w:rPr>
            </w:pPr>
            <w:r>
              <w:rPr>
                <w:rFonts w:cs="Calibri"/>
                <w:b/>
              </w:rPr>
              <w:t>“Supplier Personnel”</w:t>
            </w:r>
          </w:p>
        </w:tc>
        <w:tc>
          <w:tcPr>
            <w:tcW w:w="6758" w:type="dxa"/>
            <w:shd w:val="clear" w:color="auto" w:fill="auto"/>
            <w:tcMar>
              <w:top w:w="0" w:type="dxa"/>
              <w:left w:w="108" w:type="dxa"/>
              <w:bottom w:w="0" w:type="dxa"/>
              <w:right w:w="108" w:type="dxa"/>
            </w:tcMar>
          </w:tcPr>
          <w:p w14:paraId="1B9AC466" w14:textId="77777777" w:rsidR="003C7B6B" w:rsidRDefault="00471E86">
            <w:r>
              <w:rPr>
                <w:rStyle w:val="normaltextrun1"/>
                <w:rFonts w:cs="Calibri"/>
              </w:rPr>
              <w:t>all directors, officers, employees, agents, consultants and contractors of the Supplier and/or of any Subcontractor of the Supplier engaged in the performance of the Supplier’s obligations under the Agreement; </w:t>
            </w:r>
          </w:p>
        </w:tc>
      </w:tr>
      <w:tr w:rsidR="003C7B6B" w14:paraId="1B9AC46A" w14:textId="77777777">
        <w:tc>
          <w:tcPr>
            <w:tcW w:w="2160" w:type="dxa"/>
            <w:shd w:val="clear" w:color="auto" w:fill="auto"/>
            <w:tcMar>
              <w:top w:w="0" w:type="dxa"/>
              <w:left w:w="108" w:type="dxa"/>
              <w:bottom w:w="0" w:type="dxa"/>
              <w:right w:w="108" w:type="dxa"/>
            </w:tcMar>
          </w:tcPr>
          <w:p w14:paraId="1B9AC468" w14:textId="77777777" w:rsidR="003C7B6B" w:rsidRDefault="00471E86">
            <w:pPr>
              <w:rPr>
                <w:rFonts w:cs="Calibri"/>
                <w:b/>
              </w:rPr>
            </w:pPr>
            <w:r>
              <w:rPr>
                <w:rFonts w:cs="Calibri"/>
                <w:b/>
              </w:rPr>
              <w:t>“Supporting Documentation”</w:t>
            </w:r>
          </w:p>
        </w:tc>
        <w:tc>
          <w:tcPr>
            <w:tcW w:w="6758" w:type="dxa"/>
            <w:shd w:val="clear" w:color="auto" w:fill="auto"/>
            <w:tcMar>
              <w:top w:w="0" w:type="dxa"/>
              <w:left w:w="108" w:type="dxa"/>
              <w:bottom w:w="0" w:type="dxa"/>
              <w:right w:w="108" w:type="dxa"/>
            </w:tcMar>
          </w:tcPr>
          <w:p w14:paraId="1B9AC469" w14:textId="77777777" w:rsidR="003C7B6B" w:rsidRDefault="00471E86">
            <w:r>
              <w:rPr>
                <w:color w:val="000000"/>
              </w:rPr>
              <w:t xml:space="preserve">sufficient information in writing to enable the Authority to reasonably verify the accuracy of any invoice; </w:t>
            </w:r>
          </w:p>
        </w:tc>
      </w:tr>
      <w:tr w:rsidR="003C7B6B" w14:paraId="1B9AC471" w14:textId="77777777">
        <w:tc>
          <w:tcPr>
            <w:tcW w:w="2160" w:type="dxa"/>
            <w:shd w:val="clear" w:color="auto" w:fill="auto"/>
            <w:tcMar>
              <w:top w:w="0" w:type="dxa"/>
              <w:left w:w="108" w:type="dxa"/>
              <w:bottom w:w="0" w:type="dxa"/>
              <w:right w:w="108" w:type="dxa"/>
            </w:tcMar>
          </w:tcPr>
          <w:p w14:paraId="1B9AC46B" w14:textId="77777777" w:rsidR="003C7B6B" w:rsidRDefault="00471E86">
            <w:pPr>
              <w:rPr>
                <w:rFonts w:cs="Calibri"/>
                <w:b/>
              </w:rPr>
            </w:pPr>
            <w:r>
              <w:rPr>
                <w:rFonts w:cs="Calibri"/>
                <w:b/>
              </w:rPr>
              <w:t>“Tax”</w:t>
            </w:r>
          </w:p>
        </w:tc>
        <w:tc>
          <w:tcPr>
            <w:tcW w:w="6758" w:type="dxa"/>
            <w:shd w:val="clear" w:color="auto" w:fill="auto"/>
            <w:tcMar>
              <w:top w:w="0" w:type="dxa"/>
              <w:left w:w="108" w:type="dxa"/>
              <w:bottom w:w="0" w:type="dxa"/>
              <w:right w:w="108" w:type="dxa"/>
            </w:tcMar>
          </w:tcPr>
          <w:p w14:paraId="1B9AC46C" w14:textId="77777777" w:rsidR="003C7B6B" w:rsidRDefault="00471E86">
            <w:pPr>
              <w:numPr>
                <w:ilvl w:val="0"/>
                <w:numId w:val="30"/>
              </w:numPr>
              <w:tabs>
                <w:tab w:val="left" w:pos="-2667"/>
              </w:tabs>
              <w:suppressAutoHyphens w:val="0"/>
              <w:spacing w:before="120" w:after="120" w:line="244" w:lineRule="auto"/>
              <w:jc w:val="both"/>
              <w:textAlignment w:val="auto"/>
              <w:rPr>
                <w:rFonts w:cs="Calibri"/>
                <w:spacing w:val="-2"/>
              </w:rPr>
            </w:pPr>
            <w:r>
              <w:rPr>
                <w:rFonts w:cs="Calibri"/>
                <w:spacing w:val="-2"/>
              </w:rPr>
              <w:t>all forms of tax whether direct or indirect;</w:t>
            </w:r>
          </w:p>
          <w:p w14:paraId="1B9AC46D" w14:textId="77777777" w:rsidR="003C7B6B" w:rsidRDefault="00471E86">
            <w:pPr>
              <w:numPr>
                <w:ilvl w:val="0"/>
                <w:numId w:val="30"/>
              </w:numPr>
              <w:tabs>
                <w:tab w:val="left" w:pos="-2667"/>
              </w:tabs>
              <w:suppressAutoHyphens w:val="0"/>
              <w:spacing w:before="120" w:after="120" w:line="244" w:lineRule="auto"/>
              <w:jc w:val="both"/>
              <w:textAlignment w:val="auto"/>
              <w:rPr>
                <w:rFonts w:cs="Calibri"/>
                <w:spacing w:val="-2"/>
              </w:rPr>
            </w:pPr>
            <w:r>
              <w:rPr>
                <w:rFonts w:cs="Calibri"/>
                <w:spacing w:val="-2"/>
              </w:rPr>
              <w:t>national insurance contributions in the United Kingdom and similar contributions or obligations in any other jurisdiction;</w:t>
            </w:r>
          </w:p>
          <w:p w14:paraId="1B9AC46E" w14:textId="77777777" w:rsidR="003C7B6B" w:rsidRDefault="00471E86">
            <w:pPr>
              <w:numPr>
                <w:ilvl w:val="0"/>
                <w:numId w:val="30"/>
              </w:numPr>
              <w:tabs>
                <w:tab w:val="left" w:pos="-2667"/>
              </w:tabs>
              <w:suppressAutoHyphens w:val="0"/>
              <w:spacing w:before="120" w:after="120" w:line="244" w:lineRule="auto"/>
              <w:jc w:val="both"/>
              <w:textAlignment w:val="auto"/>
              <w:rPr>
                <w:rFonts w:cs="Calibri"/>
                <w:spacing w:val="-2"/>
              </w:rPr>
            </w:pPr>
            <w:r>
              <w:rPr>
                <w:rFonts w:cs="Calibri"/>
                <w:spacing w:val="-2"/>
              </w:rPr>
              <w:lastRenderedPageBreak/>
              <w:t>all statutory, governmental, state, federal, provincial, local government or municipal charges, duties, imports, contributions. levies or liabilities (other than in return  for goods or services supplied or performed or to be performed) and withholdings; and</w:t>
            </w:r>
          </w:p>
          <w:p w14:paraId="1B9AC46F" w14:textId="77777777" w:rsidR="003C7B6B" w:rsidRDefault="00471E86">
            <w:pPr>
              <w:numPr>
                <w:ilvl w:val="0"/>
                <w:numId w:val="30"/>
              </w:numPr>
              <w:tabs>
                <w:tab w:val="left" w:pos="-2667"/>
              </w:tabs>
              <w:suppressAutoHyphens w:val="0"/>
              <w:spacing w:before="120" w:after="120" w:line="244" w:lineRule="auto"/>
              <w:jc w:val="both"/>
              <w:textAlignment w:val="auto"/>
              <w:rPr>
                <w:rFonts w:cs="Calibri"/>
                <w:spacing w:val="-2"/>
              </w:rPr>
            </w:pPr>
            <w:r>
              <w:rPr>
                <w:rFonts w:cs="Calibri"/>
                <w:spacing w:val="-2"/>
              </w:rPr>
              <w:t>any penalty, fine, surcharge, interest, charges or costs relating to any of the above,</w:t>
            </w:r>
          </w:p>
          <w:p w14:paraId="1B9AC470" w14:textId="77777777" w:rsidR="003C7B6B" w:rsidRDefault="00471E86">
            <w:r>
              <w:rPr>
                <w:rFonts w:cs="Calibri"/>
                <w:spacing w:val="-2"/>
              </w:rPr>
              <w:t>in each case wherever chargeable and whether of the United Kingdom and any other jurisdiction;</w:t>
            </w:r>
          </w:p>
        </w:tc>
      </w:tr>
      <w:tr w:rsidR="003C7B6B" w14:paraId="1B9AC477" w14:textId="77777777">
        <w:tc>
          <w:tcPr>
            <w:tcW w:w="2160" w:type="dxa"/>
            <w:shd w:val="clear" w:color="auto" w:fill="auto"/>
            <w:tcMar>
              <w:top w:w="0" w:type="dxa"/>
              <w:left w:w="108" w:type="dxa"/>
              <w:bottom w:w="0" w:type="dxa"/>
              <w:right w:w="108" w:type="dxa"/>
            </w:tcMar>
          </w:tcPr>
          <w:p w14:paraId="1B9AC472" w14:textId="77777777" w:rsidR="003C7B6B" w:rsidRDefault="00471E86">
            <w:pPr>
              <w:spacing w:before="120" w:after="120"/>
              <w:rPr>
                <w:rFonts w:cs="Calibri"/>
                <w:b/>
              </w:rPr>
            </w:pPr>
            <w:r>
              <w:rPr>
                <w:rFonts w:cs="Calibri"/>
                <w:b/>
              </w:rPr>
              <w:lastRenderedPageBreak/>
              <w:t>“Tax Non-Compliance”</w:t>
            </w:r>
          </w:p>
          <w:p w14:paraId="1B9AC473" w14:textId="77777777" w:rsidR="003C7B6B" w:rsidRDefault="003C7B6B">
            <w:pPr>
              <w:rPr>
                <w:rFonts w:cs="Calibri"/>
                <w:b/>
              </w:rPr>
            </w:pPr>
          </w:p>
        </w:tc>
        <w:tc>
          <w:tcPr>
            <w:tcW w:w="6758" w:type="dxa"/>
            <w:shd w:val="clear" w:color="auto" w:fill="auto"/>
            <w:tcMar>
              <w:top w:w="0" w:type="dxa"/>
              <w:left w:w="108" w:type="dxa"/>
              <w:bottom w:w="0" w:type="dxa"/>
              <w:right w:w="108" w:type="dxa"/>
            </w:tcMar>
          </w:tcPr>
          <w:p w14:paraId="1B9AC474" w14:textId="77777777" w:rsidR="003C7B6B" w:rsidRDefault="00471E86">
            <w:pPr>
              <w:tabs>
                <w:tab w:val="left" w:pos="-75"/>
              </w:tabs>
              <w:spacing w:before="120" w:after="120"/>
              <w:jc w:val="both"/>
              <w:rPr>
                <w:rFonts w:cs="Calibri"/>
                <w:spacing w:val="-2"/>
              </w:rPr>
            </w:pPr>
            <w:r>
              <w:rPr>
                <w:rFonts w:cs="Calibri"/>
                <w:spacing w:val="-2"/>
              </w:rPr>
              <w:t>where an entity or person under consideration meets all 3 conditions contained in the relevant excerpt from HMRC’s “Test for Tax Non-Compliance”, as set out in Annex 1, where:</w:t>
            </w:r>
          </w:p>
          <w:p w14:paraId="1B9AC475" w14:textId="77777777" w:rsidR="003C7B6B" w:rsidRDefault="00471E86">
            <w:pPr>
              <w:pStyle w:val="ListParagraph"/>
              <w:numPr>
                <w:ilvl w:val="0"/>
                <w:numId w:val="31"/>
              </w:numPr>
              <w:tabs>
                <w:tab w:val="left" w:pos="1815"/>
              </w:tabs>
              <w:suppressAutoHyphens w:val="0"/>
              <w:spacing w:before="120" w:after="120" w:line="244" w:lineRule="auto"/>
              <w:jc w:val="both"/>
              <w:textAlignment w:val="auto"/>
            </w:pPr>
            <w:r>
              <w:rPr>
                <w:rFonts w:cs="Calibri"/>
                <w:spacing w:val="-2"/>
              </w:rPr>
              <w:t xml:space="preserve">the “Economic Operator” means the Supplier </w:t>
            </w:r>
            <w:r>
              <w:rPr>
                <w:spacing w:val="-2"/>
              </w:rPr>
              <w:t>or</w:t>
            </w:r>
            <w:r>
              <w:t xml:space="preserve"> any agent, supplier or Subcontractor of the Supplier requested to be replaced pursuant to Clause </w:t>
            </w:r>
            <w:r w:rsidR="001370FD">
              <w:fldChar w:fldCharType="begin"/>
            </w:r>
            <w:r w:rsidR="001370FD">
              <w:instrText xml:space="preserve"> REF _Ref20993847 </w:instrText>
            </w:r>
            <w:r w:rsidR="001370FD">
              <w:fldChar w:fldCharType="separate"/>
            </w:r>
            <w:r>
              <w:t>4.3</w:t>
            </w:r>
            <w:r w:rsidR="001370FD">
              <w:fldChar w:fldCharType="end"/>
            </w:r>
            <w:r>
              <w:rPr>
                <w:rFonts w:cs="Calibri"/>
                <w:spacing w:val="-2"/>
              </w:rPr>
              <w:t xml:space="preserve">; and </w:t>
            </w:r>
          </w:p>
          <w:p w14:paraId="1B9AC476" w14:textId="77777777" w:rsidR="003C7B6B" w:rsidRDefault="00471E86">
            <w:pPr>
              <w:pStyle w:val="ListParagraph"/>
              <w:numPr>
                <w:ilvl w:val="0"/>
                <w:numId w:val="31"/>
              </w:numPr>
              <w:suppressAutoHyphens w:val="0"/>
              <w:spacing w:after="160" w:line="244" w:lineRule="auto"/>
              <w:textAlignment w:val="auto"/>
            </w:pPr>
            <w:r>
              <w:rPr>
                <w:rFonts w:cs="Calibri"/>
                <w:spacing w:val="-2"/>
              </w:rPr>
              <w:t>any “Essential Subcontractor” means any Key Subcontractor;</w:t>
            </w:r>
          </w:p>
        </w:tc>
      </w:tr>
      <w:tr w:rsidR="003C7B6B" w14:paraId="1B9AC47A" w14:textId="77777777">
        <w:tc>
          <w:tcPr>
            <w:tcW w:w="2160" w:type="dxa"/>
            <w:shd w:val="clear" w:color="auto" w:fill="auto"/>
            <w:tcMar>
              <w:top w:w="0" w:type="dxa"/>
              <w:left w:w="108" w:type="dxa"/>
              <w:bottom w:w="0" w:type="dxa"/>
              <w:right w:w="108" w:type="dxa"/>
            </w:tcMar>
          </w:tcPr>
          <w:p w14:paraId="1B9AC478" w14:textId="77777777" w:rsidR="003C7B6B" w:rsidRDefault="00471E86">
            <w:pPr>
              <w:spacing w:before="120" w:after="120"/>
              <w:rPr>
                <w:rFonts w:cs="Calibri"/>
                <w:b/>
              </w:rPr>
            </w:pPr>
            <w:r>
              <w:rPr>
                <w:rFonts w:cs="Calibri"/>
                <w:b/>
              </w:rPr>
              <w:t>“UK GDPR”</w:t>
            </w:r>
            <w:r>
              <w:rPr>
                <w:rFonts w:cs="Calibri"/>
                <w:b/>
              </w:rPr>
              <w:tab/>
            </w:r>
          </w:p>
        </w:tc>
        <w:tc>
          <w:tcPr>
            <w:tcW w:w="6758" w:type="dxa"/>
            <w:shd w:val="clear" w:color="auto" w:fill="auto"/>
            <w:tcMar>
              <w:top w:w="0" w:type="dxa"/>
              <w:left w:w="108" w:type="dxa"/>
              <w:bottom w:w="0" w:type="dxa"/>
              <w:right w:w="108" w:type="dxa"/>
            </w:tcMar>
          </w:tcPr>
          <w:p w14:paraId="1B9AC479" w14:textId="77777777" w:rsidR="003C7B6B" w:rsidRDefault="00471E86">
            <w:pPr>
              <w:tabs>
                <w:tab w:val="left" w:pos="-75"/>
              </w:tabs>
              <w:spacing w:before="120" w:after="120"/>
              <w:jc w:val="both"/>
            </w:pPr>
            <w:r>
              <w:rPr>
                <w:rFonts w:cs="Calibri"/>
              </w:rPr>
              <w:t>the UK General Data Protection Regulation, the retained EU law version of the General Data Protection Regulation (Regulation (EU) 2016/679);</w:t>
            </w:r>
          </w:p>
        </w:tc>
      </w:tr>
      <w:tr w:rsidR="003C7B6B" w14:paraId="1B9AC47D" w14:textId="77777777">
        <w:tc>
          <w:tcPr>
            <w:tcW w:w="2160" w:type="dxa"/>
            <w:shd w:val="clear" w:color="auto" w:fill="auto"/>
            <w:tcMar>
              <w:top w:w="0" w:type="dxa"/>
              <w:left w:w="108" w:type="dxa"/>
              <w:bottom w:w="0" w:type="dxa"/>
              <w:right w:w="108" w:type="dxa"/>
            </w:tcMar>
          </w:tcPr>
          <w:p w14:paraId="1B9AC47B" w14:textId="77777777" w:rsidR="003C7B6B" w:rsidRDefault="00471E86">
            <w:pPr>
              <w:spacing w:before="120" w:after="120"/>
              <w:rPr>
                <w:rFonts w:cs="Calibri"/>
                <w:b/>
              </w:rPr>
            </w:pPr>
            <w:r>
              <w:rPr>
                <w:rFonts w:cs="Calibri"/>
                <w:b/>
              </w:rPr>
              <w:t>“VAT”</w:t>
            </w:r>
          </w:p>
        </w:tc>
        <w:tc>
          <w:tcPr>
            <w:tcW w:w="6758" w:type="dxa"/>
            <w:shd w:val="clear" w:color="auto" w:fill="auto"/>
            <w:tcMar>
              <w:top w:w="0" w:type="dxa"/>
              <w:left w:w="108" w:type="dxa"/>
              <w:bottom w:w="0" w:type="dxa"/>
              <w:right w:w="108" w:type="dxa"/>
            </w:tcMar>
          </w:tcPr>
          <w:p w14:paraId="1B9AC47C" w14:textId="77777777" w:rsidR="003C7B6B" w:rsidRDefault="00471E86">
            <w:pPr>
              <w:tabs>
                <w:tab w:val="left" w:pos="-75"/>
              </w:tabs>
              <w:spacing w:before="120" w:after="120"/>
              <w:jc w:val="both"/>
            </w:pPr>
            <w:r>
              <w:rPr>
                <w:rFonts w:cs="Calibri"/>
              </w:rPr>
              <w:t>value added tax as provided for in the Value Added Tax Act 1994.</w:t>
            </w:r>
          </w:p>
        </w:tc>
      </w:tr>
    </w:tbl>
    <w:p w14:paraId="1B9AC47E" w14:textId="77777777" w:rsidR="003C7B6B" w:rsidRDefault="003C7B6B">
      <w:pPr>
        <w:rPr>
          <w:rFonts w:cs="Calibri"/>
          <w:b/>
        </w:rPr>
      </w:pPr>
    </w:p>
    <w:p w14:paraId="1B9AC47F" w14:textId="77777777" w:rsidR="003C7B6B" w:rsidRDefault="00471E86">
      <w:pPr>
        <w:pStyle w:val="ListParagraph"/>
        <w:numPr>
          <w:ilvl w:val="0"/>
          <w:numId w:val="26"/>
        </w:numPr>
        <w:suppressAutoHyphens w:val="0"/>
        <w:spacing w:line="240" w:lineRule="auto"/>
        <w:ind w:left="426" w:hanging="426"/>
      </w:pPr>
      <w:bookmarkStart w:id="13" w:name="_Ref22568790"/>
      <w:r>
        <w:rPr>
          <w:rFonts w:ascii="Calibri" w:eastAsia="Times New Roman" w:hAnsi="Calibri" w:cs="Calibri"/>
          <w:b/>
          <w:bCs/>
        </w:rPr>
        <w:t>Payment and Recovery of Sums Due</w:t>
      </w:r>
      <w:bookmarkEnd w:id="13"/>
      <w:r>
        <w:rPr>
          <w:rFonts w:ascii="Calibri" w:eastAsia="Times New Roman" w:hAnsi="Calibri" w:cs="Calibri"/>
        </w:rPr>
        <w:t> </w:t>
      </w:r>
    </w:p>
    <w:p w14:paraId="1B9AC480" w14:textId="77777777" w:rsidR="003C7B6B" w:rsidRDefault="00471E86">
      <w:pPr>
        <w:pStyle w:val="Heading2"/>
        <w:keepNext w:val="0"/>
        <w:keepLines w:val="0"/>
        <w:numPr>
          <w:ilvl w:val="1"/>
          <w:numId w:val="26"/>
        </w:numPr>
        <w:spacing w:before="0" w:line="240" w:lineRule="auto"/>
        <w:ind w:left="426" w:hanging="426"/>
        <w:jc w:val="both"/>
      </w:pPr>
      <w:r>
        <w:rPr>
          <w:rFonts w:ascii="Calibri" w:eastAsia="Times New Roman" w:hAnsi="Calibri" w:cs="Calibri"/>
          <w:sz w:val="22"/>
          <w:szCs w:val="22"/>
        </w:rPr>
        <w:t xml:space="preserve">The Supplier shall invoice the Authority as specified in Part A of the Agreement. </w:t>
      </w:r>
      <w:bookmarkStart w:id="14" w:name="_Ref449355781"/>
      <w:r>
        <w:rPr>
          <w:rFonts w:ascii="Calibri" w:hAnsi="Calibri"/>
          <w:sz w:val="22"/>
          <w:szCs w:val="22"/>
        </w:rPr>
        <w:t xml:space="preserve">Without prejudice to the generality of the invoicing procedure specified in the Agreement, the Supplier </w:t>
      </w:r>
      <w:bookmarkEnd w:id="14"/>
      <w:r>
        <w:rPr>
          <w:rFonts w:ascii="Calibri" w:hAnsi="Calibri"/>
          <w:sz w:val="22"/>
          <w:szCs w:val="22"/>
        </w:rPr>
        <w:t xml:space="preserve">shall procure a Purchase Order Number from the Authority prior to the commencement of any Services and the Supplier acknowledges and agrees that should it commence Services without a Purchase Order Number: </w:t>
      </w:r>
    </w:p>
    <w:p w14:paraId="1B9AC481" w14:textId="77777777" w:rsidR="003C7B6B" w:rsidRDefault="00471E86">
      <w:pPr>
        <w:pStyle w:val="Heading3"/>
        <w:keepNext w:val="0"/>
        <w:keepLines w:val="0"/>
        <w:widowControl w:val="0"/>
        <w:numPr>
          <w:ilvl w:val="2"/>
          <w:numId w:val="26"/>
        </w:numPr>
        <w:spacing w:before="0" w:line="240" w:lineRule="auto"/>
        <w:ind w:left="1134" w:hanging="708"/>
        <w:jc w:val="both"/>
        <w:rPr>
          <w:rFonts w:ascii="Calibri" w:hAnsi="Calibri"/>
          <w:color w:val="auto"/>
          <w:sz w:val="22"/>
          <w:szCs w:val="22"/>
        </w:rPr>
      </w:pPr>
      <w:r>
        <w:rPr>
          <w:rFonts w:ascii="Calibri" w:hAnsi="Calibri"/>
          <w:color w:val="auto"/>
          <w:sz w:val="22"/>
          <w:szCs w:val="22"/>
        </w:rPr>
        <w:t>the Supplier does so at its own risk; and</w:t>
      </w:r>
    </w:p>
    <w:p w14:paraId="1B9AC482" w14:textId="77777777" w:rsidR="003C7B6B" w:rsidRDefault="00471E86">
      <w:pPr>
        <w:pStyle w:val="Heading3"/>
        <w:keepNext w:val="0"/>
        <w:keepLines w:val="0"/>
        <w:widowControl w:val="0"/>
        <w:numPr>
          <w:ilvl w:val="2"/>
          <w:numId w:val="26"/>
        </w:numPr>
        <w:spacing w:before="0" w:line="240" w:lineRule="auto"/>
        <w:ind w:left="1134" w:hanging="708"/>
        <w:jc w:val="both"/>
        <w:rPr>
          <w:rFonts w:ascii="Calibri" w:hAnsi="Calibri"/>
          <w:color w:val="auto"/>
          <w:sz w:val="22"/>
          <w:szCs w:val="22"/>
        </w:rPr>
      </w:pPr>
      <w:r>
        <w:rPr>
          <w:rFonts w:ascii="Calibri" w:hAnsi="Calibri"/>
          <w:color w:val="auto"/>
          <w:sz w:val="22"/>
          <w:szCs w:val="22"/>
        </w:rPr>
        <w:t>the Authority shall not be obliged to pay any invoice without a valid Purchase Order Number having been provided to the Supplier.</w:t>
      </w:r>
    </w:p>
    <w:p w14:paraId="1B9AC483" w14:textId="77777777" w:rsidR="003C7B6B" w:rsidRDefault="00471E86">
      <w:pPr>
        <w:pStyle w:val="ListParagraph"/>
        <w:numPr>
          <w:ilvl w:val="1"/>
          <w:numId w:val="26"/>
        </w:numPr>
        <w:suppressAutoHyphens w:val="0"/>
        <w:spacing w:line="240" w:lineRule="auto"/>
        <w:ind w:left="426" w:hanging="426"/>
      </w:pPr>
      <w:r>
        <w:rPr>
          <w:rFonts w:ascii="Calibri" w:eastAsia="Times New Roman" w:hAnsi="Calibri" w:cs="Calibri"/>
        </w:rPr>
        <w:t xml:space="preserve">Each invoice and any Supporting Documentation required to be submitted in accordance with </w:t>
      </w:r>
      <w:r>
        <w:t>the invoicing procedure specified in the Agreement</w:t>
      </w:r>
      <w:r>
        <w:rPr>
          <w:rFonts w:ascii="Calibri" w:eastAsia="Times New Roman" w:hAnsi="Calibri" w:cs="Calibri"/>
        </w:rPr>
        <w:t xml:space="preserve"> shall be submitted by the Supplier, as directed by the Authority from time to time via the Authority’s electronic transaction system.</w:t>
      </w:r>
    </w:p>
    <w:p w14:paraId="1B9AC484" w14:textId="77777777" w:rsidR="003C7B6B" w:rsidRDefault="00471E86">
      <w:pPr>
        <w:pStyle w:val="ListParagraph"/>
        <w:numPr>
          <w:ilvl w:val="1"/>
          <w:numId w:val="26"/>
        </w:numPr>
        <w:suppressAutoHyphens w:val="0"/>
        <w:spacing w:line="240" w:lineRule="auto"/>
        <w:ind w:left="426" w:hanging="426"/>
      </w:pPr>
      <w:r>
        <w:rPr>
          <w:rFonts w:ascii="Calibri" w:eastAsia="Times New Roman" w:hAnsi="Calibri" w:cs="Calibri"/>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1B9AC485" w14:textId="77777777" w:rsidR="003C7B6B" w:rsidRDefault="003C7B6B">
      <w:pPr>
        <w:pStyle w:val="ListParagraph"/>
        <w:spacing w:line="240" w:lineRule="auto"/>
        <w:ind w:left="1287"/>
        <w:rPr>
          <w:rFonts w:ascii="Calibri" w:eastAsia="Times New Roman" w:hAnsi="Calibri" w:cs="Calibri"/>
        </w:rPr>
      </w:pPr>
    </w:p>
    <w:p w14:paraId="1B9AC486" w14:textId="77777777" w:rsidR="003C7B6B" w:rsidRDefault="003C7B6B">
      <w:pPr>
        <w:pStyle w:val="ListParagraph"/>
        <w:spacing w:line="240" w:lineRule="auto"/>
        <w:ind w:left="1287"/>
        <w:rPr>
          <w:rFonts w:ascii="&amp;quot" w:eastAsia="Times New Roman" w:hAnsi="&amp;quot" w:cs="Times New Roman"/>
          <w:sz w:val="18"/>
          <w:szCs w:val="18"/>
        </w:rPr>
      </w:pPr>
    </w:p>
    <w:p w14:paraId="1B9AC487" w14:textId="77777777" w:rsidR="003C7B6B" w:rsidRDefault="003C7B6B">
      <w:pPr>
        <w:pStyle w:val="ListParagraph"/>
        <w:spacing w:line="240" w:lineRule="auto"/>
        <w:ind w:left="360"/>
        <w:rPr>
          <w:rFonts w:ascii="&amp;quot" w:eastAsia="Times New Roman" w:hAnsi="&amp;quot" w:cs="Times New Roman"/>
          <w:sz w:val="18"/>
          <w:szCs w:val="18"/>
        </w:rPr>
      </w:pPr>
    </w:p>
    <w:p w14:paraId="1B9AC488" w14:textId="77777777" w:rsidR="003C7B6B" w:rsidRDefault="00471E86">
      <w:pPr>
        <w:pStyle w:val="ListParagraph"/>
        <w:numPr>
          <w:ilvl w:val="0"/>
          <w:numId w:val="26"/>
        </w:numPr>
        <w:suppressAutoHyphens w:val="0"/>
        <w:spacing w:after="160" w:line="244" w:lineRule="auto"/>
        <w:ind w:left="426" w:hanging="426"/>
        <w:textAlignment w:val="auto"/>
        <w:rPr>
          <w:rFonts w:cs="Calibri"/>
          <w:b/>
        </w:rPr>
      </w:pPr>
      <w:r>
        <w:rPr>
          <w:rFonts w:cs="Calibri"/>
          <w:b/>
        </w:rPr>
        <w:t>Warranties</w:t>
      </w:r>
    </w:p>
    <w:p w14:paraId="1B9AC489" w14:textId="77777777" w:rsidR="003C7B6B" w:rsidRPr="00C25E9C" w:rsidRDefault="00471E86">
      <w:pPr>
        <w:pStyle w:val="ListParagraph"/>
        <w:numPr>
          <w:ilvl w:val="1"/>
          <w:numId w:val="26"/>
        </w:numPr>
        <w:suppressAutoHyphens w:val="0"/>
        <w:spacing w:after="160" w:line="244" w:lineRule="auto"/>
        <w:ind w:left="426" w:hanging="426"/>
        <w:textAlignment w:val="auto"/>
      </w:pPr>
      <w:r w:rsidRPr="00C25E9C">
        <w:rPr>
          <w:rFonts w:cs="Calibri"/>
        </w:rPr>
        <w:t>The Supplier represents and warrants that:</w:t>
      </w:r>
    </w:p>
    <w:p w14:paraId="1B9AC48A" w14:textId="37F703B7" w:rsidR="003C7B6B" w:rsidRPr="00C25E9C" w:rsidRDefault="00471E86">
      <w:pPr>
        <w:pStyle w:val="ListParagraph"/>
        <w:numPr>
          <w:ilvl w:val="2"/>
          <w:numId w:val="26"/>
        </w:numPr>
        <w:suppressAutoHyphens w:val="0"/>
        <w:spacing w:after="160" w:line="244" w:lineRule="auto"/>
        <w:ind w:left="1134" w:hanging="708"/>
        <w:textAlignment w:val="auto"/>
      </w:pPr>
      <w:bookmarkStart w:id="15" w:name="_Ref19804150"/>
      <w:r w:rsidRPr="00C25E9C">
        <w:rPr>
          <w:rFonts w:cs="Calibri"/>
        </w:rPr>
        <w:t>in the three years prior to the</w:t>
      </w:r>
      <w:r w:rsidR="00C25E9C">
        <w:rPr>
          <w:rFonts w:cs="Calibri"/>
        </w:rPr>
        <w:t xml:space="preserve"> 14/04/2022,</w:t>
      </w:r>
      <w:r w:rsidRPr="00C25E9C">
        <w:rPr>
          <w:rFonts w:cs="Calibri"/>
        </w:rPr>
        <w:t xml:space="preserve"> it has been in full compliance with all applicable securities and Laws related to Tax in the United Kingdom and in the jurisdiction in which it is established;</w:t>
      </w:r>
      <w:bookmarkEnd w:id="15"/>
    </w:p>
    <w:p w14:paraId="1B9AC48B" w14:textId="77777777" w:rsidR="003C7B6B" w:rsidRPr="00C25E9C" w:rsidRDefault="00471E86">
      <w:pPr>
        <w:pStyle w:val="ListParagraph"/>
        <w:numPr>
          <w:ilvl w:val="2"/>
          <w:numId w:val="26"/>
        </w:numPr>
        <w:suppressAutoHyphens w:val="0"/>
        <w:spacing w:after="160" w:line="244" w:lineRule="auto"/>
        <w:ind w:left="1134" w:hanging="708"/>
        <w:textAlignment w:val="auto"/>
        <w:rPr>
          <w:rFonts w:cs="Calibri"/>
        </w:rPr>
      </w:pPr>
      <w:bookmarkStart w:id="16" w:name="_Ref19804166"/>
      <w:r w:rsidRPr="00C25E9C">
        <w:rPr>
          <w:rFonts w:cs="Calibri"/>
        </w:rPr>
        <w:t>it has notified the Authority in writing of any Tax Non-Compliance it is involved in; and</w:t>
      </w:r>
      <w:bookmarkEnd w:id="16"/>
    </w:p>
    <w:p w14:paraId="1B9AC48C" w14:textId="659291DC" w:rsidR="003C7B6B" w:rsidRPr="00C25E9C" w:rsidRDefault="00471E86">
      <w:pPr>
        <w:pStyle w:val="ListParagraph"/>
        <w:numPr>
          <w:ilvl w:val="2"/>
          <w:numId w:val="26"/>
        </w:numPr>
        <w:suppressAutoHyphens w:val="0"/>
        <w:spacing w:after="160" w:line="244" w:lineRule="auto"/>
        <w:ind w:left="1134" w:hanging="708"/>
        <w:textAlignment w:val="auto"/>
      </w:pPr>
      <w:bookmarkStart w:id="17" w:name="_Ref19804201"/>
      <w:r w:rsidRPr="00C25E9C">
        <w:rPr>
          <w:rFonts w:cs="Calibri"/>
        </w:rPr>
        <w:lastRenderedPageBreak/>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w:t>
      </w:r>
      <w:bookmarkEnd w:id="17"/>
      <w:r w:rsidR="00C25E9C">
        <w:rPr>
          <w:rFonts w:cs="Calibri"/>
        </w:rPr>
        <w:t>the 14/04/2022.</w:t>
      </w:r>
    </w:p>
    <w:p w14:paraId="1B9AC48D" w14:textId="77777777" w:rsidR="003C7B6B" w:rsidRDefault="00471E86">
      <w:pPr>
        <w:pStyle w:val="ListParagraph"/>
        <w:numPr>
          <w:ilvl w:val="1"/>
          <w:numId w:val="26"/>
        </w:numPr>
        <w:suppressAutoHyphens w:val="0"/>
        <w:spacing w:after="160" w:line="244" w:lineRule="auto"/>
        <w:ind w:left="426" w:hanging="426"/>
        <w:textAlignment w:val="auto"/>
      </w:pPr>
      <w:r>
        <w:rPr>
          <w:rFonts w:cs="Calibri"/>
        </w:rPr>
        <w:t xml:space="preserve">If at any time the Supplier becomes aware that a representation or warranty given by it under Clause </w:t>
      </w:r>
      <w:r>
        <w:rPr>
          <w:rFonts w:cs="Calibri"/>
        </w:rPr>
        <w:fldChar w:fldCharType="begin"/>
      </w:r>
      <w:r>
        <w:rPr>
          <w:rFonts w:cs="Calibri"/>
        </w:rPr>
        <w:instrText xml:space="preserve"> REF _Ref19804150 </w:instrText>
      </w:r>
      <w:r>
        <w:rPr>
          <w:rFonts w:cs="Calibri"/>
        </w:rPr>
        <w:fldChar w:fldCharType="separate"/>
      </w:r>
      <w:r>
        <w:rPr>
          <w:rFonts w:cs="Calibri"/>
        </w:rPr>
        <w:t>3.1.1</w:t>
      </w:r>
      <w:r>
        <w:rPr>
          <w:rFonts w:cs="Calibri"/>
        </w:rPr>
        <w:fldChar w:fldCharType="end"/>
      </w:r>
      <w:r>
        <w:rPr>
          <w:rFonts w:cs="Calibri"/>
        </w:rPr>
        <w:t xml:space="preserve">, </w:t>
      </w:r>
      <w:r>
        <w:rPr>
          <w:rFonts w:cs="Calibri"/>
        </w:rPr>
        <w:fldChar w:fldCharType="begin"/>
      </w:r>
      <w:r>
        <w:rPr>
          <w:rFonts w:cs="Calibri"/>
        </w:rPr>
        <w:instrText xml:space="preserve"> REF _Ref19804166 </w:instrText>
      </w:r>
      <w:r>
        <w:rPr>
          <w:rFonts w:cs="Calibri"/>
        </w:rPr>
        <w:fldChar w:fldCharType="separate"/>
      </w:r>
      <w:r>
        <w:rPr>
          <w:rFonts w:cs="Calibri"/>
        </w:rPr>
        <w:t>3.1.2</w:t>
      </w:r>
      <w:r>
        <w:rPr>
          <w:rFonts w:cs="Calibri"/>
        </w:rPr>
        <w:fldChar w:fldCharType="end"/>
      </w:r>
      <w:r>
        <w:rPr>
          <w:rFonts w:cs="Calibri"/>
        </w:rPr>
        <w:t xml:space="preserve"> and/or </w:t>
      </w:r>
      <w:r>
        <w:rPr>
          <w:rFonts w:cs="Calibri"/>
        </w:rPr>
        <w:fldChar w:fldCharType="begin"/>
      </w:r>
      <w:r>
        <w:rPr>
          <w:rFonts w:cs="Calibri"/>
        </w:rPr>
        <w:instrText xml:space="preserve"> REF _Ref19804201 </w:instrText>
      </w:r>
      <w:r>
        <w:rPr>
          <w:rFonts w:cs="Calibri"/>
        </w:rPr>
        <w:fldChar w:fldCharType="separate"/>
      </w:r>
      <w:r>
        <w:rPr>
          <w:rFonts w:cs="Calibri"/>
        </w:rPr>
        <w:t>3.1.3</w:t>
      </w:r>
      <w:r>
        <w:rPr>
          <w:rFonts w:cs="Calibri"/>
        </w:rPr>
        <w:fldChar w:fldCharType="end"/>
      </w:r>
      <w:r>
        <w:rPr>
          <w:rFonts w:cs="Calibri"/>
        </w:rPr>
        <w:t xml:space="preserve"> has been breached, is untrue, or is misleading, it shall immediately notify the Authority of the relevant occurrence in sufficient detail to enable the Authority to make an accurate assessment of the situation. </w:t>
      </w:r>
    </w:p>
    <w:p w14:paraId="1B9AC48E" w14:textId="77777777" w:rsidR="003C7B6B" w:rsidRDefault="00471E86">
      <w:pPr>
        <w:pStyle w:val="ListParagraph"/>
        <w:numPr>
          <w:ilvl w:val="1"/>
          <w:numId w:val="26"/>
        </w:numPr>
        <w:suppressAutoHyphens w:val="0"/>
        <w:spacing w:after="160" w:line="244" w:lineRule="auto"/>
        <w:ind w:left="426" w:hanging="426"/>
        <w:textAlignment w:val="auto"/>
      </w:pPr>
      <w:r>
        <w:rPr>
          <w:rFonts w:cs="Calibri"/>
        </w:rPr>
        <w:t xml:space="preserve">In the event that the warranty given by the Supplier pursuant to Clause </w:t>
      </w:r>
      <w:r>
        <w:rPr>
          <w:rFonts w:cs="Calibri"/>
        </w:rPr>
        <w:fldChar w:fldCharType="begin"/>
      </w:r>
      <w:r>
        <w:rPr>
          <w:rFonts w:cs="Calibri"/>
        </w:rPr>
        <w:instrText xml:space="preserve"> REF _Ref19804166 </w:instrText>
      </w:r>
      <w:r>
        <w:rPr>
          <w:rFonts w:cs="Calibri"/>
        </w:rPr>
        <w:fldChar w:fldCharType="separate"/>
      </w:r>
      <w:r>
        <w:rPr>
          <w:rFonts w:cs="Calibri"/>
        </w:rPr>
        <w:t>3.1.2</w:t>
      </w:r>
      <w:r>
        <w:rPr>
          <w:rFonts w:cs="Calibri"/>
        </w:rPr>
        <w:fldChar w:fldCharType="end"/>
      </w:r>
      <w:r>
        <w:rPr>
          <w:rFonts w:cs="Calibri"/>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1B9AC48F" w14:textId="77777777" w:rsidR="003C7B6B" w:rsidRDefault="003C7B6B">
      <w:pPr>
        <w:pStyle w:val="ListParagraph"/>
        <w:ind w:left="426"/>
        <w:rPr>
          <w:rFonts w:cs="Calibri"/>
        </w:rPr>
      </w:pPr>
    </w:p>
    <w:p w14:paraId="1B9AC490" w14:textId="77777777" w:rsidR="003C7B6B" w:rsidRDefault="00471E86">
      <w:pPr>
        <w:pStyle w:val="ListParagraph"/>
        <w:numPr>
          <w:ilvl w:val="0"/>
          <w:numId w:val="26"/>
        </w:numPr>
        <w:suppressAutoHyphens w:val="0"/>
        <w:spacing w:after="160" w:line="244" w:lineRule="auto"/>
        <w:ind w:left="426" w:hanging="426"/>
        <w:textAlignment w:val="auto"/>
        <w:rPr>
          <w:rFonts w:cs="Calibri"/>
          <w:b/>
        </w:rPr>
      </w:pPr>
      <w:r>
        <w:rPr>
          <w:rFonts w:cs="Calibri"/>
          <w:b/>
        </w:rPr>
        <w:t>Promoting Tax Compliance</w:t>
      </w:r>
    </w:p>
    <w:p w14:paraId="1B9AC491" w14:textId="77777777" w:rsidR="003C7B6B" w:rsidRDefault="00471E86">
      <w:pPr>
        <w:pStyle w:val="ListParagraph"/>
        <w:numPr>
          <w:ilvl w:val="1"/>
          <w:numId w:val="26"/>
        </w:numPr>
        <w:suppressAutoHyphens w:val="0"/>
        <w:spacing w:after="160" w:line="244" w:lineRule="auto"/>
        <w:ind w:left="426" w:hanging="426"/>
        <w:textAlignment w:val="auto"/>
      </w:pPr>
      <w:r>
        <w:rPr>
          <w:rFonts w:cs="Calibri"/>
        </w:rPr>
        <w:t xml:space="preserve">All amounts stated </w:t>
      </w:r>
      <w:r>
        <w:rPr>
          <w:rFonts w:cs="Calibri"/>
          <w:szCs w:val="20"/>
        </w:rPr>
        <w:t>are stated exclusive of VAT, which shall be added at the prevailing rate as applicable and paid by the Authority following delivery of a valid VAT invoice.</w:t>
      </w:r>
    </w:p>
    <w:p w14:paraId="1B9AC492" w14:textId="77777777" w:rsidR="003C7B6B" w:rsidRDefault="00471E86">
      <w:pPr>
        <w:pStyle w:val="ListParagraph"/>
        <w:numPr>
          <w:ilvl w:val="1"/>
          <w:numId w:val="26"/>
        </w:numPr>
        <w:suppressAutoHyphens w:val="0"/>
        <w:spacing w:after="160" w:line="244" w:lineRule="auto"/>
        <w:ind w:left="426" w:hanging="426"/>
        <w:textAlignment w:val="auto"/>
        <w:rPr>
          <w:rFonts w:cs="Calibri"/>
        </w:rPr>
      </w:pPr>
      <w:bookmarkStart w:id="18" w:name="_Ref20319270"/>
      <w:r>
        <w:rPr>
          <w:rFonts w:cs="Calibri"/>
        </w:rPr>
        <w:t>To the extent applicable to the Supplier, the Supplier shall at all times comply with all Laws relating to Tax and with the equivalent legal provisions of the country in which the Supplier is established.</w:t>
      </w:r>
      <w:bookmarkEnd w:id="18"/>
      <w:r>
        <w:rPr>
          <w:rFonts w:cs="Calibri"/>
        </w:rPr>
        <w:t xml:space="preserve"> </w:t>
      </w:r>
    </w:p>
    <w:p w14:paraId="1B9AC493" w14:textId="77777777" w:rsidR="003C7B6B" w:rsidRDefault="00471E86">
      <w:pPr>
        <w:pStyle w:val="ListParagraph"/>
        <w:numPr>
          <w:ilvl w:val="1"/>
          <w:numId w:val="26"/>
        </w:numPr>
        <w:suppressAutoHyphens w:val="0"/>
        <w:spacing w:after="160" w:line="244" w:lineRule="auto"/>
        <w:ind w:left="426" w:hanging="426"/>
        <w:textAlignment w:val="auto"/>
        <w:rPr>
          <w:rFonts w:cs="Calibri"/>
        </w:rPr>
      </w:pPr>
      <w:bookmarkStart w:id="19" w:name="_Ref20993847"/>
      <w:bookmarkStart w:id="20" w:name="_Ref20319306"/>
      <w:r>
        <w:rPr>
          <w:rFonts w:cs="Calibri"/>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9"/>
      <w:r>
        <w:rPr>
          <w:rFonts w:cs="Calibri"/>
        </w:rPr>
        <w:t xml:space="preserve">  </w:t>
      </w:r>
      <w:bookmarkEnd w:id="20"/>
    </w:p>
    <w:p w14:paraId="1B9AC494" w14:textId="77777777" w:rsidR="003C7B6B" w:rsidRDefault="00471E86">
      <w:pPr>
        <w:pStyle w:val="ListParagraph"/>
        <w:numPr>
          <w:ilvl w:val="1"/>
          <w:numId w:val="26"/>
        </w:numPr>
        <w:suppressAutoHyphens w:val="0"/>
        <w:spacing w:after="160" w:line="244" w:lineRule="auto"/>
        <w:ind w:left="426" w:hanging="426"/>
        <w:textAlignment w:val="auto"/>
        <w:rPr>
          <w:rFonts w:cs="Calibri"/>
        </w:rPr>
      </w:pPr>
      <w:bookmarkStart w:id="21" w:name="_Ref20993857"/>
      <w:r>
        <w:rPr>
          <w:rFonts w:cs="Calibri"/>
        </w:rPr>
        <w:t>If, at any point during the Term, there is Tax Non-Compliance, the Supplier shall:</w:t>
      </w:r>
      <w:bookmarkEnd w:id="21"/>
    </w:p>
    <w:p w14:paraId="1B9AC495" w14:textId="77777777" w:rsidR="003C7B6B" w:rsidRDefault="00471E86">
      <w:pPr>
        <w:pStyle w:val="ListParagraph"/>
        <w:numPr>
          <w:ilvl w:val="2"/>
          <w:numId w:val="26"/>
        </w:numPr>
        <w:suppressAutoHyphens w:val="0"/>
        <w:spacing w:after="160" w:line="244" w:lineRule="auto"/>
        <w:ind w:left="1134" w:hanging="708"/>
        <w:textAlignment w:val="auto"/>
        <w:rPr>
          <w:rFonts w:cs="Calibri"/>
        </w:rPr>
      </w:pPr>
      <w:bookmarkStart w:id="22" w:name="_Ref20319279"/>
      <w:r>
        <w:rPr>
          <w:rFonts w:cs="Calibri"/>
        </w:rPr>
        <w:t>notify the Authority in writing of such fact within five (5) Working Days of its occurrence; and</w:t>
      </w:r>
      <w:bookmarkEnd w:id="22"/>
    </w:p>
    <w:p w14:paraId="1B9AC496" w14:textId="77777777" w:rsidR="003C7B6B" w:rsidRDefault="00471E86">
      <w:pPr>
        <w:pStyle w:val="ListParagraph"/>
        <w:numPr>
          <w:ilvl w:val="2"/>
          <w:numId w:val="26"/>
        </w:numPr>
        <w:suppressAutoHyphens w:val="0"/>
        <w:spacing w:after="160" w:line="244" w:lineRule="auto"/>
        <w:ind w:left="1134" w:hanging="708"/>
        <w:textAlignment w:val="auto"/>
        <w:rPr>
          <w:rFonts w:cs="Calibri"/>
        </w:rPr>
      </w:pPr>
      <w:bookmarkStart w:id="23" w:name="_Ref20319317"/>
      <w:r>
        <w:rPr>
          <w:rFonts w:cs="Calibri"/>
        </w:rPr>
        <w:t>promptly provide to the Authority:</w:t>
      </w:r>
      <w:bookmarkEnd w:id="23"/>
    </w:p>
    <w:p w14:paraId="1B9AC497" w14:textId="77777777" w:rsidR="003C7B6B" w:rsidRDefault="00471E86">
      <w:pPr>
        <w:pStyle w:val="ListParagraph"/>
        <w:numPr>
          <w:ilvl w:val="0"/>
          <w:numId w:val="32"/>
        </w:numPr>
        <w:suppressAutoHyphens w:val="0"/>
        <w:spacing w:after="160" w:line="244" w:lineRule="auto"/>
        <w:textAlignment w:val="auto"/>
        <w:rPr>
          <w:rFonts w:cs="Calibri"/>
        </w:rPr>
      </w:pPr>
      <w:r>
        <w:rPr>
          <w:rFonts w:cs="Calibri"/>
        </w:rPr>
        <w:t xml:space="preserve">details of the steps which the Supplier is taking to resolve the Tax Non-Compliance and to prevent the same from recurring, together with any mitigating factors that it considers relevant; and </w:t>
      </w:r>
    </w:p>
    <w:p w14:paraId="1B9AC498" w14:textId="77777777" w:rsidR="003C7B6B" w:rsidRDefault="00471E86">
      <w:pPr>
        <w:pStyle w:val="ListParagraph"/>
        <w:numPr>
          <w:ilvl w:val="0"/>
          <w:numId w:val="32"/>
        </w:numPr>
        <w:suppressAutoHyphens w:val="0"/>
        <w:spacing w:after="160" w:line="244" w:lineRule="auto"/>
        <w:textAlignment w:val="auto"/>
        <w:rPr>
          <w:rFonts w:cs="Calibri"/>
        </w:rPr>
      </w:pPr>
      <w:r>
        <w:rPr>
          <w:rFonts w:cs="Calibri"/>
        </w:rPr>
        <w:t>such other information in relation to the Tax Non-Compliance as the Authority may reasonably require.</w:t>
      </w:r>
    </w:p>
    <w:p w14:paraId="1B9AC499" w14:textId="77777777" w:rsidR="003C7B6B" w:rsidRDefault="00471E86">
      <w:pPr>
        <w:pStyle w:val="ListParagraph"/>
        <w:numPr>
          <w:ilvl w:val="1"/>
          <w:numId w:val="26"/>
        </w:numPr>
        <w:suppressAutoHyphens w:val="0"/>
        <w:spacing w:after="160" w:line="244" w:lineRule="auto"/>
        <w:ind w:left="426" w:hanging="426"/>
        <w:textAlignment w:val="auto"/>
      </w:pPr>
      <w:bookmarkStart w:id="24" w:name="_Ref20319101"/>
      <w:r>
        <w:rPr>
          <w:rFonts w:cs="Calibr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Pr>
          <w:rFonts w:cs="Calibri"/>
        </w:rPr>
        <w:fldChar w:fldCharType="begin"/>
      </w:r>
      <w:r>
        <w:rPr>
          <w:rFonts w:cs="Calibri"/>
        </w:rPr>
        <w:instrText xml:space="preserve"> REF _Ref20319101 </w:instrText>
      </w:r>
      <w:r>
        <w:rPr>
          <w:rFonts w:cs="Calibri"/>
        </w:rPr>
        <w:fldChar w:fldCharType="separate"/>
      </w:r>
      <w:r>
        <w:rPr>
          <w:rFonts w:cs="Calibri"/>
        </w:rPr>
        <w:t>4.5</w:t>
      </w:r>
      <w:r>
        <w:rPr>
          <w:rFonts w:cs="Calibri"/>
        </w:rPr>
        <w:fldChar w:fldCharType="end"/>
      </w:r>
      <w:r>
        <w:rPr>
          <w:rFonts w:cs="Calibri"/>
        </w:rPr>
        <w:t xml:space="preserve"> shall be paid in cleared funds by the Supplier to the Authority not less than five (5) Working Days before the date upon which the Tax or other liability is payable by the Authority.</w:t>
      </w:r>
      <w:bookmarkEnd w:id="24"/>
      <w:r>
        <w:rPr>
          <w:rFonts w:cs="Calibri"/>
        </w:rPr>
        <w:t xml:space="preserve">  </w:t>
      </w:r>
    </w:p>
    <w:p w14:paraId="1B9AC49A" w14:textId="77777777" w:rsidR="003C7B6B" w:rsidRDefault="00471E86">
      <w:pPr>
        <w:pStyle w:val="ListParagraph"/>
        <w:numPr>
          <w:ilvl w:val="1"/>
          <w:numId w:val="26"/>
        </w:numPr>
        <w:suppressAutoHyphens w:val="0"/>
        <w:spacing w:after="160" w:line="244" w:lineRule="auto"/>
        <w:ind w:left="426" w:hanging="426"/>
        <w:textAlignment w:val="auto"/>
        <w:rPr>
          <w:rFonts w:cs="Calibri"/>
        </w:rPr>
      </w:pPr>
      <w:bookmarkStart w:id="25" w:name="_Ref20319292"/>
      <w:r>
        <w:rPr>
          <w:rFonts w:cs="Calibri"/>
        </w:rPr>
        <w:t>Upon the Authority’s request, the Supplier shall provide (promptly or within such other period notified by the Authority) information which demonstrates how the Supplier complies with its Tax obligations.</w:t>
      </w:r>
      <w:bookmarkEnd w:id="25"/>
      <w:r>
        <w:rPr>
          <w:rFonts w:cs="Calibri"/>
        </w:rPr>
        <w:t xml:space="preserve"> </w:t>
      </w:r>
    </w:p>
    <w:p w14:paraId="1B9AC49B" w14:textId="77777777" w:rsidR="003C7B6B" w:rsidRDefault="00471E86">
      <w:pPr>
        <w:pStyle w:val="ListParagraph"/>
        <w:numPr>
          <w:ilvl w:val="1"/>
          <w:numId w:val="26"/>
        </w:numPr>
        <w:suppressAutoHyphens w:val="0"/>
        <w:spacing w:after="160" w:line="244" w:lineRule="auto"/>
        <w:ind w:left="426" w:hanging="426"/>
        <w:textAlignment w:val="auto"/>
      </w:pPr>
      <w:r>
        <w:rPr>
          <w:rStyle w:val="normaltextrun1"/>
          <w:rFonts w:cs="Calibri"/>
        </w:rPr>
        <w:t xml:space="preserve">If the Supplier: </w:t>
      </w:r>
    </w:p>
    <w:p w14:paraId="1B9AC49C" w14:textId="77777777" w:rsidR="003C7B6B" w:rsidRDefault="00471E86">
      <w:pPr>
        <w:pStyle w:val="paragraph"/>
        <w:numPr>
          <w:ilvl w:val="2"/>
          <w:numId w:val="26"/>
        </w:numPr>
        <w:ind w:left="1276" w:hanging="709"/>
        <w:textAlignment w:val="baseline"/>
      </w:pPr>
      <w:r>
        <w:rPr>
          <w:rStyle w:val="normaltextrun1"/>
          <w:rFonts w:ascii="Calibri" w:hAnsi="Calibri" w:cs="Calibri"/>
          <w:sz w:val="22"/>
          <w:szCs w:val="22"/>
        </w:rPr>
        <w:lastRenderedPageBreak/>
        <w:t xml:space="preserve">fails to comply (or if the Authority receives information which demonstrates to it that the Supplier has failed to comply) with Clauses </w:t>
      </w:r>
      <w:r>
        <w:rPr>
          <w:rStyle w:val="normaltextrun1"/>
          <w:rFonts w:ascii="Calibri" w:hAnsi="Calibri" w:cs="Calibri"/>
          <w:sz w:val="22"/>
          <w:szCs w:val="22"/>
        </w:rPr>
        <w:fldChar w:fldCharType="begin"/>
      </w:r>
      <w:r>
        <w:rPr>
          <w:rStyle w:val="normaltextrun1"/>
          <w:rFonts w:ascii="Calibri" w:hAnsi="Calibri" w:cs="Calibri"/>
          <w:sz w:val="22"/>
          <w:szCs w:val="22"/>
        </w:rPr>
        <w:instrText xml:space="preserve"> REF _Ref20319270 </w:instrText>
      </w:r>
      <w:r>
        <w:rPr>
          <w:rStyle w:val="normaltextrun1"/>
          <w:rFonts w:ascii="Calibri" w:hAnsi="Calibri" w:cs="Calibri"/>
          <w:sz w:val="22"/>
          <w:szCs w:val="22"/>
        </w:rPr>
        <w:fldChar w:fldCharType="separate"/>
      </w:r>
      <w:r>
        <w:rPr>
          <w:rStyle w:val="normaltextrun1"/>
          <w:rFonts w:ascii="Calibri" w:hAnsi="Calibri" w:cs="Calibri"/>
          <w:sz w:val="22"/>
          <w:szCs w:val="22"/>
        </w:rPr>
        <w:t>4.2</w:t>
      </w:r>
      <w:r>
        <w:rPr>
          <w:rStyle w:val="normaltextrun1"/>
          <w:rFonts w:ascii="Calibri" w:hAnsi="Calibri" w:cs="Calibri"/>
          <w:sz w:val="22"/>
          <w:szCs w:val="22"/>
        </w:rPr>
        <w:fldChar w:fldCharType="end"/>
      </w:r>
      <w:r>
        <w:rPr>
          <w:rStyle w:val="normaltextrun1"/>
          <w:rFonts w:ascii="Calibri" w:hAnsi="Calibri" w:cs="Calibri"/>
          <w:sz w:val="22"/>
          <w:szCs w:val="22"/>
        </w:rPr>
        <w:t xml:space="preserve">, </w:t>
      </w:r>
      <w:r>
        <w:rPr>
          <w:rStyle w:val="normaltextrun1"/>
          <w:rFonts w:ascii="Calibri" w:hAnsi="Calibri" w:cs="Calibri"/>
          <w:sz w:val="22"/>
          <w:szCs w:val="22"/>
        </w:rPr>
        <w:fldChar w:fldCharType="begin"/>
      </w:r>
      <w:r>
        <w:rPr>
          <w:rStyle w:val="normaltextrun1"/>
          <w:rFonts w:ascii="Calibri" w:hAnsi="Calibri" w:cs="Calibri"/>
          <w:sz w:val="22"/>
          <w:szCs w:val="22"/>
        </w:rPr>
        <w:instrText xml:space="preserve"> REF _Ref20319279 </w:instrText>
      </w:r>
      <w:r>
        <w:rPr>
          <w:rStyle w:val="normaltextrun1"/>
          <w:rFonts w:ascii="Calibri" w:hAnsi="Calibri" w:cs="Calibri"/>
          <w:sz w:val="22"/>
          <w:szCs w:val="22"/>
        </w:rPr>
        <w:fldChar w:fldCharType="separate"/>
      </w:r>
      <w:r>
        <w:rPr>
          <w:rStyle w:val="normaltextrun1"/>
          <w:rFonts w:ascii="Calibri" w:hAnsi="Calibri" w:cs="Calibri"/>
          <w:sz w:val="22"/>
          <w:szCs w:val="22"/>
        </w:rPr>
        <w:t>4.4.1</w:t>
      </w:r>
      <w:r>
        <w:rPr>
          <w:rStyle w:val="normaltextrun1"/>
          <w:rFonts w:ascii="Calibri" w:hAnsi="Calibri" w:cs="Calibri"/>
          <w:sz w:val="22"/>
          <w:szCs w:val="22"/>
        </w:rPr>
        <w:fldChar w:fldCharType="end"/>
      </w:r>
      <w:r>
        <w:rPr>
          <w:rStyle w:val="normaltextrun1"/>
          <w:rFonts w:ascii="Calibri" w:hAnsi="Calibri" w:cs="Calibri"/>
          <w:sz w:val="22"/>
          <w:szCs w:val="22"/>
        </w:rPr>
        <w:t xml:space="preserve"> and/or </w:t>
      </w:r>
      <w:r>
        <w:rPr>
          <w:rStyle w:val="normaltextrun1"/>
          <w:rFonts w:ascii="Calibri" w:hAnsi="Calibri" w:cs="Calibri"/>
          <w:sz w:val="22"/>
          <w:szCs w:val="22"/>
        </w:rPr>
        <w:fldChar w:fldCharType="begin"/>
      </w:r>
      <w:r>
        <w:rPr>
          <w:rStyle w:val="normaltextrun1"/>
          <w:rFonts w:ascii="Calibri" w:hAnsi="Calibri" w:cs="Calibri"/>
          <w:sz w:val="22"/>
          <w:szCs w:val="22"/>
        </w:rPr>
        <w:instrText xml:space="preserve"> REF _Ref20319292 </w:instrText>
      </w:r>
      <w:r>
        <w:rPr>
          <w:rStyle w:val="normaltextrun1"/>
          <w:rFonts w:ascii="Calibri" w:hAnsi="Calibri" w:cs="Calibri"/>
          <w:sz w:val="22"/>
          <w:szCs w:val="22"/>
        </w:rPr>
        <w:fldChar w:fldCharType="separate"/>
      </w:r>
      <w:r>
        <w:rPr>
          <w:rStyle w:val="normaltextrun1"/>
          <w:rFonts w:ascii="Calibri" w:hAnsi="Calibri" w:cs="Calibri"/>
          <w:sz w:val="22"/>
          <w:szCs w:val="22"/>
        </w:rPr>
        <w:t>4.6</w:t>
      </w:r>
      <w:r>
        <w:rPr>
          <w:rStyle w:val="normaltextrun1"/>
          <w:rFonts w:ascii="Calibri" w:hAnsi="Calibri" w:cs="Calibri"/>
          <w:sz w:val="22"/>
          <w:szCs w:val="22"/>
        </w:rPr>
        <w:fldChar w:fldCharType="end"/>
      </w:r>
      <w:r>
        <w:rPr>
          <w:rStyle w:val="normaltextrun1"/>
          <w:rFonts w:ascii="Calibri" w:hAnsi="Calibri" w:cs="Calibri"/>
          <w:sz w:val="22"/>
          <w:szCs w:val="22"/>
        </w:rPr>
        <w:t xml:space="preserve"> this may be a material breach of the Agreement; </w:t>
      </w:r>
    </w:p>
    <w:p w14:paraId="1B9AC49D" w14:textId="77777777" w:rsidR="003C7B6B" w:rsidRDefault="00471E86">
      <w:pPr>
        <w:pStyle w:val="paragraph"/>
        <w:numPr>
          <w:ilvl w:val="2"/>
          <w:numId w:val="26"/>
        </w:numPr>
        <w:ind w:left="1276" w:hanging="709"/>
        <w:textAlignment w:val="baseline"/>
      </w:pPr>
      <w:r>
        <w:rPr>
          <w:rStyle w:val="normaltextrun1"/>
          <w:rFonts w:ascii="Calibri" w:hAnsi="Calibri" w:cs="Calibri"/>
          <w:sz w:val="22"/>
          <w:szCs w:val="22"/>
        </w:rPr>
        <w:t xml:space="preserve">fails to comply (or if the Authority receives information which demonstrates to it that the Supplier has failed to comply) </w:t>
      </w:r>
      <w:r>
        <w:rPr>
          <w:rFonts w:ascii="Calibri" w:hAnsi="Calibri" w:cs="Calibri"/>
          <w:sz w:val="22"/>
          <w:szCs w:val="22"/>
        </w:rPr>
        <w:t xml:space="preserve">with a reasonable request by the Authority that it must not contract, or must cease to contract, with any agent, supplier or Subcontractor of the Supplier as required by Clause </w:t>
      </w:r>
      <w:r>
        <w:rPr>
          <w:rFonts w:ascii="Calibri" w:hAnsi="Calibri" w:cs="Calibri"/>
          <w:sz w:val="22"/>
          <w:szCs w:val="22"/>
        </w:rPr>
        <w:fldChar w:fldCharType="begin"/>
      </w:r>
      <w:r>
        <w:rPr>
          <w:rFonts w:ascii="Calibri" w:hAnsi="Calibri" w:cs="Calibri"/>
          <w:sz w:val="22"/>
          <w:szCs w:val="22"/>
        </w:rPr>
        <w:instrText xml:space="preserve"> REF _Ref20319306 </w:instrText>
      </w:r>
      <w:r>
        <w:rPr>
          <w:rFonts w:ascii="Calibri" w:hAnsi="Calibri" w:cs="Calibri"/>
          <w:sz w:val="22"/>
          <w:szCs w:val="22"/>
        </w:rPr>
        <w:fldChar w:fldCharType="separate"/>
      </w:r>
      <w:r>
        <w:rPr>
          <w:rFonts w:ascii="Calibri" w:hAnsi="Calibri" w:cs="Calibri"/>
          <w:sz w:val="22"/>
          <w:szCs w:val="22"/>
        </w:rPr>
        <w:t>4.3</w:t>
      </w:r>
      <w:r>
        <w:rPr>
          <w:rFonts w:ascii="Calibri" w:hAnsi="Calibri" w:cs="Calibri"/>
          <w:sz w:val="22"/>
          <w:szCs w:val="22"/>
        </w:rPr>
        <w:fldChar w:fldCharType="end"/>
      </w:r>
      <w:r>
        <w:rPr>
          <w:rFonts w:ascii="Calibri" w:hAnsi="Calibri" w:cs="Calibri"/>
          <w:sz w:val="22"/>
          <w:szCs w:val="22"/>
        </w:rPr>
        <w:t xml:space="preserve"> on the grounds that the agent, supplier or Subcontractor of the Supplier is involved in Tax Non-Compliance</w:t>
      </w:r>
      <w:r>
        <w:rPr>
          <w:rStyle w:val="normaltextrun1"/>
          <w:rFonts w:ascii="Calibri" w:hAnsi="Calibri" w:cs="Calibri"/>
          <w:sz w:val="22"/>
          <w:szCs w:val="22"/>
        </w:rPr>
        <w:t xml:space="preserve"> this shall be a material breach of the Agreement; and/or</w:t>
      </w:r>
    </w:p>
    <w:p w14:paraId="1B9AC49E" w14:textId="77777777" w:rsidR="003C7B6B" w:rsidRDefault="00471E86">
      <w:pPr>
        <w:pStyle w:val="paragraph"/>
        <w:numPr>
          <w:ilvl w:val="2"/>
          <w:numId w:val="26"/>
        </w:numPr>
        <w:ind w:left="1276" w:hanging="709"/>
        <w:textAlignment w:val="baseline"/>
      </w:pPr>
      <w:r>
        <w:rPr>
          <w:rStyle w:val="normaltextrun1"/>
          <w:rFonts w:ascii="Calibri" w:hAnsi="Calibri" w:cs="Calibri"/>
          <w:sz w:val="22"/>
          <w:szCs w:val="22"/>
        </w:rPr>
        <w:t xml:space="preserve">fails to provide details of steps being taken and mitigating factors pursuant to Clause </w:t>
      </w:r>
      <w:r>
        <w:rPr>
          <w:rStyle w:val="normaltextrun1"/>
          <w:rFonts w:ascii="Calibri" w:hAnsi="Calibri" w:cs="Calibri"/>
          <w:sz w:val="22"/>
          <w:szCs w:val="22"/>
        </w:rPr>
        <w:fldChar w:fldCharType="begin"/>
      </w:r>
      <w:r>
        <w:rPr>
          <w:rStyle w:val="normaltextrun1"/>
          <w:rFonts w:ascii="Calibri" w:hAnsi="Calibri" w:cs="Calibri"/>
          <w:sz w:val="22"/>
          <w:szCs w:val="22"/>
        </w:rPr>
        <w:instrText xml:space="preserve"> REF _Ref20319317 </w:instrText>
      </w:r>
      <w:r>
        <w:rPr>
          <w:rStyle w:val="normaltextrun1"/>
          <w:rFonts w:ascii="Calibri" w:hAnsi="Calibri" w:cs="Calibri"/>
          <w:sz w:val="22"/>
          <w:szCs w:val="22"/>
        </w:rPr>
        <w:fldChar w:fldCharType="separate"/>
      </w:r>
      <w:r>
        <w:rPr>
          <w:rStyle w:val="normaltextrun1"/>
          <w:rFonts w:ascii="Calibri" w:hAnsi="Calibri" w:cs="Calibri"/>
          <w:sz w:val="22"/>
          <w:szCs w:val="22"/>
        </w:rPr>
        <w:t>4.4.2</w:t>
      </w:r>
      <w:r>
        <w:rPr>
          <w:rStyle w:val="normaltextrun1"/>
          <w:rFonts w:ascii="Calibri" w:hAnsi="Calibri" w:cs="Calibri"/>
          <w:sz w:val="22"/>
          <w:szCs w:val="22"/>
        </w:rPr>
        <w:fldChar w:fldCharType="end"/>
      </w:r>
      <w:r>
        <w:rPr>
          <w:rStyle w:val="normaltextrun1"/>
          <w:rFonts w:ascii="Calibri" w:hAnsi="Calibri" w:cs="Calibri"/>
          <w:sz w:val="22"/>
          <w:szCs w:val="22"/>
        </w:rPr>
        <w:t xml:space="preserve"> which in the reasonable opinion of the Authority are acceptable this shall be a material breach of the Agreement;</w:t>
      </w:r>
    </w:p>
    <w:p w14:paraId="1B9AC49F" w14:textId="77777777" w:rsidR="003C7B6B" w:rsidRDefault="003C7B6B">
      <w:pPr>
        <w:pStyle w:val="paragraph"/>
        <w:ind w:left="426" w:hanging="426"/>
        <w:textAlignment w:val="baseline"/>
      </w:pPr>
    </w:p>
    <w:p w14:paraId="1B9AC4A0" w14:textId="77777777" w:rsidR="003C7B6B" w:rsidRDefault="00471E86">
      <w:pPr>
        <w:pStyle w:val="paragraph"/>
        <w:ind w:left="426"/>
        <w:textAlignment w:val="baseline"/>
      </w:pPr>
      <w:r>
        <w:rPr>
          <w:rStyle w:val="normaltextrun1"/>
          <w:rFonts w:ascii="Calibri" w:hAnsi="Calibri" w:cs="Calibri"/>
          <w:sz w:val="22"/>
          <w:szCs w:val="22"/>
        </w:rPr>
        <w:t xml:space="preserve">and any such material breach shall allow the Authority to </w:t>
      </w:r>
      <w:r>
        <w:rPr>
          <w:rFonts w:ascii="Calibri" w:hAnsi="Calibri" w:cs="Calibri"/>
          <w:sz w:val="22"/>
          <w:szCs w:val="22"/>
        </w:rPr>
        <w:t xml:space="preserve">terminate the Agreement pursuant to the Call-Off Clause which provides the Authority the right to terminate the Agreement for Supplier fault (termination for Supplier cause or equivalent clause). </w:t>
      </w:r>
    </w:p>
    <w:p w14:paraId="1B9AC4A1" w14:textId="77777777" w:rsidR="003C7B6B" w:rsidRDefault="00471E86">
      <w:pPr>
        <w:pStyle w:val="ListParagraph"/>
        <w:numPr>
          <w:ilvl w:val="1"/>
          <w:numId w:val="26"/>
        </w:numPr>
        <w:suppressAutoHyphens w:val="0"/>
        <w:spacing w:after="160" w:line="244" w:lineRule="auto"/>
        <w:ind w:left="426" w:hanging="426"/>
        <w:textAlignment w:val="auto"/>
      </w:pPr>
      <w:r>
        <w:rPr>
          <w:rFonts w:cs="Calibri"/>
        </w:rPr>
        <w:t xml:space="preserve">The Authority may internally share any information which it receives under Clauses </w:t>
      </w:r>
      <w:r>
        <w:rPr>
          <w:rFonts w:cs="Calibri"/>
        </w:rPr>
        <w:fldChar w:fldCharType="begin"/>
      </w:r>
      <w:r>
        <w:rPr>
          <w:rFonts w:cs="Calibri"/>
        </w:rPr>
        <w:instrText xml:space="preserve"> REF _Ref20993847 </w:instrText>
      </w:r>
      <w:r>
        <w:rPr>
          <w:rFonts w:cs="Calibri"/>
        </w:rPr>
        <w:fldChar w:fldCharType="separate"/>
      </w:r>
      <w:r>
        <w:rPr>
          <w:rFonts w:cs="Calibri"/>
        </w:rPr>
        <w:t>4.3</w:t>
      </w:r>
      <w:r>
        <w:rPr>
          <w:rFonts w:cs="Calibri"/>
        </w:rPr>
        <w:fldChar w:fldCharType="end"/>
      </w:r>
      <w:r>
        <w:rPr>
          <w:rFonts w:cs="Calibri"/>
        </w:rPr>
        <w:t xml:space="preserve"> to </w:t>
      </w:r>
      <w:r>
        <w:rPr>
          <w:rFonts w:cs="Calibri"/>
        </w:rPr>
        <w:fldChar w:fldCharType="begin"/>
      </w:r>
      <w:r>
        <w:rPr>
          <w:rFonts w:cs="Calibri"/>
        </w:rPr>
        <w:instrText xml:space="preserve"> REF _Ref20993857 </w:instrText>
      </w:r>
      <w:r>
        <w:rPr>
          <w:rFonts w:cs="Calibri"/>
        </w:rPr>
        <w:fldChar w:fldCharType="separate"/>
      </w:r>
      <w:r>
        <w:rPr>
          <w:rFonts w:cs="Calibri"/>
        </w:rPr>
        <w:t>4.4</w:t>
      </w:r>
      <w:r>
        <w:rPr>
          <w:rFonts w:cs="Calibri"/>
        </w:rPr>
        <w:fldChar w:fldCharType="end"/>
      </w:r>
      <w:r>
        <w:rPr>
          <w:rFonts w:cs="Calibri"/>
        </w:rPr>
        <w:t xml:space="preserve"> (inclusive) and </w:t>
      </w:r>
      <w:r>
        <w:rPr>
          <w:rFonts w:cs="Calibri"/>
        </w:rPr>
        <w:fldChar w:fldCharType="begin"/>
      </w:r>
      <w:r>
        <w:rPr>
          <w:rFonts w:cs="Calibri"/>
        </w:rPr>
        <w:instrText xml:space="preserve"> REF _Ref20319292 </w:instrText>
      </w:r>
      <w:r>
        <w:rPr>
          <w:rFonts w:cs="Calibri"/>
        </w:rPr>
        <w:fldChar w:fldCharType="separate"/>
      </w:r>
      <w:r>
        <w:rPr>
          <w:rFonts w:cs="Calibri"/>
        </w:rPr>
        <w:t>4.6</w:t>
      </w:r>
      <w:r>
        <w:rPr>
          <w:rFonts w:cs="Calibri"/>
        </w:rPr>
        <w:fldChar w:fldCharType="end"/>
      </w:r>
      <w:r>
        <w:rPr>
          <w:rFonts w:cs="Calibri"/>
        </w:rPr>
        <w:t xml:space="preserve">, for the purpose of the collection and management of revenue for which the Authority is responsible. </w:t>
      </w:r>
    </w:p>
    <w:p w14:paraId="1B9AC4A2" w14:textId="77777777" w:rsidR="003C7B6B" w:rsidRDefault="003C7B6B">
      <w:pPr>
        <w:pStyle w:val="ListParagraph"/>
        <w:ind w:left="426"/>
        <w:rPr>
          <w:rFonts w:cs="Calibri"/>
        </w:rPr>
      </w:pPr>
    </w:p>
    <w:p w14:paraId="1B9AC4A3" w14:textId="77777777" w:rsidR="003C7B6B" w:rsidRDefault="00471E86">
      <w:pPr>
        <w:pStyle w:val="ListParagraph"/>
        <w:numPr>
          <w:ilvl w:val="0"/>
          <w:numId w:val="26"/>
        </w:numPr>
        <w:suppressAutoHyphens w:val="0"/>
        <w:spacing w:after="160" w:line="244" w:lineRule="auto"/>
        <w:ind w:left="426" w:hanging="426"/>
        <w:textAlignment w:val="auto"/>
        <w:rPr>
          <w:rFonts w:cs="Calibri"/>
          <w:b/>
          <w:lang w:val="en-US"/>
        </w:rPr>
      </w:pPr>
      <w:r>
        <w:rPr>
          <w:rFonts w:cs="Calibri"/>
          <w:b/>
          <w:lang w:val="en-US"/>
        </w:rPr>
        <w:t>Use of Off-shore Tax Structures</w:t>
      </w:r>
      <w:bookmarkStart w:id="26" w:name="_Ref456277829"/>
    </w:p>
    <w:p w14:paraId="1B9AC4A4" w14:textId="77777777" w:rsidR="003C7B6B" w:rsidRDefault="00471E86">
      <w:pPr>
        <w:pStyle w:val="ListParagraph"/>
        <w:numPr>
          <w:ilvl w:val="1"/>
          <w:numId w:val="33"/>
        </w:numPr>
        <w:suppressAutoHyphens w:val="0"/>
        <w:spacing w:after="160" w:line="244" w:lineRule="auto"/>
        <w:ind w:left="426" w:hanging="426"/>
        <w:textAlignment w:val="auto"/>
      </w:pPr>
      <w:bookmarkStart w:id="27" w:name="_Ref19805004"/>
      <w:r>
        <w:rPr>
          <w:rFonts w:cs="Calibr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rFonts w:cs="Calibri"/>
          <w:b/>
          <w:bCs/>
          <w:iCs/>
        </w:rPr>
        <w:t>“Prohibited Transactions”</w:t>
      </w:r>
      <w:r>
        <w:rPr>
          <w:rFonts w:cs="Calibr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28" w:name="_Ref454350421"/>
      <w:bookmarkEnd w:id="26"/>
      <w:bookmarkEnd w:id="27"/>
    </w:p>
    <w:p w14:paraId="1B9AC4A5" w14:textId="77777777" w:rsidR="003C7B6B" w:rsidRDefault="00471E86">
      <w:pPr>
        <w:pStyle w:val="ListParagraph"/>
        <w:numPr>
          <w:ilvl w:val="1"/>
          <w:numId w:val="33"/>
        </w:numPr>
        <w:suppressAutoHyphens w:val="0"/>
        <w:spacing w:after="160" w:line="244" w:lineRule="auto"/>
        <w:ind w:left="426" w:hanging="426"/>
        <w:textAlignment w:val="auto"/>
      </w:pPr>
      <w:bookmarkStart w:id="29" w:name="_Ref19805057"/>
      <w:r>
        <w:rPr>
          <w:rFonts w:cs="Calibr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30" w:name="_Ref454350981"/>
      <w:bookmarkEnd w:id="28"/>
      <w:bookmarkEnd w:id="29"/>
    </w:p>
    <w:p w14:paraId="1B9AC4A6" w14:textId="77777777" w:rsidR="003C7B6B" w:rsidRDefault="00471E86">
      <w:pPr>
        <w:pStyle w:val="ListParagraph"/>
        <w:numPr>
          <w:ilvl w:val="1"/>
          <w:numId w:val="33"/>
        </w:numPr>
        <w:suppressAutoHyphens w:val="0"/>
        <w:spacing w:after="160" w:line="244" w:lineRule="auto"/>
        <w:ind w:left="426" w:hanging="426"/>
        <w:textAlignment w:val="auto"/>
      </w:pPr>
      <w:bookmarkStart w:id="31" w:name="_Ref19805096"/>
      <w:r>
        <w:rPr>
          <w:rFonts w:cs="Calibri"/>
          <w:bCs/>
          <w:iCs/>
        </w:rPr>
        <w:t xml:space="preserve">In the event of a Prohibited Transaction being entered into in breach of Clause </w:t>
      </w:r>
      <w:r>
        <w:rPr>
          <w:rFonts w:cs="Calibri"/>
          <w:bCs/>
          <w:iCs/>
        </w:rPr>
        <w:fldChar w:fldCharType="begin"/>
      </w:r>
      <w:r>
        <w:rPr>
          <w:rFonts w:cs="Calibri"/>
          <w:bCs/>
          <w:iCs/>
        </w:rPr>
        <w:instrText xml:space="preserve"> REF _Ref19805004 </w:instrText>
      </w:r>
      <w:r>
        <w:rPr>
          <w:rFonts w:cs="Calibri"/>
          <w:bCs/>
          <w:iCs/>
        </w:rPr>
        <w:fldChar w:fldCharType="separate"/>
      </w:r>
      <w:r>
        <w:rPr>
          <w:rFonts w:cs="Calibri"/>
          <w:bCs/>
          <w:iCs/>
        </w:rPr>
        <w:t>5.1</w:t>
      </w:r>
      <w:r>
        <w:rPr>
          <w:rFonts w:cs="Calibri"/>
          <w:bCs/>
          <w:iCs/>
        </w:rPr>
        <w:fldChar w:fldCharType="end"/>
      </w:r>
      <w:r>
        <w:rPr>
          <w:rFonts w:cs="Calibr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Calibri"/>
          <w:bCs/>
          <w:iCs/>
        </w:rPr>
        <w:fldChar w:fldCharType="begin"/>
      </w:r>
      <w:r>
        <w:rPr>
          <w:rFonts w:cs="Calibri"/>
          <w:bCs/>
          <w:iCs/>
        </w:rPr>
        <w:instrText xml:space="preserve"> REF _Ref19805004 </w:instrText>
      </w:r>
      <w:r>
        <w:rPr>
          <w:rFonts w:cs="Calibri"/>
          <w:bCs/>
          <w:iCs/>
        </w:rPr>
        <w:fldChar w:fldCharType="separate"/>
      </w:r>
      <w:r>
        <w:rPr>
          <w:rFonts w:cs="Calibri"/>
          <w:bCs/>
          <w:iCs/>
        </w:rPr>
        <w:t>5.1</w:t>
      </w:r>
      <w:r>
        <w:rPr>
          <w:rFonts w:cs="Calibri"/>
          <w:bCs/>
          <w:iCs/>
        </w:rPr>
        <w:fldChar w:fldCharType="end"/>
      </w:r>
      <w:r>
        <w:rPr>
          <w:rFonts w:cs="Calibri"/>
          <w:bCs/>
          <w:iCs/>
        </w:rPr>
        <w:t xml:space="preserve"> and </w:t>
      </w:r>
      <w:r>
        <w:rPr>
          <w:rFonts w:cs="Calibri"/>
          <w:bCs/>
          <w:iCs/>
        </w:rPr>
        <w:fldChar w:fldCharType="begin"/>
      </w:r>
      <w:r>
        <w:rPr>
          <w:rFonts w:cs="Calibri"/>
          <w:bCs/>
          <w:iCs/>
        </w:rPr>
        <w:instrText xml:space="preserve"> REF _Ref19805057 </w:instrText>
      </w:r>
      <w:r>
        <w:rPr>
          <w:rFonts w:cs="Calibri"/>
          <w:bCs/>
          <w:iCs/>
        </w:rPr>
        <w:fldChar w:fldCharType="separate"/>
      </w:r>
      <w:r>
        <w:rPr>
          <w:rFonts w:cs="Calibri"/>
          <w:bCs/>
          <w:iCs/>
        </w:rPr>
        <w:t>5.2</w:t>
      </w:r>
      <w:r>
        <w:rPr>
          <w:rFonts w:cs="Calibri"/>
          <w:bCs/>
          <w:iCs/>
        </w:rPr>
        <w:fldChar w:fldCharType="end"/>
      </w:r>
      <w:r>
        <w:rPr>
          <w:rFonts w:cs="Calibri"/>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32" w:name="_Ref519588655"/>
      <w:bookmarkEnd w:id="30"/>
      <w:bookmarkEnd w:id="31"/>
    </w:p>
    <w:p w14:paraId="1B9AC4A7" w14:textId="77777777" w:rsidR="003C7B6B" w:rsidRDefault="00471E86">
      <w:pPr>
        <w:pStyle w:val="ListParagraph"/>
        <w:numPr>
          <w:ilvl w:val="1"/>
          <w:numId w:val="33"/>
        </w:numPr>
        <w:suppressAutoHyphens w:val="0"/>
        <w:spacing w:after="160" w:line="244" w:lineRule="auto"/>
        <w:ind w:left="426" w:hanging="426"/>
        <w:textAlignment w:val="auto"/>
      </w:pPr>
      <w:r>
        <w:rPr>
          <w:rFonts w:cs="Calibri"/>
          <w:bCs/>
          <w:iCs/>
        </w:rPr>
        <w:t xml:space="preserve">Failure by the Supplier (or a Key Subcontractor) to comply with the obligations set out in Clauses </w:t>
      </w:r>
      <w:r>
        <w:rPr>
          <w:rFonts w:cs="Calibri"/>
          <w:bCs/>
          <w:iCs/>
        </w:rPr>
        <w:fldChar w:fldCharType="begin"/>
      </w:r>
      <w:r>
        <w:rPr>
          <w:rFonts w:cs="Calibri"/>
          <w:bCs/>
          <w:iCs/>
        </w:rPr>
        <w:instrText xml:space="preserve"> REF _Ref19805057 </w:instrText>
      </w:r>
      <w:r>
        <w:rPr>
          <w:rFonts w:cs="Calibri"/>
          <w:bCs/>
          <w:iCs/>
        </w:rPr>
        <w:fldChar w:fldCharType="separate"/>
      </w:r>
      <w:r>
        <w:rPr>
          <w:rFonts w:cs="Calibri"/>
          <w:bCs/>
          <w:iCs/>
        </w:rPr>
        <w:t>5.2</w:t>
      </w:r>
      <w:r>
        <w:rPr>
          <w:rFonts w:cs="Calibri"/>
          <w:bCs/>
          <w:iCs/>
        </w:rPr>
        <w:fldChar w:fldCharType="end"/>
      </w:r>
      <w:r>
        <w:rPr>
          <w:rFonts w:cs="Calibri"/>
          <w:bCs/>
          <w:iCs/>
        </w:rPr>
        <w:t xml:space="preserve"> and </w:t>
      </w:r>
      <w:r>
        <w:rPr>
          <w:rFonts w:cs="Calibri"/>
          <w:bCs/>
          <w:iCs/>
        </w:rPr>
        <w:fldChar w:fldCharType="begin"/>
      </w:r>
      <w:r>
        <w:rPr>
          <w:rFonts w:cs="Calibri"/>
          <w:bCs/>
          <w:iCs/>
        </w:rPr>
        <w:instrText xml:space="preserve"> REF _Ref19805096 </w:instrText>
      </w:r>
      <w:r>
        <w:rPr>
          <w:rFonts w:cs="Calibri"/>
          <w:bCs/>
          <w:iCs/>
        </w:rPr>
        <w:fldChar w:fldCharType="separate"/>
      </w:r>
      <w:r>
        <w:rPr>
          <w:rFonts w:cs="Calibri"/>
          <w:bCs/>
          <w:iCs/>
        </w:rPr>
        <w:t>5.3</w:t>
      </w:r>
      <w:r>
        <w:rPr>
          <w:rFonts w:cs="Calibri"/>
          <w:bCs/>
          <w:iCs/>
        </w:rPr>
        <w:fldChar w:fldCharType="end"/>
      </w:r>
      <w:r>
        <w:rPr>
          <w:rFonts w:cs="Calibri"/>
          <w:bCs/>
          <w:iCs/>
        </w:rPr>
        <w:t xml:space="preserve"> shall allow the Authority to terminate the Agreement pursuant to the Clause that </w:t>
      </w:r>
      <w:bookmarkEnd w:id="32"/>
      <w:r>
        <w:rPr>
          <w:rFonts w:cs="Calibri"/>
        </w:rPr>
        <w:t>provides the Authority the right to terminate the Agreement for Supplier fault (termination for Supplier cause).</w:t>
      </w:r>
    </w:p>
    <w:p w14:paraId="1B9AC4A8" w14:textId="77777777" w:rsidR="003C7B6B" w:rsidRDefault="003C7B6B">
      <w:pPr>
        <w:pStyle w:val="Body2"/>
        <w:keepLines/>
        <w:spacing w:after="0"/>
        <w:ind w:left="426"/>
        <w:rPr>
          <w:rFonts w:ascii="Calibri" w:hAnsi="Calibri" w:cs="Calibri"/>
          <w:b/>
          <w:spacing w:val="-3"/>
          <w:sz w:val="22"/>
          <w:szCs w:val="22"/>
          <w:lang w:val="en-US"/>
        </w:rPr>
      </w:pPr>
    </w:p>
    <w:p w14:paraId="1B9AC4A9" w14:textId="77777777" w:rsidR="003C7B6B" w:rsidRDefault="00471E86">
      <w:pPr>
        <w:pStyle w:val="Body2"/>
        <w:keepLines/>
        <w:numPr>
          <w:ilvl w:val="0"/>
          <w:numId w:val="33"/>
        </w:numPr>
        <w:spacing w:after="0"/>
        <w:ind w:left="426" w:hanging="426"/>
        <w:rPr>
          <w:rFonts w:ascii="Calibri" w:hAnsi="Calibri" w:cs="Calibri"/>
          <w:b/>
          <w:spacing w:val="-3"/>
          <w:sz w:val="22"/>
          <w:szCs w:val="22"/>
          <w:lang w:val="en-US"/>
        </w:rPr>
      </w:pPr>
      <w:r>
        <w:rPr>
          <w:rFonts w:ascii="Calibri" w:hAnsi="Calibri" w:cs="Calibri"/>
          <w:b/>
          <w:spacing w:val="-3"/>
          <w:sz w:val="22"/>
          <w:szCs w:val="22"/>
          <w:lang w:val="en-US"/>
        </w:rPr>
        <w:t>Data Protection and off-shoring</w:t>
      </w:r>
    </w:p>
    <w:p w14:paraId="1B9AC4AA" w14:textId="77777777" w:rsidR="003C7B6B" w:rsidRDefault="00471E86">
      <w:pPr>
        <w:pStyle w:val="Body2"/>
        <w:keepLines/>
        <w:numPr>
          <w:ilvl w:val="1"/>
          <w:numId w:val="33"/>
        </w:numPr>
        <w:spacing w:after="0"/>
        <w:ind w:left="426" w:hanging="426"/>
        <w:jc w:val="left"/>
        <w:rPr>
          <w:rFonts w:ascii="Calibri" w:hAnsi="Calibri" w:cs="Calibri"/>
          <w:spacing w:val="-3"/>
          <w:sz w:val="22"/>
          <w:szCs w:val="22"/>
          <w:lang w:val="en-US"/>
        </w:rPr>
      </w:pPr>
      <w:bookmarkStart w:id="33" w:name="_Ref19805122"/>
      <w:r>
        <w:rPr>
          <w:rFonts w:ascii="Calibri" w:hAnsi="Calibri" w:cs="Calibri"/>
          <w:spacing w:val="-3"/>
          <w:sz w:val="22"/>
          <w:szCs w:val="22"/>
          <w:lang w:val="en-US"/>
        </w:rPr>
        <w:t>The parties agree that the Supplier shall, whether it is the Controller or Processor, in relation to any Personal Data processed in connection with its obligations under the Agreement:</w:t>
      </w:r>
      <w:bookmarkEnd w:id="33"/>
    </w:p>
    <w:p w14:paraId="1B9AC4AB" w14:textId="77777777" w:rsidR="003C7B6B" w:rsidRDefault="00471E86">
      <w:pPr>
        <w:pStyle w:val="Body2"/>
        <w:keepLines/>
        <w:numPr>
          <w:ilvl w:val="2"/>
          <w:numId w:val="33"/>
        </w:numPr>
        <w:spacing w:after="240"/>
        <w:ind w:left="1134" w:hanging="708"/>
        <w:jc w:val="left"/>
        <w:rPr>
          <w:rFonts w:ascii="Calibri" w:hAnsi="Calibri" w:cs="Calibri"/>
          <w:spacing w:val="-3"/>
          <w:sz w:val="22"/>
          <w:szCs w:val="22"/>
          <w:lang w:val="en-US"/>
        </w:rPr>
      </w:pPr>
      <w:r>
        <w:rPr>
          <w:rFonts w:ascii="Calibri" w:hAnsi="Calibri" w:cs="Calibri"/>
          <w:spacing w:val="-3"/>
          <w:sz w:val="22"/>
          <w:szCs w:val="22"/>
          <w:lang w:val="en-US"/>
        </w:rPr>
        <w:t>not process or permit to be processed Personal Data outside of the United Kingdom unless the prior explicit written consent of the Authority has been obtained and the following conditions are fulfilled:</w:t>
      </w:r>
    </w:p>
    <w:p w14:paraId="1B9AC4AC" w14:textId="77777777" w:rsidR="003C7B6B" w:rsidRDefault="00471E86">
      <w:pPr>
        <w:pStyle w:val="Body2"/>
        <w:keepLines/>
        <w:numPr>
          <w:ilvl w:val="1"/>
          <w:numId w:val="34"/>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the Supplier or any applicable Processor has provided appropriate safeguards in relation to any transfer of the Personal Data (whether in accordance with UK GDPR Article 46 or, where relevant, section 75 of the Data Protection Act 2018) as determined by either the Authority or the Supplier when it is the Controller;</w:t>
      </w:r>
    </w:p>
    <w:p w14:paraId="1B9AC4AD" w14:textId="77777777" w:rsidR="003C7B6B" w:rsidRDefault="00471E86">
      <w:pPr>
        <w:pStyle w:val="Body2"/>
        <w:keepLines/>
        <w:numPr>
          <w:ilvl w:val="1"/>
          <w:numId w:val="34"/>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the Data Subject has enforceable rights and effective legal remedies;</w:t>
      </w:r>
    </w:p>
    <w:p w14:paraId="1B9AC4AE" w14:textId="77777777" w:rsidR="003C7B6B" w:rsidRDefault="00471E86">
      <w:pPr>
        <w:pStyle w:val="Body2"/>
        <w:keepLines/>
        <w:numPr>
          <w:ilvl w:val="1"/>
          <w:numId w:val="34"/>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the Supplier or any applicable Processor complies with its obligations under the Data Protection Legislation by providing an adequate level of protection to any Personal Data that is processed (or, if it is not so bound, uses its best endeavours to assist either the Authority or the Supplier when it is the Controller in meeting its obligations); and</w:t>
      </w:r>
    </w:p>
    <w:p w14:paraId="1B9AC4AF" w14:textId="77777777" w:rsidR="003C7B6B" w:rsidRDefault="00471E86">
      <w:pPr>
        <w:pStyle w:val="Body2"/>
        <w:keepLines/>
        <w:numPr>
          <w:ilvl w:val="1"/>
          <w:numId w:val="34"/>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the Supplier or any applicable Processor complies with any reasonable instructions notified to it in advance by the Controller with respect to the processing of the Personal Data;</w:t>
      </w:r>
    </w:p>
    <w:p w14:paraId="1B9AC4B0" w14:textId="77777777" w:rsidR="003C7B6B" w:rsidRDefault="00471E86">
      <w:pPr>
        <w:pStyle w:val="ListParagraph"/>
        <w:numPr>
          <w:ilvl w:val="1"/>
          <w:numId w:val="33"/>
        </w:numPr>
        <w:suppressAutoHyphens w:val="0"/>
        <w:spacing w:after="160" w:line="244" w:lineRule="auto"/>
        <w:ind w:left="426" w:hanging="426"/>
        <w:textAlignment w:val="auto"/>
      </w:pPr>
      <w:r>
        <w:rPr>
          <w:rFonts w:cs="Calibri"/>
          <w:bCs/>
          <w:iCs/>
        </w:rPr>
        <w:t xml:space="preserve">Failure by the </w:t>
      </w:r>
      <w:r>
        <w:rPr>
          <w:rFonts w:cs="Calibri"/>
          <w:spacing w:val="-3"/>
          <w:lang w:val="en-US"/>
        </w:rPr>
        <w:t xml:space="preserve">Supplier </w:t>
      </w:r>
      <w:r>
        <w:rPr>
          <w:rFonts w:cs="Calibri"/>
          <w:bCs/>
          <w:iCs/>
        </w:rPr>
        <w:t xml:space="preserve">to comply with the obligations set out in Clause </w:t>
      </w:r>
      <w:r>
        <w:rPr>
          <w:rFonts w:cs="Calibri"/>
          <w:bCs/>
          <w:iCs/>
        </w:rPr>
        <w:fldChar w:fldCharType="begin"/>
      </w:r>
      <w:r>
        <w:rPr>
          <w:rFonts w:cs="Calibri"/>
          <w:bCs/>
          <w:iCs/>
        </w:rPr>
        <w:instrText xml:space="preserve"> REF _Ref19805122 </w:instrText>
      </w:r>
      <w:r>
        <w:rPr>
          <w:rFonts w:cs="Calibri"/>
          <w:bCs/>
          <w:iCs/>
        </w:rPr>
        <w:fldChar w:fldCharType="separate"/>
      </w:r>
      <w:r>
        <w:rPr>
          <w:rFonts w:cs="Calibri"/>
          <w:bCs/>
          <w:iCs/>
        </w:rPr>
        <w:t>6.1</w:t>
      </w:r>
      <w:r>
        <w:rPr>
          <w:rFonts w:cs="Calibri"/>
          <w:bCs/>
          <w:iCs/>
        </w:rPr>
        <w:fldChar w:fldCharType="end"/>
      </w:r>
      <w:r>
        <w:rPr>
          <w:rFonts w:cs="Calibri"/>
        </w:rPr>
        <w:t xml:space="preserve"> s</w:t>
      </w:r>
      <w:r>
        <w:rPr>
          <w:rFonts w:cs="Calibri"/>
          <w:bCs/>
          <w:iCs/>
        </w:rPr>
        <w:t xml:space="preserve">hall allow the Authority to terminate the Agreement pursuant to the Clause that </w:t>
      </w:r>
      <w:r>
        <w:rPr>
          <w:rFonts w:cs="Calibri"/>
        </w:rPr>
        <w:t>provides the Authority the right to terminate the Agreement for Supplier fault (termination for Supplier cause or equivalent clause).</w:t>
      </w:r>
    </w:p>
    <w:p w14:paraId="1B9AC4B1" w14:textId="77777777" w:rsidR="003C7B6B" w:rsidRDefault="003C7B6B">
      <w:pPr>
        <w:pStyle w:val="ListParagraph"/>
        <w:ind w:left="426"/>
        <w:rPr>
          <w:rFonts w:cs="Calibri"/>
          <w:b/>
        </w:rPr>
      </w:pPr>
    </w:p>
    <w:p w14:paraId="1B9AC4B2" w14:textId="77777777" w:rsidR="003C7B6B" w:rsidRDefault="00471E86">
      <w:pPr>
        <w:pStyle w:val="ListParagraph"/>
        <w:numPr>
          <w:ilvl w:val="0"/>
          <w:numId w:val="33"/>
        </w:numPr>
        <w:suppressAutoHyphens w:val="0"/>
        <w:spacing w:after="160" w:line="244" w:lineRule="auto"/>
        <w:ind w:left="426" w:hanging="426"/>
        <w:textAlignment w:val="auto"/>
        <w:rPr>
          <w:rFonts w:cs="Calibri"/>
          <w:b/>
        </w:rPr>
      </w:pPr>
      <w:bookmarkStart w:id="34" w:name="_Ref24987602"/>
      <w:bookmarkStart w:id="35" w:name="_Ref25767967"/>
      <w:r>
        <w:rPr>
          <w:rFonts w:cs="Calibri"/>
          <w:b/>
        </w:rPr>
        <w:t>Commissioners for Revenue and Customs Act 2005</w:t>
      </w:r>
      <w:bookmarkEnd w:id="34"/>
      <w:r>
        <w:rPr>
          <w:rFonts w:cs="Calibri"/>
          <w:b/>
        </w:rPr>
        <w:t xml:space="preserve"> and related Legislation</w:t>
      </w:r>
      <w:bookmarkEnd w:id="35"/>
      <w:r>
        <w:rPr>
          <w:rFonts w:cs="Calibri"/>
          <w:b/>
        </w:rPr>
        <w:t xml:space="preserve"> </w:t>
      </w:r>
    </w:p>
    <w:p w14:paraId="1B9AC4B3" w14:textId="77777777" w:rsidR="003C7B6B" w:rsidRDefault="00471E86">
      <w:pPr>
        <w:pStyle w:val="ListParagraph"/>
        <w:numPr>
          <w:ilvl w:val="1"/>
          <w:numId w:val="33"/>
        </w:numPr>
        <w:suppressAutoHyphens w:val="0"/>
        <w:spacing w:after="160" w:line="244" w:lineRule="auto"/>
        <w:ind w:left="426" w:hanging="426"/>
        <w:textAlignment w:val="auto"/>
        <w:rPr>
          <w:rFonts w:cs="Calibri"/>
        </w:rPr>
      </w:pPr>
      <w:bookmarkStart w:id="36" w:name="_Ref19805143"/>
      <w:r>
        <w:rPr>
          <w:rFonts w:cs="Calibri"/>
        </w:rPr>
        <w:t>The Supplier shall comply with, and shall ensure that all Supplier Personnel who will have access to, or are provided with, Authority Data comply with</w:t>
      </w:r>
      <w:bookmarkEnd w:id="36"/>
      <w:r>
        <w:rPr>
          <w:rFonts w:cs="Calibri"/>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1B9AC4B4" w14:textId="77777777" w:rsidR="003C7B6B" w:rsidRDefault="00471E86">
      <w:pPr>
        <w:pStyle w:val="ListParagraph"/>
        <w:numPr>
          <w:ilvl w:val="1"/>
          <w:numId w:val="33"/>
        </w:numPr>
        <w:suppressAutoHyphens w:val="0"/>
        <w:spacing w:after="160" w:line="244" w:lineRule="auto"/>
        <w:ind w:left="426" w:hanging="426"/>
        <w:textAlignment w:val="auto"/>
      </w:pPr>
      <w:r>
        <w:rPr>
          <w:rFonts w:cs="Calibri"/>
        </w:rPr>
        <w:t xml:space="preserve">The Supplier shall comply with, and shall ensure that all Supplier Personnel who will have access to, or are provided with, Authority Data comply with the obligations set out in </w:t>
      </w:r>
      <w:r>
        <w:t xml:space="preserve">Section 123 of </w:t>
      </w:r>
      <w:bookmarkStart w:id="37" w:name="_Hlk69742506"/>
      <w:r>
        <w:t>the Social Security Administration Act 1992</w:t>
      </w:r>
      <w:bookmarkEnd w:id="37"/>
      <w:r>
        <w:t>,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1B9AC4B5" w14:textId="77777777" w:rsidR="003C7B6B" w:rsidRDefault="00471E86">
      <w:pPr>
        <w:pStyle w:val="ListParagraph"/>
        <w:numPr>
          <w:ilvl w:val="1"/>
          <w:numId w:val="33"/>
        </w:numPr>
        <w:suppressAutoHyphens w:val="0"/>
        <w:spacing w:after="160" w:line="244" w:lineRule="auto"/>
        <w:ind w:left="426" w:hanging="426"/>
        <w:textAlignment w:val="auto"/>
      </w:pPr>
      <w:r>
        <w:rPr>
          <w:rFonts w:cs="Calibr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Calibri"/>
        </w:rPr>
        <w:fldChar w:fldCharType="begin"/>
      </w:r>
      <w:r>
        <w:rPr>
          <w:rFonts w:cs="Calibri"/>
        </w:rPr>
        <w:instrText xml:space="preserve"> REF _Ref19805143 </w:instrText>
      </w:r>
      <w:r>
        <w:rPr>
          <w:rFonts w:cs="Calibri"/>
        </w:rPr>
        <w:fldChar w:fldCharType="separate"/>
      </w:r>
      <w:r>
        <w:rPr>
          <w:rFonts w:cs="Calibri"/>
        </w:rPr>
        <w:t>7.1</w:t>
      </w:r>
      <w:r>
        <w:rPr>
          <w:rFonts w:cs="Calibri"/>
        </w:rPr>
        <w:fldChar w:fldCharType="end"/>
      </w:r>
      <w:r>
        <w:rPr>
          <w:rFonts w:cs="Calibri"/>
        </w:rPr>
        <w:t xml:space="preserve"> above.  The Supplier shall monitor the compliance by Supplier Personnel with such obligations.</w:t>
      </w:r>
    </w:p>
    <w:p w14:paraId="1B9AC4B6" w14:textId="77777777" w:rsidR="003C7B6B" w:rsidRDefault="00471E86">
      <w:pPr>
        <w:pStyle w:val="ListParagraph"/>
        <w:numPr>
          <w:ilvl w:val="1"/>
          <w:numId w:val="33"/>
        </w:numPr>
        <w:suppressAutoHyphens w:val="0"/>
        <w:spacing w:after="160" w:line="244" w:lineRule="auto"/>
        <w:ind w:left="426" w:hanging="426"/>
        <w:textAlignment w:val="auto"/>
        <w:rPr>
          <w:rFonts w:cs="Calibri"/>
        </w:rPr>
      </w:pPr>
      <w:r>
        <w:rPr>
          <w:rFonts w:cs="Calibri"/>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1B9AC4B7" w14:textId="77777777" w:rsidR="003C7B6B" w:rsidRDefault="00471E86">
      <w:pPr>
        <w:pStyle w:val="ListParagraph"/>
        <w:numPr>
          <w:ilvl w:val="1"/>
          <w:numId w:val="33"/>
        </w:numPr>
        <w:suppressAutoHyphens w:val="0"/>
        <w:spacing w:after="160" w:line="244" w:lineRule="auto"/>
        <w:ind w:left="426" w:hanging="426"/>
        <w:textAlignment w:val="auto"/>
      </w:pPr>
      <w:r>
        <w:rPr>
          <w:rFonts w:cs="Calibri"/>
        </w:rPr>
        <w:t xml:space="preserve">In the event that the Supplier or the Supplier Personnel fail to comply with this Clause </w:t>
      </w:r>
      <w:r>
        <w:rPr>
          <w:rFonts w:cs="Calibri"/>
        </w:rPr>
        <w:fldChar w:fldCharType="begin"/>
      </w:r>
      <w:r>
        <w:rPr>
          <w:rFonts w:cs="Calibri"/>
        </w:rPr>
        <w:instrText xml:space="preserve"> REF _Ref25767967 </w:instrText>
      </w:r>
      <w:r>
        <w:rPr>
          <w:rFonts w:cs="Calibri"/>
        </w:rPr>
        <w:fldChar w:fldCharType="separate"/>
      </w:r>
      <w:r>
        <w:rPr>
          <w:rFonts w:cs="Calibri"/>
        </w:rPr>
        <w:t>7</w:t>
      </w:r>
      <w:r>
        <w:rPr>
          <w:rFonts w:cs="Calibri"/>
        </w:rPr>
        <w:fldChar w:fldCharType="end"/>
      </w:r>
      <w:r>
        <w:rPr>
          <w:rFonts w:cs="Calibri"/>
        </w:rPr>
        <w:t>, the Authority reserves the right to terminate the Agreement with immediate effect pursuant</w:t>
      </w:r>
      <w:r>
        <w:rPr>
          <w:rFonts w:cs="Calibri"/>
          <w:bCs/>
          <w:iCs/>
        </w:rPr>
        <w:t xml:space="preserve"> to the </w:t>
      </w:r>
      <w:r>
        <w:rPr>
          <w:rFonts w:cs="Calibri"/>
          <w:bCs/>
          <w:iCs/>
        </w:rPr>
        <w:lastRenderedPageBreak/>
        <w:t xml:space="preserve">clause that </w:t>
      </w:r>
      <w:r>
        <w:rPr>
          <w:rFonts w:cs="Calibri"/>
        </w:rPr>
        <w:t>provides the Authority the right to terminate the Agreement for Supplier fault (termination for Supplier cause).</w:t>
      </w:r>
    </w:p>
    <w:p w14:paraId="1B9AC4B8" w14:textId="77777777" w:rsidR="003C7B6B" w:rsidRDefault="003C7B6B">
      <w:pPr>
        <w:rPr>
          <w:rFonts w:cs="Calibri"/>
        </w:rPr>
      </w:pPr>
    </w:p>
    <w:p w14:paraId="1B9AC4B9" w14:textId="77777777" w:rsidR="003C7B6B" w:rsidRDefault="00471E86">
      <w:pPr>
        <w:pageBreakBefore/>
        <w:jc w:val="center"/>
      </w:pPr>
      <w:r>
        <w:rPr>
          <w:rFonts w:cs="Calibri"/>
          <w:b/>
        </w:rPr>
        <w:lastRenderedPageBreak/>
        <w:t>Annex 1</w:t>
      </w:r>
    </w:p>
    <w:p w14:paraId="1B9AC4BA" w14:textId="77777777" w:rsidR="003C7B6B" w:rsidRDefault="00471E86">
      <w:pPr>
        <w:jc w:val="center"/>
      </w:pPr>
      <w:r>
        <w:rPr>
          <w:rFonts w:cs="Calibri"/>
          <w:b/>
        </w:rPr>
        <w:t xml:space="preserve">Excerpt from </w:t>
      </w:r>
      <w:r>
        <w:rPr>
          <w:rFonts w:cs="Calibri"/>
          <w:b/>
          <w:spacing w:val="-2"/>
        </w:rPr>
        <w:t>HMRC’s “Test for Tax Non-Compliance”</w:t>
      </w:r>
    </w:p>
    <w:p w14:paraId="1B9AC4BB" w14:textId="77777777" w:rsidR="003C7B6B" w:rsidRDefault="00471E86">
      <w:pPr>
        <w:pStyle w:val="NormalWeb"/>
        <w:spacing w:after="0"/>
        <w:jc w:val="both"/>
      </w:pPr>
      <w:r>
        <w:rPr>
          <w:rFonts w:ascii="Calibri" w:hAnsi="Calibri" w:cs="Calibri"/>
          <w:i/>
          <w:iCs/>
          <w:color w:val="000000"/>
          <w:sz w:val="22"/>
          <w:szCs w:val="22"/>
        </w:rPr>
        <w:t>Condition one (An in-scope entity or person)</w:t>
      </w:r>
    </w:p>
    <w:p w14:paraId="1B9AC4BC" w14:textId="77777777" w:rsidR="003C7B6B" w:rsidRDefault="003C7B6B">
      <w:pPr>
        <w:pStyle w:val="NormalWeb"/>
        <w:spacing w:after="0"/>
        <w:jc w:val="both"/>
        <w:rPr>
          <w:rFonts w:ascii="Calibri" w:hAnsi="Calibri" w:cs="Calibri"/>
          <w:color w:val="000000"/>
          <w:sz w:val="22"/>
          <w:szCs w:val="22"/>
        </w:rPr>
      </w:pPr>
    </w:p>
    <w:p w14:paraId="1B9AC4BD" w14:textId="77777777" w:rsidR="003C7B6B" w:rsidRDefault="00471E86">
      <w:pPr>
        <w:pStyle w:val="NormalWeb"/>
        <w:numPr>
          <w:ilvl w:val="0"/>
          <w:numId w:val="35"/>
        </w:numPr>
        <w:suppressAutoHyphens w:val="0"/>
        <w:spacing w:before="0" w:after="0"/>
        <w:jc w:val="both"/>
        <w:rPr>
          <w:rFonts w:ascii="Calibri" w:hAnsi="Calibri" w:cs="Calibri"/>
          <w:color w:val="000000"/>
          <w:sz w:val="22"/>
          <w:szCs w:val="22"/>
        </w:rPr>
      </w:pPr>
      <w:r>
        <w:rPr>
          <w:rFonts w:ascii="Calibri" w:hAnsi="Calibri" w:cs="Calibri"/>
          <w:color w:val="000000"/>
          <w:sz w:val="22"/>
          <w:szCs w:val="22"/>
        </w:rPr>
        <w:t>There is a person or entity which is either: (“X”)</w:t>
      </w:r>
    </w:p>
    <w:p w14:paraId="1B9AC4BE" w14:textId="77777777" w:rsidR="003C7B6B" w:rsidRDefault="003C7B6B">
      <w:pPr>
        <w:pStyle w:val="NormalWeb"/>
        <w:spacing w:after="0"/>
        <w:ind w:left="284" w:firstLine="60"/>
        <w:jc w:val="both"/>
        <w:rPr>
          <w:rFonts w:ascii="Calibri" w:hAnsi="Calibri" w:cs="Calibri"/>
          <w:sz w:val="22"/>
          <w:szCs w:val="22"/>
        </w:rPr>
      </w:pPr>
    </w:p>
    <w:p w14:paraId="1B9AC4BF" w14:textId="77777777" w:rsidR="003C7B6B" w:rsidRDefault="00471E86">
      <w:pPr>
        <w:pStyle w:val="NormalWeb"/>
        <w:numPr>
          <w:ilvl w:val="0"/>
          <w:numId w:val="36"/>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The Economic Operator or Essential Subcontractor (EOS)</w:t>
      </w:r>
    </w:p>
    <w:p w14:paraId="1B9AC4C0" w14:textId="77777777" w:rsidR="003C7B6B" w:rsidRDefault="00471E86">
      <w:pPr>
        <w:pStyle w:val="NormalWeb"/>
        <w:numPr>
          <w:ilvl w:val="0"/>
          <w:numId w:val="36"/>
        </w:numPr>
        <w:suppressAutoHyphens w:val="0"/>
        <w:spacing w:before="0" w:after="0"/>
        <w:ind w:left="709" w:hanging="283"/>
        <w:jc w:val="both"/>
      </w:pPr>
      <w:r>
        <w:rPr>
          <w:rFonts w:ascii="Calibri" w:hAnsi="Calibri" w:cs="Calibr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Calibri" w:hAnsi="Calibri" w:cs="Calibri"/>
          <w:i/>
          <w:color w:val="000000"/>
          <w:sz w:val="22"/>
          <w:szCs w:val="22"/>
        </w:rPr>
        <w:t>IFRS 10 Consolidated Financial Accounts</w:t>
      </w:r>
      <w:r>
        <w:rPr>
          <w:rStyle w:val="FootnoteReference"/>
          <w:rFonts w:ascii="Calibri" w:hAnsi="Calibri" w:cs="Calibri"/>
          <w:i/>
          <w:color w:val="000000"/>
          <w:sz w:val="22"/>
          <w:szCs w:val="22"/>
        </w:rPr>
        <w:footnoteReference w:id="1"/>
      </w:r>
      <w:r>
        <w:rPr>
          <w:rFonts w:ascii="Calibri" w:hAnsi="Calibri" w:cs="Calibri"/>
          <w:color w:val="000000"/>
          <w:sz w:val="22"/>
          <w:szCs w:val="22"/>
        </w:rPr>
        <w:t>;</w:t>
      </w:r>
    </w:p>
    <w:p w14:paraId="1B9AC4C1" w14:textId="77777777" w:rsidR="003C7B6B" w:rsidRDefault="00471E86">
      <w:pPr>
        <w:pStyle w:val="NormalWeb"/>
        <w:numPr>
          <w:ilvl w:val="0"/>
          <w:numId w:val="36"/>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1B9AC4C2" w14:textId="77777777" w:rsidR="003C7B6B" w:rsidRDefault="00471E86">
      <w:pPr>
        <w:pStyle w:val="NormalWeb"/>
        <w:spacing w:after="120"/>
        <w:jc w:val="both"/>
        <w:rPr>
          <w:rFonts w:ascii="Calibri" w:hAnsi="Calibri" w:cs="Calibri"/>
          <w:sz w:val="22"/>
          <w:szCs w:val="22"/>
        </w:rPr>
      </w:pPr>
      <w:r>
        <w:rPr>
          <w:rFonts w:ascii="Calibri" w:hAnsi="Calibri" w:cs="Calibri"/>
          <w:sz w:val="22"/>
          <w:szCs w:val="22"/>
        </w:rPr>
        <w:t> </w:t>
      </w:r>
    </w:p>
    <w:p w14:paraId="1B9AC4C3" w14:textId="77777777" w:rsidR="003C7B6B" w:rsidRDefault="00471E86">
      <w:pPr>
        <w:pStyle w:val="NormalWeb"/>
        <w:spacing w:after="120"/>
        <w:jc w:val="both"/>
      </w:pPr>
      <w:r>
        <w:rPr>
          <w:rFonts w:ascii="Calibri" w:hAnsi="Calibri" w:cs="Calibri"/>
          <w:i/>
          <w:iCs/>
          <w:color w:val="000000"/>
          <w:sz w:val="22"/>
          <w:szCs w:val="22"/>
        </w:rPr>
        <w:t>Condition two (Arrangements involving evasion, abuse or tax avoidance)</w:t>
      </w:r>
    </w:p>
    <w:p w14:paraId="1B9AC4C4" w14:textId="77777777" w:rsidR="003C7B6B" w:rsidRDefault="00471E86">
      <w:pPr>
        <w:pStyle w:val="NormalWeb"/>
        <w:numPr>
          <w:ilvl w:val="0"/>
          <w:numId w:val="35"/>
        </w:numPr>
        <w:suppressAutoHyphens w:val="0"/>
        <w:spacing w:before="0" w:after="0"/>
        <w:jc w:val="both"/>
        <w:rPr>
          <w:rFonts w:ascii="Calibri" w:hAnsi="Calibri" w:cs="Calibri"/>
          <w:color w:val="000000"/>
          <w:sz w:val="22"/>
          <w:szCs w:val="22"/>
        </w:rPr>
      </w:pPr>
      <w:r>
        <w:rPr>
          <w:rFonts w:ascii="Calibri" w:hAnsi="Calibri" w:cs="Calibri"/>
          <w:color w:val="000000"/>
          <w:sz w:val="22"/>
          <w:szCs w:val="22"/>
        </w:rPr>
        <w:t>X has been engaged in one or more of the following:</w:t>
      </w:r>
    </w:p>
    <w:p w14:paraId="1B9AC4C5" w14:textId="77777777" w:rsidR="003C7B6B" w:rsidRDefault="003C7B6B">
      <w:pPr>
        <w:pStyle w:val="NormalWeb"/>
        <w:spacing w:after="0"/>
        <w:jc w:val="both"/>
        <w:rPr>
          <w:rFonts w:ascii="Calibri" w:hAnsi="Calibri" w:cs="Calibri"/>
          <w:color w:val="000000"/>
          <w:sz w:val="22"/>
          <w:szCs w:val="22"/>
        </w:rPr>
      </w:pPr>
    </w:p>
    <w:p w14:paraId="1B9AC4C6" w14:textId="77777777" w:rsidR="003C7B6B" w:rsidRDefault="00471E86">
      <w:pPr>
        <w:pStyle w:val="NormalWeb"/>
        <w:numPr>
          <w:ilvl w:val="1"/>
          <w:numId w:val="37"/>
        </w:numPr>
        <w:suppressAutoHyphens w:val="0"/>
        <w:spacing w:before="0" w:after="0"/>
        <w:ind w:left="1080" w:hanging="360"/>
        <w:jc w:val="both"/>
      </w:pPr>
      <w:r>
        <w:rPr>
          <w:rFonts w:ascii="Calibri" w:hAnsi="Calibri" w:cs="Calibri"/>
          <w:color w:val="000000"/>
          <w:sz w:val="22"/>
          <w:szCs w:val="22"/>
        </w:rPr>
        <w:t>Fraudulent evasion</w:t>
      </w:r>
      <w:r>
        <w:rPr>
          <w:rStyle w:val="FootnoteReference"/>
          <w:rFonts w:ascii="Calibri" w:hAnsi="Calibri" w:cs="Calibri"/>
          <w:color w:val="000000"/>
          <w:sz w:val="22"/>
          <w:szCs w:val="22"/>
        </w:rPr>
        <w:footnoteReference w:id="2"/>
      </w:r>
      <w:r>
        <w:rPr>
          <w:rFonts w:ascii="Calibri" w:hAnsi="Calibri" w:cs="Calibri"/>
          <w:color w:val="000000"/>
          <w:sz w:val="22"/>
          <w:szCs w:val="22"/>
        </w:rPr>
        <w:t>;</w:t>
      </w:r>
    </w:p>
    <w:p w14:paraId="1B9AC4C7" w14:textId="77777777" w:rsidR="003C7B6B" w:rsidRDefault="00471E86">
      <w:pPr>
        <w:pStyle w:val="NormalWeb"/>
        <w:numPr>
          <w:ilvl w:val="1"/>
          <w:numId w:val="37"/>
        </w:numPr>
        <w:suppressAutoHyphens w:val="0"/>
        <w:spacing w:before="0" w:after="0"/>
        <w:ind w:left="1080" w:hanging="360"/>
        <w:jc w:val="both"/>
      </w:pPr>
      <w:r>
        <w:rPr>
          <w:rFonts w:ascii="Calibri" w:hAnsi="Calibri" w:cs="Calibri"/>
          <w:color w:val="000000"/>
          <w:sz w:val="22"/>
          <w:szCs w:val="22"/>
        </w:rPr>
        <w:t>Conduct caught by the General Anti-Abuse Rule</w:t>
      </w:r>
      <w:r>
        <w:rPr>
          <w:rStyle w:val="FootnoteReference"/>
          <w:rFonts w:ascii="Calibri" w:hAnsi="Calibri" w:cs="Calibri"/>
          <w:color w:val="000000"/>
          <w:sz w:val="22"/>
          <w:szCs w:val="22"/>
        </w:rPr>
        <w:footnoteReference w:id="3"/>
      </w:r>
      <w:r>
        <w:rPr>
          <w:rFonts w:ascii="Calibri" w:hAnsi="Calibri" w:cs="Calibri"/>
          <w:color w:val="000000"/>
          <w:sz w:val="22"/>
          <w:szCs w:val="22"/>
        </w:rPr>
        <w:t>;</w:t>
      </w:r>
    </w:p>
    <w:p w14:paraId="1B9AC4C8" w14:textId="77777777" w:rsidR="003C7B6B" w:rsidRDefault="00471E86">
      <w:pPr>
        <w:pStyle w:val="NormalWeb"/>
        <w:numPr>
          <w:ilvl w:val="1"/>
          <w:numId w:val="37"/>
        </w:numPr>
        <w:suppressAutoHyphens w:val="0"/>
        <w:spacing w:before="0" w:after="0"/>
        <w:ind w:left="1080" w:hanging="360"/>
        <w:jc w:val="both"/>
      </w:pPr>
      <w:r>
        <w:rPr>
          <w:rFonts w:ascii="Calibri" w:hAnsi="Calibri" w:cs="Calibri"/>
          <w:color w:val="000000"/>
          <w:sz w:val="22"/>
          <w:szCs w:val="22"/>
        </w:rPr>
        <w:t>Conduct caught by the Halifax Abuse principle</w:t>
      </w:r>
      <w:r>
        <w:rPr>
          <w:rStyle w:val="FootnoteReference"/>
          <w:rFonts w:ascii="Calibri" w:hAnsi="Calibri" w:cs="Calibri"/>
          <w:color w:val="000000"/>
          <w:sz w:val="22"/>
          <w:szCs w:val="22"/>
        </w:rPr>
        <w:footnoteReference w:id="4"/>
      </w:r>
      <w:r>
        <w:rPr>
          <w:rFonts w:ascii="Calibri" w:hAnsi="Calibri" w:cs="Calibri"/>
          <w:color w:val="000000"/>
          <w:sz w:val="22"/>
          <w:szCs w:val="22"/>
        </w:rPr>
        <w:t>;</w:t>
      </w:r>
    </w:p>
    <w:p w14:paraId="1B9AC4C9" w14:textId="77777777" w:rsidR="003C7B6B" w:rsidRDefault="00471E86">
      <w:pPr>
        <w:pStyle w:val="NormalWeb"/>
        <w:numPr>
          <w:ilvl w:val="1"/>
          <w:numId w:val="37"/>
        </w:numPr>
        <w:suppressAutoHyphens w:val="0"/>
        <w:spacing w:before="0" w:after="0"/>
        <w:ind w:left="1080" w:hanging="360"/>
        <w:jc w:val="both"/>
      </w:pPr>
      <w:r>
        <w:rPr>
          <w:rFonts w:ascii="Calibri" w:hAnsi="Calibri" w:cs="Calibri"/>
          <w:color w:val="000000"/>
          <w:sz w:val="22"/>
          <w:szCs w:val="22"/>
        </w:rPr>
        <w:t>Entered into arrangements caught by a DOTAS or VADR scheme</w:t>
      </w:r>
      <w:r>
        <w:rPr>
          <w:rStyle w:val="FootnoteReference"/>
          <w:rFonts w:ascii="Calibri" w:hAnsi="Calibri" w:cs="Calibri"/>
          <w:color w:val="000000"/>
          <w:sz w:val="22"/>
          <w:szCs w:val="22"/>
        </w:rPr>
        <w:footnoteReference w:id="5"/>
      </w:r>
      <w:r>
        <w:rPr>
          <w:rFonts w:ascii="Calibri" w:hAnsi="Calibri" w:cs="Calibri"/>
          <w:color w:val="000000"/>
          <w:sz w:val="22"/>
          <w:szCs w:val="22"/>
        </w:rPr>
        <w:t>;</w:t>
      </w:r>
    </w:p>
    <w:p w14:paraId="1B9AC4CA" w14:textId="77777777" w:rsidR="003C7B6B" w:rsidRDefault="00471E86">
      <w:pPr>
        <w:pStyle w:val="NormalWeb"/>
        <w:numPr>
          <w:ilvl w:val="1"/>
          <w:numId w:val="37"/>
        </w:numPr>
        <w:suppressAutoHyphens w:val="0"/>
        <w:spacing w:after="0"/>
        <w:ind w:left="1080" w:hanging="360"/>
        <w:jc w:val="both"/>
      </w:pPr>
      <w:r>
        <w:rPr>
          <w:rFonts w:ascii="Calibri" w:hAnsi="Calibri" w:cs="Calibri"/>
          <w:color w:val="000000"/>
          <w:sz w:val="22"/>
          <w:szCs w:val="22"/>
        </w:rPr>
        <w:t>Conduct caught by a recognised ‘anti-avoidance rule’</w:t>
      </w:r>
      <w:r>
        <w:rPr>
          <w:rStyle w:val="FootnoteReference"/>
          <w:rFonts w:ascii="Calibri" w:hAnsi="Calibri" w:cs="Calibri"/>
          <w:color w:val="000000"/>
          <w:sz w:val="22"/>
          <w:szCs w:val="22"/>
        </w:rPr>
        <w:footnoteReference w:id="6"/>
      </w:r>
      <w:r>
        <w:rPr>
          <w:rFonts w:ascii="Calibri" w:hAnsi="Calibri" w:cs="Calibri"/>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1B9AC4CB" w14:textId="77777777" w:rsidR="003C7B6B" w:rsidRDefault="00471E86">
      <w:pPr>
        <w:pStyle w:val="NormalWeb"/>
        <w:numPr>
          <w:ilvl w:val="1"/>
          <w:numId w:val="37"/>
        </w:numPr>
        <w:suppressAutoHyphens w:val="0"/>
        <w:spacing w:before="0" w:after="0"/>
        <w:ind w:left="1080" w:hanging="360"/>
        <w:jc w:val="both"/>
      </w:pPr>
      <w:r>
        <w:rPr>
          <w:rFonts w:ascii="Calibri" w:hAnsi="Calibri" w:cs="Calibri"/>
          <w:color w:val="000000"/>
          <w:sz w:val="22"/>
          <w:szCs w:val="22"/>
        </w:rPr>
        <w:t>Entered into an avoidance scheme identified by HMRC’s published Spotlights list</w:t>
      </w:r>
      <w:r>
        <w:rPr>
          <w:rStyle w:val="FootnoteReference"/>
          <w:rFonts w:ascii="Calibri" w:hAnsi="Calibri" w:cs="Calibri"/>
          <w:color w:val="000000"/>
          <w:sz w:val="22"/>
          <w:szCs w:val="22"/>
        </w:rPr>
        <w:footnoteReference w:id="7"/>
      </w:r>
      <w:r>
        <w:rPr>
          <w:rFonts w:ascii="Calibri" w:hAnsi="Calibri" w:cs="Calibri"/>
          <w:color w:val="000000"/>
          <w:sz w:val="22"/>
          <w:szCs w:val="22"/>
        </w:rPr>
        <w:t>;</w:t>
      </w:r>
    </w:p>
    <w:p w14:paraId="1B9AC4CC" w14:textId="77777777" w:rsidR="003C7B6B" w:rsidRDefault="00471E86">
      <w:pPr>
        <w:pStyle w:val="NormalWeb"/>
        <w:numPr>
          <w:ilvl w:val="1"/>
          <w:numId w:val="37"/>
        </w:numPr>
        <w:suppressAutoHyphens w:val="0"/>
        <w:spacing w:after="120"/>
        <w:ind w:left="1080" w:hanging="360"/>
        <w:jc w:val="both"/>
        <w:rPr>
          <w:rFonts w:ascii="Calibri" w:hAnsi="Calibri" w:cs="Calibri"/>
          <w:color w:val="000000"/>
          <w:sz w:val="22"/>
          <w:szCs w:val="22"/>
        </w:rPr>
      </w:pPr>
      <w:r>
        <w:rPr>
          <w:rFonts w:ascii="Calibri" w:hAnsi="Calibri" w:cs="Calibri"/>
          <w:color w:val="000000"/>
          <w:sz w:val="22"/>
          <w:szCs w:val="22"/>
        </w:rPr>
        <w:t>Engaged in conduct which falls under rules in other jurisdictions which are equivalent or similar to (a) to (f) above.</w:t>
      </w:r>
    </w:p>
    <w:p w14:paraId="1B9AC4CD" w14:textId="77777777" w:rsidR="003C7B6B" w:rsidRDefault="00471E86">
      <w:pPr>
        <w:pStyle w:val="NormalWeb"/>
        <w:spacing w:after="120"/>
        <w:jc w:val="both"/>
      </w:pPr>
      <w:r>
        <w:rPr>
          <w:rFonts w:ascii="Calibri" w:hAnsi="Calibri" w:cs="Calibri"/>
          <w:i/>
          <w:iCs/>
          <w:color w:val="000000"/>
          <w:sz w:val="22"/>
          <w:szCs w:val="22"/>
        </w:rPr>
        <w:lastRenderedPageBreak/>
        <w:t>Condition three (Arrangements are admitted, or subject to litigation/prosecution or identified in a published list (Spotlights))</w:t>
      </w:r>
    </w:p>
    <w:p w14:paraId="1B9AC4CE" w14:textId="77777777" w:rsidR="003C7B6B" w:rsidRDefault="00471E86">
      <w:pPr>
        <w:pStyle w:val="NormalWeb"/>
        <w:numPr>
          <w:ilvl w:val="0"/>
          <w:numId w:val="35"/>
        </w:numPr>
        <w:suppressAutoHyphens w:val="0"/>
        <w:spacing w:before="0" w:after="0"/>
        <w:jc w:val="both"/>
      </w:pPr>
      <w:r>
        <w:rPr>
          <w:rFonts w:ascii="Calibri" w:hAnsi="Calibri" w:cs="Calibri"/>
          <w:color w:val="000000"/>
          <w:sz w:val="22"/>
          <w:szCs w:val="22"/>
        </w:rPr>
        <w:t xml:space="preserve">X’s activity in </w:t>
      </w:r>
      <w:r>
        <w:rPr>
          <w:rFonts w:ascii="Calibri" w:hAnsi="Calibri" w:cs="Calibri"/>
          <w:i/>
          <w:color w:val="000000"/>
          <w:sz w:val="22"/>
          <w:szCs w:val="22"/>
        </w:rPr>
        <w:t>Condition 2</w:t>
      </w:r>
      <w:r>
        <w:rPr>
          <w:rFonts w:ascii="Calibri" w:hAnsi="Calibri" w:cs="Calibri"/>
          <w:color w:val="000000"/>
          <w:sz w:val="22"/>
          <w:szCs w:val="22"/>
        </w:rPr>
        <w:t xml:space="preserve"> is, where applicable, subject to dispute and/or litigation as follows:</w:t>
      </w:r>
    </w:p>
    <w:p w14:paraId="1B9AC4CF" w14:textId="77777777" w:rsidR="003C7B6B" w:rsidRDefault="003C7B6B">
      <w:pPr>
        <w:pStyle w:val="NormalWeb"/>
        <w:spacing w:after="0"/>
        <w:ind w:firstLine="60"/>
        <w:rPr>
          <w:rFonts w:ascii="Calibri" w:hAnsi="Calibri" w:cs="Calibri"/>
          <w:sz w:val="22"/>
          <w:szCs w:val="22"/>
        </w:rPr>
      </w:pPr>
    </w:p>
    <w:p w14:paraId="1B9AC4D0" w14:textId="77777777" w:rsidR="003C7B6B" w:rsidRDefault="00471E86">
      <w:pPr>
        <w:pStyle w:val="NormalWeb"/>
        <w:numPr>
          <w:ilvl w:val="1"/>
          <w:numId w:val="38"/>
        </w:numPr>
        <w:tabs>
          <w:tab w:val="left" w:pos="1440"/>
        </w:tabs>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(a), either X:</w:t>
      </w:r>
    </w:p>
    <w:p w14:paraId="1B9AC4D1" w14:textId="77777777" w:rsidR="003C7B6B" w:rsidRDefault="00471E86">
      <w:pPr>
        <w:pStyle w:val="NormalWeb"/>
        <w:numPr>
          <w:ilvl w:val="2"/>
          <w:numId w:val="38"/>
        </w:numPr>
        <w:tabs>
          <w:tab w:val="left" w:pos="1418"/>
        </w:tabs>
        <w:suppressAutoHyphens w:val="0"/>
        <w:spacing w:before="0" w:after="0"/>
        <w:ind w:left="1418" w:hanging="425"/>
        <w:jc w:val="both"/>
      </w:pPr>
      <w:r>
        <w:rPr>
          <w:rFonts w:ascii="Calibri" w:hAnsi="Calibri" w:cs="Calibri"/>
          <w:color w:val="000000"/>
          <w:sz w:val="22"/>
          <w:szCs w:val="22"/>
        </w:rPr>
        <w:t>Has accepted the terms of an offer made under a Contractual Disclosure Facility (CDF) pursuant to the Code of Practice 9 (COP9) procedure</w:t>
      </w:r>
      <w:r>
        <w:rPr>
          <w:rStyle w:val="FootnoteReference"/>
          <w:rFonts w:ascii="Calibri" w:hAnsi="Calibri" w:cs="Calibri"/>
          <w:color w:val="000000"/>
          <w:sz w:val="22"/>
          <w:szCs w:val="22"/>
        </w:rPr>
        <w:footnoteReference w:id="8"/>
      </w:r>
      <w:r>
        <w:rPr>
          <w:rFonts w:ascii="Calibri" w:hAnsi="Calibri" w:cs="Calibri"/>
          <w:color w:val="000000"/>
          <w:sz w:val="22"/>
          <w:szCs w:val="22"/>
        </w:rPr>
        <w:t>; or,</w:t>
      </w:r>
    </w:p>
    <w:p w14:paraId="1B9AC4D2" w14:textId="77777777" w:rsidR="003C7B6B" w:rsidRDefault="00471E86">
      <w:pPr>
        <w:pStyle w:val="NormalWeb"/>
        <w:numPr>
          <w:ilvl w:val="2"/>
          <w:numId w:val="38"/>
        </w:numPr>
        <w:tabs>
          <w:tab w:val="left" w:pos="1418"/>
          <w:tab w:val="left" w:pos="2160"/>
        </w:tabs>
        <w:suppressAutoHyphens w:val="0"/>
        <w:spacing w:before="0" w:after="0"/>
        <w:ind w:left="1418" w:hanging="425"/>
        <w:jc w:val="both"/>
        <w:rPr>
          <w:rFonts w:ascii="Calibri" w:hAnsi="Calibri" w:cs="Calibri"/>
          <w:color w:val="000000"/>
          <w:sz w:val="22"/>
          <w:szCs w:val="22"/>
        </w:rPr>
      </w:pPr>
      <w:r>
        <w:rPr>
          <w:rFonts w:ascii="Calibri" w:hAnsi="Calibri" w:cs="Calibri"/>
          <w:color w:val="000000"/>
          <w:sz w:val="22"/>
          <w:szCs w:val="22"/>
        </w:rPr>
        <w:t xml:space="preserve">Has been charged with an offence of fraudulent evasion. </w:t>
      </w:r>
    </w:p>
    <w:p w14:paraId="1B9AC4D3" w14:textId="77777777" w:rsidR="003C7B6B" w:rsidRDefault="00471E86">
      <w:pPr>
        <w:pStyle w:val="NormalWeb"/>
        <w:numPr>
          <w:ilvl w:val="1"/>
          <w:numId w:val="38"/>
        </w:numPr>
        <w:tabs>
          <w:tab w:val="left" w:pos="1440"/>
        </w:tabs>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1B9AC4D4" w14:textId="77777777" w:rsidR="003C7B6B" w:rsidRDefault="00471E86">
      <w:pPr>
        <w:pStyle w:val="NormalWeb"/>
        <w:numPr>
          <w:ilvl w:val="1"/>
          <w:numId w:val="38"/>
        </w:numPr>
        <w:tabs>
          <w:tab w:val="left" w:pos="1440"/>
        </w:tabs>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(b) to (e), during an HMRC enquiry, if it has been agreed between HMRC and X that there is a pause with the enquiry in order to await the outcome of related litigation.</w:t>
      </w:r>
    </w:p>
    <w:p w14:paraId="1B9AC4D5" w14:textId="77777777" w:rsidR="003C7B6B" w:rsidRDefault="00471E86">
      <w:pPr>
        <w:pStyle w:val="NormalWeb"/>
        <w:numPr>
          <w:ilvl w:val="1"/>
          <w:numId w:val="38"/>
        </w:numPr>
        <w:tabs>
          <w:tab w:val="left" w:pos="1440"/>
        </w:tabs>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(f) this condition is satisfied without any further steps being taken.</w:t>
      </w:r>
    </w:p>
    <w:p w14:paraId="1B9AC4D6" w14:textId="77777777" w:rsidR="003C7B6B" w:rsidRDefault="00471E86">
      <w:pPr>
        <w:pStyle w:val="NormalWeb"/>
        <w:numPr>
          <w:ilvl w:val="1"/>
          <w:numId w:val="38"/>
        </w:numPr>
        <w:tabs>
          <w:tab w:val="left" w:pos="1440"/>
        </w:tabs>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(g) the foreign equivalent to each of the corresponding steps set out above in (i) to (iii).</w:t>
      </w:r>
    </w:p>
    <w:p w14:paraId="1B9AC4D7" w14:textId="77777777" w:rsidR="003C7B6B" w:rsidRDefault="00471E86">
      <w:pPr>
        <w:pStyle w:val="NormalWeb"/>
        <w:spacing w:after="120"/>
        <w:jc w:val="both"/>
        <w:rPr>
          <w:rFonts w:ascii="Calibri" w:hAnsi="Calibri" w:cs="Calibri"/>
          <w:sz w:val="22"/>
          <w:szCs w:val="22"/>
        </w:rPr>
      </w:pPr>
      <w:r>
        <w:rPr>
          <w:rFonts w:ascii="Calibri" w:hAnsi="Calibri" w:cs="Calibri"/>
          <w:sz w:val="22"/>
          <w:szCs w:val="22"/>
        </w:rPr>
        <w:t> </w:t>
      </w:r>
    </w:p>
    <w:p w14:paraId="1B9AC4D8" w14:textId="77777777" w:rsidR="003C7B6B" w:rsidRDefault="00471E86">
      <w:pPr>
        <w:pStyle w:val="Heading3"/>
        <w:keepNext w:val="0"/>
        <w:keepLines w:val="0"/>
        <w:tabs>
          <w:tab w:val="left" w:pos="1701"/>
        </w:tabs>
        <w:spacing w:before="0" w:after="220" w:line="240" w:lineRule="auto"/>
        <w:jc w:val="both"/>
        <w:rPr>
          <w:rFonts w:ascii="Calibri" w:hAnsi="Calibri" w:cs="Calibri"/>
          <w:color w:val="auto"/>
          <w:sz w:val="22"/>
          <w:szCs w:val="22"/>
        </w:rPr>
      </w:pPr>
      <w:r>
        <w:rPr>
          <w:rFonts w:ascii="Calibri" w:hAnsi="Calibri" w:cs="Calibri"/>
          <w:color w:val="auto"/>
          <w:sz w:val="22"/>
          <w:szCs w:val="22"/>
        </w:rPr>
        <w:t>For the avoidance of doubt, any reference in this Annex 1 to any Law includes a reference to that Law as amended, extended, consolidated or re</w:t>
      </w:r>
      <w:r>
        <w:rPr>
          <w:rFonts w:ascii="Calibri" w:hAnsi="Calibri" w:cs="Calibri"/>
          <w:color w:val="auto"/>
          <w:sz w:val="22"/>
          <w:szCs w:val="22"/>
        </w:rPr>
        <w:noBreakHyphen/>
        <w:t xml:space="preserve">enacted from time to time including any implementing or successor legislation. </w:t>
      </w:r>
    </w:p>
    <w:p w14:paraId="1B9AC4D9" w14:textId="77777777" w:rsidR="003C7B6B" w:rsidRDefault="003C7B6B">
      <w:pPr>
        <w:pageBreakBefore/>
        <w:rPr>
          <w:rFonts w:cs="Calibri"/>
        </w:rPr>
      </w:pPr>
    </w:p>
    <w:p w14:paraId="1B9AC4DA" w14:textId="77777777" w:rsidR="003C7B6B" w:rsidRDefault="00471E86">
      <w:pPr>
        <w:jc w:val="center"/>
        <w:rPr>
          <w:rFonts w:cs="Calibri"/>
          <w:b/>
        </w:rPr>
      </w:pPr>
      <w:r>
        <w:rPr>
          <w:rFonts w:cs="Calibri"/>
          <w:b/>
        </w:rPr>
        <w:t xml:space="preserve">Annex 2 Form </w:t>
      </w:r>
    </w:p>
    <w:p w14:paraId="1B9AC4DB" w14:textId="77777777" w:rsidR="003C7B6B" w:rsidRDefault="00471E86">
      <w:pPr>
        <w:jc w:val="center"/>
        <w:rPr>
          <w:rFonts w:cs="Calibri"/>
          <w:b/>
        </w:rPr>
      </w:pPr>
      <w:r>
        <w:rPr>
          <w:rFonts w:cs="Calibri"/>
          <w:b/>
        </w:rPr>
        <w:t xml:space="preserve">CONFIDENTIALITY DECLARATION </w:t>
      </w:r>
    </w:p>
    <w:p w14:paraId="1B9AC4DC" w14:textId="597B632B" w:rsidR="003C7B6B" w:rsidRDefault="00471E86">
      <w:pPr>
        <w:jc w:val="both"/>
      </w:pPr>
      <w:r>
        <w:rPr>
          <w:rFonts w:cs="Calibri"/>
        </w:rPr>
        <w:t>CONTRACT REFERENCE: [</w:t>
      </w:r>
      <w:r>
        <w:t xml:space="preserve">SR876736460 </w:t>
      </w:r>
      <w:r w:rsidR="00C25E9C">
        <w:t xml:space="preserve">14/04/2022] </w:t>
      </w:r>
      <w:r>
        <w:rPr>
          <w:rFonts w:cs="Calibri"/>
        </w:rPr>
        <w:t>(‘the Agreement’)</w:t>
      </w:r>
    </w:p>
    <w:p w14:paraId="1B9AC4DD" w14:textId="77777777" w:rsidR="003C7B6B" w:rsidRDefault="00471E86">
      <w:pPr>
        <w:jc w:val="both"/>
        <w:rPr>
          <w:rFonts w:cs="Calibri"/>
        </w:rPr>
      </w:pPr>
      <w:r>
        <w:rPr>
          <w:rFonts w:cs="Calibri"/>
        </w:rPr>
        <w:t>DECLARATION:</w:t>
      </w:r>
    </w:p>
    <w:p w14:paraId="1B9AC4DE" w14:textId="77777777" w:rsidR="003C7B6B" w:rsidRDefault="00471E86">
      <w:pPr>
        <w:jc w:val="both"/>
        <w:rPr>
          <w:rFonts w:cs="Calibri"/>
        </w:rPr>
      </w:pPr>
      <w:r>
        <w:rPr>
          <w:rFonts w:cs="Calibri"/>
        </w:rPr>
        <w:t xml:space="preserve">I solemnly declare that: </w:t>
      </w:r>
    </w:p>
    <w:p w14:paraId="1B9AC4DF" w14:textId="77777777" w:rsidR="003C7B6B" w:rsidRDefault="00471E86">
      <w:pPr>
        <w:pStyle w:val="ListParagraph"/>
        <w:numPr>
          <w:ilvl w:val="0"/>
          <w:numId w:val="39"/>
        </w:numPr>
        <w:suppressAutoHyphens w:val="0"/>
        <w:spacing w:after="160"/>
        <w:ind w:left="426" w:hanging="426"/>
        <w:jc w:val="both"/>
        <w:textAlignment w:val="auto"/>
      </w:pPr>
      <w:r>
        <w:rPr>
          <w:rFonts w:cs="Calibri"/>
        </w:rPr>
        <w:t xml:space="preserve">I am aware that the duty of confidentiality imposed by section 18 of the Commissioners for Revenue and Customs Act 2005 applies to </w:t>
      </w:r>
      <w:r>
        <w:t xml:space="preserve">Authority Data (as defined in the Agreement) </w:t>
      </w:r>
      <w:r>
        <w:rPr>
          <w:rFonts w:cs="Calibri"/>
        </w:rPr>
        <w:t>that has been or will be provided to me in accordance with the Agreement.</w:t>
      </w:r>
    </w:p>
    <w:p w14:paraId="1B9AC4E0" w14:textId="77777777" w:rsidR="003C7B6B" w:rsidRDefault="00471E86">
      <w:pPr>
        <w:pStyle w:val="ListParagraph"/>
        <w:numPr>
          <w:ilvl w:val="0"/>
          <w:numId w:val="39"/>
        </w:numPr>
        <w:suppressAutoHyphens w:val="0"/>
        <w:spacing w:after="160"/>
        <w:ind w:left="426" w:hanging="426"/>
        <w:jc w:val="both"/>
        <w:textAlignment w:val="auto"/>
        <w:rPr>
          <w:rFonts w:cs="Calibri"/>
        </w:rPr>
      </w:pPr>
      <w:r>
        <w:rPr>
          <w:rFonts w:cs="Calibri"/>
        </w:rPr>
        <w:t xml:space="preserve">I understand and acknowledge that under Section 19 of the Commissioners for Revenue and Customs Act 2005 it may be a criminal offence to disclose any Authority Data provided to me. </w:t>
      </w:r>
    </w:p>
    <w:p w14:paraId="1B9AC4E1" w14:textId="77777777" w:rsidR="003C7B6B" w:rsidRDefault="003C7B6B">
      <w:pPr>
        <w:pStyle w:val="ListParagraph"/>
        <w:ind w:left="426"/>
        <w:jc w:val="both"/>
        <w:rPr>
          <w:rFonts w:cs="Calibri"/>
        </w:rPr>
      </w:pPr>
    </w:p>
    <w:tbl>
      <w:tblPr>
        <w:tblW w:w="5670" w:type="dxa"/>
        <w:tblInd w:w="421" w:type="dxa"/>
        <w:tblCellMar>
          <w:left w:w="10" w:type="dxa"/>
          <w:right w:w="10" w:type="dxa"/>
        </w:tblCellMar>
        <w:tblLook w:val="0000" w:firstRow="0" w:lastRow="0" w:firstColumn="0" w:lastColumn="0" w:noHBand="0" w:noVBand="0"/>
      </w:tblPr>
      <w:tblGrid>
        <w:gridCol w:w="5670"/>
      </w:tblGrid>
      <w:tr w:rsidR="003C7B6B" w14:paraId="1B9AC4E3"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C4E2" w14:textId="6B5C1D0A" w:rsidR="003C7B6B" w:rsidRDefault="00471E86">
            <w:pPr>
              <w:spacing w:line="360" w:lineRule="auto"/>
              <w:rPr>
                <w:rFonts w:cs="Calibri"/>
              </w:rPr>
            </w:pPr>
            <w:r>
              <w:rPr>
                <w:rFonts w:cs="Calibri"/>
              </w:rPr>
              <w:t>SIGNED:</w:t>
            </w:r>
            <w:r w:rsidR="00F4105E">
              <w:rPr>
                <w:rFonts w:cs="Calibri"/>
              </w:rPr>
              <w:t xml:space="preserve"> </w:t>
            </w:r>
            <w:r w:rsidR="00F4105E" w:rsidRPr="00F4105E">
              <w:rPr>
                <w:rFonts w:cs="Calibri"/>
                <w:highlight w:val="black"/>
              </w:rPr>
              <w:t>XXXXXXXXX</w:t>
            </w:r>
          </w:p>
        </w:tc>
      </w:tr>
      <w:tr w:rsidR="003C7B6B" w14:paraId="1B9AC4E5"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C4E4" w14:textId="7C92007F" w:rsidR="003C7B6B" w:rsidRDefault="00471E86">
            <w:pPr>
              <w:spacing w:line="360" w:lineRule="auto"/>
              <w:rPr>
                <w:rFonts w:cs="Calibri"/>
              </w:rPr>
            </w:pPr>
            <w:r>
              <w:rPr>
                <w:rFonts w:cs="Calibri"/>
              </w:rPr>
              <w:t>FULL NAME:</w:t>
            </w:r>
            <w:r w:rsidR="00F4105E">
              <w:rPr>
                <w:rFonts w:cs="Calibri"/>
              </w:rPr>
              <w:t xml:space="preserve"> </w:t>
            </w:r>
            <w:r w:rsidR="00F4105E" w:rsidRPr="00F4105E">
              <w:rPr>
                <w:rFonts w:cs="Calibri"/>
                <w:highlight w:val="black"/>
              </w:rPr>
              <w:t>XXXXXXXX</w:t>
            </w:r>
          </w:p>
        </w:tc>
      </w:tr>
      <w:tr w:rsidR="003C7B6B" w14:paraId="1B9AC4E7"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C4E6" w14:textId="2F6EB667" w:rsidR="003C7B6B" w:rsidRDefault="00471E86">
            <w:pPr>
              <w:spacing w:line="360" w:lineRule="auto"/>
              <w:rPr>
                <w:rFonts w:cs="Calibri"/>
              </w:rPr>
            </w:pPr>
            <w:r>
              <w:rPr>
                <w:rFonts w:cs="Calibri"/>
              </w:rPr>
              <w:t>POSITION:</w:t>
            </w:r>
            <w:r w:rsidR="00F4105E">
              <w:rPr>
                <w:rFonts w:cs="Calibri"/>
              </w:rPr>
              <w:t xml:space="preserve"> </w:t>
            </w:r>
            <w:r w:rsidR="00F4105E" w:rsidRPr="00F4105E">
              <w:rPr>
                <w:rFonts w:cs="Calibri"/>
                <w:highlight w:val="black"/>
              </w:rPr>
              <w:t>XXXXXXXX</w:t>
            </w:r>
          </w:p>
        </w:tc>
      </w:tr>
      <w:tr w:rsidR="003C7B6B" w14:paraId="1B9AC4E9"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C4E8" w14:textId="23064189" w:rsidR="003C7B6B" w:rsidRDefault="00471E86">
            <w:pPr>
              <w:spacing w:line="360" w:lineRule="auto"/>
              <w:rPr>
                <w:rFonts w:cs="Calibri"/>
              </w:rPr>
            </w:pPr>
            <w:r>
              <w:rPr>
                <w:rFonts w:cs="Calibri"/>
              </w:rPr>
              <w:t xml:space="preserve">COMPANY: </w:t>
            </w:r>
            <w:r w:rsidR="00F4105E" w:rsidRPr="00F4105E">
              <w:rPr>
                <w:rFonts w:cs="Calibri"/>
                <w:highlight w:val="black"/>
              </w:rPr>
              <w:t>XXXXXXXX</w:t>
            </w:r>
          </w:p>
        </w:tc>
      </w:tr>
      <w:tr w:rsidR="003C7B6B" w14:paraId="1B9AC4EB"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AC4EA" w14:textId="36256201" w:rsidR="003C7B6B" w:rsidRDefault="00471E86">
            <w:pPr>
              <w:spacing w:line="360" w:lineRule="auto"/>
            </w:pPr>
            <w:r>
              <w:rPr>
                <w:rFonts w:cs="Times New Roman"/>
              </w:rPr>
              <w:t xml:space="preserve">DATE OF SIGNATURE: </w:t>
            </w:r>
            <w:r w:rsidR="00F4105E" w:rsidRPr="00F4105E">
              <w:rPr>
                <w:rFonts w:cs="Times New Roman"/>
                <w:highlight w:val="black"/>
              </w:rPr>
              <w:t>XXXXXXX</w:t>
            </w:r>
          </w:p>
        </w:tc>
      </w:tr>
    </w:tbl>
    <w:p w14:paraId="1B9AC4EC" w14:textId="77777777" w:rsidR="003C7B6B" w:rsidRDefault="003C7B6B">
      <w:pPr>
        <w:rPr>
          <w:rFonts w:cs="Calibri"/>
        </w:rPr>
      </w:pPr>
    </w:p>
    <w:p w14:paraId="1B9AC4ED" w14:textId="77777777" w:rsidR="003C7B6B" w:rsidRDefault="003C7B6B">
      <w:pPr>
        <w:rPr>
          <w:rFonts w:cs="Calibri"/>
        </w:rPr>
      </w:pPr>
    </w:p>
    <w:p w14:paraId="1049C744" w14:textId="77777777" w:rsidR="00F4105E" w:rsidRPr="00BF4310" w:rsidRDefault="00F4105E" w:rsidP="00BC7BB5">
      <w:pPr>
        <w:spacing w:after="160" w:line="259" w:lineRule="auto"/>
        <w:jc w:val="center"/>
        <w:rPr>
          <w:rFonts w:eastAsia="Calibri"/>
          <w:b/>
          <w:bCs/>
          <w:lang w:eastAsia="en-US"/>
        </w:rPr>
      </w:pPr>
      <w:r w:rsidRPr="00BF4310">
        <w:rPr>
          <w:b/>
          <w:bCs/>
        </w:rPr>
        <w:t>Information redacted under section 43 (2) of FOI Act 2000.</w:t>
      </w:r>
    </w:p>
    <w:p w14:paraId="1B9AC4EE" w14:textId="77777777" w:rsidR="003C7B6B" w:rsidRDefault="003C7B6B">
      <w:pPr>
        <w:rPr>
          <w:rFonts w:cs="Calibri"/>
        </w:rPr>
      </w:pPr>
    </w:p>
    <w:p w14:paraId="1B9AC4EF" w14:textId="77777777" w:rsidR="003C7B6B" w:rsidRDefault="00471E86">
      <w:pPr>
        <w:pageBreakBefore/>
        <w:rPr>
          <w:sz w:val="32"/>
          <w:szCs w:val="32"/>
        </w:rPr>
      </w:pPr>
      <w:r>
        <w:rPr>
          <w:sz w:val="32"/>
          <w:szCs w:val="32"/>
        </w:rPr>
        <w:lastRenderedPageBreak/>
        <w:t>Schedule 9: Security Questionnaire Response</w:t>
      </w:r>
    </w:p>
    <w:p w14:paraId="1B9AC4F0" w14:textId="77777777" w:rsidR="003C7B6B" w:rsidRDefault="003C7B6B">
      <w:pPr>
        <w:rPr>
          <w:sz w:val="32"/>
          <w:szCs w:val="32"/>
        </w:rPr>
      </w:pPr>
    </w:p>
    <w:p w14:paraId="1B9AC4F2" w14:textId="57087BFA" w:rsidR="003C7B6B" w:rsidRDefault="00F4105E">
      <w:r w:rsidRPr="00F4105E">
        <w:rPr>
          <w:highlight w:val="black"/>
        </w:rPr>
        <w:t>XXXXXXXXXXXXXXXXXXXXXXXXXXXXXXXXXXXXXXXXXXXXXXXXXXXXXXXXXXXXX</w:t>
      </w:r>
    </w:p>
    <w:p w14:paraId="7B891AC8" w14:textId="55D55940" w:rsidR="00F4105E" w:rsidRDefault="00F4105E"/>
    <w:p w14:paraId="15CAAB4E" w14:textId="77777777" w:rsidR="00F4105E" w:rsidRDefault="00F4105E" w:rsidP="00F4105E">
      <w:pPr>
        <w:spacing w:after="160" w:line="259" w:lineRule="auto"/>
        <w:jc w:val="center"/>
        <w:rPr>
          <w:b/>
        </w:rPr>
      </w:pPr>
    </w:p>
    <w:p w14:paraId="1B1A9266" w14:textId="77777777" w:rsidR="00F4105E" w:rsidRPr="00BF4310" w:rsidRDefault="00F4105E" w:rsidP="00F4105E">
      <w:pPr>
        <w:spacing w:after="160" w:line="259" w:lineRule="auto"/>
        <w:jc w:val="center"/>
        <w:rPr>
          <w:rFonts w:eastAsia="Calibri"/>
          <w:b/>
          <w:bCs/>
          <w:lang w:eastAsia="en-US"/>
        </w:rPr>
      </w:pPr>
      <w:r w:rsidRPr="00BF4310">
        <w:rPr>
          <w:b/>
          <w:bCs/>
        </w:rPr>
        <w:t>Information redacted under section 43 (2) of FOI Act 2000.</w:t>
      </w:r>
    </w:p>
    <w:p w14:paraId="74CDC9FB" w14:textId="77777777" w:rsidR="00F4105E" w:rsidRDefault="00F4105E"/>
    <w:sectPr w:rsidR="00F4105E">
      <w:headerReference w:type="even" r:id="rId33"/>
      <w:headerReference w:type="default" r:id="rId34"/>
      <w:footerReference w:type="even" r:id="rId35"/>
      <w:footerReference w:type="default" r:id="rId36"/>
      <w:headerReference w:type="first" r:id="rId37"/>
      <w:footerReference w:type="first" r:id="rId38"/>
      <w:pgSz w:w="11909" w:h="16834"/>
      <w:pgMar w:top="720" w:right="1134" w:bottom="1134" w:left="113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Bradley, Fin (Commercial)" w:date="2022-02-21T16:03:00Z" w:initials="Bradley, ">
    <w:p w14:paraId="1B9ABE4E" w14:textId="77777777" w:rsidR="00B510EE" w:rsidRDefault="00B510EE">
      <w:pPr>
        <w:pStyle w:val="CommentText"/>
      </w:pPr>
      <w:r>
        <w:rPr>
          <w:rStyle w:val="CommentReference"/>
        </w:rPr>
        <w:annotationRef/>
      </w:r>
      <w:r>
        <w:t>What are the ‘other Expenses’ referenced here?</w:t>
      </w:r>
    </w:p>
  </w:comment>
  <w:comment w:id="6" w:author="Vassilis Serafeimidis (Credera)" w:date="2022-03-04T14:26:00Z" w:initials="VS(">
    <w:p w14:paraId="131CE4DF" w14:textId="5B6BD968" w:rsidR="00B510EE" w:rsidRDefault="00B510EE">
      <w:pPr>
        <w:pStyle w:val="CommentText"/>
      </w:pPr>
      <w:r>
        <w:rPr>
          <w:rStyle w:val="CommentReference"/>
        </w:rPr>
        <w:annotationRef/>
      </w:r>
      <w:r>
        <w:t>This refers to any travel expenses outside the M25.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9ABE4E" w15:done="1"/>
  <w15:commentEx w15:paraId="131CE4DF" w15:paraIdParent="1B9ABE4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E3643" w16cex:dateUtc="2022-02-21T16:03:00Z"/>
  <w16cex:commentExtensible w16cex:durableId="25CCA010" w16cex:dateUtc="2022-03-04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9ABE4E" w16cid:durableId="25BE3643"/>
  <w16cid:commentId w16cid:paraId="131CE4DF" w16cid:durableId="25CCA0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B0A81" w14:textId="77777777" w:rsidR="001370FD" w:rsidRDefault="001370FD">
      <w:pPr>
        <w:spacing w:line="240" w:lineRule="auto"/>
      </w:pPr>
      <w:r>
        <w:separator/>
      </w:r>
    </w:p>
  </w:endnote>
  <w:endnote w:type="continuationSeparator" w:id="0">
    <w:p w14:paraId="63C35F41" w14:textId="77777777" w:rsidR="001370FD" w:rsidRDefault="001370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mp;quo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C85EF" w14:textId="77777777" w:rsidR="00CD0600" w:rsidRDefault="00CD0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ABE58" w14:textId="77777777" w:rsidR="00B510EE" w:rsidRDefault="00B510EE">
    <w:pPr>
      <w:pStyle w:val="Footer"/>
      <w:ind w:right="360"/>
    </w:pPr>
    <w:r>
      <w:rPr>
        <w:noProof/>
      </w:rPr>
      <mc:AlternateContent>
        <mc:Choice Requires="wps">
          <w:drawing>
            <wp:anchor distT="0" distB="0" distL="114300" distR="114300" simplePos="0" relativeHeight="251660288" behindDoc="0" locked="0" layoutInCell="1" allowOverlap="1" wp14:anchorId="1B9ABE4E" wp14:editId="1B9ABE4F">
              <wp:simplePos x="0" y="0"/>
              <wp:positionH relativeFrom="page">
                <wp:posOffset>0</wp:posOffset>
              </wp:positionH>
              <wp:positionV relativeFrom="page">
                <wp:posOffset>10225406</wp:posOffset>
              </wp:positionV>
              <wp:extent cx="7562216" cy="272418"/>
              <wp:effectExtent l="0" t="0" r="0" b="13332"/>
              <wp:wrapNone/>
              <wp:docPr id="1" name="MSIPCM1e00425caab2ed6c0dfce11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6" cy="272418"/>
                      </a:xfrm>
                      <a:prstGeom prst="rect">
                        <a:avLst/>
                      </a:prstGeom>
                      <a:noFill/>
                      <a:ln>
                        <a:noFill/>
                        <a:prstDash/>
                      </a:ln>
                    </wps:spPr>
                    <wps:txbx>
                      <w:txbxContent>
                        <w:p w14:paraId="1B9ABE52" w14:textId="77777777" w:rsidR="00B510EE" w:rsidRDefault="00B510EE">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1B9ABE4E" id="_x0000_t202" coordsize="21600,21600" o:spt="202" path="m,l,21600r21600,l21600,xe">
              <v:stroke joinstyle="miter"/>
              <v:path gradientshapeok="t" o:connecttype="rect"/>
            </v:shapetype>
            <v:shape id="MSIPCM1e00425caab2ed6c0dfce119" o:spid="_x0000_s1026" type="#_x0000_t202" alt="{&quot;HashCode&quot;:-1264847310,&quot;Height&quot;:841.0,&quot;Width&quot;:595.0,&quot;Placement&quot;:&quot;Footer&quot;,&quot;Index&quot;:&quot;Primary&quot;,&quot;Section&quot;:1,&quot;Top&quot;:0.0,&quot;Left&quot;:0.0}" style="position:absolute;margin-left:0;margin-top:805.15pt;width:595.45pt;height:21.4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" filled="f" stroked="f">
              <v:textbox inset=",0,,0">
                <w:txbxContent>
                  <w:p w14:paraId="1B9ABE52" w14:textId="77777777" w:rsidR="00B510EE" w:rsidRDefault="00B510EE">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1B9ABE50" wp14:editId="1B9ABE51">
              <wp:simplePos x="0" y="0"/>
              <wp:positionH relativeFrom="margin">
                <wp:align>right</wp:align>
              </wp:positionH>
              <wp:positionV relativeFrom="paragraph">
                <wp:posOffset>722</wp:posOffset>
              </wp:positionV>
              <wp:extent cx="13972" cy="13972"/>
              <wp:effectExtent l="0" t="0" r="0" b="0"/>
              <wp:wrapTopAndBottom/>
              <wp:docPr id="2"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1B9ABE54" w14:textId="77777777" w:rsidR="00B510EE" w:rsidRDefault="00B510E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 w14:anchorId="1B9ABE50" id="Frame1" o:spid="_x0000_s1027"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" filled="f" stroked="f">
              <v:textbox style="mso-fit-shape-to-text:t" inset="0,0,0,0">
                <w:txbxContent>
                  <w:p w14:paraId="1B9ABE54" w14:textId="77777777" w:rsidR="00B510EE" w:rsidRDefault="00B510E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70360" w14:textId="77777777" w:rsidR="00CD0600" w:rsidRDefault="00CD0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0C6EC" w14:textId="77777777" w:rsidR="001370FD" w:rsidRDefault="001370FD">
      <w:pPr>
        <w:spacing w:line="240" w:lineRule="auto"/>
      </w:pPr>
      <w:r>
        <w:rPr>
          <w:color w:val="000000"/>
        </w:rPr>
        <w:separator/>
      </w:r>
    </w:p>
  </w:footnote>
  <w:footnote w:type="continuationSeparator" w:id="0">
    <w:p w14:paraId="666E41FC" w14:textId="77777777" w:rsidR="001370FD" w:rsidRDefault="001370FD">
      <w:pPr>
        <w:spacing w:line="240" w:lineRule="auto"/>
      </w:pPr>
      <w:r>
        <w:continuationSeparator/>
      </w:r>
    </w:p>
  </w:footnote>
  <w:footnote w:id="1">
    <w:p w14:paraId="1B9ABE52" w14:textId="77777777" w:rsidR="00B510EE" w:rsidRDefault="00B510EE">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14:paraId="1B9ABE53" w14:textId="77777777" w:rsidR="00B510EE" w:rsidRDefault="00B510EE">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1B9ABE54" w14:textId="77777777" w:rsidR="00B510EE" w:rsidRDefault="00B510EE">
      <w:pPr>
        <w:pStyle w:val="FootnoteText"/>
        <w:jc w:val="both"/>
      </w:pPr>
      <w:r>
        <w:rPr>
          <w:rStyle w:val="FootnoteReference"/>
        </w:rPr>
        <w:footnoteRef/>
      </w:r>
      <w:r>
        <w:t xml:space="preserve"> “General Anti-Abuse Rule” means (a) the legislation in Part 5 of the Finance Act 2013; and (b) any</w:t>
      </w:r>
    </w:p>
    <w:p w14:paraId="1B9ABE55" w14:textId="77777777" w:rsidR="00B510EE" w:rsidRDefault="00B510EE">
      <w:pPr>
        <w:pStyle w:val="FootnoteText"/>
        <w:jc w:val="both"/>
      </w:pPr>
      <w:r>
        <w:t>future legislation introduced into Parliament to counteract tax advantages arising from abusive</w:t>
      </w:r>
    </w:p>
    <w:p w14:paraId="1B9ABE56" w14:textId="77777777" w:rsidR="00B510EE" w:rsidRDefault="00B510EE">
      <w:pPr>
        <w:pStyle w:val="FootnoteText"/>
      </w:pPr>
      <w:r>
        <w:t>arrangements to avoid national insurance contributions</w:t>
      </w:r>
    </w:p>
  </w:footnote>
  <w:footnote w:id="4">
    <w:p w14:paraId="1B9ABE57" w14:textId="77777777" w:rsidR="00B510EE" w:rsidRDefault="00B510EE">
      <w:pPr>
        <w:pStyle w:val="FootnoteText"/>
      </w:pPr>
      <w:r>
        <w:rPr>
          <w:rStyle w:val="FootnoteReference"/>
        </w:rPr>
        <w:footnoteRef/>
      </w:r>
      <w:r>
        <w:t xml:space="preserve"> “Halifax Abuse Principle” means the principle explained in the CJEU Case C-255/02 Halifax and others</w:t>
      </w:r>
    </w:p>
  </w:footnote>
  <w:footnote w:id="5">
    <w:p w14:paraId="1B9ABE58" w14:textId="77777777" w:rsidR="00B510EE" w:rsidRDefault="00B510EE">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1B9ABE59" w14:textId="77777777" w:rsidR="00B510EE" w:rsidRDefault="00B510EE">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1B9ABE5A" w14:textId="77777777" w:rsidR="00B510EE" w:rsidRDefault="00B510EE">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14:paraId="1B9ABE5B" w14:textId="77777777" w:rsidR="00B510EE" w:rsidRDefault="00B510EE">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D1888" w14:textId="77777777" w:rsidR="00CD0600" w:rsidRDefault="00CD0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A2823" w14:textId="77777777" w:rsidR="00CD0600" w:rsidRDefault="00CD0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C9A81" w14:textId="77777777" w:rsidR="00CD0600" w:rsidRDefault="00CD0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4EDF"/>
    <w:multiLevelType w:val="multilevel"/>
    <w:tmpl w:val="310269C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334767"/>
    <w:multiLevelType w:val="multilevel"/>
    <w:tmpl w:val="E7BC9ED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436DA"/>
    <w:multiLevelType w:val="multilevel"/>
    <w:tmpl w:val="FC5860FC"/>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15:restartNumberingAfterBreak="0">
    <w:nsid w:val="0D5B7FB7"/>
    <w:multiLevelType w:val="multilevel"/>
    <w:tmpl w:val="E9B2FCDE"/>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0F479C"/>
    <w:multiLevelType w:val="multilevel"/>
    <w:tmpl w:val="E3943C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3931608"/>
    <w:multiLevelType w:val="multilevel"/>
    <w:tmpl w:val="B8CCDD0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13D513BC"/>
    <w:multiLevelType w:val="multilevel"/>
    <w:tmpl w:val="A76E97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3507A8"/>
    <w:multiLevelType w:val="multilevel"/>
    <w:tmpl w:val="BB9CED2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BBF2C64"/>
    <w:multiLevelType w:val="multilevel"/>
    <w:tmpl w:val="5AF014D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CF06344"/>
    <w:multiLevelType w:val="multilevel"/>
    <w:tmpl w:val="06067B2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F4E224D"/>
    <w:multiLevelType w:val="multilevel"/>
    <w:tmpl w:val="1C00A0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00920CF"/>
    <w:multiLevelType w:val="multilevel"/>
    <w:tmpl w:val="A95A4C7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209766B0"/>
    <w:multiLevelType w:val="multilevel"/>
    <w:tmpl w:val="6872508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22E67A72"/>
    <w:multiLevelType w:val="multilevel"/>
    <w:tmpl w:val="81AC332C"/>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F52133"/>
    <w:multiLevelType w:val="multilevel"/>
    <w:tmpl w:val="D24678B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73026A8"/>
    <w:multiLevelType w:val="multilevel"/>
    <w:tmpl w:val="6A662C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A8203C6"/>
    <w:multiLevelType w:val="multilevel"/>
    <w:tmpl w:val="CB54F9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03A5F43"/>
    <w:multiLevelType w:val="multilevel"/>
    <w:tmpl w:val="C51AE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BC7200"/>
    <w:multiLevelType w:val="multilevel"/>
    <w:tmpl w:val="6F1642F0"/>
    <w:lvl w:ilvl="0">
      <w:start w:val="1"/>
      <w:numFmt w:val="decimal"/>
      <w:lvlText w:val="%1."/>
      <w:lvlJc w:val="left"/>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6435C28"/>
    <w:multiLevelType w:val="multilevel"/>
    <w:tmpl w:val="666E1FEA"/>
    <w:lvl w:ilvl="0">
      <w:start w:val="1"/>
      <w:numFmt w:val="lowerLetter"/>
      <w:lvlText w:val="(%1)"/>
      <w:lvlJc w:val="left"/>
      <w:pPr>
        <w:ind w:left="432" w:hanging="432"/>
      </w:pPr>
      <w:rPr>
        <w:rFonts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9D634E"/>
    <w:multiLevelType w:val="multilevel"/>
    <w:tmpl w:val="E3969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8CA1F06"/>
    <w:multiLevelType w:val="multilevel"/>
    <w:tmpl w:val="C16021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91C0491"/>
    <w:multiLevelType w:val="multilevel"/>
    <w:tmpl w:val="DA14D2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BF2E15"/>
    <w:multiLevelType w:val="multilevel"/>
    <w:tmpl w:val="53AA02C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00C30C8"/>
    <w:multiLevelType w:val="multilevel"/>
    <w:tmpl w:val="4412ED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5AF82C96"/>
    <w:multiLevelType w:val="multilevel"/>
    <w:tmpl w:val="8A24064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D123AC4"/>
    <w:multiLevelType w:val="multilevel"/>
    <w:tmpl w:val="3E5014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ECD327F"/>
    <w:multiLevelType w:val="multilevel"/>
    <w:tmpl w:val="C3C4D8D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F266E97"/>
    <w:multiLevelType w:val="multilevel"/>
    <w:tmpl w:val="BA500B0A"/>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695"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29" w15:restartNumberingAfterBreak="0">
    <w:nsid w:val="62C03063"/>
    <w:multiLevelType w:val="multilevel"/>
    <w:tmpl w:val="1DFEE97C"/>
    <w:lvl w:ilvl="0">
      <w:start w:val="1"/>
      <w:numFmt w:val="decimal"/>
      <w:lvlText w:val="%1."/>
      <w:lvlJc w:val="left"/>
      <w:pPr>
        <w:ind w:left="1287" w:hanging="360"/>
      </w:pPr>
      <w:rPr>
        <w:rFonts w:ascii="Calibri" w:hAnsi="Calibri" w:cs="Calibri"/>
        <w:b/>
        <w:sz w:val="22"/>
        <w:szCs w:val="22"/>
      </w:rPr>
    </w:lvl>
    <w:lvl w:ilvl="1">
      <w:start w:val="1"/>
      <w:numFmt w:val="decimal"/>
      <w:lvlText w:val="%1.%2"/>
      <w:lvlJc w:val="left"/>
      <w:pPr>
        <w:ind w:left="1287" w:hanging="360"/>
      </w:pPr>
      <w:rPr>
        <w:rFonts w:ascii="Calibri" w:hAnsi="Calibri" w:cs="Calibri"/>
        <w:b/>
        <w:sz w:val="22"/>
        <w:szCs w:val="22"/>
      </w:rPr>
    </w:lvl>
    <w:lvl w:ilvl="2">
      <w:start w:val="1"/>
      <w:numFmt w:val="decimal"/>
      <w:lvlText w:val="%1.%2.%3"/>
      <w:lvlJc w:val="left"/>
      <w:pPr>
        <w:ind w:left="1647" w:hanging="720"/>
      </w:pPr>
      <w:rPr>
        <w:rFonts w:ascii="Calibri" w:hAnsi="Calibri" w:cs="Calibri"/>
        <w:b/>
        <w:sz w:val="22"/>
        <w:szCs w:val="22"/>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30" w15:restartNumberingAfterBreak="0">
    <w:nsid w:val="63E92271"/>
    <w:multiLevelType w:val="multilevel"/>
    <w:tmpl w:val="1AFCAB8A"/>
    <w:lvl w:ilvl="0">
      <w:start w:val="1"/>
      <w:numFmt w:val="lowerLetter"/>
      <w:lvlText w:val="(%1)"/>
      <w:lvlJc w:val="left"/>
      <w:pPr>
        <w:ind w:left="1647" w:hanging="360"/>
      </w:pPr>
      <w:rPr>
        <w:b/>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31" w15:restartNumberingAfterBreak="0">
    <w:nsid w:val="65971504"/>
    <w:multiLevelType w:val="multilevel"/>
    <w:tmpl w:val="EEAAA7F6"/>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2" w15:restartNumberingAfterBreak="0">
    <w:nsid w:val="667323F9"/>
    <w:multiLevelType w:val="multilevel"/>
    <w:tmpl w:val="7B1C55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68AD1046"/>
    <w:multiLevelType w:val="multilevel"/>
    <w:tmpl w:val="EBB886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EE76BF1"/>
    <w:multiLevelType w:val="multilevel"/>
    <w:tmpl w:val="9F120E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1E29C7"/>
    <w:multiLevelType w:val="multilevel"/>
    <w:tmpl w:val="DF90210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9951F26"/>
    <w:multiLevelType w:val="multilevel"/>
    <w:tmpl w:val="4C5271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799B1470"/>
    <w:multiLevelType w:val="multilevel"/>
    <w:tmpl w:val="82C68078"/>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C3598F"/>
    <w:multiLevelType w:val="multilevel"/>
    <w:tmpl w:val="054452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5"/>
  </w:num>
  <w:num w:numId="2">
    <w:abstractNumId w:val="32"/>
  </w:num>
  <w:num w:numId="3">
    <w:abstractNumId w:val="0"/>
  </w:num>
  <w:num w:numId="4">
    <w:abstractNumId w:val="11"/>
  </w:num>
  <w:num w:numId="5">
    <w:abstractNumId w:val="35"/>
  </w:num>
  <w:num w:numId="6">
    <w:abstractNumId w:val="9"/>
  </w:num>
  <w:num w:numId="7">
    <w:abstractNumId w:val="8"/>
  </w:num>
  <w:num w:numId="8">
    <w:abstractNumId w:val="20"/>
  </w:num>
  <w:num w:numId="9">
    <w:abstractNumId w:val="7"/>
  </w:num>
  <w:num w:numId="10">
    <w:abstractNumId w:val="5"/>
  </w:num>
  <w:num w:numId="11">
    <w:abstractNumId w:val="12"/>
  </w:num>
  <w:num w:numId="12">
    <w:abstractNumId w:val="21"/>
  </w:num>
  <w:num w:numId="13">
    <w:abstractNumId w:val="33"/>
  </w:num>
  <w:num w:numId="14">
    <w:abstractNumId w:val="4"/>
  </w:num>
  <w:num w:numId="15">
    <w:abstractNumId w:val="24"/>
  </w:num>
  <w:num w:numId="16">
    <w:abstractNumId w:val="23"/>
  </w:num>
  <w:num w:numId="17">
    <w:abstractNumId w:val="6"/>
  </w:num>
  <w:num w:numId="18">
    <w:abstractNumId w:val="14"/>
  </w:num>
  <w:num w:numId="19">
    <w:abstractNumId w:val="25"/>
  </w:num>
  <w:num w:numId="20">
    <w:abstractNumId w:val="27"/>
  </w:num>
  <w:num w:numId="21">
    <w:abstractNumId w:val="26"/>
  </w:num>
  <w:num w:numId="22">
    <w:abstractNumId w:val="38"/>
  </w:num>
  <w:num w:numId="23">
    <w:abstractNumId w:val="16"/>
  </w:num>
  <w:num w:numId="24">
    <w:abstractNumId w:val="36"/>
  </w:num>
  <w:num w:numId="25">
    <w:abstractNumId w:val="1"/>
  </w:num>
  <w:num w:numId="26">
    <w:abstractNumId w:val="29"/>
  </w:num>
  <w:num w:numId="27">
    <w:abstractNumId w:val="28"/>
  </w:num>
  <w:num w:numId="28">
    <w:abstractNumId w:val="13"/>
  </w:num>
  <w:num w:numId="29">
    <w:abstractNumId w:val="3"/>
  </w:num>
  <w:num w:numId="30">
    <w:abstractNumId w:val="19"/>
  </w:num>
  <w:num w:numId="31">
    <w:abstractNumId w:val="2"/>
  </w:num>
  <w:num w:numId="32">
    <w:abstractNumId w:val="30"/>
  </w:num>
  <w:num w:numId="33">
    <w:abstractNumId w:val="31"/>
  </w:num>
  <w:num w:numId="34">
    <w:abstractNumId w:val="37"/>
  </w:num>
  <w:num w:numId="35">
    <w:abstractNumId w:val="17"/>
  </w:num>
  <w:num w:numId="36">
    <w:abstractNumId w:val="22"/>
  </w:num>
  <w:num w:numId="37">
    <w:abstractNumId w:val="18"/>
  </w:num>
  <w:num w:numId="38">
    <w:abstractNumId w:val="10"/>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adley, Fin (Commercial)">
    <w15:presenceInfo w15:providerId="AD" w15:userId="S::fintan.bradley@hmrc.gov.uk::ec474269-4a84-4d33-9b43-eb14a58fd1f8"/>
  </w15:person>
  <w15:person w15:author="Vassilis Serafeimidis (Credera)">
    <w15:presenceInfo w15:providerId="AD" w15:userId="S::vassilis.serafeimidis@credera.co.uk::06c0ec21-4c54-47e6-8f91-f0d1d00a8e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6B"/>
    <w:rsid w:val="00052397"/>
    <w:rsid w:val="000D1D78"/>
    <w:rsid w:val="001370FD"/>
    <w:rsid w:val="00185DAC"/>
    <w:rsid w:val="0020358E"/>
    <w:rsid w:val="00211099"/>
    <w:rsid w:val="002D003E"/>
    <w:rsid w:val="003B2906"/>
    <w:rsid w:val="003C7B6B"/>
    <w:rsid w:val="003E0F34"/>
    <w:rsid w:val="00471E86"/>
    <w:rsid w:val="004865D7"/>
    <w:rsid w:val="004E63D1"/>
    <w:rsid w:val="00597BE9"/>
    <w:rsid w:val="005E2E0D"/>
    <w:rsid w:val="00615B3D"/>
    <w:rsid w:val="00667945"/>
    <w:rsid w:val="006A66ED"/>
    <w:rsid w:val="006F2A6B"/>
    <w:rsid w:val="006F3312"/>
    <w:rsid w:val="00731BE6"/>
    <w:rsid w:val="00771B7D"/>
    <w:rsid w:val="007837D3"/>
    <w:rsid w:val="007C3CD6"/>
    <w:rsid w:val="007F52A4"/>
    <w:rsid w:val="00832834"/>
    <w:rsid w:val="00834300"/>
    <w:rsid w:val="00860A5E"/>
    <w:rsid w:val="00914106"/>
    <w:rsid w:val="00941F60"/>
    <w:rsid w:val="009A173A"/>
    <w:rsid w:val="009C2C6B"/>
    <w:rsid w:val="009E033B"/>
    <w:rsid w:val="009E7B6D"/>
    <w:rsid w:val="009E7E20"/>
    <w:rsid w:val="009F0395"/>
    <w:rsid w:val="00A107DE"/>
    <w:rsid w:val="00A309C9"/>
    <w:rsid w:val="00A51891"/>
    <w:rsid w:val="00AB18B1"/>
    <w:rsid w:val="00B1673E"/>
    <w:rsid w:val="00B25C5E"/>
    <w:rsid w:val="00B510EE"/>
    <w:rsid w:val="00B62A63"/>
    <w:rsid w:val="00BC7BB5"/>
    <w:rsid w:val="00BF0793"/>
    <w:rsid w:val="00C25E9C"/>
    <w:rsid w:val="00CB169C"/>
    <w:rsid w:val="00CD0600"/>
    <w:rsid w:val="00D116F1"/>
    <w:rsid w:val="00D64F15"/>
    <w:rsid w:val="00D93E93"/>
    <w:rsid w:val="00E561B9"/>
    <w:rsid w:val="00EA0842"/>
    <w:rsid w:val="00EE63A3"/>
    <w:rsid w:val="00EE70C0"/>
    <w:rsid w:val="00F4105E"/>
    <w:rsid w:val="00F73B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ABE2E"/>
  <w15:docId w15:val="{18D994DA-531A-4581-A4B6-BA41915A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styleId="UnresolvedMention">
    <w:name w:val="Unresolved Mention"/>
    <w:basedOn w:val="DefaultParagraphFont"/>
    <w:rPr>
      <w:color w:val="605E5C"/>
      <w:shd w:val="clear" w:color="auto" w:fill="E1DFDD"/>
    </w:rPr>
  </w:style>
  <w:style w:type="paragraph" w:customStyle="1" w:styleId="Body2">
    <w:name w:val="Body2"/>
    <w:basedOn w:val="Normal"/>
    <w:pPr>
      <w:suppressAutoHyphens w:val="0"/>
      <w:spacing w:after="220" w:line="240" w:lineRule="auto"/>
      <w:ind w:left="709"/>
      <w:jc w:val="both"/>
      <w:textAlignment w:val="auto"/>
    </w:pPr>
    <w:rPr>
      <w:rFonts w:ascii="Trebuchet MS" w:eastAsia="Times New Roman" w:hAnsi="Trebuchet MS" w:cs="Times New Roman"/>
      <w:sz w:val="20"/>
      <w:szCs w:val="20"/>
      <w:lang w:eastAsia="en-US"/>
    </w:rPr>
  </w:style>
  <w:style w:type="paragraph" w:styleId="BodyText">
    <w:name w:val="Body Text"/>
    <w:basedOn w:val="Normal"/>
    <w:pPr>
      <w:suppressAutoHyphens w:val="0"/>
      <w:spacing w:after="120" w:line="240" w:lineRule="auto"/>
      <w:textAlignment w:val="auto"/>
    </w:pPr>
    <w:rPr>
      <w:rFonts w:ascii="Times New Roman" w:eastAsia="Times New Roman" w:hAnsi="Times New Roman" w:cs="Times New Roman"/>
      <w:sz w:val="24"/>
      <w:szCs w:val="24"/>
    </w:rPr>
  </w:style>
  <w:style w:type="character" w:customStyle="1" w:styleId="BodyTextChar">
    <w:name w:val="Body Text Char"/>
    <w:basedOn w:val="DefaultParagraphFont"/>
    <w:rPr>
      <w:rFonts w:ascii="Times New Roman" w:eastAsia="Times New Roman" w:hAnsi="Times New Roman" w:cs="Times New Roman"/>
      <w:sz w:val="24"/>
      <w:szCs w:val="24"/>
    </w:rPr>
  </w:style>
  <w:style w:type="paragraph" w:styleId="FootnoteText">
    <w:name w:val="footnote text"/>
    <w:basedOn w:val="Normal"/>
    <w:pPr>
      <w:suppressAutoHyphens w:val="0"/>
      <w:spacing w:line="240" w:lineRule="auto"/>
      <w:textAlignment w:val="auto"/>
    </w:pPr>
    <w:rPr>
      <w:rFonts w:ascii="Calibri" w:eastAsia="Calibri" w:hAnsi="Calibri" w:cs="Times New Roman"/>
      <w:sz w:val="20"/>
      <w:szCs w:val="20"/>
      <w:lang w:eastAsia="en-US"/>
    </w:rPr>
  </w:style>
  <w:style w:type="character" w:customStyle="1" w:styleId="FootnoteTextChar">
    <w:name w:val="Footnote Text Char"/>
    <w:basedOn w:val="DefaultParagraphFont"/>
    <w:rPr>
      <w:rFonts w:ascii="Calibri" w:eastAsia="Calibri" w:hAnsi="Calibri" w:cs="Times New Roman"/>
      <w:sz w:val="20"/>
      <w:szCs w:val="20"/>
      <w:lang w:eastAsia="en-US"/>
    </w:rPr>
  </w:style>
  <w:style w:type="character" w:styleId="FootnoteReference">
    <w:name w:val="footnote reference"/>
    <w:rPr>
      <w:position w:val="0"/>
      <w:vertAlign w:val="superscript"/>
    </w:rPr>
  </w:style>
  <w:style w:type="paragraph" w:customStyle="1" w:styleId="paragraph">
    <w:name w:val="paragraph"/>
    <w:basedOn w:val="Normal"/>
    <w:pPr>
      <w:suppressAutoHyphens w:val="0"/>
      <w:spacing w:line="240" w:lineRule="auto"/>
      <w:textAlignment w:val="auto"/>
    </w:pPr>
    <w:rPr>
      <w:rFonts w:ascii="Times New Roman" w:eastAsia="Times New Roman" w:hAnsi="Times New Roman" w:cs="Times New Roman"/>
      <w:sz w:val="24"/>
      <w:szCs w:val="24"/>
    </w:rPr>
  </w:style>
  <w:style w:type="character" w:customStyle="1" w:styleId="normaltextrun1">
    <w:name w:val="normaltextrun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image" Target="media/image2.jpeg"/><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digitalmarketplace.service.gov.uk/"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FEE80D2F813F44AC261A6230AEE27E" ma:contentTypeVersion="8" ma:contentTypeDescription="Create a new document." ma:contentTypeScope="" ma:versionID="37202c7e806bdef88cf7080459fb219f">
  <xsd:schema xmlns:xsd="http://www.w3.org/2001/XMLSchema" xmlns:xs="http://www.w3.org/2001/XMLSchema" xmlns:p="http://schemas.microsoft.com/office/2006/metadata/properties" xmlns:ns2="f99cd6c4-4204-419a-848d-d9443ad1f549" targetNamespace="http://schemas.microsoft.com/office/2006/metadata/properties" ma:root="true" ma:fieldsID="96328fbcf6a8a9f305ac0e999fb99aa1" ns2:_="">
    <xsd:import namespace="f99cd6c4-4204-419a-848d-d9443ad1f5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d6c4-4204-419a-848d-d9443ad1f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D8B73-32C1-4144-AE76-779530FE4C18}">
  <ds:schemaRefs>
    <ds:schemaRef ds:uri="http://schemas.microsoft.com/sharepoint/v3/contenttype/forms"/>
  </ds:schemaRefs>
</ds:datastoreItem>
</file>

<file path=customXml/itemProps2.xml><?xml version="1.0" encoding="utf-8"?>
<ds:datastoreItem xmlns:ds="http://schemas.openxmlformats.org/officeDocument/2006/customXml" ds:itemID="{47F97849-6B83-4F36-9CA2-58B76A94A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d6c4-4204-419a-848d-d9443ad1f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7BBFA-5078-49DF-AD8A-2E73CF0B0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64</Pages>
  <Words>16955</Words>
  <Characters>96645</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Bradley, Fin (Commercial)</cp:lastModifiedBy>
  <cp:revision>5</cp:revision>
  <cp:lastPrinted>2020-06-10T10:41:00Z</cp:lastPrinted>
  <dcterms:created xsi:type="dcterms:W3CDTF">2022-04-12T08:08:00Z</dcterms:created>
  <dcterms:modified xsi:type="dcterms:W3CDTF">2022-04-12T12:36:00Z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2022-02-16T09:54:48Z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a742205c-0051-4543-a573-a93837c31286</vt:lpwstr>
  </property>
  <property fmtid="{D5CDD505-2E9C-101B-9397-08002B2CF9AE}" pid="8" name="MSIP_Label_f9af038e-07b4-4369-a678-c835687cb272_ContentBits">
    <vt:lpwstr>2</vt:lpwstr>
  </property>
  <property fmtid="{D5CDD505-2E9C-101B-9397-08002B2CF9AE}" pid="9" name="ContentTypeId">
    <vt:lpwstr>0x0101003FFEE80D2F813F44AC261A6230AEE27E</vt:lpwstr>
  </property>
</Properties>
</file>