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20" w:before="120" w:line="240" w:lineRule="auto"/>
        <w:ind w:left="2" w:firstLine="0"/>
        <w:rPr/>
      </w:pPr>
      <w:r w:rsidDel="00000000" w:rsidR="00000000" w:rsidRPr="00000000">
        <w:rPr/>
        <w:drawing>
          <wp:inline distB="0" distT="0" distL="0" distR="0">
            <wp:extent cx="774700" cy="6540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4700" cy="654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120" w:before="120" w:line="240" w:lineRule="auto"/>
        <w:ind w:left="7" w:firstLine="0"/>
        <w:rPr/>
      </w:pPr>
      <w:r w:rsidDel="00000000" w:rsidR="00000000" w:rsidRPr="00000000">
        <w:rPr>
          <w:b w:val="1"/>
          <w:color w:val="000000"/>
          <w:sz w:val="24"/>
          <w:szCs w:val="24"/>
          <w:rtl w:val="0"/>
        </w:rPr>
        <w:t xml:space="preserve">Attachment 5 – Financial Viability Risk Assessment Instructions</w:t>
      </w:r>
      <w:r w:rsidDel="00000000" w:rsidR="00000000" w:rsidRPr="00000000">
        <w:rPr>
          <w:rtl w:val="0"/>
        </w:rPr>
      </w:r>
    </w:p>
    <w:p w:rsidR="00000000" w:rsidDel="00000000" w:rsidP="00000000" w:rsidRDefault="00000000" w:rsidRPr="00000000" w14:paraId="00000003">
      <w:pPr>
        <w:widowControl w:val="0"/>
        <w:spacing w:after="120" w:before="120" w:line="240" w:lineRule="auto"/>
        <w:ind w:left="5" w:right="492" w:firstLine="18"/>
        <w:rPr>
          <w:sz w:val="24"/>
          <w:szCs w:val="24"/>
        </w:rPr>
      </w:pPr>
      <w:r w:rsidDel="00000000" w:rsidR="00000000" w:rsidRPr="00000000">
        <w:rPr>
          <w:color w:val="000000"/>
          <w:sz w:val="24"/>
          <w:szCs w:val="24"/>
          <w:rtl w:val="0"/>
        </w:rPr>
        <w:t xml:space="preserve">In this attachment and Attachment 5 RM</w:t>
      </w:r>
      <w:r w:rsidDel="00000000" w:rsidR="00000000" w:rsidRPr="00000000">
        <w:rPr>
          <w:sz w:val="24"/>
          <w:szCs w:val="24"/>
          <w:rtl w:val="0"/>
        </w:rPr>
        <w:t xml:space="preserve">6299</w:t>
      </w:r>
      <w:r w:rsidDel="00000000" w:rsidR="00000000" w:rsidRPr="00000000">
        <w:rPr>
          <w:color w:val="000000"/>
          <w:sz w:val="24"/>
          <w:szCs w:val="24"/>
          <w:rtl w:val="0"/>
        </w:rPr>
        <w:t xml:space="preserve"> Financial Viability Risk Assessment Tool, the following words shall have the following meanings</w:t>
      </w:r>
      <w:r w:rsidDel="00000000" w:rsidR="00000000" w:rsidRPr="00000000">
        <w:rPr>
          <w:sz w:val="24"/>
          <w:szCs w:val="24"/>
          <w:rtl w:val="0"/>
        </w:rPr>
        <w:t xml:space="preserve">:</w:t>
      </w:r>
    </w:p>
    <w:tbl>
      <w:tblPr>
        <w:tblStyle w:val="Table1"/>
        <w:tblW w:w="921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940"/>
        <w:gridCol w:w="6270"/>
        <w:tblGridChange w:id="0">
          <w:tblGrid>
            <w:gridCol w:w="2940"/>
            <w:gridCol w:w="62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4">
            <w:pPr>
              <w:widowControl w:val="0"/>
              <w:spacing w:after="120" w:before="120" w:line="240" w:lineRule="auto"/>
              <w:rPr/>
            </w:pPr>
            <w:r w:rsidDel="00000000" w:rsidR="00000000" w:rsidRPr="00000000">
              <w:rPr>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5">
            <w:pPr>
              <w:widowControl w:val="0"/>
              <w:spacing w:after="120" w:before="120" w:line="240" w:lineRule="auto"/>
              <w:rPr/>
            </w:pPr>
            <w:r w:rsidDel="00000000" w:rsidR="00000000" w:rsidRPr="00000000">
              <w:rPr>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6">
            <w:pPr>
              <w:widowControl w:val="0"/>
              <w:spacing w:after="120" w:before="120" w:line="240" w:lineRule="auto"/>
              <w:rPr/>
            </w:pPr>
            <w:r w:rsidDel="00000000" w:rsidR="00000000" w:rsidRPr="00000000">
              <w:rPr>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7">
            <w:pPr>
              <w:widowControl w:val="0"/>
              <w:spacing w:after="120" w:before="120" w:line="240" w:lineRule="auto"/>
              <w:rPr/>
            </w:pPr>
            <w:r w:rsidDel="00000000" w:rsidR="00000000" w:rsidRPr="00000000">
              <w:rPr>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8">
            <w:pPr>
              <w:widowControl w:val="0"/>
              <w:spacing w:after="120" w:before="120" w:line="240" w:lineRule="auto"/>
              <w:rPr/>
            </w:pPr>
            <w:r w:rsidDel="00000000" w:rsidR="00000000" w:rsidRPr="00000000">
              <w:rPr>
                <w:sz w:val="24"/>
                <w:szCs w:val="24"/>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9">
            <w:pPr>
              <w:widowControl w:val="0"/>
              <w:spacing w:after="120" w:before="120" w:line="240" w:lineRule="auto"/>
              <w:rPr>
                <w:sz w:val="24"/>
                <w:szCs w:val="24"/>
              </w:rPr>
            </w:pPr>
            <w:r w:rsidDel="00000000" w:rsidR="00000000" w:rsidRPr="00000000">
              <w:rPr>
                <w:sz w:val="24"/>
                <w:szCs w:val="24"/>
                <w:rtl w:val="0"/>
              </w:rPr>
              <w:t xml:space="preserve">means Key Subcontractor identified within Attachment 7 - Key subcontractor details. Definition of Key Subcontractor can be found in Joint Schedule 1</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A">
            <w:pPr>
              <w:widowControl w:val="0"/>
              <w:spacing w:after="120" w:before="120" w:line="240" w:lineRule="auto"/>
              <w:rPr/>
            </w:pPr>
            <w:r w:rsidDel="00000000" w:rsidR="00000000" w:rsidRPr="00000000">
              <w:rPr>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B">
            <w:pPr>
              <w:widowControl w:val="0"/>
              <w:spacing w:after="120" w:before="120" w:line="240" w:lineRule="auto"/>
              <w:rPr>
                <w:sz w:val="24"/>
                <w:szCs w:val="24"/>
              </w:rPr>
            </w:pPr>
            <w:r w:rsidDel="00000000" w:rsidR="00000000" w:rsidRPr="00000000">
              <w:rPr>
                <w:sz w:val="24"/>
                <w:szCs w:val="24"/>
                <w:rtl w:val="0"/>
              </w:rPr>
              <w:t xml:space="preserve">means the Assessing and Monitoring the Economic and Financial Standing of Bidders and Suppliers document  </w:t>
            </w:r>
          </w:p>
          <w:p w:rsidR="00000000" w:rsidDel="00000000" w:rsidP="00000000" w:rsidRDefault="00000000" w:rsidRPr="00000000" w14:paraId="0000000C">
            <w:pPr>
              <w:widowControl w:val="0"/>
              <w:spacing w:after="120" w:before="120" w:line="240" w:lineRule="auto"/>
              <w:ind w:left="0" w:firstLine="0"/>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D">
            <w:pPr>
              <w:widowControl w:val="0"/>
              <w:spacing w:after="120" w:before="120" w:line="240" w:lineRule="auto"/>
              <w:rPr/>
            </w:pPr>
            <w:r w:rsidDel="00000000" w:rsidR="00000000" w:rsidRPr="00000000">
              <w:rPr>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0E">
            <w:pPr>
              <w:widowControl w:val="0"/>
              <w:spacing w:after="120" w:before="120" w:line="240" w:lineRule="auto"/>
              <w:rPr>
                <w:sz w:val="24"/>
                <w:szCs w:val="24"/>
              </w:rPr>
            </w:pPr>
            <w:r w:rsidDel="00000000" w:rsidR="00000000" w:rsidRPr="00000000">
              <w:rPr>
                <w:sz w:val="24"/>
                <w:szCs w:val="24"/>
                <w:rtl w:val="0"/>
              </w:rPr>
              <w:t xml:space="preserve">the document that outlines a series of key policies for making outsourcing decisions and contracting outside suppliers for the delivery of public services.</w:t>
            </w:r>
          </w:p>
          <w:p w:rsidR="00000000" w:rsidDel="00000000" w:rsidP="00000000" w:rsidRDefault="00000000" w:rsidRPr="00000000" w14:paraId="0000000F">
            <w:pPr>
              <w:widowControl w:val="0"/>
              <w:spacing w:after="120" w:before="120" w:line="240" w:lineRule="auto"/>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10">
      <w:pPr>
        <w:widowControl w:val="0"/>
        <w:spacing w:after="120" w:before="120" w:line="240" w:lineRule="auto"/>
        <w:ind w:left="5" w:right="492" w:firstLine="18"/>
        <w:rPr>
          <w:sz w:val="24"/>
          <w:szCs w:val="24"/>
        </w:rPr>
      </w:pPr>
      <w:r w:rsidDel="00000000" w:rsidR="00000000" w:rsidRPr="00000000">
        <w:rPr>
          <w:rtl w:val="0"/>
        </w:rPr>
      </w:r>
    </w:p>
    <w:p w:rsidR="00000000" w:rsidDel="00000000" w:rsidP="00000000" w:rsidRDefault="00000000" w:rsidRPr="00000000" w14:paraId="00000011">
      <w:pPr>
        <w:widowControl w:val="0"/>
        <w:spacing w:after="120" w:before="120" w:line="240" w:lineRule="auto"/>
        <w:rPr>
          <w:sz w:val="24"/>
          <w:szCs w:val="24"/>
        </w:rPr>
      </w:pPr>
      <w:r w:rsidDel="00000000" w:rsidR="00000000" w:rsidRPr="00000000">
        <w:rPr>
          <w:rtl w:val="0"/>
        </w:rPr>
      </w:r>
    </w:p>
    <w:p w:rsidR="00000000" w:rsidDel="00000000" w:rsidP="00000000" w:rsidRDefault="00000000" w:rsidRPr="00000000" w14:paraId="00000012">
      <w:pPr>
        <w:widowControl w:val="0"/>
        <w:spacing w:after="120" w:before="120" w:line="240" w:lineRule="auto"/>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after="120" w:before="120" w:line="240" w:lineRule="auto"/>
        <w:rPr>
          <w:sz w:val="24"/>
          <w:szCs w:val="24"/>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14">
      <w:pPr>
        <w:widowControl w:val="0"/>
        <w:spacing w:after="120" w:before="120" w:line="240" w:lineRule="auto"/>
        <w:rPr>
          <w:color w:val="000000"/>
          <w:sz w:val="24"/>
          <w:szCs w:val="24"/>
        </w:rPr>
      </w:pPr>
      <w:r w:rsidDel="00000000" w:rsidR="00000000" w:rsidRPr="00000000">
        <w:rPr>
          <w:sz w:val="24"/>
          <w:szCs w:val="24"/>
          <w:rtl w:val="0"/>
        </w:rPr>
        <w:t xml:space="preserve">C</w:t>
      </w:r>
      <w:r w:rsidDel="00000000" w:rsidR="00000000" w:rsidRPr="00000000">
        <w:rPr>
          <w:color w:val="000000"/>
          <w:sz w:val="24"/>
          <w:szCs w:val="24"/>
          <w:rtl w:val="0"/>
        </w:rPr>
        <w:t xml:space="preserve">CS has adapted the Cabinet Office’s Financial Viability Risk Assessment (FVRA) Tool </w:t>
      </w:r>
      <w:r w:rsidDel="00000000" w:rsidR="00000000" w:rsidRPr="00000000">
        <w:rPr>
          <w:sz w:val="24"/>
          <w:szCs w:val="24"/>
          <w:rtl w:val="0"/>
        </w:rPr>
        <w:t xml:space="preserve">(version 4.3.1)</w:t>
      </w:r>
      <w:r w:rsidDel="00000000" w:rsidR="00000000" w:rsidRPr="00000000">
        <w:rPr>
          <w:color w:val="000000"/>
          <w:sz w:val="24"/>
          <w:szCs w:val="24"/>
          <w:rtl w:val="0"/>
        </w:rPr>
        <w:t xml:space="preserve"> as the basis to conduct a financial assessment on all Bids. </w:t>
      </w:r>
    </w:p>
    <w:p w:rsidR="00000000" w:rsidDel="00000000" w:rsidP="00000000" w:rsidRDefault="00000000" w:rsidRPr="00000000" w14:paraId="00000015">
      <w:pPr>
        <w:widowControl w:val="0"/>
        <w:spacing w:after="120" w:before="120" w:line="240" w:lineRule="auto"/>
        <w:rPr>
          <w:sz w:val="24"/>
          <w:szCs w:val="24"/>
        </w:rPr>
      </w:pPr>
      <w:r w:rsidDel="00000000" w:rsidR="00000000" w:rsidRPr="00000000">
        <w:rPr>
          <w:color w:val="000000"/>
          <w:sz w:val="24"/>
          <w:szCs w:val="24"/>
          <w:rtl w:val="0"/>
        </w:rPr>
        <w:t xml:space="preserve">The </w:t>
      </w:r>
      <w:r w:rsidDel="00000000" w:rsidR="00000000" w:rsidRPr="00000000">
        <w:rPr>
          <w:sz w:val="24"/>
          <w:szCs w:val="24"/>
          <w:rtl w:val="0"/>
        </w:rPr>
        <w:t xml:space="preserve">RM6299 Office Solutions </w:t>
      </w:r>
      <w:r w:rsidDel="00000000" w:rsidR="00000000" w:rsidRPr="00000000">
        <w:rPr>
          <w:color w:val="000000"/>
          <w:sz w:val="24"/>
          <w:szCs w:val="24"/>
          <w:rtl w:val="0"/>
        </w:rPr>
        <w:t xml:space="preserve">FVRA Tool is provided at Attachment 5a – Financial Viability Risk Assessment Tool and is to be completed and submitted by Bidders.  </w:t>
      </w:r>
      <w:r w:rsidDel="00000000" w:rsidR="00000000" w:rsidRPr="00000000">
        <w:rPr>
          <w:rtl w:val="0"/>
        </w:rPr>
      </w:r>
    </w:p>
    <w:p w:rsidR="00000000" w:rsidDel="00000000" w:rsidP="00000000" w:rsidRDefault="00000000" w:rsidRPr="00000000" w14:paraId="00000016">
      <w:pPr>
        <w:widowControl w:val="0"/>
        <w:spacing w:after="120" w:before="120" w:line="240" w:lineRule="auto"/>
        <w:ind w:left="23" w:right="363" w:hanging="3.0000000000000004"/>
        <w:rPr>
          <w:sz w:val="24"/>
          <w:szCs w:val="24"/>
        </w:rPr>
      </w:pPr>
      <w:r w:rsidDel="00000000" w:rsidR="00000000" w:rsidRPr="00000000">
        <w:rPr>
          <w:color w:val="000000"/>
          <w:sz w:val="24"/>
          <w:szCs w:val="24"/>
          <w:rtl w:val="0"/>
        </w:rPr>
        <w:t xml:space="preserve">If bidding in a consortium, each consortium member must complete and submit their own Attachment 5a –Financial Viability Risk Assessment Tool.</w:t>
      </w:r>
      <w:r w:rsidDel="00000000" w:rsidR="00000000" w:rsidRPr="00000000">
        <w:rPr>
          <w:rtl w:val="0"/>
        </w:rPr>
      </w:r>
    </w:p>
    <w:p w:rsidR="00000000" w:rsidDel="00000000" w:rsidP="00000000" w:rsidRDefault="00000000" w:rsidRPr="00000000" w14:paraId="00000017">
      <w:pPr>
        <w:widowControl w:val="0"/>
        <w:spacing w:after="120" w:before="120" w:line="240" w:lineRule="auto"/>
        <w:ind w:right="336" w:firstLine="0"/>
        <w:rPr>
          <w:color w:val="000000"/>
          <w:sz w:val="24"/>
          <w:szCs w:val="24"/>
        </w:rPr>
      </w:pPr>
      <w:bookmarkStart w:colFirst="0" w:colLast="0" w:name="_heading=h.gjdgxs" w:id="0"/>
      <w:bookmarkEnd w:id="0"/>
      <w:r w:rsidDel="00000000" w:rsidR="00000000" w:rsidRPr="00000000">
        <w:rPr>
          <w:color w:val="000000"/>
          <w:sz w:val="24"/>
          <w:szCs w:val="24"/>
          <w:rtl w:val="0"/>
        </w:rPr>
        <w:t xml:space="preserve">Bidders, and consortium members who pass the assessment to the satisfaction of CCS will achieve a “pass”. </w:t>
      </w:r>
    </w:p>
    <w:p w:rsidR="00000000" w:rsidDel="00000000" w:rsidP="00000000" w:rsidRDefault="00000000" w:rsidRPr="00000000" w14:paraId="00000018">
      <w:pPr>
        <w:widowControl w:val="0"/>
        <w:spacing w:after="120" w:before="120" w:line="240" w:lineRule="auto"/>
        <w:ind w:right="336" w:firstLine="0"/>
        <w:rPr>
          <w:color w:val="000000"/>
          <w:sz w:val="24"/>
          <w:szCs w:val="24"/>
        </w:rPr>
      </w:pPr>
      <w:bookmarkStart w:colFirst="0" w:colLast="0" w:name="_heading=h.y1ww8pnr1mc7" w:id="1"/>
      <w:bookmarkEnd w:id="1"/>
      <w:r w:rsidDel="00000000" w:rsidR="00000000" w:rsidRPr="00000000">
        <w:rPr>
          <w:color w:val="000000"/>
          <w:sz w:val="24"/>
          <w:szCs w:val="24"/>
          <w:rtl w:val="0"/>
        </w:rPr>
        <w:t xml:space="preserve">If a Bidder or any member of a consortium does not pass the Assessment, to the satisfaction of CCS, they will “fail” and the bid will be deemed non-compliant and will be excluded from the competition. </w:t>
      </w:r>
    </w:p>
    <w:p w:rsidR="00000000" w:rsidDel="00000000" w:rsidP="00000000" w:rsidRDefault="00000000" w:rsidRPr="00000000" w14:paraId="00000019">
      <w:pPr>
        <w:widowControl w:val="0"/>
        <w:spacing w:after="120" w:before="120" w:line="240" w:lineRule="auto"/>
        <w:ind w:right="336" w:firstLine="0"/>
        <w:rPr>
          <w:sz w:val="24"/>
          <w:szCs w:val="24"/>
        </w:rPr>
      </w:pPr>
      <w:bookmarkStart w:colFirst="0" w:colLast="0" w:name="_heading=h.fji41g1qoz8h" w:id="2"/>
      <w:bookmarkEnd w:id="2"/>
      <w:r w:rsidDel="00000000" w:rsidR="00000000" w:rsidRPr="00000000">
        <w:rPr>
          <w:color w:val="000000"/>
          <w:sz w:val="24"/>
          <w:szCs w:val="24"/>
          <w:rtl w:val="0"/>
        </w:rPr>
        <w:t xml:space="preserve">If we exclude a bid from the competition we will tell the Bidder and explain why. </w:t>
      </w:r>
      <w:r w:rsidDel="00000000" w:rsidR="00000000" w:rsidRPr="00000000">
        <w:rPr>
          <w:rtl w:val="0"/>
        </w:rPr>
      </w:r>
    </w:p>
    <w:p w:rsidR="00000000" w:rsidDel="00000000" w:rsidP="00000000" w:rsidRDefault="00000000" w:rsidRPr="00000000" w14:paraId="0000001A">
      <w:pPr>
        <w:widowControl w:val="0"/>
        <w:spacing w:after="120" w:before="120" w:line="240" w:lineRule="auto"/>
        <w:ind w:right="336" w:firstLine="0"/>
        <w:rPr>
          <w:sz w:val="24"/>
          <w:szCs w:val="24"/>
        </w:rPr>
      </w:pPr>
      <w:bookmarkStart w:colFirst="0" w:colLast="0" w:name="_heading=h.g1yg5v5x9jl" w:id="3"/>
      <w:bookmarkEnd w:id="3"/>
      <w:r w:rsidDel="00000000" w:rsidR="00000000" w:rsidRPr="00000000">
        <w:rPr>
          <w:color w:val="000000"/>
          <w:sz w:val="24"/>
          <w:szCs w:val="24"/>
          <w:rtl w:val="0"/>
        </w:rPr>
        <w:t xml:space="preserve">It is advised that before completing the FVRA, Bidders review the May 2021 Guidance Note ‘Assessing and Monitoring the Economic and Financial Standing of Bidders and Suppliers’ (hereafter referred to as ‘The Guidance Note’) which can be  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1B">
      <w:pPr>
        <w:widowControl w:val="0"/>
        <w:spacing w:after="120" w:before="120" w:line="240" w:lineRule="auto"/>
        <w:ind w:left="5" w:right="532" w:firstLine="8"/>
        <w:rPr>
          <w:color w:val="000000"/>
          <w:sz w:val="24"/>
          <w:szCs w:val="24"/>
        </w:rPr>
      </w:pPr>
      <w:r w:rsidDel="00000000" w:rsidR="00000000" w:rsidRPr="00000000">
        <w:rPr>
          <w:color w:val="000000"/>
          <w:sz w:val="24"/>
          <w:szCs w:val="24"/>
          <w:rtl w:val="0"/>
        </w:rPr>
        <w:t xml:space="preserve">RM</w:t>
      </w:r>
      <w:r w:rsidDel="00000000" w:rsidR="00000000" w:rsidRPr="00000000">
        <w:rPr>
          <w:sz w:val="24"/>
          <w:szCs w:val="24"/>
          <w:rtl w:val="0"/>
        </w:rPr>
        <w:t xml:space="preserve">6299 Office Solutions Lots 1-2</w:t>
      </w:r>
      <w:r w:rsidDel="00000000" w:rsidR="00000000" w:rsidRPr="00000000">
        <w:rPr>
          <w:color w:val="000000"/>
          <w:sz w:val="24"/>
          <w:szCs w:val="24"/>
          <w:rtl w:val="0"/>
        </w:rPr>
        <w:t xml:space="preserve"> </w:t>
      </w:r>
      <w:r w:rsidDel="00000000" w:rsidR="00000000" w:rsidRPr="00000000">
        <w:rPr>
          <w:sz w:val="24"/>
          <w:szCs w:val="24"/>
          <w:rtl w:val="0"/>
        </w:rPr>
        <w:t xml:space="preserve">has been</w:t>
      </w:r>
      <w:r w:rsidDel="00000000" w:rsidR="00000000" w:rsidRPr="00000000">
        <w:rPr>
          <w:color w:val="000000"/>
          <w:sz w:val="24"/>
          <w:szCs w:val="24"/>
          <w:rtl w:val="0"/>
        </w:rPr>
        <w:t xml:space="preserve"> classified as a </w:t>
      </w:r>
      <w:r w:rsidDel="00000000" w:rsidR="00000000" w:rsidRPr="00000000">
        <w:rPr>
          <w:b w:val="1"/>
          <w:color w:val="000000"/>
          <w:sz w:val="24"/>
          <w:szCs w:val="24"/>
          <w:rtl w:val="0"/>
        </w:rPr>
        <w:t xml:space="preserve">Gold</w:t>
      </w:r>
      <w:r w:rsidDel="00000000" w:rsidR="00000000" w:rsidRPr="00000000">
        <w:rPr>
          <w:b w:val="1"/>
          <w:sz w:val="24"/>
          <w:szCs w:val="24"/>
          <w:rtl w:val="0"/>
        </w:rPr>
        <w:t xml:space="preserve"> </w:t>
      </w:r>
      <w:r w:rsidDel="00000000" w:rsidR="00000000" w:rsidRPr="00000000">
        <w:rPr>
          <w:color w:val="000000"/>
          <w:sz w:val="24"/>
          <w:szCs w:val="24"/>
          <w:rtl w:val="0"/>
        </w:rPr>
        <w:t xml:space="preserve">contract, via the Contract Tiering Tool. </w:t>
      </w:r>
    </w:p>
    <w:p w:rsidR="00000000" w:rsidDel="00000000" w:rsidP="00000000" w:rsidRDefault="00000000" w:rsidRPr="00000000" w14:paraId="0000001C">
      <w:pPr>
        <w:widowControl w:val="0"/>
        <w:spacing w:after="120" w:before="120" w:line="240" w:lineRule="auto"/>
        <w:ind w:left="5" w:right="532" w:firstLine="8"/>
        <w:rPr>
          <w:sz w:val="24"/>
          <w:szCs w:val="24"/>
        </w:rPr>
      </w:pPr>
      <w:r w:rsidDel="00000000" w:rsidR="00000000" w:rsidRPr="00000000">
        <w:rPr>
          <w:color w:val="000000"/>
          <w:sz w:val="24"/>
          <w:szCs w:val="24"/>
          <w:rtl w:val="0"/>
        </w:rPr>
        <w:t xml:space="preserve">All B</w:t>
      </w:r>
      <w:r w:rsidDel="00000000" w:rsidR="00000000" w:rsidRPr="00000000">
        <w:rPr>
          <w:sz w:val="24"/>
          <w:szCs w:val="24"/>
          <w:rtl w:val="0"/>
        </w:rPr>
        <w:t xml:space="preserve">idders tendering for this framework are required to complete Attachment 5a - Financial Viability Assessment Tool and upload it to Part 1.19 of Attachment 2a Selection Questionnaire in the eSourcing suite.</w:t>
      </w:r>
    </w:p>
    <w:p w:rsidR="00000000" w:rsidDel="00000000" w:rsidP="00000000" w:rsidRDefault="00000000" w:rsidRPr="00000000" w14:paraId="0000001D">
      <w:pPr>
        <w:widowControl w:val="0"/>
        <w:spacing w:after="120" w:before="120" w:line="240" w:lineRule="auto"/>
        <w:ind w:left="5" w:right="323" w:firstLine="0"/>
        <w:rPr>
          <w:color w:val="000000"/>
          <w:sz w:val="24"/>
          <w:szCs w:val="24"/>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w:t>
      </w:r>
    </w:p>
    <w:p w:rsidR="00000000" w:rsidDel="00000000" w:rsidP="00000000" w:rsidRDefault="00000000" w:rsidRPr="00000000" w14:paraId="0000001E">
      <w:pPr>
        <w:widowControl w:val="0"/>
        <w:spacing w:after="120" w:before="120" w:line="240" w:lineRule="auto"/>
        <w:ind w:left="5" w:right="323" w:firstLine="0"/>
        <w:rPr>
          <w:color w:val="000000"/>
          <w:sz w:val="24"/>
          <w:szCs w:val="24"/>
        </w:rPr>
      </w:pPr>
      <w:r w:rsidDel="00000000" w:rsidR="00000000" w:rsidRPr="00000000">
        <w:rPr>
          <w:color w:val="000000"/>
          <w:sz w:val="24"/>
          <w:szCs w:val="24"/>
          <w:rtl w:val="0"/>
        </w:rPr>
        <w:t xml:space="preserve">Bidders ranked Red (High Risk) or Amber (Medium Risk) against relevant thresholds must set out explanations and relevant mitigations on the relevant tabs (3.1 to 3.3) within Attachment 5a –Financial Viability Risk Assessment Tool. </w:t>
      </w:r>
    </w:p>
    <w:p w:rsidR="00000000" w:rsidDel="00000000" w:rsidP="00000000" w:rsidRDefault="00000000" w:rsidRPr="00000000" w14:paraId="0000001F">
      <w:pPr>
        <w:widowControl w:val="0"/>
        <w:spacing w:after="120" w:before="120" w:line="240" w:lineRule="auto"/>
        <w:ind w:left="5" w:right="323" w:firstLine="0"/>
        <w:rPr>
          <w:sz w:val="24"/>
          <w:szCs w:val="24"/>
        </w:rPr>
      </w:pPr>
      <w:r w:rsidDel="00000000" w:rsidR="00000000" w:rsidRPr="00000000">
        <w:rPr>
          <w:color w:val="000000"/>
          <w:sz w:val="24"/>
          <w:szCs w:val="24"/>
          <w:rtl w:val="0"/>
        </w:rPr>
        <w:t xml:space="preserve">Further guidance around potential mitigations is also provided in The Guidance Note.  </w:t>
      </w:r>
      <w:r w:rsidDel="00000000" w:rsidR="00000000" w:rsidRPr="00000000">
        <w:rPr>
          <w:rtl w:val="0"/>
        </w:rPr>
      </w:r>
    </w:p>
    <w:p w:rsidR="00000000" w:rsidDel="00000000" w:rsidP="00000000" w:rsidRDefault="00000000" w:rsidRPr="00000000" w14:paraId="00000020">
      <w:pPr>
        <w:widowControl w:val="0"/>
        <w:spacing w:after="120" w:before="120" w:line="240" w:lineRule="auto"/>
        <w:ind w:left="18" w:right="759" w:firstLine="4.000000000000002"/>
        <w:rPr>
          <w:sz w:val="24"/>
          <w:szCs w:val="24"/>
        </w:rPr>
      </w:pPr>
      <w:r w:rsidDel="00000000" w:rsidR="00000000" w:rsidRPr="00000000">
        <w:rPr>
          <w:color w:val="000000"/>
          <w:sz w:val="24"/>
          <w:szCs w:val="24"/>
          <w:rtl w:val="0"/>
        </w:rPr>
        <w:t xml:space="preserve">Please see Appendix 2 for </w:t>
      </w:r>
      <w:r w:rsidDel="00000000" w:rsidR="00000000" w:rsidRPr="00000000">
        <w:rPr>
          <w:sz w:val="24"/>
          <w:szCs w:val="24"/>
          <w:rtl w:val="0"/>
        </w:rPr>
        <w:t xml:space="preserve">instructions</w:t>
      </w:r>
      <w:r w:rsidDel="00000000" w:rsidR="00000000" w:rsidRPr="00000000">
        <w:rPr>
          <w:color w:val="000000"/>
          <w:sz w:val="24"/>
          <w:szCs w:val="24"/>
          <w:rtl w:val="0"/>
        </w:rPr>
        <w:t xml:space="preserve"> on how and where to submit the required information in the eSourcing suite.  </w:t>
      </w:r>
      <w:r w:rsidDel="00000000" w:rsidR="00000000" w:rsidRPr="00000000">
        <w:rPr>
          <w:rtl w:val="0"/>
        </w:rPr>
      </w:r>
    </w:p>
    <w:p w:rsidR="00000000" w:rsidDel="00000000" w:rsidP="00000000" w:rsidRDefault="00000000" w:rsidRPr="00000000" w14:paraId="00000021">
      <w:pPr>
        <w:spacing w:after="120" w:before="120" w:line="240" w:lineRule="auto"/>
        <w:rPr>
          <w:b w:val="1"/>
          <w:color w:val="000000"/>
          <w:sz w:val="28"/>
          <w:szCs w:val="28"/>
        </w:rPr>
      </w:pPr>
      <w:r w:rsidDel="00000000" w:rsidR="00000000" w:rsidRPr="00000000">
        <w:rPr>
          <w:rtl w:val="0"/>
        </w:rPr>
      </w:r>
    </w:p>
    <w:p w:rsidR="00000000" w:rsidDel="00000000" w:rsidP="00000000" w:rsidRDefault="00000000" w:rsidRPr="00000000" w14:paraId="00000022">
      <w:pPr>
        <w:widowControl w:val="0"/>
        <w:spacing w:after="120" w:before="120" w:line="240" w:lineRule="auto"/>
        <w:ind w:left="18" w:right="759" w:firstLine="4.000000000000002"/>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23">
      <w:pPr>
        <w:widowControl w:val="0"/>
        <w:spacing w:after="120" w:before="120" w:line="240" w:lineRule="auto"/>
        <w:ind w:left="20" w:right="114" w:firstLine="0"/>
        <w:rPr>
          <w:sz w:val="24"/>
          <w:szCs w:val="24"/>
        </w:rPr>
      </w:pPr>
      <w:r w:rsidDel="00000000" w:rsidR="00000000" w:rsidRPr="00000000">
        <w:rPr>
          <w:color w:val="000000"/>
          <w:sz w:val="24"/>
          <w:szCs w:val="24"/>
          <w:rtl w:val="0"/>
        </w:rPr>
        <w:t xml:space="preserve">Before completing Attachment 5a –Financial Viability Risk Assessment Tool, Bidders are advised to review the first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r w:rsidDel="00000000" w:rsidR="00000000" w:rsidRPr="00000000">
        <w:rPr>
          <w:rtl w:val="0"/>
        </w:rPr>
      </w:r>
    </w:p>
    <w:p w:rsidR="00000000" w:rsidDel="00000000" w:rsidP="00000000" w:rsidRDefault="00000000" w:rsidRPr="00000000" w14:paraId="00000024">
      <w:pPr>
        <w:widowControl w:val="0"/>
        <w:spacing w:after="120" w:before="120" w:line="240" w:lineRule="auto"/>
        <w:ind w:left="5" w:right="331" w:firstLine="18"/>
        <w:rPr>
          <w:sz w:val="24"/>
          <w:szCs w:val="24"/>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25">
      <w:pPr>
        <w:widowControl w:val="0"/>
        <w:spacing w:after="120" w:before="120" w:line="240" w:lineRule="auto"/>
        <w:ind w:left="5" w:right="331" w:firstLine="0"/>
        <w:rPr>
          <w:color w:val="000000"/>
          <w:sz w:val="24"/>
          <w:szCs w:val="24"/>
        </w:rPr>
      </w:pPr>
      <w:r w:rsidDel="00000000" w:rsidR="00000000" w:rsidRPr="00000000">
        <w:rPr>
          <w:color w:val="000000"/>
          <w:sz w:val="24"/>
          <w:szCs w:val="24"/>
          <w:rtl w:val="0"/>
        </w:rPr>
        <w:t xml:space="preserve">On the tab ‘</w:t>
      </w:r>
      <w:r w:rsidDel="00000000" w:rsidR="00000000" w:rsidRPr="00000000">
        <w:rPr>
          <w:sz w:val="24"/>
          <w:szCs w:val="24"/>
          <w:rtl w:val="0"/>
        </w:rPr>
        <w:t xml:space="preserve">Bidder</w:t>
      </w:r>
      <w:r w:rsidDel="00000000" w:rsidR="00000000" w:rsidRPr="00000000">
        <w:rPr>
          <w:color w:val="000000"/>
          <w:sz w:val="24"/>
          <w:szCs w:val="24"/>
          <w:rtl w:val="0"/>
        </w:rPr>
        <w:t xml:space="preserve"> Instructions’. </w:t>
      </w:r>
    </w:p>
    <w:p w:rsidR="00000000" w:rsidDel="00000000" w:rsidP="00000000" w:rsidRDefault="00000000" w:rsidRPr="00000000" w14:paraId="00000026">
      <w:pPr>
        <w:widowControl w:val="0"/>
        <w:spacing w:after="120" w:before="120" w:line="240" w:lineRule="auto"/>
        <w:ind w:left="5" w:right="331" w:firstLine="0"/>
        <w:rPr>
          <w:color w:val="000000"/>
          <w:sz w:val="24"/>
          <w:szCs w:val="24"/>
        </w:rPr>
      </w:pPr>
      <w:r w:rsidDel="00000000" w:rsidR="00000000" w:rsidRPr="00000000">
        <w:rPr>
          <w:color w:val="000000"/>
          <w:sz w:val="24"/>
          <w:szCs w:val="24"/>
          <w:rtl w:val="0"/>
        </w:rPr>
        <w:t xml:space="preserve">Make sure you select the correct company/organisation type for the Lead </w:t>
      </w:r>
      <w:r w:rsidDel="00000000" w:rsidR="00000000" w:rsidRPr="00000000">
        <w:rPr>
          <w:sz w:val="24"/>
          <w:szCs w:val="24"/>
          <w:rtl w:val="0"/>
        </w:rPr>
        <w:t xml:space="preserve">Bidder</w:t>
      </w:r>
      <w:r w:rsidDel="00000000" w:rsidR="00000000" w:rsidRPr="00000000">
        <w:rPr>
          <w:color w:val="000000"/>
          <w:sz w:val="24"/>
          <w:szCs w:val="24"/>
          <w:rtl w:val="0"/>
        </w:rPr>
        <w:t xml:space="preserve"> from the dropdown provided, (row 39) before completing the Attachment 5a. </w:t>
      </w:r>
    </w:p>
    <w:p w:rsidR="00000000" w:rsidDel="00000000" w:rsidP="00000000" w:rsidRDefault="00000000" w:rsidRPr="00000000" w14:paraId="00000027">
      <w:pPr>
        <w:widowControl w:val="0"/>
        <w:spacing w:after="120" w:before="120" w:line="240" w:lineRule="auto"/>
        <w:ind w:left="5" w:right="331" w:firstLine="0"/>
        <w:rPr>
          <w:sz w:val="24"/>
          <w:szCs w:val="24"/>
        </w:rPr>
      </w:pPr>
      <w:r w:rsidDel="00000000" w:rsidR="00000000" w:rsidRPr="00000000">
        <w:rPr>
          <w:color w:val="000000"/>
          <w:sz w:val="24"/>
          <w:szCs w:val="24"/>
          <w:rtl w:val="0"/>
        </w:rPr>
        <w:t xml:space="preserve">Please ensure you only complete the tabs </w:t>
      </w:r>
      <w:r w:rsidDel="00000000" w:rsidR="00000000" w:rsidRPr="00000000">
        <w:rPr>
          <w:sz w:val="24"/>
          <w:szCs w:val="24"/>
          <w:rtl w:val="0"/>
        </w:rPr>
        <w:t xml:space="preserve">relevant</w:t>
      </w:r>
      <w:r w:rsidDel="00000000" w:rsidR="00000000" w:rsidRPr="00000000">
        <w:rPr>
          <w:color w:val="000000"/>
          <w:sz w:val="24"/>
          <w:szCs w:val="24"/>
          <w:rtl w:val="0"/>
        </w:rPr>
        <w:t xml:space="preserve"> to</w:t>
      </w:r>
      <w:r w:rsidDel="00000000" w:rsidR="00000000" w:rsidRPr="00000000">
        <w:rPr>
          <w:sz w:val="24"/>
          <w:szCs w:val="24"/>
          <w:rtl w:val="0"/>
        </w:rPr>
        <w:t xml:space="preserve"> your organisation type.</w:t>
      </w:r>
    </w:p>
    <w:p w:rsidR="00000000" w:rsidDel="00000000" w:rsidP="00000000" w:rsidRDefault="00000000" w:rsidRPr="00000000" w14:paraId="00000028">
      <w:pPr>
        <w:widowControl w:val="0"/>
        <w:numPr>
          <w:ilvl w:val="0"/>
          <w:numId w:val="2"/>
        </w:numPr>
        <w:spacing w:after="120" w:before="120" w:line="240" w:lineRule="auto"/>
        <w:ind w:left="731.3385826771655" w:right="328.81889763779526" w:hanging="720.0000000000001"/>
        <w:rPr/>
      </w:pPr>
      <w:r w:rsidDel="00000000" w:rsidR="00000000" w:rsidRPr="00000000">
        <w:rPr>
          <w:sz w:val="24"/>
          <w:szCs w:val="24"/>
          <w:rtl w:val="0"/>
        </w:rPr>
        <w:t xml:space="preserve">1.1a Lead financial Input - only complete if you are a Private Limited Company Publicly listed company template</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31.3385826771655" w:right="328.81889763779526" w:hanging="720.0000000000001"/>
        <w:jc w:val="left"/>
        <w:rPr/>
      </w:pPr>
      <w:r w:rsidDel="00000000" w:rsidR="00000000" w:rsidRPr="00000000">
        <w:rPr>
          <w:sz w:val="24"/>
          <w:szCs w:val="24"/>
          <w:rtl w:val="0"/>
        </w:rPr>
        <w:t xml:space="preserve">1.1b Lead financial Input - only complete if you are Not for profit/Voluntary organisation</w:t>
      </w:r>
      <w:r w:rsidDel="00000000" w:rsidR="00000000" w:rsidRPr="00000000">
        <w:rPr>
          <w:rtl w:val="0"/>
        </w:rPr>
      </w:r>
    </w:p>
    <w:p w:rsidR="00000000" w:rsidDel="00000000" w:rsidP="00000000" w:rsidRDefault="00000000" w:rsidRPr="00000000" w14:paraId="0000002A">
      <w:pPr>
        <w:widowControl w:val="0"/>
        <w:numPr>
          <w:ilvl w:val="0"/>
          <w:numId w:val="1"/>
        </w:numPr>
        <w:spacing w:after="120" w:before="120" w:line="240" w:lineRule="auto"/>
        <w:ind w:left="11.338582677165476" w:right="544.2519685039371" w:hanging="720.0000000000001"/>
        <w:rPr>
          <w:sz w:val="24"/>
          <w:szCs w:val="24"/>
        </w:rPr>
      </w:pPr>
      <w:r w:rsidDel="00000000" w:rsidR="00000000" w:rsidRPr="00000000">
        <w:rPr>
          <w:sz w:val="24"/>
          <w:szCs w:val="24"/>
          <w:rtl w:val="0"/>
        </w:rPr>
        <w:t xml:space="preserve">Gold Bidders must correctly and accurately complete Attachment 5a –Financial Viability</w:t>
      </w:r>
      <w:r w:rsidDel="00000000" w:rsidR="00000000" w:rsidRPr="00000000">
        <w:rPr>
          <w:color w:val="000000"/>
          <w:sz w:val="24"/>
          <w:szCs w:val="24"/>
          <w:rtl w:val="0"/>
        </w:rPr>
        <w:t xml:space="preserve"> Risk Assessment Tool</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sz w:val="24"/>
          <w:szCs w:val="24"/>
          <w:rtl w:val="0"/>
        </w:rPr>
        <w:t xml:space="preserve">Means of Pro</w:t>
      </w:r>
      <w:r w:rsidDel="00000000" w:rsidR="00000000" w:rsidRPr="00000000">
        <w:rPr>
          <w:color w:val="000000"/>
          <w:sz w:val="24"/>
          <w:szCs w:val="24"/>
          <w:rtl w:val="0"/>
        </w:rPr>
        <w:t xml:space="preserve">of will be in line with PCR2015 regulation 60</w:t>
      </w:r>
      <w:r w:rsidDel="00000000" w:rsidR="00000000" w:rsidRPr="00000000">
        <w:rPr>
          <w:sz w:val="24"/>
          <w:szCs w:val="24"/>
          <w:rtl w:val="0"/>
        </w:rPr>
        <w:br w:type="textWrapping"/>
      </w:r>
      <w:r w:rsidDel="00000000" w:rsidR="00000000" w:rsidRPr="00000000">
        <w:rPr>
          <w:color w:val="0563c1"/>
          <w:sz w:val="24"/>
          <w:szCs w:val="24"/>
          <w:u w:val="single"/>
          <w:rtl w:val="0"/>
        </w:rPr>
        <w:t xml:space="preserve">https://www.legislation.gov.uk/uksi/2015/102/regulation/60/made</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sz w:val="24"/>
          <w:szCs w:val="24"/>
          <w:rtl w:val="0"/>
        </w:rPr>
        <w:t xml:space="preserve">Bidders </w:t>
      </w:r>
      <w:r w:rsidDel="00000000" w:rsidR="00000000" w:rsidRPr="00000000">
        <w:rPr>
          <w:color w:val="000000"/>
          <w:sz w:val="24"/>
          <w:szCs w:val="24"/>
          <w:rtl w:val="0"/>
        </w:rPr>
        <w:t xml:space="preserve">should complete all tabs in line with the instruction found within the Bidder instructions tab of the RM</w:t>
      </w:r>
      <w:r w:rsidDel="00000000" w:rsidR="00000000" w:rsidRPr="00000000">
        <w:rPr>
          <w:sz w:val="24"/>
          <w:szCs w:val="24"/>
          <w:rtl w:val="0"/>
        </w:rPr>
        <w:t xml:space="preserve">6299</w:t>
      </w:r>
      <w:r w:rsidDel="00000000" w:rsidR="00000000" w:rsidRPr="00000000">
        <w:rPr>
          <w:color w:val="000000"/>
          <w:sz w:val="24"/>
          <w:szCs w:val="24"/>
          <w:rtl w:val="0"/>
        </w:rPr>
        <w:t xml:space="preserve"> Financial Viability Risk Assessment Tool</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sz w:val="24"/>
          <w:szCs w:val="24"/>
          <w:rtl w:val="0"/>
        </w:rPr>
        <w:t xml:space="preserve">If there</w:t>
      </w:r>
      <w:r w:rsidDel="00000000" w:rsidR="00000000" w:rsidRPr="00000000">
        <w:rPr>
          <w:color w:val="000000"/>
          <w:sz w:val="24"/>
          <w:szCs w:val="24"/>
          <w:rtl w:val="0"/>
        </w:rPr>
        <w:t xml:space="preserve"> are multiple Lots and the threshold risk for the RAG status is dependent on Lot value, Bidders should select which Lot(s) they are bidding for. </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544.2519685039371" w:firstLine="0"/>
        <w:jc w:val="left"/>
        <w:rPr>
          <w:sz w:val="24"/>
          <w:szCs w:val="24"/>
        </w:rPr>
      </w:pPr>
      <w:r w:rsidDel="00000000" w:rsidR="00000000" w:rsidRPr="00000000">
        <w:rPr>
          <w:color w:val="000000"/>
          <w:sz w:val="24"/>
          <w:szCs w:val="24"/>
          <w:rtl w:val="0"/>
        </w:rPr>
        <w:t xml:space="preserve">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sz w:val="24"/>
          <w:szCs w:val="24"/>
          <w:rtl w:val="0"/>
        </w:rPr>
        <w:t xml:space="preserve">Each</w:t>
      </w:r>
      <w:r w:rsidDel="00000000" w:rsidR="00000000" w:rsidRPr="00000000">
        <w:rPr>
          <w:color w:val="000000"/>
          <w:sz w:val="24"/>
          <w:szCs w:val="24"/>
          <w:rtl w:val="0"/>
        </w:rPr>
        <w:t xml:space="preserve"> </w:t>
      </w:r>
      <w:r w:rsidDel="00000000" w:rsidR="00000000" w:rsidRPr="00000000">
        <w:rPr>
          <w:sz w:val="24"/>
          <w:szCs w:val="24"/>
          <w:rtl w:val="0"/>
        </w:rPr>
        <w:t xml:space="preserve">consortium</w:t>
      </w:r>
      <w:r w:rsidDel="00000000" w:rsidR="00000000" w:rsidRPr="00000000">
        <w:rPr>
          <w:color w:val="000000"/>
          <w:sz w:val="24"/>
          <w:szCs w:val="24"/>
          <w:rtl w:val="0"/>
        </w:rPr>
        <w:t xml:space="preserve"> member will be required to complete an Attachment 5a – Financial Viability Risk Assessment Tool individually, and provide copies of their published accounts for the last 3 years.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544.2519685039371" w:firstLine="0"/>
        <w:jc w:val="left"/>
        <w:rPr>
          <w:sz w:val="24"/>
          <w:szCs w:val="24"/>
        </w:rPr>
      </w:pPr>
      <w:r w:rsidDel="00000000" w:rsidR="00000000" w:rsidRPr="00000000">
        <w:rPr>
          <w:color w:val="000000"/>
          <w:sz w:val="24"/>
          <w:szCs w:val="24"/>
          <w:rtl w:val="0"/>
        </w:rPr>
        <w:t xml:space="preserve">Each consortium member will be assessed separately.</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sz w:val="24"/>
          <w:szCs w:val="24"/>
          <w:rtl w:val="0"/>
        </w:rPr>
        <w:t xml:space="preserve">Where</w:t>
      </w:r>
      <w:r w:rsidDel="00000000" w:rsidR="00000000" w:rsidRPr="00000000">
        <w:rPr>
          <w:color w:val="000000"/>
          <w:sz w:val="24"/>
          <w:szCs w:val="24"/>
          <w:rtl w:val="0"/>
        </w:rPr>
        <w:t xml:space="preserve"> </w:t>
      </w:r>
      <w:r w:rsidDel="00000000" w:rsidR="00000000" w:rsidRPr="00000000">
        <w:rPr>
          <w:sz w:val="24"/>
          <w:szCs w:val="24"/>
          <w:rtl w:val="0"/>
        </w:rPr>
        <w:t xml:space="preserve">the</w:t>
      </w:r>
      <w:r w:rsidDel="00000000" w:rsidR="00000000" w:rsidRPr="00000000">
        <w:rPr>
          <w:color w:val="000000"/>
          <w:sz w:val="24"/>
          <w:szCs w:val="24"/>
          <w:rtl w:val="0"/>
        </w:rPr>
        <w:t xml:space="preserve"> financial information inputted by the Bidder into Attachment 5a –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2">
      <w:pPr>
        <w:widowControl w:val="0"/>
        <w:numPr>
          <w:ilvl w:val="2"/>
          <w:numId w:val="1"/>
        </w:numPr>
        <w:spacing w:after="120" w:before="120" w:line="240" w:lineRule="auto"/>
        <w:ind w:left="1428.661417322835" w:right="442.2047244094489" w:hanging="720.0000000000002"/>
        <w:rPr>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28.661417322835" w:right="442.2047244094489" w:hanging="720.0000000000002"/>
        <w:jc w:val="left"/>
        <w:rPr>
          <w:sz w:val="24"/>
          <w:szCs w:val="24"/>
        </w:rPr>
      </w:pPr>
      <w:r w:rsidDel="00000000" w:rsidR="00000000" w:rsidRPr="00000000">
        <w:rPr>
          <w:color w:val="000000"/>
          <w:sz w:val="24"/>
          <w:szCs w:val="24"/>
          <w:rtl w:val="0"/>
        </w:rPr>
        <w:t xml:space="preserve">● a </w:t>
      </w:r>
      <w:r w:rsidDel="00000000" w:rsidR="00000000" w:rsidRPr="00000000">
        <w:rPr>
          <w:sz w:val="24"/>
          <w:szCs w:val="24"/>
          <w:rtl w:val="0"/>
        </w:rPr>
        <w:t xml:space="preserve">red</w:t>
      </w:r>
      <w:r w:rsidDel="00000000" w:rsidR="00000000" w:rsidRPr="00000000">
        <w:rPr>
          <w:color w:val="000000"/>
          <w:sz w:val="24"/>
          <w:szCs w:val="24"/>
          <w:rtl w:val="0"/>
        </w:rPr>
        <w:t xml:space="preserve">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color w:val="000000"/>
          <w:sz w:val="24"/>
          <w:szCs w:val="24"/>
          <w:rtl w:val="0"/>
        </w:rPr>
        <w:t xml:space="preserve">If</w:t>
      </w:r>
      <w:r w:rsidDel="00000000" w:rsidR="00000000" w:rsidRPr="00000000">
        <w:rPr>
          <w:sz w:val="24"/>
          <w:szCs w:val="24"/>
          <w:rtl w:val="0"/>
        </w:rPr>
        <w:t xml:space="preserve"> </w:t>
      </w:r>
      <w:r w:rsidDel="00000000" w:rsidR="00000000" w:rsidRPr="00000000">
        <w:rPr>
          <w:color w:val="000000"/>
          <w:sz w:val="24"/>
          <w:szCs w:val="24"/>
          <w:rtl w:val="0"/>
        </w:rPr>
        <w:t xml:space="preserve">CCS </w:t>
      </w:r>
      <w:r w:rsidDel="00000000" w:rsidR="00000000" w:rsidRPr="00000000">
        <w:rPr>
          <w:sz w:val="24"/>
          <w:szCs w:val="24"/>
          <w:rtl w:val="0"/>
        </w:rPr>
        <w:t xml:space="preserve">requires</w:t>
      </w:r>
      <w:r w:rsidDel="00000000" w:rsidR="00000000" w:rsidRPr="00000000">
        <w:rPr>
          <w:color w:val="000000"/>
          <w:sz w:val="24"/>
          <w:szCs w:val="24"/>
          <w:rtl w:val="0"/>
        </w:rPr>
        <w:t xml:space="preserve"> clarification or further information, explanations, it will send a message to the Bidder through the eSourcing messaging system.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544.2519685039371" w:firstLine="0"/>
        <w:jc w:val="left"/>
        <w:rPr>
          <w:sz w:val="24"/>
          <w:szCs w:val="24"/>
        </w:rPr>
      </w:pPr>
      <w:r w:rsidDel="00000000" w:rsidR="00000000" w:rsidRPr="00000000">
        <w:rPr>
          <w:color w:val="000000"/>
          <w:sz w:val="24"/>
          <w:szCs w:val="24"/>
          <w:rtl w:val="0"/>
        </w:rPr>
        <w:t xml:space="preserve">Bidders must respond to these requests within timeframes set in the individual messages.</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sz w:val="24"/>
          <w:szCs w:val="24"/>
          <w:rtl w:val="0"/>
        </w:rPr>
        <w:t xml:space="preserve">FVRA</w:t>
      </w:r>
      <w:r w:rsidDel="00000000" w:rsidR="00000000" w:rsidRPr="00000000">
        <w:rPr>
          <w:color w:val="000000"/>
          <w:sz w:val="24"/>
          <w:szCs w:val="24"/>
          <w:rtl w:val="0"/>
        </w:rPr>
        <w:t xml:space="preserve"> criteria 7 Net Asset Value is the only ratio which doesn’t involve a fraction.</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544.2519685039371" w:firstLine="0"/>
        <w:jc w:val="left"/>
        <w:rPr>
          <w:sz w:val="24"/>
          <w:szCs w:val="24"/>
        </w:rPr>
      </w:pPr>
      <w:r w:rsidDel="00000000" w:rsidR="00000000" w:rsidRPr="00000000">
        <w:rPr>
          <w:color w:val="000000"/>
          <w:sz w:val="24"/>
          <w:szCs w:val="24"/>
          <w:rtl w:val="0"/>
        </w:rPr>
        <w:t xml:space="preserve">To achieve Green – Low risk – the Bidder must be in a positive Net Asset position.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544.2519685039371" w:firstLine="0"/>
        <w:jc w:val="left"/>
        <w:rPr>
          <w:sz w:val="24"/>
          <w:szCs w:val="24"/>
        </w:rPr>
      </w:pPr>
      <w:r w:rsidDel="00000000" w:rsidR="00000000" w:rsidRPr="00000000">
        <w:rPr>
          <w:color w:val="000000"/>
          <w:sz w:val="24"/>
          <w:szCs w:val="24"/>
          <w:rtl w:val="0"/>
        </w:rPr>
        <w:t xml:space="preserve">If it is in a Net Liabilities position, then they are classed as High Risk.</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sz w:val="24"/>
          <w:szCs w:val="24"/>
          <w:rtl w:val="0"/>
        </w:rPr>
        <w:t xml:space="preserve">All Bidders</w:t>
      </w:r>
      <w:r w:rsidDel="00000000" w:rsidR="00000000" w:rsidRPr="00000000">
        <w:rPr>
          <w:color w:val="000000"/>
          <w:sz w:val="24"/>
          <w:szCs w:val="24"/>
          <w:rtl w:val="0"/>
        </w:rPr>
        <w:t xml:space="preserve"> must provide copies of:</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0000000000001" w:right="124.7244094488189" w:hanging="720.0000000000001"/>
        <w:jc w:val="left"/>
        <w:rPr>
          <w:sz w:val="24"/>
          <w:szCs w:val="24"/>
        </w:rPr>
      </w:pPr>
      <w:r w:rsidDel="00000000" w:rsidR="00000000" w:rsidRPr="00000000">
        <w:rPr>
          <w:sz w:val="24"/>
          <w:szCs w:val="24"/>
          <w:rtl w:val="0"/>
        </w:rPr>
        <w:t xml:space="preserve">their</w:t>
      </w:r>
      <w:r w:rsidDel="00000000" w:rsidR="00000000" w:rsidRPr="00000000">
        <w:rPr>
          <w:color w:val="000000"/>
          <w:sz w:val="24"/>
          <w:szCs w:val="24"/>
          <w:rtl w:val="0"/>
        </w:rPr>
        <w:t xml:space="preserve"> published accounts for the last 3 years</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0000000000001" w:right="124.7244094488189" w:hanging="720.0000000000001"/>
        <w:jc w:val="left"/>
        <w:rPr>
          <w:sz w:val="24"/>
          <w:szCs w:val="24"/>
        </w:rPr>
      </w:pPr>
      <w:r w:rsidDel="00000000" w:rsidR="00000000" w:rsidRPr="00000000">
        <w:rPr>
          <w:sz w:val="24"/>
          <w:szCs w:val="24"/>
          <w:rtl w:val="0"/>
        </w:rPr>
        <w:t xml:space="preserve">parent</w:t>
      </w:r>
      <w:r w:rsidDel="00000000" w:rsidR="00000000" w:rsidRPr="00000000">
        <w:rPr>
          <w:color w:val="000000"/>
          <w:sz w:val="24"/>
          <w:szCs w:val="24"/>
          <w:rtl w:val="0"/>
        </w:rPr>
        <w:t xml:space="preserve"> company published accounts for the last 3 years</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0000000000001" w:right="124.7244094488189" w:hanging="720.0000000000001"/>
        <w:jc w:val="left"/>
        <w:rPr>
          <w:sz w:val="24"/>
          <w:szCs w:val="24"/>
        </w:rPr>
      </w:pPr>
      <w:r w:rsidDel="00000000" w:rsidR="00000000" w:rsidRPr="00000000">
        <w:rPr>
          <w:sz w:val="24"/>
          <w:szCs w:val="24"/>
          <w:rtl w:val="0"/>
        </w:rPr>
        <w:t xml:space="preserve">ultimate</w:t>
      </w:r>
      <w:r w:rsidDel="00000000" w:rsidR="00000000" w:rsidRPr="00000000">
        <w:rPr>
          <w:color w:val="000000"/>
          <w:sz w:val="24"/>
          <w:szCs w:val="24"/>
          <w:rtl w:val="0"/>
        </w:rPr>
        <w:t xml:space="preserve"> parent published accounts for the last 3 years along with their completed Attachment 5a –Financial Viability Risk Assessment Tool. </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4.7244094488189" w:firstLine="0"/>
        <w:jc w:val="left"/>
        <w:rPr>
          <w:sz w:val="24"/>
          <w:szCs w:val="24"/>
        </w:rPr>
      </w:pPr>
      <w:r w:rsidDel="00000000" w:rsidR="00000000" w:rsidRPr="00000000">
        <w:rPr>
          <w:color w:val="000000"/>
          <w:sz w:val="24"/>
          <w:szCs w:val="24"/>
          <w:rtl w:val="0"/>
        </w:rPr>
        <w:t xml:space="preserve">In line with The Guidance Note, any qualified accounts will receive additional scrutiny.</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sz w:val="24"/>
          <w:szCs w:val="24"/>
          <w:rtl w:val="0"/>
        </w:rPr>
        <w:t xml:space="preserve">Bidders'</w:t>
      </w:r>
      <w:r w:rsidDel="00000000" w:rsidR="00000000" w:rsidRPr="00000000">
        <w:rPr>
          <w:color w:val="000000"/>
          <w:sz w:val="24"/>
          <w:szCs w:val="24"/>
          <w:rtl w:val="0"/>
        </w:rPr>
        <w:t xml:space="preserve"> financial accounts and supporting information should be in English and in UK Sterling.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544.2519685039371" w:firstLine="0"/>
        <w:jc w:val="left"/>
        <w:rPr>
          <w:sz w:val="24"/>
          <w:szCs w:val="24"/>
        </w:rPr>
      </w:pPr>
      <w:r w:rsidDel="00000000" w:rsidR="00000000" w:rsidRPr="00000000">
        <w:rPr>
          <w:color w:val="000000"/>
          <w:sz w:val="24"/>
          <w:szCs w:val="24"/>
          <w:rtl w:val="0"/>
        </w:rPr>
        <w:t xml:space="preserve">If the original documents are not in English, please provide copies of the originals and a certified translation into English.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544.2519685039371" w:firstLine="0"/>
        <w:jc w:val="left"/>
        <w:rPr>
          <w:sz w:val="24"/>
          <w:szCs w:val="24"/>
        </w:rPr>
      </w:pPr>
      <w:r w:rsidDel="00000000" w:rsidR="00000000" w:rsidRPr="00000000">
        <w:rPr>
          <w:color w:val="000000"/>
          <w:sz w:val="24"/>
          <w:szCs w:val="24"/>
          <w:rtl w:val="0"/>
        </w:rPr>
        <w:t xml:space="preserve">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sz w:val="24"/>
          <w:szCs w:val="24"/>
          <w:rtl w:val="0"/>
        </w:rPr>
        <w:t xml:space="preserve">Each</w:t>
      </w:r>
      <w:r w:rsidDel="00000000" w:rsidR="00000000" w:rsidRPr="00000000">
        <w:rPr>
          <w:color w:val="000000"/>
          <w:sz w:val="24"/>
          <w:szCs w:val="24"/>
          <w:rtl w:val="0"/>
        </w:rPr>
        <w:t xml:space="preserve"> Bidder must set out the following information:</w:t>
      </w:r>
      <w:r w:rsidDel="00000000" w:rsidR="00000000" w:rsidRPr="00000000">
        <w:rPr>
          <w:rtl w:val="0"/>
        </w:rPr>
      </w:r>
    </w:p>
    <w:p w:rsidR="00000000" w:rsidDel="00000000" w:rsidP="00000000" w:rsidRDefault="00000000" w:rsidRPr="00000000" w14:paraId="00000042">
      <w:pPr>
        <w:widowControl w:val="0"/>
        <w:numPr>
          <w:ilvl w:val="1"/>
          <w:numId w:val="1"/>
        </w:numPr>
        <w:spacing w:after="120" w:before="120" w:line="240" w:lineRule="auto"/>
        <w:ind w:left="720.0000000000001" w:right="124.7244094488189" w:hanging="720.0000000000001"/>
        <w:rPr>
          <w:sz w:val="24"/>
          <w:szCs w:val="24"/>
        </w:rPr>
      </w:pP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0000000000001" w:right="124.7244094488189" w:hanging="720.0000000000001"/>
        <w:jc w:val="left"/>
        <w:rPr>
          <w:sz w:val="24"/>
          <w:szCs w:val="24"/>
        </w:rPr>
      </w:pPr>
      <w:r w:rsidDel="00000000" w:rsidR="00000000" w:rsidRPr="00000000">
        <w:rPr>
          <w:sz w:val="24"/>
          <w:szCs w:val="24"/>
          <w:rtl w:val="0"/>
        </w:rPr>
        <w:t xml:space="preserve">any </w:t>
      </w:r>
      <w:r w:rsidDel="00000000" w:rsidR="00000000" w:rsidRPr="00000000">
        <w:rPr>
          <w:color w:val="000000"/>
          <w:sz w:val="24"/>
          <w:szCs w:val="24"/>
          <w:rtl w:val="0"/>
        </w:rPr>
        <w:t xml:space="preserve">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0000000000001" w:right="124.7244094488189" w:hanging="720.0000000000001"/>
        <w:jc w:val="left"/>
        <w:rPr>
          <w:sz w:val="24"/>
          <w:szCs w:val="24"/>
        </w:rPr>
      </w:pPr>
      <w:r w:rsidDel="00000000" w:rsidR="00000000" w:rsidRPr="00000000">
        <w:rPr>
          <w:sz w:val="24"/>
          <w:szCs w:val="24"/>
          <w:rtl w:val="0"/>
        </w:rPr>
        <w:t xml:space="preserve">a</w:t>
      </w:r>
      <w:r w:rsidDel="00000000" w:rsidR="00000000" w:rsidRPr="00000000">
        <w:rPr>
          <w:color w:val="000000"/>
          <w:sz w:val="24"/>
          <w:szCs w:val="24"/>
          <w:rtl w:val="0"/>
        </w:rPr>
        <w:t xml:space="preserve"> </w:t>
      </w:r>
      <w:r w:rsidDel="00000000" w:rsidR="00000000" w:rsidRPr="00000000">
        <w:rPr>
          <w:sz w:val="24"/>
          <w:szCs w:val="24"/>
          <w:rtl w:val="0"/>
        </w:rPr>
        <w:t xml:space="preserve">statement</w:t>
      </w:r>
      <w:r w:rsidDel="00000000" w:rsidR="00000000" w:rsidRPr="00000000">
        <w:rPr>
          <w:color w:val="000000"/>
          <w:sz w:val="24"/>
          <w:szCs w:val="24"/>
          <w:rtl w:val="0"/>
        </w:rPr>
        <w:t xml:space="preserve">,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124.7244094488189" w:firstLine="0"/>
        <w:jc w:val="left"/>
        <w:rPr>
          <w:sz w:val="24"/>
          <w:szCs w:val="24"/>
        </w:rPr>
      </w:pPr>
      <w:r w:rsidDel="00000000" w:rsidR="00000000" w:rsidRPr="00000000">
        <w:rPr>
          <w:color w:val="000000"/>
          <w:sz w:val="24"/>
          <w:szCs w:val="24"/>
          <w:rtl w:val="0"/>
        </w:rPr>
        <w:t xml:space="preserve">If </w:t>
      </w:r>
      <w:r w:rsidDel="00000000" w:rsidR="00000000" w:rsidRPr="00000000">
        <w:rPr>
          <w:sz w:val="24"/>
          <w:szCs w:val="24"/>
          <w:rtl w:val="0"/>
        </w:rPr>
        <w:t xml:space="preserve">applicable</w:t>
      </w:r>
      <w:r w:rsidDel="00000000" w:rsidR="00000000" w:rsidRPr="00000000">
        <w:rPr>
          <w:color w:val="000000"/>
          <w:sz w:val="24"/>
          <w:szCs w:val="24"/>
          <w:rtl w:val="0"/>
        </w:rPr>
        <w:t xml:space="preserve"> this information must be uploaded as an attachment to your bid, see Appendix 2.</w:t>
      </w:r>
      <w:r w:rsidDel="00000000" w:rsidR="00000000" w:rsidRPr="00000000">
        <w:rPr>
          <w:rtl w:val="0"/>
        </w:rPr>
      </w:r>
    </w:p>
    <w:p w:rsidR="00000000" w:rsidDel="00000000" w:rsidP="00000000" w:rsidRDefault="00000000" w:rsidRPr="00000000" w14:paraId="00000046">
      <w:pPr>
        <w:spacing w:after="120" w:before="120" w:line="240" w:lineRule="auto"/>
        <w:rPr>
          <w:b w:val="1"/>
          <w:color w:val="000000"/>
          <w:sz w:val="28"/>
          <w:szCs w:val="28"/>
        </w:rPr>
      </w:pPr>
      <w:r w:rsidDel="00000000" w:rsidR="00000000" w:rsidRPr="00000000">
        <w:rPr>
          <w:rtl w:val="0"/>
        </w:rPr>
      </w:r>
    </w:p>
    <w:p w:rsidR="00000000" w:rsidDel="00000000" w:rsidP="00000000" w:rsidRDefault="00000000" w:rsidRPr="00000000" w14:paraId="00000047">
      <w:pPr>
        <w:widowControl w:val="0"/>
        <w:spacing w:after="120" w:before="120" w:line="240" w:lineRule="auto"/>
        <w:ind w:left="23" w:firstLine="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sz w:val="24"/>
          <w:szCs w:val="24"/>
          <w:rtl w:val="0"/>
        </w:rPr>
        <w:t xml:space="preserve">In</w:t>
      </w:r>
      <w:r w:rsidDel="00000000" w:rsidR="00000000" w:rsidRPr="00000000">
        <w:rPr>
          <w:color w:val="000000"/>
          <w:sz w:val="24"/>
          <w:szCs w:val="24"/>
          <w:rtl w:val="0"/>
        </w:rPr>
        <w:t xml:space="preserve"> </w:t>
      </w:r>
      <w:r w:rsidDel="00000000" w:rsidR="00000000" w:rsidRPr="00000000">
        <w:rPr>
          <w:sz w:val="24"/>
          <w:szCs w:val="24"/>
          <w:rtl w:val="0"/>
        </w:rPr>
        <w:t xml:space="preserve">line</w:t>
      </w:r>
      <w:r w:rsidDel="00000000" w:rsidR="00000000" w:rsidRPr="00000000">
        <w:rPr>
          <w:color w:val="000000"/>
          <w:sz w:val="24"/>
          <w:szCs w:val="24"/>
          <w:rtl w:val="0"/>
        </w:rPr>
        <w:t xml:space="preserv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31.3385826771655" w:right="328.81889763779526" w:hanging="720.0000000000001"/>
        <w:jc w:val="left"/>
        <w:rPr/>
      </w:pP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31.3385826771655" w:right="328.81889763779526" w:hanging="720.0000000000001"/>
        <w:jc w:val="left"/>
        <w:rPr/>
      </w:pPr>
      <w:r w:rsidDel="00000000" w:rsidR="00000000" w:rsidRPr="00000000">
        <w:rPr>
          <w:color w:val="000000"/>
          <w:sz w:val="24"/>
          <w:szCs w:val="24"/>
          <w:rtl w:val="0"/>
        </w:rPr>
        <w:t xml:space="preserve">CCS </w:t>
      </w:r>
      <w:r w:rsidDel="00000000" w:rsidR="00000000" w:rsidRPr="00000000">
        <w:rPr>
          <w:sz w:val="24"/>
          <w:szCs w:val="24"/>
          <w:rtl w:val="0"/>
        </w:rPr>
        <w:t xml:space="preserve">may</w:t>
      </w:r>
      <w:r w:rsidDel="00000000" w:rsidR="00000000" w:rsidRPr="00000000">
        <w:rPr>
          <w:color w:val="000000"/>
          <w:sz w:val="24"/>
          <w:szCs w:val="24"/>
          <w:rtl w:val="0"/>
        </w:rPr>
        <w:t xml:space="preserve"> require the Bidder to resubmit Attachment 5a – Financial Viability Risk Assessment Tool using latest available 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328.81889763779526" w:firstLine="0"/>
        <w:jc w:val="left"/>
        <w:rPr>
          <w:sz w:val="24"/>
          <w:szCs w:val="24"/>
        </w:rPr>
      </w:pPr>
      <w:r w:rsidDel="00000000" w:rsidR="00000000" w:rsidRPr="00000000">
        <w:rPr>
          <w:color w:val="000000"/>
          <w:sz w:val="24"/>
          <w:szCs w:val="24"/>
          <w:rtl w:val="0"/>
        </w:rPr>
        <w:t xml:space="preserve">The resubmitted Attachment 5a – Financial Viability Risk Assessment Tool will then be appraised by CCS in line with the guidance above.</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328.81889763779526" w:firstLine="0"/>
        <w:jc w:val="left"/>
        <w:rPr>
          <w:sz w:val="24"/>
          <w:szCs w:val="24"/>
        </w:rPr>
      </w:pPr>
      <w:r w:rsidDel="00000000" w:rsidR="00000000" w:rsidRPr="00000000">
        <w:rPr>
          <w:color w:val="000000"/>
          <w:sz w:val="24"/>
          <w:szCs w:val="24"/>
          <w:rtl w:val="0"/>
        </w:rPr>
        <w:t xml:space="preserve">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11.338582677165476" w:right="544.2519685039371" w:hanging="720.0000000000001"/>
        <w:jc w:val="left"/>
        <w:rPr>
          <w:sz w:val="24"/>
          <w:szCs w:val="24"/>
        </w:rPr>
      </w:pPr>
      <w:r w:rsidDel="00000000" w:rsidR="00000000" w:rsidRPr="00000000">
        <w:rPr>
          <w:sz w:val="24"/>
          <w:szCs w:val="24"/>
          <w:rtl w:val="0"/>
        </w:rPr>
        <w:t xml:space="preserve">Where</w:t>
      </w:r>
      <w:r w:rsidDel="00000000" w:rsidR="00000000" w:rsidRPr="00000000">
        <w:rPr>
          <w:color w:val="000000"/>
          <w:sz w:val="24"/>
          <w:szCs w:val="24"/>
          <w:rtl w:val="0"/>
        </w:rPr>
        <w:t xml:space="preserv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31.3385826771655" w:right="328.81889763779526" w:hanging="720.0000000000001"/>
        <w:jc w:val="left"/>
        <w:rPr/>
      </w:pPr>
      <w:r w:rsidDel="00000000" w:rsidR="00000000" w:rsidRPr="00000000">
        <w:rPr>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31.3385826771655" w:right="328.81889763779526" w:hanging="720.0000000000001"/>
        <w:jc w:val="left"/>
        <w:rPr/>
      </w:pPr>
      <w:r w:rsidDel="00000000" w:rsidR="00000000" w:rsidRPr="00000000">
        <w:rPr>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328.81889763779526" w:firstLine="0"/>
        <w:jc w:val="left"/>
        <w:rPr>
          <w:sz w:val="24"/>
          <w:szCs w:val="24"/>
        </w:rPr>
      </w:pPr>
      <w:r w:rsidDel="00000000" w:rsidR="00000000" w:rsidRPr="00000000">
        <w:rPr>
          <w:color w:val="000000"/>
          <w:sz w:val="24"/>
          <w:szCs w:val="24"/>
          <w:rtl w:val="0"/>
        </w:rPr>
        <w:t xml:space="preserve">The provisions above </w:t>
      </w:r>
      <w:r w:rsidDel="00000000" w:rsidR="00000000" w:rsidRPr="00000000">
        <w:rPr>
          <w:sz w:val="24"/>
          <w:szCs w:val="24"/>
          <w:rtl w:val="0"/>
        </w:rPr>
        <w:t xml:space="preserve">will</w:t>
      </w:r>
      <w:r w:rsidDel="00000000" w:rsidR="00000000" w:rsidRPr="00000000">
        <w:rPr>
          <w:color w:val="000000"/>
          <w:sz w:val="24"/>
          <w:szCs w:val="24"/>
          <w:rtl w:val="0"/>
        </w:rPr>
        <w:t xml:space="preserve">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1">
      <w:pPr>
        <w:widowControl w:val="0"/>
        <w:spacing w:after="120" w:before="120" w:line="240" w:lineRule="auto"/>
        <w:ind w:right="175" w:firstLine="20"/>
        <w:rPr>
          <w:sz w:val="19"/>
          <w:szCs w:val="19"/>
        </w:rPr>
      </w:pPr>
      <w:r w:rsidDel="00000000" w:rsidR="00000000" w:rsidRPr="00000000">
        <w:rPr>
          <w:rtl w:val="0"/>
        </w:rPr>
      </w:r>
    </w:p>
    <w:p w:rsidR="00000000" w:rsidDel="00000000" w:rsidP="00000000" w:rsidRDefault="00000000" w:rsidRPr="00000000" w14:paraId="00000052">
      <w:pPr>
        <w:widowControl w:val="0"/>
        <w:spacing w:after="120" w:before="120" w:line="240" w:lineRule="auto"/>
        <w:ind w:left="6" w:firstLine="0"/>
        <w:rPr/>
      </w:pPr>
      <w:r w:rsidDel="00000000" w:rsidR="00000000" w:rsidRPr="00000000">
        <w:rPr>
          <w:b w:val="1"/>
          <w:color w:val="000000"/>
          <w:sz w:val="28"/>
          <w:szCs w:val="28"/>
          <w:rtl w:val="0"/>
        </w:rPr>
        <w:t xml:space="preserve">Appendix 1 – FVRA risk thresholds:</w:t>
      </w:r>
      <w:r w:rsidDel="00000000" w:rsidR="00000000" w:rsidRPr="00000000">
        <w:rPr>
          <w:rtl w:val="0"/>
        </w:rPr>
      </w:r>
    </w:p>
    <w:p w:rsidR="00000000" w:rsidDel="00000000" w:rsidP="00000000" w:rsidRDefault="00000000" w:rsidRPr="00000000" w14:paraId="00000053">
      <w:pPr>
        <w:widowControl w:val="0"/>
        <w:spacing w:after="120" w:before="120" w:line="240" w:lineRule="auto"/>
        <w:ind w:left="8" w:right="208" w:firstLine="14.000000000000002"/>
        <w:rPr/>
      </w:pPr>
      <w:r w:rsidDel="00000000" w:rsidR="00000000" w:rsidRPr="00000000">
        <w:rPr>
          <w:color w:val="000000"/>
          <w:sz w:val="24"/>
          <w:szCs w:val="24"/>
          <w:rtl w:val="0"/>
        </w:rPr>
        <w:t xml:space="preserve">Risk thresholds for RM6299 Offic</w:t>
      </w:r>
      <w:r w:rsidDel="00000000" w:rsidR="00000000" w:rsidRPr="00000000">
        <w:rPr>
          <w:sz w:val="24"/>
          <w:szCs w:val="24"/>
          <w:rtl w:val="0"/>
        </w:rPr>
        <w:t xml:space="preserve">e Solutions</w:t>
      </w:r>
      <w:r w:rsidDel="00000000" w:rsidR="00000000" w:rsidRPr="00000000">
        <w:rPr>
          <w:color w:val="000000"/>
          <w:sz w:val="24"/>
          <w:szCs w:val="24"/>
          <w:rtl w:val="0"/>
        </w:rPr>
        <w:t xml:space="preserve"> </w:t>
      </w:r>
      <w:r w:rsidDel="00000000" w:rsidR="00000000" w:rsidRPr="00000000">
        <w:rPr>
          <w:sz w:val="24"/>
          <w:szCs w:val="24"/>
          <w:rtl w:val="0"/>
        </w:rPr>
        <w:t xml:space="preserve">(in</w:t>
      </w:r>
      <w:r w:rsidDel="00000000" w:rsidR="00000000" w:rsidRPr="00000000">
        <w:rPr>
          <w:color w:val="000000"/>
          <w:sz w:val="24"/>
          <w:szCs w:val="24"/>
          <w:rtl w:val="0"/>
        </w:rPr>
        <w:t xml:space="preserve"> line with tab 2 of Attachment 5a –Financial Viability Risk Assessment Tool</w:t>
      </w:r>
      <w:r w:rsidDel="00000000" w:rsidR="00000000" w:rsidRPr="00000000">
        <w:rPr>
          <w:sz w:val="24"/>
          <w:szCs w:val="24"/>
          <w:rtl w:val="0"/>
        </w:rPr>
        <w:t xml:space="preserve">)</w:t>
      </w:r>
      <w:r w:rsidDel="00000000" w:rsidR="00000000" w:rsidRPr="00000000">
        <w:rPr>
          <w:rtl w:val="0"/>
        </w:rPr>
      </w:r>
    </w:p>
    <w:tbl>
      <w:tblPr>
        <w:tblStyle w:val="Table2"/>
        <w:tblW w:w="5381.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2525"/>
        <w:gridCol w:w="693"/>
        <w:gridCol w:w="656"/>
        <w:gridCol w:w="773"/>
        <w:gridCol w:w="284"/>
        <w:tblGridChange w:id="0">
          <w:tblGrid>
            <w:gridCol w:w="450"/>
            <w:gridCol w:w="2525"/>
            <w:gridCol w:w="693"/>
            <w:gridCol w:w="656"/>
            <w:gridCol w:w="773"/>
            <w:gridCol w:w="2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widowControl w:val="0"/>
              <w:spacing w:after="120" w:before="12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widowControl w:val="0"/>
              <w:spacing w:after="120" w:before="12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6">
            <w:pPr>
              <w:widowControl w:val="0"/>
              <w:spacing w:after="120" w:before="120" w:line="240" w:lineRule="auto"/>
              <w:jc w:val="center"/>
              <w:rPr/>
            </w:pPr>
            <w:r w:rsidDel="00000000" w:rsidR="00000000" w:rsidRPr="00000000">
              <w:rPr>
                <w:sz w:val="20"/>
                <w:szCs w:val="20"/>
                <w:rtl w:val="0"/>
              </w:rPr>
              <w:t xml:space="preserve">RM6299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9">
            <w:pPr>
              <w:widowControl w:val="0"/>
              <w:spacing w:after="120" w:before="12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A">
            <w:pPr>
              <w:widowControl w:val="0"/>
              <w:spacing w:after="120" w:before="12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B">
            <w:pPr>
              <w:widowControl w:val="0"/>
              <w:spacing w:after="120" w:before="12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C">
            <w:pPr>
              <w:widowControl w:val="0"/>
              <w:spacing w:after="120" w:before="120" w:line="240" w:lineRule="auto"/>
              <w:jc w:val="center"/>
              <w:rPr/>
            </w:pPr>
            <w:r w:rsidDel="00000000" w:rsidR="00000000" w:rsidRPr="00000000">
              <w:rPr>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D">
            <w:pPr>
              <w:widowControl w:val="0"/>
              <w:spacing w:after="120" w:before="120" w:line="240" w:lineRule="auto"/>
              <w:jc w:val="center"/>
              <w:rPr/>
            </w:pPr>
            <w:r w:rsidDel="00000000" w:rsidR="00000000" w:rsidRPr="00000000">
              <w:rPr>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E">
            <w:pPr>
              <w:widowControl w:val="0"/>
              <w:spacing w:after="120" w:before="120" w:line="240" w:lineRule="auto"/>
              <w:jc w:val="center"/>
              <w:rPr/>
            </w:pPr>
            <w:r w:rsidDel="00000000" w:rsidR="00000000" w:rsidRPr="00000000">
              <w:rPr>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widowControl w:val="0"/>
              <w:spacing w:after="120" w:before="12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0">
            <w:pPr>
              <w:widowControl w:val="0"/>
              <w:spacing w:after="120" w:before="120" w:line="240" w:lineRule="auto"/>
              <w:rPr/>
            </w:pPr>
            <w:r w:rsidDel="00000000" w:rsidR="00000000" w:rsidRPr="00000000">
              <w:rPr>
                <w:b w:val="1"/>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1">
            <w:pPr>
              <w:widowControl w:val="0"/>
              <w:spacing w:after="120" w:before="120" w:line="240" w:lineRule="auto"/>
              <w:jc w:val="center"/>
              <w:rPr/>
            </w:pPr>
            <w:r w:rsidDel="00000000" w:rsidR="00000000" w:rsidRPr="00000000">
              <w:rPr>
                <w:sz w:val="20"/>
                <w:szCs w:val="20"/>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2">
            <w:pPr>
              <w:widowControl w:val="0"/>
              <w:spacing w:after="120" w:before="120" w:line="240" w:lineRule="auto"/>
              <w:jc w:val="center"/>
              <w:rPr/>
            </w:pPr>
            <w:r w:rsidDel="00000000" w:rsidR="00000000" w:rsidRPr="00000000">
              <w:rPr>
                <w:sz w:val="20"/>
                <w:szCs w:val="20"/>
                <w:rtl w:val="0"/>
              </w:rPr>
              <w:t xml:space="preserve">1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3">
            <w:pPr>
              <w:widowControl w:val="0"/>
              <w:spacing w:after="120" w:before="120" w:line="240" w:lineRule="auto"/>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widowControl w:val="0"/>
              <w:spacing w:after="120" w:before="120" w:line="240" w:lineRule="auto"/>
              <w:jc w:val="center"/>
              <w:rPr/>
            </w:pPr>
            <w:r w:rsidDel="00000000" w:rsidR="00000000" w:rsidRPr="00000000">
              <w:rPr>
                <w:sz w:val="20"/>
                <w:szCs w:val="20"/>
                <w:rtl w:val="0"/>
              </w:rPr>
              <w:t xml:space="preserve">2.5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5">
            <w:pPr>
              <w:widowControl w:val="0"/>
              <w:spacing w:after="120" w:before="12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6">
            <w:pPr>
              <w:widowControl w:val="0"/>
              <w:spacing w:after="120" w:before="120" w:line="240" w:lineRule="auto"/>
              <w:rPr/>
            </w:pPr>
            <w:r w:rsidDel="00000000" w:rsidR="00000000" w:rsidRPr="00000000">
              <w:rPr>
                <w:b w:val="1"/>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7">
            <w:pPr>
              <w:widowControl w:val="0"/>
              <w:spacing w:after="120" w:before="120" w:line="240" w:lineRule="auto"/>
              <w:ind w:left="122" w:firstLine="0"/>
              <w:jc w:val="center"/>
              <w:rPr/>
            </w:pPr>
            <w:r w:rsidDel="00000000" w:rsidR="00000000" w:rsidRPr="00000000">
              <w:rPr>
                <w:sz w:val="20"/>
                <w:szCs w:val="20"/>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8">
            <w:pPr>
              <w:widowControl w:val="0"/>
              <w:spacing w:after="120" w:before="120" w:line="240" w:lineRule="auto"/>
              <w:jc w:val="center"/>
              <w:rPr/>
            </w:pPr>
            <w:r w:rsidDel="00000000" w:rsidR="00000000" w:rsidRPr="00000000">
              <w:rPr>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9">
            <w:pPr>
              <w:widowControl w:val="0"/>
              <w:spacing w:after="120" w:before="120" w:line="240" w:lineRule="auto"/>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A">
            <w:pPr>
              <w:widowControl w:val="0"/>
              <w:spacing w:after="120" w:before="120" w:line="240" w:lineRule="auto"/>
              <w:jc w:val="center"/>
              <w:rPr/>
            </w:pPr>
            <w:r w:rsidDel="00000000" w:rsidR="00000000" w:rsidRPr="00000000">
              <w:rPr>
                <w:sz w:val="20"/>
                <w:szCs w:val="20"/>
                <w:rtl w:val="0"/>
              </w:rPr>
              <w:t xml:space="preserve">6</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B">
            <w:pPr>
              <w:widowControl w:val="0"/>
              <w:spacing w:after="120" w:before="12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C">
            <w:pPr>
              <w:widowControl w:val="0"/>
              <w:spacing w:after="120" w:before="120" w:line="240" w:lineRule="auto"/>
              <w:rPr/>
            </w:pPr>
            <w:r w:rsidDel="00000000" w:rsidR="00000000" w:rsidRPr="00000000">
              <w:rPr>
                <w:b w:val="1"/>
                <w:color w:val="000000"/>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D">
            <w:pPr>
              <w:widowControl w:val="0"/>
              <w:spacing w:after="120" w:before="120" w:line="240" w:lineRule="auto"/>
              <w:jc w:val="center"/>
              <w:rPr/>
            </w:pPr>
            <w:r w:rsidDel="00000000" w:rsidR="00000000" w:rsidRPr="00000000">
              <w:rPr>
                <w:sz w:val="20"/>
                <w:szCs w:val="20"/>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E">
            <w:pPr>
              <w:widowControl w:val="0"/>
              <w:spacing w:after="120" w:before="120" w:line="240" w:lineRule="auto"/>
              <w:jc w:val="center"/>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F">
            <w:pPr>
              <w:widowControl w:val="0"/>
              <w:spacing w:after="120" w:before="120" w:line="240" w:lineRule="auto"/>
              <w:jc w:val="center"/>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0">
            <w:pPr>
              <w:widowControl w:val="0"/>
              <w:spacing w:after="120" w:before="120" w:line="240" w:lineRule="auto"/>
              <w:jc w:val="center"/>
              <w:rPr/>
            </w:pPr>
            <w:r w:rsidDel="00000000" w:rsidR="00000000" w:rsidRPr="00000000">
              <w:rPr>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1">
            <w:pPr>
              <w:widowControl w:val="0"/>
              <w:spacing w:after="120" w:before="12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2">
            <w:pPr>
              <w:widowControl w:val="0"/>
              <w:spacing w:after="120" w:before="120" w:line="240" w:lineRule="auto"/>
              <w:rPr/>
            </w:pPr>
            <w:r w:rsidDel="00000000" w:rsidR="00000000" w:rsidRPr="00000000">
              <w:rPr>
                <w:b w:val="1"/>
                <w:color w:val="000000"/>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widowControl w:val="0"/>
              <w:spacing w:after="120" w:before="120" w:line="240" w:lineRule="auto"/>
              <w:jc w:val="center"/>
              <w:rPr/>
            </w:pPr>
            <w:r w:rsidDel="00000000" w:rsidR="00000000" w:rsidRPr="00000000">
              <w:rPr>
                <w:sz w:val="20"/>
                <w:szCs w:val="20"/>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4">
            <w:pPr>
              <w:widowControl w:val="0"/>
              <w:spacing w:after="120" w:before="120" w:line="240" w:lineRule="auto"/>
              <w:jc w:val="center"/>
              <w:rPr/>
            </w:pPr>
            <w:r w:rsidDel="00000000" w:rsidR="00000000" w:rsidRPr="00000000">
              <w:rPr>
                <w:color w:val="000000"/>
                <w:sz w:val="20"/>
                <w:szCs w:val="2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5">
            <w:pPr>
              <w:widowControl w:val="0"/>
              <w:spacing w:after="120" w:before="120" w:line="240" w:lineRule="auto"/>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6">
            <w:pPr>
              <w:widowControl w:val="0"/>
              <w:spacing w:after="120" w:before="120" w:line="240" w:lineRule="auto"/>
              <w:jc w:val="center"/>
              <w:rPr/>
            </w:pPr>
            <w:r w:rsidDel="00000000" w:rsidR="00000000" w:rsidRPr="00000000">
              <w:rPr>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7">
            <w:pPr>
              <w:widowControl w:val="0"/>
              <w:spacing w:after="120" w:before="12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8">
            <w:pPr>
              <w:widowControl w:val="0"/>
              <w:spacing w:after="120" w:before="120" w:line="240" w:lineRule="auto"/>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widowControl w:val="0"/>
              <w:spacing w:after="120" w:before="120" w:line="240" w:lineRule="auto"/>
              <w:jc w:val="center"/>
              <w:rPr/>
            </w:pPr>
            <w:r w:rsidDel="00000000" w:rsidR="00000000" w:rsidRPr="00000000">
              <w:rPr>
                <w:sz w:val="20"/>
                <w:szCs w:val="20"/>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widowControl w:val="0"/>
              <w:spacing w:after="120" w:before="120" w:line="240" w:lineRule="auto"/>
              <w:jc w:val="center"/>
              <w:rPr/>
            </w:pPr>
            <w:r w:rsidDel="00000000" w:rsidR="00000000" w:rsidRPr="00000000">
              <w:rPr>
                <w:color w:val="000000"/>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B">
            <w:pPr>
              <w:widowControl w:val="0"/>
              <w:spacing w:after="120" w:before="120" w:line="240" w:lineRule="auto"/>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C">
            <w:pPr>
              <w:widowControl w:val="0"/>
              <w:spacing w:after="120" w:before="120" w:line="240" w:lineRule="auto"/>
              <w:jc w:val="center"/>
              <w:rPr/>
            </w:pPr>
            <w:r w:rsidDel="00000000" w:rsidR="00000000" w:rsidRPr="00000000">
              <w:rPr>
                <w:sz w:val="20"/>
                <w:szCs w:val="20"/>
                <w:rtl w:val="0"/>
              </w:rPr>
              <w:t xml:space="preserve">4</w:t>
            </w:r>
            <w:r w:rsidDel="00000000" w:rsidR="00000000" w:rsidRPr="00000000">
              <w:rPr>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D">
            <w:pPr>
              <w:widowControl w:val="0"/>
              <w:spacing w:after="120" w:before="12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E">
            <w:pPr>
              <w:widowControl w:val="0"/>
              <w:spacing w:after="120" w:before="120" w:line="240" w:lineRule="auto"/>
              <w:rPr/>
            </w:pPr>
            <w:r w:rsidDel="00000000" w:rsidR="00000000" w:rsidRPr="00000000">
              <w:rPr>
                <w:b w:val="1"/>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F">
            <w:pPr>
              <w:widowControl w:val="0"/>
              <w:spacing w:after="120" w:before="120" w:line="240" w:lineRule="auto"/>
              <w:jc w:val="center"/>
              <w:rPr/>
            </w:pPr>
            <w:r w:rsidDel="00000000" w:rsidR="00000000" w:rsidRPr="00000000">
              <w:rPr>
                <w:sz w:val="20"/>
                <w:szCs w:val="20"/>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widowControl w:val="0"/>
              <w:spacing w:after="120" w:before="120" w:line="240" w:lineRule="auto"/>
              <w:jc w:val="center"/>
              <w:rPr/>
            </w:pPr>
            <w:r w:rsidDel="00000000" w:rsidR="00000000" w:rsidRPr="00000000">
              <w:rPr>
                <w:sz w:val="20"/>
                <w:szCs w:val="20"/>
                <w:rtl w:val="0"/>
              </w:rPr>
              <w:t xml:space="preserve">2</w:t>
            </w:r>
            <w:r w:rsidDel="00000000" w:rsidR="00000000" w:rsidRPr="00000000">
              <w:rPr>
                <w:color w:val="000000"/>
                <w:sz w:val="20"/>
                <w:szCs w:val="20"/>
                <w:rtl w:val="0"/>
              </w:rPr>
              <w:t xml:space="preserve">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1">
            <w:pPr>
              <w:widowControl w:val="0"/>
              <w:spacing w:after="120" w:before="120" w:line="240" w:lineRule="auto"/>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2">
            <w:pPr>
              <w:widowControl w:val="0"/>
              <w:spacing w:after="120" w:before="120" w:line="240" w:lineRule="auto"/>
              <w:jc w:val="center"/>
              <w:rPr/>
            </w:pPr>
            <w:r w:rsidDel="00000000" w:rsidR="00000000" w:rsidRPr="00000000">
              <w:rPr>
                <w:color w:val="000000"/>
                <w:sz w:val="20"/>
                <w:szCs w:val="20"/>
                <w:rtl w:val="0"/>
              </w:rPr>
              <w:t xml:space="preserve">5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3">
            <w:pPr>
              <w:widowControl w:val="0"/>
              <w:spacing w:after="120" w:before="12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4">
            <w:pPr>
              <w:widowControl w:val="0"/>
              <w:spacing w:after="120" w:before="120" w:line="240" w:lineRule="auto"/>
              <w:rPr/>
            </w:pPr>
            <w:r w:rsidDel="00000000" w:rsidR="00000000" w:rsidRPr="00000000">
              <w:rPr>
                <w:b w:val="1"/>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5">
            <w:pPr>
              <w:widowControl w:val="0"/>
              <w:spacing w:after="120" w:before="120" w:line="240" w:lineRule="auto"/>
              <w:jc w:val="center"/>
              <w:rPr/>
            </w:pPr>
            <w:r w:rsidDel="00000000" w:rsidR="00000000" w:rsidRPr="00000000">
              <w:rPr>
                <w:sz w:val="20"/>
                <w:szCs w:val="20"/>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6">
            <w:pPr>
              <w:widowControl w:val="0"/>
              <w:spacing w:after="120" w:before="120" w:line="240" w:lineRule="auto"/>
              <w:jc w:val="center"/>
              <w:rPr/>
            </w:pPr>
            <w:r w:rsidDel="00000000" w:rsidR="00000000" w:rsidRPr="00000000">
              <w:rPr>
                <w:color w:val="000000"/>
                <w:sz w:val="20"/>
                <w:szCs w:val="20"/>
                <w:rtl w:val="0"/>
              </w:rPr>
              <w:t xml:space="preserve">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widowControl w:val="0"/>
              <w:spacing w:after="120" w:before="120" w:line="240" w:lineRule="auto"/>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8">
            <w:pPr>
              <w:widowControl w:val="0"/>
              <w:spacing w:after="120" w:before="120" w:line="240" w:lineRule="auto"/>
              <w:jc w:val="center"/>
              <w:rPr/>
            </w:pPr>
            <w:r w:rsidDel="00000000" w:rsidR="00000000" w:rsidRPr="00000000">
              <w:rPr>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9">
            <w:pPr>
              <w:widowControl w:val="0"/>
              <w:spacing w:after="120" w:before="12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A">
            <w:pPr>
              <w:widowControl w:val="0"/>
              <w:spacing w:after="120" w:before="120" w:line="240" w:lineRule="auto"/>
              <w:rPr/>
            </w:pPr>
            <w:r w:rsidDel="00000000" w:rsidR="00000000" w:rsidRPr="00000000">
              <w:rPr>
                <w:b w:val="1"/>
                <w:color w:val="000000"/>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B">
            <w:pPr>
              <w:widowControl w:val="0"/>
              <w:spacing w:after="120" w:before="120" w:line="240" w:lineRule="auto"/>
              <w:jc w:val="center"/>
              <w:rPr/>
            </w:pPr>
            <w:r w:rsidDel="00000000" w:rsidR="00000000" w:rsidRPr="00000000">
              <w:rPr>
                <w:sz w:val="20"/>
                <w:szCs w:val="20"/>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C">
            <w:pPr>
              <w:widowControl w:val="0"/>
              <w:spacing w:after="120" w:before="120" w:line="240" w:lineRule="auto"/>
              <w:jc w:val="center"/>
              <w:rPr/>
            </w:pPr>
            <w:r w:rsidDel="00000000" w:rsidR="00000000" w:rsidRPr="00000000">
              <w:rPr>
                <w:sz w:val="20"/>
                <w:szCs w:val="20"/>
                <w:rtl w:val="0"/>
              </w:rPr>
              <w:t xml:space="preserve">&lt;0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D">
            <w:pPr>
              <w:widowControl w:val="0"/>
              <w:spacing w:after="120" w:before="120" w:line="240" w:lineRule="auto"/>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E">
            <w:pPr>
              <w:widowControl w:val="0"/>
              <w:spacing w:after="120" w:before="120" w:line="240" w:lineRule="auto"/>
              <w:jc w:val="center"/>
              <w:rPr/>
            </w:pPr>
            <w:r w:rsidDel="00000000" w:rsidR="00000000" w:rsidRPr="00000000">
              <w:rPr>
                <w:sz w:val="20"/>
                <w:szCs w:val="20"/>
                <w:rtl w:val="0"/>
              </w:rPr>
              <w:t xml:space="preserve">&gt;0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F">
            <w:pPr>
              <w:widowControl w:val="0"/>
              <w:spacing w:after="120" w:before="12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0">
            <w:pPr>
              <w:widowControl w:val="0"/>
              <w:spacing w:after="120" w:before="120" w:line="240" w:lineRule="auto"/>
              <w:rPr/>
            </w:pPr>
            <w:r w:rsidDel="00000000" w:rsidR="00000000" w:rsidRPr="00000000">
              <w:rPr>
                <w:b w:val="1"/>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1">
            <w:pPr>
              <w:widowControl w:val="0"/>
              <w:spacing w:after="120" w:before="120" w:line="240" w:lineRule="auto"/>
              <w:jc w:val="center"/>
              <w:rPr/>
            </w:pPr>
            <w:r w:rsidDel="00000000" w:rsidR="00000000" w:rsidRPr="00000000">
              <w:rPr>
                <w:sz w:val="20"/>
                <w:szCs w:val="20"/>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2">
            <w:pPr>
              <w:widowControl w:val="0"/>
              <w:spacing w:after="120" w:before="120" w:line="240" w:lineRule="auto"/>
              <w:jc w:val="center"/>
              <w:rPr/>
            </w:pPr>
            <w:r w:rsidDel="00000000" w:rsidR="00000000" w:rsidRPr="00000000">
              <w:rPr>
                <w:color w:val="000000"/>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widowControl w:val="0"/>
              <w:spacing w:after="120" w:before="120" w:line="240" w:lineRule="auto"/>
              <w:jc w:val="center"/>
              <w:rPr/>
            </w:pPr>
            <w:r w:rsidDel="00000000" w:rsidR="00000000" w:rsidRPr="00000000">
              <w:rPr>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4">
            <w:pPr>
              <w:widowControl w:val="0"/>
              <w:spacing w:after="120" w:before="120" w:line="240" w:lineRule="auto"/>
              <w:jc w:val="center"/>
              <w:rPr/>
            </w:pPr>
            <w:r w:rsidDel="00000000" w:rsidR="00000000" w:rsidRPr="00000000">
              <w:rPr>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5">
            <w:pPr>
              <w:widowControl w:val="0"/>
              <w:spacing w:after="120" w:before="120" w:line="240" w:lineRule="auto"/>
              <w:jc w:val="center"/>
              <w:rPr>
                <w:sz w:val="20"/>
                <w:szCs w:val="20"/>
              </w:rPr>
            </w:pPr>
            <w:r w:rsidDel="00000000" w:rsidR="00000000" w:rsidRPr="00000000">
              <w:rPr>
                <w:rtl w:val="0"/>
              </w:rPr>
            </w:r>
          </w:p>
        </w:tc>
      </w:tr>
    </w:tbl>
    <w:p w:rsidR="00000000" w:rsidDel="00000000" w:rsidP="00000000" w:rsidRDefault="00000000" w:rsidRPr="00000000" w14:paraId="00000096">
      <w:pPr>
        <w:widowControl w:val="0"/>
        <w:spacing w:after="120" w:before="120" w:line="240" w:lineRule="auto"/>
        <w:ind w:left="20" w:firstLine="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97">
      <w:pPr>
        <w:widowControl w:val="0"/>
        <w:spacing w:after="120" w:before="120" w:line="240" w:lineRule="auto"/>
        <w:ind w:left="376" w:right="1892" w:hanging="5"/>
        <w:rPr/>
      </w:pPr>
      <w:r w:rsidDel="00000000" w:rsidR="00000000" w:rsidRPr="00000000">
        <w:rPr>
          <w:color w:val="000000"/>
          <w:sz w:val="24"/>
          <w:szCs w:val="24"/>
          <w:rtl w:val="0"/>
        </w:rPr>
        <w:t xml:space="preserve">a) Outsourcing Playbook thresholds have been applied as above</w:t>
      </w:r>
      <w:r w:rsidDel="00000000" w:rsidR="00000000" w:rsidRPr="00000000">
        <w:rPr>
          <w:rtl w:val="0"/>
        </w:rPr>
      </w:r>
    </w:p>
    <w:p w:rsidR="00000000" w:rsidDel="00000000" w:rsidP="00000000" w:rsidRDefault="00000000" w:rsidRPr="00000000" w14:paraId="00000098">
      <w:pPr>
        <w:widowControl w:val="0"/>
        <w:spacing w:after="120" w:before="120" w:line="240" w:lineRule="auto"/>
        <w:ind w:left="372" w:firstLine="0"/>
        <w:rPr/>
      </w:pPr>
      <w:r w:rsidDel="00000000" w:rsidR="00000000" w:rsidRPr="00000000">
        <w:rPr>
          <w:color w:val="000000"/>
          <w:sz w:val="24"/>
          <w:szCs w:val="24"/>
          <w:rtl w:val="0"/>
        </w:rPr>
        <w:t xml:space="preserve">b) 3a will not be assessed  </w:t>
      </w:r>
      <w:r w:rsidDel="00000000" w:rsidR="00000000" w:rsidRPr="00000000">
        <w:rPr>
          <w:rtl w:val="0"/>
        </w:rPr>
      </w:r>
    </w:p>
    <w:p w:rsidR="00000000" w:rsidDel="00000000" w:rsidP="00000000" w:rsidRDefault="00000000" w:rsidRPr="00000000" w14:paraId="00000099">
      <w:pPr>
        <w:widowControl w:val="0"/>
        <w:spacing w:after="120" w:before="120" w:line="240" w:lineRule="auto"/>
        <w:ind w:left="0" w:firstLine="0"/>
        <w:rPr/>
        <w:sectPr>
          <w:footerReference r:id="rId9" w:type="default"/>
          <w:pgSz w:h="16820" w:w="11906" w:orient="portrait"/>
          <w:pgMar w:bottom="538" w:top="720" w:left="1437" w:right="1255" w:header="0" w:footer="720"/>
          <w:pgNumType w:start="1"/>
        </w:sectPr>
      </w:pPr>
      <w:r w:rsidDel="00000000" w:rsidR="00000000" w:rsidRPr="00000000">
        <w:rPr>
          <w:color w:val="222222"/>
          <w:sz w:val="20"/>
          <w:szCs w:val="20"/>
          <w:rtl w:val="0"/>
        </w:rPr>
        <w:t xml:space="preserve">'NB: the figures in the table above need to match the figures as provided by Commercial Finance.</w:t>
      </w:r>
      <w:r w:rsidDel="00000000" w:rsidR="00000000" w:rsidRPr="00000000">
        <w:rPr>
          <w:rtl w:val="0"/>
        </w:rPr>
      </w:r>
    </w:p>
    <w:p w:rsidR="00000000" w:rsidDel="00000000" w:rsidP="00000000" w:rsidRDefault="00000000" w:rsidRPr="00000000" w14:paraId="0000009A">
      <w:pPr>
        <w:widowControl w:val="0"/>
        <w:spacing w:after="120" w:before="120" w:line="240" w:lineRule="auto"/>
        <w:ind w:left="0" w:firstLine="0"/>
        <w:rPr/>
      </w:pPr>
      <w:r w:rsidDel="00000000" w:rsidR="00000000" w:rsidRPr="00000000">
        <w:rPr>
          <w:color w:val="000000"/>
          <w:sz w:val="28"/>
          <w:szCs w:val="28"/>
          <w:rtl w:val="0"/>
        </w:rPr>
        <w:t xml:space="preserve">Appendix 2 – How and where to submit the required information</w:t>
      </w:r>
      <w:r w:rsidDel="00000000" w:rsidR="00000000" w:rsidRPr="00000000">
        <w:rPr>
          <w:rtl w:val="0"/>
        </w:rPr>
      </w:r>
    </w:p>
    <w:tbl>
      <w:tblPr>
        <w:tblStyle w:val="Table3"/>
        <w:tblW w:w="13875.0" w:type="dxa"/>
        <w:jc w:val="left"/>
        <w:tblInd w:w="1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345"/>
        <w:gridCol w:w="3030"/>
        <w:gridCol w:w="3945"/>
        <w:gridCol w:w="3555"/>
        <w:tblGridChange w:id="0">
          <w:tblGrid>
            <w:gridCol w:w="3345"/>
            <w:gridCol w:w="3030"/>
            <w:gridCol w:w="3945"/>
            <w:gridCol w:w="3555"/>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sz w:val="24"/>
                <w:szCs w:val="24"/>
              </w:rPr>
            </w:pPr>
            <w:r w:rsidDel="00000000" w:rsidR="00000000" w:rsidRPr="00000000">
              <w:rPr>
                <w:b w:val="1"/>
                <w:sz w:val="24"/>
                <w:szCs w:val="24"/>
                <w:rtl w:val="0"/>
              </w:rPr>
              <w:t xml:space="preserve">What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sz w:val="24"/>
                <w:szCs w:val="24"/>
              </w:rPr>
            </w:pPr>
            <w:r w:rsidDel="00000000" w:rsidR="00000000" w:rsidRPr="00000000">
              <w:rPr>
                <w:b w:val="1"/>
                <w:sz w:val="24"/>
                <w:szCs w:val="24"/>
                <w:rtl w:val="0"/>
              </w:rPr>
              <w:t xml:space="preserve">File name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sz w:val="24"/>
                <w:szCs w:val="24"/>
              </w:rPr>
            </w:pPr>
            <w:r w:rsidDel="00000000" w:rsidR="00000000" w:rsidRPr="00000000">
              <w:rPr>
                <w:b w:val="1"/>
                <w:sz w:val="24"/>
                <w:szCs w:val="24"/>
                <w:rtl w:val="0"/>
              </w:rPr>
              <w:t xml:space="preserve">Zip folder name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b w:val="1"/>
                <w:sz w:val="24"/>
                <w:szCs w:val="24"/>
              </w:rPr>
            </w:pPr>
            <w:r w:rsidDel="00000000" w:rsidR="00000000" w:rsidRPr="00000000">
              <w:rPr>
                <w:b w:val="1"/>
                <w:sz w:val="24"/>
                <w:szCs w:val="24"/>
                <w:rtl w:val="0"/>
              </w:rPr>
              <w:t xml:space="preserve">Question to upload zip folder (qualification envelope)</w:t>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Lead Bidder Attachment 5a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FVRA_ your organisation name</w:t>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Upload as a zip folder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EFS_ your  organisation name</w:t>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Part 5 Financial Risk</w:t>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Accounts (3 years) for</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 Lead Bidder</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 Parent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 Ultimate parent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Insert account period_ organisation name</w:t>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Lead Bidder response to paragraph 12 (if applicable)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12_ your organisation name</w:t>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Consortium member Attachment 5a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FVRA_consortium member name</w:t>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Upload all  consortia member information in one zip folder</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CMEFS_ your organisation name</w:t>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Part 5 Financial Risk</w:t>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Accounts (3 years) for</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 Consortium member</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 Consortia Parent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 Consortia Ultimate parent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Insert account period_organisation name</w:t>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Consortium member response to paragraph 12 (if applicable)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12_ consortia member name</w:t>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50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Any additional completed Attachment 5a  required </w:t>
              <w:br w:type="textWrapping"/>
              <w:t xml:space="preserve">i.e. where your bid includes both charitable and Private Company Sub-Suppliers or Parent and/or Ultimate Parent company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Ad1FVRA_ your organisation name1</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Ad2FVRA_ your organisation name1 and so 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AdFVRA_ your organisation name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Part 5 Financial Risk</w:t>
            </w:r>
          </w:p>
        </w:tc>
      </w:tr>
    </w:tbl>
    <w:p w:rsidR="00000000" w:rsidDel="00000000" w:rsidP="00000000" w:rsidRDefault="00000000" w:rsidRPr="00000000" w14:paraId="000000C4">
      <w:pPr>
        <w:widowControl w:val="0"/>
        <w:spacing w:after="120" w:before="120" w:line="240" w:lineRule="auto"/>
        <w:ind w:right="175" w:firstLine="20"/>
        <w:rPr>
          <w:sz w:val="19"/>
          <w:szCs w:val="19"/>
        </w:rPr>
      </w:pPr>
      <w:r w:rsidDel="00000000" w:rsidR="00000000" w:rsidRPr="00000000">
        <w:rPr>
          <w:rtl w:val="0"/>
        </w:rPr>
      </w:r>
    </w:p>
    <w:tbl>
      <w:tblPr>
        <w:tblStyle w:val="Table4"/>
        <w:tblW w:w="13905.0" w:type="dxa"/>
        <w:jc w:val="left"/>
        <w:tblInd w:w="11.99999999999999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330"/>
        <w:gridCol w:w="3030"/>
        <w:gridCol w:w="3975"/>
        <w:gridCol w:w="3570"/>
        <w:tblGridChange w:id="0">
          <w:tblGrid>
            <w:gridCol w:w="3330"/>
            <w:gridCol w:w="3030"/>
            <w:gridCol w:w="3975"/>
            <w:gridCol w:w="3570"/>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Consortium  member Attachment 5a</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FVRA_consortium member name</w:t>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Upload all consortia member  information in one zip folder CMEFS_ your organisation name</w:t>
            </w:r>
          </w:p>
        </w:tc>
        <w:tc>
          <w:tcPr>
            <w:vMerge w:val="restart"/>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Part 5 Financial Risk</w:t>
            </w:r>
          </w:p>
        </w:tc>
      </w:tr>
      <w:tr>
        <w:trPr>
          <w:cantSplit w:val="0"/>
          <w:trHeight w:val="133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Accounts (3 years) for</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 Consortia member</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 Consortia Parent</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 Consortia Ultimate parent</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Insert account period_organisation name</w:t>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Consortium member response to paragraph 12 (if applicable)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12_ consortium member name</w:t>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111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Any additional completed Attachment 5a required i.e. where your bid includes both charitable and Private Company Sub-Suppliers or Parent and/or Ultimate Parent company</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Ad1FVRA_ your  organisation name1</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Ad2FVRA_ your organisation name1 and so on</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AdFVRA_ your organisation name</w:t>
            </w:r>
          </w:p>
        </w:tc>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sz w:val="24"/>
                <w:szCs w:val="24"/>
              </w:rPr>
            </w:pPr>
            <w:r w:rsidDel="00000000" w:rsidR="00000000" w:rsidRPr="00000000">
              <w:rPr>
                <w:sz w:val="24"/>
                <w:szCs w:val="24"/>
                <w:rtl w:val="0"/>
              </w:rPr>
              <w:t xml:space="preserve">Part 5 Financial Risk</w:t>
            </w:r>
          </w:p>
        </w:tc>
      </w:tr>
    </w:tbl>
    <w:p w:rsidR="00000000" w:rsidDel="00000000" w:rsidP="00000000" w:rsidRDefault="00000000" w:rsidRPr="00000000" w14:paraId="000000D9">
      <w:pPr>
        <w:widowControl w:val="0"/>
        <w:spacing w:after="120" w:before="120" w:line="240" w:lineRule="auto"/>
        <w:ind w:right="175" w:firstLine="0"/>
        <w:rPr/>
      </w:pPr>
      <w:r w:rsidDel="00000000" w:rsidR="00000000" w:rsidRPr="00000000">
        <w:rPr>
          <w:rtl w:val="0"/>
        </w:rPr>
      </w:r>
    </w:p>
    <w:sectPr>
      <w:type w:val="nextPage"/>
      <w:pgSz w:h="11906" w:w="16820" w:orient="landscape"/>
      <w:pgMar w:bottom="538" w:top="720" w:left="1437" w:right="125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RM6299 Office Solutions</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Attachment 5 Financial Viability Risk Assessment Guidance v2.0</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sz w:val="24"/>
        <w:szCs w:val="24"/>
        <w:u w:val="none"/>
      </w:rPr>
    </w:lvl>
    <w:lvl w:ilvl="1">
      <w:start w:val="1"/>
      <w:numFmt w:val="bullet"/>
      <w:lvlText w:val="🌕"/>
      <w:lvlJc w:val="left"/>
      <w:pPr>
        <w:ind w:left="2160" w:hanging="360"/>
      </w:pPr>
      <w:rPr>
        <w:rFonts w:ascii="Noto Sans Symbols" w:cs="Noto Sans Symbols" w:eastAsia="Noto Sans Symbols" w:hAnsi="Noto Sans Symbols"/>
        <w:u w:val="none"/>
      </w:rPr>
    </w:lvl>
    <w:lvl w:ilvl="2">
      <w:start w:val="1"/>
      <w:numFmt w:val="bullet"/>
      <w:lvlText w:val="■"/>
      <w:lvlJc w:val="left"/>
      <w:pPr>
        <w:ind w:left="2880" w:hanging="360"/>
      </w:pPr>
      <w:rPr>
        <w:rFonts w:ascii="Noto Sans Symbols" w:cs="Noto Sans Symbols" w:eastAsia="Noto Sans Symbols" w:hAnsi="Noto Sans Symbols"/>
        <w:u w:val="none"/>
      </w:rPr>
    </w:lvl>
    <w:lvl w:ilvl="3">
      <w:start w:val="1"/>
      <w:numFmt w:val="bullet"/>
      <w:lvlText w:val="●"/>
      <w:lvlJc w:val="left"/>
      <w:pPr>
        <w:ind w:left="3600" w:hanging="360"/>
      </w:pPr>
      <w:rPr>
        <w:rFonts w:ascii="Noto Sans Symbols" w:cs="Noto Sans Symbols" w:eastAsia="Noto Sans Symbols" w:hAnsi="Noto Sans Symbols"/>
        <w:u w:val="none"/>
      </w:rPr>
    </w:lvl>
    <w:lvl w:ilvl="4">
      <w:start w:val="1"/>
      <w:numFmt w:val="bullet"/>
      <w:lvlText w:val="🌕"/>
      <w:lvlJc w:val="left"/>
      <w:pPr>
        <w:ind w:left="4320" w:hanging="360"/>
      </w:pPr>
      <w:rPr>
        <w:rFonts w:ascii="Noto Sans Symbols" w:cs="Noto Sans Symbols" w:eastAsia="Noto Sans Symbols" w:hAnsi="Noto Sans Symbols"/>
        <w:u w:val="none"/>
      </w:rPr>
    </w:lvl>
    <w:lvl w:ilvl="5">
      <w:start w:val="1"/>
      <w:numFmt w:val="bullet"/>
      <w:lvlText w:val="■"/>
      <w:lvlJc w:val="left"/>
      <w:pPr>
        <w:ind w:left="5040" w:hanging="360"/>
      </w:pPr>
      <w:rPr>
        <w:rFonts w:ascii="Noto Sans Symbols" w:cs="Noto Sans Symbols" w:eastAsia="Noto Sans Symbols" w:hAnsi="Noto Sans Symbols"/>
        <w:u w:val="none"/>
      </w:rPr>
    </w:lvl>
    <w:lvl w:ilvl="6">
      <w:start w:val="1"/>
      <w:numFmt w:val="bullet"/>
      <w:lvlText w:val="●"/>
      <w:lvlJc w:val="left"/>
      <w:pPr>
        <w:ind w:left="5760" w:hanging="360"/>
      </w:pPr>
      <w:rPr>
        <w:rFonts w:ascii="Noto Sans Symbols" w:cs="Noto Sans Symbols" w:eastAsia="Noto Sans Symbols" w:hAnsi="Noto Sans Symbols"/>
        <w:u w:val="none"/>
      </w:rPr>
    </w:lvl>
    <w:lvl w:ilvl="7">
      <w:start w:val="1"/>
      <w:numFmt w:val="bullet"/>
      <w:lvlText w:val="🌕"/>
      <w:lvlJc w:val="left"/>
      <w:pPr>
        <w:ind w:left="6480" w:hanging="360"/>
      </w:pPr>
      <w:rPr>
        <w:rFonts w:ascii="Noto Sans Symbols" w:cs="Noto Sans Symbols" w:eastAsia="Noto Sans Symbols" w:hAnsi="Noto Sans Symbols"/>
        <w:u w:val="none"/>
      </w:rPr>
    </w:lvl>
    <w:lvl w:ilvl="8">
      <w:start w:val="1"/>
      <w:numFmt w:val="bullet"/>
      <w:lvlText w:val="■"/>
      <w:lvlJc w:val="left"/>
      <w:pPr>
        <w:ind w:left="7200" w:hanging="360"/>
      </w:pPr>
      <w:rPr>
        <w:rFonts w:ascii="Noto Sans Symbols" w:cs="Noto Sans Symbols" w:eastAsia="Noto Sans Symbols" w:hAnsi="Noto Sans Symbols"/>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720" w:right="0" w:hanging="36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1440" w:right="0" w:hanging="36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2160" w:right="0" w:hanging="18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2880" w:right="0" w:hanging="36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3600" w:right="0" w:hanging="36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4320" w:right="0" w:hanging="18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name w:val="Normal"/>
    <w:qFormat w:val="1"/>
    <w:pPr>
      <w:keepNext w:val="0"/>
      <w:keepLines w:val="0"/>
      <w:pageBreakBefore w:val="0"/>
      <w:widowControl w:val="1"/>
      <w:pBdr/>
      <w:shd w:fill="auto" w:val="clear"/>
      <w:suppressAutoHyphens w:val="1"/>
      <w:kinsoku w:val="1"/>
      <w:overflowPunct w:val="1"/>
      <w:autoSpaceDE w:val="1"/>
      <w:bidi w:val="0"/>
      <w:snapToGrid w:val="1"/>
      <w:spacing w:line="276" w:lineRule="auto"/>
      <w:jc w:val="left"/>
      <w:textAlignment w:val="baseline"/>
    </w:pPr>
    <w:rPr>
      <w:rFonts w:ascii="Arial" w:cs="Arial" w:eastAsia="Arial" w:hAnsi="Arial"/>
      <w:b w:val="0"/>
      <w:bCs w:val="0"/>
      <w:i w:val="0"/>
      <w:iCs w:val="0"/>
      <w:caps w:val="0"/>
      <w:smallCaps w:val="0"/>
      <w:strike w:val="0"/>
      <w:dstrike w:val="0"/>
      <w:outline w:val="0"/>
      <w:emboss w:val="0"/>
      <w:imprint w:val="0"/>
      <w:color w:val="auto"/>
      <w:spacing w:val="0"/>
      <w:w w:val="100"/>
      <w:kern w:val="0"/>
      <w:position w:val="0"/>
      <w:sz w:val="22"/>
      <w:szCs w:val="22"/>
      <w:u w:val="none"/>
      <w:vertAlign w:val="baseline"/>
      <w:em w:val="none"/>
      <w:lang w:bidi="hi-IN" w:eastAsia="zh-CN" w:val="en-GB"/>
    </w:rPr>
  </w:style>
  <w:style w:type="paragraph" w:styleId="Heading1">
    <w:name w:val="Heading 1"/>
    <w:basedOn w:val="Normal1"/>
    <w:next w:val="Normal"/>
    <w:qFormat w:val="1"/>
    <w:pPr>
      <w:keepNext w:val="1"/>
      <w:keepLines w:val="1"/>
      <w:numPr>
        <w:ilvl w:val="0"/>
        <w:numId w:val="1"/>
      </w:numPr>
      <w:suppressAutoHyphens w:val="1"/>
      <w:spacing w:after="120" w:before="480"/>
      <w:outlineLvl w:val="0"/>
    </w:pPr>
    <w:rPr>
      <w:b w:val="1"/>
      <w:sz w:val="48"/>
      <w:szCs w:val="48"/>
    </w:rPr>
  </w:style>
  <w:style w:type="paragraph" w:styleId="Heading2">
    <w:name w:val="Heading 2"/>
    <w:basedOn w:val="Normal1"/>
    <w:next w:val="Normal"/>
    <w:qFormat w:val="1"/>
    <w:pPr>
      <w:keepNext w:val="1"/>
      <w:keepLines w:val="1"/>
      <w:numPr>
        <w:ilvl w:val="1"/>
        <w:numId w:val="1"/>
      </w:numPr>
      <w:suppressAutoHyphens w:val="1"/>
      <w:spacing w:after="80" w:before="360"/>
      <w:outlineLvl w:val="1"/>
    </w:pPr>
    <w:rPr>
      <w:b w:val="1"/>
      <w:sz w:val="36"/>
      <w:szCs w:val="36"/>
    </w:rPr>
  </w:style>
  <w:style w:type="paragraph" w:styleId="Heading3">
    <w:name w:val="Heading 3"/>
    <w:basedOn w:val="Normal1"/>
    <w:next w:val="Normal"/>
    <w:qFormat w:val="1"/>
    <w:pPr>
      <w:keepNext w:val="1"/>
      <w:keepLines w:val="1"/>
      <w:numPr>
        <w:ilvl w:val="2"/>
        <w:numId w:val="1"/>
      </w:numPr>
      <w:suppressAutoHyphens w:val="1"/>
      <w:spacing w:after="80" w:before="280"/>
      <w:outlineLvl w:val="2"/>
    </w:pPr>
    <w:rPr>
      <w:b w:val="1"/>
      <w:sz w:val="28"/>
      <w:szCs w:val="28"/>
    </w:rPr>
  </w:style>
  <w:style w:type="paragraph" w:styleId="Heading4">
    <w:name w:val="Heading 4"/>
    <w:basedOn w:val="Normal1"/>
    <w:next w:val="Normal"/>
    <w:qFormat w:val="1"/>
    <w:pPr>
      <w:keepNext w:val="1"/>
      <w:keepLines w:val="1"/>
      <w:numPr>
        <w:ilvl w:val="3"/>
        <w:numId w:val="1"/>
      </w:numPr>
      <w:suppressAutoHyphens w:val="1"/>
      <w:spacing w:after="40" w:before="240"/>
      <w:outlineLvl w:val="3"/>
    </w:pPr>
    <w:rPr>
      <w:b w:val="1"/>
      <w:sz w:val="24"/>
      <w:szCs w:val="24"/>
    </w:rPr>
  </w:style>
  <w:style w:type="paragraph" w:styleId="Heading5">
    <w:name w:val="Heading 5"/>
    <w:basedOn w:val="Normal1"/>
    <w:next w:val="Normal"/>
    <w:qFormat w:val="1"/>
    <w:pPr>
      <w:keepNext w:val="1"/>
      <w:keepLines w:val="1"/>
      <w:numPr>
        <w:ilvl w:val="4"/>
        <w:numId w:val="1"/>
      </w:numPr>
      <w:suppressAutoHyphens w:val="1"/>
      <w:spacing w:after="40" w:before="220"/>
      <w:outlineLvl w:val="4"/>
    </w:pPr>
    <w:rPr>
      <w:b w:val="1"/>
    </w:rPr>
  </w:style>
  <w:style w:type="paragraph" w:styleId="Heading6">
    <w:name w:val="Heading 6"/>
    <w:basedOn w:val="Normal1"/>
    <w:next w:val="Normal"/>
    <w:qFormat w:val="1"/>
    <w:pPr>
      <w:keepNext w:val="1"/>
      <w:keepLines w:val="1"/>
      <w:numPr>
        <w:ilvl w:val="5"/>
        <w:numId w:val="1"/>
      </w:numPr>
      <w:suppressAutoHyphens w:val="1"/>
      <w:spacing w:after="40" w:before="200"/>
      <w:outlineLvl w:val="5"/>
    </w:pPr>
    <w:rPr>
      <w:b w:val="1"/>
      <w:sz w:val="20"/>
      <w:szCs w:val="20"/>
    </w:rPr>
  </w:style>
  <w:style w:type="character" w:styleId="DefaultParagraphFont">
    <w:name w:val="Default Paragraph Font"/>
    <w:qFormat w:val="1"/>
    <w:rPr/>
  </w:style>
  <w:style w:type="character" w:styleId="CommentTextChar">
    <w:name w:val="Comment Text Char"/>
    <w:basedOn w:val="DefaultParagraphFont"/>
    <w:qFormat w:val="1"/>
    <w:rPr>
      <w:sz w:val="20"/>
      <w:szCs w:val="20"/>
    </w:rPr>
  </w:style>
  <w:style w:type="character" w:styleId="CommentReference">
    <w:name w:val="Comment Reference"/>
    <w:basedOn w:val="DefaultParagraphFont"/>
    <w:qFormat w:val="1"/>
    <w:rPr>
      <w:sz w:val="16"/>
      <w:szCs w:val="16"/>
    </w:rPr>
  </w:style>
  <w:style w:type="character" w:styleId="BalloonTextChar">
    <w:name w:val="Balloon Text Char"/>
    <w:basedOn w:val="DefaultParagraphFont"/>
    <w:qFormat w:val="1"/>
    <w:rPr>
      <w:rFonts w:ascii="Segoe UI" w:cs="Segoe UI" w:eastAsia="Segoe UI" w:hAnsi="Segoe UI"/>
      <w:sz w:val="18"/>
      <w:szCs w:val="18"/>
    </w:rPr>
  </w:style>
  <w:style w:type="character" w:styleId="CommentSubjectChar">
    <w:name w:val="Comment Subject Char"/>
    <w:basedOn w:val="CommentTextChar"/>
    <w:qFormat w:val="1"/>
    <w:rPr>
      <w:b w:val="1"/>
      <w:bCs w:val="1"/>
      <w:sz w:val="20"/>
      <w:szCs w:val="20"/>
    </w:rPr>
  </w:style>
  <w:style w:type="character" w:styleId="ListLabel1">
    <w:name w:val="ListLabel 1"/>
    <w:qFormat w:val="1"/>
    <w:rPr>
      <w:sz w:val="24"/>
      <w:u w:val="none"/>
    </w:rPr>
  </w:style>
  <w:style w:type="character" w:styleId="ListLabel2">
    <w:name w:val="ListLabel 2"/>
    <w:qFormat w:val="1"/>
    <w:rPr>
      <w:u w:val="none"/>
    </w:rPr>
  </w:style>
  <w:style w:type="character" w:styleId="ListLabel3">
    <w:name w:val="ListLabel 3"/>
    <w:qFormat w:val="1"/>
    <w:rPr>
      <w:u w:val="none"/>
    </w:rPr>
  </w:style>
  <w:style w:type="character" w:styleId="ListLabel4">
    <w:name w:val="ListLabel 4"/>
    <w:qFormat w:val="1"/>
    <w:rPr>
      <w:u w:val="none"/>
    </w:rPr>
  </w:style>
  <w:style w:type="character" w:styleId="ListLabel5">
    <w:name w:val="ListLabel 5"/>
    <w:qFormat w:val="1"/>
    <w:rPr>
      <w:u w:val="none"/>
    </w:rPr>
  </w:style>
  <w:style w:type="character" w:styleId="ListLabel6">
    <w:name w:val="ListLabel 6"/>
    <w:qFormat w:val="1"/>
    <w:rPr>
      <w:u w:val="none"/>
    </w:rPr>
  </w:style>
  <w:style w:type="character" w:styleId="ListLabel7">
    <w:name w:val="ListLabel 7"/>
    <w:qFormat w:val="1"/>
    <w:rPr>
      <w:u w:val="none"/>
    </w:rPr>
  </w:style>
  <w:style w:type="character" w:styleId="ListLabel8">
    <w:name w:val="ListLabel 8"/>
    <w:qFormat w:val="1"/>
    <w:rPr>
      <w:u w:val="none"/>
    </w:rPr>
  </w:style>
  <w:style w:type="character" w:styleId="ListLabel9">
    <w:name w:val="ListLabel 9"/>
    <w:qFormat w:val="1"/>
    <w:rPr>
      <w:u w:val="none"/>
    </w:rPr>
  </w:style>
  <w:style w:type="character" w:styleId="ListLabel10">
    <w:name w:val="ListLabel 10"/>
    <w:qFormat w:val="1"/>
    <w:rPr>
      <w:color w:val="1155cc"/>
      <w:sz w:val="24"/>
      <w:szCs w:val="24"/>
      <w:u w:val="single"/>
    </w:rPr>
  </w:style>
  <w:style w:type="character" w:styleId="InternetLink">
    <w:name w:val="Internet Link"/>
    <w:rPr>
      <w:color w:val="000080"/>
      <w:u w:val="single"/>
    </w:rPr>
  </w:style>
  <w:style w:type="character" w:styleId="HeaderChar">
    <w:name w:val="Header Char"/>
    <w:basedOn w:val="DefaultParagraphFont"/>
    <w:qFormat w:val="1"/>
    <w:rPr>
      <w:rFonts w:cs="Mangal"/>
      <w:szCs w:val="20"/>
    </w:rPr>
  </w:style>
  <w:style w:type="character" w:styleId="FooterChar">
    <w:name w:val="Footer Char"/>
    <w:basedOn w:val="DefaultParagraphFont"/>
    <w:qFormat w:val="1"/>
    <w:rPr>
      <w:rFonts w:cs="Mangal"/>
      <w:szCs w:val="20"/>
    </w:rPr>
  </w:style>
  <w:style w:type="character" w:styleId="WWCharLFO3LVL1">
    <w:name w:val="WW_CharLFO3LVL1"/>
    <w:qFormat w:val="1"/>
    <w:rPr>
      <w:sz w:val="24"/>
      <w:u w:val="none"/>
    </w:rPr>
  </w:style>
  <w:style w:type="character" w:styleId="WWCharLFO3LVL2">
    <w:name w:val="WW_CharLFO3LVL2"/>
    <w:qFormat w:val="1"/>
    <w:rPr>
      <w:u w:val="none"/>
    </w:rPr>
  </w:style>
  <w:style w:type="character" w:styleId="WWCharLFO3LVL3">
    <w:name w:val="WW_CharLFO3LVL3"/>
    <w:qFormat w:val="1"/>
    <w:rPr>
      <w:u w:val="none"/>
    </w:rPr>
  </w:style>
  <w:style w:type="character" w:styleId="WWCharLFO3LVL4">
    <w:name w:val="WW_CharLFO3LVL4"/>
    <w:qFormat w:val="1"/>
    <w:rPr>
      <w:u w:val="none"/>
    </w:rPr>
  </w:style>
  <w:style w:type="character" w:styleId="WWCharLFO3LVL5">
    <w:name w:val="WW_CharLFO3LVL5"/>
    <w:qFormat w:val="1"/>
    <w:rPr>
      <w:u w:val="none"/>
    </w:rPr>
  </w:style>
  <w:style w:type="character" w:styleId="WWCharLFO3LVL6">
    <w:name w:val="WW_CharLFO3LVL6"/>
    <w:qFormat w:val="1"/>
    <w:rPr>
      <w:u w:val="none"/>
    </w:rPr>
  </w:style>
  <w:style w:type="character" w:styleId="WWCharLFO3LVL7">
    <w:name w:val="WW_CharLFO3LVL7"/>
    <w:qFormat w:val="1"/>
    <w:rPr>
      <w:u w:val="none"/>
    </w:rPr>
  </w:style>
  <w:style w:type="character" w:styleId="WWCharLFO3LVL8">
    <w:name w:val="WW_CharLFO3LVL8"/>
    <w:qFormat w:val="1"/>
    <w:rPr>
      <w:u w:val="none"/>
    </w:rPr>
  </w:style>
  <w:style w:type="character" w:styleId="WWCharLFO3LVL9">
    <w:name w:val="WW_CharLFO3LVL9"/>
    <w:qFormat w:val="1"/>
    <w:rPr>
      <w:u w:val="none"/>
    </w:rPr>
  </w:style>
  <w:style w:type="paragraph" w:styleId="Heading">
    <w:name w:val="Heading"/>
    <w:basedOn w:val="Normal"/>
    <w:next w:val="TextBody"/>
    <w:qFormat w:val="1"/>
    <w:pPr>
      <w:keepNext w:val="1"/>
      <w:suppressAutoHyphens w:val="1"/>
      <w:spacing w:after="120" w:before="240"/>
    </w:pPr>
    <w:rPr>
      <w:rFonts w:ascii="Liberation Sans" w:cs="Linux Libertine G" w:eastAsia="Linux Libertine G" w:hAnsi="Liberation Sans"/>
      <w:sz w:val="28"/>
      <w:szCs w:val="28"/>
    </w:rPr>
  </w:style>
  <w:style w:type="paragraph" w:styleId="TextBody">
    <w:name w:val="Body Text"/>
    <w:basedOn w:val="Normal"/>
    <w:pPr>
      <w:suppressAutoHyphens w:val="1"/>
      <w:spacing w:after="140" w:before="0"/>
    </w:pPr>
    <w:rPr/>
  </w:style>
  <w:style w:type="paragraph" w:styleId="Normal1">
    <w:name w:val="LO-Normal"/>
    <w:qFormat w:val="1"/>
    <w:pPr>
      <w:keepNext w:val="0"/>
      <w:keepLines w:val="0"/>
      <w:pageBreakBefore w:val="0"/>
      <w:widowControl w:val="1"/>
      <w:pBdr/>
      <w:shd w:fill="auto" w:val="clear"/>
      <w:suppressAutoHyphens w:val="1"/>
      <w:kinsoku w:val="1"/>
      <w:overflowPunct w:val="1"/>
      <w:autoSpaceDE w:val="1"/>
      <w:bidi w:val="0"/>
      <w:snapToGrid w:val="1"/>
      <w:spacing w:line="240" w:lineRule="auto"/>
      <w:jc w:val="left"/>
      <w:textAlignment w:val="baseline"/>
    </w:pPr>
    <w:rPr>
      <w:rFonts w:ascii="Arial" w:cs="Arial" w:eastAsia="Arial" w:hAnsi="Arial"/>
      <w:b w:val="0"/>
      <w:bCs w:val="0"/>
      <w:i w:val="0"/>
      <w:iCs w:val="0"/>
      <w:caps w:val="0"/>
      <w:smallCaps w:val="0"/>
      <w:strike w:val="0"/>
      <w:dstrike w:val="0"/>
      <w:outline w:val="0"/>
      <w:emboss w:val="0"/>
      <w:imprint w:val="0"/>
      <w:color w:val="auto"/>
      <w:spacing w:val="0"/>
      <w:w w:val="100"/>
      <w:kern w:val="0"/>
      <w:position w:val="0"/>
      <w:sz w:val="22"/>
      <w:szCs w:val="22"/>
      <w:u w:val="none"/>
      <w:vertAlign w:val="baseline"/>
      <w:em w:val="none"/>
      <w:lang w:bidi="hi-IN" w:eastAsia="zh-CN" w:val="en-GB"/>
    </w:rPr>
  </w:style>
  <w:style w:type="paragraph" w:styleId="List">
    <w:name w:val="List"/>
    <w:basedOn w:val="TextBody"/>
    <w:pPr>
      <w:suppressAutoHyphens w:val="1"/>
    </w:pPr>
    <w:rPr>
      <w:sz w:val="24"/>
    </w:rPr>
  </w:style>
  <w:style w:type="paragraph" w:styleId="Caption">
    <w:name w:val="Caption"/>
    <w:basedOn w:val="Normal"/>
    <w:qFormat w:val="1"/>
    <w:pPr>
      <w:suppressLineNumbers w:val="1"/>
      <w:suppressAutoHyphens w:val="1"/>
      <w:spacing w:after="120" w:before="120"/>
    </w:pPr>
    <w:rPr>
      <w:i w:val="1"/>
      <w:iCs w:val="1"/>
      <w:sz w:val="24"/>
      <w:szCs w:val="24"/>
    </w:rPr>
  </w:style>
  <w:style w:type="paragraph" w:styleId="Index">
    <w:name w:val="Index"/>
    <w:basedOn w:val="Normal"/>
    <w:qFormat w:val="1"/>
    <w:pPr>
      <w:suppressLineNumbers w:val="1"/>
      <w:suppressAutoHyphens w:val="1"/>
    </w:pPr>
    <w:rPr>
      <w:sz w:val="24"/>
    </w:rPr>
  </w:style>
  <w:style w:type="paragraph" w:styleId="Title">
    <w:name w:val="Title"/>
    <w:basedOn w:val="Normal1"/>
    <w:next w:val="Normal"/>
    <w:qFormat w:val="1"/>
    <w:pPr>
      <w:keepNext w:val="1"/>
      <w:keepLines w:val="1"/>
      <w:suppressAutoHyphens w:val="1"/>
      <w:spacing w:after="120" w:before="480"/>
    </w:pPr>
    <w:rPr>
      <w:b w:val="1"/>
      <w:sz w:val="72"/>
      <w:szCs w:val="72"/>
    </w:rPr>
  </w:style>
  <w:style w:type="paragraph" w:styleId="Subtitle">
    <w:name w:val="Subtitle"/>
    <w:basedOn w:val="Normal1"/>
    <w:next w:val="Normal"/>
    <w:qFormat w:val="1"/>
    <w:pPr>
      <w:keepNext w:val="1"/>
      <w:keepLines w:val="1"/>
      <w:suppressAutoHyphens w:val="1"/>
      <w:spacing w:after="80" w:before="360"/>
    </w:pPr>
    <w:rPr>
      <w:rFonts w:ascii="Georgia" w:cs="Georgia" w:eastAsia="Georgia" w:hAnsi="Georgia"/>
      <w:i w:val="1"/>
      <w:color w:val="666666"/>
      <w:sz w:val="48"/>
      <w:szCs w:val="48"/>
    </w:rPr>
  </w:style>
  <w:style w:type="paragraph" w:styleId="CommentText">
    <w:name w:val="Comment Text"/>
    <w:basedOn w:val="Normal1"/>
    <w:qFormat w:val="1"/>
    <w:pPr>
      <w:suppressAutoHyphens w:val="1"/>
    </w:pPr>
    <w:rPr>
      <w:sz w:val="20"/>
      <w:szCs w:val="20"/>
    </w:rPr>
  </w:style>
  <w:style w:type="paragraph" w:styleId="BalloonText">
    <w:name w:val="Balloon Text"/>
    <w:basedOn w:val="Normal1"/>
    <w:qFormat w:val="1"/>
    <w:pPr>
      <w:suppressAutoHyphens w:val="1"/>
    </w:pPr>
    <w:rPr>
      <w:rFonts w:ascii="Segoe UI" w:cs="Segoe UI" w:eastAsia="Segoe UI" w:hAnsi="Segoe UI"/>
      <w:sz w:val="18"/>
      <w:szCs w:val="18"/>
    </w:rPr>
  </w:style>
  <w:style w:type="paragraph" w:styleId="CommentSubject">
    <w:name w:val="Comment Subject"/>
    <w:basedOn w:val="CommentText"/>
    <w:qFormat w:val="1"/>
    <w:pPr>
      <w:suppressAutoHyphens w:val="1"/>
    </w:pPr>
    <w:rPr>
      <w:b w:val="1"/>
      <w:bCs w:val="1"/>
    </w:rPr>
  </w:style>
  <w:style w:type="paragraph" w:styleId="ListParagraph">
    <w:name w:val="List Paragraph"/>
    <w:basedOn w:val="Normal1"/>
    <w:qFormat w:val="1"/>
    <w:pPr>
      <w:suppressAutoHyphens w:val="1"/>
      <w:ind w:left="720" w:hanging="0"/>
    </w:pPr>
    <w:rPr/>
  </w:style>
  <w:style w:type="paragraph" w:styleId="Header">
    <w:name w:val="Header"/>
    <w:basedOn w:val="Normal1"/>
    <w:pPr>
      <w:tabs>
        <w:tab w:val="center" w:leader="none" w:pos="4513"/>
        <w:tab w:val="right" w:leader="none" w:pos="9026"/>
      </w:tabs>
      <w:suppressAutoHyphens w:val="1"/>
    </w:pPr>
    <w:rPr>
      <w:rFonts w:cs="Mangal"/>
      <w:szCs w:val="20"/>
    </w:rPr>
  </w:style>
  <w:style w:type="paragraph" w:styleId="Footer">
    <w:name w:val="Footer"/>
    <w:basedOn w:val="Normal1"/>
    <w:pPr>
      <w:tabs>
        <w:tab w:val="center" w:leader="none" w:pos="4513"/>
        <w:tab w:val="right" w:leader="none" w:pos="9026"/>
      </w:tabs>
      <w:suppressAutoHyphens w:val="1"/>
    </w:pPr>
    <w:rPr>
      <w:rFonts w:cs="Mangal"/>
      <w:szCs w:val="20"/>
    </w:rPr>
  </w:style>
  <w:style w:type="paragraph" w:styleId="TableContents">
    <w:name w:val="Table Contents"/>
    <w:basedOn w:val="Normal"/>
    <w:qFormat w:val="1"/>
    <w:pPr>
      <w:suppressLineNumbers w:val="1"/>
    </w:pPr>
    <w:rPr/>
  </w:style>
  <w:style w:type="numbering" w:styleId="NoList1">
    <w:name w:val="No List_1"/>
    <w:qFormat w:val="1"/>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 w:type="table" w:styleId="Table3">
    <w:basedOn w:val="TableNormal"/>
    <w:tblPr>
      <w:tblStyleRowBandSize w:val="1"/>
      <w:tblStyleColBandSize w:val="1"/>
      <w:tblCellMar>
        <w:top w:w="100.0" w:type="dxa"/>
        <w:left w:w="90.0" w:type="dxa"/>
        <w:bottom w:w="100.0" w:type="dxa"/>
        <w:right w:w="100.0" w:type="dxa"/>
      </w:tblCellMar>
    </w:tblPr>
  </w:style>
  <w:style w:type="table" w:styleId="Table4">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C/4D/7NbBPs2Xv80wspQAhRb7A==">CgMxLjAyCGguZ2pkZ3hzMg5oLnkxd3c4cG5yMW1jNzIOaC5mamk0MWcxcW96OGgyDWguZzF5ZzV2NXg5amw4AHIhMXBhTGJHRFN4eEstMGM2WXM3MkE4aERnUjI2YjNPQkt3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2023-01-26T13:39:00Z</dcterms:created>
  <dc:creator>Caroline Bradshaw</dc:creator>
</cp:coreProperties>
</file>