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07EF" w14:textId="03D4CE1C" w:rsidR="00AB4073" w:rsidRDefault="00AB4073" w:rsidP="00AB4073">
      <w:pPr>
        <w:jc w:val="right"/>
        <w:rPr>
          <w:rFonts w:ascii="Arial" w:hAnsi="Arial" w:cs="Arial"/>
        </w:rPr>
      </w:pPr>
      <w:bookmarkStart w:id="0" w:name="_GoBack"/>
      <w:bookmarkEnd w:id="0"/>
      <w:r>
        <w:rPr>
          <w:rFonts w:ascii="Arial" w:hAnsi="Arial" w:cs="Arial"/>
        </w:rPr>
        <w:t>1</w:t>
      </w:r>
      <w:r w:rsidR="00470094">
        <w:rPr>
          <w:rFonts w:ascii="Arial" w:hAnsi="Arial" w:cs="Arial"/>
        </w:rPr>
        <w:t>5</w:t>
      </w:r>
      <w:r w:rsidRPr="00AB4073">
        <w:rPr>
          <w:rFonts w:ascii="Arial" w:hAnsi="Arial" w:cs="Arial"/>
          <w:vertAlign w:val="superscript"/>
        </w:rPr>
        <w:t>th</w:t>
      </w:r>
      <w:r>
        <w:rPr>
          <w:rFonts w:ascii="Arial" w:hAnsi="Arial" w:cs="Arial"/>
        </w:rPr>
        <w:t xml:space="preserve"> July 2019</w:t>
      </w:r>
      <w:r w:rsidR="00003297">
        <w:rPr>
          <w:rFonts w:ascii="Arial" w:hAnsi="Arial" w:cs="Arial"/>
        </w:rPr>
        <w:t xml:space="preserve"> Part II</w:t>
      </w:r>
    </w:p>
    <w:p w14:paraId="721F2267" w14:textId="72B2C4DB" w:rsidR="00BE3AA8" w:rsidRPr="00BE3AA8" w:rsidRDefault="00BE3AA8">
      <w:pPr>
        <w:rPr>
          <w:rFonts w:ascii="Arial" w:hAnsi="Arial" w:cs="Arial"/>
        </w:rPr>
      </w:pPr>
      <w:r w:rsidRPr="00BE3AA8">
        <w:rPr>
          <w:rFonts w:ascii="Arial" w:hAnsi="Arial" w:cs="Arial"/>
        </w:rPr>
        <w:t>Contract for</w:t>
      </w:r>
      <w:r w:rsidR="00AB4073">
        <w:rPr>
          <w:rFonts w:ascii="Arial" w:hAnsi="Arial" w:cs="Arial"/>
        </w:rPr>
        <w:t xml:space="preserve"> </w:t>
      </w:r>
      <w:r w:rsidR="00AB4073" w:rsidRPr="00AB4073">
        <w:rPr>
          <w:rFonts w:ascii="Arial" w:hAnsi="Arial" w:cs="Arial"/>
        </w:rPr>
        <w:t xml:space="preserve">Drone Demonstration and Development Project </w:t>
      </w:r>
      <w:r w:rsidRPr="00BE3AA8">
        <w:rPr>
          <w:rFonts w:ascii="Arial" w:hAnsi="Arial" w:cs="Arial"/>
        </w:rPr>
        <w:t>– Clarification Q &amp; A</w:t>
      </w:r>
    </w:p>
    <w:tbl>
      <w:tblPr>
        <w:tblStyle w:val="TableGrid"/>
        <w:tblW w:w="0" w:type="auto"/>
        <w:tblLook w:val="04A0" w:firstRow="1" w:lastRow="0" w:firstColumn="1" w:lastColumn="0" w:noHBand="0" w:noVBand="1"/>
      </w:tblPr>
      <w:tblGrid>
        <w:gridCol w:w="6974"/>
        <w:gridCol w:w="6974"/>
      </w:tblGrid>
      <w:tr w:rsidR="00BE3AA8" w:rsidRPr="00BE3AA8" w14:paraId="5048B4D6" w14:textId="77777777" w:rsidTr="00BE3AA8">
        <w:tc>
          <w:tcPr>
            <w:tcW w:w="6974" w:type="dxa"/>
          </w:tcPr>
          <w:p w14:paraId="46DB5F2E" w14:textId="41AC68AD" w:rsidR="00BE3AA8" w:rsidRDefault="00BE3AA8" w:rsidP="00BE3AA8">
            <w:pPr>
              <w:rPr>
                <w:rFonts w:ascii="Arial" w:hAnsi="Arial" w:cs="Arial"/>
                <w:b/>
              </w:rPr>
            </w:pPr>
            <w:r w:rsidRPr="00BE3AA8">
              <w:rPr>
                <w:rFonts w:ascii="Arial" w:hAnsi="Arial" w:cs="Arial"/>
                <w:b/>
              </w:rPr>
              <w:t xml:space="preserve">Clarification Question </w:t>
            </w:r>
            <w:r w:rsidR="00DA6401">
              <w:rPr>
                <w:rFonts w:ascii="Arial" w:hAnsi="Arial" w:cs="Arial"/>
                <w:b/>
              </w:rPr>
              <w:t>0</w:t>
            </w:r>
            <w:r w:rsidR="001C6C16">
              <w:rPr>
                <w:rFonts w:ascii="Arial" w:hAnsi="Arial" w:cs="Arial"/>
                <w:b/>
              </w:rPr>
              <w:t>6</w:t>
            </w:r>
            <w:r>
              <w:rPr>
                <w:rFonts w:ascii="Arial" w:hAnsi="Arial" w:cs="Arial"/>
                <w:b/>
              </w:rPr>
              <w:t>:</w:t>
            </w:r>
          </w:p>
          <w:p w14:paraId="282AC381" w14:textId="1C33FC16" w:rsidR="00BE3AA8" w:rsidRPr="002D1D5F" w:rsidRDefault="001C6C16" w:rsidP="005E3F04">
            <w:pPr>
              <w:jc w:val="both"/>
              <w:rPr>
                <w:rFonts w:ascii="Arial" w:hAnsi="Arial" w:cs="Arial"/>
                <w:bCs/>
              </w:rPr>
            </w:pPr>
            <w:r w:rsidRPr="001C6C16">
              <w:rPr>
                <w:rFonts w:ascii="Arial" w:hAnsi="Arial" w:cs="Arial"/>
                <w:bCs/>
              </w:rPr>
              <w:t>Is there scope to extend the response deadline, whilst still maintaining the delivery timescales?</w:t>
            </w:r>
          </w:p>
        </w:tc>
        <w:tc>
          <w:tcPr>
            <w:tcW w:w="6974" w:type="dxa"/>
          </w:tcPr>
          <w:p w14:paraId="49A7104B" w14:textId="607EB341" w:rsidR="00BE3AA8" w:rsidRDefault="00BE3AA8" w:rsidP="00BE3AA8">
            <w:pPr>
              <w:rPr>
                <w:rFonts w:ascii="Arial" w:hAnsi="Arial" w:cs="Arial"/>
                <w:b/>
              </w:rPr>
            </w:pPr>
            <w:r w:rsidRPr="00BE3AA8">
              <w:rPr>
                <w:rFonts w:ascii="Arial" w:hAnsi="Arial" w:cs="Arial"/>
                <w:b/>
              </w:rPr>
              <w:t>MCA Response:</w:t>
            </w:r>
          </w:p>
          <w:p w14:paraId="0B9AE4D0" w14:textId="590D5956" w:rsidR="00BE3AA8" w:rsidRPr="00470094" w:rsidRDefault="00D44A1F" w:rsidP="00470094">
            <w:pPr>
              <w:rPr>
                <w:rFonts w:ascii="Arial" w:hAnsi="Arial" w:cs="Arial"/>
                <w:bCs/>
              </w:rPr>
            </w:pPr>
            <w:r w:rsidRPr="00D44A1F">
              <w:rPr>
                <w:rFonts w:ascii="Arial" w:hAnsi="Arial" w:cs="Arial"/>
                <w:bCs/>
              </w:rPr>
              <w:t>We currently do not envisage a need to extend the current deadline, for responses to the ITT.</w:t>
            </w:r>
          </w:p>
        </w:tc>
      </w:tr>
      <w:tr w:rsidR="00D44A1F" w:rsidRPr="00BE3AA8" w14:paraId="4B4930A3" w14:textId="77777777" w:rsidTr="00BE3AA8">
        <w:tc>
          <w:tcPr>
            <w:tcW w:w="6974" w:type="dxa"/>
          </w:tcPr>
          <w:p w14:paraId="3BA1CBA7" w14:textId="317F4B7C" w:rsidR="00D44A1F" w:rsidRPr="00003297" w:rsidRDefault="00003297" w:rsidP="00BE3AA8">
            <w:pPr>
              <w:rPr>
                <w:rFonts w:ascii="Arial" w:hAnsi="Arial" w:cs="Arial"/>
                <w:b/>
              </w:rPr>
            </w:pPr>
            <w:r w:rsidRPr="00003297">
              <w:rPr>
                <w:rFonts w:ascii="Arial" w:hAnsi="Arial" w:cs="Arial"/>
                <w:b/>
              </w:rPr>
              <w:t>Clarification Question 0</w:t>
            </w:r>
            <w:r>
              <w:rPr>
                <w:rFonts w:ascii="Arial" w:hAnsi="Arial" w:cs="Arial"/>
                <w:b/>
              </w:rPr>
              <w:t>7</w:t>
            </w:r>
            <w:r w:rsidRPr="00003297">
              <w:rPr>
                <w:rFonts w:ascii="Arial" w:hAnsi="Arial" w:cs="Arial"/>
                <w:b/>
              </w:rPr>
              <w:t>:</w:t>
            </w:r>
          </w:p>
          <w:p w14:paraId="6FA02A4C" w14:textId="70B71B5E" w:rsidR="00D44A1F" w:rsidRPr="00D44A1F" w:rsidRDefault="00D44A1F" w:rsidP="00BE3AA8">
            <w:pPr>
              <w:rPr>
                <w:rFonts w:ascii="Arial" w:hAnsi="Arial" w:cs="Arial"/>
                <w:bCs/>
              </w:rPr>
            </w:pPr>
            <w:r w:rsidRPr="00D44A1F">
              <w:rPr>
                <w:rFonts w:ascii="Arial" w:hAnsi="Arial" w:cs="Arial"/>
                <w:bCs/>
              </w:rPr>
              <w:t>The ITT paragraph 14 a refers to ‘the MCA’s Form of Tender</w:t>
            </w:r>
            <w:proofErr w:type="gramStart"/>
            <w:r w:rsidRPr="00D44A1F">
              <w:rPr>
                <w:rFonts w:ascii="Arial" w:hAnsi="Arial" w:cs="Arial"/>
                <w:bCs/>
              </w:rPr>
              <w:t>’ ,</w:t>
            </w:r>
            <w:proofErr w:type="gramEnd"/>
            <w:r w:rsidRPr="00D44A1F">
              <w:rPr>
                <w:rFonts w:ascii="Arial" w:hAnsi="Arial" w:cs="Arial"/>
                <w:bCs/>
              </w:rPr>
              <w:t xml:space="preserve"> which should be included on the contracts finder advert. Can you clarify this?</w:t>
            </w:r>
          </w:p>
        </w:tc>
        <w:tc>
          <w:tcPr>
            <w:tcW w:w="6974" w:type="dxa"/>
          </w:tcPr>
          <w:p w14:paraId="509A8910" w14:textId="44820BF9" w:rsidR="00295157" w:rsidRDefault="00003297" w:rsidP="00BE3AA8">
            <w:pPr>
              <w:rPr>
                <w:rFonts w:ascii="Arial" w:hAnsi="Arial" w:cs="Arial"/>
                <w:b/>
              </w:rPr>
            </w:pPr>
            <w:r w:rsidRPr="00003297">
              <w:rPr>
                <w:rFonts w:ascii="Arial" w:hAnsi="Arial" w:cs="Arial"/>
                <w:b/>
              </w:rPr>
              <w:t>MCA Response:</w:t>
            </w:r>
          </w:p>
          <w:p w14:paraId="6E83A476" w14:textId="09F9D62F" w:rsidR="00D44A1F" w:rsidRPr="00295157" w:rsidRDefault="00295157" w:rsidP="00BE3AA8">
            <w:pPr>
              <w:rPr>
                <w:rFonts w:ascii="Arial" w:hAnsi="Arial" w:cs="Arial"/>
                <w:bCs/>
              </w:rPr>
            </w:pPr>
            <w:r w:rsidRPr="00295157">
              <w:rPr>
                <w:rFonts w:ascii="Arial" w:hAnsi="Arial" w:cs="Arial"/>
                <w:bCs/>
              </w:rPr>
              <w:t>Annex 5 of the ITT contains the MCA’s Form of Contract, which is the relevant document.</w:t>
            </w:r>
          </w:p>
        </w:tc>
      </w:tr>
      <w:tr w:rsidR="00295157" w:rsidRPr="00BE3AA8" w14:paraId="1F6474EB" w14:textId="77777777" w:rsidTr="00BE3AA8">
        <w:tc>
          <w:tcPr>
            <w:tcW w:w="6974" w:type="dxa"/>
          </w:tcPr>
          <w:p w14:paraId="1E7CFA46" w14:textId="688FD98E" w:rsidR="00F2461D" w:rsidRPr="00003297" w:rsidRDefault="00003297" w:rsidP="00BE3AA8">
            <w:pPr>
              <w:rPr>
                <w:rFonts w:ascii="Arial" w:hAnsi="Arial" w:cs="Arial"/>
                <w:b/>
              </w:rPr>
            </w:pPr>
            <w:r w:rsidRPr="00003297">
              <w:rPr>
                <w:rFonts w:ascii="Arial" w:hAnsi="Arial" w:cs="Arial"/>
                <w:b/>
              </w:rPr>
              <w:t>Clarification Question 0</w:t>
            </w:r>
            <w:r>
              <w:rPr>
                <w:rFonts w:ascii="Arial" w:hAnsi="Arial" w:cs="Arial"/>
                <w:b/>
              </w:rPr>
              <w:t>8</w:t>
            </w:r>
            <w:r w:rsidRPr="00003297">
              <w:rPr>
                <w:rFonts w:ascii="Arial" w:hAnsi="Arial" w:cs="Arial"/>
                <w:b/>
              </w:rPr>
              <w:t>:</w:t>
            </w:r>
          </w:p>
          <w:p w14:paraId="057F2438" w14:textId="4EA1566A" w:rsidR="00295157" w:rsidRDefault="00D34C2E" w:rsidP="00BE3AA8">
            <w:pPr>
              <w:rPr>
                <w:rFonts w:ascii="Arial" w:hAnsi="Arial" w:cs="Arial"/>
                <w:bCs/>
              </w:rPr>
            </w:pPr>
            <w:r w:rsidRPr="00D34C2E">
              <w:rPr>
                <w:rFonts w:ascii="Arial" w:hAnsi="Arial" w:cs="Arial"/>
                <w:bCs/>
              </w:rPr>
              <w:t>The ITT table 1 on page 6/7 describes the timescale. Is it allowed to assume that the delivery date of October 2020 is not fixed?</w:t>
            </w:r>
          </w:p>
        </w:tc>
        <w:tc>
          <w:tcPr>
            <w:tcW w:w="6974" w:type="dxa"/>
          </w:tcPr>
          <w:p w14:paraId="0C01B437" w14:textId="47BBAB28" w:rsidR="00003297" w:rsidRPr="00003297" w:rsidRDefault="00003297" w:rsidP="00BE3AA8">
            <w:pPr>
              <w:rPr>
                <w:rFonts w:ascii="Arial" w:hAnsi="Arial" w:cs="Arial"/>
                <w:b/>
              </w:rPr>
            </w:pPr>
            <w:r w:rsidRPr="00003297">
              <w:rPr>
                <w:rFonts w:ascii="Arial" w:hAnsi="Arial" w:cs="Arial"/>
                <w:b/>
              </w:rPr>
              <w:t>MCA Response:</w:t>
            </w:r>
          </w:p>
          <w:p w14:paraId="799D376E" w14:textId="18DDB1FB" w:rsidR="00295157" w:rsidRPr="00D34C2E" w:rsidRDefault="00D34C2E" w:rsidP="00BE3AA8">
            <w:pPr>
              <w:rPr>
                <w:rFonts w:ascii="Arial" w:hAnsi="Arial" w:cs="Arial"/>
                <w:bCs/>
              </w:rPr>
            </w:pPr>
            <w:r w:rsidRPr="00D34C2E">
              <w:rPr>
                <w:rFonts w:ascii="Arial" w:hAnsi="Arial" w:cs="Arial"/>
                <w:bCs/>
              </w:rPr>
              <w:t xml:space="preserve">The date for completion is supplied as guidance and can be subject to outside influences, however any proposal should state when the completed and agreed report will be provided to the Authority and should be as close to the timeline specified as practicable.  </w:t>
            </w:r>
          </w:p>
        </w:tc>
      </w:tr>
      <w:tr w:rsidR="001539E6" w:rsidRPr="00BE3AA8" w14:paraId="0BA43813" w14:textId="77777777" w:rsidTr="00BE3AA8">
        <w:tc>
          <w:tcPr>
            <w:tcW w:w="6974" w:type="dxa"/>
          </w:tcPr>
          <w:p w14:paraId="21E967DD" w14:textId="3BDCF645" w:rsidR="00F2461D" w:rsidRPr="00003297" w:rsidRDefault="00003297" w:rsidP="00BE3AA8">
            <w:pPr>
              <w:rPr>
                <w:rFonts w:ascii="Arial" w:hAnsi="Arial" w:cs="Arial"/>
                <w:b/>
              </w:rPr>
            </w:pPr>
            <w:r w:rsidRPr="00003297">
              <w:rPr>
                <w:rFonts w:ascii="Arial" w:hAnsi="Arial" w:cs="Arial"/>
                <w:b/>
              </w:rPr>
              <w:t>Clarification Question 0</w:t>
            </w:r>
            <w:r>
              <w:rPr>
                <w:rFonts w:ascii="Arial" w:hAnsi="Arial" w:cs="Arial"/>
                <w:b/>
              </w:rPr>
              <w:t>9</w:t>
            </w:r>
            <w:r w:rsidRPr="00003297">
              <w:rPr>
                <w:rFonts w:ascii="Arial" w:hAnsi="Arial" w:cs="Arial"/>
                <w:b/>
              </w:rPr>
              <w:t>:</w:t>
            </w:r>
          </w:p>
          <w:p w14:paraId="4E465128" w14:textId="3B9A1A22" w:rsidR="001539E6" w:rsidRPr="00D34C2E" w:rsidRDefault="001539E6" w:rsidP="00BE3AA8">
            <w:pPr>
              <w:rPr>
                <w:rFonts w:ascii="Arial" w:hAnsi="Arial" w:cs="Arial"/>
                <w:bCs/>
              </w:rPr>
            </w:pPr>
            <w:r w:rsidRPr="001539E6">
              <w:rPr>
                <w:rFonts w:ascii="Arial" w:hAnsi="Arial" w:cs="Arial"/>
                <w:bCs/>
              </w:rPr>
              <w:t>The ITT paragraph 32 ii refers to segregation of staff and security of information. Can you provide the relevant details related to this?</w:t>
            </w:r>
          </w:p>
        </w:tc>
        <w:tc>
          <w:tcPr>
            <w:tcW w:w="6974" w:type="dxa"/>
          </w:tcPr>
          <w:p w14:paraId="5463EF3C" w14:textId="5C6AF802" w:rsidR="00003297" w:rsidRPr="00003297" w:rsidRDefault="00003297" w:rsidP="00BE3AA8">
            <w:pPr>
              <w:rPr>
                <w:rFonts w:ascii="Arial" w:hAnsi="Arial" w:cs="Arial"/>
                <w:b/>
              </w:rPr>
            </w:pPr>
            <w:r w:rsidRPr="00003297">
              <w:rPr>
                <w:rFonts w:ascii="Arial" w:hAnsi="Arial" w:cs="Arial"/>
                <w:b/>
              </w:rPr>
              <w:t>MCA Response:</w:t>
            </w:r>
          </w:p>
          <w:p w14:paraId="7AA4497D" w14:textId="097E7BE6" w:rsidR="001539E6" w:rsidRPr="00D34C2E" w:rsidRDefault="00842F14" w:rsidP="00BE3AA8">
            <w:pPr>
              <w:rPr>
                <w:rFonts w:ascii="Arial" w:hAnsi="Arial" w:cs="Arial"/>
                <w:bCs/>
              </w:rPr>
            </w:pPr>
            <w:r w:rsidRPr="00842F14">
              <w:rPr>
                <w:rFonts w:ascii="Arial" w:hAnsi="Arial" w:cs="Arial"/>
                <w:bCs/>
              </w:rPr>
              <w:t>The document titled Conflict of Interest – Declaration, on the contracts finder webpage</w:t>
            </w:r>
            <w:r>
              <w:rPr>
                <w:rFonts w:ascii="Arial" w:hAnsi="Arial" w:cs="Arial"/>
                <w:bCs/>
              </w:rPr>
              <w:t>:</w:t>
            </w:r>
            <w:r w:rsidRPr="00842F14">
              <w:rPr>
                <w:rFonts w:ascii="Arial" w:hAnsi="Arial" w:cs="Arial"/>
                <w:bCs/>
              </w:rPr>
              <w:t xml:space="preserve"> </w:t>
            </w:r>
            <w:hyperlink r:id="rId5" w:history="1">
              <w:r w:rsidRPr="00B7566F">
                <w:rPr>
                  <w:rStyle w:val="Hyperlink"/>
                  <w:rFonts w:ascii="Arial" w:hAnsi="Arial" w:cs="Arial"/>
                  <w:bCs/>
                </w:rPr>
                <w:t>https://www.contractsfinder.service.gov.uk/Notice/884f0f85-8a05-487a-a4c9-ab9336abb6f2</w:t>
              </w:r>
            </w:hyperlink>
            <w:r>
              <w:rPr>
                <w:rFonts w:ascii="Arial" w:hAnsi="Arial" w:cs="Arial"/>
                <w:bCs/>
              </w:rPr>
              <w:t xml:space="preserve"> </w:t>
            </w:r>
            <w:r w:rsidRPr="00842F14">
              <w:rPr>
                <w:rFonts w:ascii="Arial" w:hAnsi="Arial" w:cs="Arial"/>
                <w:bCs/>
              </w:rPr>
              <w:t>is the relevant document.</w:t>
            </w:r>
          </w:p>
        </w:tc>
      </w:tr>
      <w:tr w:rsidR="00842F14" w:rsidRPr="00BE3AA8" w14:paraId="42A03D22" w14:textId="77777777" w:rsidTr="00BE3AA8">
        <w:tc>
          <w:tcPr>
            <w:tcW w:w="6974" w:type="dxa"/>
          </w:tcPr>
          <w:p w14:paraId="45736899" w14:textId="19E21578" w:rsidR="00003297" w:rsidRPr="00003297" w:rsidRDefault="00003297" w:rsidP="00BE3AA8">
            <w:pPr>
              <w:rPr>
                <w:rFonts w:ascii="Arial" w:hAnsi="Arial" w:cs="Arial"/>
                <w:b/>
              </w:rPr>
            </w:pPr>
            <w:r w:rsidRPr="00003297">
              <w:rPr>
                <w:rFonts w:ascii="Arial" w:hAnsi="Arial" w:cs="Arial"/>
                <w:b/>
              </w:rPr>
              <w:t xml:space="preserve">Clarification Question </w:t>
            </w:r>
            <w:r>
              <w:rPr>
                <w:rFonts w:ascii="Arial" w:hAnsi="Arial" w:cs="Arial"/>
                <w:b/>
              </w:rPr>
              <w:t>10</w:t>
            </w:r>
            <w:r w:rsidRPr="00003297">
              <w:rPr>
                <w:rFonts w:ascii="Arial" w:hAnsi="Arial" w:cs="Arial"/>
                <w:b/>
              </w:rPr>
              <w:t>:</w:t>
            </w:r>
          </w:p>
          <w:p w14:paraId="152EE604" w14:textId="0DE280C9" w:rsidR="00842F14" w:rsidRPr="001539E6" w:rsidRDefault="000C2EB2" w:rsidP="00BE3AA8">
            <w:pPr>
              <w:rPr>
                <w:rFonts w:ascii="Arial" w:hAnsi="Arial" w:cs="Arial"/>
                <w:bCs/>
              </w:rPr>
            </w:pPr>
            <w:r w:rsidRPr="000C2EB2">
              <w:rPr>
                <w:rFonts w:ascii="Arial" w:hAnsi="Arial" w:cs="Arial"/>
                <w:bCs/>
              </w:rPr>
              <w:t>Does the MCA require a minimum number of flights and/or flight hours to support the MCA use cases? Or can a supplier decide the minimum number in order to prove the concept of operations?</w:t>
            </w:r>
          </w:p>
        </w:tc>
        <w:tc>
          <w:tcPr>
            <w:tcW w:w="6974" w:type="dxa"/>
          </w:tcPr>
          <w:p w14:paraId="1C2D1B56" w14:textId="4FD6F4C2" w:rsidR="00003297" w:rsidRPr="00003297" w:rsidRDefault="00003297" w:rsidP="00BE3AA8">
            <w:pPr>
              <w:rPr>
                <w:rFonts w:ascii="Arial" w:hAnsi="Arial" w:cs="Arial"/>
                <w:b/>
              </w:rPr>
            </w:pPr>
            <w:r w:rsidRPr="00003297">
              <w:rPr>
                <w:rFonts w:ascii="Arial" w:hAnsi="Arial" w:cs="Arial"/>
                <w:b/>
              </w:rPr>
              <w:t>MCA Response:</w:t>
            </w:r>
          </w:p>
          <w:p w14:paraId="433AD23D" w14:textId="77809DA8" w:rsidR="00842F14" w:rsidRPr="00842F14" w:rsidRDefault="00F2461D" w:rsidP="00BE3AA8">
            <w:pPr>
              <w:rPr>
                <w:rFonts w:ascii="Arial" w:hAnsi="Arial" w:cs="Arial"/>
                <w:bCs/>
              </w:rPr>
            </w:pPr>
            <w:r w:rsidRPr="00F2461D">
              <w:rPr>
                <w:rFonts w:ascii="Arial" w:hAnsi="Arial" w:cs="Arial"/>
                <w:bCs/>
              </w:rPr>
              <w:t xml:space="preserve">It is up to the supplier to evaluate and propose the flight hours / number of flights they will require in order to satisfy the </w:t>
            </w:r>
            <w:proofErr w:type="gramStart"/>
            <w:r w:rsidRPr="00F2461D">
              <w:rPr>
                <w:rFonts w:ascii="Arial" w:hAnsi="Arial" w:cs="Arial"/>
                <w:bCs/>
              </w:rPr>
              <w:t>all of</w:t>
            </w:r>
            <w:proofErr w:type="gramEnd"/>
            <w:r w:rsidRPr="00F2461D">
              <w:rPr>
                <w:rFonts w:ascii="Arial" w:hAnsi="Arial" w:cs="Arial"/>
                <w:bCs/>
              </w:rPr>
              <w:t xml:space="preserve"> the User Requirements</w:t>
            </w:r>
          </w:p>
        </w:tc>
      </w:tr>
    </w:tbl>
    <w:p w14:paraId="0604B18E" w14:textId="520A0A56" w:rsidR="00BE3AA8" w:rsidRDefault="00BE3AA8"/>
    <w:p w14:paraId="663B55DD" w14:textId="77777777" w:rsidR="008D6E86" w:rsidRDefault="008D6E86"/>
    <w:sectPr w:rsidR="008D6E86"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F35"/>
    <w:multiLevelType w:val="multilevel"/>
    <w:tmpl w:val="63A66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275B4"/>
    <w:multiLevelType w:val="multilevel"/>
    <w:tmpl w:val="AF80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003297"/>
    <w:rsid w:val="00086DB5"/>
    <w:rsid w:val="000C2EB2"/>
    <w:rsid w:val="001539E6"/>
    <w:rsid w:val="00174E9C"/>
    <w:rsid w:val="0018133A"/>
    <w:rsid w:val="001C6C16"/>
    <w:rsid w:val="00213258"/>
    <w:rsid w:val="00295157"/>
    <w:rsid w:val="002D1D5F"/>
    <w:rsid w:val="00470094"/>
    <w:rsid w:val="00497FE4"/>
    <w:rsid w:val="004B614D"/>
    <w:rsid w:val="005E3F04"/>
    <w:rsid w:val="00602BE2"/>
    <w:rsid w:val="0065783B"/>
    <w:rsid w:val="00687D11"/>
    <w:rsid w:val="0073181F"/>
    <w:rsid w:val="00842F14"/>
    <w:rsid w:val="008A159F"/>
    <w:rsid w:val="008D6E86"/>
    <w:rsid w:val="008F1413"/>
    <w:rsid w:val="00AB4073"/>
    <w:rsid w:val="00BE3AA8"/>
    <w:rsid w:val="00C1162C"/>
    <w:rsid w:val="00D34C2E"/>
    <w:rsid w:val="00D44A1F"/>
    <w:rsid w:val="00DA6401"/>
    <w:rsid w:val="00E20BF8"/>
    <w:rsid w:val="00F2461D"/>
    <w:rsid w:val="00F32B9B"/>
    <w:rsid w:val="00F340E0"/>
    <w:rsid w:val="00FE3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 w:type="character" w:styleId="Hyperlink">
    <w:name w:val="Hyperlink"/>
    <w:basedOn w:val="DefaultParagraphFont"/>
    <w:uiPriority w:val="99"/>
    <w:unhideWhenUsed/>
    <w:rsid w:val="00842F14"/>
    <w:rPr>
      <w:color w:val="0563C1" w:themeColor="hyperlink"/>
      <w:u w:val="single"/>
    </w:rPr>
  </w:style>
  <w:style w:type="character" w:styleId="UnresolvedMention">
    <w:name w:val="Unresolved Mention"/>
    <w:basedOn w:val="DefaultParagraphFont"/>
    <w:uiPriority w:val="99"/>
    <w:semiHidden/>
    <w:unhideWhenUsed/>
    <w:rsid w:val="0084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tractsfinder.service.gov.uk/Notice/884f0f85-8a05-487a-a4c9-ab9336abb6f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11</cp:revision>
  <dcterms:created xsi:type="dcterms:W3CDTF">2019-07-15T14:56:00Z</dcterms:created>
  <dcterms:modified xsi:type="dcterms:W3CDTF">2019-07-15T15:05:00Z</dcterms:modified>
</cp:coreProperties>
</file>