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140B8" w14:textId="77777777" w:rsidR="00ED3DFA" w:rsidRDefault="00ED3DFA" w:rsidP="00ED3DFA">
      <w:pPr>
        <w:rPr>
          <w:rFonts w:eastAsia="Arial" w:cs="Arial"/>
          <w:sz w:val="36"/>
          <w:szCs w:val="36"/>
        </w:rPr>
      </w:pPr>
      <w:r>
        <w:rPr>
          <w:rFonts w:eastAsia="Arial" w:cs="Arial"/>
          <w:b/>
          <w:sz w:val="36"/>
          <w:szCs w:val="36"/>
        </w:rPr>
        <w:t>Order Schedule 20 (Order Specification)</w:t>
      </w:r>
      <w:r>
        <w:rPr>
          <w:rFonts w:eastAsia="Arial" w:cs="Arial"/>
          <w:sz w:val="36"/>
          <w:szCs w:val="36"/>
        </w:rPr>
        <w:t xml:space="preserve"> </w:t>
      </w:r>
    </w:p>
    <w:p w14:paraId="2AECBC92" w14:textId="77777777" w:rsidR="00ED3DFA" w:rsidRDefault="00ED3DFA" w:rsidP="00ED3DFA">
      <w:pPr>
        <w:pBdr>
          <w:top w:val="nil"/>
          <w:left w:val="nil"/>
          <w:bottom w:val="nil"/>
          <w:right w:val="nil"/>
          <w:between w:val="nil"/>
        </w:pBdr>
        <w:tabs>
          <w:tab w:val="left" w:pos="709"/>
          <w:tab w:val="left" w:pos="1134"/>
        </w:tabs>
        <w:spacing w:before="120" w:after="120"/>
        <w:rPr>
          <w:rFonts w:eastAsia="Arial" w:cs="Arial"/>
          <w:color w:val="000000"/>
          <w:sz w:val="24"/>
        </w:rPr>
      </w:pPr>
      <w:bookmarkStart w:id="0" w:name="_heading=h.gjdgxs" w:colFirst="0" w:colLast="0"/>
      <w:bookmarkEnd w:id="0"/>
      <w:r>
        <w:rPr>
          <w:rFonts w:eastAsia="Arial" w:cs="Arial"/>
          <w:color w:val="000000"/>
          <w:sz w:val="24"/>
        </w:rPr>
        <w:t>This Schedule sets out the characteristics of the Deliverables that the Supplier will be required to make to the Buyers under this Order Contract</w:t>
      </w:r>
    </w:p>
    <w:p w14:paraId="374B790A" w14:textId="6F12DF66" w:rsidR="00FE18AC" w:rsidRPr="00D37BAC" w:rsidRDefault="00FE18AC" w:rsidP="00ED3DFA">
      <w:pPr>
        <w:spacing w:after="120"/>
        <w:rPr>
          <w:b/>
        </w:rPr>
      </w:pP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1" w:name="_Toc297554772"/>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2" w:name="_Toc368573027"/>
      <w:bookmarkStart w:id="3" w:name="_Toc140826662"/>
      <w:r w:rsidRPr="001A45DF">
        <w:rPr>
          <w:caps w:val="0"/>
          <w:sz w:val="32"/>
          <w:szCs w:val="32"/>
        </w:rPr>
        <w:t>PURPOSE</w:t>
      </w:r>
      <w:bookmarkEnd w:id="1"/>
      <w:bookmarkEnd w:id="2"/>
      <w:bookmarkEnd w:id="3"/>
    </w:p>
    <w:p w14:paraId="6C805A6A" w14:textId="77777777" w:rsidR="00771DC0" w:rsidRPr="00D11CFD" w:rsidRDefault="00771DC0" w:rsidP="00D11CFD">
      <w:pPr>
        <w:pStyle w:val="Heading2"/>
        <w:rPr>
          <w:sz w:val="24"/>
        </w:rPr>
      </w:pPr>
      <w:bookmarkStart w:id="4" w:name="_Toc368573028"/>
      <w:bookmarkStart w:id="5" w:name="_Toc297554773"/>
      <w:bookmarkStart w:id="6" w:name="_Toc296415805"/>
      <w:bookmarkStart w:id="7" w:name="_Toc296415793"/>
      <w:r w:rsidRPr="00D11CFD">
        <w:rPr>
          <w:sz w:val="24"/>
        </w:rPr>
        <w:t>The Cabinet Office is looking to partner with a specialist wellbeing workshops provider that can work hand in hand with the Cabinet Office People and Places team to develop bespoke and when required reactive support at both an organisational and team level. The provider will be able to offer content delivered by experts in their field covering a wide range of mental health and wellbeing related topics (including but not exclusive to building resilience and financial wellbeing). The provider should be able to offer virtual and in person sessions for large cohorts of staff as the partnership will include work advertised to the whole department.</w:t>
      </w:r>
    </w:p>
    <w:p w14:paraId="39826F96" w14:textId="77777777" w:rsidR="00771DC0" w:rsidRDefault="00FE18AC" w:rsidP="00771DC0">
      <w:pPr>
        <w:pStyle w:val="Heading1"/>
        <w:tabs>
          <w:tab w:val="clear" w:pos="720"/>
        </w:tabs>
        <w:overflowPunct w:val="0"/>
        <w:autoSpaceDE w:val="0"/>
        <w:autoSpaceDN w:val="0"/>
        <w:spacing w:after="120"/>
        <w:textAlignment w:val="baseline"/>
        <w:rPr>
          <w:sz w:val="32"/>
          <w:szCs w:val="32"/>
        </w:rPr>
      </w:pPr>
      <w:bookmarkStart w:id="8" w:name="_Toc140826663"/>
      <w:r w:rsidRPr="001A45DF">
        <w:rPr>
          <w:sz w:val="32"/>
          <w:szCs w:val="32"/>
        </w:rPr>
        <w:t xml:space="preserve">BACKGROUND TO THE </w:t>
      </w:r>
      <w:bookmarkEnd w:id="4"/>
      <w:r w:rsidR="006B38F6">
        <w:rPr>
          <w:sz w:val="32"/>
          <w:szCs w:val="32"/>
        </w:rPr>
        <w:t>Buyer</w:t>
      </w:r>
      <w:bookmarkStart w:id="9" w:name="_Toc368573029"/>
      <w:bookmarkEnd w:id="8"/>
    </w:p>
    <w:p w14:paraId="22864D59" w14:textId="01A4C873" w:rsidR="00771DC0" w:rsidRPr="00771DC0" w:rsidRDefault="00771DC0" w:rsidP="00771DC0">
      <w:pPr>
        <w:pStyle w:val="Heading2"/>
        <w:rPr>
          <w:sz w:val="24"/>
        </w:rPr>
      </w:pPr>
      <w:r w:rsidRPr="00771DC0">
        <w:rPr>
          <w:sz w:val="24"/>
        </w:rPr>
        <w:t>The Cabinet Office assists and ensures the effective running of Government. The Cabinet Office is also the corporate headquarters for Government, in partnership with HM Treasury and takes the lead in certain critical policy areas.</w:t>
      </w:r>
    </w:p>
    <w:p w14:paraId="1552208F" w14:textId="77777777" w:rsidR="00771DC0" w:rsidRPr="00771DC0" w:rsidRDefault="00771DC0" w:rsidP="00771DC0">
      <w:pPr>
        <w:pStyle w:val="Heading2"/>
        <w:adjustRightInd/>
        <w:spacing w:after="120"/>
        <w:jc w:val="left"/>
        <w:rPr>
          <w:sz w:val="24"/>
          <w:szCs w:val="24"/>
        </w:rPr>
      </w:pPr>
      <w:bookmarkStart w:id="10" w:name="_dfj8nktykxa9" w:colFirst="0" w:colLast="0"/>
      <w:bookmarkEnd w:id="10"/>
      <w:r>
        <w:rPr>
          <w:sz w:val="24"/>
          <w:szCs w:val="24"/>
        </w:rPr>
        <w:t xml:space="preserve">The People and Places directorate </w:t>
      </w:r>
      <w:r w:rsidRPr="00771DC0">
        <w:rPr>
          <w:sz w:val="24"/>
          <w:szCs w:val="24"/>
        </w:rPr>
        <w:t>supports the Cabinet Office by providing outstanding Human Resources services and brilliant workplaces. The CO’s People and the environments they work in are essential to high performance and delivering on the Cabinet Office’s Purpose.</w:t>
      </w:r>
    </w:p>
    <w:p w14:paraId="0AB7BD88" w14:textId="77777777" w:rsidR="00771DC0" w:rsidRPr="00771DC0" w:rsidRDefault="00771DC0" w:rsidP="00771DC0">
      <w:pPr>
        <w:pStyle w:val="Heading2"/>
        <w:adjustRightInd/>
        <w:spacing w:after="120"/>
        <w:jc w:val="left"/>
        <w:rPr>
          <w:sz w:val="24"/>
          <w:szCs w:val="24"/>
        </w:rPr>
      </w:pPr>
      <w:bookmarkStart w:id="11" w:name="_fdchdqutsrr7" w:colFirst="0" w:colLast="0"/>
      <w:bookmarkEnd w:id="11"/>
      <w:r>
        <w:rPr>
          <w:sz w:val="24"/>
          <w:szCs w:val="24"/>
        </w:rPr>
        <w:t>The People and Places Wellbeing team has recently developed a new Wellbeing Strategy to support our staff. Actioning the strategy will be key to supporting our aims to be a great place to work and an employer of choice.</w:t>
      </w:r>
    </w:p>
    <w:p w14:paraId="74EE6223" w14:textId="08261615" w:rsidR="00771DC0" w:rsidRPr="00F77882" w:rsidRDefault="00771DC0" w:rsidP="00F77882">
      <w:pPr>
        <w:pStyle w:val="Heading2"/>
        <w:adjustRightInd/>
        <w:spacing w:after="120"/>
        <w:jc w:val="left"/>
        <w:rPr>
          <w:sz w:val="24"/>
          <w:szCs w:val="24"/>
        </w:rPr>
      </w:pPr>
      <w:r>
        <w:rPr>
          <w:sz w:val="24"/>
          <w:szCs w:val="24"/>
        </w:rPr>
        <w:t>The Wellbeing Strategy</w:t>
      </w:r>
      <w:r w:rsidRPr="00771DC0">
        <w:rPr>
          <w:sz w:val="24"/>
          <w:szCs w:val="24"/>
        </w:rPr>
        <w:t xml:space="preserve"> focuses</w:t>
      </w:r>
      <w:r>
        <w:rPr>
          <w:sz w:val="24"/>
          <w:szCs w:val="24"/>
        </w:rPr>
        <w:t xml:space="preserve"> on three pillars: </w:t>
      </w:r>
    </w:p>
    <w:p w14:paraId="7837E02F" w14:textId="77777777" w:rsidR="00771DC0" w:rsidRDefault="00771DC0" w:rsidP="00771DC0">
      <w:pPr>
        <w:pStyle w:val="ListParagraph"/>
        <w:ind w:left="643"/>
        <w:rPr>
          <w:sz w:val="24"/>
        </w:rPr>
      </w:pPr>
      <w:r w:rsidRPr="00AE2E02">
        <w:rPr>
          <w:sz w:val="24"/>
        </w:rPr>
        <w:t xml:space="preserve">One overarching pillar: </w:t>
      </w:r>
    </w:p>
    <w:p w14:paraId="12A05480" w14:textId="77777777" w:rsidR="00771DC0" w:rsidRPr="00AE2E02" w:rsidRDefault="00771DC0" w:rsidP="00771DC0">
      <w:pPr>
        <w:pStyle w:val="ListParagraph"/>
        <w:numPr>
          <w:ilvl w:val="0"/>
          <w:numId w:val="37"/>
        </w:numPr>
        <w:contextualSpacing/>
        <w:rPr>
          <w:sz w:val="24"/>
        </w:rPr>
      </w:pPr>
      <w:r w:rsidRPr="00AE2E02">
        <w:rPr>
          <w:i/>
          <w:sz w:val="24"/>
        </w:rPr>
        <w:t xml:space="preserve">Promoting a positive wellbeing culture for a productive workforce </w:t>
      </w:r>
    </w:p>
    <w:p w14:paraId="2BD67BDB" w14:textId="77777777" w:rsidR="00771DC0" w:rsidRPr="00AE2E02" w:rsidRDefault="00771DC0" w:rsidP="00771DC0">
      <w:pPr>
        <w:pStyle w:val="ListParagraph"/>
        <w:ind w:left="643"/>
        <w:rPr>
          <w:sz w:val="24"/>
        </w:rPr>
      </w:pPr>
      <w:r w:rsidRPr="00AE2E02">
        <w:rPr>
          <w:sz w:val="24"/>
        </w:rPr>
        <w:t xml:space="preserve">Two supporting pillars: </w:t>
      </w:r>
    </w:p>
    <w:p w14:paraId="5E5A53BA" w14:textId="77777777" w:rsidR="00771DC0" w:rsidRPr="00AE2E02" w:rsidRDefault="00771DC0" w:rsidP="00771DC0">
      <w:pPr>
        <w:pStyle w:val="ListParagraph"/>
        <w:numPr>
          <w:ilvl w:val="0"/>
          <w:numId w:val="36"/>
        </w:numPr>
        <w:contextualSpacing/>
        <w:rPr>
          <w:i/>
          <w:sz w:val="24"/>
        </w:rPr>
      </w:pPr>
      <w:r w:rsidRPr="00AE2E02">
        <w:rPr>
          <w:i/>
          <w:sz w:val="24"/>
        </w:rPr>
        <w:t>Finding and maintaining balance during ambiguity at an organisation, team and individual level;</w:t>
      </w:r>
    </w:p>
    <w:p w14:paraId="4A4AF83C" w14:textId="77777777" w:rsidR="00771DC0" w:rsidRPr="00AE2E02" w:rsidRDefault="00771DC0" w:rsidP="00771DC0">
      <w:pPr>
        <w:pStyle w:val="ListParagraph"/>
        <w:numPr>
          <w:ilvl w:val="0"/>
          <w:numId w:val="36"/>
        </w:numPr>
        <w:contextualSpacing/>
        <w:rPr>
          <w:i/>
          <w:sz w:val="24"/>
        </w:rPr>
      </w:pPr>
      <w:r w:rsidRPr="00AE2E02">
        <w:rPr>
          <w:i/>
          <w:sz w:val="24"/>
        </w:rPr>
        <w:t>Supporting and maintaining good mental, physical and financial wellbeing</w:t>
      </w:r>
    </w:p>
    <w:p w14:paraId="392204B1" w14:textId="77777777" w:rsidR="00771DC0" w:rsidRDefault="00771DC0" w:rsidP="00771DC0">
      <w:pPr>
        <w:ind w:left="720"/>
      </w:pPr>
    </w:p>
    <w:p w14:paraId="691ACD8B" w14:textId="77777777" w:rsidR="00771DC0" w:rsidRPr="00771DC0" w:rsidRDefault="00771DC0" w:rsidP="00771DC0">
      <w:pPr>
        <w:pStyle w:val="Heading2"/>
        <w:adjustRightInd/>
        <w:spacing w:after="120"/>
        <w:jc w:val="left"/>
        <w:rPr>
          <w:sz w:val="24"/>
          <w:szCs w:val="24"/>
        </w:rPr>
      </w:pPr>
      <w:bookmarkStart w:id="12" w:name="_4aiv5z2tp06" w:colFirst="0" w:colLast="0"/>
      <w:bookmarkEnd w:id="12"/>
      <w:r w:rsidRPr="00771DC0">
        <w:rPr>
          <w:sz w:val="24"/>
          <w:szCs w:val="24"/>
        </w:rPr>
        <w:t>The Wellbeing strategy has also been designed to support our transformation programme to become a Better Cabinet Office.</w:t>
      </w:r>
    </w:p>
    <w:p w14:paraId="444C4621" w14:textId="77777777" w:rsidR="00771DC0" w:rsidRPr="00771DC0" w:rsidRDefault="00771DC0" w:rsidP="00771DC0">
      <w:pPr>
        <w:pStyle w:val="Heading2"/>
        <w:adjustRightInd/>
        <w:spacing w:after="120"/>
        <w:jc w:val="left"/>
        <w:rPr>
          <w:sz w:val="24"/>
          <w:szCs w:val="24"/>
        </w:rPr>
      </w:pPr>
      <w:bookmarkStart w:id="13" w:name="_hqq54qjlkr8e" w:colFirst="0" w:colLast="0"/>
      <w:bookmarkEnd w:id="13"/>
      <w:r w:rsidRPr="00771DC0">
        <w:rPr>
          <w:sz w:val="24"/>
          <w:szCs w:val="24"/>
        </w:rPr>
        <w:t>Our Cabinet Office People Strategy sets out the framework to deliver our people priorities and our people vision for the department:</w:t>
      </w:r>
    </w:p>
    <w:p w14:paraId="3D2B4AC3" w14:textId="77777777" w:rsidR="00771DC0" w:rsidRPr="00AE2E02" w:rsidRDefault="00771DC0" w:rsidP="00771DC0">
      <w:pPr>
        <w:pStyle w:val="Heading2"/>
        <w:adjustRightInd/>
        <w:spacing w:after="120"/>
        <w:jc w:val="left"/>
        <w:rPr>
          <w:sz w:val="24"/>
          <w:szCs w:val="24"/>
        </w:rPr>
      </w:pPr>
      <w:r w:rsidRPr="00771DC0">
        <w:rPr>
          <w:sz w:val="24"/>
          <w:szCs w:val="24"/>
        </w:rPr>
        <w:lastRenderedPageBreak/>
        <w:t>To be a great place to work, where our people, located across the UK (primarily in London, Glasgow and York, are empowered to become the best public servants, and to deliver the finest public services);</w:t>
      </w:r>
    </w:p>
    <w:p w14:paraId="40DFEE76" w14:textId="77777777" w:rsidR="00771DC0" w:rsidRPr="00AE2E02" w:rsidRDefault="00771DC0" w:rsidP="00771DC0">
      <w:pPr>
        <w:pStyle w:val="Heading2"/>
        <w:adjustRightInd/>
        <w:spacing w:after="120"/>
        <w:jc w:val="left"/>
        <w:rPr>
          <w:sz w:val="24"/>
          <w:szCs w:val="24"/>
        </w:rPr>
      </w:pPr>
      <w:r w:rsidRPr="00771DC0">
        <w:rPr>
          <w:sz w:val="24"/>
          <w:szCs w:val="24"/>
        </w:rPr>
        <w:t>To be an employer of choice, not only in the Civil Service, but in the broader marketplace. Our culture will be one focussed on leadership that embodies diversity, inclusivity and collaboration, whilst recognising the unique talents that each individual brings; and</w:t>
      </w:r>
    </w:p>
    <w:p w14:paraId="69CBF39D" w14:textId="77777777" w:rsidR="00771DC0" w:rsidRPr="00AE2E02" w:rsidRDefault="00771DC0" w:rsidP="00771DC0">
      <w:pPr>
        <w:pStyle w:val="Heading2"/>
        <w:adjustRightInd/>
        <w:spacing w:after="120"/>
        <w:jc w:val="left"/>
        <w:rPr>
          <w:sz w:val="24"/>
          <w:szCs w:val="24"/>
        </w:rPr>
      </w:pPr>
      <w:r w:rsidRPr="00771DC0">
        <w:rPr>
          <w:sz w:val="24"/>
          <w:szCs w:val="24"/>
        </w:rPr>
        <w:t>To nurture our professional capability and understand the current and future needs of the organisation.</w:t>
      </w:r>
    </w:p>
    <w:p w14:paraId="504DCA91" w14:textId="77777777" w:rsidR="00771DC0" w:rsidRPr="00771DC0" w:rsidRDefault="00771DC0" w:rsidP="00771DC0">
      <w:pPr>
        <w:pStyle w:val="Heading2"/>
        <w:adjustRightInd/>
        <w:spacing w:after="120"/>
        <w:jc w:val="left"/>
        <w:rPr>
          <w:sz w:val="24"/>
          <w:szCs w:val="24"/>
        </w:rPr>
      </w:pPr>
      <w:bookmarkStart w:id="14" w:name="_r1onohsbnrgo" w:colFirst="0" w:colLast="0"/>
      <w:bookmarkEnd w:id="14"/>
      <w:r>
        <w:rPr>
          <w:sz w:val="24"/>
          <w:szCs w:val="24"/>
        </w:rPr>
        <w:t>The Cabinet Office is committed to fostering a culture that promotes mental, physical and financial wellbeing of our people.</w:t>
      </w:r>
    </w:p>
    <w:p w14:paraId="5360F22B" w14:textId="77777777" w:rsidR="00771DC0" w:rsidRPr="00771DC0" w:rsidRDefault="00771DC0" w:rsidP="00771DC0">
      <w:pPr>
        <w:pStyle w:val="Heading2"/>
        <w:adjustRightInd/>
        <w:spacing w:after="120"/>
        <w:jc w:val="left"/>
        <w:rPr>
          <w:sz w:val="24"/>
          <w:szCs w:val="24"/>
        </w:rPr>
      </w:pPr>
      <w:bookmarkStart w:id="15" w:name="_yq1pc6t5hfiw" w:colFirst="0" w:colLast="0"/>
      <w:bookmarkEnd w:id="15"/>
      <w:r>
        <w:rPr>
          <w:sz w:val="24"/>
          <w:szCs w:val="24"/>
        </w:rPr>
        <w:t>We are seeking a specialist wellbeing workshops provider to support our strategy and our aim to promote a positive wellbeing culture and to support and maintain good mental, physical and financial wellbeing for our staff.</w:t>
      </w:r>
    </w:p>
    <w:p w14:paraId="49373F20" w14:textId="77777777" w:rsidR="00771DC0" w:rsidRDefault="00771DC0" w:rsidP="00771DC0">
      <w:pPr>
        <w:ind w:left="720"/>
      </w:pPr>
    </w:p>
    <w:p w14:paraId="3C641C92" w14:textId="3A13B00A" w:rsidR="00771DC0" w:rsidRDefault="005B3AB1" w:rsidP="00771DC0">
      <w:pPr>
        <w:pStyle w:val="Heading1"/>
        <w:tabs>
          <w:tab w:val="clear" w:pos="720"/>
        </w:tabs>
        <w:overflowPunct w:val="0"/>
        <w:autoSpaceDE w:val="0"/>
        <w:autoSpaceDN w:val="0"/>
        <w:spacing w:after="120"/>
        <w:textAlignment w:val="baseline"/>
        <w:rPr>
          <w:sz w:val="32"/>
          <w:szCs w:val="32"/>
        </w:rPr>
      </w:pPr>
      <w:bookmarkStart w:id="16" w:name="_Toc140826664"/>
      <w:bookmarkEnd w:id="5"/>
      <w:r>
        <w:rPr>
          <w:sz w:val="32"/>
          <w:szCs w:val="32"/>
        </w:rPr>
        <w:t>Overview</w:t>
      </w:r>
      <w:r w:rsidR="00FE18AC" w:rsidRPr="001A45DF">
        <w:rPr>
          <w:sz w:val="32"/>
          <w:szCs w:val="32"/>
        </w:rPr>
        <w:t xml:space="preserve"> of requirement</w:t>
      </w:r>
      <w:bookmarkStart w:id="17" w:name="_Toc297554774"/>
      <w:bookmarkStart w:id="18" w:name="_Toc368573030"/>
      <w:bookmarkEnd w:id="6"/>
      <w:bookmarkEnd w:id="9"/>
      <w:bookmarkEnd w:id="16"/>
    </w:p>
    <w:p w14:paraId="32FE9D1E" w14:textId="41DFCFD2" w:rsidR="00771DC0" w:rsidRPr="00F77882" w:rsidRDefault="00771DC0" w:rsidP="00F77882">
      <w:pPr>
        <w:pStyle w:val="Heading2"/>
        <w:rPr>
          <w:sz w:val="24"/>
        </w:rPr>
      </w:pPr>
      <w:r w:rsidRPr="00771DC0">
        <w:rPr>
          <w:sz w:val="24"/>
        </w:rPr>
        <w:t>The wellbeing workshop provider will run wellbeing workshops delivered by (but not limited to) clinical psychologists, experienced mental health professionals and those with relevant expertise (e.g. in the financial wellbeing space).</w:t>
      </w:r>
    </w:p>
    <w:p w14:paraId="26BACAFA" w14:textId="75631A48" w:rsidR="00771DC0" w:rsidRPr="00F77882" w:rsidRDefault="00771DC0" w:rsidP="00F77882">
      <w:pPr>
        <w:pStyle w:val="Heading2"/>
        <w:rPr>
          <w:sz w:val="24"/>
        </w:rPr>
      </w:pPr>
      <w:r w:rsidRPr="00771DC0">
        <w:rPr>
          <w:sz w:val="24"/>
        </w:rPr>
        <w:t xml:space="preserve">The provider will support the delivery of key wellbeing campaigns (e.g. Mental Health Awareness Week and Time to Talk Day) by delivering relevant workshops. In addition to this they will work with the Cabinet Office People and Places team to provide bespoke support to Business Units where a traumatic incident has taken place and/or the team are undergoing an intense period of pressure. They will work with the People and Places team to devise, deliver and evaluate this support. To enable this the provider will have the ability to work with shorter lead times to deliver sessions (some instances may require ability to deliver with two </w:t>
      </w:r>
      <w:r w:rsidR="00D11CFD" w:rsidRPr="00771DC0">
        <w:rPr>
          <w:sz w:val="24"/>
        </w:rPr>
        <w:t>weeks’ notice</w:t>
      </w:r>
      <w:r w:rsidRPr="00771DC0">
        <w:rPr>
          <w:sz w:val="24"/>
        </w:rPr>
        <w:t xml:space="preserve">). </w:t>
      </w:r>
    </w:p>
    <w:p w14:paraId="77AAEAFF" w14:textId="59207891" w:rsidR="00771DC0" w:rsidRPr="00F77882" w:rsidRDefault="00771DC0" w:rsidP="00F77882">
      <w:pPr>
        <w:pStyle w:val="Heading2"/>
        <w:rPr>
          <w:sz w:val="24"/>
        </w:rPr>
      </w:pPr>
      <w:r w:rsidRPr="00771DC0">
        <w:rPr>
          <w:sz w:val="24"/>
        </w:rPr>
        <w:t xml:space="preserve">They will also develop a programme of work in conjunction with the Cabinet Office People and Places team to respond to the Cabinet Office People Survey results. </w:t>
      </w:r>
    </w:p>
    <w:p w14:paraId="51D9152D" w14:textId="42881926" w:rsidR="00771DC0" w:rsidRPr="00F77882" w:rsidRDefault="00771DC0" w:rsidP="00F77882">
      <w:pPr>
        <w:pStyle w:val="Heading2"/>
        <w:rPr>
          <w:sz w:val="24"/>
        </w:rPr>
      </w:pPr>
      <w:r w:rsidRPr="00771DC0">
        <w:rPr>
          <w:sz w:val="24"/>
        </w:rPr>
        <w:t>The workshop provider should have the ability to deliver the workshops virtually and in person across the UK but particularly London, Glasgow and York.</w:t>
      </w:r>
    </w:p>
    <w:p w14:paraId="5900694C" w14:textId="471B03E9" w:rsidR="00D11CFD" w:rsidRDefault="00771DC0" w:rsidP="00D11CFD">
      <w:pPr>
        <w:pStyle w:val="Heading2"/>
        <w:rPr>
          <w:sz w:val="24"/>
        </w:rPr>
      </w:pPr>
      <w:r w:rsidRPr="00771DC0">
        <w:rPr>
          <w:sz w:val="24"/>
        </w:rPr>
        <w:t>The workshop provider should have the ability to record the workshop content and provide a secure private platform for Cabinet Office staff to have unlimited access to view recordings</w:t>
      </w:r>
      <w:r w:rsidR="00D11CFD">
        <w:rPr>
          <w:sz w:val="24"/>
        </w:rPr>
        <w:t>.</w:t>
      </w:r>
    </w:p>
    <w:p w14:paraId="32CC637B" w14:textId="33D7A318" w:rsidR="00771DC0" w:rsidRPr="00771DC0" w:rsidRDefault="00771DC0" w:rsidP="00771DC0">
      <w:pPr>
        <w:pStyle w:val="Heading2"/>
        <w:rPr>
          <w:sz w:val="24"/>
        </w:rPr>
      </w:pPr>
      <w:r w:rsidRPr="00771DC0">
        <w:rPr>
          <w:sz w:val="24"/>
        </w:rPr>
        <w:t>Any contract awarded via this exercise will operate for a period of 1 year. With the option to extend for a further two years subject to agreement at the end of each FY.</w:t>
      </w:r>
    </w:p>
    <w:p w14:paraId="66113C73" w14:textId="77777777" w:rsidR="00771DC0" w:rsidRDefault="00771DC0" w:rsidP="00771DC0"/>
    <w:p w14:paraId="3E48EEA8" w14:textId="6705D2D9" w:rsidR="00771DC0" w:rsidRPr="00771DC0" w:rsidRDefault="00771DC0" w:rsidP="00771DC0">
      <w:pPr>
        <w:pStyle w:val="Heading1"/>
        <w:tabs>
          <w:tab w:val="clear" w:pos="720"/>
        </w:tabs>
        <w:overflowPunct w:val="0"/>
        <w:autoSpaceDE w:val="0"/>
        <w:autoSpaceDN w:val="0"/>
        <w:spacing w:after="120"/>
        <w:textAlignment w:val="baseline"/>
        <w:rPr>
          <w:sz w:val="32"/>
          <w:szCs w:val="32"/>
        </w:rPr>
      </w:pPr>
      <w:bookmarkStart w:id="19" w:name="_Toc140826665"/>
      <w:r w:rsidRPr="00771DC0">
        <w:rPr>
          <w:sz w:val="32"/>
          <w:szCs w:val="32"/>
        </w:rPr>
        <w:t>Definitions</w:t>
      </w:r>
      <w:bookmarkEnd w:id="19"/>
    </w:p>
    <w:p w14:paraId="0EF86592" w14:textId="77777777" w:rsidR="00771DC0" w:rsidRDefault="00771DC0" w:rsidP="00771DC0">
      <w:pPr>
        <w:rPr>
          <w:sz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71DC0" w14:paraId="20AD74E6" w14:textId="77777777" w:rsidTr="00E717B8">
        <w:tc>
          <w:tcPr>
            <w:tcW w:w="4514" w:type="dxa"/>
            <w:shd w:val="clear" w:color="auto" w:fill="CFE2F3"/>
            <w:tcMar>
              <w:top w:w="100" w:type="dxa"/>
              <w:left w:w="100" w:type="dxa"/>
              <w:bottom w:w="100" w:type="dxa"/>
              <w:right w:w="100" w:type="dxa"/>
            </w:tcMar>
          </w:tcPr>
          <w:p w14:paraId="6A5D50E7" w14:textId="77777777" w:rsidR="00771DC0" w:rsidRDefault="00771DC0" w:rsidP="00E717B8">
            <w:pPr>
              <w:widowControl w:val="0"/>
              <w:pBdr>
                <w:top w:val="nil"/>
                <w:left w:val="nil"/>
                <w:bottom w:val="nil"/>
                <w:right w:val="nil"/>
                <w:between w:val="nil"/>
              </w:pBdr>
              <w:rPr>
                <w:b/>
                <w:sz w:val="24"/>
              </w:rPr>
            </w:pPr>
            <w:r>
              <w:rPr>
                <w:b/>
                <w:sz w:val="24"/>
              </w:rPr>
              <w:t>Expression or Acronym</w:t>
            </w:r>
          </w:p>
        </w:tc>
        <w:tc>
          <w:tcPr>
            <w:tcW w:w="4514" w:type="dxa"/>
            <w:shd w:val="clear" w:color="auto" w:fill="CFE2F3"/>
            <w:tcMar>
              <w:top w:w="100" w:type="dxa"/>
              <w:left w:w="100" w:type="dxa"/>
              <w:bottom w:w="100" w:type="dxa"/>
              <w:right w:w="100" w:type="dxa"/>
            </w:tcMar>
          </w:tcPr>
          <w:p w14:paraId="18F596F8" w14:textId="77777777" w:rsidR="00771DC0" w:rsidRDefault="00771DC0" w:rsidP="00E717B8">
            <w:pPr>
              <w:widowControl w:val="0"/>
              <w:pBdr>
                <w:top w:val="nil"/>
                <w:left w:val="nil"/>
                <w:bottom w:val="nil"/>
                <w:right w:val="nil"/>
                <w:between w:val="nil"/>
              </w:pBdr>
              <w:rPr>
                <w:b/>
                <w:sz w:val="24"/>
              </w:rPr>
            </w:pPr>
            <w:r>
              <w:rPr>
                <w:b/>
                <w:sz w:val="24"/>
              </w:rPr>
              <w:t>Definition</w:t>
            </w:r>
          </w:p>
        </w:tc>
      </w:tr>
      <w:tr w:rsidR="00771DC0" w14:paraId="1531F9FD" w14:textId="77777777" w:rsidTr="00E717B8">
        <w:tc>
          <w:tcPr>
            <w:tcW w:w="4514" w:type="dxa"/>
            <w:shd w:val="clear" w:color="auto" w:fill="auto"/>
            <w:tcMar>
              <w:top w:w="100" w:type="dxa"/>
              <w:left w:w="100" w:type="dxa"/>
              <w:bottom w:w="100" w:type="dxa"/>
              <w:right w:w="100" w:type="dxa"/>
            </w:tcMar>
          </w:tcPr>
          <w:p w14:paraId="396A5600" w14:textId="77777777" w:rsidR="00771DC0" w:rsidRPr="00D11CFD" w:rsidRDefault="00771DC0" w:rsidP="00D11CFD">
            <w:pPr>
              <w:pStyle w:val="Heading2"/>
              <w:numPr>
                <w:ilvl w:val="0"/>
                <w:numId w:val="0"/>
              </w:numPr>
              <w:pBdr>
                <w:top w:val="nil"/>
                <w:left w:val="nil"/>
                <w:bottom w:val="nil"/>
                <w:right w:val="nil"/>
                <w:between w:val="nil"/>
              </w:pBdr>
              <w:ind w:left="720" w:hanging="720"/>
              <w:rPr>
                <w:rFonts w:eastAsia="SimSun"/>
                <w:color w:val="0B0C0C"/>
                <w:sz w:val="24"/>
                <w:szCs w:val="24"/>
                <w:highlight w:val="white"/>
              </w:rPr>
            </w:pPr>
            <w:r w:rsidRPr="00D11CFD">
              <w:rPr>
                <w:rFonts w:eastAsia="SimSun"/>
                <w:color w:val="0B0C0C"/>
                <w:sz w:val="24"/>
                <w:szCs w:val="24"/>
                <w:highlight w:val="white"/>
              </w:rPr>
              <w:t>People Survey</w:t>
            </w:r>
          </w:p>
        </w:tc>
        <w:tc>
          <w:tcPr>
            <w:tcW w:w="4514" w:type="dxa"/>
            <w:shd w:val="clear" w:color="auto" w:fill="auto"/>
            <w:tcMar>
              <w:top w:w="100" w:type="dxa"/>
              <w:left w:w="100" w:type="dxa"/>
              <w:bottom w:w="100" w:type="dxa"/>
              <w:right w:w="100" w:type="dxa"/>
            </w:tcMar>
          </w:tcPr>
          <w:p w14:paraId="3F720B8D" w14:textId="77777777" w:rsidR="00771DC0" w:rsidRPr="00D11CFD" w:rsidRDefault="00771DC0" w:rsidP="00E717B8">
            <w:pPr>
              <w:widowControl w:val="0"/>
              <w:pBdr>
                <w:top w:val="nil"/>
                <w:left w:val="nil"/>
                <w:bottom w:val="nil"/>
                <w:right w:val="nil"/>
                <w:between w:val="nil"/>
              </w:pBdr>
              <w:rPr>
                <w:color w:val="0B0C0C"/>
                <w:sz w:val="24"/>
                <w:highlight w:val="white"/>
              </w:rPr>
            </w:pPr>
            <w:r w:rsidRPr="00D11CFD">
              <w:rPr>
                <w:color w:val="0B0C0C"/>
                <w:sz w:val="24"/>
                <w:highlight w:val="white"/>
              </w:rPr>
              <w:t xml:space="preserve">The Civil Service conducts a people survey each year. The survey looks at civil servants’ attitudes to and experience of working in government departments. Further information can be found on </w:t>
            </w:r>
            <w:hyperlink r:id="rId8">
              <w:r w:rsidRPr="00D11CFD">
                <w:rPr>
                  <w:color w:val="0B0C0C"/>
                  <w:sz w:val="24"/>
                  <w:highlight w:val="white"/>
                </w:rPr>
                <w:t>gov.uk</w:t>
              </w:r>
            </w:hyperlink>
          </w:p>
        </w:tc>
      </w:tr>
      <w:tr w:rsidR="00771DC0" w14:paraId="40CCB265" w14:textId="77777777" w:rsidTr="00E717B8">
        <w:tc>
          <w:tcPr>
            <w:tcW w:w="4514" w:type="dxa"/>
            <w:shd w:val="clear" w:color="auto" w:fill="auto"/>
            <w:tcMar>
              <w:top w:w="100" w:type="dxa"/>
              <w:left w:w="100" w:type="dxa"/>
              <w:bottom w:w="100" w:type="dxa"/>
              <w:right w:w="100" w:type="dxa"/>
            </w:tcMar>
          </w:tcPr>
          <w:p w14:paraId="3950299D" w14:textId="77777777" w:rsidR="00771DC0" w:rsidRDefault="00771DC0" w:rsidP="00E717B8">
            <w:pPr>
              <w:widowControl w:val="0"/>
              <w:shd w:val="clear" w:color="auto" w:fill="FFFFFF"/>
              <w:spacing w:after="400"/>
            </w:pPr>
            <w:r>
              <w:rPr>
                <w:color w:val="0B0C0C"/>
                <w:sz w:val="24"/>
                <w:highlight w:val="white"/>
              </w:rPr>
              <w:t xml:space="preserve">A Better Cabinet Office (ABCO) </w:t>
            </w:r>
          </w:p>
        </w:tc>
        <w:tc>
          <w:tcPr>
            <w:tcW w:w="4514" w:type="dxa"/>
            <w:shd w:val="clear" w:color="auto" w:fill="auto"/>
            <w:tcMar>
              <w:top w:w="100" w:type="dxa"/>
              <w:left w:w="100" w:type="dxa"/>
              <w:bottom w:w="100" w:type="dxa"/>
              <w:right w:w="100" w:type="dxa"/>
            </w:tcMar>
          </w:tcPr>
          <w:p w14:paraId="5359498B" w14:textId="77777777" w:rsidR="00771DC0" w:rsidRDefault="00771DC0" w:rsidP="00E717B8">
            <w:pPr>
              <w:widowControl w:val="0"/>
              <w:shd w:val="clear" w:color="auto" w:fill="FFFFFF"/>
              <w:spacing w:after="400"/>
              <w:rPr>
                <w:color w:val="0B0C0C"/>
                <w:sz w:val="24"/>
                <w:highlight w:val="white"/>
              </w:rPr>
            </w:pPr>
            <w:r>
              <w:rPr>
                <w:color w:val="0B0C0C"/>
                <w:sz w:val="24"/>
                <w:highlight w:val="white"/>
              </w:rPr>
              <w:t>A Better Cabinet Office (ABCO) is the department’s organisational change programme.</w:t>
            </w:r>
            <w:r>
              <w:rPr>
                <w:color w:val="0B0C0C"/>
                <w:sz w:val="24"/>
                <w:highlight w:val="white"/>
              </w:rPr>
              <w:br/>
              <w:t>Guided by the 2022 People Survey results, it has been created to implement lasting change across 6 themes:</w:t>
            </w:r>
          </w:p>
          <w:p w14:paraId="23674DB6" w14:textId="77777777" w:rsidR="00771DC0" w:rsidRDefault="00771DC0" w:rsidP="00771DC0">
            <w:pPr>
              <w:widowControl w:val="0"/>
              <w:numPr>
                <w:ilvl w:val="0"/>
                <w:numId w:val="39"/>
              </w:numPr>
              <w:shd w:val="clear" w:color="auto" w:fill="FFFFFF"/>
              <w:rPr>
                <w:sz w:val="24"/>
                <w:highlight w:val="white"/>
              </w:rPr>
            </w:pPr>
            <w:r>
              <w:rPr>
                <w:color w:val="0B0C0C"/>
                <w:sz w:val="24"/>
                <w:highlight w:val="white"/>
              </w:rPr>
              <w:t>Career Progression</w:t>
            </w:r>
          </w:p>
          <w:p w14:paraId="4D1D0E64" w14:textId="77777777" w:rsidR="00771DC0" w:rsidRDefault="00771DC0" w:rsidP="00771DC0">
            <w:pPr>
              <w:widowControl w:val="0"/>
              <w:numPr>
                <w:ilvl w:val="0"/>
                <w:numId w:val="39"/>
              </w:numPr>
              <w:shd w:val="clear" w:color="auto" w:fill="FFFFFF"/>
              <w:rPr>
                <w:color w:val="000000"/>
                <w:sz w:val="24"/>
                <w:highlight w:val="white"/>
              </w:rPr>
            </w:pPr>
            <w:r>
              <w:rPr>
                <w:sz w:val="24"/>
                <w:highlight w:val="white"/>
              </w:rPr>
              <w:t>Pay</w:t>
            </w:r>
          </w:p>
          <w:p w14:paraId="6EBDF2E8" w14:textId="77777777" w:rsidR="00771DC0" w:rsidRDefault="00771DC0" w:rsidP="00771DC0">
            <w:pPr>
              <w:widowControl w:val="0"/>
              <w:numPr>
                <w:ilvl w:val="0"/>
                <w:numId w:val="39"/>
              </w:numPr>
              <w:shd w:val="clear" w:color="auto" w:fill="FFFFFF"/>
              <w:rPr>
                <w:color w:val="000000"/>
                <w:sz w:val="24"/>
                <w:highlight w:val="white"/>
              </w:rPr>
            </w:pPr>
            <w:r>
              <w:rPr>
                <w:sz w:val="24"/>
                <w:highlight w:val="white"/>
              </w:rPr>
              <w:t>Leadership, Respect and Inclusion</w:t>
            </w:r>
          </w:p>
          <w:p w14:paraId="081CB3A8" w14:textId="77777777" w:rsidR="00771DC0" w:rsidRDefault="00771DC0" w:rsidP="00771DC0">
            <w:pPr>
              <w:widowControl w:val="0"/>
              <w:numPr>
                <w:ilvl w:val="0"/>
                <w:numId w:val="39"/>
              </w:numPr>
              <w:shd w:val="clear" w:color="auto" w:fill="FFFFFF"/>
              <w:rPr>
                <w:color w:val="000000"/>
                <w:sz w:val="24"/>
                <w:highlight w:val="white"/>
              </w:rPr>
            </w:pPr>
            <w:r>
              <w:rPr>
                <w:sz w:val="24"/>
                <w:highlight w:val="white"/>
              </w:rPr>
              <w:t>Purpose, Culture and Employee Deal</w:t>
            </w:r>
          </w:p>
          <w:p w14:paraId="5024F3CB" w14:textId="77777777" w:rsidR="00771DC0" w:rsidRDefault="00771DC0" w:rsidP="00771DC0">
            <w:pPr>
              <w:widowControl w:val="0"/>
              <w:numPr>
                <w:ilvl w:val="0"/>
                <w:numId w:val="39"/>
              </w:numPr>
              <w:shd w:val="clear" w:color="auto" w:fill="FFFFFF"/>
              <w:rPr>
                <w:color w:val="000000"/>
                <w:sz w:val="24"/>
                <w:highlight w:val="white"/>
              </w:rPr>
            </w:pPr>
            <w:r>
              <w:rPr>
                <w:sz w:val="24"/>
                <w:highlight w:val="white"/>
              </w:rPr>
              <w:t>Learning and Development</w:t>
            </w:r>
          </w:p>
          <w:p w14:paraId="34A9A2B1" w14:textId="77777777" w:rsidR="00771DC0" w:rsidRDefault="00771DC0" w:rsidP="00771DC0">
            <w:pPr>
              <w:widowControl w:val="0"/>
              <w:numPr>
                <w:ilvl w:val="0"/>
                <w:numId w:val="39"/>
              </w:numPr>
              <w:shd w:val="clear" w:color="auto" w:fill="FFFFFF"/>
              <w:spacing w:after="400"/>
              <w:rPr>
                <w:color w:val="000000"/>
                <w:sz w:val="24"/>
                <w:highlight w:val="white"/>
              </w:rPr>
            </w:pPr>
            <w:r>
              <w:rPr>
                <w:sz w:val="24"/>
                <w:highlight w:val="white"/>
              </w:rPr>
              <w:t>Workplace, Estates and Technology</w:t>
            </w:r>
          </w:p>
          <w:p w14:paraId="6AD32203" w14:textId="77777777" w:rsidR="00771DC0" w:rsidRDefault="00771DC0" w:rsidP="00E717B8">
            <w:pPr>
              <w:widowControl w:val="0"/>
              <w:pBdr>
                <w:top w:val="nil"/>
                <w:left w:val="nil"/>
                <w:bottom w:val="nil"/>
                <w:right w:val="nil"/>
                <w:between w:val="nil"/>
              </w:pBdr>
              <w:rPr>
                <w:color w:val="0B0C0C"/>
                <w:highlight w:val="white"/>
              </w:rPr>
            </w:pPr>
          </w:p>
        </w:tc>
      </w:tr>
    </w:tbl>
    <w:p w14:paraId="081CFAE7" w14:textId="444CECC3" w:rsidR="00C4233A" w:rsidRPr="001A45DF" w:rsidRDefault="00C4233A" w:rsidP="00771DC0">
      <w:pPr>
        <w:pStyle w:val="Heading1"/>
        <w:numPr>
          <w:ilvl w:val="0"/>
          <w:numId w:val="0"/>
        </w:numPr>
        <w:overflowPunct w:val="0"/>
        <w:autoSpaceDE w:val="0"/>
        <w:autoSpaceDN w:val="0"/>
        <w:spacing w:after="120"/>
        <w:ind w:left="720" w:hanging="720"/>
        <w:textAlignment w:val="baseline"/>
        <w:rPr>
          <w:sz w:val="32"/>
          <w:szCs w:val="32"/>
        </w:rPr>
      </w:pPr>
    </w:p>
    <w:p w14:paraId="3491B80B" w14:textId="5CF272C5" w:rsidR="00671798" w:rsidRDefault="00FE18AC" w:rsidP="00771DC0">
      <w:pPr>
        <w:pStyle w:val="Heading1"/>
        <w:spacing w:after="120"/>
        <w:rPr>
          <w:sz w:val="32"/>
          <w:szCs w:val="32"/>
        </w:rPr>
      </w:pPr>
      <w:bookmarkStart w:id="20" w:name="_Toc368573031"/>
      <w:bookmarkStart w:id="21" w:name="_Toc140826666"/>
      <w:bookmarkEnd w:id="7"/>
      <w:bookmarkEnd w:id="17"/>
      <w:bookmarkEnd w:id="18"/>
      <w:r w:rsidRPr="00771DC0">
        <w:rPr>
          <w:sz w:val="32"/>
          <w:szCs w:val="32"/>
        </w:rPr>
        <w:t>The requirement</w:t>
      </w:r>
      <w:bookmarkEnd w:id="20"/>
      <w:bookmarkEnd w:id="21"/>
    </w:p>
    <w:p w14:paraId="796A8ABB" w14:textId="275E2268" w:rsidR="00771DC0" w:rsidRPr="00F77882" w:rsidRDefault="00771DC0" w:rsidP="00F77882">
      <w:pPr>
        <w:pStyle w:val="Heading2"/>
        <w:rPr>
          <w:rFonts w:eastAsia="SimSun"/>
          <w:sz w:val="24"/>
          <w:szCs w:val="24"/>
          <w:highlight w:val="white"/>
        </w:rPr>
      </w:pPr>
      <w:r w:rsidRPr="00771DC0">
        <w:rPr>
          <w:rFonts w:eastAsia="SimSun"/>
          <w:sz w:val="24"/>
          <w:szCs w:val="24"/>
          <w:highlight w:val="white"/>
        </w:rPr>
        <w:t xml:space="preserve">The requirement is to devise, deliver and evaluate a programme of </w:t>
      </w:r>
      <w:r w:rsidR="00673F5A" w:rsidRPr="00771DC0">
        <w:rPr>
          <w:rFonts w:eastAsia="SimSun"/>
          <w:sz w:val="24"/>
          <w:szCs w:val="24"/>
          <w:highlight w:val="white"/>
        </w:rPr>
        <w:t>high-quality</w:t>
      </w:r>
      <w:r w:rsidRPr="00771DC0">
        <w:rPr>
          <w:rFonts w:eastAsia="SimSun"/>
          <w:sz w:val="24"/>
          <w:szCs w:val="24"/>
          <w:highlight w:val="white"/>
        </w:rPr>
        <w:t xml:space="preserve"> workshops which covers the scope covered in section 2. The quantity of the workshops is to be agreed and determined by the cost per workshop. Workshops will need to be able to be delivered in person and virtually </w:t>
      </w:r>
    </w:p>
    <w:p w14:paraId="5C29CC40" w14:textId="0D6570B0" w:rsidR="00771DC0" w:rsidRDefault="00771DC0" w:rsidP="00771DC0">
      <w:pPr>
        <w:pStyle w:val="Heading2"/>
        <w:rPr>
          <w:rFonts w:eastAsia="SimSun"/>
          <w:sz w:val="24"/>
          <w:szCs w:val="24"/>
          <w:highlight w:val="white"/>
        </w:rPr>
      </w:pPr>
      <w:r w:rsidRPr="00771DC0">
        <w:rPr>
          <w:rFonts w:eastAsia="SimSun"/>
          <w:sz w:val="24"/>
          <w:szCs w:val="24"/>
          <w:highlight w:val="white"/>
        </w:rPr>
        <w:t>To liaise with the Cabinet Office People and Places team to optimise attendance of the workshops and provide promotional materials to aid this.</w:t>
      </w:r>
    </w:p>
    <w:p w14:paraId="0C2DF96E" w14:textId="77777777" w:rsidR="00673F5A" w:rsidRPr="00673F5A" w:rsidRDefault="00673F5A" w:rsidP="00673F5A">
      <w:pPr>
        <w:pStyle w:val="Heading3"/>
        <w:rPr>
          <w:rFonts w:eastAsia="SimSun"/>
          <w:sz w:val="24"/>
          <w:szCs w:val="24"/>
          <w:highlight w:val="white"/>
        </w:rPr>
      </w:pPr>
      <w:r w:rsidRPr="00673F5A">
        <w:rPr>
          <w:rFonts w:eastAsia="SimSun"/>
          <w:sz w:val="24"/>
          <w:szCs w:val="24"/>
          <w:highlight w:val="white"/>
        </w:rPr>
        <w:t xml:space="preserve">Each workshop (both in person and virtually) would need to be capable of accommodating for a minimum of 100 attendees. </w:t>
      </w:r>
    </w:p>
    <w:p w14:paraId="07A0C165" w14:textId="77777777" w:rsidR="00673F5A" w:rsidRPr="00771DC0" w:rsidRDefault="00673F5A" w:rsidP="00673F5A">
      <w:pPr>
        <w:pStyle w:val="Heading3"/>
        <w:numPr>
          <w:ilvl w:val="0"/>
          <w:numId w:val="0"/>
        </w:numPr>
        <w:ind w:left="1800" w:hanging="1080"/>
        <w:rPr>
          <w:highlight w:val="white"/>
        </w:rPr>
      </w:pPr>
    </w:p>
    <w:p w14:paraId="35734D9E" w14:textId="54CCFB79" w:rsidR="00671798" w:rsidRPr="001A45DF" w:rsidRDefault="00FE18AC">
      <w:pPr>
        <w:pStyle w:val="Heading1"/>
        <w:spacing w:after="120"/>
        <w:rPr>
          <w:sz w:val="32"/>
          <w:szCs w:val="32"/>
        </w:rPr>
      </w:pPr>
      <w:bookmarkStart w:id="22" w:name="_Toc368573032"/>
      <w:bookmarkStart w:id="23" w:name="_Toc140826667"/>
      <w:r w:rsidRPr="001A45DF">
        <w:rPr>
          <w:sz w:val="32"/>
          <w:szCs w:val="32"/>
        </w:rPr>
        <w:t>key milestones</w:t>
      </w:r>
      <w:bookmarkEnd w:id="22"/>
      <w:r w:rsidR="00F0311A" w:rsidRPr="001A45DF">
        <w:rPr>
          <w:sz w:val="32"/>
          <w:szCs w:val="32"/>
        </w:rPr>
        <w:t xml:space="preserve"> and Deliverables</w:t>
      </w:r>
      <w:bookmarkEnd w:id="23"/>
    </w:p>
    <w:p w14:paraId="4D0E0CBA" w14:textId="5B180F52" w:rsidR="00FE18AC"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W w:w="9019" w:type="dxa"/>
        <w:tblInd w:w="-1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771DC0" w:rsidRPr="00771DC0" w14:paraId="13F010F0" w14:textId="77777777" w:rsidTr="00E717B8">
        <w:tc>
          <w:tcPr>
            <w:tcW w:w="2671" w:type="dxa"/>
            <w:shd w:val="clear" w:color="auto" w:fill="B8CCE4"/>
            <w:vAlign w:val="center"/>
          </w:tcPr>
          <w:p w14:paraId="1F7A1238" w14:textId="13668DD2" w:rsidR="00771DC0" w:rsidRPr="00771DC0" w:rsidRDefault="00771DC0" w:rsidP="00771DC0">
            <w:pPr>
              <w:pStyle w:val="Heading1"/>
              <w:numPr>
                <w:ilvl w:val="0"/>
                <w:numId w:val="0"/>
              </w:numPr>
              <w:jc w:val="left"/>
              <w:rPr>
                <w:lang w:eastAsia="en-GB"/>
              </w:rPr>
            </w:pPr>
            <w:bookmarkStart w:id="24" w:name="_Toc140826668"/>
            <w:r w:rsidRPr="00771DC0">
              <w:rPr>
                <w:lang w:eastAsia="en-GB"/>
              </w:rPr>
              <w:t>Milestone/Deliverable</w:t>
            </w:r>
            <w:bookmarkEnd w:id="24"/>
          </w:p>
        </w:tc>
        <w:tc>
          <w:tcPr>
            <w:tcW w:w="3947" w:type="dxa"/>
            <w:shd w:val="clear" w:color="auto" w:fill="B8CCE4"/>
            <w:vAlign w:val="center"/>
          </w:tcPr>
          <w:p w14:paraId="2919AE09" w14:textId="06841000" w:rsidR="00771DC0" w:rsidRPr="00771DC0" w:rsidRDefault="00771DC0" w:rsidP="00771DC0">
            <w:pPr>
              <w:pStyle w:val="Heading3"/>
              <w:numPr>
                <w:ilvl w:val="0"/>
                <w:numId w:val="0"/>
              </w:numPr>
              <w:ind w:left="720"/>
              <w:jc w:val="left"/>
              <w:rPr>
                <w:b/>
                <w:lang w:eastAsia="en-GB"/>
              </w:rPr>
            </w:pPr>
            <w:r>
              <w:rPr>
                <w:b/>
                <w:lang w:eastAsia="en-GB"/>
              </w:rPr>
              <w:t>DESCRIPTION</w:t>
            </w:r>
          </w:p>
        </w:tc>
        <w:tc>
          <w:tcPr>
            <w:tcW w:w="2401" w:type="dxa"/>
            <w:shd w:val="clear" w:color="auto" w:fill="B8CCE4"/>
            <w:vAlign w:val="center"/>
          </w:tcPr>
          <w:p w14:paraId="593651E1" w14:textId="585662D1" w:rsidR="00771DC0" w:rsidRPr="00771DC0" w:rsidRDefault="00771DC0" w:rsidP="00771DC0">
            <w:pPr>
              <w:pStyle w:val="Heading1"/>
              <w:numPr>
                <w:ilvl w:val="0"/>
                <w:numId w:val="0"/>
              </w:numPr>
              <w:jc w:val="left"/>
              <w:rPr>
                <w:lang w:eastAsia="en-GB"/>
              </w:rPr>
            </w:pPr>
            <w:bookmarkStart w:id="25" w:name="_Toc140826669"/>
            <w:r w:rsidRPr="00771DC0">
              <w:rPr>
                <w:lang w:eastAsia="en-GB"/>
              </w:rPr>
              <w:t>Timeframe or Delivery Date</w:t>
            </w:r>
            <w:bookmarkEnd w:id="25"/>
          </w:p>
        </w:tc>
      </w:tr>
      <w:tr w:rsidR="00771DC0" w:rsidRPr="00771DC0" w14:paraId="4B248EAC" w14:textId="77777777" w:rsidTr="00E717B8">
        <w:tc>
          <w:tcPr>
            <w:tcW w:w="2671" w:type="dxa"/>
            <w:vAlign w:val="center"/>
          </w:tcPr>
          <w:p w14:paraId="7BC685C0" w14:textId="77777777" w:rsidR="00771DC0" w:rsidRPr="00771DC0" w:rsidRDefault="00771DC0" w:rsidP="00771DC0">
            <w:pPr>
              <w:pStyle w:val="Heading3"/>
              <w:numPr>
                <w:ilvl w:val="0"/>
                <w:numId w:val="0"/>
              </w:numPr>
              <w:ind w:left="720"/>
              <w:rPr>
                <w:lang w:eastAsia="en-GB"/>
              </w:rPr>
            </w:pPr>
            <w:r w:rsidRPr="00771DC0">
              <w:rPr>
                <w:lang w:eastAsia="en-GB"/>
              </w:rPr>
              <w:t>1</w:t>
            </w:r>
          </w:p>
        </w:tc>
        <w:tc>
          <w:tcPr>
            <w:tcW w:w="3947" w:type="dxa"/>
            <w:vAlign w:val="center"/>
          </w:tcPr>
          <w:p w14:paraId="0A060A4B" w14:textId="3AA35FCA" w:rsidR="00771DC0" w:rsidRPr="00771DC0" w:rsidRDefault="00771DC0" w:rsidP="00771DC0">
            <w:pPr>
              <w:pStyle w:val="Heading1"/>
              <w:numPr>
                <w:ilvl w:val="0"/>
                <w:numId w:val="0"/>
              </w:numPr>
              <w:rPr>
                <w:b w:val="0"/>
                <w:sz w:val="24"/>
                <w:lang w:eastAsia="en-GB"/>
              </w:rPr>
            </w:pPr>
            <w:bookmarkStart w:id="26" w:name="_Toc140826670"/>
            <w:r w:rsidRPr="00771DC0">
              <w:rPr>
                <w:b w:val="0"/>
                <w:caps w:val="0"/>
                <w:sz w:val="24"/>
                <w:lang w:eastAsia="en-GB"/>
              </w:rPr>
              <w:t>Work with the cabinet office wellbeing lead to agree which wellbeing campaigns the provider will support.</w:t>
            </w:r>
            <w:bookmarkEnd w:id="26"/>
          </w:p>
        </w:tc>
        <w:tc>
          <w:tcPr>
            <w:tcW w:w="2401" w:type="dxa"/>
            <w:vAlign w:val="center"/>
          </w:tcPr>
          <w:p w14:paraId="24C59652" w14:textId="6A4EE488" w:rsidR="00771DC0" w:rsidRPr="00771DC0" w:rsidRDefault="00771DC0" w:rsidP="00771DC0">
            <w:pPr>
              <w:pStyle w:val="Heading1"/>
              <w:numPr>
                <w:ilvl w:val="0"/>
                <w:numId w:val="0"/>
              </w:numPr>
              <w:rPr>
                <w:b w:val="0"/>
                <w:sz w:val="24"/>
                <w:lang w:eastAsia="en-GB"/>
              </w:rPr>
            </w:pPr>
            <w:bookmarkStart w:id="27" w:name="_Toc140826671"/>
            <w:r w:rsidRPr="00771DC0">
              <w:rPr>
                <w:b w:val="0"/>
                <w:caps w:val="0"/>
                <w:sz w:val="24"/>
                <w:lang w:eastAsia="en-GB"/>
              </w:rPr>
              <w:t>Prior to launch</w:t>
            </w:r>
            <w:bookmarkEnd w:id="27"/>
          </w:p>
        </w:tc>
      </w:tr>
      <w:tr w:rsidR="00771DC0" w:rsidRPr="00771DC0" w14:paraId="45EF31C9" w14:textId="77777777" w:rsidTr="00E717B8">
        <w:tc>
          <w:tcPr>
            <w:tcW w:w="2671" w:type="dxa"/>
            <w:vAlign w:val="center"/>
          </w:tcPr>
          <w:p w14:paraId="54822FE1" w14:textId="77777777" w:rsidR="00771DC0" w:rsidRPr="00771DC0" w:rsidRDefault="00771DC0" w:rsidP="00771DC0">
            <w:pPr>
              <w:pStyle w:val="Heading3"/>
              <w:numPr>
                <w:ilvl w:val="0"/>
                <w:numId w:val="0"/>
              </w:numPr>
              <w:ind w:left="720"/>
              <w:rPr>
                <w:lang w:eastAsia="en-GB"/>
              </w:rPr>
            </w:pPr>
            <w:r w:rsidRPr="00771DC0">
              <w:rPr>
                <w:lang w:eastAsia="en-GB"/>
              </w:rPr>
              <w:t>2</w:t>
            </w:r>
          </w:p>
        </w:tc>
        <w:tc>
          <w:tcPr>
            <w:tcW w:w="3947" w:type="dxa"/>
            <w:vAlign w:val="center"/>
          </w:tcPr>
          <w:p w14:paraId="2173AAF3" w14:textId="78E5C682" w:rsidR="00771DC0" w:rsidRPr="00771DC0" w:rsidRDefault="00771DC0" w:rsidP="00771DC0">
            <w:pPr>
              <w:pStyle w:val="Heading1"/>
              <w:numPr>
                <w:ilvl w:val="0"/>
                <w:numId w:val="0"/>
              </w:numPr>
              <w:rPr>
                <w:b w:val="0"/>
                <w:sz w:val="24"/>
                <w:lang w:eastAsia="en-GB"/>
              </w:rPr>
            </w:pPr>
            <w:bookmarkStart w:id="28" w:name="_Toc140826672"/>
            <w:r w:rsidRPr="00771DC0">
              <w:rPr>
                <w:b w:val="0"/>
                <w:caps w:val="0"/>
                <w:sz w:val="24"/>
                <w:lang w:eastAsia="en-GB"/>
              </w:rPr>
              <w:t>Preparation of a communications plan on cabinet office wide campaign related workshops</w:t>
            </w:r>
            <w:bookmarkEnd w:id="28"/>
            <w:r w:rsidRPr="00771DC0">
              <w:rPr>
                <w:b w:val="0"/>
                <w:caps w:val="0"/>
                <w:sz w:val="24"/>
                <w:lang w:eastAsia="en-GB"/>
              </w:rPr>
              <w:t xml:space="preserve"> </w:t>
            </w:r>
          </w:p>
        </w:tc>
        <w:tc>
          <w:tcPr>
            <w:tcW w:w="2401" w:type="dxa"/>
            <w:vAlign w:val="center"/>
          </w:tcPr>
          <w:p w14:paraId="6D71E871" w14:textId="1180559C" w:rsidR="00771DC0" w:rsidRPr="00771DC0" w:rsidRDefault="00771DC0" w:rsidP="00771DC0">
            <w:pPr>
              <w:pStyle w:val="Heading1"/>
              <w:numPr>
                <w:ilvl w:val="0"/>
                <w:numId w:val="0"/>
              </w:numPr>
              <w:rPr>
                <w:b w:val="0"/>
                <w:sz w:val="24"/>
                <w:lang w:eastAsia="en-GB"/>
              </w:rPr>
            </w:pPr>
            <w:bookmarkStart w:id="29" w:name="_Toc140826673"/>
            <w:r w:rsidRPr="00771DC0">
              <w:rPr>
                <w:b w:val="0"/>
                <w:caps w:val="0"/>
                <w:sz w:val="24"/>
                <w:lang w:eastAsia="en-GB"/>
              </w:rPr>
              <w:t>Prior to launch</w:t>
            </w:r>
            <w:bookmarkEnd w:id="29"/>
          </w:p>
        </w:tc>
      </w:tr>
      <w:tr w:rsidR="00771DC0" w:rsidRPr="00771DC0" w14:paraId="3FAC72C0" w14:textId="77777777" w:rsidTr="00E717B8">
        <w:tc>
          <w:tcPr>
            <w:tcW w:w="2671" w:type="dxa"/>
            <w:vAlign w:val="center"/>
          </w:tcPr>
          <w:p w14:paraId="0455B3E1" w14:textId="77777777" w:rsidR="00771DC0" w:rsidRPr="00771DC0" w:rsidRDefault="00771DC0" w:rsidP="00771DC0">
            <w:pPr>
              <w:pStyle w:val="Heading3"/>
              <w:numPr>
                <w:ilvl w:val="0"/>
                <w:numId w:val="0"/>
              </w:numPr>
              <w:ind w:left="720"/>
              <w:rPr>
                <w:lang w:eastAsia="en-GB"/>
              </w:rPr>
            </w:pPr>
            <w:r w:rsidRPr="00771DC0">
              <w:rPr>
                <w:lang w:eastAsia="en-GB"/>
              </w:rPr>
              <w:t>3</w:t>
            </w:r>
          </w:p>
        </w:tc>
        <w:tc>
          <w:tcPr>
            <w:tcW w:w="3947" w:type="dxa"/>
            <w:vAlign w:val="center"/>
          </w:tcPr>
          <w:p w14:paraId="66E279A1" w14:textId="6FCA7F88" w:rsidR="00771DC0" w:rsidRPr="00771DC0" w:rsidRDefault="00771DC0" w:rsidP="00771DC0">
            <w:pPr>
              <w:pStyle w:val="Heading1"/>
              <w:numPr>
                <w:ilvl w:val="0"/>
                <w:numId w:val="0"/>
              </w:numPr>
              <w:rPr>
                <w:b w:val="0"/>
                <w:sz w:val="24"/>
                <w:lang w:eastAsia="en-GB"/>
              </w:rPr>
            </w:pPr>
            <w:bookmarkStart w:id="30" w:name="_Toc140826674"/>
            <w:r w:rsidRPr="00771DC0">
              <w:rPr>
                <w:b w:val="0"/>
                <w:caps w:val="0"/>
                <w:sz w:val="24"/>
                <w:lang w:eastAsia="en-GB"/>
              </w:rPr>
              <w:t>Delivery of bespoke workshops to specific business units (our business units vary in sizes and work on a variety of portfolios) to support their development in key areas following people survey and pulse survey results</w:t>
            </w:r>
            <w:bookmarkEnd w:id="30"/>
          </w:p>
          <w:p w14:paraId="19610CDA" w14:textId="77777777" w:rsidR="00771DC0" w:rsidRPr="00771DC0" w:rsidRDefault="00771DC0" w:rsidP="00771DC0">
            <w:pPr>
              <w:pStyle w:val="Heading1"/>
              <w:numPr>
                <w:ilvl w:val="0"/>
                <w:numId w:val="0"/>
              </w:numPr>
              <w:rPr>
                <w:b w:val="0"/>
                <w:sz w:val="24"/>
                <w:lang w:eastAsia="en-GB"/>
              </w:rPr>
            </w:pPr>
          </w:p>
        </w:tc>
        <w:tc>
          <w:tcPr>
            <w:tcW w:w="2401" w:type="dxa"/>
            <w:vAlign w:val="center"/>
          </w:tcPr>
          <w:p w14:paraId="3B36C83C" w14:textId="0C2B91AD" w:rsidR="00771DC0" w:rsidRPr="00771DC0" w:rsidRDefault="00771DC0" w:rsidP="00771DC0">
            <w:pPr>
              <w:pStyle w:val="Heading1"/>
              <w:numPr>
                <w:ilvl w:val="0"/>
                <w:numId w:val="0"/>
              </w:numPr>
              <w:rPr>
                <w:b w:val="0"/>
                <w:sz w:val="24"/>
                <w:lang w:eastAsia="en-GB"/>
              </w:rPr>
            </w:pPr>
            <w:bookmarkStart w:id="31" w:name="_Toc140826675"/>
            <w:r w:rsidRPr="00771DC0">
              <w:rPr>
                <w:b w:val="0"/>
                <w:caps w:val="0"/>
                <w:sz w:val="24"/>
                <w:lang w:eastAsia="en-GB"/>
              </w:rPr>
              <w:t>Post the release of the 2023 and 2024 people survey results (yearly) and pulse survey results (quarterly)</w:t>
            </w:r>
            <w:bookmarkEnd w:id="31"/>
            <w:r w:rsidRPr="00771DC0">
              <w:rPr>
                <w:b w:val="0"/>
                <w:caps w:val="0"/>
                <w:sz w:val="24"/>
                <w:lang w:eastAsia="en-GB"/>
              </w:rPr>
              <w:t xml:space="preserve"> </w:t>
            </w:r>
          </w:p>
        </w:tc>
      </w:tr>
    </w:tbl>
    <w:p w14:paraId="4510B187" w14:textId="77777777" w:rsidR="00771DC0" w:rsidRPr="001A45DF" w:rsidRDefault="00771DC0" w:rsidP="00771DC0">
      <w:pPr>
        <w:pStyle w:val="Heading2"/>
        <w:numPr>
          <w:ilvl w:val="0"/>
          <w:numId w:val="0"/>
        </w:numPr>
        <w:tabs>
          <w:tab w:val="num" w:pos="862"/>
        </w:tabs>
        <w:overflowPunct w:val="0"/>
        <w:autoSpaceDE w:val="0"/>
        <w:autoSpaceDN w:val="0"/>
        <w:spacing w:after="120"/>
        <w:ind w:left="709"/>
        <w:textAlignment w:val="baseline"/>
        <w:rPr>
          <w:rFonts w:cs="Arial"/>
          <w:sz w:val="24"/>
          <w:szCs w:val="24"/>
        </w:rPr>
      </w:pPr>
    </w:p>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32"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3"/>
      <w:bookmarkStart w:id="34" w:name="_Toc140826676"/>
      <w:r w:rsidRPr="001A45DF">
        <w:rPr>
          <w:rFonts w:cs="Arial"/>
          <w:sz w:val="32"/>
          <w:szCs w:val="32"/>
        </w:rPr>
        <w:t>MANAGEMENT INFORMATION/</w:t>
      </w:r>
      <w:r w:rsidR="00FE18AC" w:rsidRPr="001A45DF">
        <w:rPr>
          <w:rFonts w:cs="Arial"/>
          <w:sz w:val="32"/>
          <w:szCs w:val="32"/>
        </w:rPr>
        <w:t>reporting</w:t>
      </w:r>
      <w:bookmarkEnd w:id="33"/>
      <w:bookmarkEnd w:id="34"/>
    </w:p>
    <w:p w14:paraId="17838BB2" w14:textId="1EE657DA" w:rsidR="00771DC0" w:rsidRPr="00771DC0" w:rsidRDefault="00771DC0" w:rsidP="00771DC0">
      <w:pPr>
        <w:pStyle w:val="Heading2"/>
        <w:rPr>
          <w:rFonts w:eastAsia="SimSun"/>
          <w:sz w:val="24"/>
          <w:szCs w:val="24"/>
          <w:highlight w:val="white"/>
        </w:rPr>
      </w:pPr>
      <w:bookmarkStart w:id="35" w:name="_Toc368573034"/>
      <w:bookmarkStart w:id="36" w:name="_Toc522714842"/>
      <w:r w:rsidRPr="00771DC0">
        <w:rPr>
          <w:rFonts w:eastAsia="SimSun"/>
          <w:sz w:val="24"/>
          <w:szCs w:val="24"/>
          <w:highlight w:val="white"/>
        </w:rPr>
        <w:t>To provide data on the attendance of the workshop and collect feedback from the attendees which should be shared with the Cabinet Office People and Places team within 1 week of the workshop</w:t>
      </w:r>
      <w:r>
        <w:rPr>
          <w:rFonts w:eastAsia="SimSun"/>
          <w:sz w:val="24"/>
          <w:szCs w:val="24"/>
          <w:highlight w:val="white"/>
        </w:rPr>
        <w:t>.</w:t>
      </w:r>
      <w:r w:rsidRPr="00771DC0">
        <w:rPr>
          <w:rFonts w:eastAsia="SimSun"/>
          <w:sz w:val="24"/>
          <w:szCs w:val="24"/>
          <w:highlight w:val="white"/>
        </w:rPr>
        <w:t xml:space="preserve"> </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368573035"/>
      <w:bookmarkStart w:id="38" w:name="_Toc140826677"/>
      <w:bookmarkEnd w:id="35"/>
      <w:bookmarkEnd w:id="36"/>
      <w:r w:rsidRPr="001A45DF">
        <w:rPr>
          <w:rFonts w:cs="Arial"/>
          <w:sz w:val="32"/>
          <w:szCs w:val="32"/>
        </w:rPr>
        <w:t>continuous improvement</w:t>
      </w:r>
      <w:bookmarkEnd w:id="37"/>
      <w:bookmarkEnd w:id="38"/>
    </w:p>
    <w:p w14:paraId="73ED8F03" w14:textId="16BD45CD"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7B944B64" w14:textId="6B456C52" w:rsidR="00671798" w:rsidRPr="00771DC0" w:rsidRDefault="00FE18AC">
      <w:pPr>
        <w:pStyle w:val="Heading2"/>
        <w:tabs>
          <w:tab w:val="clear" w:pos="720"/>
          <w:tab w:val="num" w:pos="709"/>
        </w:tabs>
        <w:spacing w:after="120"/>
        <w:ind w:left="709" w:hanging="709"/>
        <w:rPr>
          <w:rFonts w:eastAsia="SimSun"/>
          <w:sz w:val="24"/>
          <w:szCs w:val="24"/>
          <w:highlight w:val="white"/>
        </w:rPr>
      </w:pPr>
      <w:r w:rsidRPr="001A45DF">
        <w:rPr>
          <w:sz w:val="24"/>
          <w:szCs w:val="24"/>
        </w:rPr>
        <w:t xml:space="preserve">The </w:t>
      </w:r>
      <w:r w:rsidR="003047E0" w:rsidRPr="001A45DF">
        <w:rPr>
          <w:sz w:val="24"/>
          <w:szCs w:val="24"/>
        </w:rPr>
        <w:t>S</w:t>
      </w:r>
      <w:r w:rsidR="003047E0" w:rsidRPr="00771DC0">
        <w:rPr>
          <w:rFonts w:eastAsia="SimSun"/>
          <w:sz w:val="24"/>
          <w:szCs w:val="24"/>
          <w:highlight w:val="white"/>
        </w:rPr>
        <w:t>upplier</w:t>
      </w:r>
      <w:r w:rsidRPr="00771DC0">
        <w:rPr>
          <w:rFonts w:eastAsia="SimSun"/>
          <w:sz w:val="24"/>
          <w:szCs w:val="24"/>
          <w:highlight w:val="white"/>
        </w:rPr>
        <w:t xml:space="preserve"> should present new ways of working to the </w:t>
      </w:r>
      <w:r w:rsidR="006B38F6" w:rsidRPr="00771DC0">
        <w:rPr>
          <w:rFonts w:eastAsia="SimSun"/>
          <w:sz w:val="24"/>
          <w:szCs w:val="24"/>
          <w:highlight w:val="white"/>
        </w:rPr>
        <w:t xml:space="preserve">Buyer </w:t>
      </w:r>
      <w:r w:rsidRPr="00771DC0">
        <w:rPr>
          <w:rFonts w:eastAsia="SimSun"/>
          <w:sz w:val="24"/>
          <w:szCs w:val="24"/>
          <w:highlight w:val="white"/>
        </w:rPr>
        <w:t xml:space="preserve">during </w:t>
      </w:r>
      <w:r w:rsidR="004D22DF" w:rsidRPr="00771DC0">
        <w:rPr>
          <w:rFonts w:eastAsia="SimSun"/>
          <w:sz w:val="24"/>
          <w:szCs w:val="24"/>
          <w:highlight w:val="white"/>
        </w:rPr>
        <w:t>monthly</w:t>
      </w:r>
      <w:r w:rsidR="00771DC0" w:rsidRPr="00771DC0">
        <w:rPr>
          <w:rFonts w:eastAsia="SimSun"/>
          <w:sz w:val="24"/>
          <w:szCs w:val="24"/>
          <w:highlight w:val="white"/>
        </w:rPr>
        <w:t xml:space="preserve"> Contract</w:t>
      </w:r>
      <w:r w:rsidRPr="00771DC0">
        <w:rPr>
          <w:rFonts w:eastAsia="SimSun"/>
          <w:sz w:val="24"/>
          <w:szCs w:val="24"/>
          <w:highlight w:val="white"/>
        </w:rPr>
        <w:t xml:space="preserve"> review meetings.</w:t>
      </w:r>
      <w:r w:rsidR="004D22DF" w:rsidRPr="00771DC0">
        <w:rPr>
          <w:rFonts w:eastAsia="SimSun"/>
          <w:sz w:val="24"/>
          <w:szCs w:val="24"/>
          <w:highlight w:val="white"/>
        </w:rPr>
        <w:t xml:space="preserve"> </w:t>
      </w:r>
    </w:p>
    <w:p w14:paraId="031D2B5A" w14:textId="4E6FD9F7"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Changes to the way in which the Services are to be delivered must be brought to the </w:t>
      </w:r>
      <w:r w:rsidR="006B38F6">
        <w:rPr>
          <w:sz w:val="24"/>
          <w:szCs w:val="24"/>
        </w:rPr>
        <w:t>Buyer</w:t>
      </w:r>
      <w:r w:rsidR="006B38F6" w:rsidRPr="001A45DF">
        <w:rPr>
          <w:sz w:val="24"/>
          <w:szCs w:val="24"/>
        </w:rPr>
        <w:t xml:space="preserve">’s </w:t>
      </w:r>
      <w:r w:rsidRPr="001A45DF">
        <w:rPr>
          <w:sz w:val="24"/>
          <w:szCs w:val="24"/>
        </w:rPr>
        <w:t>attention and agreed prior to any changes being implemented.</w:t>
      </w:r>
    </w:p>
    <w:p w14:paraId="7CC141C7" w14:textId="3806E783" w:rsidR="004E78BC" w:rsidRPr="001A45DF" w:rsidRDefault="004E78BC" w:rsidP="004E78BC">
      <w:pPr>
        <w:pStyle w:val="Heading1"/>
        <w:rPr>
          <w:sz w:val="32"/>
          <w:szCs w:val="32"/>
        </w:rPr>
      </w:pPr>
      <w:bookmarkStart w:id="39" w:name="_Toc140826678"/>
      <w:r w:rsidRPr="001A45DF">
        <w:rPr>
          <w:sz w:val="32"/>
          <w:szCs w:val="32"/>
        </w:rPr>
        <w:lastRenderedPageBreak/>
        <w:t>Sustainability</w:t>
      </w:r>
      <w:bookmarkEnd w:id="39"/>
    </w:p>
    <w:p w14:paraId="52A19D41" w14:textId="77777777" w:rsidR="00AF7E9B" w:rsidRDefault="00AF7E9B" w:rsidP="00AF7E9B">
      <w:pPr>
        <w:pStyle w:val="Heading2"/>
        <w:rPr>
          <w:sz w:val="24"/>
          <w:szCs w:val="24"/>
        </w:rPr>
      </w:pPr>
      <w:r w:rsidRPr="00D11CFD">
        <w:rPr>
          <w:sz w:val="24"/>
          <w:szCs w:val="24"/>
        </w:rPr>
        <w:t>The Supplier should consider environmental sustainability across all aspects of contract implementation and include examples of how they deliver sustainably and are working towards a ‘Net Zero’ target'</w:t>
      </w:r>
      <w:r>
        <w:rPr>
          <w:sz w:val="24"/>
          <w:szCs w:val="24"/>
        </w:rPr>
        <w:t>.</w:t>
      </w:r>
    </w:p>
    <w:p w14:paraId="1D1ABAD4" w14:textId="0C8FC673" w:rsidR="00AF7E9B" w:rsidRPr="00D11CFD" w:rsidRDefault="00AF7E9B" w:rsidP="00AF7E9B">
      <w:pPr>
        <w:pStyle w:val="Heading2"/>
        <w:rPr>
          <w:sz w:val="24"/>
          <w:szCs w:val="24"/>
        </w:rPr>
      </w:pPr>
      <w:r w:rsidRPr="00D11CFD">
        <w:rPr>
          <w:sz w:val="24"/>
          <w:szCs w:val="24"/>
        </w:rPr>
        <w:t xml:space="preserve">The Supplier will be expected to deliver social value under the theme of </w:t>
      </w:r>
      <w:r w:rsidR="00D11CFD" w:rsidRPr="00D11CFD">
        <w:rPr>
          <w:sz w:val="24"/>
          <w:szCs w:val="24"/>
        </w:rPr>
        <w:t>Tackling Inequality</w:t>
      </w:r>
      <w:r w:rsidRPr="00D11CFD">
        <w:rPr>
          <w:sz w:val="24"/>
          <w:szCs w:val="24"/>
        </w:rPr>
        <w:t xml:space="preserve"> in the Workforce, over and above the delivery of the Contract.</w:t>
      </w:r>
    </w:p>
    <w:p w14:paraId="257E264B" w14:textId="77777777" w:rsidR="00AF7E9B" w:rsidRDefault="00AF7E9B" w:rsidP="00AF7E9B">
      <w:pPr>
        <w:ind w:left="720"/>
        <w:rPr>
          <w:color w:val="222222"/>
          <w:highlight w:val="white"/>
        </w:rPr>
      </w:pPr>
    </w:p>
    <w:p w14:paraId="738FC576" w14:textId="7CFD52B8" w:rsidR="00AF7E9B" w:rsidRPr="00D11CFD" w:rsidRDefault="00AF7E9B" w:rsidP="00AF7E9B">
      <w:pPr>
        <w:pStyle w:val="Heading3"/>
        <w:rPr>
          <w:sz w:val="24"/>
          <w:szCs w:val="24"/>
        </w:rPr>
      </w:pPr>
      <w:r w:rsidRPr="00D11CFD">
        <w:rPr>
          <w:sz w:val="24"/>
          <w:szCs w:val="24"/>
        </w:rPr>
        <w:t xml:space="preserve">The supplier should consider the commitment your organisation makes to identify and tackle inequality in employment, skills and pay in the workforce.  Details should include but not be limited to how you implement and measure your commitment, how working conditions promote an inclusive working environment and provide retention and routes of progression. Consideration should also be given as to how you will influence staff, suppliers, customers and communities through the delivery of the contract to support this social value policy theme. </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0" w:name="_Toc368573037"/>
      <w:bookmarkStart w:id="41" w:name="_Toc140826679"/>
      <w:r w:rsidRPr="001A45DF">
        <w:rPr>
          <w:rFonts w:cs="Arial"/>
          <w:sz w:val="32"/>
          <w:szCs w:val="32"/>
        </w:rPr>
        <w:t>PRICE</w:t>
      </w:r>
      <w:bookmarkEnd w:id="40"/>
      <w:bookmarkEnd w:id="41"/>
    </w:p>
    <w:p w14:paraId="645D51EC" w14:textId="5EF00A98" w:rsidR="00671798"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4A3BE6" w:rsidRPr="009106C8">
        <w:rPr>
          <w:sz w:val="24"/>
          <w:szCs w:val="24"/>
        </w:rPr>
        <w:t xml:space="preserve"> 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39D36095" w14:textId="1E9C1B4F" w:rsidR="00673F5A" w:rsidRDefault="00673F5A">
      <w:pPr>
        <w:pStyle w:val="Heading2"/>
        <w:tabs>
          <w:tab w:val="clear" w:pos="720"/>
          <w:tab w:val="num" w:pos="709"/>
        </w:tabs>
        <w:spacing w:after="120"/>
        <w:ind w:left="709" w:hanging="709"/>
        <w:rPr>
          <w:sz w:val="24"/>
          <w:szCs w:val="24"/>
        </w:rPr>
      </w:pPr>
      <w:r>
        <w:rPr>
          <w:sz w:val="24"/>
          <w:szCs w:val="24"/>
        </w:rPr>
        <w:t>The prices submitted via Attachment 4 – Price Schedule are based on a scenario of 10 in person workshops and 10 virtual workshops.</w:t>
      </w:r>
    </w:p>
    <w:p w14:paraId="65D06BC1" w14:textId="08759490" w:rsidR="00673F5A" w:rsidRPr="00673F5A" w:rsidRDefault="00673F5A" w:rsidP="00673F5A">
      <w:pPr>
        <w:pStyle w:val="Heading3"/>
        <w:rPr>
          <w:sz w:val="24"/>
          <w:szCs w:val="24"/>
        </w:rPr>
      </w:pPr>
      <w:r w:rsidRPr="00673F5A">
        <w:rPr>
          <w:sz w:val="24"/>
          <w:szCs w:val="24"/>
        </w:rPr>
        <w:t>Please note, although these costs will be used for the Commercial evaluation, they will not reflect the firm cost for the requirement</w:t>
      </w:r>
      <w:r>
        <w:rPr>
          <w:sz w:val="24"/>
          <w:szCs w:val="24"/>
        </w:rPr>
        <w:t>.</w:t>
      </w:r>
    </w:p>
    <w:p w14:paraId="6B1CA851" w14:textId="3409BE8F"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2" w:name="_Toc368573038"/>
      <w:bookmarkStart w:id="43" w:name="_Toc140826680"/>
      <w:r w:rsidRPr="001A45DF">
        <w:rPr>
          <w:rFonts w:cs="Arial"/>
          <w:sz w:val="32"/>
          <w:szCs w:val="32"/>
        </w:rPr>
        <w:t xml:space="preserve">STAFF AND </w:t>
      </w:r>
      <w:r w:rsidR="006B38F6">
        <w:rPr>
          <w:rFonts w:cs="Arial"/>
          <w:sz w:val="32"/>
          <w:szCs w:val="32"/>
        </w:rPr>
        <w:t>BUYER</w:t>
      </w:r>
      <w:r w:rsidRPr="001A45DF">
        <w:rPr>
          <w:rFonts w:cs="Arial"/>
          <w:sz w:val="32"/>
          <w:szCs w:val="32"/>
        </w:rPr>
        <w:t xml:space="preserve"> SERVICE</w:t>
      </w:r>
      <w:bookmarkEnd w:id="42"/>
      <w:bookmarkEnd w:id="43"/>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2E150CD"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w:t>
      </w:r>
      <w:r w:rsidR="006B38F6">
        <w:rPr>
          <w:sz w:val="24"/>
          <w:szCs w:val="24"/>
        </w:rPr>
        <w:t>Buyer</w:t>
      </w:r>
      <w:r w:rsidR="006B38F6" w:rsidRPr="001A45DF">
        <w:rPr>
          <w:sz w:val="24"/>
          <w:szCs w:val="24"/>
        </w:rPr>
        <w:t xml:space="preserve">’s </w:t>
      </w:r>
      <w:r w:rsidR="00FE18AC" w:rsidRPr="001A45DF">
        <w:rPr>
          <w:sz w:val="24"/>
          <w:szCs w:val="24"/>
        </w:rPr>
        <w:t xml:space="preserve">vision and objectives and </w:t>
      </w:r>
      <w:r w:rsidR="00E63412" w:rsidRPr="001A45DF">
        <w:rPr>
          <w:sz w:val="24"/>
          <w:szCs w:val="24"/>
        </w:rPr>
        <w:t xml:space="preserve">will </w:t>
      </w:r>
      <w:r w:rsidR="00FE18AC" w:rsidRPr="001A45DF">
        <w:rPr>
          <w:sz w:val="24"/>
          <w:szCs w:val="24"/>
        </w:rPr>
        <w:t xml:space="preserve">provide excellent </w:t>
      </w:r>
      <w:r w:rsidR="006B38F6">
        <w:rPr>
          <w:sz w:val="24"/>
          <w:szCs w:val="24"/>
        </w:rPr>
        <w:t>Buyer</w:t>
      </w:r>
      <w:r w:rsidR="00FE18AC" w:rsidRPr="001A45DF">
        <w:rPr>
          <w:sz w:val="24"/>
          <w:szCs w:val="24"/>
        </w:rPr>
        <w:t xml:space="preserve"> service to the </w:t>
      </w:r>
      <w:r w:rsidR="006B38F6">
        <w:rPr>
          <w:sz w:val="24"/>
          <w:szCs w:val="24"/>
        </w:rPr>
        <w:t>Buyer</w:t>
      </w:r>
      <w:r w:rsidR="00FE18AC" w:rsidRPr="001A45DF">
        <w:rPr>
          <w:sz w:val="24"/>
          <w:szCs w:val="24"/>
        </w:rPr>
        <w:t xml:space="preserve">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4" w:name="_Toc368573039"/>
      <w:bookmarkStart w:id="45" w:name="_Toc140826681"/>
      <w:r w:rsidRPr="001A45DF">
        <w:rPr>
          <w:rFonts w:cs="Arial"/>
          <w:sz w:val="32"/>
          <w:szCs w:val="32"/>
        </w:rPr>
        <w:t>service levels and performance</w:t>
      </w:r>
      <w:bookmarkEnd w:id="44"/>
      <w:bookmarkEnd w:id="45"/>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65E93A82" w14:textId="03858130" w:rsidR="00671798" w:rsidRPr="001A45DF" w:rsidRDefault="00671798">
      <w:pPr>
        <w:pStyle w:val="Heading3"/>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63"/>
        <w:gridCol w:w="1764"/>
        <w:gridCol w:w="3749"/>
        <w:gridCol w:w="1623"/>
      </w:tblGrid>
      <w:tr w:rsidR="00B13763" w14:paraId="1D82B23D" w14:textId="77777777" w:rsidTr="00771DC0">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lastRenderedPageBreak/>
              <w:t>KPI/SLA</w:t>
            </w:r>
          </w:p>
        </w:tc>
        <w:tc>
          <w:tcPr>
            <w:tcW w:w="1764"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749"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623"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B13763" w14:paraId="136B0B88" w14:textId="77777777" w:rsidTr="00771DC0">
        <w:tc>
          <w:tcPr>
            <w:tcW w:w="1163" w:type="dxa"/>
          </w:tcPr>
          <w:p w14:paraId="39FC8AED" w14:textId="303CF9DF" w:rsidR="00B13763" w:rsidRPr="00771DC0" w:rsidRDefault="00B13763" w:rsidP="00B13763">
            <w:pPr>
              <w:pStyle w:val="Heading2"/>
              <w:numPr>
                <w:ilvl w:val="0"/>
                <w:numId w:val="0"/>
              </w:numPr>
              <w:jc w:val="center"/>
              <w:outlineLvl w:val="1"/>
              <w:rPr>
                <w:rFonts w:eastAsia="SimSun"/>
                <w:sz w:val="24"/>
                <w:szCs w:val="24"/>
                <w:highlight w:val="white"/>
              </w:rPr>
            </w:pPr>
            <w:r w:rsidRPr="00771DC0">
              <w:rPr>
                <w:rFonts w:eastAsia="SimSun"/>
                <w:sz w:val="24"/>
                <w:szCs w:val="24"/>
                <w:highlight w:val="white"/>
              </w:rPr>
              <w:t>1</w:t>
            </w:r>
          </w:p>
        </w:tc>
        <w:tc>
          <w:tcPr>
            <w:tcW w:w="1764" w:type="dxa"/>
          </w:tcPr>
          <w:p w14:paraId="286A8BDA" w14:textId="63244F14" w:rsidR="00B13763" w:rsidRPr="00771DC0" w:rsidRDefault="00771DC0" w:rsidP="00B13763">
            <w:pPr>
              <w:pStyle w:val="Heading2"/>
              <w:numPr>
                <w:ilvl w:val="0"/>
                <w:numId w:val="0"/>
              </w:numPr>
              <w:jc w:val="left"/>
              <w:outlineLvl w:val="1"/>
              <w:rPr>
                <w:rFonts w:eastAsia="SimSun"/>
                <w:sz w:val="24"/>
                <w:szCs w:val="24"/>
                <w:highlight w:val="white"/>
              </w:rPr>
            </w:pPr>
            <w:r w:rsidRPr="00771DC0">
              <w:rPr>
                <w:rFonts w:eastAsia="SimSun"/>
                <w:sz w:val="24"/>
                <w:szCs w:val="24"/>
                <w:highlight w:val="white"/>
              </w:rPr>
              <w:t>Management Support</w:t>
            </w:r>
          </w:p>
        </w:tc>
        <w:tc>
          <w:tcPr>
            <w:tcW w:w="3749" w:type="dxa"/>
          </w:tcPr>
          <w:p w14:paraId="1A83F74D" w14:textId="1E030AC9" w:rsidR="00B13763" w:rsidRPr="00771DC0" w:rsidRDefault="00771DC0" w:rsidP="00B13763">
            <w:pPr>
              <w:pStyle w:val="Heading2"/>
              <w:numPr>
                <w:ilvl w:val="0"/>
                <w:numId w:val="0"/>
              </w:numPr>
              <w:jc w:val="left"/>
              <w:outlineLvl w:val="1"/>
              <w:rPr>
                <w:rFonts w:eastAsia="SimSun"/>
                <w:sz w:val="24"/>
                <w:szCs w:val="24"/>
                <w:highlight w:val="white"/>
              </w:rPr>
            </w:pPr>
            <w:r w:rsidRPr="00771DC0">
              <w:rPr>
                <w:rFonts w:eastAsia="SimSun"/>
                <w:sz w:val="24"/>
                <w:szCs w:val="24"/>
                <w:highlight w:val="white"/>
              </w:rPr>
              <w:t xml:space="preserve"> Provide support to the client </w:t>
            </w:r>
            <w:proofErr w:type="gramStart"/>
            <w:r w:rsidRPr="00771DC0">
              <w:rPr>
                <w:rFonts w:eastAsia="SimSun"/>
                <w:sz w:val="24"/>
                <w:szCs w:val="24"/>
                <w:highlight w:val="white"/>
              </w:rPr>
              <w:t>within  24</w:t>
            </w:r>
            <w:proofErr w:type="gramEnd"/>
            <w:r w:rsidRPr="00771DC0">
              <w:rPr>
                <w:rFonts w:eastAsia="SimSun"/>
                <w:sz w:val="24"/>
                <w:szCs w:val="24"/>
                <w:highlight w:val="white"/>
              </w:rPr>
              <w:t xml:space="preserve"> hours (unless urgent) from Monday-Friday not including public holidays. This includes support with communications, updating information, MI reviews and general queries.</w:t>
            </w:r>
          </w:p>
        </w:tc>
        <w:tc>
          <w:tcPr>
            <w:tcW w:w="1623" w:type="dxa"/>
          </w:tcPr>
          <w:p w14:paraId="53B2F4ED" w14:textId="78D46440" w:rsidR="00B13763" w:rsidRPr="00771DC0" w:rsidRDefault="00771DC0" w:rsidP="00B13763">
            <w:pPr>
              <w:pStyle w:val="Heading2"/>
              <w:numPr>
                <w:ilvl w:val="0"/>
                <w:numId w:val="0"/>
              </w:numPr>
              <w:outlineLvl w:val="1"/>
              <w:rPr>
                <w:rFonts w:eastAsia="SimSun"/>
                <w:sz w:val="24"/>
                <w:szCs w:val="24"/>
                <w:highlight w:val="white"/>
              </w:rPr>
            </w:pPr>
            <w:r w:rsidRPr="00771DC0">
              <w:rPr>
                <w:rFonts w:eastAsia="SimSun"/>
                <w:sz w:val="24"/>
                <w:szCs w:val="24"/>
                <w:highlight w:val="white"/>
              </w:rPr>
              <w:t>100%</w:t>
            </w:r>
          </w:p>
        </w:tc>
      </w:tr>
      <w:tr w:rsidR="00B13763" w14:paraId="611A7437" w14:textId="77777777" w:rsidTr="00771DC0">
        <w:tc>
          <w:tcPr>
            <w:tcW w:w="1163" w:type="dxa"/>
          </w:tcPr>
          <w:p w14:paraId="0CA6154F" w14:textId="2E4A9E81" w:rsidR="00B13763" w:rsidRPr="00771DC0" w:rsidRDefault="00B13763" w:rsidP="00B13763">
            <w:pPr>
              <w:pStyle w:val="Heading2"/>
              <w:numPr>
                <w:ilvl w:val="0"/>
                <w:numId w:val="0"/>
              </w:numPr>
              <w:jc w:val="center"/>
              <w:outlineLvl w:val="1"/>
              <w:rPr>
                <w:rFonts w:eastAsia="SimSun"/>
                <w:sz w:val="24"/>
                <w:szCs w:val="24"/>
                <w:highlight w:val="white"/>
              </w:rPr>
            </w:pPr>
            <w:r w:rsidRPr="00771DC0">
              <w:rPr>
                <w:rFonts w:eastAsia="SimSun"/>
                <w:sz w:val="24"/>
                <w:szCs w:val="24"/>
                <w:highlight w:val="white"/>
              </w:rPr>
              <w:t>2</w:t>
            </w:r>
          </w:p>
        </w:tc>
        <w:tc>
          <w:tcPr>
            <w:tcW w:w="1764" w:type="dxa"/>
          </w:tcPr>
          <w:p w14:paraId="5A8C3451" w14:textId="7A941D4E" w:rsidR="00B13763" w:rsidRPr="00771DC0" w:rsidRDefault="00771DC0" w:rsidP="00771DC0">
            <w:pPr>
              <w:pStyle w:val="Heading2"/>
              <w:numPr>
                <w:ilvl w:val="0"/>
                <w:numId w:val="0"/>
              </w:numPr>
              <w:jc w:val="left"/>
              <w:outlineLvl w:val="1"/>
              <w:rPr>
                <w:rFonts w:eastAsia="SimSun"/>
                <w:sz w:val="24"/>
                <w:szCs w:val="24"/>
                <w:highlight w:val="white"/>
              </w:rPr>
            </w:pPr>
            <w:r w:rsidRPr="00771DC0">
              <w:rPr>
                <w:rFonts w:eastAsia="SimSun"/>
                <w:sz w:val="24"/>
                <w:szCs w:val="24"/>
                <w:highlight w:val="white"/>
              </w:rPr>
              <w:t>Users</w:t>
            </w:r>
          </w:p>
        </w:tc>
        <w:tc>
          <w:tcPr>
            <w:tcW w:w="3749" w:type="dxa"/>
          </w:tcPr>
          <w:p w14:paraId="4FBFDF3E" w14:textId="6A3A8196" w:rsidR="00B13763" w:rsidRPr="00771DC0" w:rsidRDefault="00771DC0" w:rsidP="00B13763">
            <w:pPr>
              <w:pStyle w:val="Heading2"/>
              <w:numPr>
                <w:ilvl w:val="0"/>
                <w:numId w:val="0"/>
              </w:numPr>
              <w:outlineLvl w:val="1"/>
              <w:rPr>
                <w:rFonts w:eastAsia="SimSun"/>
                <w:sz w:val="24"/>
                <w:szCs w:val="24"/>
                <w:highlight w:val="white"/>
              </w:rPr>
            </w:pPr>
            <w:r w:rsidRPr="00771DC0">
              <w:rPr>
                <w:rFonts w:eastAsia="SimSun"/>
                <w:sz w:val="24"/>
                <w:szCs w:val="24"/>
                <w:highlight w:val="white"/>
              </w:rPr>
              <w:t>The provider will be monitored against feedback provided by users. The provider should update and improve the service in relation to the feedback received. The percentages for this are to be agreed as part of the contract.</w:t>
            </w:r>
          </w:p>
        </w:tc>
        <w:tc>
          <w:tcPr>
            <w:tcW w:w="1623" w:type="dxa"/>
          </w:tcPr>
          <w:p w14:paraId="0EE422DF" w14:textId="1E65BD32" w:rsidR="00B13763" w:rsidRPr="001A45DF" w:rsidRDefault="00771DC0" w:rsidP="00B13763">
            <w:pPr>
              <w:pStyle w:val="Heading2"/>
              <w:numPr>
                <w:ilvl w:val="0"/>
                <w:numId w:val="0"/>
              </w:numPr>
              <w:outlineLvl w:val="1"/>
              <w:rPr>
                <w:sz w:val="24"/>
                <w:szCs w:val="24"/>
              </w:rPr>
            </w:pPr>
            <w:r>
              <w:rPr>
                <w:sz w:val="24"/>
                <w:szCs w:val="24"/>
              </w:rPr>
              <w:t>100%</w:t>
            </w:r>
          </w:p>
        </w:tc>
      </w:tr>
    </w:tbl>
    <w:p w14:paraId="2E373C90" w14:textId="77777777" w:rsidR="003F626A" w:rsidRDefault="003F626A" w:rsidP="003F626A">
      <w:pPr>
        <w:pStyle w:val="Heading2"/>
        <w:numPr>
          <w:ilvl w:val="0"/>
          <w:numId w:val="0"/>
        </w:numPr>
        <w:ind w:left="720"/>
      </w:pPr>
    </w:p>
    <w:p w14:paraId="3F767EF8" w14:textId="4017DE03" w:rsidR="00671798" w:rsidRDefault="00FE18AC">
      <w:pPr>
        <w:pStyle w:val="Heading1"/>
        <w:spacing w:after="120"/>
        <w:rPr>
          <w:sz w:val="32"/>
          <w:szCs w:val="32"/>
        </w:rPr>
      </w:pPr>
      <w:bookmarkStart w:id="46" w:name="_Toc368573040"/>
      <w:bookmarkStart w:id="47" w:name="_Toc140826682"/>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46"/>
      <w:bookmarkEnd w:id="47"/>
    </w:p>
    <w:p w14:paraId="6EACF16E" w14:textId="1AF79553" w:rsidR="00771DC0" w:rsidRPr="00771DC0" w:rsidRDefault="00771DC0" w:rsidP="00771DC0">
      <w:pPr>
        <w:pStyle w:val="Heading2"/>
        <w:rPr>
          <w:rFonts w:eastAsia="SimSun"/>
          <w:sz w:val="24"/>
          <w:szCs w:val="24"/>
          <w:highlight w:val="white"/>
        </w:rPr>
      </w:pPr>
      <w:r w:rsidRPr="00771DC0">
        <w:rPr>
          <w:rFonts w:eastAsia="SimSun"/>
          <w:sz w:val="24"/>
          <w:szCs w:val="24"/>
          <w:highlight w:val="white"/>
        </w:rPr>
        <w:t>The CO’s security / data security requirements are found at: www.gov.uk/government/publications/security-policy-framework/hmg-security-policy-framework</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8" w:name="_Toc140826683"/>
      <w:bookmarkStart w:id="49" w:name="_Toc368573042"/>
      <w:r w:rsidRPr="001A45DF">
        <w:rPr>
          <w:rFonts w:cs="Arial"/>
          <w:sz w:val="32"/>
          <w:szCs w:val="32"/>
        </w:rPr>
        <w:t>payment</w:t>
      </w:r>
      <w:r w:rsidR="00ED2129" w:rsidRPr="001A45DF">
        <w:rPr>
          <w:rFonts w:cs="Arial"/>
          <w:sz w:val="32"/>
          <w:szCs w:val="32"/>
        </w:rPr>
        <w:t xml:space="preserve"> AND INVOICING</w:t>
      </w:r>
      <w:bookmarkEnd w:id="48"/>
      <w:r w:rsidR="00ED2129" w:rsidRPr="001A45DF">
        <w:rPr>
          <w:rFonts w:cs="Arial"/>
          <w:sz w:val="32"/>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702DDCB8" w:rsidR="00ED2129" w:rsidRPr="001A45DF" w:rsidRDefault="00ED2129" w:rsidP="0081061A">
      <w:pPr>
        <w:pStyle w:val="Heading2"/>
        <w:rPr>
          <w:sz w:val="24"/>
          <w:szCs w:val="24"/>
        </w:rPr>
      </w:pPr>
      <w:r w:rsidRPr="001A45DF">
        <w:rPr>
          <w:rFonts w:cs="Arial"/>
          <w:color w:val="000000"/>
          <w:sz w:val="24"/>
          <w:szCs w:val="24"/>
          <w:shd w:val="clear" w:color="auto" w:fill="FFFFFF"/>
        </w:rPr>
        <w:t>Invoices should be submitted to</w:t>
      </w:r>
      <w:r w:rsidR="00771DC0">
        <w:rPr>
          <w:rFonts w:cs="Arial"/>
          <w:color w:val="000000"/>
          <w:sz w:val="24"/>
          <w:szCs w:val="24"/>
          <w:shd w:val="clear" w:color="auto" w:fill="FFFFFF"/>
        </w:rPr>
        <w:t xml:space="preserve"> the People and Places team with the relevant Purchase Order Number stated on the Purchase Order.</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0" w:name="_Toc140826684"/>
      <w:bookmarkEnd w:id="49"/>
      <w:r w:rsidRPr="001A45DF">
        <w:rPr>
          <w:rFonts w:cs="Arial"/>
          <w:sz w:val="32"/>
          <w:szCs w:val="32"/>
        </w:rPr>
        <w:t>CONTRACT MANAGEMENT</w:t>
      </w:r>
      <w:bookmarkEnd w:id="50"/>
      <w:r w:rsidR="00FE18AC" w:rsidRPr="001A45DF">
        <w:rPr>
          <w:rFonts w:cs="Arial"/>
          <w:sz w:val="32"/>
          <w:szCs w:val="32"/>
        </w:rPr>
        <w:t xml:space="preserve"> </w:t>
      </w:r>
    </w:p>
    <w:p w14:paraId="74768698" w14:textId="3EE79F38" w:rsidR="00BE5FEF" w:rsidRPr="00771DC0" w:rsidRDefault="00771DC0" w:rsidP="00E24EE7">
      <w:pPr>
        <w:pStyle w:val="Heading2"/>
        <w:rPr>
          <w:rFonts w:eastAsia="SimSun"/>
          <w:sz w:val="24"/>
          <w:szCs w:val="24"/>
          <w:highlight w:val="white"/>
        </w:rPr>
      </w:pPr>
      <w:r w:rsidRPr="00771DC0">
        <w:rPr>
          <w:rFonts w:eastAsia="SimSun"/>
          <w:sz w:val="24"/>
          <w:szCs w:val="24"/>
          <w:highlight w:val="white"/>
        </w:rPr>
        <w:t>We will hold informal monthly meetings (in person or via the telephone) to discuss upcoming priorities and bespoke work, future campaigns, communications, and usage of the workshops. Formal Quarterly contract review meetings will also be held.</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12DE1B47" w14:textId="77777777" w:rsidR="00771DC0" w:rsidRDefault="00FE18AC" w:rsidP="00771DC0">
      <w:pPr>
        <w:pStyle w:val="Heading1"/>
        <w:spacing w:after="120"/>
        <w:rPr>
          <w:sz w:val="32"/>
          <w:szCs w:val="32"/>
        </w:rPr>
      </w:pPr>
      <w:bookmarkStart w:id="51" w:name="_Toc368573043"/>
      <w:bookmarkStart w:id="52" w:name="_Toc140826685"/>
      <w:bookmarkEnd w:id="32"/>
      <w:r w:rsidRPr="009106C8">
        <w:rPr>
          <w:sz w:val="32"/>
          <w:szCs w:val="32"/>
        </w:rPr>
        <w:lastRenderedPageBreak/>
        <w:t>Location</w:t>
      </w:r>
      <w:bookmarkEnd w:id="51"/>
      <w:bookmarkEnd w:id="52"/>
    </w:p>
    <w:p w14:paraId="01C9AEC4" w14:textId="7AD695AA" w:rsidR="002F7AA1" w:rsidRPr="00771DC0" w:rsidRDefault="00771DC0" w:rsidP="00771DC0">
      <w:pPr>
        <w:pStyle w:val="Heading2"/>
        <w:rPr>
          <w:rFonts w:eastAsia="SimSun"/>
          <w:sz w:val="24"/>
          <w:szCs w:val="24"/>
          <w:highlight w:val="white"/>
        </w:rPr>
      </w:pPr>
      <w:r w:rsidRPr="00771DC0">
        <w:rPr>
          <w:rFonts w:eastAsia="SimSun"/>
          <w:sz w:val="24"/>
          <w:szCs w:val="24"/>
          <w:highlight w:val="white"/>
        </w:rPr>
        <w:t xml:space="preserve">Meetings between the provider and the Authority will take place virtually or at </w:t>
      </w:r>
      <w:r w:rsidR="00914D26">
        <w:rPr>
          <w:rFonts w:cs="Arial"/>
          <w:b/>
          <w:bCs/>
          <w:color w:val="FF0000"/>
          <w:szCs w:val="22"/>
        </w:rPr>
        <w:t>REDACTED TEXT under FOIA Section 40, Personal Information</w:t>
      </w:r>
      <w:r w:rsidR="00914D26">
        <w:rPr>
          <w:rFonts w:cs="Arial"/>
          <w:color w:val="0B0C0C"/>
          <w:szCs w:val="22"/>
        </w:rPr>
        <w:t>.</w:t>
      </w:r>
      <w:bookmarkStart w:id="53" w:name="_GoBack"/>
      <w:bookmarkEnd w:id="53"/>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A9C09" w14:textId="77777777" w:rsidR="003F0226" w:rsidRDefault="003F0226">
      <w:pPr>
        <w:spacing w:line="20" w:lineRule="exact"/>
      </w:pPr>
    </w:p>
  </w:endnote>
  <w:endnote w:type="continuationSeparator" w:id="0">
    <w:p w14:paraId="5E951CAF" w14:textId="77777777" w:rsidR="003F0226" w:rsidRDefault="003F0226">
      <w:pPr>
        <w:spacing w:line="20" w:lineRule="exact"/>
      </w:pPr>
      <w:r>
        <w:t xml:space="preserve"> </w:t>
      </w:r>
    </w:p>
  </w:endnote>
  <w:endnote w:type="continuationNotice" w:id="1">
    <w:p w14:paraId="01B19941" w14:textId="77777777" w:rsidR="003F0226" w:rsidRDefault="003F022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6F724001" w14:textId="00EEE1B8" w:rsidR="000B5A25"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Bid pack for</w:t>
        </w:r>
        <w:r w:rsidR="00D11CFD">
          <w:rPr>
            <w:sz w:val="20"/>
            <w:szCs w:val="20"/>
          </w:rPr>
          <w:t xml:space="preserve"> Provision of Bespoke Workshop Provider</w:t>
        </w:r>
        <w:r w:rsidRPr="00B76BB3">
          <w:rPr>
            <w:sz w:val="20"/>
            <w:szCs w:val="20"/>
          </w:rPr>
          <w:t xml:space="preserve"> </w:t>
        </w:r>
      </w:p>
      <w:p w14:paraId="475E2209" w14:textId="3849119F"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w:t>
        </w:r>
        <w:r w:rsidR="00D11CFD">
          <w:rPr>
            <w:sz w:val="20"/>
            <w:szCs w:val="20"/>
          </w:rPr>
          <w:t xml:space="preserve"> CCDE23A10          </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CE5422">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CE5422">
          <w:rPr>
            <w:noProof/>
            <w:sz w:val="20"/>
            <w:szCs w:val="20"/>
          </w:rPr>
          <w:t>1</w:t>
        </w:r>
        <w:r>
          <w:rPr>
            <w:sz w:val="20"/>
            <w:szCs w:val="20"/>
          </w:rPr>
          <w:fldChar w:fldCharType="end"/>
        </w:r>
        <w:r>
          <w:rPr>
            <w:sz w:val="20"/>
            <w:szCs w:val="20"/>
          </w:rPr>
          <w:t xml:space="preserve"> </w:t>
        </w:r>
      </w:p>
      <w:p w14:paraId="014C7B5B" w14:textId="5CBB29EE" w:rsidR="00B574FD" w:rsidRDefault="00D11C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25/07/2023</w:t>
        </w:r>
      </w:p>
      <w:p w14:paraId="42D6E6E6" w14:textId="2FFA817F" w:rsidR="00C52C2C" w:rsidRPr="00985B4D" w:rsidRDefault="00B574FD" w:rsidP="00B574FD">
        <w:pPr>
          <w:pStyle w:val="Footer"/>
          <w:rPr>
            <w:sz w:val="20"/>
            <w:szCs w:val="20"/>
          </w:rPr>
        </w:pPr>
        <w:r>
          <w:rPr>
            <w:sz w:val="20"/>
            <w:szCs w:val="20"/>
          </w:rPr>
          <w:t>© Crown Copyright 20</w:t>
        </w:r>
        <w:r w:rsidR="000B5A25">
          <w:rPr>
            <w:sz w:val="20"/>
            <w:szCs w:val="20"/>
          </w:rPr>
          <w:t>2</w:t>
        </w:r>
        <w:r w:rsidR="006B38F6">
          <w:rPr>
            <w:sz w:val="20"/>
            <w:szCs w:val="20"/>
          </w:rPr>
          <w:t>3</w:t>
        </w:r>
        <w:r>
          <w:rPr>
            <w:sz w:val="20"/>
            <w:szCs w:val="20"/>
          </w:rPr>
          <w:tab/>
        </w:r>
      </w:p>
      <w:p w14:paraId="5214230D" w14:textId="0A7ED596" w:rsidR="00C52C2C" w:rsidRDefault="003F0226" w:rsidP="00985B4D">
        <w:pPr>
          <w:pStyle w:val="Footer"/>
          <w:jc w:val="center"/>
        </w:pP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F92C" w14:textId="77777777" w:rsidR="003F0226" w:rsidRDefault="003F0226">
      <w:r>
        <w:separator/>
      </w:r>
    </w:p>
  </w:footnote>
  <w:footnote w:type="continuationSeparator" w:id="0">
    <w:p w14:paraId="3E015156" w14:textId="77777777" w:rsidR="003F0226" w:rsidRDefault="003F0226">
      <w:r>
        <w:continuationSeparator/>
      </w:r>
    </w:p>
  </w:footnote>
  <w:footnote w:type="continuationNotice" w:id="1">
    <w:p w14:paraId="59FA3412" w14:textId="77777777" w:rsidR="003F0226" w:rsidRDefault="003F0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1C383A"/>
    <w:multiLevelType w:val="hybridMultilevel"/>
    <w:tmpl w:val="8C28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65481"/>
    <w:multiLevelType w:val="multilevel"/>
    <w:tmpl w:val="1EFC0EB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497ED5"/>
    <w:multiLevelType w:val="multilevel"/>
    <w:tmpl w:val="23F4D0F0"/>
    <w:lvl w:ilvl="0">
      <w:start w:val="1"/>
      <w:numFmt w:val="bullet"/>
      <w:lvlText w:val="●"/>
      <w:lvlJc w:val="left"/>
      <w:pPr>
        <w:ind w:left="720" w:hanging="360"/>
      </w:pPr>
      <w:rPr>
        <w:rFonts w:ascii="Arial" w:eastAsia="Arial" w:hAnsi="Arial" w:cs="Arial"/>
        <w:color w:val="0B0C0C"/>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6914355"/>
    <w:multiLevelType w:val="multilevel"/>
    <w:tmpl w:val="A172FC30"/>
    <w:lvl w:ilvl="0">
      <w:start w:val="2"/>
      <w:numFmt w:val="decimal"/>
      <w:lvlText w:val="%1."/>
      <w:lvlJc w:val="right"/>
      <w:pPr>
        <w:ind w:left="643" w:hanging="360"/>
      </w:pPr>
      <w:rPr>
        <w:rFonts w:hint="default"/>
        <w:u w:val="none"/>
      </w:rPr>
    </w:lvl>
    <w:lvl w:ilvl="1">
      <w:start w:val="1"/>
      <w:numFmt w:val="decimal"/>
      <w:lvlText w:val="%1.%2."/>
      <w:lvlJc w:val="right"/>
      <w:pPr>
        <w:ind w:left="927" w:hanging="360"/>
      </w:pPr>
      <w:rPr>
        <w:rFonts w:hint="default"/>
        <w:b w:val="0"/>
        <w:sz w:val="24"/>
        <w:szCs w:val="24"/>
        <w:u w:val="none"/>
      </w:rPr>
    </w:lvl>
    <w:lvl w:ilvl="2">
      <w:start w:val="1"/>
      <w:numFmt w:val="decimal"/>
      <w:lvlText w:val="%1.%2.%3."/>
      <w:lvlJc w:val="right"/>
      <w:pPr>
        <w:ind w:left="2083" w:hanging="360"/>
      </w:pPr>
      <w:rPr>
        <w:rFonts w:hint="default"/>
        <w:u w:val="none"/>
      </w:rPr>
    </w:lvl>
    <w:lvl w:ilvl="3">
      <w:start w:val="1"/>
      <w:numFmt w:val="decimal"/>
      <w:lvlText w:val="%1.%2.%3.%4."/>
      <w:lvlJc w:val="right"/>
      <w:pPr>
        <w:ind w:left="2803" w:hanging="360"/>
      </w:pPr>
      <w:rPr>
        <w:rFonts w:hint="default"/>
        <w:u w:val="none"/>
      </w:rPr>
    </w:lvl>
    <w:lvl w:ilvl="4">
      <w:start w:val="1"/>
      <w:numFmt w:val="decimal"/>
      <w:lvlText w:val="%1.%2.%3.%4.%5."/>
      <w:lvlJc w:val="right"/>
      <w:pPr>
        <w:ind w:left="3523" w:hanging="360"/>
      </w:pPr>
      <w:rPr>
        <w:rFonts w:hint="default"/>
        <w:u w:val="none"/>
      </w:rPr>
    </w:lvl>
    <w:lvl w:ilvl="5">
      <w:start w:val="1"/>
      <w:numFmt w:val="decimal"/>
      <w:lvlText w:val="%1.%2.%3.%4.%5.%6."/>
      <w:lvlJc w:val="right"/>
      <w:pPr>
        <w:ind w:left="4243" w:hanging="360"/>
      </w:pPr>
      <w:rPr>
        <w:rFonts w:hint="default"/>
        <w:u w:val="none"/>
      </w:rPr>
    </w:lvl>
    <w:lvl w:ilvl="6">
      <w:start w:val="1"/>
      <w:numFmt w:val="decimal"/>
      <w:lvlText w:val="%1.%2.%3.%4.%5.%6.%7."/>
      <w:lvlJc w:val="right"/>
      <w:pPr>
        <w:ind w:left="4963" w:hanging="360"/>
      </w:pPr>
      <w:rPr>
        <w:rFonts w:hint="default"/>
        <w:u w:val="none"/>
      </w:rPr>
    </w:lvl>
    <w:lvl w:ilvl="7">
      <w:start w:val="1"/>
      <w:numFmt w:val="decimal"/>
      <w:lvlText w:val="%1.%2.%3.%4.%5.%6.%7.%8."/>
      <w:lvlJc w:val="right"/>
      <w:pPr>
        <w:ind w:left="5683" w:hanging="360"/>
      </w:pPr>
      <w:rPr>
        <w:rFonts w:hint="default"/>
        <w:u w:val="none"/>
      </w:rPr>
    </w:lvl>
    <w:lvl w:ilvl="8">
      <w:start w:val="1"/>
      <w:numFmt w:val="decimal"/>
      <w:lvlText w:val="%1.%2.%3.%4.%5.%6.%7.%8.%9."/>
      <w:lvlJc w:val="right"/>
      <w:pPr>
        <w:ind w:left="6403" w:hanging="360"/>
      </w:pPr>
      <w:rPr>
        <w:rFonts w:hint="default"/>
        <w:u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7795662"/>
    <w:multiLevelType w:val="hybridMultilevel"/>
    <w:tmpl w:val="4E98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3037B26"/>
    <w:multiLevelType w:val="hybridMultilevel"/>
    <w:tmpl w:val="534A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4EA41DC2"/>
    <w:multiLevelType w:val="multilevel"/>
    <w:tmpl w:val="AE6879EC"/>
    <w:lvl w:ilvl="0">
      <w:start w:val="1"/>
      <w:numFmt w:val="decimal"/>
      <w:lvlText w:val="%1."/>
      <w:lvlJc w:val="left"/>
      <w:pPr>
        <w:ind w:left="720" w:hanging="720"/>
      </w:pPr>
      <w:rPr>
        <w:smallCaps w:val="0"/>
      </w:rPr>
    </w:lvl>
    <w:lvl w:ilvl="1">
      <w:start w:val="1"/>
      <w:numFmt w:val="decimal"/>
      <w:lvlText w:val="%1.%2"/>
      <w:lvlJc w:val="left"/>
      <w:pPr>
        <w:ind w:left="1145" w:hanging="720"/>
      </w:pPr>
      <w:rPr>
        <w:smallCaps w:val="0"/>
        <w:sz w:val="24"/>
        <w:szCs w:val="24"/>
      </w:rPr>
    </w:lvl>
    <w:lvl w:ilvl="2">
      <w:start w:val="1"/>
      <w:numFmt w:val="decimal"/>
      <w:lvlText w:val="%1.%2.%3"/>
      <w:lvlJc w:val="left"/>
      <w:pPr>
        <w:ind w:left="1800" w:hanging="1080"/>
      </w:pPr>
      <w:rPr>
        <w:b w:val="0"/>
        <w:smallCaps w:val="0"/>
        <w:sz w:val="21"/>
        <w:szCs w:val="21"/>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2"/>
  </w:num>
  <w:num w:numId="3">
    <w:abstractNumId w:val="19"/>
  </w:num>
  <w:num w:numId="4">
    <w:abstractNumId w:val="20"/>
  </w:num>
  <w:num w:numId="5">
    <w:abstractNumId w:val="5"/>
  </w:num>
  <w:num w:numId="6">
    <w:abstractNumId w:val="27"/>
  </w:num>
  <w:num w:numId="7">
    <w:abstractNumId w:val="22"/>
  </w:num>
  <w:num w:numId="8">
    <w:abstractNumId w:val="17"/>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1"/>
  </w:num>
  <w:num w:numId="16">
    <w:abstractNumId w:val="36"/>
  </w:num>
  <w:num w:numId="17">
    <w:abstractNumId w:val="10"/>
  </w:num>
  <w:num w:numId="18">
    <w:abstractNumId w:val="24"/>
  </w:num>
  <w:num w:numId="19">
    <w:abstractNumId w:val="21"/>
  </w:num>
  <w:num w:numId="20">
    <w:abstractNumId w:val="34"/>
  </w:num>
  <w:num w:numId="21">
    <w:abstractNumId w:val="16"/>
  </w:num>
  <w:num w:numId="22">
    <w:abstractNumId w:val="38"/>
  </w:num>
  <w:num w:numId="23">
    <w:abstractNumId w:val="28"/>
  </w:num>
  <w:num w:numId="24">
    <w:abstractNumId w:val="15"/>
  </w:num>
  <w:num w:numId="25">
    <w:abstractNumId w:val="37"/>
  </w:num>
  <w:num w:numId="26">
    <w:abstractNumId w:val="7"/>
  </w:num>
  <w:num w:numId="27">
    <w:abstractNumId w:val="33"/>
  </w:num>
  <w:num w:numId="28">
    <w:abstractNumId w:val="25"/>
  </w:num>
  <w:num w:numId="29">
    <w:abstractNumId w:val="39"/>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num>
  <w:num w:numId="33">
    <w:abstractNumId w:val="14"/>
  </w:num>
  <w:num w:numId="34">
    <w:abstractNumId w:val="30"/>
  </w:num>
  <w:num w:numId="35">
    <w:abstractNumId w:val="18"/>
  </w:num>
  <w:num w:numId="36">
    <w:abstractNumId w:val="26"/>
  </w:num>
  <w:num w:numId="37">
    <w:abstractNumId w:val="8"/>
  </w:num>
  <w:num w:numId="38">
    <w:abstractNumId w:val="23"/>
  </w:num>
  <w:num w:numId="39">
    <w:abstractNumId w:val="13"/>
  </w:num>
  <w:num w:numId="40">
    <w:abstractNumId w:val="32"/>
  </w:num>
  <w:num w:numId="41">
    <w:abstractNumId w:val="32"/>
  </w:num>
  <w:num w:numId="42">
    <w:abstractNumId w:val="32"/>
  </w:num>
  <w:num w:numId="43">
    <w:abstractNumId w:val="32"/>
  </w:num>
  <w:num w:numId="44">
    <w:abstractNumId w:val="32"/>
  </w:num>
  <w:num w:numId="45">
    <w:abstractNumId w:val="9"/>
  </w:num>
  <w:num w:numId="46">
    <w:abstractNumId w:val="32"/>
  </w:num>
  <w:num w:numId="4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2A6"/>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46801"/>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2732"/>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075A3"/>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05D6"/>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48F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D9F"/>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09C8"/>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16DEF"/>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1A3"/>
    <w:rsid w:val="00396381"/>
    <w:rsid w:val="00396B62"/>
    <w:rsid w:val="003A0CDA"/>
    <w:rsid w:val="003A199A"/>
    <w:rsid w:val="003A21C8"/>
    <w:rsid w:val="003A2C48"/>
    <w:rsid w:val="003A3933"/>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CC8"/>
    <w:rsid w:val="003D6D0B"/>
    <w:rsid w:val="003E3E8C"/>
    <w:rsid w:val="003E4FA3"/>
    <w:rsid w:val="003E7509"/>
    <w:rsid w:val="003F0226"/>
    <w:rsid w:val="003F06FF"/>
    <w:rsid w:val="003F1C5D"/>
    <w:rsid w:val="003F1E4A"/>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57D1B"/>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3AB1"/>
    <w:rsid w:val="005B466A"/>
    <w:rsid w:val="005B4A89"/>
    <w:rsid w:val="005C0826"/>
    <w:rsid w:val="005C2951"/>
    <w:rsid w:val="005C2A84"/>
    <w:rsid w:val="005C3B95"/>
    <w:rsid w:val="005C6291"/>
    <w:rsid w:val="005C6503"/>
    <w:rsid w:val="005D1196"/>
    <w:rsid w:val="005D2362"/>
    <w:rsid w:val="005E00DA"/>
    <w:rsid w:val="005E0E1E"/>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40"/>
    <w:rsid w:val="006641E1"/>
    <w:rsid w:val="006645BF"/>
    <w:rsid w:val="00671798"/>
    <w:rsid w:val="00671C2E"/>
    <w:rsid w:val="00673F5A"/>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4812"/>
    <w:rsid w:val="0069520A"/>
    <w:rsid w:val="006968E6"/>
    <w:rsid w:val="006A0E9A"/>
    <w:rsid w:val="006A385C"/>
    <w:rsid w:val="006A3DBC"/>
    <w:rsid w:val="006A3F51"/>
    <w:rsid w:val="006A4316"/>
    <w:rsid w:val="006A4943"/>
    <w:rsid w:val="006B1F15"/>
    <w:rsid w:val="006B32CD"/>
    <w:rsid w:val="006B3676"/>
    <w:rsid w:val="006B38F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27143"/>
    <w:rsid w:val="00733ACF"/>
    <w:rsid w:val="0073540C"/>
    <w:rsid w:val="00735596"/>
    <w:rsid w:val="00735D7F"/>
    <w:rsid w:val="00740B2E"/>
    <w:rsid w:val="007411D4"/>
    <w:rsid w:val="007435B9"/>
    <w:rsid w:val="00743726"/>
    <w:rsid w:val="00745FE8"/>
    <w:rsid w:val="0075008F"/>
    <w:rsid w:val="0075260F"/>
    <w:rsid w:val="00753744"/>
    <w:rsid w:val="00753ABE"/>
    <w:rsid w:val="0075444C"/>
    <w:rsid w:val="00755A73"/>
    <w:rsid w:val="00756064"/>
    <w:rsid w:val="007569B8"/>
    <w:rsid w:val="007603EE"/>
    <w:rsid w:val="00760E17"/>
    <w:rsid w:val="0076417D"/>
    <w:rsid w:val="007667BD"/>
    <w:rsid w:val="0077082E"/>
    <w:rsid w:val="00770F75"/>
    <w:rsid w:val="0077138F"/>
    <w:rsid w:val="00771DC0"/>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2EDB"/>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4D26"/>
    <w:rsid w:val="0091531E"/>
    <w:rsid w:val="00915583"/>
    <w:rsid w:val="009175F3"/>
    <w:rsid w:val="00922A4C"/>
    <w:rsid w:val="00923A8C"/>
    <w:rsid w:val="00923ACC"/>
    <w:rsid w:val="00926958"/>
    <w:rsid w:val="00926AFD"/>
    <w:rsid w:val="009317B0"/>
    <w:rsid w:val="00932346"/>
    <w:rsid w:val="0093247C"/>
    <w:rsid w:val="00932D6C"/>
    <w:rsid w:val="00934359"/>
    <w:rsid w:val="009347A2"/>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3D2B"/>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AF7E9B"/>
    <w:rsid w:val="00B008C0"/>
    <w:rsid w:val="00B0302C"/>
    <w:rsid w:val="00B035D5"/>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76BB3"/>
    <w:rsid w:val="00B81025"/>
    <w:rsid w:val="00B81D11"/>
    <w:rsid w:val="00B82F46"/>
    <w:rsid w:val="00B905EC"/>
    <w:rsid w:val="00B90C10"/>
    <w:rsid w:val="00B919C4"/>
    <w:rsid w:val="00B9252C"/>
    <w:rsid w:val="00B92A35"/>
    <w:rsid w:val="00B9498B"/>
    <w:rsid w:val="00B951B1"/>
    <w:rsid w:val="00B96277"/>
    <w:rsid w:val="00B979BD"/>
    <w:rsid w:val="00B97A23"/>
    <w:rsid w:val="00BA0162"/>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422"/>
    <w:rsid w:val="00CE5D7B"/>
    <w:rsid w:val="00CF09E4"/>
    <w:rsid w:val="00CF0D89"/>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1CFD"/>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230B"/>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3D32"/>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2E0F"/>
    <w:rsid w:val="00E030C9"/>
    <w:rsid w:val="00E05439"/>
    <w:rsid w:val="00E05F1D"/>
    <w:rsid w:val="00E10534"/>
    <w:rsid w:val="00E10E97"/>
    <w:rsid w:val="00E13CFC"/>
    <w:rsid w:val="00E14310"/>
    <w:rsid w:val="00E157DF"/>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E82"/>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4157"/>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DFA"/>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131"/>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77882"/>
    <w:rsid w:val="00F80355"/>
    <w:rsid w:val="00F822D7"/>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ivil-service-people-survey-2022-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ABCB-E7CE-47F0-95B7-75B72AEB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Charlie Beresford</cp:lastModifiedBy>
  <cp:revision>2</cp:revision>
  <dcterms:created xsi:type="dcterms:W3CDTF">2023-09-20T16:21:00Z</dcterms:created>
  <dcterms:modified xsi:type="dcterms:W3CDTF">2023-09-20T16:21:00Z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