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0DCD3" w14:textId="77777777" w:rsidR="00D14BB6" w:rsidRDefault="00192A2B">
      <w:pPr>
        <w:pStyle w:val="Heading1"/>
      </w:pPr>
      <w:r>
        <w:t>Joint Schedule 3 (Insurance Requirements)</w:t>
      </w:r>
    </w:p>
    <w:p w14:paraId="19747A4C" w14:textId="77777777" w:rsidR="00D14BB6" w:rsidRDefault="00192A2B">
      <w:pPr>
        <w:pStyle w:val="Heading3"/>
        <w:numPr>
          <w:ilvl w:val="0"/>
          <w:numId w:val="1"/>
        </w:numPr>
        <w:ind w:hanging="720"/>
      </w:pPr>
      <w:r>
        <w:t>The insurance you need to have</w:t>
      </w:r>
    </w:p>
    <w:p w14:paraId="248481D0" w14:textId="77777777" w:rsidR="00D14BB6" w:rsidRDefault="00192A2B">
      <w:pPr>
        <w:pStyle w:val="ListParagraph"/>
        <w:numPr>
          <w:ilvl w:val="1"/>
          <w:numId w:val="1"/>
        </w:numPr>
        <w:spacing w:before="120" w:after="80" w:line="360" w:lineRule="auto"/>
        <w:ind w:left="567" w:firstLine="142"/>
      </w:pPr>
      <w:r>
        <w:rPr>
          <w:rFonts w:ascii="Arial" w:hAnsi="Arial" w:cs="Arial"/>
          <w:sz w:val="27"/>
          <w:szCs w:val="27"/>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hAnsi="Arial" w:cs="Arial"/>
          <w:b/>
          <w:sz w:val="27"/>
          <w:szCs w:val="27"/>
        </w:rPr>
        <w:t>Additional Insurances</w:t>
      </w:r>
      <w:r>
        <w:rPr>
          <w:rFonts w:ascii="Arial" w:hAnsi="Arial" w:cs="Arial"/>
          <w:sz w:val="27"/>
          <w:szCs w:val="27"/>
        </w:rPr>
        <w:t>") and any other insurances as may be required by applicable Law (together the “</w:t>
      </w:r>
      <w:r>
        <w:rPr>
          <w:rFonts w:ascii="Arial" w:hAnsi="Arial" w:cs="Arial"/>
          <w:b/>
          <w:sz w:val="27"/>
          <w:szCs w:val="27"/>
        </w:rPr>
        <w:t>Insurances</w:t>
      </w:r>
      <w:r>
        <w:rPr>
          <w:rFonts w:ascii="Arial" w:hAnsi="Arial" w:cs="Arial"/>
          <w:sz w:val="27"/>
          <w:szCs w:val="27"/>
        </w:rPr>
        <w:t>”).  The Supplier shall ensure that each of the Insurances is effective no later than:</w:t>
      </w:r>
    </w:p>
    <w:p w14:paraId="0A74D7FD"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Framework Start Date in respect of those Insurances set out in the Annex to this Schedule and those required by applicable Law; and</w:t>
      </w:r>
    </w:p>
    <w:p w14:paraId="3F8ECD11"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Call-Off Contract Effective Date in respect of the Additional Insurances.</w:t>
      </w:r>
    </w:p>
    <w:p w14:paraId="645DDBF1"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Insurances shall be:</w:t>
      </w:r>
    </w:p>
    <w:p w14:paraId="7FCB936C"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maintained in accordance with Good Industry Practice;</w:t>
      </w:r>
    </w:p>
    <w:p w14:paraId="3FE3A57F"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(so far as is reasonably practicable) on terms no less favourable than those generally available to a prudent contractor in respect of risks insured in the international insurance market from time to time;</w:t>
      </w:r>
    </w:p>
    <w:p w14:paraId="1B50DE5E"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taken out and maintained with insurers of good financial standing and good repute in the international insurance market; and</w:t>
      </w:r>
    </w:p>
    <w:p w14:paraId="086F7ED7"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maintained for at least six (6) years after the End Date.</w:t>
      </w:r>
    </w:p>
    <w:p w14:paraId="3861A48B"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 xml:space="preserve">The Supplier shall ensure that the public and products liability policy contain an indemnity to principals clause under which the Relevant Authority shall be indemnified in respect of claims made </w:t>
      </w:r>
      <w:r>
        <w:rPr>
          <w:rFonts w:ascii="Arial" w:hAnsi="Arial" w:cs="Arial"/>
          <w:sz w:val="27"/>
          <w:szCs w:val="27"/>
        </w:rPr>
        <w:lastRenderedPageBreak/>
        <w:t>against the Relevant Authority in respect of death or bodily injury or third party property damage arising out of or in connection with the Deliverables and for which the Supplier is legally liable.</w:t>
      </w:r>
    </w:p>
    <w:p w14:paraId="14F2494E" w14:textId="77777777" w:rsidR="00D14BB6" w:rsidRDefault="00D14BB6">
      <w:pPr>
        <w:spacing w:before="120" w:after="80" w:line="360" w:lineRule="auto"/>
        <w:rPr>
          <w:rFonts w:ascii="Arial" w:hAnsi="Arial" w:cs="Arial"/>
          <w:sz w:val="27"/>
          <w:szCs w:val="27"/>
        </w:rPr>
      </w:pPr>
    </w:p>
    <w:p w14:paraId="2DF302E3" w14:textId="77777777" w:rsidR="00D14BB6" w:rsidRDefault="00192A2B">
      <w:pPr>
        <w:pStyle w:val="Heading3"/>
        <w:numPr>
          <w:ilvl w:val="0"/>
          <w:numId w:val="1"/>
        </w:numPr>
        <w:ind w:hanging="720"/>
      </w:pPr>
      <w:r>
        <w:t>How to manage the insurance</w:t>
      </w:r>
    </w:p>
    <w:p w14:paraId="5EC2983A"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Without limiting the other provisions of this Contract, the Supplier shall:</w:t>
      </w:r>
    </w:p>
    <w:p w14:paraId="6A56DA23"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0FB4E3A"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promptly notify the insurers in writing of any relevant material fact under any Insurances of which the Supplier is or becomes aware; and</w:t>
      </w:r>
    </w:p>
    <w:p w14:paraId="63F4D4EB" w14:textId="77777777" w:rsidR="00D14BB6" w:rsidRDefault="00192A2B">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hold all policies in respect of the Insurances and cause any insurance broker effecting the Insurances to hold any insurance slips and other evidence of placing cover representing any of the Insurances to which it is a party.</w:t>
      </w:r>
    </w:p>
    <w:p w14:paraId="42993102" w14:textId="77777777" w:rsidR="00D14BB6" w:rsidRDefault="00D14BB6">
      <w:pPr>
        <w:spacing w:before="120" w:after="80" w:line="360" w:lineRule="auto"/>
        <w:rPr>
          <w:rFonts w:ascii="Arial" w:hAnsi="Arial" w:cs="Arial"/>
          <w:sz w:val="27"/>
          <w:szCs w:val="27"/>
        </w:rPr>
      </w:pPr>
    </w:p>
    <w:p w14:paraId="09F9FA50" w14:textId="77777777" w:rsidR="00D14BB6" w:rsidRDefault="00192A2B">
      <w:pPr>
        <w:pStyle w:val="Heading3"/>
        <w:numPr>
          <w:ilvl w:val="0"/>
          <w:numId w:val="1"/>
        </w:numPr>
        <w:ind w:hanging="720"/>
      </w:pPr>
      <w:r>
        <w:t>What happens if you aren’t insured</w:t>
      </w:r>
    </w:p>
    <w:p w14:paraId="560487B5"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 not take any action or fail to take any action or (insofar as is reasonably within its power) permit anything to occur in relation to it which would entitle any insurer to refuse to pay any claim under any of the Insurances.</w:t>
      </w:r>
    </w:p>
    <w:p w14:paraId="06D710E3"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 xml:space="preserve">Where the Supplier has failed to purchase or maintain any of the Insurances in full force and effect, the Relevant Authority may elect (but </w:t>
      </w:r>
      <w:r>
        <w:rPr>
          <w:rFonts w:ascii="Arial" w:hAnsi="Arial" w:cs="Arial"/>
          <w:sz w:val="27"/>
          <w:szCs w:val="27"/>
        </w:rPr>
        <w:lastRenderedPageBreak/>
        <w:t>shall not be obliged) following written notice to the Supplier to purchase the relevant Insurances and recover the reasonable premium and other reasonable costs incurred in connection therewith as a debt due from the Supplier.</w:t>
      </w:r>
    </w:p>
    <w:p w14:paraId="03AF77AF" w14:textId="77777777" w:rsidR="00D14BB6" w:rsidRDefault="00D14BB6">
      <w:pPr>
        <w:pStyle w:val="ListParagraph"/>
        <w:spacing w:before="120" w:after="80" w:line="360" w:lineRule="auto"/>
        <w:ind w:left="709"/>
        <w:rPr>
          <w:rFonts w:ascii="Arial" w:hAnsi="Arial" w:cs="Arial"/>
          <w:sz w:val="27"/>
          <w:szCs w:val="27"/>
        </w:rPr>
      </w:pPr>
    </w:p>
    <w:p w14:paraId="7D8F3648" w14:textId="77777777" w:rsidR="00D14BB6" w:rsidRDefault="00192A2B">
      <w:pPr>
        <w:pStyle w:val="Heading3"/>
        <w:numPr>
          <w:ilvl w:val="0"/>
          <w:numId w:val="1"/>
        </w:numPr>
        <w:ind w:hanging="720"/>
      </w:pPr>
      <w:r>
        <w:t>Evidence of insurance you must provide</w:t>
      </w:r>
    </w:p>
    <w:p w14:paraId="7A2273D2"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6C22F4F" w14:textId="77777777" w:rsidR="00D14BB6" w:rsidRDefault="00D14BB6">
      <w:pPr>
        <w:pStyle w:val="ListParagraph"/>
        <w:spacing w:before="120" w:after="80" w:line="360" w:lineRule="auto"/>
        <w:ind w:left="709"/>
        <w:rPr>
          <w:rFonts w:ascii="Arial" w:hAnsi="Arial" w:cs="Arial"/>
          <w:sz w:val="27"/>
          <w:szCs w:val="27"/>
        </w:rPr>
      </w:pPr>
    </w:p>
    <w:p w14:paraId="329DB275" w14:textId="77777777" w:rsidR="00D14BB6" w:rsidRDefault="00192A2B">
      <w:pPr>
        <w:pStyle w:val="Heading3"/>
        <w:numPr>
          <w:ilvl w:val="0"/>
          <w:numId w:val="1"/>
        </w:numPr>
        <w:ind w:hanging="720"/>
      </w:pPr>
      <w:r>
        <w:t>Making sure you are insured to the required amount</w:t>
      </w:r>
    </w:p>
    <w:p w14:paraId="66D3F44A"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bookmarkStart w:id="0" w:name="_heading=h.gjdgxs"/>
      <w:bookmarkEnd w:id="0"/>
      <w:r>
        <w:rPr>
          <w:rFonts w:ascii="Arial" w:hAnsi="Arial" w:cs="Arial"/>
          <w:sz w:val="27"/>
          <w:szCs w:val="27"/>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C4FA727" w14:textId="77777777" w:rsidR="00D14BB6" w:rsidRDefault="00D14BB6">
      <w:pPr>
        <w:spacing w:before="120" w:after="80" w:line="360" w:lineRule="auto"/>
        <w:rPr>
          <w:rFonts w:ascii="Arial" w:hAnsi="Arial" w:cs="Arial"/>
          <w:sz w:val="27"/>
          <w:szCs w:val="27"/>
        </w:rPr>
      </w:pPr>
    </w:p>
    <w:p w14:paraId="46CC6F11" w14:textId="77777777" w:rsidR="00D14BB6" w:rsidRDefault="00192A2B">
      <w:pPr>
        <w:pStyle w:val="Heading3"/>
        <w:numPr>
          <w:ilvl w:val="0"/>
          <w:numId w:val="1"/>
        </w:numPr>
        <w:ind w:hanging="720"/>
      </w:pPr>
      <w:r>
        <w:t>Cancelled Insurance</w:t>
      </w:r>
    </w:p>
    <w:p w14:paraId="2BCDA83C"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 notify the Relevant Authority in writing at least five (5) Working Days prior to the cancellation, suspension, termination or non-renewal of any of the Insurances.</w:t>
      </w:r>
    </w:p>
    <w:p w14:paraId="0BBBBD19"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w:t>
      </w:r>
      <w:r>
        <w:rPr>
          <w:rFonts w:ascii="Arial" w:hAnsi="Arial" w:cs="Arial"/>
          <w:sz w:val="27"/>
          <w:szCs w:val="27"/>
        </w:rPr>
        <w:lastRenderedPageBreak/>
        <w:t>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521D82" w14:textId="77777777" w:rsidR="00D14BB6" w:rsidRDefault="00D14BB6">
      <w:pPr>
        <w:pStyle w:val="ListParagraph"/>
        <w:spacing w:before="120" w:after="80" w:line="360" w:lineRule="auto"/>
        <w:ind w:left="709"/>
        <w:rPr>
          <w:rFonts w:ascii="Arial" w:hAnsi="Arial" w:cs="Arial"/>
          <w:sz w:val="27"/>
          <w:szCs w:val="27"/>
        </w:rPr>
      </w:pPr>
    </w:p>
    <w:p w14:paraId="3542CB42" w14:textId="77777777" w:rsidR="00D14BB6" w:rsidRDefault="00192A2B">
      <w:pPr>
        <w:pStyle w:val="Heading3"/>
        <w:numPr>
          <w:ilvl w:val="0"/>
          <w:numId w:val="1"/>
        </w:numPr>
        <w:ind w:hanging="720"/>
      </w:pPr>
      <w:r>
        <w:t>Insurance claims</w:t>
      </w:r>
    </w:p>
    <w:p w14:paraId="5E7C844F"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9ECA2AA"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629370A"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Where any Insurance requires payment of a premium, the Supplier shall be liable for and shall promptly pay such premium.</w:t>
      </w:r>
    </w:p>
    <w:p w14:paraId="663147F5" w14:textId="77777777" w:rsidR="00D14BB6" w:rsidRDefault="00192A2B">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w:t>
      </w:r>
      <w:r>
        <w:rPr>
          <w:rFonts w:ascii="Arial" w:hAnsi="Arial" w:cs="Arial"/>
          <w:sz w:val="27"/>
          <w:szCs w:val="27"/>
        </w:rPr>
        <w:lastRenderedPageBreak/>
        <w:t>or deductible under the Insurances whether under the terms of this Contract or otherwise.</w:t>
      </w:r>
    </w:p>
    <w:p w14:paraId="0BA26D3B" w14:textId="77777777" w:rsidR="00D14BB6" w:rsidRDefault="00D14BB6">
      <w:pPr>
        <w:pStyle w:val="ListParagraph"/>
        <w:spacing w:before="120" w:after="80" w:line="360" w:lineRule="auto"/>
        <w:ind w:left="709"/>
        <w:rPr>
          <w:rFonts w:ascii="Arial" w:hAnsi="Arial" w:cs="Arial"/>
          <w:sz w:val="27"/>
          <w:szCs w:val="27"/>
        </w:rPr>
      </w:pPr>
    </w:p>
    <w:p w14:paraId="71452122" w14:textId="77777777" w:rsidR="00D14BB6" w:rsidRDefault="00192A2B">
      <w:pPr>
        <w:pStyle w:val="Heading2"/>
      </w:pPr>
      <w:r>
        <w:t>ANNEX: REQUIRED INSURANCES</w:t>
      </w:r>
    </w:p>
    <w:p w14:paraId="0415181B" w14:textId="77777777" w:rsidR="00D14BB6" w:rsidRDefault="00192A2B">
      <w:pPr>
        <w:pStyle w:val="ListParagraph"/>
        <w:numPr>
          <w:ilvl w:val="0"/>
          <w:numId w:val="2"/>
        </w:numPr>
        <w:spacing w:before="120" w:after="80" w:line="360" w:lineRule="auto"/>
        <w:ind w:hanging="720"/>
        <w:rPr>
          <w:rFonts w:ascii="Arial" w:hAnsi="Arial" w:cs="Arial"/>
          <w:sz w:val="27"/>
          <w:szCs w:val="27"/>
        </w:rPr>
      </w:pPr>
      <w:bookmarkStart w:id="1" w:name="_heading=h.30j0zll"/>
      <w:bookmarkEnd w:id="1"/>
      <w:r>
        <w:rPr>
          <w:rFonts w:ascii="Arial" w:hAnsi="Arial" w:cs="Arial"/>
          <w:sz w:val="27"/>
          <w:szCs w:val="27"/>
        </w:rPr>
        <w:t>The Supplier shall hold the following [standard] insurance cover from the Framework Start Date in accordance with this Schedule:</w:t>
      </w:r>
    </w:p>
    <w:p w14:paraId="384A75F0" w14:textId="00DDD958" w:rsidR="00D14BB6" w:rsidRDefault="00192A2B">
      <w:pPr>
        <w:pStyle w:val="ListParagraph"/>
        <w:numPr>
          <w:ilvl w:val="1"/>
          <w:numId w:val="3"/>
        </w:numPr>
        <w:spacing w:before="120" w:after="80" w:line="360" w:lineRule="auto"/>
        <w:ind w:left="567" w:firstLine="142"/>
        <w:rPr>
          <w:rFonts w:ascii="Arial" w:hAnsi="Arial" w:cs="Arial"/>
          <w:sz w:val="27"/>
          <w:szCs w:val="27"/>
        </w:rPr>
      </w:pPr>
      <w:r>
        <w:rPr>
          <w:rFonts w:ascii="Arial" w:hAnsi="Arial" w:cs="Arial"/>
          <w:sz w:val="27"/>
          <w:szCs w:val="27"/>
        </w:rPr>
        <w:t>professional indemnity insurance with cover (for a single event or a series of related events and in the aggregate) of not less than one million pounds (£1,000,000);</w:t>
      </w:r>
    </w:p>
    <w:p w14:paraId="1B9B3F86" w14:textId="5B080725" w:rsidR="00D14BB6" w:rsidRDefault="00192A2B">
      <w:pPr>
        <w:pStyle w:val="ListParagraph"/>
        <w:numPr>
          <w:ilvl w:val="1"/>
          <w:numId w:val="3"/>
        </w:numPr>
        <w:spacing w:before="120" w:after="80" w:line="360" w:lineRule="auto"/>
        <w:ind w:left="567" w:firstLine="142"/>
        <w:rPr>
          <w:rFonts w:ascii="Arial" w:hAnsi="Arial" w:cs="Arial"/>
          <w:sz w:val="27"/>
          <w:szCs w:val="27"/>
        </w:rPr>
      </w:pPr>
      <w:r>
        <w:rPr>
          <w:rFonts w:ascii="Arial" w:hAnsi="Arial" w:cs="Arial"/>
          <w:sz w:val="27"/>
          <w:szCs w:val="27"/>
        </w:rPr>
        <w:t>public liability insurance with cover (for a single event or a series of related events and in the aggregate)</w:t>
      </w:r>
      <w:r w:rsidR="00B36BA4">
        <w:rPr>
          <w:rFonts w:ascii="Arial" w:hAnsi="Arial" w:cs="Arial"/>
          <w:sz w:val="27"/>
          <w:szCs w:val="27"/>
        </w:rPr>
        <w:t xml:space="preserve"> </w:t>
      </w:r>
      <w:r>
        <w:rPr>
          <w:rFonts w:ascii="Arial" w:hAnsi="Arial" w:cs="Arial"/>
          <w:sz w:val="27"/>
          <w:szCs w:val="27"/>
        </w:rPr>
        <w:t>of not less than one million pounds (£1,000,000); and</w:t>
      </w:r>
      <w:bookmarkStart w:id="2" w:name="_heading=h.3znysh7"/>
      <w:bookmarkEnd w:id="2"/>
    </w:p>
    <w:p w14:paraId="2DE0A829" w14:textId="4D873172" w:rsidR="00D14BB6" w:rsidRDefault="00192A2B">
      <w:pPr>
        <w:pStyle w:val="ListParagraph"/>
        <w:numPr>
          <w:ilvl w:val="1"/>
          <w:numId w:val="3"/>
        </w:numPr>
        <w:spacing w:before="120" w:after="80" w:line="360" w:lineRule="auto"/>
        <w:ind w:left="567" w:firstLine="142"/>
        <w:rPr>
          <w:rFonts w:ascii="Arial" w:hAnsi="Arial" w:cs="Arial"/>
          <w:sz w:val="27"/>
          <w:szCs w:val="27"/>
        </w:rPr>
      </w:pPr>
      <w:r>
        <w:rPr>
          <w:rFonts w:ascii="Arial" w:hAnsi="Arial" w:cs="Arial"/>
          <w:sz w:val="27"/>
          <w:szCs w:val="27"/>
        </w:rPr>
        <w:t>employers’ liability insurance with cover (for a single event or a series of related events and in the aggregate) of not less than ten million pounds (£10,000,000)</w:t>
      </w:r>
    </w:p>
    <w:sectPr w:rsidR="00D14BB6">
      <w:headerReference w:type="default" r:id="rId11"/>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E38F9" w14:textId="77777777" w:rsidR="00192A2B" w:rsidRDefault="00192A2B">
      <w:r>
        <w:separator/>
      </w:r>
    </w:p>
  </w:endnote>
  <w:endnote w:type="continuationSeparator" w:id="0">
    <w:p w14:paraId="63244C21" w14:textId="77777777" w:rsidR="00192A2B" w:rsidRDefault="0019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C81B" w14:textId="77777777" w:rsidR="00192A2B" w:rsidRDefault="00192A2B">
    <w:pPr>
      <w:pStyle w:val="Standard"/>
      <w:tabs>
        <w:tab w:val="center" w:pos="4513"/>
        <w:tab w:val="right" w:pos="9026"/>
      </w:tabs>
      <w:spacing w:after="0"/>
    </w:pPr>
    <w:r>
      <w:rPr>
        <w:rFonts w:ascii="Arial" w:eastAsia="Arial" w:hAnsi="Arial"/>
        <w:sz w:val="20"/>
        <w:szCs w:val="20"/>
      </w:rPr>
      <w:t>Framework Ref: RM6273 Employee Benefits and Services</w:t>
    </w:r>
    <w:r>
      <w:rPr>
        <w:rFonts w:ascii="Arial" w:eastAsia="Arial" w:hAnsi="Arial"/>
        <w:sz w:val="20"/>
        <w:szCs w:val="20"/>
      </w:rPr>
      <w:tab/>
      <w:t xml:space="preserve">                                           </w:t>
    </w:r>
  </w:p>
  <w:p w14:paraId="065F7A2C" w14:textId="77777777" w:rsidR="00192A2B" w:rsidRDefault="00192A2B">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2</w:t>
    </w:r>
    <w:r>
      <w:fldChar w:fldCharType="end"/>
    </w:r>
  </w:p>
  <w:p w14:paraId="17DE8C9B" w14:textId="77777777" w:rsidR="00192A2B" w:rsidRDefault="00192A2B">
    <w:pPr>
      <w:pStyle w:val="Standard"/>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EEBA6" w14:textId="77777777" w:rsidR="00192A2B" w:rsidRDefault="00192A2B">
      <w:r>
        <w:rPr>
          <w:color w:val="000000"/>
        </w:rPr>
        <w:separator/>
      </w:r>
    </w:p>
  </w:footnote>
  <w:footnote w:type="continuationSeparator" w:id="0">
    <w:p w14:paraId="297B7B99" w14:textId="77777777" w:rsidR="00192A2B" w:rsidRDefault="0019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D744" w14:textId="77777777" w:rsidR="00192A2B" w:rsidRDefault="00192A2B">
    <w:pPr>
      <w:pStyle w:val="Standard"/>
      <w:tabs>
        <w:tab w:val="center" w:pos="4513"/>
        <w:tab w:val="right" w:pos="9026"/>
      </w:tabs>
      <w:spacing w:after="0"/>
    </w:pPr>
    <w:r>
      <w:rPr>
        <w:rFonts w:ascii="Arial" w:eastAsia="Arial" w:hAnsi="Arial"/>
        <w:b/>
        <w:color w:val="000000"/>
        <w:sz w:val="20"/>
        <w:szCs w:val="20"/>
      </w:rPr>
      <w:t>Joint Schedule 3 (Insurance Requirements)</w:t>
    </w:r>
  </w:p>
  <w:p w14:paraId="2AC24278" w14:textId="77777777" w:rsidR="00192A2B" w:rsidRDefault="00192A2B">
    <w:pPr>
      <w:pStyle w:val="Standard"/>
      <w:tabs>
        <w:tab w:val="center" w:pos="4513"/>
        <w:tab w:val="right" w:pos="9026"/>
      </w:tabs>
      <w:spacing w:after="0"/>
    </w:pPr>
    <w:r>
      <w:rPr>
        <w:rFonts w:ascii="Arial" w:eastAsia="Arial" w:hAnsi="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35999"/>
    <w:multiLevelType w:val="multilevel"/>
    <w:tmpl w:val="10E6BD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890AF2"/>
    <w:multiLevelType w:val="multilevel"/>
    <w:tmpl w:val="2988CAFA"/>
    <w:lvl w:ilvl="0">
      <w:start w:val="1"/>
      <w:numFmt w:val="decimal"/>
      <w:lvlText w:val="%1"/>
      <w:lvlJc w:val="left"/>
      <w:pPr>
        <w:ind w:left="380" w:hanging="38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 w15:restartNumberingAfterBreak="0">
    <w:nsid w:val="4C010E3B"/>
    <w:multiLevelType w:val="multilevel"/>
    <w:tmpl w:val="1C320E0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818300363">
    <w:abstractNumId w:val="2"/>
  </w:num>
  <w:num w:numId="2" w16cid:durableId="175311082">
    <w:abstractNumId w:val="0"/>
  </w:num>
  <w:num w:numId="3" w16cid:durableId="70590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B6"/>
    <w:rsid w:val="00192A2B"/>
    <w:rsid w:val="00901B73"/>
    <w:rsid w:val="00B36BA4"/>
    <w:rsid w:val="00D14B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0C02"/>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jc w:val="both"/>
    </w:pPr>
    <w:rPr>
      <w:rFonts w:cs="Calibri"/>
      <w:lang w:eastAsia="zh-CN" w:bidi="hi-IN"/>
    </w:rPr>
  </w:style>
  <w:style w:type="paragraph" w:styleId="Heading1">
    <w:name w:val="heading 1"/>
    <w:basedOn w:val="Normal"/>
    <w:next w:val="Normal"/>
    <w:uiPriority w:val="9"/>
    <w:qFormat/>
    <w:pPr>
      <w:keepNext/>
      <w:keepLines/>
      <w:spacing w:before="240" w:after="240"/>
      <w:jc w:val="left"/>
      <w:outlineLvl w:val="0"/>
    </w:pPr>
    <w:rPr>
      <w:rFonts w:ascii="Arial" w:hAnsi="Arial"/>
      <w:sz w:val="44"/>
      <w:szCs w:val="48"/>
    </w:rPr>
  </w:style>
  <w:style w:type="paragraph" w:styleId="Heading2">
    <w:name w:val="heading 2"/>
    <w:basedOn w:val="Normal"/>
    <w:next w:val="Normal"/>
    <w:uiPriority w:val="9"/>
    <w:unhideWhenUsed/>
    <w:qFormat/>
    <w:pPr>
      <w:keepNext/>
      <w:keepLines/>
      <w:spacing w:before="240" w:after="120"/>
      <w:jc w:val="left"/>
      <w:outlineLvl w:val="1"/>
    </w:pPr>
    <w:rPr>
      <w:rFonts w:ascii="Arial" w:hAnsi="Arial"/>
      <w:sz w:val="36"/>
      <w:szCs w:val="36"/>
    </w:rPr>
  </w:style>
  <w:style w:type="paragraph" w:styleId="Heading3">
    <w:name w:val="heading 3"/>
    <w:basedOn w:val="Normal"/>
    <w:next w:val="Normal"/>
    <w:uiPriority w:val="9"/>
    <w:unhideWhenUsed/>
    <w:qFormat/>
    <w:pPr>
      <w:keepNext/>
      <w:keepLines/>
      <w:spacing w:before="40" w:after="120"/>
      <w:jc w:val="left"/>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spacing w:before="120" w:after="80" w:line="360" w:lineRule="auto"/>
      <w:outlineLvl w:val="3"/>
    </w:pPr>
    <w:rPr>
      <w:rFonts w:ascii="Arial" w:eastAsia="Times New Roman" w:hAnsi="Arial"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40" w:line="240" w:lineRule="auto"/>
      <w:jc w:val="both"/>
    </w:pPr>
    <w:rPr>
      <w:rFonts w:eastAsia="Times New Roman" w:cs="Arial"/>
      <w:lang w:eastAsia="zh-CN" w:bidi="hi-IN"/>
    </w:rPr>
  </w:style>
  <w:style w:type="paragraph" w:styleId="ListParagraph">
    <w:name w:val="List Paragraph"/>
    <w:basedOn w:val="Normal"/>
    <w:pPr>
      <w:ind w:left="720"/>
    </w:pPr>
    <w:rPr>
      <w:rFonts w:cs="Mangal"/>
      <w:szCs w:val="20"/>
    </w:rPr>
  </w:style>
  <w:style w:type="paragraph" w:styleId="Header">
    <w:name w:val="header"/>
    <w:basedOn w:val="Normal"/>
    <w:link w:val="HeaderChar"/>
    <w:uiPriority w:val="99"/>
    <w:unhideWhenUsed/>
    <w:pPr>
      <w:tabs>
        <w:tab w:val="center" w:pos="4513"/>
        <w:tab w:val="right" w:pos="9026"/>
      </w:tabs>
    </w:pPr>
    <w:rPr>
      <w:rFonts w:cs="Mangal"/>
      <w:szCs w:val="20"/>
    </w:rPr>
  </w:style>
  <w:style w:type="character" w:customStyle="1" w:styleId="HeaderChar">
    <w:name w:val="Header Char"/>
    <w:basedOn w:val="DefaultParagraphFont"/>
    <w:link w:val="Header"/>
    <w:uiPriority w:val="99"/>
    <w:rPr>
      <w:rFonts w:cs="Mangal"/>
      <w:szCs w:val="20"/>
      <w:lang w:eastAsia="zh-CN" w:bidi="hi-IN"/>
    </w:rPr>
  </w:style>
  <w:style w:type="paragraph" w:styleId="Footer">
    <w:name w:val="footer"/>
    <w:basedOn w:val="Normal"/>
    <w:link w:val="FooterChar"/>
    <w:uiPriority w:val="99"/>
    <w:unhideWhenUsed/>
    <w:pPr>
      <w:tabs>
        <w:tab w:val="center" w:pos="4513"/>
        <w:tab w:val="right" w:pos="9026"/>
      </w:tabs>
    </w:pPr>
    <w:rPr>
      <w:rFonts w:cs="Mangal"/>
      <w:szCs w:val="20"/>
    </w:rPr>
  </w:style>
  <w:style w:type="character" w:customStyle="1" w:styleId="FooterChar">
    <w:name w:val="Footer Char"/>
    <w:basedOn w:val="DefaultParagraphFont"/>
    <w:link w:val="Footer"/>
    <w:uiPriority w:val="99"/>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2596A6B-5CC5-4977-9DA5-30327CFA6D6A}"/>
</file>

<file path=customXml/itemProps2.xml><?xml version="1.0" encoding="utf-8"?>
<ds:datastoreItem xmlns:ds="http://schemas.openxmlformats.org/officeDocument/2006/customXml" ds:itemID="{7AE337EF-5095-4AC8-97E0-3AEC50259981}">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3.xml><?xml version="1.0" encoding="utf-8"?>
<ds:datastoreItem xmlns:ds="http://schemas.openxmlformats.org/officeDocument/2006/customXml" ds:itemID="{873A0ED0-87C7-446F-91D9-C007ACF21FF7}">
  <ds:schemaRefs>
    <ds:schemaRef ds:uri="http://schemas.microsoft.com/sharepoint/v3/contenttype/forms"/>
  </ds:schemaRefs>
</ds:datastoreItem>
</file>

<file path=customXml/itemProps4.xml><?xml version="1.0" encoding="utf-8"?>
<ds:datastoreItem xmlns:ds="http://schemas.openxmlformats.org/officeDocument/2006/customXml" ds:itemID="{3F8F6648-CEBE-4DDB-A673-9811155B962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5835</Characters>
  <Application>Microsoft Office Word</Application>
  <DocSecurity>0</DocSecurity>
  <Lines>48</Lines>
  <Paragraphs>13</Paragraphs>
  <ScaleCrop>false</ScaleCrop>
  <Company>DVSA</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Thomas, Bethan</cp:lastModifiedBy>
  <cp:revision>3</cp:revision>
  <dcterms:created xsi:type="dcterms:W3CDTF">2023-11-22T16:13:00Z</dcterms:created>
  <dcterms:modified xsi:type="dcterms:W3CDTF">2024-08-01T11:09:00Z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AgencyTags">
    <vt:lpwstr/>
  </property>
  <property fmtid="{D5CDD505-2E9C-101B-9397-08002B2CF9AE}" pid="5" name="fd3ea3193a1b45a1be050362e1e23f4c">
    <vt:lpwstr/>
  </property>
  <property fmtid="{D5CDD505-2E9C-101B-9397-08002B2CF9AE}" pid="6" name="MediaServiceImageTags">
    <vt:lpwstr/>
  </property>
  <property fmtid="{D5CDD505-2E9C-101B-9397-08002B2CF9AE}" pid="7" name="Commercial Activity">
    <vt:lpwstr/>
  </property>
  <property fmtid="{D5CDD505-2E9C-101B-9397-08002B2CF9AE}" pid="8" name="_docset_NoMedatataSyncRequired">
    <vt:lpwstr>False</vt:lpwstr>
  </property>
  <property fmtid="{D5CDD505-2E9C-101B-9397-08002B2CF9AE}" pid="9" name="Commercial_x0020_Activity">
    <vt:lpwstr/>
  </property>
</Properties>
</file>