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B8" w:rsidRPr="007A2AB8" w:rsidRDefault="007A2AB8" w:rsidP="007A2AB8">
      <w:pPr>
        <w:pStyle w:val="StyleArial26ptBoldCustomColorRGB14335179Left07"/>
        <w:rPr>
          <w:color w:val="auto"/>
          <w:sz w:val="24"/>
          <w:szCs w:val="24"/>
        </w:rPr>
      </w:pPr>
      <w:bookmarkStart w:id="0" w:name="_GoBack"/>
      <w:bookmarkEnd w:id="0"/>
      <w:r>
        <w:rPr>
          <w:color w:val="auto"/>
          <w:sz w:val="24"/>
          <w:szCs w:val="24"/>
        </w:rPr>
        <w:t>Attachment 2:</w:t>
      </w:r>
    </w:p>
    <w:p w:rsidR="007A2AB8" w:rsidRDefault="007A2AB8" w:rsidP="006819E9">
      <w:pPr>
        <w:pStyle w:val="StyleArial26ptBoldCustomColorRGB14335179Left07"/>
        <w:jc w:val="center"/>
        <w:rPr>
          <w:color w:val="7030A0"/>
        </w:rPr>
      </w:pPr>
    </w:p>
    <w:p w:rsidR="0028402C" w:rsidRPr="003747F5" w:rsidRDefault="006819E9" w:rsidP="006819E9">
      <w:pPr>
        <w:pStyle w:val="StyleArial26ptBoldCustomColorRGB14335179Left07"/>
        <w:jc w:val="center"/>
        <w:rPr>
          <w:color w:val="7030A0"/>
        </w:rPr>
      </w:pPr>
      <w:r>
        <w:rPr>
          <w:color w:val="7030A0"/>
        </w:rPr>
        <w:t>Requirements/</w:t>
      </w:r>
      <w:r w:rsidR="0078451E" w:rsidRPr="003747F5">
        <w:rPr>
          <w:color w:val="7030A0"/>
        </w:rPr>
        <w:t>Specification and Evaluation Criteria for</w:t>
      </w:r>
      <w:r w:rsidR="0028402C" w:rsidRPr="003747F5">
        <w:rPr>
          <w:color w:val="7030A0"/>
        </w:rPr>
        <w:t>:</w:t>
      </w:r>
    </w:p>
    <w:p w:rsidR="0078451E" w:rsidRPr="003747F5" w:rsidRDefault="0078451E" w:rsidP="006819E9">
      <w:pPr>
        <w:pStyle w:val="StyleArial26ptBoldCustomColorRGB14335179Left07"/>
        <w:jc w:val="center"/>
        <w:rPr>
          <w:color w:val="7030A0"/>
        </w:rPr>
      </w:pPr>
    </w:p>
    <w:p w:rsidR="003747F5" w:rsidRPr="003747F5" w:rsidRDefault="003747F5" w:rsidP="006819E9">
      <w:pPr>
        <w:pStyle w:val="Normal1"/>
        <w:jc w:val="center"/>
        <w:rPr>
          <w:rFonts w:ascii="Arial" w:hAnsi="Arial" w:cs="Arial"/>
          <w:b/>
          <w:i/>
          <w:iCs/>
          <w:color w:val="7030A0"/>
          <w:sz w:val="40"/>
          <w:szCs w:val="40"/>
        </w:rPr>
      </w:pPr>
      <w:r w:rsidRPr="003747F5">
        <w:rPr>
          <w:rFonts w:ascii="Arial" w:hAnsi="Arial" w:cs="Arial"/>
          <w:b/>
          <w:color w:val="7030A0"/>
          <w:sz w:val="40"/>
          <w:szCs w:val="40"/>
        </w:rPr>
        <w:t>Provision of Services for the Advancement of Statistical theory for DNA Mixture profiles retained on the DNA Database.</w:t>
      </w:r>
    </w:p>
    <w:p w:rsidR="001E124E" w:rsidRPr="003747F5" w:rsidRDefault="001E124E" w:rsidP="00031F71">
      <w:pPr>
        <w:ind w:left="426"/>
        <w:jc w:val="both"/>
        <w:rPr>
          <w:rFonts w:ascii="Arial" w:hAnsi="Arial"/>
          <w:color w:val="7030A0"/>
          <w:sz w:val="22"/>
          <w:szCs w:val="22"/>
        </w:rPr>
      </w:pPr>
    </w:p>
    <w:p w:rsidR="00801EBD" w:rsidRPr="003747F5" w:rsidRDefault="00E758BA" w:rsidP="0028402C">
      <w:pPr>
        <w:pStyle w:val="Heading1"/>
        <w:numPr>
          <w:ilvl w:val="0"/>
          <w:numId w:val="0"/>
        </w:numPr>
        <w:ind w:left="426"/>
        <w:rPr>
          <w:b/>
          <w:color w:val="7030A0"/>
          <w:sz w:val="24"/>
          <w:szCs w:val="24"/>
        </w:rPr>
      </w:pPr>
      <w:r w:rsidRPr="003747F5">
        <w:rPr>
          <w:color w:val="7030A0"/>
          <w:sz w:val="28"/>
          <w:szCs w:val="28"/>
        </w:rPr>
        <w:t>August</w:t>
      </w:r>
      <w:r w:rsidR="000F2178" w:rsidRPr="003747F5">
        <w:rPr>
          <w:color w:val="7030A0"/>
          <w:sz w:val="28"/>
          <w:szCs w:val="28"/>
        </w:rPr>
        <w:t xml:space="preserve"> 2017</w:t>
      </w:r>
      <w:r w:rsidR="00E0095A" w:rsidRPr="003747F5">
        <w:rPr>
          <w:color w:val="7030A0"/>
          <w:sz w:val="28"/>
          <w:szCs w:val="28"/>
        </w:rPr>
        <w:br w:type="page"/>
      </w:r>
    </w:p>
    <w:p w:rsidR="00B55525" w:rsidRPr="00B823BE" w:rsidRDefault="00482132" w:rsidP="00B75823">
      <w:pPr>
        <w:pStyle w:val="Body"/>
        <w:pBdr>
          <w:top w:val="none" w:sz="0" w:space="0" w:color="auto"/>
          <w:left w:val="none" w:sz="0" w:space="0" w:color="auto"/>
          <w:bottom w:val="none" w:sz="0" w:space="0" w:color="auto"/>
          <w:right w:val="none" w:sz="0" w:space="0" w:color="auto"/>
          <w:bar w:val="none" w:sz="0" w:color="auto"/>
        </w:pBdr>
        <w:jc w:val="both"/>
        <w:rPr>
          <w:rFonts w:ascii="Arial" w:eastAsia="Times New Roman" w:hAnsi="Arial" w:cs="Times New Roman"/>
          <w:bCs/>
          <w:color w:val="8F23B3"/>
          <w:kern w:val="32"/>
          <w:sz w:val="36"/>
          <w:szCs w:val="32"/>
          <w:lang w:val="en-GB"/>
        </w:rPr>
      </w:pPr>
      <w:r w:rsidRPr="00B823BE">
        <w:rPr>
          <w:rFonts w:ascii="Arial" w:eastAsia="Times New Roman" w:hAnsi="Arial" w:cs="Times New Roman"/>
          <w:bCs/>
          <w:color w:val="8F23B3"/>
          <w:kern w:val="32"/>
          <w:sz w:val="36"/>
          <w:szCs w:val="32"/>
          <w:lang w:val="en-GB"/>
        </w:rPr>
        <w:lastRenderedPageBreak/>
        <w:t>Background</w:t>
      </w:r>
    </w:p>
    <w:p w:rsidR="00482132" w:rsidRPr="00C371D4" w:rsidRDefault="00482132" w:rsidP="00B75823">
      <w:pPr>
        <w:pStyle w:val="Body"/>
        <w:pBdr>
          <w:top w:val="none" w:sz="0" w:space="0" w:color="auto"/>
          <w:left w:val="none" w:sz="0" w:space="0" w:color="auto"/>
          <w:bottom w:val="none" w:sz="0" w:space="0" w:color="auto"/>
          <w:right w:val="none" w:sz="0" w:space="0" w:color="auto"/>
          <w:bar w:val="none" w:sz="0" w:color="auto"/>
        </w:pBdr>
        <w:jc w:val="both"/>
        <w:rPr>
          <w:rFonts w:ascii="Arial" w:eastAsia="Times New Roman" w:hAnsi="Arial" w:cs="Times New Roman"/>
          <w:bCs/>
          <w:color w:val="800080"/>
          <w:kern w:val="32"/>
          <w:sz w:val="36"/>
          <w:szCs w:val="32"/>
          <w:lang w:val="en-GB"/>
        </w:rPr>
      </w:pPr>
    </w:p>
    <w:p w:rsidR="009B16C1" w:rsidRPr="009B16C1" w:rsidRDefault="009B16C1" w:rsidP="009B16C1">
      <w:pPr>
        <w:rPr>
          <w:rFonts w:ascii="Arial" w:eastAsia="Arial Unicode MS" w:hAnsi="Arial" w:cs="Arial"/>
          <w:color w:val="000000"/>
          <w:sz w:val="22"/>
          <w:szCs w:val="22"/>
        </w:rPr>
      </w:pPr>
      <w:r w:rsidRPr="009B16C1">
        <w:rPr>
          <w:rFonts w:ascii="Arial" w:eastAsia="Arial Unicode MS" w:hAnsi="Arial" w:cs="Arial"/>
          <w:color w:val="000000"/>
          <w:sz w:val="22"/>
          <w:szCs w:val="22"/>
        </w:rPr>
        <w:t xml:space="preserve">There has been challenge to the current guidance for </w:t>
      </w:r>
      <w:r w:rsidR="00482132">
        <w:rPr>
          <w:rFonts w:ascii="Arial" w:eastAsia="Arial Unicode MS" w:hAnsi="Arial" w:cs="Arial"/>
          <w:color w:val="000000"/>
          <w:sz w:val="22"/>
          <w:szCs w:val="22"/>
        </w:rPr>
        <w:t xml:space="preserve">the </w:t>
      </w:r>
      <w:r w:rsidR="00482132" w:rsidRPr="009B16C1">
        <w:rPr>
          <w:rFonts w:ascii="Arial" w:eastAsia="Arial Unicode MS" w:hAnsi="Arial" w:cs="Arial"/>
          <w:color w:val="000000"/>
          <w:sz w:val="22"/>
          <w:szCs w:val="22"/>
        </w:rPr>
        <w:t>reporti</w:t>
      </w:r>
      <w:r w:rsidR="00482132">
        <w:rPr>
          <w:rFonts w:ascii="Arial" w:eastAsia="Arial Unicode MS" w:hAnsi="Arial" w:cs="Arial"/>
          <w:color w:val="000000"/>
          <w:sz w:val="22"/>
          <w:szCs w:val="22"/>
        </w:rPr>
        <w:t>ng</w:t>
      </w:r>
      <w:r w:rsidR="00482132" w:rsidRPr="009B16C1">
        <w:rPr>
          <w:rFonts w:ascii="Arial" w:eastAsia="Arial Unicode MS" w:hAnsi="Arial" w:cs="Arial"/>
          <w:color w:val="000000"/>
          <w:sz w:val="22"/>
          <w:szCs w:val="22"/>
        </w:rPr>
        <w:t xml:space="preserve"> </w:t>
      </w:r>
      <w:r w:rsidR="00482132">
        <w:rPr>
          <w:rFonts w:ascii="Arial" w:eastAsia="Arial Unicode MS" w:hAnsi="Arial" w:cs="Arial"/>
          <w:color w:val="000000"/>
          <w:sz w:val="22"/>
          <w:szCs w:val="22"/>
        </w:rPr>
        <w:t xml:space="preserve">of </w:t>
      </w:r>
      <w:r w:rsidRPr="009B16C1">
        <w:rPr>
          <w:rFonts w:ascii="Arial" w:eastAsia="Arial Unicode MS" w:hAnsi="Arial" w:cs="Arial"/>
          <w:color w:val="000000"/>
          <w:sz w:val="22"/>
          <w:szCs w:val="22"/>
        </w:rPr>
        <w:t xml:space="preserve">DNA Mixture </w:t>
      </w:r>
      <w:r w:rsidR="00482132">
        <w:rPr>
          <w:rFonts w:ascii="Arial" w:eastAsia="Arial Unicode MS" w:hAnsi="Arial" w:cs="Arial"/>
          <w:color w:val="000000"/>
          <w:sz w:val="22"/>
          <w:szCs w:val="22"/>
        </w:rPr>
        <w:t xml:space="preserve">profile records retained on the National DNA Database (NDNAD) - where the only matches involving mixture records </w:t>
      </w:r>
      <w:r w:rsidR="000F2178">
        <w:rPr>
          <w:rFonts w:ascii="Arial" w:eastAsia="Arial Unicode MS" w:hAnsi="Arial" w:cs="Arial"/>
          <w:color w:val="000000"/>
          <w:sz w:val="22"/>
          <w:szCs w:val="22"/>
        </w:rPr>
        <w:t xml:space="preserve">permitted </w:t>
      </w:r>
      <w:r w:rsidRPr="009B16C1">
        <w:rPr>
          <w:rFonts w:ascii="Arial" w:eastAsia="Arial Unicode MS" w:hAnsi="Arial" w:cs="Arial"/>
          <w:color w:val="000000"/>
          <w:sz w:val="22"/>
          <w:szCs w:val="22"/>
        </w:rPr>
        <w:t>to be assigned illustrative figures on match probabilities for the SFR1</w:t>
      </w:r>
      <w:r>
        <w:rPr>
          <w:rFonts w:ascii="Arial" w:eastAsia="Arial Unicode MS" w:hAnsi="Arial" w:cs="Arial"/>
          <w:color w:val="000000"/>
          <w:sz w:val="22"/>
          <w:szCs w:val="22"/>
        </w:rPr>
        <w:t xml:space="preserve"> report</w:t>
      </w:r>
      <w:r w:rsidRPr="009B16C1">
        <w:rPr>
          <w:rFonts w:ascii="Arial" w:eastAsia="Arial Unicode MS" w:hAnsi="Arial" w:cs="Arial"/>
          <w:color w:val="000000"/>
          <w:sz w:val="22"/>
          <w:szCs w:val="22"/>
        </w:rPr>
        <w:t xml:space="preserve"> are for a full profile, designated as a clear complete major profile where any minor alleles are not interfering with the major components. Partial and more complex DNA Mixtures are not able to be assigned an illustrative match probability figure. The challenge centres at least in part on the fact that investigators and local CPS branches have struggled to know what to do with a DNA SFR1 in the absence of a “statistic”.</w:t>
      </w:r>
    </w:p>
    <w:p w:rsidR="00041DB1" w:rsidRDefault="00041DB1" w:rsidP="00B55525">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lang w:val="en-GB"/>
        </w:rPr>
      </w:pPr>
    </w:p>
    <w:p w:rsidR="009B16C1" w:rsidRPr="009B16C1" w:rsidRDefault="009B16C1" w:rsidP="009B16C1">
      <w:pPr>
        <w:rPr>
          <w:rFonts w:ascii="Arial" w:eastAsia="Arial Unicode MS" w:hAnsi="Arial" w:cs="Arial"/>
          <w:color w:val="000000"/>
          <w:sz w:val="22"/>
          <w:szCs w:val="22"/>
        </w:rPr>
      </w:pPr>
      <w:r w:rsidRPr="009B16C1">
        <w:rPr>
          <w:rFonts w:ascii="Arial" w:eastAsia="Arial Unicode MS" w:hAnsi="Arial" w:cs="Arial"/>
          <w:color w:val="000000"/>
          <w:sz w:val="22"/>
          <w:szCs w:val="22"/>
        </w:rPr>
        <w:t>From discussions at the June 2016 NDNAD and Fingerprints Strategy Board, there was agreement that research should be commissioned in order to establish - for partial and complex DNA Mixture profiles - what thresholds could be determined above which it is statistically justifiable to report a figure of ‘1 in a billion’ for Streamlined Forensic Reporting</w:t>
      </w:r>
      <w:r w:rsidR="00482132">
        <w:rPr>
          <w:rFonts w:ascii="Arial" w:eastAsia="Arial Unicode MS" w:hAnsi="Arial" w:cs="Arial"/>
          <w:color w:val="000000"/>
          <w:sz w:val="22"/>
          <w:szCs w:val="22"/>
        </w:rPr>
        <w:t xml:space="preserve"> </w:t>
      </w:r>
      <w:r w:rsidR="00323F6E">
        <w:rPr>
          <w:rFonts w:ascii="Arial" w:eastAsia="Arial Unicode MS" w:hAnsi="Arial" w:cs="Arial"/>
          <w:color w:val="000000"/>
          <w:sz w:val="22"/>
          <w:szCs w:val="22"/>
        </w:rPr>
        <w:t xml:space="preserve">(SFR) </w:t>
      </w:r>
      <w:r w:rsidR="00482132">
        <w:rPr>
          <w:rFonts w:ascii="Arial" w:eastAsia="Arial Unicode MS" w:hAnsi="Arial" w:cs="Arial"/>
          <w:color w:val="000000"/>
          <w:sz w:val="22"/>
          <w:szCs w:val="22"/>
        </w:rPr>
        <w:t>purposes – to define the ‘safe</w:t>
      </w:r>
      <w:r w:rsidRPr="009B16C1">
        <w:rPr>
          <w:rFonts w:ascii="Arial" w:eastAsia="Arial Unicode MS" w:hAnsi="Arial" w:cs="Arial"/>
          <w:color w:val="000000"/>
          <w:sz w:val="22"/>
          <w:szCs w:val="22"/>
        </w:rPr>
        <w:t xml:space="preserve"> zone</w:t>
      </w:r>
      <w:r w:rsidR="00482132">
        <w:rPr>
          <w:rFonts w:ascii="Arial" w:eastAsia="Arial Unicode MS" w:hAnsi="Arial" w:cs="Arial"/>
          <w:color w:val="000000"/>
          <w:sz w:val="22"/>
          <w:szCs w:val="22"/>
        </w:rPr>
        <w:t>’</w:t>
      </w:r>
      <w:r w:rsidRPr="009B16C1">
        <w:rPr>
          <w:rFonts w:ascii="Arial" w:eastAsia="Arial Unicode MS" w:hAnsi="Arial" w:cs="Arial"/>
          <w:color w:val="000000"/>
          <w:sz w:val="22"/>
          <w:szCs w:val="22"/>
        </w:rPr>
        <w:t>.</w:t>
      </w:r>
    </w:p>
    <w:p w:rsidR="00B55525" w:rsidRDefault="00B55525" w:rsidP="00676DD5">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lang w:val="en-GB"/>
        </w:rPr>
      </w:pPr>
    </w:p>
    <w:p w:rsidR="00323F6E" w:rsidRPr="00323F6E" w:rsidRDefault="009B16C1" w:rsidP="009B16C1">
      <w:pPr>
        <w:rPr>
          <w:rFonts w:ascii="Arial" w:eastAsia="Arial Unicode MS" w:hAnsi="Arial" w:cs="Arial"/>
          <w:color w:val="000000"/>
          <w:sz w:val="22"/>
          <w:szCs w:val="22"/>
        </w:rPr>
      </w:pPr>
      <w:r w:rsidRPr="009B16C1">
        <w:rPr>
          <w:rFonts w:ascii="Arial" w:eastAsia="Arial Unicode MS" w:hAnsi="Arial" w:cs="Arial"/>
          <w:color w:val="000000"/>
          <w:sz w:val="22"/>
          <w:szCs w:val="22"/>
        </w:rPr>
        <w:t>Wrapped around this research is a review of increased differentiation that is appropriate for DNA Mixtures as well as reviewing the reporting structure to ensure that elements from DNA Mixture definition to NDNAD caveats to SFR are logically aligned.</w:t>
      </w:r>
      <w:r w:rsidR="00E11227">
        <w:rPr>
          <w:rFonts w:ascii="Arial" w:eastAsia="Arial Unicode MS" w:hAnsi="Arial" w:cs="Arial"/>
          <w:color w:val="000000"/>
          <w:sz w:val="22"/>
          <w:szCs w:val="22"/>
        </w:rPr>
        <w:t xml:space="preserve"> </w:t>
      </w:r>
      <w:r w:rsidR="00323F6E" w:rsidRPr="00323F6E">
        <w:rPr>
          <w:rFonts w:ascii="Arial" w:eastAsia="Arial Unicode MS" w:hAnsi="Arial" w:cs="Arial"/>
          <w:color w:val="000000"/>
          <w:sz w:val="22"/>
          <w:szCs w:val="22"/>
        </w:rPr>
        <w:t>As context to this tender, additional and related activities have been ongoing:</w:t>
      </w:r>
    </w:p>
    <w:p w:rsidR="00F24BE3" w:rsidRPr="00AA5F87" w:rsidRDefault="00F24BE3" w:rsidP="00AA5F87">
      <w:pPr>
        <w:rPr>
          <w:rFonts w:ascii="Arial" w:eastAsia="Arial Unicode MS" w:hAnsi="Arial" w:cs="Arial"/>
          <w:color w:val="000000"/>
        </w:rPr>
      </w:pPr>
    </w:p>
    <w:p w:rsidR="00F24BE3" w:rsidRDefault="00323F6E" w:rsidP="001C4615">
      <w:pPr>
        <w:pStyle w:val="ListParagraph"/>
        <w:numPr>
          <w:ilvl w:val="0"/>
          <w:numId w:val="8"/>
        </w:numPr>
        <w:rPr>
          <w:rFonts w:ascii="Arial" w:eastAsia="Arial Unicode MS" w:hAnsi="Arial" w:cs="Arial"/>
          <w:color w:val="000000"/>
        </w:rPr>
      </w:pPr>
      <w:r w:rsidRPr="00F24BE3">
        <w:rPr>
          <w:rFonts w:ascii="Arial" w:eastAsia="Arial Unicode MS" w:hAnsi="Arial" w:cs="Arial"/>
          <w:color w:val="000000"/>
        </w:rPr>
        <w:t xml:space="preserve">FSP representatives from the </w:t>
      </w:r>
      <w:r w:rsidR="009B16C1" w:rsidRPr="00F24BE3">
        <w:rPr>
          <w:rFonts w:ascii="Arial" w:eastAsia="Arial Unicode MS" w:hAnsi="Arial" w:cs="Arial"/>
          <w:color w:val="000000"/>
        </w:rPr>
        <w:t xml:space="preserve">DNA Mixtures Expert Network to </w:t>
      </w:r>
      <w:r w:rsidRPr="00F24BE3">
        <w:rPr>
          <w:rFonts w:ascii="Arial" w:eastAsia="Arial Unicode MS" w:hAnsi="Arial" w:cs="Arial"/>
          <w:color w:val="000000"/>
        </w:rPr>
        <w:t xml:space="preserve">review data provided from the NDNAD to understand the types of matches and the volumes of each (i.e. complete clear mixture through to complex match); </w:t>
      </w:r>
      <w:r w:rsidR="00AA5F87">
        <w:rPr>
          <w:rFonts w:ascii="Arial" w:eastAsia="Arial Unicode MS" w:hAnsi="Arial" w:cs="Arial"/>
          <w:color w:val="000000"/>
        </w:rPr>
        <w:t>NDNAD Delivery Unit (NDU)</w:t>
      </w:r>
      <w:r w:rsidRPr="00F24BE3">
        <w:rPr>
          <w:rFonts w:ascii="Arial" w:eastAsia="Arial Unicode MS" w:hAnsi="Arial" w:cs="Arial"/>
          <w:color w:val="000000"/>
        </w:rPr>
        <w:t xml:space="preserve"> supplied each FSP with matches involving mixtures their processing units had generated and submitted for NDNAD retention during a given month.  FSPs are currently analysing the matches to categorise them; with an output being an idea for what types could fall into the ‘safe-zone’.</w:t>
      </w:r>
    </w:p>
    <w:p w:rsidR="00F24BE3" w:rsidRPr="00F24BE3" w:rsidRDefault="00F24BE3" w:rsidP="00F24BE3">
      <w:pPr>
        <w:pStyle w:val="ListParagraph"/>
        <w:rPr>
          <w:rFonts w:ascii="Arial" w:eastAsia="Arial Unicode MS" w:hAnsi="Arial" w:cs="Arial"/>
          <w:color w:val="000000"/>
        </w:rPr>
      </w:pPr>
    </w:p>
    <w:p w:rsidR="00323F6E" w:rsidRPr="00F24BE3" w:rsidRDefault="00323F6E" w:rsidP="00F24BE3">
      <w:pPr>
        <w:pStyle w:val="ListParagraph"/>
        <w:rPr>
          <w:rFonts w:ascii="Arial" w:eastAsia="Arial Unicode MS" w:hAnsi="Arial" w:cs="Arial"/>
          <w:color w:val="000000"/>
        </w:rPr>
      </w:pPr>
      <w:r w:rsidRPr="00F24BE3">
        <w:rPr>
          <w:rFonts w:ascii="Arial" w:eastAsia="Arial Unicode MS" w:hAnsi="Arial" w:cs="Arial"/>
          <w:color w:val="000000"/>
        </w:rPr>
        <w:t>The following categories are examples for categorisation that may be observed from the analysis of the dataset, and so the ratio of profiles within each category are to be collated along with a risk level for that category – and further categories added as appropriate.</w:t>
      </w:r>
    </w:p>
    <w:p w:rsidR="00323F6E" w:rsidRDefault="00323F6E" w:rsidP="00F24BE3">
      <w:pPr>
        <w:ind w:left="720"/>
        <w:jc w:val="both"/>
        <w:rPr>
          <w:rFonts w:ascii="Arial" w:hAnsi="Arial" w:cs="Arial"/>
          <w:sz w:val="20"/>
          <w:szCs w:val="20"/>
          <w:u w:val="single"/>
        </w:rPr>
      </w:pPr>
      <w:r w:rsidRPr="00F24BE3">
        <w:rPr>
          <w:rFonts w:ascii="Arial" w:hAnsi="Arial" w:cs="Arial"/>
          <w:sz w:val="20"/>
          <w:szCs w:val="20"/>
          <w:u w:val="single"/>
        </w:rPr>
        <w:t>Full profile retained on the NDNAD</w:t>
      </w:r>
    </w:p>
    <w:p w:rsidR="006C44DE" w:rsidRPr="00F24BE3" w:rsidRDefault="006C44DE" w:rsidP="00F24BE3">
      <w:pPr>
        <w:ind w:left="720"/>
        <w:jc w:val="both"/>
        <w:rPr>
          <w:rFonts w:ascii="Arial" w:hAnsi="Arial" w:cs="Arial"/>
          <w:sz w:val="20"/>
          <w:szCs w:val="20"/>
          <w:u w:val="single"/>
        </w:rPr>
      </w:pPr>
    </w:p>
    <w:p w:rsidR="006C44DE" w:rsidRPr="00AA5F87" w:rsidRDefault="00323F6E" w:rsidP="001C4615">
      <w:pPr>
        <w:pStyle w:val="ListParagraph"/>
        <w:numPr>
          <w:ilvl w:val="0"/>
          <w:numId w:val="6"/>
        </w:numPr>
        <w:spacing w:after="160" w:line="252" w:lineRule="auto"/>
        <w:ind w:left="1440"/>
        <w:jc w:val="both"/>
        <w:rPr>
          <w:rFonts w:ascii="Arial" w:hAnsi="Arial" w:cs="Arial"/>
          <w:color w:val="002060"/>
          <w:sz w:val="20"/>
          <w:szCs w:val="20"/>
        </w:rPr>
      </w:pPr>
      <w:r w:rsidRPr="00F24BE3">
        <w:rPr>
          <w:rFonts w:ascii="Arial" w:hAnsi="Arial" w:cs="Arial"/>
          <w:sz w:val="20"/>
          <w:szCs w:val="20"/>
        </w:rPr>
        <w:t xml:space="preserve">The DNA profile is full, clear and unambiguous, with one component consistently higher than the other(s) at all loci, reflecting that one contributor left substantially more DNA in the sample than the other(s). It can therefore be </w:t>
      </w:r>
      <w:proofErr w:type="spellStart"/>
      <w:r w:rsidRPr="00F24BE3">
        <w:rPr>
          <w:rFonts w:ascii="Arial" w:hAnsi="Arial" w:cs="Arial"/>
          <w:sz w:val="20"/>
          <w:szCs w:val="20"/>
        </w:rPr>
        <w:t>deconvoluted</w:t>
      </w:r>
      <w:proofErr w:type="spellEnd"/>
      <w:r w:rsidRPr="00F24BE3">
        <w:rPr>
          <w:rFonts w:ascii="Arial" w:hAnsi="Arial" w:cs="Arial"/>
          <w:sz w:val="20"/>
          <w:szCs w:val="20"/>
        </w:rPr>
        <w:t xml:space="preserve"> into a major (and sometimes a minor) contributor. Aligns to ‘</w:t>
      </w:r>
      <w:r w:rsidRPr="00F24BE3">
        <w:rPr>
          <w:rFonts w:ascii="Arial" w:hAnsi="Arial" w:cs="Arial"/>
          <w:i/>
          <w:iCs/>
          <w:sz w:val="20"/>
          <w:szCs w:val="20"/>
        </w:rPr>
        <w:t>a full (complete) profile (this will be indicated in field 2 of the match report) and where an FSP’s internal guidance designates a clear complete major profile where any minor alleles are not interfering with the major components (typically at a ratio of 5:1)</w:t>
      </w:r>
      <w:r w:rsidRPr="00F24BE3">
        <w:rPr>
          <w:rFonts w:ascii="Arial" w:hAnsi="Arial" w:cs="Arial"/>
          <w:sz w:val="20"/>
          <w:szCs w:val="20"/>
        </w:rPr>
        <w:t>’.</w:t>
      </w:r>
    </w:p>
    <w:p w:rsidR="00AA5F87" w:rsidRPr="00AA5F87" w:rsidRDefault="00AA5F87" w:rsidP="00AA5F87">
      <w:pPr>
        <w:pStyle w:val="ListParagraph"/>
        <w:spacing w:after="160" w:line="252" w:lineRule="auto"/>
        <w:ind w:left="1440"/>
        <w:jc w:val="both"/>
        <w:rPr>
          <w:rFonts w:ascii="Arial" w:hAnsi="Arial" w:cs="Arial"/>
          <w:color w:val="002060"/>
          <w:sz w:val="20"/>
          <w:szCs w:val="20"/>
        </w:rPr>
      </w:pPr>
    </w:p>
    <w:p w:rsidR="00AA5F87" w:rsidRPr="00AA5F87" w:rsidRDefault="00AA5F87" w:rsidP="001C4615">
      <w:pPr>
        <w:pStyle w:val="ListParagraph"/>
        <w:numPr>
          <w:ilvl w:val="0"/>
          <w:numId w:val="6"/>
        </w:numPr>
        <w:spacing w:after="160" w:line="252" w:lineRule="auto"/>
        <w:ind w:left="1440"/>
        <w:jc w:val="both"/>
        <w:rPr>
          <w:rFonts w:ascii="Arial" w:hAnsi="Arial" w:cs="Arial"/>
          <w:sz w:val="20"/>
          <w:szCs w:val="20"/>
        </w:rPr>
      </w:pPr>
      <w:r w:rsidRPr="00F24BE3">
        <w:rPr>
          <w:rFonts w:ascii="Arial" w:hAnsi="Arial" w:cs="Arial"/>
          <w:sz w:val="20"/>
          <w:szCs w:val="20"/>
        </w:rPr>
        <w:t>Conditioned mixtures - full profile derived with use of elimination profile.</w:t>
      </w:r>
    </w:p>
    <w:p w:rsidR="006C44DE" w:rsidRDefault="006C44DE" w:rsidP="00F24BE3">
      <w:pPr>
        <w:ind w:left="720"/>
        <w:jc w:val="both"/>
        <w:rPr>
          <w:rFonts w:ascii="Arial" w:hAnsi="Arial" w:cs="Arial"/>
          <w:sz w:val="20"/>
          <w:szCs w:val="20"/>
          <w:u w:val="single"/>
        </w:rPr>
      </w:pPr>
    </w:p>
    <w:p w:rsidR="00323F6E" w:rsidRDefault="00323F6E" w:rsidP="00F24BE3">
      <w:pPr>
        <w:ind w:left="720"/>
        <w:jc w:val="both"/>
        <w:rPr>
          <w:rFonts w:ascii="Arial" w:hAnsi="Arial" w:cs="Arial"/>
          <w:sz w:val="20"/>
          <w:szCs w:val="20"/>
          <w:u w:val="single"/>
        </w:rPr>
      </w:pPr>
      <w:r w:rsidRPr="00F24BE3">
        <w:rPr>
          <w:rFonts w:ascii="Arial" w:hAnsi="Arial" w:cs="Arial"/>
          <w:sz w:val="20"/>
          <w:szCs w:val="20"/>
          <w:u w:val="single"/>
        </w:rPr>
        <w:t>Partial profile retained on the NDNAD</w:t>
      </w:r>
    </w:p>
    <w:p w:rsidR="00AA5F87" w:rsidRDefault="00AA5F87" w:rsidP="00AA5F87">
      <w:pPr>
        <w:jc w:val="both"/>
        <w:rPr>
          <w:rFonts w:ascii="Arial" w:hAnsi="Arial" w:cs="Arial"/>
          <w:sz w:val="20"/>
          <w:szCs w:val="20"/>
          <w:u w:val="single"/>
        </w:rPr>
      </w:pPr>
    </w:p>
    <w:p w:rsidR="00AA5F87" w:rsidRDefault="00AA5F87" w:rsidP="00AA5F87">
      <w:pPr>
        <w:ind w:left="992"/>
        <w:jc w:val="both"/>
        <w:rPr>
          <w:rFonts w:ascii="Arial" w:hAnsi="Arial" w:cs="Arial"/>
          <w:sz w:val="20"/>
          <w:szCs w:val="20"/>
        </w:rPr>
      </w:pPr>
      <w:r>
        <w:rPr>
          <w:rFonts w:ascii="Arial" w:hAnsi="Arial" w:cs="Arial"/>
          <w:sz w:val="20"/>
          <w:szCs w:val="20"/>
        </w:rPr>
        <w:t xml:space="preserve">1a.    </w:t>
      </w:r>
      <w:r w:rsidRPr="006C44DE">
        <w:rPr>
          <w:rFonts w:ascii="Arial" w:hAnsi="Arial" w:cs="Arial"/>
          <w:sz w:val="20"/>
          <w:szCs w:val="20"/>
        </w:rPr>
        <w:t xml:space="preserve">The DNA profile is clear and unambiguous, with one component consistently higher than the other(s) </w:t>
      </w:r>
    </w:p>
    <w:p w:rsidR="00AA5F87" w:rsidRDefault="00AA5F87" w:rsidP="00AA5F87">
      <w:pPr>
        <w:ind w:left="992"/>
        <w:jc w:val="both"/>
        <w:rPr>
          <w:rFonts w:ascii="Arial" w:hAnsi="Arial" w:cs="Arial"/>
          <w:sz w:val="20"/>
          <w:szCs w:val="20"/>
        </w:rPr>
      </w:pPr>
      <w:r>
        <w:rPr>
          <w:rFonts w:ascii="Arial" w:hAnsi="Arial" w:cs="Arial"/>
          <w:sz w:val="20"/>
          <w:szCs w:val="20"/>
        </w:rPr>
        <w:t xml:space="preserve">         </w:t>
      </w:r>
      <w:r w:rsidRPr="006C44DE">
        <w:rPr>
          <w:rFonts w:ascii="Arial" w:hAnsi="Arial" w:cs="Arial"/>
          <w:sz w:val="20"/>
          <w:szCs w:val="20"/>
        </w:rPr>
        <w:t xml:space="preserve">at all loci, reflecting that one contributor left substantially more DNA in the sample than the other(s). </w:t>
      </w:r>
      <w:r>
        <w:rPr>
          <w:rFonts w:ascii="Arial" w:hAnsi="Arial" w:cs="Arial"/>
          <w:sz w:val="20"/>
          <w:szCs w:val="20"/>
        </w:rPr>
        <w:t xml:space="preserve"> </w:t>
      </w:r>
    </w:p>
    <w:p w:rsidR="00AA5F87" w:rsidRDefault="00AA5F87" w:rsidP="00AA5F87">
      <w:pPr>
        <w:ind w:left="992"/>
        <w:jc w:val="both"/>
        <w:rPr>
          <w:rFonts w:ascii="Arial" w:hAnsi="Arial" w:cs="Arial"/>
          <w:sz w:val="20"/>
          <w:szCs w:val="20"/>
        </w:rPr>
      </w:pPr>
      <w:r>
        <w:rPr>
          <w:rFonts w:ascii="Arial" w:hAnsi="Arial" w:cs="Arial"/>
          <w:sz w:val="20"/>
          <w:szCs w:val="20"/>
        </w:rPr>
        <w:t xml:space="preserve">         </w:t>
      </w:r>
      <w:r w:rsidRPr="006C44DE">
        <w:rPr>
          <w:rFonts w:ascii="Arial" w:hAnsi="Arial" w:cs="Arial"/>
          <w:sz w:val="20"/>
          <w:szCs w:val="20"/>
        </w:rPr>
        <w:t xml:space="preserve">It can therefore be </w:t>
      </w:r>
      <w:proofErr w:type="spellStart"/>
      <w:r w:rsidRPr="006C44DE">
        <w:rPr>
          <w:rFonts w:ascii="Arial" w:hAnsi="Arial" w:cs="Arial"/>
          <w:sz w:val="20"/>
          <w:szCs w:val="20"/>
        </w:rPr>
        <w:t>deconvoluted</w:t>
      </w:r>
      <w:proofErr w:type="spellEnd"/>
      <w:r w:rsidRPr="006C44DE">
        <w:rPr>
          <w:rFonts w:ascii="Arial" w:hAnsi="Arial" w:cs="Arial"/>
          <w:sz w:val="20"/>
          <w:szCs w:val="20"/>
        </w:rPr>
        <w:t xml:space="preserve"> into a major (and sometimes a minor) contributor. The interpreted </w:t>
      </w:r>
    </w:p>
    <w:p w:rsidR="00AA5F87" w:rsidRDefault="00AA5F87" w:rsidP="00AA5F87">
      <w:pPr>
        <w:ind w:left="992"/>
        <w:jc w:val="both"/>
        <w:rPr>
          <w:rFonts w:ascii="Arial" w:hAnsi="Arial" w:cs="Arial"/>
          <w:sz w:val="20"/>
          <w:szCs w:val="20"/>
        </w:rPr>
      </w:pPr>
      <w:r>
        <w:rPr>
          <w:rFonts w:ascii="Arial" w:hAnsi="Arial" w:cs="Arial"/>
          <w:sz w:val="20"/>
          <w:szCs w:val="20"/>
        </w:rPr>
        <w:t xml:space="preserve">         </w:t>
      </w:r>
      <w:r w:rsidRPr="006C44DE">
        <w:rPr>
          <w:rFonts w:ascii="Arial" w:hAnsi="Arial" w:cs="Arial"/>
          <w:sz w:val="20"/>
          <w:szCs w:val="20"/>
        </w:rPr>
        <w:t xml:space="preserve">profile is a partial with up to X number of wildcard 'F' values, the presence and positioning of these </w:t>
      </w:r>
    </w:p>
    <w:p w:rsidR="006C44DE" w:rsidRPr="00AA5F87" w:rsidRDefault="00AA5F87" w:rsidP="00AA5F87">
      <w:pPr>
        <w:ind w:left="992"/>
        <w:jc w:val="both"/>
        <w:rPr>
          <w:rFonts w:ascii="Arial" w:hAnsi="Arial" w:cs="Arial"/>
          <w:sz w:val="20"/>
          <w:szCs w:val="20"/>
        </w:rPr>
      </w:pPr>
      <w:r>
        <w:rPr>
          <w:rFonts w:ascii="Arial" w:hAnsi="Arial" w:cs="Arial"/>
          <w:sz w:val="20"/>
          <w:szCs w:val="20"/>
        </w:rPr>
        <w:t xml:space="preserve">         </w:t>
      </w:r>
      <w:r w:rsidRPr="006C44DE">
        <w:rPr>
          <w:rFonts w:ascii="Arial" w:hAnsi="Arial" w:cs="Arial"/>
          <w:sz w:val="20"/>
          <w:szCs w:val="20"/>
        </w:rPr>
        <w:t>wildcards reflecting dropout or heterozygote imbalance.</w:t>
      </w:r>
    </w:p>
    <w:p w:rsidR="00323F6E" w:rsidRPr="00F24BE3" w:rsidRDefault="00323F6E" w:rsidP="001C4615">
      <w:pPr>
        <w:pStyle w:val="ListParagraph"/>
        <w:numPr>
          <w:ilvl w:val="0"/>
          <w:numId w:val="6"/>
        </w:numPr>
        <w:spacing w:after="160" w:line="252" w:lineRule="auto"/>
        <w:ind w:left="1440"/>
        <w:jc w:val="both"/>
        <w:rPr>
          <w:rFonts w:ascii="Arial" w:hAnsi="Arial" w:cs="Arial"/>
          <w:sz w:val="20"/>
          <w:szCs w:val="20"/>
        </w:rPr>
      </w:pPr>
      <w:r w:rsidRPr="00F24BE3">
        <w:rPr>
          <w:rFonts w:ascii="Arial" w:hAnsi="Arial" w:cs="Arial"/>
          <w:sz w:val="20"/>
          <w:szCs w:val="20"/>
        </w:rPr>
        <w:t>As 1, the DNA profile is full and it is clear which is the major profile, at other(s), it is possible that peaks could have arisen from either contributor, due to the difference in the amount of DNA contributed by the individuals not being sufficient for unambiguous deconvolution at some loci.</w:t>
      </w:r>
    </w:p>
    <w:p w:rsidR="00323F6E" w:rsidRPr="00F24BE3" w:rsidRDefault="00323F6E" w:rsidP="001C4615">
      <w:pPr>
        <w:pStyle w:val="ListParagraph"/>
        <w:numPr>
          <w:ilvl w:val="0"/>
          <w:numId w:val="6"/>
        </w:numPr>
        <w:spacing w:after="160" w:line="252" w:lineRule="auto"/>
        <w:ind w:left="1440"/>
        <w:jc w:val="both"/>
        <w:rPr>
          <w:rFonts w:ascii="Arial" w:hAnsi="Arial" w:cs="Arial"/>
          <w:sz w:val="20"/>
          <w:szCs w:val="20"/>
        </w:rPr>
      </w:pPr>
      <w:r w:rsidRPr="00F24BE3">
        <w:rPr>
          <w:rFonts w:ascii="Arial" w:hAnsi="Arial" w:cs="Arial"/>
          <w:sz w:val="20"/>
          <w:szCs w:val="20"/>
        </w:rPr>
        <w:t>As 2, the DNA profile is full and it is clear which is the major profile, at other(s), it is possible that peaks could have arisen from either contributor.</w:t>
      </w:r>
    </w:p>
    <w:p w:rsidR="00323F6E" w:rsidRPr="00F24BE3" w:rsidRDefault="00323F6E" w:rsidP="001C4615">
      <w:pPr>
        <w:pStyle w:val="ListParagraph"/>
        <w:numPr>
          <w:ilvl w:val="0"/>
          <w:numId w:val="6"/>
        </w:numPr>
        <w:spacing w:after="160" w:line="252" w:lineRule="auto"/>
        <w:ind w:left="1440"/>
        <w:jc w:val="both"/>
        <w:rPr>
          <w:rFonts w:ascii="Arial" w:hAnsi="Arial" w:cs="Arial"/>
          <w:sz w:val="20"/>
          <w:szCs w:val="20"/>
        </w:rPr>
      </w:pPr>
      <w:r w:rsidRPr="00F24BE3">
        <w:rPr>
          <w:rFonts w:ascii="Arial" w:hAnsi="Arial" w:cs="Arial"/>
          <w:sz w:val="20"/>
          <w:szCs w:val="20"/>
        </w:rPr>
        <w:t>The DNA profile is partial due to low level of DNA present in total and/or that the DNA was too degraded or inhibited – just 1 locus is affected.</w:t>
      </w:r>
    </w:p>
    <w:p w:rsidR="009B16C1" w:rsidRPr="00F24BE3" w:rsidRDefault="00323F6E" w:rsidP="001C4615">
      <w:pPr>
        <w:pStyle w:val="ListParagraph"/>
        <w:numPr>
          <w:ilvl w:val="0"/>
          <w:numId w:val="6"/>
        </w:numPr>
        <w:spacing w:after="160" w:line="252" w:lineRule="auto"/>
        <w:ind w:left="1440"/>
        <w:jc w:val="both"/>
        <w:rPr>
          <w:rFonts w:ascii="Arial" w:hAnsi="Arial" w:cs="Arial"/>
          <w:sz w:val="20"/>
          <w:szCs w:val="20"/>
        </w:rPr>
      </w:pPr>
      <w:r w:rsidRPr="00F24BE3">
        <w:rPr>
          <w:rFonts w:ascii="Arial" w:hAnsi="Arial" w:cs="Arial"/>
          <w:sz w:val="20"/>
          <w:szCs w:val="20"/>
        </w:rPr>
        <w:lastRenderedPageBreak/>
        <w:t>The DNA profile is partial due to low level of DNA present in total and/or that the DNA was too degraded or inhibited – more than 1 locus is affected.</w:t>
      </w:r>
    </w:p>
    <w:p w:rsidR="00B55525" w:rsidRPr="00B823BE" w:rsidRDefault="00432AC9" w:rsidP="00B55525">
      <w:pPr>
        <w:pStyle w:val="Heading1"/>
        <w:numPr>
          <w:ilvl w:val="0"/>
          <w:numId w:val="0"/>
        </w:numPr>
        <w:ind w:left="432" w:hanging="432"/>
        <w:rPr>
          <w:color w:val="8F23B3"/>
        </w:rPr>
      </w:pPr>
      <w:r w:rsidRPr="00B823BE">
        <w:rPr>
          <w:color w:val="8F23B3"/>
        </w:rPr>
        <w:t>Requirements</w:t>
      </w:r>
    </w:p>
    <w:p w:rsidR="008A1376" w:rsidRPr="00C371D4" w:rsidRDefault="00651F9D" w:rsidP="00041DB1">
      <w:pPr>
        <w:rPr>
          <w:rFonts w:ascii="Arial" w:eastAsia="Arial Unicode MS" w:hAnsi="Arial" w:cs="Arial"/>
          <w:color w:val="000000"/>
          <w:sz w:val="22"/>
          <w:szCs w:val="22"/>
        </w:rPr>
      </w:pPr>
      <w:r w:rsidRPr="00C371D4">
        <w:rPr>
          <w:rFonts w:ascii="Arial" w:eastAsia="Arial Unicode MS" w:hAnsi="Arial" w:cs="Arial"/>
          <w:color w:val="000000"/>
          <w:sz w:val="22"/>
          <w:szCs w:val="22"/>
        </w:rPr>
        <w:t>In this tender, the contractor will be required to deliver the following:</w:t>
      </w:r>
    </w:p>
    <w:p w:rsidR="008A1376" w:rsidRPr="00F24BE3" w:rsidRDefault="008A1376" w:rsidP="00041DB1">
      <w:pPr>
        <w:rPr>
          <w:rFonts w:ascii="Arial" w:eastAsia="Arial Unicode MS" w:hAnsi="Arial" w:cs="Arial"/>
          <w:color w:val="000000"/>
          <w:sz w:val="22"/>
          <w:szCs w:val="22"/>
        </w:rPr>
      </w:pPr>
    </w:p>
    <w:p w:rsidR="00651F9D" w:rsidRPr="00F24BE3" w:rsidRDefault="00C327FD" w:rsidP="001C4615">
      <w:pPr>
        <w:pStyle w:val="ListParagraph"/>
        <w:numPr>
          <w:ilvl w:val="0"/>
          <w:numId w:val="5"/>
        </w:numPr>
        <w:rPr>
          <w:rFonts w:ascii="Arial" w:eastAsia="Arial Unicode MS" w:hAnsi="Arial" w:cs="Arial"/>
          <w:b/>
          <w:color w:val="000000"/>
        </w:rPr>
      </w:pPr>
      <w:r w:rsidRPr="00F24BE3">
        <w:rPr>
          <w:rFonts w:ascii="Arial" w:eastAsia="Arial Unicode MS" w:hAnsi="Arial" w:cs="Arial"/>
          <w:b/>
          <w:color w:val="000000"/>
          <w:lang w:eastAsia="en-GB"/>
        </w:rPr>
        <w:t xml:space="preserve">Presentation of </w:t>
      </w:r>
      <w:r w:rsidR="00F24BE3" w:rsidRPr="00F24BE3">
        <w:rPr>
          <w:rFonts w:ascii="Arial" w:eastAsia="Arial Unicode MS" w:hAnsi="Arial" w:cs="Arial"/>
          <w:b/>
          <w:color w:val="000000"/>
          <w:lang w:eastAsia="en-GB"/>
        </w:rPr>
        <w:t xml:space="preserve">research for the </w:t>
      </w:r>
      <w:r w:rsidRPr="00F24BE3">
        <w:rPr>
          <w:rFonts w:ascii="Arial" w:eastAsia="Arial Unicode MS" w:hAnsi="Arial" w:cs="Arial"/>
          <w:b/>
          <w:color w:val="000000"/>
          <w:lang w:eastAsia="en-GB"/>
        </w:rPr>
        <w:t>statistical theory for definition of thresholds above which an illustrative match probability figure can be assigned to partial or complex DNA Mixture profiles retained on the National DNA Database.</w:t>
      </w:r>
    </w:p>
    <w:p w:rsidR="00C327FD" w:rsidRPr="00F24BE3" w:rsidRDefault="00C327FD" w:rsidP="00C327FD">
      <w:pPr>
        <w:pStyle w:val="ListParagraph"/>
        <w:ind w:left="360"/>
        <w:rPr>
          <w:rFonts w:ascii="Arial" w:eastAsia="Arial Unicode MS" w:hAnsi="Arial" w:cs="Arial"/>
          <w:color w:val="000000"/>
        </w:rPr>
      </w:pPr>
    </w:p>
    <w:p w:rsidR="00F24BE3" w:rsidRPr="00F24BE3" w:rsidRDefault="00C327FD" w:rsidP="001C4615">
      <w:pPr>
        <w:pStyle w:val="ListParagraph"/>
        <w:numPr>
          <w:ilvl w:val="0"/>
          <w:numId w:val="7"/>
        </w:numPr>
        <w:rPr>
          <w:rFonts w:ascii="Arial" w:hAnsi="Arial" w:cs="Arial"/>
        </w:rPr>
      </w:pPr>
      <w:r w:rsidRPr="00F24BE3">
        <w:rPr>
          <w:rFonts w:ascii="Arial" w:eastAsia="Arial Unicode MS" w:hAnsi="Arial" w:cs="Arial"/>
          <w:color w:val="000000"/>
        </w:rPr>
        <w:t>Acknowledging that the NDNAD retains numerical and wildcard ‘F’ values for crime scene profile records, and the current procedure is that an allele count method is used to determine the appropriate illustrative match probability figure (from the</w:t>
      </w:r>
      <w:r w:rsidR="00414574">
        <w:rPr>
          <w:rFonts w:ascii="Arial" w:eastAsia="Arial Unicode MS" w:hAnsi="Arial" w:cs="Arial"/>
          <w:color w:val="000000"/>
        </w:rPr>
        <w:t xml:space="preserve"> </w:t>
      </w:r>
      <w:r w:rsidR="00414574">
        <w:rPr>
          <w:rFonts w:ascii="Arial" w:eastAsia="Arial Unicode MS" w:hAnsi="Arial" w:cs="Arial"/>
          <w:color w:val="000000"/>
          <w:lang w:eastAsia="en-GB"/>
        </w:rPr>
        <w:t>DNA Good Practice Manual</w:t>
      </w:r>
      <w:r w:rsidRPr="00F24BE3">
        <w:rPr>
          <w:rFonts w:ascii="Arial" w:eastAsia="Arial Unicode MS" w:hAnsi="Arial" w:cs="Arial"/>
          <w:color w:val="000000"/>
        </w:rPr>
        <w:t xml:space="preserve"> ‘look-up’ table</w:t>
      </w:r>
      <w:r w:rsidR="00F24BE3" w:rsidRPr="00F24BE3">
        <w:rPr>
          <w:rFonts w:ascii="Arial" w:eastAsia="Arial Unicode MS" w:hAnsi="Arial" w:cs="Arial"/>
          <w:color w:val="000000"/>
        </w:rPr>
        <w:t xml:space="preserve"> as Annex 1</w:t>
      </w:r>
      <w:r w:rsidRPr="00F24BE3">
        <w:rPr>
          <w:rFonts w:ascii="Arial" w:eastAsia="Arial Unicode MS" w:hAnsi="Arial" w:cs="Arial"/>
          <w:color w:val="000000"/>
        </w:rPr>
        <w:t xml:space="preserve">) which can then be assigned for SFR purposes, </w:t>
      </w:r>
      <w:r w:rsidRPr="00F24BE3">
        <w:rPr>
          <w:rFonts w:ascii="Arial" w:hAnsi="Arial" w:cs="Arial"/>
        </w:rPr>
        <w:t>establish whether or not there is a “safe” level, above which, irrespective of the true value of missing or ambiguous alleles, the risk of falsely high “indicative figures” is sufficiently small to be acceptable.</w:t>
      </w:r>
      <w:r w:rsidR="00F24BE3" w:rsidRPr="00F24BE3">
        <w:rPr>
          <w:rFonts w:ascii="Arial" w:hAnsi="Arial" w:cs="Arial"/>
        </w:rPr>
        <w:t xml:space="preserve"> </w:t>
      </w:r>
      <w:r w:rsidR="00F24BE3" w:rsidRPr="00F24BE3">
        <w:rPr>
          <w:rFonts w:ascii="Arial" w:eastAsia="Arial Unicode MS" w:hAnsi="Arial" w:cs="Arial"/>
          <w:color w:val="000000"/>
        </w:rPr>
        <w:t>The research would need to consider multiple factors to include:</w:t>
      </w:r>
    </w:p>
    <w:p w:rsidR="00F24BE3" w:rsidRPr="00F24BE3" w:rsidRDefault="00F24BE3" w:rsidP="001C4615">
      <w:pPr>
        <w:pStyle w:val="ListParagraph"/>
        <w:numPr>
          <w:ilvl w:val="1"/>
          <w:numId w:val="7"/>
        </w:numPr>
        <w:rPr>
          <w:rFonts w:ascii="Arial" w:hAnsi="Arial" w:cs="Arial"/>
        </w:rPr>
      </w:pPr>
      <w:r w:rsidRPr="00F24BE3">
        <w:rPr>
          <w:rFonts w:ascii="Arial" w:eastAsia="Arial Unicode MS" w:hAnsi="Arial" w:cs="Arial"/>
          <w:color w:val="000000"/>
        </w:rPr>
        <w:t>number of matching alleles</w:t>
      </w:r>
    </w:p>
    <w:p w:rsidR="00F24BE3" w:rsidRPr="00F24BE3" w:rsidRDefault="00F24BE3" w:rsidP="001C4615">
      <w:pPr>
        <w:pStyle w:val="ListParagraph"/>
        <w:numPr>
          <w:ilvl w:val="1"/>
          <w:numId w:val="7"/>
        </w:numPr>
        <w:rPr>
          <w:rFonts w:ascii="Arial" w:hAnsi="Arial" w:cs="Arial"/>
        </w:rPr>
      </w:pPr>
      <w:r w:rsidRPr="00F24BE3">
        <w:rPr>
          <w:rFonts w:ascii="Arial" w:eastAsia="Arial Unicode MS" w:hAnsi="Arial" w:cs="Arial"/>
          <w:color w:val="000000"/>
        </w:rPr>
        <w:t>minimum number of contributors</w:t>
      </w:r>
    </w:p>
    <w:p w:rsidR="00F24BE3" w:rsidRPr="00F24BE3" w:rsidRDefault="00F24BE3" w:rsidP="001C4615">
      <w:pPr>
        <w:pStyle w:val="ListParagraph"/>
        <w:numPr>
          <w:ilvl w:val="1"/>
          <w:numId w:val="7"/>
        </w:numPr>
        <w:rPr>
          <w:rFonts w:ascii="Arial" w:hAnsi="Arial" w:cs="Arial"/>
        </w:rPr>
      </w:pPr>
      <w:r w:rsidRPr="00F24BE3">
        <w:rPr>
          <w:rFonts w:ascii="Arial" w:eastAsia="Arial Unicode MS" w:hAnsi="Arial" w:cs="Arial"/>
          <w:color w:val="000000"/>
        </w:rPr>
        <w:t>mixture ratio</w:t>
      </w:r>
    </w:p>
    <w:p w:rsidR="00C327FD" w:rsidRPr="00AA5F87" w:rsidRDefault="00F24BE3" w:rsidP="001C4615">
      <w:pPr>
        <w:pStyle w:val="ListParagraph"/>
        <w:numPr>
          <w:ilvl w:val="1"/>
          <w:numId w:val="7"/>
        </w:numPr>
        <w:rPr>
          <w:rFonts w:ascii="Arial" w:hAnsi="Arial" w:cs="Arial"/>
        </w:rPr>
      </w:pPr>
      <w:r w:rsidRPr="00F24BE3">
        <w:rPr>
          <w:rFonts w:ascii="Arial" w:eastAsia="Arial Unicode MS" w:hAnsi="Arial" w:cs="Arial"/>
          <w:color w:val="000000"/>
        </w:rPr>
        <w:t>profile characteristics (e.g. stochastic effects due to low levels of DNA from one or more contributor).</w:t>
      </w:r>
    </w:p>
    <w:p w:rsidR="00AA5F87" w:rsidRPr="00AA5F87" w:rsidRDefault="00AA5F87" w:rsidP="00AA5F87">
      <w:pPr>
        <w:pStyle w:val="ListParagraph"/>
        <w:ind w:left="1800"/>
        <w:rPr>
          <w:rFonts w:ascii="Arial" w:hAnsi="Arial" w:cs="Arial"/>
        </w:rPr>
      </w:pPr>
    </w:p>
    <w:p w:rsidR="00AA5F87" w:rsidRPr="00F24BE3" w:rsidRDefault="00AA5F87" w:rsidP="001C4615">
      <w:pPr>
        <w:pStyle w:val="ListParagraph"/>
        <w:numPr>
          <w:ilvl w:val="0"/>
          <w:numId w:val="7"/>
        </w:numPr>
        <w:rPr>
          <w:rFonts w:ascii="Arial" w:hAnsi="Arial" w:cs="Arial"/>
        </w:rPr>
      </w:pPr>
      <w:r>
        <w:rPr>
          <w:rFonts w:ascii="Arial" w:eastAsia="Arial Unicode MS" w:hAnsi="Arial" w:cs="Arial"/>
          <w:color w:val="000000"/>
        </w:rPr>
        <w:t xml:space="preserve">Consideration of </w:t>
      </w:r>
      <w:r w:rsidRPr="00F24BE3">
        <w:rPr>
          <w:rFonts w:ascii="Arial" w:eastAsia="Arial Unicode MS" w:hAnsi="Arial" w:cs="Arial"/>
          <w:color w:val="000000"/>
        </w:rPr>
        <w:t xml:space="preserve">whether DNA Mixture profiles (generated with a DNA-17 PCR Chemistry) which have a full complement of numerically designated </w:t>
      </w:r>
      <w:proofErr w:type="spellStart"/>
      <w:r w:rsidRPr="00F24BE3">
        <w:rPr>
          <w:rFonts w:ascii="Arial" w:eastAsia="Arial Unicode MS" w:hAnsi="Arial" w:cs="Arial"/>
          <w:color w:val="000000"/>
        </w:rPr>
        <w:t>SGMPlus</w:t>
      </w:r>
      <w:proofErr w:type="spellEnd"/>
      <w:r w:rsidRPr="00F24BE3">
        <w:rPr>
          <w:rFonts w:ascii="Arial" w:eastAsia="Arial Unicode MS" w:hAnsi="Arial" w:cs="Arial"/>
          <w:color w:val="000000"/>
        </w:rPr>
        <w:t xml:space="preserve"> markers but also contain wildcard ‘F’ value(s) for the DNA-17 loci that are not present in </w:t>
      </w:r>
      <w:proofErr w:type="spellStart"/>
      <w:r w:rsidRPr="00F24BE3">
        <w:rPr>
          <w:rFonts w:ascii="Arial" w:eastAsia="Arial Unicode MS" w:hAnsi="Arial" w:cs="Arial"/>
          <w:color w:val="000000"/>
        </w:rPr>
        <w:t>SGMPlus</w:t>
      </w:r>
      <w:proofErr w:type="spellEnd"/>
      <w:r w:rsidRPr="00F24BE3">
        <w:rPr>
          <w:rFonts w:ascii="Arial" w:eastAsia="Arial Unicode MS" w:hAnsi="Arial" w:cs="Arial"/>
          <w:color w:val="000000"/>
        </w:rPr>
        <w:t xml:space="preserve"> (i.e. not a</w:t>
      </w:r>
      <w:r>
        <w:rPr>
          <w:rFonts w:ascii="Arial" w:eastAsia="Arial Unicode MS" w:hAnsi="Arial" w:cs="Arial"/>
          <w:color w:val="000000"/>
        </w:rPr>
        <w:t xml:space="preserve"> DNA-17 full profile) are ‘safe’</w:t>
      </w:r>
      <w:r w:rsidRPr="00F24BE3">
        <w:rPr>
          <w:rFonts w:ascii="Arial" w:eastAsia="Arial Unicode MS" w:hAnsi="Arial" w:cs="Arial"/>
          <w:color w:val="000000"/>
        </w:rPr>
        <w:t xml:space="preserve"> to be assigned an illustrative match probability figure</w:t>
      </w:r>
      <w:r>
        <w:rPr>
          <w:rFonts w:ascii="Arial" w:eastAsia="Arial Unicode MS" w:hAnsi="Arial" w:cs="Arial"/>
          <w:color w:val="000000"/>
        </w:rPr>
        <w:t xml:space="preserve"> (considering the current guidance being that it must be a full profile).</w:t>
      </w:r>
    </w:p>
    <w:p w:rsidR="00F24BE3" w:rsidRPr="00F24BE3" w:rsidRDefault="00F24BE3" w:rsidP="00F24BE3">
      <w:pPr>
        <w:pStyle w:val="ListParagraph"/>
        <w:ind w:left="1800"/>
        <w:rPr>
          <w:rFonts w:ascii="Arial" w:hAnsi="Arial" w:cs="Arial"/>
        </w:rPr>
      </w:pPr>
    </w:p>
    <w:p w:rsidR="00E11227" w:rsidRDefault="00E11227" w:rsidP="001C4615">
      <w:pPr>
        <w:pStyle w:val="ListParagraph"/>
        <w:numPr>
          <w:ilvl w:val="0"/>
          <w:numId w:val="7"/>
        </w:numPr>
        <w:rPr>
          <w:rFonts w:ascii="Arial" w:eastAsia="Arial Unicode MS" w:hAnsi="Arial" w:cs="Arial"/>
          <w:color w:val="000000"/>
          <w:lang w:eastAsia="en-GB"/>
        </w:rPr>
      </w:pPr>
      <w:r>
        <w:rPr>
          <w:rFonts w:ascii="Arial" w:eastAsia="Arial Unicode MS" w:hAnsi="Arial" w:cs="Arial"/>
          <w:color w:val="000000"/>
        </w:rPr>
        <w:t xml:space="preserve">Consideration of mixture ‘type’ (examples given in ‘Background’ section) for the statistical basis for delineation of a ‘safe zone’ by type, and whether there is a more comprehensive or informative type breakdown which could usefully </w:t>
      </w:r>
      <w:r w:rsidR="004C4973">
        <w:rPr>
          <w:rFonts w:ascii="Arial" w:eastAsia="Arial Unicode MS" w:hAnsi="Arial" w:cs="Arial"/>
          <w:color w:val="000000"/>
        </w:rPr>
        <w:t xml:space="preserve">be applied to </w:t>
      </w:r>
      <w:r>
        <w:rPr>
          <w:rFonts w:ascii="Arial" w:eastAsia="Arial Unicode MS" w:hAnsi="Arial" w:cs="Arial"/>
          <w:color w:val="000000"/>
        </w:rPr>
        <w:t>map across from FSP to potential differentiation on the NDNAD</w:t>
      </w:r>
      <w:r w:rsidR="004C4973">
        <w:rPr>
          <w:rFonts w:ascii="Arial" w:eastAsia="Arial Unicode MS" w:hAnsi="Arial" w:cs="Arial"/>
          <w:color w:val="000000"/>
        </w:rPr>
        <w:t xml:space="preserve"> (i.e. different caveats by type as well as a ‘safe zone’ caveat and a non ‘safe zone’ caveat)</w:t>
      </w:r>
      <w:r>
        <w:rPr>
          <w:rFonts w:ascii="Arial" w:eastAsia="Arial Unicode MS" w:hAnsi="Arial" w:cs="Arial"/>
          <w:color w:val="000000"/>
        </w:rPr>
        <w:t xml:space="preserve"> and the outputs through DNA Match Report caveats produced for SFR purposes.</w:t>
      </w:r>
    </w:p>
    <w:p w:rsidR="00B823BE" w:rsidRDefault="00B823BE" w:rsidP="00C371D4">
      <w:pPr>
        <w:pStyle w:val="Heading1"/>
        <w:numPr>
          <w:ilvl w:val="0"/>
          <w:numId w:val="0"/>
        </w:numPr>
        <w:ind w:left="432" w:hanging="432"/>
        <w:rPr>
          <w:color w:val="8F23B3"/>
        </w:rPr>
      </w:pPr>
      <w:r>
        <w:rPr>
          <w:color w:val="8F23B3"/>
        </w:rPr>
        <w:t>Budget</w:t>
      </w:r>
    </w:p>
    <w:p w:rsidR="00B823BE" w:rsidRPr="00B823BE" w:rsidRDefault="0073501D" w:rsidP="00B823BE">
      <w:pPr>
        <w:pStyle w:val="Bodycopy"/>
      </w:pPr>
      <w:r>
        <w:rPr>
          <w:rFonts w:eastAsia="Arial Unicode MS"/>
          <w:color w:val="000000"/>
          <w:sz w:val="22"/>
          <w:szCs w:val="22"/>
        </w:rPr>
        <w:t>An indication of value for this</w:t>
      </w:r>
      <w:r w:rsidR="00DC306F">
        <w:rPr>
          <w:rFonts w:eastAsia="Arial Unicode MS"/>
          <w:color w:val="000000"/>
          <w:sz w:val="22"/>
          <w:szCs w:val="22"/>
        </w:rPr>
        <w:t xml:space="preserve"> project is found on Contracts F</w:t>
      </w:r>
      <w:r>
        <w:rPr>
          <w:rFonts w:eastAsia="Arial Unicode MS"/>
          <w:color w:val="000000"/>
          <w:sz w:val="22"/>
          <w:szCs w:val="22"/>
        </w:rPr>
        <w:t xml:space="preserve">inder.  </w:t>
      </w:r>
    </w:p>
    <w:p w:rsidR="00BA237C" w:rsidRPr="00B823BE" w:rsidRDefault="00432AC9" w:rsidP="00C371D4">
      <w:pPr>
        <w:pStyle w:val="Heading1"/>
        <w:numPr>
          <w:ilvl w:val="0"/>
          <w:numId w:val="0"/>
        </w:numPr>
        <w:ind w:left="432" w:hanging="432"/>
        <w:rPr>
          <w:color w:val="8F23B3"/>
        </w:rPr>
      </w:pPr>
      <w:r w:rsidRPr="00B823BE">
        <w:rPr>
          <w:color w:val="8F23B3"/>
        </w:rPr>
        <w:t>Timetable</w:t>
      </w:r>
    </w:p>
    <w:p w:rsidR="008D2827" w:rsidRPr="00966F00" w:rsidRDefault="008D2827" w:rsidP="008D2827">
      <w:pPr>
        <w:widowControl w:val="0"/>
        <w:outlineLvl w:val="0"/>
        <w:rPr>
          <w:rFonts w:ascii="Arial" w:hAnsi="Arial" w:cs="Arial"/>
          <w:b/>
          <w:sz w:val="22"/>
          <w:szCs w:val="22"/>
        </w:rPr>
      </w:pPr>
      <w:bookmarkStart w:id="1" w:name="_Toc258931650"/>
      <w:bookmarkStart w:id="2" w:name="_Toc267037393"/>
      <w:r w:rsidRPr="00966F00">
        <w:rPr>
          <w:rFonts w:ascii="Arial" w:hAnsi="Arial" w:cs="Arial"/>
          <w:b/>
          <w:sz w:val="22"/>
          <w:szCs w:val="22"/>
        </w:rPr>
        <w:t>INDICATIVE TIMETABLE</w:t>
      </w:r>
      <w:bookmarkEnd w:id="1"/>
      <w:bookmarkEnd w:id="2"/>
    </w:p>
    <w:p w:rsidR="008D2827" w:rsidRPr="00205BDC" w:rsidRDefault="008D2827" w:rsidP="008D2827">
      <w:pPr>
        <w:pStyle w:val="BlockText"/>
        <w:widowControl w:val="0"/>
        <w:spacing w:line="240" w:lineRule="auto"/>
        <w:ind w:left="0" w:right="32"/>
        <w:rPr>
          <w:rFonts w:ascii="Calibri" w:hAnsi="Calibri" w:cs="Arial"/>
          <w:sz w:val="22"/>
          <w:szCs w:val="22"/>
        </w:rPr>
      </w:pPr>
    </w:p>
    <w:p w:rsidR="008D2827" w:rsidRPr="005B28A4" w:rsidRDefault="008D2827" w:rsidP="008D2827">
      <w:pPr>
        <w:pStyle w:val="BlockText"/>
        <w:widowControl w:val="0"/>
        <w:tabs>
          <w:tab w:val="clear" w:pos="450"/>
        </w:tabs>
        <w:spacing w:line="240" w:lineRule="auto"/>
        <w:ind w:left="0" w:right="32" w:firstLine="0"/>
        <w:rPr>
          <w:rFonts w:ascii="Arial" w:hAnsi="Arial" w:cs="Arial"/>
          <w:sz w:val="22"/>
          <w:szCs w:val="22"/>
        </w:rPr>
      </w:pPr>
      <w:r w:rsidRPr="005B28A4">
        <w:rPr>
          <w:rFonts w:ascii="Arial" w:hAnsi="Arial" w:cs="Arial"/>
          <w:sz w:val="22"/>
          <w:szCs w:val="22"/>
        </w:rPr>
        <w:t>Set out below is an INDICATIVE procurement timetable. This is intended as a guide and, whilst the Authority does not intend to depart from the timetable, it reserves the right to do so at any time.</w:t>
      </w:r>
    </w:p>
    <w:p w:rsidR="008D2827" w:rsidRDefault="008D2827" w:rsidP="008D2827">
      <w:pPr>
        <w:shd w:val="clear" w:color="auto" w:fill="FFFFFF"/>
        <w:ind w:left="284"/>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7"/>
        <w:gridCol w:w="6379"/>
      </w:tblGrid>
      <w:tr w:rsidR="008D2827" w:rsidRPr="00131CC9" w:rsidTr="00441B9F">
        <w:trPr>
          <w:trHeight w:val="599"/>
        </w:trPr>
        <w:tc>
          <w:tcPr>
            <w:tcW w:w="9016" w:type="dxa"/>
            <w:gridSpan w:val="2"/>
            <w:shd w:val="clear" w:color="auto" w:fill="7030A0"/>
          </w:tcPr>
          <w:p w:rsidR="008D2827" w:rsidRPr="00131CC9" w:rsidRDefault="008D2827" w:rsidP="00441B9F">
            <w:pPr>
              <w:pStyle w:val="BodyText1"/>
              <w:spacing w:before="120" w:line="276" w:lineRule="auto"/>
              <w:ind w:firstLine="0"/>
              <w:jc w:val="both"/>
              <w:rPr>
                <w:rFonts w:cs="Arial"/>
                <w:b/>
                <w:color w:val="FFFFFF"/>
                <w:sz w:val="24"/>
                <w:szCs w:val="24"/>
              </w:rPr>
            </w:pPr>
            <w:r w:rsidRPr="00131CC9">
              <w:rPr>
                <w:rFonts w:cs="Arial"/>
                <w:b/>
                <w:color w:val="FFFFFF"/>
                <w:sz w:val="24"/>
                <w:szCs w:val="24"/>
              </w:rPr>
              <w:t>ESTIMATED PROCUREMENT TIMETABLE</w:t>
            </w:r>
          </w:p>
        </w:tc>
      </w:tr>
      <w:tr w:rsidR="008D2827" w:rsidRPr="00131CC9" w:rsidTr="00441B9F">
        <w:tc>
          <w:tcPr>
            <w:tcW w:w="2637" w:type="dxa"/>
            <w:shd w:val="clear" w:color="auto" w:fill="7030A0"/>
          </w:tcPr>
          <w:p w:rsidR="008D2827" w:rsidRPr="00131CC9" w:rsidRDefault="008D2827" w:rsidP="00441B9F">
            <w:pPr>
              <w:pStyle w:val="BodyText1"/>
              <w:spacing w:before="120" w:line="276" w:lineRule="auto"/>
              <w:jc w:val="center"/>
              <w:rPr>
                <w:rFonts w:cs="Arial"/>
                <w:b/>
                <w:color w:val="FFFFFF"/>
                <w:sz w:val="24"/>
                <w:szCs w:val="24"/>
              </w:rPr>
            </w:pPr>
            <w:r w:rsidRPr="00131CC9">
              <w:rPr>
                <w:rFonts w:cs="Arial"/>
                <w:b/>
                <w:color w:val="FFFFFF"/>
                <w:sz w:val="24"/>
                <w:szCs w:val="24"/>
              </w:rPr>
              <w:t>EXPECTED DATE</w:t>
            </w:r>
          </w:p>
        </w:tc>
        <w:tc>
          <w:tcPr>
            <w:tcW w:w="6379" w:type="dxa"/>
            <w:shd w:val="clear" w:color="auto" w:fill="7030A0"/>
          </w:tcPr>
          <w:p w:rsidR="008D2827" w:rsidRPr="00131CC9" w:rsidRDefault="008D2827" w:rsidP="00441B9F">
            <w:pPr>
              <w:pStyle w:val="BodyText1"/>
              <w:spacing w:before="120" w:line="276" w:lineRule="auto"/>
              <w:ind w:firstLine="0"/>
              <w:jc w:val="center"/>
              <w:rPr>
                <w:rFonts w:cs="Arial"/>
                <w:b/>
                <w:color w:val="FFFFFF"/>
                <w:sz w:val="24"/>
                <w:szCs w:val="24"/>
              </w:rPr>
            </w:pPr>
            <w:r w:rsidRPr="00131CC9">
              <w:rPr>
                <w:rFonts w:cs="Arial"/>
                <w:b/>
                <w:color w:val="FFFFFF"/>
                <w:sz w:val="24"/>
                <w:szCs w:val="24"/>
              </w:rPr>
              <w:t>ACTIVITY</w:t>
            </w:r>
          </w:p>
        </w:tc>
      </w:tr>
      <w:tr w:rsidR="008D2827" w:rsidRPr="00131CC9" w:rsidTr="00441B9F">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c>
          <w:tcPr>
            <w:tcW w:w="2637" w:type="dxa"/>
            <w:tcBorders>
              <w:top w:val="single" w:sz="8" w:space="0" w:color="4F81BD"/>
              <w:bottom w:val="single" w:sz="8" w:space="0" w:color="4F81BD"/>
              <w:right w:val="single" w:sz="8" w:space="0" w:color="4F81BD"/>
            </w:tcBorders>
          </w:tcPr>
          <w:p w:rsidR="008D2827" w:rsidRPr="00CE4C60" w:rsidRDefault="005376A2" w:rsidP="00441B9F">
            <w:pPr>
              <w:spacing w:line="276" w:lineRule="auto"/>
              <w:jc w:val="center"/>
              <w:rPr>
                <w:rFonts w:ascii="Arial" w:hAnsi="Arial" w:cs="Arial"/>
                <w:i/>
              </w:rPr>
            </w:pPr>
            <w:r>
              <w:rPr>
                <w:rFonts w:ascii="Arial" w:hAnsi="Arial" w:cs="Arial"/>
                <w:i/>
              </w:rPr>
              <w:t>Thursday 17</w:t>
            </w:r>
            <w:r w:rsidR="008D2827">
              <w:rPr>
                <w:rFonts w:ascii="Arial" w:hAnsi="Arial" w:cs="Arial"/>
                <w:i/>
              </w:rPr>
              <w:t xml:space="preserve"> August -  2017</w:t>
            </w:r>
          </w:p>
        </w:tc>
        <w:tc>
          <w:tcPr>
            <w:tcW w:w="6379" w:type="dxa"/>
            <w:tcBorders>
              <w:top w:val="single" w:sz="8" w:space="0" w:color="4F81BD"/>
              <w:bottom w:val="single" w:sz="8" w:space="0" w:color="4F81BD"/>
              <w:right w:val="single" w:sz="8" w:space="0" w:color="4F81BD"/>
            </w:tcBorders>
            <w:vAlign w:val="center"/>
          </w:tcPr>
          <w:p w:rsidR="008D2827" w:rsidRPr="00131CC9" w:rsidRDefault="008D2827" w:rsidP="00441B9F">
            <w:pPr>
              <w:spacing w:line="276" w:lineRule="auto"/>
              <w:rPr>
                <w:rFonts w:ascii="Arial" w:hAnsi="Arial" w:cs="Arial"/>
                <w:bCs/>
              </w:rPr>
            </w:pPr>
            <w:r w:rsidRPr="00131CC9">
              <w:rPr>
                <w:rFonts w:ascii="Arial" w:hAnsi="Arial" w:cs="Arial"/>
                <w:bCs/>
              </w:rPr>
              <w:t xml:space="preserve">Formal invitation to Tender (ITT) issued by the HO on contracts finder </w:t>
            </w:r>
          </w:p>
        </w:tc>
      </w:tr>
      <w:tr w:rsidR="008D2827" w:rsidRPr="00131CC9" w:rsidTr="00441B9F">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rPr>
          <w:trHeight w:val="60"/>
        </w:trPr>
        <w:tc>
          <w:tcPr>
            <w:tcW w:w="2637" w:type="dxa"/>
            <w:tcBorders>
              <w:top w:val="single" w:sz="8" w:space="0" w:color="4F81BD"/>
              <w:bottom w:val="single" w:sz="8" w:space="0" w:color="4F81BD"/>
              <w:right w:val="single" w:sz="8" w:space="0" w:color="4F81BD"/>
            </w:tcBorders>
          </w:tcPr>
          <w:p w:rsidR="008D2827" w:rsidRDefault="000201FC" w:rsidP="00441B9F">
            <w:pPr>
              <w:jc w:val="center"/>
              <w:rPr>
                <w:rFonts w:ascii="Arial" w:hAnsi="Arial" w:cs="Arial"/>
                <w:i/>
              </w:rPr>
            </w:pPr>
            <w:r>
              <w:rPr>
                <w:rFonts w:ascii="Arial" w:hAnsi="Arial" w:cs="Arial"/>
                <w:i/>
              </w:rPr>
              <w:lastRenderedPageBreak/>
              <w:t>Friday 1 September</w:t>
            </w:r>
            <w:r w:rsidR="008D2827">
              <w:rPr>
                <w:rFonts w:ascii="Arial" w:hAnsi="Arial" w:cs="Arial"/>
                <w:i/>
              </w:rPr>
              <w:t xml:space="preserve"> – </w:t>
            </w:r>
          </w:p>
          <w:p w:rsidR="008D2827" w:rsidRPr="00CE4C60" w:rsidRDefault="008D2827" w:rsidP="00441B9F">
            <w:pPr>
              <w:spacing w:line="276" w:lineRule="auto"/>
              <w:jc w:val="center"/>
              <w:rPr>
                <w:rFonts w:ascii="Arial" w:hAnsi="Arial" w:cs="Arial"/>
                <w:i/>
              </w:rPr>
            </w:pPr>
            <w:r>
              <w:rPr>
                <w:rFonts w:ascii="Arial" w:hAnsi="Arial" w:cs="Arial"/>
                <w:i/>
              </w:rPr>
              <w:t>12 noon-2107</w:t>
            </w:r>
          </w:p>
        </w:tc>
        <w:tc>
          <w:tcPr>
            <w:tcW w:w="6379" w:type="dxa"/>
            <w:tcBorders>
              <w:top w:val="single" w:sz="8" w:space="0" w:color="4F81BD"/>
              <w:bottom w:val="single" w:sz="8" w:space="0" w:color="4F81BD"/>
              <w:right w:val="single" w:sz="8" w:space="0" w:color="4F81BD"/>
            </w:tcBorders>
            <w:vAlign w:val="center"/>
          </w:tcPr>
          <w:p w:rsidR="008D2827" w:rsidRPr="00131CC9" w:rsidRDefault="008D2827" w:rsidP="00441B9F">
            <w:pPr>
              <w:spacing w:line="276" w:lineRule="auto"/>
              <w:rPr>
                <w:rFonts w:ascii="Arial" w:hAnsi="Arial" w:cs="Arial"/>
                <w:bCs/>
              </w:rPr>
            </w:pPr>
            <w:r>
              <w:rPr>
                <w:rFonts w:ascii="Arial" w:hAnsi="Arial" w:cs="Arial"/>
                <w:bCs/>
              </w:rPr>
              <w:t>Closing date/time for receipt of Bidders’ Clarification Questions</w:t>
            </w:r>
          </w:p>
        </w:tc>
      </w:tr>
      <w:tr w:rsidR="008D2827" w:rsidRPr="00131CC9" w:rsidTr="00441B9F">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rPr>
          <w:trHeight w:val="60"/>
        </w:trPr>
        <w:tc>
          <w:tcPr>
            <w:tcW w:w="2637" w:type="dxa"/>
            <w:tcBorders>
              <w:top w:val="single" w:sz="8" w:space="0" w:color="4F81BD"/>
              <w:bottom w:val="single" w:sz="8" w:space="0" w:color="4F81BD"/>
              <w:right w:val="single" w:sz="8" w:space="0" w:color="4F81BD"/>
            </w:tcBorders>
          </w:tcPr>
          <w:p w:rsidR="008D2827" w:rsidRDefault="000201FC" w:rsidP="00441B9F">
            <w:pPr>
              <w:jc w:val="center"/>
              <w:rPr>
                <w:rFonts w:ascii="Arial" w:hAnsi="Arial" w:cs="Arial"/>
                <w:i/>
              </w:rPr>
            </w:pPr>
            <w:r>
              <w:rPr>
                <w:rFonts w:ascii="Arial" w:hAnsi="Arial" w:cs="Arial"/>
                <w:i/>
              </w:rPr>
              <w:t>Friday 11 September-</w:t>
            </w:r>
          </w:p>
          <w:p w:rsidR="008D2827" w:rsidRPr="00CE4C60" w:rsidRDefault="008D2827" w:rsidP="00441B9F">
            <w:pPr>
              <w:jc w:val="center"/>
              <w:rPr>
                <w:rFonts w:ascii="Arial" w:hAnsi="Arial" w:cs="Arial"/>
                <w:i/>
              </w:rPr>
            </w:pPr>
            <w:r>
              <w:rPr>
                <w:rFonts w:ascii="Arial" w:hAnsi="Arial" w:cs="Arial"/>
                <w:i/>
              </w:rPr>
              <w:t>12 noon - 2017</w:t>
            </w:r>
          </w:p>
        </w:tc>
        <w:tc>
          <w:tcPr>
            <w:tcW w:w="6379" w:type="dxa"/>
            <w:tcBorders>
              <w:top w:val="single" w:sz="8" w:space="0" w:color="4F81BD"/>
              <w:bottom w:val="single" w:sz="8" w:space="0" w:color="4F81BD"/>
              <w:right w:val="single" w:sz="8" w:space="0" w:color="4F81BD"/>
            </w:tcBorders>
            <w:vAlign w:val="center"/>
          </w:tcPr>
          <w:p w:rsidR="008D2827" w:rsidRPr="00131CC9" w:rsidRDefault="008D2827" w:rsidP="00441B9F">
            <w:pPr>
              <w:spacing w:line="276" w:lineRule="auto"/>
              <w:rPr>
                <w:rFonts w:ascii="Arial" w:hAnsi="Arial" w:cs="Arial"/>
                <w:bCs/>
              </w:rPr>
            </w:pPr>
            <w:r w:rsidRPr="00131CC9">
              <w:rPr>
                <w:rFonts w:ascii="Arial" w:hAnsi="Arial" w:cs="Arial"/>
                <w:bCs/>
              </w:rPr>
              <w:t>Closing date</w:t>
            </w:r>
            <w:r>
              <w:rPr>
                <w:rFonts w:ascii="Arial" w:hAnsi="Arial" w:cs="Arial"/>
                <w:bCs/>
              </w:rPr>
              <w:t>/time</w:t>
            </w:r>
            <w:r w:rsidRPr="00131CC9">
              <w:rPr>
                <w:rFonts w:ascii="Arial" w:hAnsi="Arial" w:cs="Arial"/>
                <w:bCs/>
              </w:rPr>
              <w:t xml:space="preserve"> for submission of ITT responses. </w:t>
            </w:r>
          </w:p>
        </w:tc>
      </w:tr>
      <w:tr w:rsidR="008D2827" w:rsidRPr="00131CC9" w:rsidTr="00441B9F">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c>
          <w:tcPr>
            <w:tcW w:w="2637" w:type="dxa"/>
            <w:tcBorders>
              <w:top w:val="single" w:sz="8" w:space="0" w:color="4F81BD"/>
              <w:bottom w:val="single" w:sz="8" w:space="0" w:color="4F81BD"/>
              <w:right w:val="single" w:sz="8" w:space="0" w:color="4F81BD"/>
            </w:tcBorders>
          </w:tcPr>
          <w:p w:rsidR="008D2827" w:rsidRDefault="008D2827" w:rsidP="00441B9F">
            <w:pPr>
              <w:jc w:val="center"/>
              <w:rPr>
                <w:rFonts w:ascii="Arial" w:hAnsi="Arial" w:cs="Arial"/>
                <w:i/>
              </w:rPr>
            </w:pPr>
            <w:r w:rsidRPr="00CE4C60">
              <w:rPr>
                <w:rFonts w:ascii="Arial" w:hAnsi="Arial" w:cs="Arial"/>
                <w:i/>
              </w:rPr>
              <w:t xml:space="preserve">Friday </w:t>
            </w:r>
            <w:r>
              <w:rPr>
                <w:rFonts w:ascii="Arial" w:hAnsi="Arial" w:cs="Arial"/>
                <w:i/>
              </w:rPr>
              <w:t>1</w:t>
            </w:r>
            <w:r w:rsidR="00B729F9">
              <w:rPr>
                <w:rFonts w:ascii="Arial" w:hAnsi="Arial" w:cs="Arial"/>
                <w:i/>
              </w:rPr>
              <w:t>5 September</w:t>
            </w:r>
            <w:r>
              <w:rPr>
                <w:rFonts w:ascii="Arial" w:hAnsi="Arial" w:cs="Arial"/>
                <w:i/>
              </w:rPr>
              <w:t xml:space="preserve">– </w:t>
            </w:r>
          </w:p>
          <w:p w:rsidR="008D2827" w:rsidRPr="00CE4C60" w:rsidRDefault="008D2827" w:rsidP="00441B9F">
            <w:pPr>
              <w:jc w:val="center"/>
              <w:rPr>
                <w:rFonts w:ascii="Arial" w:hAnsi="Arial" w:cs="Arial"/>
                <w:i/>
              </w:rPr>
            </w:pPr>
            <w:r>
              <w:rPr>
                <w:rFonts w:ascii="Arial" w:hAnsi="Arial" w:cs="Arial"/>
                <w:i/>
              </w:rPr>
              <w:t>12 noon - 2017</w:t>
            </w:r>
          </w:p>
        </w:tc>
        <w:tc>
          <w:tcPr>
            <w:tcW w:w="6379" w:type="dxa"/>
            <w:tcBorders>
              <w:top w:val="single" w:sz="8" w:space="0" w:color="4F81BD"/>
              <w:bottom w:val="single" w:sz="8" w:space="0" w:color="4F81BD"/>
              <w:right w:val="single" w:sz="8" w:space="0" w:color="4F81BD"/>
            </w:tcBorders>
            <w:vAlign w:val="center"/>
          </w:tcPr>
          <w:p w:rsidR="008D2827" w:rsidRPr="00131CC9" w:rsidRDefault="008D2827" w:rsidP="00441B9F">
            <w:pPr>
              <w:spacing w:line="276" w:lineRule="auto"/>
              <w:rPr>
                <w:rFonts w:ascii="Arial" w:hAnsi="Arial" w:cs="Arial"/>
                <w:bCs/>
              </w:rPr>
            </w:pPr>
            <w:r>
              <w:rPr>
                <w:rFonts w:ascii="Arial" w:hAnsi="Arial" w:cs="Arial"/>
                <w:bCs/>
              </w:rPr>
              <w:t>Closing date/time for receipt of clarifications requested from bidders by evaluation team.</w:t>
            </w:r>
          </w:p>
        </w:tc>
      </w:tr>
      <w:tr w:rsidR="008D2827" w:rsidRPr="00131CC9" w:rsidTr="00441B9F">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c>
          <w:tcPr>
            <w:tcW w:w="2637" w:type="dxa"/>
            <w:tcBorders>
              <w:top w:val="single" w:sz="8" w:space="0" w:color="4F81BD"/>
              <w:bottom w:val="single" w:sz="8" w:space="0" w:color="4F81BD"/>
              <w:right w:val="single" w:sz="8" w:space="0" w:color="4F81BD"/>
            </w:tcBorders>
          </w:tcPr>
          <w:p w:rsidR="008D2827" w:rsidRPr="00CE4C60" w:rsidRDefault="008D2827" w:rsidP="00441B9F">
            <w:pPr>
              <w:spacing w:line="276" w:lineRule="auto"/>
              <w:jc w:val="center"/>
              <w:rPr>
                <w:rFonts w:ascii="Arial" w:hAnsi="Arial" w:cs="Arial"/>
                <w:i/>
              </w:rPr>
            </w:pPr>
            <w:r>
              <w:rPr>
                <w:rFonts w:ascii="Arial" w:hAnsi="Arial" w:cs="Arial"/>
                <w:i/>
              </w:rPr>
              <w:t xml:space="preserve">By </w:t>
            </w:r>
            <w:r w:rsidR="00B729F9">
              <w:rPr>
                <w:rFonts w:ascii="Arial" w:hAnsi="Arial" w:cs="Arial"/>
                <w:i/>
              </w:rPr>
              <w:t xml:space="preserve">Tuesday </w:t>
            </w:r>
            <w:r>
              <w:rPr>
                <w:rFonts w:ascii="Arial" w:hAnsi="Arial" w:cs="Arial"/>
                <w:i/>
              </w:rPr>
              <w:t>2</w:t>
            </w:r>
            <w:r w:rsidR="00B729F9">
              <w:rPr>
                <w:rFonts w:ascii="Arial" w:hAnsi="Arial" w:cs="Arial"/>
                <w:i/>
              </w:rPr>
              <w:t>6</w:t>
            </w:r>
            <w:r>
              <w:rPr>
                <w:rFonts w:ascii="Arial" w:hAnsi="Arial" w:cs="Arial"/>
                <w:i/>
              </w:rPr>
              <w:t xml:space="preserve"> September - 2017</w:t>
            </w:r>
          </w:p>
        </w:tc>
        <w:tc>
          <w:tcPr>
            <w:tcW w:w="6379" w:type="dxa"/>
            <w:tcBorders>
              <w:top w:val="single" w:sz="8" w:space="0" w:color="4F81BD"/>
              <w:bottom w:val="single" w:sz="8" w:space="0" w:color="4F81BD"/>
              <w:right w:val="single" w:sz="8" w:space="0" w:color="4F81BD"/>
            </w:tcBorders>
            <w:vAlign w:val="center"/>
          </w:tcPr>
          <w:p w:rsidR="008D2827" w:rsidRPr="00131CC9" w:rsidRDefault="008D2827" w:rsidP="00441B9F">
            <w:pPr>
              <w:spacing w:line="276" w:lineRule="auto"/>
              <w:rPr>
                <w:rFonts w:ascii="Arial" w:hAnsi="Arial" w:cs="Arial"/>
                <w:bCs/>
              </w:rPr>
            </w:pPr>
            <w:r>
              <w:rPr>
                <w:rFonts w:ascii="Arial" w:hAnsi="Arial" w:cs="Arial"/>
                <w:bCs/>
              </w:rPr>
              <w:t>Consensus evaluation of bids to confirm scores and agree preferred bidder.</w:t>
            </w:r>
            <w:r w:rsidRPr="00131CC9">
              <w:rPr>
                <w:rFonts w:ascii="Arial" w:hAnsi="Arial" w:cs="Arial"/>
                <w:bCs/>
              </w:rPr>
              <w:t xml:space="preserve"> </w:t>
            </w:r>
          </w:p>
        </w:tc>
      </w:tr>
      <w:tr w:rsidR="008D2827" w:rsidRPr="00131CC9" w:rsidTr="00441B9F">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c>
          <w:tcPr>
            <w:tcW w:w="2637" w:type="dxa"/>
            <w:tcBorders>
              <w:top w:val="single" w:sz="8" w:space="0" w:color="4F81BD"/>
              <w:bottom w:val="single" w:sz="8" w:space="0" w:color="4F81BD"/>
              <w:right w:val="single" w:sz="8" w:space="0" w:color="4F81BD"/>
            </w:tcBorders>
          </w:tcPr>
          <w:p w:rsidR="008D2827" w:rsidRPr="00CE4C60" w:rsidRDefault="00B729F9" w:rsidP="00B729F9">
            <w:pPr>
              <w:spacing w:line="276" w:lineRule="auto"/>
              <w:jc w:val="center"/>
              <w:rPr>
                <w:rFonts w:ascii="Arial" w:hAnsi="Arial" w:cs="Arial"/>
                <w:i/>
              </w:rPr>
            </w:pPr>
            <w:r>
              <w:rPr>
                <w:rFonts w:ascii="Arial" w:hAnsi="Arial" w:cs="Arial"/>
                <w:i/>
              </w:rPr>
              <w:t>By Monday 09 October</w:t>
            </w:r>
            <w:r w:rsidR="008D2827">
              <w:rPr>
                <w:rFonts w:ascii="Arial" w:hAnsi="Arial" w:cs="Arial"/>
                <w:i/>
              </w:rPr>
              <w:t xml:space="preserve"> - 2017</w:t>
            </w:r>
          </w:p>
        </w:tc>
        <w:tc>
          <w:tcPr>
            <w:tcW w:w="6379" w:type="dxa"/>
            <w:tcBorders>
              <w:top w:val="single" w:sz="8" w:space="0" w:color="4F81BD"/>
              <w:bottom w:val="single" w:sz="8" w:space="0" w:color="4F81BD"/>
              <w:right w:val="single" w:sz="8" w:space="0" w:color="4F81BD"/>
            </w:tcBorders>
            <w:vAlign w:val="center"/>
          </w:tcPr>
          <w:p w:rsidR="008D2827" w:rsidRPr="00131CC9" w:rsidRDefault="008D2827" w:rsidP="00441B9F">
            <w:pPr>
              <w:spacing w:line="276" w:lineRule="auto"/>
              <w:rPr>
                <w:rFonts w:ascii="Arial" w:hAnsi="Arial" w:cs="Arial"/>
                <w:bCs/>
              </w:rPr>
            </w:pPr>
            <w:r>
              <w:rPr>
                <w:rFonts w:ascii="Arial" w:hAnsi="Arial" w:cs="Arial"/>
                <w:bCs/>
              </w:rPr>
              <w:t>Approval to award Agreement</w:t>
            </w:r>
            <w:r w:rsidRPr="00131CC9">
              <w:rPr>
                <w:rFonts w:ascii="Arial" w:hAnsi="Arial" w:cs="Arial"/>
                <w:bCs/>
              </w:rPr>
              <w:t xml:space="preserve"> </w:t>
            </w:r>
          </w:p>
        </w:tc>
      </w:tr>
      <w:tr w:rsidR="008D2827" w:rsidRPr="00131CC9" w:rsidTr="00441B9F">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rPr>
          <w:trHeight w:val="60"/>
        </w:trPr>
        <w:tc>
          <w:tcPr>
            <w:tcW w:w="2637" w:type="dxa"/>
            <w:tcBorders>
              <w:top w:val="single" w:sz="8" w:space="0" w:color="4F81BD"/>
              <w:left w:val="single" w:sz="8" w:space="0" w:color="4F81BD"/>
              <w:bottom w:val="single" w:sz="8" w:space="0" w:color="4F81BD"/>
              <w:right w:val="single" w:sz="8" w:space="0" w:color="4F81BD"/>
            </w:tcBorders>
          </w:tcPr>
          <w:p w:rsidR="008D2827" w:rsidRPr="00CE4C60" w:rsidRDefault="00B729F9" w:rsidP="00441B9F">
            <w:pPr>
              <w:spacing w:line="276" w:lineRule="auto"/>
              <w:jc w:val="center"/>
              <w:rPr>
                <w:rFonts w:ascii="Arial" w:hAnsi="Arial" w:cs="Arial"/>
                <w:i/>
              </w:rPr>
            </w:pPr>
            <w:r>
              <w:rPr>
                <w:rFonts w:ascii="Arial" w:hAnsi="Arial" w:cs="Arial"/>
                <w:i/>
              </w:rPr>
              <w:t>Monday 09 October</w:t>
            </w:r>
            <w:r w:rsidR="008D2827">
              <w:rPr>
                <w:rFonts w:ascii="Arial" w:hAnsi="Arial" w:cs="Arial"/>
                <w:i/>
              </w:rPr>
              <w:t xml:space="preserve"> - 2107 </w:t>
            </w:r>
          </w:p>
        </w:tc>
        <w:tc>
          <w:tcPr>
            <w:tcW w:w="6379" w:type="dxa"/>
            <w:tcBorders>
              <w:top w:val="single" w:sz="8" w:space="0" w:color="4F81BD"/>
              <w:left w:val="single" w:sz="8" w:space="0" w:color="4F81BD"/>
              <w:bottom w:val="single" w:sz="8" w:space="0" w:color="4F81BD"/>
              <w:right w:val="single" w:sz="8" w:space="0" w:color="4F81BD"/>
            </w:tcBorders>
            <w:vAlign w:val="center"/>
          </w:tcPr>
          <w:p w:rsidR="008D2827" w:rsidRPr="00131CC9" w:rsidRDefault="008D2827" w:rsidP="00441B9F">
            <w:pPr>
              <w:spacing w:line="276" w:lineRule="auto"/>
              <w:rPr>
                <w:rFonts w:ascii="Arial" w:hAnsi="Arial" w:cs="Arial"/>
                <w:bCs/>
              </w:rPr>
            </w:pPr>
            <w:r>
              <w:rPr>
                <w:rFonts w:ascii="Arial" w:hAnsi="Arial" w:cs="Arial"/>
                <w:bCs/>
              </w:rPr>
              <w:t>Agreement</w:t>
            </w:r>
            <w:r w:rsidRPr="00131CC9">
              <w:rPr>
                <w:rFonts w:ascii="Arial" w:hAnsi="Arial" w:cs="Arial"/>
                <w:bCs/>
              </w:rPr>
              <w:t xml:space="preserve"> awarded and issued by HO commercial</w:t>
            </w:r>
          </w:p>
        </w:tc>
      </w:tr>
      <w:tr w:rsidR="008D2827" w:rsidRPr="00131CC9" w:rsidTr="00441B9F">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tblPrEx>
        <w:tc>
          <w:tcPr>
            <w:tcW w:w="2637" w:type="dxa"/>
            <w:tcBorders>
              <w:top w:val="single" w:sz="8" w:space="0" w:color="4F81BD"/>
              <w:left w:val="single" w:sz="8" w:space="0" w:color="4F81BD"/>
              <w:bottom w:val="single" w:sz="8" w:space="0" w:color="4F81BD"/>
              <w:right w:val="single" w:sz="8" w:space="0" w:color="4F81BD"/>
            </w:tcBorders>
          </w:tcPr>
          <w:p w:rsidR="008D2827" w:rsidRPr="00CE4C60" w:rsidRDefault="00B729F9" w:rsidP="00441B9F">
            <w:pPr>
              <w:spacing w:line="276" w:lineRule="auto"/>
              <w:jc w:val="center"/>
              <w:rPr>
                <w:rFonts w:ascii="Arial" w:hAnsi="Arial" w:cs="Arial"/>
                <w:i/>
              </w:rPr>
            </w:pPr>
            <w:r>
              <w:rPr>
                <w:rFonts w:ascii="Arial" w:hAnsi="Arial" w:cs="Arial"/>
                <w:i/>
              </w:rPr>
              <w:t>w/c Monday 09 October</w:t>
            </w:r>
            <w:r w:rsidR="008D2827">
              <w:rPr>
                <w:rFonts w:ascii="Arial" w:hAnsi="Arial" w:cs="Arial"/>
                <w:i/>
              </w:rPr>
              <w:t>– 2017</w:t>
            </w:r>
          </w:p>
        </w:tc>
        <w:tc>
          <w:tcPr>
            <w:tcW w:w="6379" w:type="dxa"/>
            <w:tcBorders>
              <w:top w:val="single" w:sz="8" w:space="0" w:color="4F81BD"/>
              <w:left w:val="single" w:sz="8" w:space="0" w:color="4F81BD"/>
              <w:bottom w:val="single" w:sz="8" w:space="0" w:color="4F81BD"/>
              <w:right w:val="single" w:sz="8" w:space="0" w:color="4F81BD"/>
            </w:tcBorders>
            <w:vAlign w:val="center"/>
          </w:tcPr>
          <w:p w:rsidR="008D2827" w:rsidRPr="00131CC9" w:rsidRDefault="008D2827" w:rsidP="00441B9F">
            <w:pPr>
              <w:spacing w:line="276" w:lineRule="auto"/>
              <w:rPr>
                <w:rFonts w:ascii="Arial" w:hAnsi="Arial" w:cs="Arial"/>
                <w:bCs/>
              </w:rPr>
            </w:pPr>
            <w:r w:rsidRPr="00131CC9">
              <w:rPr>
                <w:rFonts w:ascii="Arial" w:hAnsi="Arial" w:cs="Arial"/>
                <w:bCs/>
              </w:rPr>
              <w:t>Commencement of evaluation work and initial meetings with projects providers to discuss evaluation</w:t>
            </w:r>
          </w:p>
        </w:tc>
      </w:tr>
    </w:tbl>
    <w:p w:rsidR="008D2827" w:rsidRPr="00205BDC" w:rsidRDefault="008D2827" w:rsidP="008D2827">
      <w:pPr>
        <w:pStyle w:val="BoldHdngL1V1"/>
        <w:tabs>
          <w:tab w:val="left" w:pos="-720"/>
          <w:tab w:val="left" w:pos="0"/>
          <w:tab w:val="left" w:pos="426"/>
          <w:tab w:val="left" w:pos="1134"/>
          <w:tab w:val="left" w:pos="2160"/>
          <w:tab w:val="left" w:pos="2880"/>
          <w:tab w:val="left" w:pos="5040"/>
          <w:tab w:val="left" w:pos="5760"/>
          <w:tab w:val="left" w:pos="6480"/>
          <w:tab w:val="left" w:pos="7200"/>
          <w:tab w:val="left" w:pos="7920"/>
          <w:tab w:val="left" w:pos="8640"/>
          <w:tab w:val="left" w:pos="9360"/>
        </w:tabs>
        <w:ind w:right="808"/>
        <w:rPr>
          <w:rFonts w:ascii="Calibri" w:hAnsi="Calibri" w:cs="Arial"/>
          <w:b w:val="0"/>
          <w:sz w:val="22"/>
          <w:szCs w:val="22"/>
          <w:lang w:val="en-GB"/>
        </w:rPr>
      </w:pPr>
    </w:p>
    <w:p w:rsidR="008D2827" w:rsidRPr="005B28A4" w:rsidRDefault="008D2827" w:rsidP="008D2827">
      <w:pPr>
        <w:pStyle w:val="BoldHdngL1V1"/>
        <w:tabs>
          <w:tab w:val="left" w:pos="-720"/>
          <w:tab w:val="left" w:pos="0"/>
          <w:tab w:val="left" w:pos="1134"/>
          <w:tab w:val="left" w:pos="2160"/>
          <w:tab w:val="left" w:pos="2880"/>
          <w:tab w:val="left" w:pos="5040"/>
          <w:tab w:val="left" w:pos="5760"/>
          <w:tab w:val="left" w:pos="6480"/>
          <w:tab w:val="left" w:pos="7200"/>
          <w:tab w:val="left" w:pos="7920"/>
          <w:tab w:val="left" w:pos="8640"/>
          <w:tab w:val="left" w:pos="9360"/>
        </w:tabs>
        <w:ind w:right="808"/>
        <w:jc w:val="both"/>
        <w:rPr>
          <w:rFonts w:ascii="Arial" w:hAnsi="Arial" w:cs="Arial"/>
          <w:b w:val="0"/>
          <w:sz w:val="22"/>
          <w:szCs w:val="22"/>
          <w:lang w:val="en-GB"/>
        </w:rPr>
      </w:pPr>
      <w:r w:rsidRPr="005B28A4">
        <w:rPr>
          <w:rFonts w:ascii="Arial" w:hAnsi="Arial" w:cs="Arial"/>
          <w:b w:val="0"/>
          <w:sz w:val="22"/>
          <w:szCs w:val="22"/>
          <w:lang w:val="en-GB"/>
        </w:rPr>
        <w:t>The Authority reserves the right to amend the enclosed tender documents at any time prior to the deadline for receipt of tenders.  Any such amendment will be numbered, dated and issued via the portal. In the event of amendments, the Authority may at its discretion extend the deadline for receipt of tenders.</w:t>
      </w:r>
    </w:p>
    <w:p w:rsidR="008D2827" w:rsidRPr="005B28A4" w:rsidRDefault="008D2827" w:rsidP="008D2827">
      <w:pPr>
        <w:tabs>
          <w:tab w:val="left" w:pos="0"/>
          <w:tab w:val="left" w:pos="1777"/>
        </w:tabs>
        <w:jc w:val="both"/>
        <w:outlineLvl w:val="0"/>
        <w:rPr>
          <w:rFonts w:ascii="Arial" w:hAnsi="Arial" w:cs="Arial"/>
          <w:sz w:val="22"/>
          <w:szCs w:val="22"/>
        </w:rPr>
      </w:pPr>
      <w:r w:rsidRPr="005B28A4">
        <w:rPr>
          <w:rFonts w:ascii="Arial" w:hAnsi="Arial" w:cs="Arial"/>
          <w:sz w:val="22"/>
          <w:szCs w:val="22"/>
        </w:rPr>
        <w:tab/>
      </w:r>
    </w:p>
    <w:p w:rsidR="00B823BE" w:rsidRPr="00A77C17" w:rsidRDefault="008D2827" w:rsidP="00A77C17">
      <w:pPr>
        <w:tabs>
          <w:tab w:val="left" w:pos="0"/>
        </w:tabs>
        <w:jc w:val="both"/>
        <w:outlineLvl w:val="0"/>
        <w:rPr>
          <w:rFonts w:ascii="Arial" w:hAnsi="Arial" w:cs="Arial"/>
          <w:sz w:val="22"/>
          <w:szCs w:val="22"/>
        </w:rPr>
      </w:pPr>
      <w:r w:rsidRPr="005B28A4">
        <w:rPr>
          <w:rFonts w:ascii="Arial" w:hAnsi="Arial" w:cs="Arial"/>
          <w:iCs/>
          <w:color w:val="000000"/>
          <w:sz w:val="22"/>
          <w:szCs w:val="22"/>
        </w:rPr>
        <w:t>By issuing this invitation the Authority is not bound in any way and does not have to accept the lowest or any tender and reserves the right not to award any contract or to accept the whole or any specified part of the tender</w:t>
      </w:r>
    </w:p>
    <w:p w:rsidR="00432AC9" w:rsidRPr="00B823BE" w:rsidRDefault="00432AC9" w:rsidP="00C371D4">
      <w:pPr>
        <w:pStyle w:val="Heading1"/>
        <w:numPr>
          <w:ilvl w:val="0"/>
          <w:numId w:val="0"/>
        </w:numPr>
        <w:ind w:left="432" w:hanging="432"/>
        <w:rPr>
          <w:color w:val="8F23B3"/>
        </w:rPr>
      </w:pPr>
      <w:r w:rsidRPr="00B823BE">
        <w:rPr>
          <w:color w:val="8F23B3"/>
        </w:rPr>
        <w:t>Evaluation Criteria</w:t>
      </w:r>
    </w:p>
    <w:p w:rsidR="00432AC9" w:rsidRDefault="00CA3E10" w:rsidP="00C371D4">
      <w:pPr>
        <w:pStyle w:val="Bodycopy"/>
      </w:pPr>
      <w:r w:rsidRPr="00C371D4">
        <w:rPr>
          <w:rFonts w:eastAsia="Arial Unicode MS"/>
          <w:color w:val="000000"/>
          <w:sz w:val="22"/>
          <w:szCs w:val="22"/>
        </w:rPr>
        <w:t>Proposals will be evaluated against the following criteria:</w:t>
      </w:r>
    </w:p>
    <w:p w:rsidR="00CA3E10" w:rsidRDefault="00CA3E10" w:rsidP="00C371D4">
      <w:pPr>
        <w:pStyle w:val="Bodycopy"/>
      </w:pPr>
    </w:p>
    <w:p w:rsidR="00802D6B" w:rsidRPr="00C24B9F" w:rsidRDefault="00802D6B" w:rsidP="00802D6B">
      <w:pPr>
        <w:rPr>
          <w:rFonts w:ascii="Arial" w:hAnsi="Arial" w:cs="Arial"/>
          <w:b/>
        </w:rPr>
      </w:pPr>
      <w:r w:rsidRPr="00C24B9F">
        <w:rPr>
          <w:rFonts w:ascii="Arial" w:hAnsi="Arial" w:cs="Arial"/>
          <w:b/>
        </w:rPr>
        <w:t>Introduction</w:t>
      </w:r>
    </w:p>
    <w:p w:rsidR="00802D6B" w:rsidRPr="00C24B9F" w:rsidRDefault="00802D6B" w:rsidP="00802D6B">
      <w:pPr>
        <w:rPr>
          <w:rFonts w:ascii="Arial" w:hAnsi="Arial" w:cs="Arial"/>
        </w:rPr>
      </w:pPr>
      <w:r w:rsidRPr="00C24B9F">
        <w:rPr>
          <w:rFonts w:ascii="Arial" w:hAnsi="Arial" w:cs="Arial"/>
        </w:rPr>
        <w:t xml:space="preserve">The ‘Advancement of statistical theory for definition of thresholds above which an illustrative match probability figure can be assigned to partial or complex DNA Mixture profiles retained on the National DNA Database’ Invitation to Tender (ITT) is a procurement exercise designed to facilitate the competitive tendering for the supply of a statistical based report, the findings from which will be used to provide statistical backbone to more qualitative findings that are currently being used to inform decisions. </w:t>
      </w:r>
    </w:p>
    <w:p w:rsidR="00802D6B" w:rsidRPr="00C24B9F" w:rsidRDefault="00802D6B" w:rsidP="00802D6B">
      <w:pPr>
        <w:rPr>
          <w:rFonts w:ascii="Arial" w:hAnsi="Arial" w:cs="Arial"/>
        </w:rPr>
      </w:pPr>
    </w:p>
    <w:p w:rsidR="00802D6B" w:rsidRPr="00C24B9F" w:rsidRDefault="00802D6B" w:rsidP="00802D6B">
      <w:pPr>
        <w:rPr>
          <w:rFonts w:ascii="Arial" w:hAnsi="Arial" w:cs="Arial"/>
          <w:b/>
        </w:rPr>
      </w:pPr>
      <w:r w:rsidRPr="00C24B9F">
        <w:rPr>
          <w:rFonts w:ascii="Arial" w:hAnsi="Arial" w:cs="Arial"/>
          <w:b/>
        </w:rPr>
        <w:t>Purpose of document</w:t>
      </w:r>
    </w:p>
    <w:p w:rsidR="00802D6B" w:rsidRDefault="00802D6B" w:rsidP="00802D6B">
      <w:pPr>
        <w:rPr>
          <w:rFonts w:ascii="Arial" w:hAnsi="Arial" w:cs="Arial"/>
        </w:rPr>
      </w:pPr>
      <w:r w:rsidRPr="00C24B9F">
        <w:rPr>
          <w:rFonts w:ascii="Arial" w:hAnsi="Arial" w:cs="Arial"/>
        </w:rPr>
        <w:t>This document is designed to support evaluators of the DNA ITT responses to provide a thorough, robust, consistent and transparent assessment.</w:t>
      </w:r>
    </w:p>
    <w:p w:rsidR="00802D6B" w:rsidRPr="00C24B9F" w:rsidRDefault="00802D6B" w:rsidP="00802D6B">
      <w:pPr>
        <w:rPr>
          <w:rFonts w:ascii="Arial" w:hAnsi="Arial" w:cs="Arial"/>
          <w:b/>
        </w:rPr>
      </w:pPr>
    </w:p>
    <w:p w:rsidR="006F6713" w:rsidRDefault="006F6713" w:rsidP="006F6713">
      <w:pPr>
        <w:rPr>
          <w:rFonts w:ascii="Arial" w:hAnsi="Arial" w:cs="Arial"/>
        </w:rPr>
      </w:pPr>
    </w:p>
    <w:p w:rsidR="006F6713" w:rsidRDefault="006F6713" w:rsidP="006F6713">
      <w:pPr>
        <w:rPr>
          <w:rFonts w:ascii="Arial" w:hAnsi="Arial" w:cs="Arial"/>
        </w:rPr>
      </w:pPr>
      <w:r w:rsidRPr="006F6713">
        <w:rPr>
          <w:rFonts w:ascii="Arial" w:hAnsi="Arial" w:cs="Arial"/>
          <w:b/>
        </w:rPr>
        <w:t>Weightings</w:t>
      </w:r>
      <w:r>
        <w:rPr>
          <w:rFonts w:ascii="Arial" w:hAnsi="Arial" w:cs="Arial"/>
        </w:rPr>
        <w:t>:</w:t>
      </w:r>
    </w:p>
    <w:p w:rsidR="001C4615" w:rsidRDefault="001C4615" w:rsidP="006F6713">
      <w:pPr>
        <w:rPr>
          <w:rFonts w:ascii="Arial" w:hAnsi="Arial" w:cs="Arial"/>
        </w:rPr>
      </w:pPr>
      <w:r>
        <w:rPr>
          <w:rFonts w:ascii="Arial" w:hAnsi="Arial" w:cs="Arial"/>
        </w:rPr>
        <w:t>Weightings for evaluation</w:t>
      </w:r>
      <w:r w:rsidR="001F6B13">
        <w:rPr>
          <w:rFonts w:ascii="Arial" w:hAnsi="Arial" w:cs="Arial"/>
        </w:rPr>
        <w:t>s</w:t>
      </w:r>
      <w:r>
        <w:rPr>
          <w:rFonts w:ascii="Arial" w:hAnsi="Arial" w:cs="Arial"/>
        </w:rPr>
        <w:t xml:space="preserve"> are as follows;</w:t>
      </w:r>
    </w:p>
    <w:p w:rsidR="001C4615" w:rsidRDefault="001C4615" w:rsidP="006F6713">
      <w:pPr>
        <w:rPr>
          <w:rFonts w:ascii="Arial" w:hAnsi="Arial" w:cs="Arial"/>
        </w:rPr>
      </w:pPr>
    </w:p>
    <w:p w:rsidR="006F6713" w:rsidRDefault="001C4615" w:rsidP="001C4615">
      <w:pPr>
        <w:pStyle w:val="ListParagraph"/>
        <w:numPr>
          <w:ilvl w:val="0"/>
          <w:numId w:val="11"/>
        </w:numPr>
        <w:rPr>
          <w:rFonts w:ascii="Arial" w:hAnsi="Arial" w:cs="Arial"/>
        </w:rPr>
      </w:pPr>
      <w:r w:rsidRPr="00C24B9F">
        <w:rPr>
          <w:rFonts w:ascii="Arial" w:hAnsi="Arial" w:cs="Arial"/>
          <w:b/>
        </w:rPr>
        <w:t>Technical Methodology</w:t>
      </w:r>
      <w:r>
        <w:rPr>
          <w:rFonts w:ascii="Arial" w:hAnsi="Arial" w:cs="Arial"/>
          <w:b/>
        </w:rPr>
        <w:t xml:space="preserve">: </w:t>
      </w:r>
      <w:r>
        <w:rPr>
          <w:rFonts w:ascii="Arial" w:hAnsi="Arial" w:cs="Arial"/>
        </w:rPr>
        <w:t>40%</w:t>
      </w:r>
    </w:p>
    <w:p w:rsidR="001C4615" w:rsidRDefault="001C4615" w:rsidP="001C4615">
      <w:pPr>
        <w:pStyle w:val="ListParagraph"/>
        <w:numPr>
          <w:ilvl w:val="0"/>
          <w:numId w:val="11"/>
        </w:numPr>
        <w:rPr>
          <w:rFonts w:ascii="Arial" w:hAnsi="Arial" w:cs="Arial"/>
        </w:rPr>
      </w:pPr>
      <w:r w:rsidRPr="00C24B9F">
        <w:rPr>
          <w:rFonts w:ascii="Arial" w:hAnsi="Arial" w:cs="Arial"/>
          <w:b/>
        </w:rPr>
        <w:t>Technical Competency</w:t>
      </w:r>
      <w:r>
        <w:rPr>
          <w:rFonts w:ascii="Arial" w:hAnsi="Arial" w:cs="Arial"/>
          <w:b/>
        </w:rPr>
        <w:t xml:space="preserve">: </w:t>
      </w:r>
      <w:r>
        <w:rPr>
          <w:rFonts w:ascii="Arial" w:hAnsi="Arial" w:cs="Arial"/>
        </w:rPr>
        <w:t>30%</w:t>
      </w:r>
    </w:p>
    <w:p w:rsidR="001C4615" w:rsidRPr="001C4615" w:rsidRDefault="001C4615" w:rsidP="001C4615">
      <w:pPr>
        <w:pStyle w:val="ListParagraph"/>
        <w:numPr>
          <w:ilvl w:val="0"/>
          <w:numId w:val="11"/>
        </w:numPr>
        <w:rPr>
          <w:rFonts w:ascii="Arial" w:hAnsi="Arial" w:cs="Arial"/>
        </w:rPr>
      </w:pPr>
      <w:r>
        <w:rPr>
          <w:rFonts w:ascii="Arial" w:hAnsi="Arial" w:cs="Arial"/>
          <w:b/>
        </w:rPr>
        <w:t>Commercial:</w:t>
      </w:r>
      <w:r>
        <w:rPr>
          <w:rFonts w:ascii="Arial" w:hAnsi="Arial" w:cs="Arial"/>
        </w:rPr>
        <w:t xml:space="preserve"> 30%</w:t>
      </w:r>
    </w:p>
    <w:p w:rsidR="00802D6B" w:rsidRDefault="00802D6B" w:rsidP="00802D6B">
      <w:pPr>
        <w:rPr>
          <w:rFonts w:ascii="Arial" w:hAnsi="Arial" w:cs="Arial"/>
        </w:rPr>
      </w:pPr>
    </w:p>
    <w:p w:rsidR="00802D6B" w:rsidRPr="00C24B9F" w:rsidRDefault="00802D6B" w:rsidP="00802D6B">
      <w:pPr>
        <w:rPr>
          <w:rFonts w:ascii="Arial" w:hAnsi="Arial" w:cs="Arial"/>
        </w:rPr>
      </w:pPr>
    </w:p>
    <w:p w:rsidR="00802D6B" w:rsidRPr="00C24B9F" w:rsidRDefault="00802D6B" w:rsidP="00802D6B">
      <w:pPr>
        <w:rPr>
          <w:rFonts w:ascii="Arial" w:hAnsi="Arial" w:cs="Arial"/>
        </w:rPr>
      </w:pPr>
    </w:p>
    <w:p w:rsidR="00802D6B" w:rsidRPr="00C24B9F" w:rsidRDefault="00802D6B" w:rsidP="00802D6B">
      <w:pPr>
        <w:jc w:val="both"/>
        <w:outlineLvl w:val="1"/>
        <w:rPr>
          <w:rFonts w:ascii="Arial" w:hAnsi="Arial" w:cs="Arial"/>
          <w:b/>
        </w:rPr>
      </w:pPr>
      <w:r w:rsidRPr="00C24B9F">
        <w:rPr>
          <w:rFonts w:ascii="Arial" w:hAnsi="Arial" w:cs="Arial"/>
          <w:b/>
        </w:rPr>
        <w:t xml:space="preserve">Responses to </w:t>
      </w:r>
      <w:r w:rsidR="001B42EF">
        <w:rPr>
          <w:rFonts w:ascii="Arial" w:hAnsi="Arial" w:cs="Arial"/>
          <w:b/>
        </w:rPr>
        <w:t>the Technical Methodology question</w:t>
      </w:r>
      <w:r w:rsidRPr="00C24B9F">
        <w:rPr>
          <w:rFonts w:ascii="Arial" w:hAnsi="Arial" w:cs="Arial"/>
          <w:b/>
        </w:rPr>
        <w:t xml:space="preserve"> will be evaluated using the following scoring methodology:</w:t>
      </w:r>
    </w:p>
    <w:p w:rsidR="00802D6B" w:rsidRPr="00C24B9F" w:rsidRDefault="00802D6B" w:rsidP="00802D6B">
      <w:pPr>
        <w:jc w:val="both"/>
        <w:outlineLvl w:val="1"/>
        <w:rPr>
          <w:rFonts w:ascii="Arial" w:hAnsi="Arial" w:cs="Arial"/>
          <w:b/>
        </w:rPr>
      </w:pPr>
    </w:p>
    <w:p w:rsidR="00802D6B" w:rsidRPr="00C24B9F" w:rsidRDefault="00802D6B" w:rsidP="00802D6B">
      <w:pPr>
        <w:jc w:val="both"/>
        <w:outlineLvl w:val="1"/>
        <w:rPr>
          <w:rFonts w:ascii="Arial" w:hAnsi="Arial" w:cs="Arial"/>
          <w:b/>
        </w:rPr>
      </w:pPr>
      <w:r w:rsidRPr="00C24B9F">
        <w:rPr>
          <w:rFonts w:ascii="Arial" w:hAnsi="Arial" w:cs="Arial"/>
          <w:b/>
        </w:rPr>
        <w:t>Scoring - Technical Methodology</w:t>
      </w:r>
    </w:p>
    <w:p w:rsidR="00802D6B" w:rsidRPr="00DE2C8F" w:rsidRDefault="00802D6B" w:rsidP="00802D6B">
      <w:pPr>
        <w:ind w:left="-360"/>
        <w:jc w:val="both"/>
        <w:outlineLvl w:val="1"/>
        <w:rPr>
          <w:rFonts w:ascii="Arial" w:hAnsi="Arial" w:cs="Arial"/>
          <w:b/>
          <w:sz w:val="28"/>
          <w:szCs w:val="28"/>
        </w:rPr>
      </w:pPr>
    </w:p>
    <w:tbl>
      <w:tblPr>
        <w:tblW w:w="9859" w:type="dxa"/>
        <w:jc w:val="center"/>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tblPr>
      <w:tblGrid>
        <w:gridCol w:w="2004"/>
        <w:gridCol w:w="2135"/>
        <w:gridCol w:w="5720"/>
      </w:tblGrid>
      <w:tr w:rsidR="00802D6B" w:rsidRPr="00C20633" w:rsidTr="00441B9F">
        <w:trPr>
          <w:trHeight w:val="582"/>
          <w:tblHeader/>
          <w:jc w:val="center"/>
        </w:trPr>
        <w:tc>
          <w:tcPr>
            <w:tcW w:w="2004" w:type="dxa"/>
            <w:vAlign w:val="center"/>
          </w:tcPr>
          <w:p w:rsidR="00802D6B" w:rsidRPr="00C20633" w:rsidRDefault="00802D6B" w:rsidP="00441B9F">
            <w:pPr>
              <w:jc w:val="both"/>
              <w:outlineLvl w:val="1"/>
              <w:rPr>
                <w:rFonts w:ascii="Arial" w:hAnsi="Arial" w:cs="Arial"/>
                <w:b/>
                <w:sz w:val="22"/>
                <w:szCs w:val="22"/>
              </w:rPr>
            </w:pPr>
            <w:r w:rsidRPr="00C20633">
              <w:rPr>
                <w:rFonts w:ascii="Arial" w:hAnsi="Arial" w:cs="Arial"/>
                <w:b/>
                <w:sz w:val="22"/>
                <w:szCs w:val="22"/>
              </w:rPr>
              <w:t>Assessment</w:t>
            </w:r>
          </w:p>
        </w:tc>
        <w:tc>
          <w:tcPr>
            <w:tcW w:w="2135" w:type="dxa"/>
            <w:vAlign w:val="center"/>
          </w:tcPr>
          <w:p w:rsidR="00802D6B" w:rsidRPr="00C20633" w:rsidRDefault="00802D6B" w:rsidP="00441B9F">
            <w:pPr>
              <w:jc w:val="both"/>
              <w:outlineLvl w:val="1"/>
              <w:rPr>
                <w:rFonts w:ascii="Arial" w:hAnsi="Arial" w:cs="Arial"/>
                <w:b/>
                <w:sz w:val="22"/>
                <w:szCs w:val="22"/>
              </w:rPr>
            </w:pPr>
            <w:r w:rsidRPr="00C20633">
              <w:rPr>
                <w:rFonts w:ascii="Arial" w:hAnsi="Arial" w:cs="Arial"/>
                <w:b/>
                <w:sz w:val="22"/>
                <w:szCs w:val="22"/>
              </w:rPr>
              <w:t>Score</w:t>
            </w:r>
          </w:p>
        </w:tc>
        <w:tc>
          <w:tcPr>
            <w:tcW w:w="5720" w:type="dxa"/>
            <w:vAlign w:val="center"/>
          </w:tcPr>
          <w:p w:rsidR="00802D6B" w:rsidRPr="00C20633" w:rsidRDefault="00802D6B" w:rsidP="00441B9F">
            <w:pPr>
              <w:jc w:val="both"/>
              <w:outlineLvl w:val="1"/>
              <w:rPr>
                <w:rFonts w:ascii="Arial" w:hAnsi="Arial" w:cs="Arial"/>
                <w:b/>
                <w:sz w:val="22"/>
                <w:szCs w:val="22"/>
              </w:rPr>
            </w:pPr>
            <w:r w:rsidRPr="00C20633">
              <w:rPr>
                <w:rFonts w:ascii="Arial" w:hAnsi="Arial" w:cs="Arial"/>
                <w:b/>
                <w:sz w:val="22"/>
                <w:szCs w:val="22"/>
              </w:rPr>
              <w:t>Description</w:t>
            </w:r>
          </w:p>
        </w:tc>
      </w:tr>
      <w:tr w:rsidR="00802D6B" w:rsidRPr="00C20633" w:rsidTr="00441B9F">
        <w:trPr>
          <w:jc w:val="center"/>
        </w:trPr>
        <w:tc>
          <w:tcPr>
            <w:tcW w:w="2004" w:type="dxa"/>
            <w:vAlign w:val="center"/>
          </w:tcPr>
          <w:p w:rsidR="00802D6B" w:rsidRPr="00C20633" w:rsidRDefault="001767AE" w:rsidP="00722856">
            <w:pPr>
              <w:jc w:val="center"/>
              <w:outlineLvl w:val="1"/>
              <w:rPr>
                <w:rFonts w:ascii="Arial" w:hAnsi="Arial" w:cs="Arial"/>
                <w:sz w:val="22"/>
                <w:szCs w:val="22"/>
              </w:rPr>
            </w:pPr>
            <w:r>
              <w:rPr>
                <w:rFonts w:ascii="Arial" w:hAnsi="Arial" w:cs="Arial"/>
                <w:color w:val="000000"/>
                <w:sz w:val="22"/>
                <w:szCs w:val="22"/>
              </w:rPr>
              <w:t>Good</w:t>
            </w:r>
          </w:p>
        </w:tc>
        <w:tc>
          <w:tcPr>
            <w:tcW w:w="2135" w:type="dxa"/>
            <w:vAlign w:val="center"/>
          </w:tcPr>
          <w:p w:rsidR="00802D6B" w:rsidRDefault="00802D6B" w:rsidP="00441B9F">
            <w:pPr>
              <w:jc w:val="center"/>
              <w:outlineLvl w:val="1"/>
              <w:rPr>
                <w:rFonts w:ascii="Arial" w:hAnsi="Arial" w:cs="Arial"/>
                <w:sz w:val="22"/>
                <w:szCs w:val="22"/>
              </w:rPr>
            </w:pPr>
            <w:r>
              <w:rPr>
                <w:rFonts w:ascii="Arial" w:hAnsi="Arial" w:cs="Arial"/>
                <w:sz w:val="22"/>
                <w:szCs w:val="22"/>
              </w:rPr>
              <w:t>100</w:t>
            </w:r>
          </w:p>
        </w:tc>
        <w:tc>
          <w:tcPr>
            <w:tcW w:w="5720" w:type="dxa"/>
          </w:tcPr>
          <w:p w:rsidR="00802D6B" w:rsidRPr="00FF43A1" w:rsidRDefault="007740F8" w:rsidP="00441B9F">
            <w:pPr>
              <w:rPr>
                <w:rFonts w:ascii="Arial" w:hAnsi="Arial" w:cs="Arial"/>
                <w:color w:val="000000"/>
                <w:sz w:val="22"/>
                <w:szCs w:val="22"/>
              </w:rPr>
            </w:pPr>
            <w:r>
              <w:rPr>
                <w:rFonts w:ascii="Arial" w:hAnsi="Arial" w:cs="Arial"/>
                <w:color w:val="000000"/>
                <w:sz w:val="22"/>
                <w:szCs w:val="22"/>
              </w:rPr>
              <w:t>Fully s</w:t>
            </w:r>
            <w:r w:rsidR="00802D6B" w:rsidRPr="00FF43A1">
              <w:rPr>
                <w:rFonts w:ascii="Arial" w:hAnsi="Arial" w:cs="Arial"/>
                <w:color w:val="000000"/>
                <w:sz w:val="22"/>
                <w:szCs w:val="22"/>
              </w:rPr>
              <w:t xml:space="preserve">atisfies the requirement with additional detail that exceeds the requirements. </w:t>
            </w:r>
            <w:r w:rsidR="00BD1856">
              <w:rPr>
                <w:rFonts w:ascii="Arial" w:hAnsi="Arial" w:cs="Arial"/>
                <w:color w:val="000000"/>
                <w:sz w:val="22"/>
                <w:szCs w:val="22"/>
              </w:rPr>
              <w:t xml:space="preserve">And, offers additional benefits </w:t>
            </w:r>
            <w:r w:rsidR="007367F4">
              <w:rPr>
                <w:rFonts w:ascii="Arial" w:hAnsi="Arial" w:cs="Arial"/>
                <w:color w:val="000000"/>
                <w:sz w:val="22"/>
                <w:szCs w:val="22"/>
              </w:rPr>
              <w:t xml:space="preserve">relevant to the requirements </w:t>
            </w:r>
          </w:p>
          <w:p w:rsidR="00802D6B" w:rsidRPr="00FF43A1" w:rsidRDefault="00802D6B" w:rsidP="00441B9F">
            <w:pPr>
              <w:rPr>
                <w:rFonts w:ascii="Arial" w:hAnsi="Arial" w:cs="Arial"/>
                <w:color w:val="000000"/>
                <w:sz w:val="22"/>
                <w:szCs w:val="22"/>
              </w:rPr>
            </w:pPr>
          </w:p>
          <w:p w:rsidR="00802D6B" w:rsidRPr="00FF43A1" w:rsidRDefault="00802D6B" w:rsidP="00441B9F">
            <w:pPr>
              <w:rPr>
                <w:rFonts w:ascii="Arial" w:hAnsi="Arial" w:cs="Arial"/>
                <w:color w:val="000000"/>
                <w:sz w:val="22"/>
                <w:szCs w:val="22"/>
              </w:rPr>
            </w:pPr>
            <w:r w:rsidRPr="00FF43A1">
              <w:rPr>
                <w:rFonts w:ascii="Arial" w:hAnsi="Arial" w:cs="Arial"/>
                <w:color w:val="000000"/>
                <w:sz w:val="22"/>
                <w:szCs w:val="22"/>
              </w:rPr>
              <w:t xml:space="preserve">The approach the Bidder is proposing to apply and has set out in response to the scenario demonstrates the Bidder has the relevant resources and quality measures required to provide the services with sufficient evidence to support the response. Clear structured plan delivery with description of stages aligned to tender requirements; all 6 points covered comprehensively with additional </w:t>
            </w:r>
            <w:r w:rsidR="007C05C6">
              <w:rPr>
                <w:rFonts w:ascii="Arial" w:hAnsi="Arial" w:cs="Arial"/>
                <w:color w:val="000000"/>
                <w:sz w:val="22"/>
                <w:szCs w:val="22"/>
              </w:rPr>
              <w:t xml:space="preserve">relevant </w:t>
            </w:r>
            <w:r w:rsidRPr="00FF43A1">
              <w:rPr>
                <w:rFonts w:ascii="Arial" w:hAnsi="Arial" w:cs="Arial"/>
                <w:color w:val="000000"/>
                <w:sz w:val="22"/>
                <w:szCs w:val="22"/>
              </w:rPr>
              <w:t>detail which adds value to the project. Full details of recognised statistical tools to be applied. Data types sought from NDNAD logical and appropriate to research focus. Consideration for DNA 20+.</w:t>
            </w:r>
            <w:r w:rsidR="007740F8">
              <w:rPr>
                <w:rFonts w:ascii="Arial" w:hAnsi="Arial" w:cs="Arial"/>
                <w:color w:val="000000"/>
                <w:sz w:val="22"/>
                <w:szCs w:val="22"/>
              </w:rPr>
              <w:t xml:space="preserve"> All points answered with relevant details and evidence.</w:t>
            </w:r>
          </w:p>
          <w:p w:rsidR="00802D6B" w:rsidRPr="00C20633" w:rsidRDefault="00802D6B" w:rsidP="00441B9F">
            <w:pPr>
              <w:jc w:val="both"/>
              <w:outlineLvl w:val="1"/>
              <w:rPr>
                <w:rFonts w:ascii="Arial" w:hAnsi="Arial" w:cs="Arial"/>
                <w:sz w:val="22"/>
                <w:szCs w:val="22"/>
              </w:rPr>
            </w:pPr>
          </w:p>
        </w:tc>
      </w:tr>
      <w:tr w:rsidR="00802D6B" w:rsidRPr="00C20633" w:rsidTr="00441B9F">
        <w:trPr>
          <w:jc w:val="center"/>
        </w:trPr>
        <w:tc>
          <w:tcPr>
            <w:tcW w:w="2004" w:type="dxa"/>
            <w:vAlign w:val="center"/>
          </w:tcPr>
          <w:p w:rsidR="00802D6B" w:rsidRPr="00C20633" w:rsidRDefault="00802D6B" w:rsidP="00441B9F">
            <w:pPr>
              <w:jc w:val="center"/>
              <w:outlineLvl w:val="1"/>
              <w:rPr>
                <w:rFonts w:ascii="Arial" w:hAnsi="Arial" w:cs="Arial"/>
                <w:sz w:val="22"/>
                <w:szCs w:val="22"/>
              </w:rPr>
            </w:pPr>
            <w:r w:rsidRPr="00C20633">
              <w:rPr>
                <w:rFonts w:ascii="Arial" w:hAnsi="Arial" w:cs="Arial"/>
                <w:sz w:val="22"/>
                <w:szCs w:val="22"/>
              </w:rPr>
              <w:t>Acceptable</w:t>
            </w:r>
          </w:p>
        </w:tc>
        <w:tc>
          <w:tcPr>
            <w:tcW w:w="2135" w:type="dxa"/>
            <w:vAlign w:val="center"/>
          </w:tcPr>
          <w:p w:rsidR="00802D6B" w:rsidRPr="00C20633" w:rsidRDefault="00802D6B" w:rsidP="00441B9F">
            <w:pPr>
              <w:jc w:val="center"/>
              <w:outlineLvl w:val="1"/>
              <w:rPr>
                <w:rFonts w:ascii="Arial" w:hAnsi="Arial" w:cs="Arial"/>
                <w:sz w:val="22"/>
                <w:szCs w:val="22"/>
              </w:rPr>
            </w:pPr>
            <w:r>
              <w:rPr>
                <w:rFonts w:ascii="Arial" w:hAnsi="Arial" w:cs="Arial"/>
                <w:sz w:val="22"/>
                <w:szCs w:val="22"/>
              </w:rPr>
              <w:t>75</w:t>
            </w:r>
          </w:p>
        </w:tc>
        <w:tc>
          <w:tcPr>
            <w:tcW w:w="5720" w:type="dxa"/>
          </w:tcPr>
          <w:p w:rsidR="00802D6B" w:rsidRDefault="007740F8" w:rsidP="00441B9F">
            <w:pPr>
              <w:jc w:val="both"/>
              <w:outlineLvl w:val="1"/>
              <w:rPr>
                <w:rFonts w:ascii="Arial" w:hAnsi="Arial" w:cs="Arial"/>
                <w:sz w:val="22"/>
                <w:szCs w:val="22"/>
              </w:rPr>
            </w:pPr>
            <w:r>
              <w:rPr>
                <w:rFonts w:ascii="Arial" w:hAnsi="Arial" w:cs="Arial"/>
                <w:sz w:val="22"/>
                <w:szCs w:val="22"/>
              </w:rPr>
              <w:t>Satisfies the requirement and most of the points answered with relevant detail and evidence.</w:t>
            </w:r>
            <w:r w:rsidR="00802D6B" w:rsidRPr="00C20633">
              <w:rPr>
                <w:rFonts w:ascii="Arial" w:hAnsi="Arial" w:cs="Arial"/>
                <w:sz w:val="22"/>
                <w:szCs w:val="22"/>
              </w:rPr>
              <w:t xml:space="preserve"> </w:t>
            </w:r>
          </w:p>
          <w:p w:rsidR="00802D6B" w:rsidRPr="00C20633" w:rsidRDefault="00802D6B" w:rsidP="00441B9F">
            <w:pPr>
              <w:jc w:val="both"/>
              <w:outlineLvl w:val="1"/>
              <w:rPr>
                <w:rFonts w:ascii="Arial" w:hAnsi="Arial" w:cs="Arial"/>
                <w:sz w:val="22"/>
                <w:szCs w:val="22"/>
              </w:rPr>
            </w:pPr>
          </w:p>
          <w:p w:rsidR="00802D6B" w:rsidRPr="00C20633" w:rsidRDefault="00802D6B" w:rsidP="00441B9F">
            <w:pPr>
              <w:jc w:val="both"/>
              <w:outlineLvl w:val="1"/>
              <w:rPr>
                <w:rFonts w:ascii="Arial" w:hAnsi="Arial" w:cs="Arial"/>
                <w:sz w:val="22"/>
                <w:szCs w:val="22"/>
              </w:rPr>
            </w:pPr>
            <w:r>
              <w:rPr>
                <w:rFonts w:ascii="Arial" w:hAnsi="Arial" w:cs="Arial"/>
                <w:sz w:val="22"/>
                <w:szCs w:val="22"/>
              </w:rPr>
              <w:t xml:space="preserve">The approach the Bidder is proposing to apply and has set out in response to the scenario demonstrates the Bidder has the relevant resources and </w:t>
            </w:r>
            <w:r w:rsidRPr="00C20633">
              <w:rPr>
                <w:rFonts w:ascii="Arial" w:hAnsi="Arial" w:cs="Arial"/>
                <w:sz w:val="22"/>
                <w:szCs w:val="22"/>
              </w:rPr>
              <w:t>quality measures required to provide the services</w:t>
            </w:r>
            <w:r>
              <w:rPr>
                <w:rFonts w:ascii="Arial" w:hAnsi="Arial" w:cs="Arial"/>
                <w:sz w:val="22"/>
                <w:szCs w:val="22"/>
              </w:rPr>
              <w:t xml:space="preserve"> </w:t>
            </w:r>
            <w:r w:rsidRPr="00C20633">
              <w:rPr>
                <w:rFonts w:ascii="Arial" w:hAnsi="Arial" w:cs="Arial"/>
                <w:sz w:val="22"/>
                <w:szCs w:val="22"/>
              </w:rPr>
              <w:t>with sufficient e</w:t>
            </w:r>
            <w:r>
              <w:rPr>
                <w:rFonts w:ascii="Arial" w:hAnsi="Arial" w:cs="Arial"/>
                <w:sz w:val="22"/>
                <w:szCs w:val="22"/>
              </w:rPr>
              <w:t xml:space="preserve">vidence to support the response. </w:t>
            </w:r>
            <w:r w:rsidRPr="003A5DEA">
              <w:rPr>
                <w:rFonts w:ascii="Arial" w:hAnsi="Arial" w:cs="Arial"/>
                <w:sz w:val="22"/>
                <w:szCs w:val="22"/>
              </w:rPr>
              <w:t>Clear structured plan delivery with description of stages a</w:t>
            </w:r>
            <w:r>
              <w:rPr>
                <w:rFonts w:ascii="Arial" w:hAnsi="Arial" w:cs="Arial"/>
                <w:sz w:val="22"/>
                <w:szCs w:val="22"/>
              </w:rPr>
              <w:t xml:space="preserve">ligned to tender requirements; </w:t>
            </w:r>
            <w:r w:rsidRPr="003A5DEA">
              <w:rPr>
                <w:rFonts w:ascii="Arial" w:hAnsi="Arial" w:cs="Arial"/>
                <w:sz w:val="22"/>
                <w:szCs w:val="22"/>
              </w:rPr>
              <w:t xml:space="preserve">all </w:t>
            </w:r>
            <w:r>
              <w:rPr>
                <w:rFonts w:ascii="Arial" w:hAnsi="Arial" w:cs="Arial"/>
                <w:sz w:val="22"/>
                <w:szCs w:val="22"/>
              </w:rPr>
              <w:t>6</w:t>
            </w:r>
            <w:r w:rsidRPr="003A5DEA">
              <w:rPr>
                <w:rFonts w:ascii="Arial" w:hAnsi="Arial" w:cs="Arial"/>
                <w:sz w:val="22"/>
                <w:szCs w:val="22"/>
              </w:rPr>
              <w:t xml:space="preserve"> points covered comprehensively. Full details of recognised statistical tools to be applied. Data </w:t>
            </w:r>
            <w:r>
              <w:rPr>
                <w:rFonts w:ascii="Arial" w:hAnsi="Arial" w:cs="Arial"/>
                <w:sz w:val="22"/>
                <w:szCs w:val="22"/>
              </w:rPr>
              <w:t>types sought from NDNAD</w:t>
            </w:r>
            <w:r w:rsidRPr="003A5DEA">
              <w:rPr>
                <w:rFonts w:ascii="Arial" w:hAnsi="Arial" w:cs="Arial"/>
                <w:sz w:val="22"/>
                <w:szCs w:val="22"/>
              </w:rPr>
              <w:t xml:space="preserve"> </w:t>
            </w:r>
            <w:r>
              <w:rPr>
                <w:rFonts w:ascii="Arial" w:hAnsi="Arial" w:cs="Arial"/>
                <w:sz w:val="22"/>
                <w:szCs w:val="22"/>
              </w:rPr>
              <w:t>logical and appropriate to research focus</w:t>
            </w:r>
            <w:r w:rsidRPr="003A5DEA">
              <w:rPr>
                <w:rFonts w:ascii="Arial" w:hAnsi="Arial" w:cs="Arial"/>
                <w:sz w:val="22"/>
                <w:szCs w:val="22"/>
              </w:rPr>
              <w:t>. Consideration for DNA 20+</w:t>
            </w:r>
            <w:r>
              <w:rPr>
                <w:rFonts w:ascii="Arial" w:hAnsi="Arial" w:cs="Arial"/>
                <w:sz w:val="22"/>
                <w:szCs w:val="22"/>
              </w:rPr>
              <w:t>.</w:t>
            </w:r>
          </w:p>
          <w:p w:rsidR="00802D6B" w:rsidRPr="00C20633" w:rsidRDefault="00802D6B" w:rsidP="00441B9F">
            <w:pPr>
              <w:jc w:val="both"/>
              <w:outlineLvl w:val="1"/>
              <w:rPr>
                <w:rFonts w:ascii="Arial" w:hAnsi="Arial" w:cs="Arial"/>
                <w:sz w:val="22"/>
                <w:szCs w:val="22"/>
              </w:rPr>
            </w:pPr>
          </w:p>
        </w:tc>
      </w:tr>
      <w:tr w:rsidR="00802D6B" w:rsidRPr="00C20633" w:rsidTr="00441B9F">
        <w:trPr>
          <w:jc w:val="center"/>
        </w:trPr>
        <w:tc>
          <w:tcPr>
            <w:tcW w:w="2004" w:type="dxa"/>
            <w:vAlign w:val="center"/>
          </w:tcPr>
          <w:p w:rsidR="00802D6B" w:rsidRPr="00C20633" w:rsidRDefault="00802D6B" w:rsidP="00441B9F">
            <w:pPr>
              <w:jc w:val="center"/>
              <w:outlineLvl w:val="1"/>
              <w:rPr>
                <w:rFonts w:ascii="Arial" w:hAnsi="Arial" w:cs="Arial"/>
                <w:sz w:val="22"/>
                <w:szCs w:val="22"/>
              </w:rPr>
            </w:pPr>
            <w:r w:rsidRPr="00C20633">
              <w:rPr>
                <w:rFonts w:ascii="Arial" w:hAnsi="Arial" w:cs="Arial"/>
                <w:sz w:val="22"/>
                <w:szCs w:val="22"/>
              </w:rPr>
              <w:t>Minor Reservations</w:t>
            </w:r>
          </w:p>
        </w:tc>
        <w:tc>
          <w:tcPr>
            <w:tcW w:w="2135" w:type="dxa"/>
            <w:vAlign w:val="center"/>
          </w:tcPr>
          <w:p w:rsidR="00802D6B" w:rsidRPr="00C20633" w:rsidRDefault="00802D6B" w:rsidP="00441B9F">
            <w:pPr>
              <w:jc w:val="center"/>
              <w:outlineLvl w:val="1"/>
              <w:rPr>
                <w:rFonts w:ascii="Arial" w:hAnsi="Arial" w:cs="Arial"/>
                <w:sz w:val="22"/>
                <w:szCs w:val="22"/>
              </w:rPr>
            </w:pPr>
            <w:r>
              <w:rPr>
                <w:rFonts w:ascii="Arial" w:hAnsi="Arial" w:cs="Arial"/>
                <w:sz w:val="22"/>
                <w:szCs w:val="22"/>
              </w:rPr>
              <w:t>50</w:t>
            </w:r>
          </w:p>
        </w:tc>
        <w:tc>
          <w:tcPr>
            <w:tcW w:w="5720" w:type="dxa"/>
          </w:tcPr>
          <w:p w:rsidR="00802D6B" w:rsidRDefault="00802D6B" w:rsidP="00441B9F">
            <w:pPr>
              <w:jc w:val="both"/>
              <w:outlineLvl w:val="1"/>
              <w:rPr>
                <w:rFonts w:ascii="Arial" w:hAnsi="Arial" w:cs="Arial"/>
                <w:sz w:val="22"/>
                <w:szCs w:val="22"/>
              </w:rPr>
            </w:pPr>
            <w:r w:rsidRPr="00C20633">
              <w:rPr>
                <w:rFonts w:ascii="Arial" w:hAnsi="Arial" w:cs="Arial"/>
                <w:sz w:val="22"/>
                <w:szCs w:val="22"/>
              </w:rPr>
              <w:t>Mainly satisfies the requirement, but with minor reservations</w:t>
            </w:r>
            <w:r>
              <w:rPr>
                <w:rFonts w:ascii="Arial" w:hAnsi="Arial" w:cs="Arial"/>
                <w:sz w:val="22"/>
                <w:szCs w:val="22"/>
              </w:rPr>
              <w:t xml:space="preserve"> or omissions</w:t>
            </w:r>
            <w:r w:rsidRPr="00C20633">
              <w:rPr>
                <w:rFonts w:ascii="Arial" w:hAnsi="Arial" w:cs="Arial"/>
                <w:sz w:val="22"/>
                <w:szCs w:val="22"/>
              </w:rPr>
              <w:t>.</w:t>
            </w:r>
            <w:r>
              <w:rPr>
                <w:rFonts w:ascii="Arial" w:hAnsi="Arial" w:cs="Arial"/>
                <w:sz w:val="22"/>
                <w:szCs w:val="22"/>
              </w:rPr>
              <w:t xml:space="preserve"> </w:t>
            </w:r>
          </w:p>
          <w:p w:rsidR="00802D6B" w:rsidRDefault="00802D6B" w:rsidP="00441B9F">
            <w:pPr>
              <w:jc w:val="both"/>
              <w:outlineLvl w:val="1"/>
              <w:rPr>
                <w:rFonts w:ascii="Arial" w:hAnsi="Arial" w:cs="Arial"/>
                <w:sz w:val="22"/>
                <w:szCs w:val="22"/>
              </w:rPr>
            </w:pPr>
          </w:p>
          <w:p w:rsidR="00802D6B" w:rsidRDefault="00802D6B" w:rsidP="00441B9F">
            <w:pPr>
              <w:jc w:val="both"/>
              <w:outlineLvl w:val="1"/>
              <w:rPr>
                <w:rFonts w:ascii="Arial" w:hAnsi="Arial" w:cs="Arial"/>
                <w:sz w:val="22"/>
                <w:szCs w:val="22"/>
              </w:rPr>
            </w:pPr>
            <w:r w:rsidRPr="003A5DEA">
              <w:rPr>
                <w:rFonts w:ascii="Arial" w:hAnsi="Arial" w:cs="Arial"/>
                <w:sz w:val="22"/>
                <w:szCs w:val="22"/>
              </w:rPr>
              <w:t xml:space="preserve">Bidder </w:t>
            </w:r>
            <w:r>
              <w:rPr>
                <w:rFonts w:ascii="Arial" w:hAnsi="Arial" w:cs="Arial"/>
                <w:sz w:val="22"/>
                <w:szCs w:val="22"/>
              </w:rPr>
              <w:t xml:space="preserve">responses </w:t>
            </w:r>
            <w:r w:rsidRPr="00C20633">
              <w:rPr>
                <w:rFonts w:ascii="Arial" w:hAnsi="Arial" w:cs="Arial"/>
                <w:sz w:val="22"/>
                <w:szCs w:val="22"/>
              </w:rPr>
              <w:t>satisfies the requirement</w:t>
            </w:r>
            <w:r>
              <w:rPr>
                <w:rFonts w:ascii="Arial" w:hAnsi="Arial" w:cs="Arial"/>
                <w:sz w:val="22"/>
                <w:szCs w:val="22"/>
              </w:rPr>
              <w:t xml:space="preserve">, but </w:t>
            </w:r>
            <w:r w:rsidRPr="003A5DEA">
              <w:rPr>
                <w:rFonts w:ascii="Arial" w:hAnsi="Arial" w:cs="Arial"/>
                <w:sz w:val="22"/>
                <w:szCs w:val="22"/>
              </w:rPr>
              <w:t xml:space="preserve">is missing </w:t>
            </w:r>
            <w:r w:rsidR="00F05F77">
              <w:rPr>
                <w:rFonts w:ascii="Arial" w:hAnsi="Arial" w:cs="Arial"/>
                <w:sz w:val="22"/>
                <w:szCs w:val="22"/>
              </w:rPr>
              <w:t>one or two</w:t>
            </w:r>
            <w:r>
              <w:rPr>
                <w:rFonts w:ascii="Arial" w:hAnsi="Arial" w:cs="Arial"/>
                <w:sz w:val="22"/>
                <w:szCs w:val="22"/>
              </w:rPr>
              <w:t xml:space="preserve"> lesser </w:t>
            </w:r>
            <w:r w:rsidRPr="003A5DEA">
              <w:rPr>
                <w:rFonts w:ascii="Arial" w:hAnsi="Arial" w:cs="Arial"/>
                <w:sz w:val="22"/>
                <w:szCs w:val="22"/>
              </w:rPr>
              <w:t xml:space="preserve">significant </w:t>
            </w:r>
            <w:r>
              <w:rPr>
                <w:rFonts w:ascii="Arial" w:hAnsi="Arial" w:cs="Arial"/>
                <w:sz w:val="22"/>
                <w:szCs w:val="22"/>
              </w:rPr>
              <w:t xml:space="preserve">points for the structure for </w:t>
            </w:r>
            <w:r w:rsidRPr="003A5DEA">
              <w:rPr>
                <w:rFonts w:ascii="Arial" w:hAnsi="Arial" w:cs="Arial"/>
                <w:sz w:val="22"/>
                <w:szCs w:val="22"/>
              </w:rPr>
              <w:t xml:space="preserve">ability to deliver, i.e. all </w:t>
            </w:r>
            <w:r>
              <w:rPr>
                <w:rFonts w:ascii="Arial" w:hAnsi="Arial" w:cs="Arial"/>
                <w:sz w:val="22"/>
                <w:szCs w:val="22"/>
              </w:rPr>
              <w:t>6</w:t>
            </w:r>
            <w:r w:rsidRPr="003A5DEA">
              <w:rPr>
                <w:rFonts w:ascii="Arial" w:hAnsi="Arial" w:cs="Arial"/>
                <w:sz w:val="22"/>
                <w:szCs w:val="22"/>
              </w:rPr>
              <w:t xml:space="preserve"> points are not covered in their entirety Bidder has met the key requirements with some minor reservations or omissions.</w:t>
            </w:r>
          </w:p>
          <w:p w:rsidR="00802D6B" w:rsidRPr="00C20633" w:rsidRDefault="00802D6B" w:rsidP="00441B9F">
            <w:pPr>
              <w:jc w:val="both"/>
              <w:outlineLvl w:val="1"/>
              <w:rPr>
                <w:rFonts w:ascii="Arial" w:hAnsi="Arial" w:cs="Arial"/>
                <w:b/>
                <w:sz w:val="22"/>
                <w:szCs w:val="22"/>
              </w:rPr>
            </w:pPr>
          </w:p>
        </w:tc>
      </w:tr>
      <w:tr w:rsidR="00802D6B" w:rsidRPr="00C20633" w:rsidTr="00441B9F">
        <w:trPr>
          <w:trHeight w:val="2483"/>
          <w:jc w:val="center"/>
        </w:trPr>
        <w:tc>
          <w:tcPr>
            <w:tcW w:w="2004" w:type="dxa"/>
            <w:vAlign w:val="center"/>
          </w:tcPr>
          <w:p w:rsidR="00802D6B" w:rsidRPr="00C20633" w:rsidRDefault="00802D6B" w:rsidP="00441B9F">
            <w:pPr>
              <w:jc w:val="center"/>
              <w:outlineLvl w:val="1"/>
              <w:rPr>
                <w:rFonts w:ascii="Arial" w:hAnsi="Arial" w:cs="Arial"/>
                <w:sz w:val="22"/>
                <w:szCs w:val="22"/>
              </w:rPr>
            </w:pPr>
            <w:r w:rsidRPr="00C20633">
              <w:rPr>
                <w:rFonts w:ascii="Arial" w:hAnsi="Arial" w:cs="Arial"/>
                <w:sz w:val="22"/>
                <w:szCs w:val="22"/>
              </w:rPr>
              <w:t>Unacceptable</w:t>
            </w:r>
          </w:p>
          <w:p w:rsidR="00802D6B" w:rsidRPr="00C20633" w:rsidRDefault="00802D6B" w:rsidP="00441B9F">
            <w:pPr>
              <w:jc w:val="center"/>
              <w:outlineLvl w:val="1"/>
              <w:rPr>
                <w:rFonts w:ascii="Arial" w:hAnsi="Arial" w:cs="Arial"/>
                <w:sz w:val="22"/>
                <w:szCs w:val="22"/>
              </w:rPr>
            </w:pPr>
          </w:p>
        </w:tc>
        <w:tc>
          <w:tcPr>
            <w:tcW w:w="2135" w:type="dxa"/>
            <w:vAlign w:val="center"/>
          </w:tcPr>
          <w:p w:rsidR="00802D6B" w:rsidRPr="00C20633" w:rsidRDefault="00802D6B" w:rsidP="00441B9F">
            <w:pPr>
              <w:jc w:val="center"/>
              <w:outlineLvl w:val="1"/>
              <w:rPr>
                <w:rFonts w:ascii="Arial" w:hAnsi="Arial" w:cs="Arial"/>
                <w:sz w:val="22"/>
                <w:szCs w:val="22"/>
              </w:rPr>
            </w:pPr>
            <w:r>
              <w:rPr>
                <w:rFonts w:ascii="Arial" w:hAnsi="Arial" w:cs="Arial"/>
                <w:sz w:val="22"/>
                <w:szCs w:val="22"/>
              </w:rPr>
              <w:t>25</w:t>
            </w:r>
          </w:p>
        </w:tc>
        <w:tc>
          <w:tcPr>
            <w:tcW w:w="5720" w:type="dxa"/>
          </w:tcPr>
          <w:p w:rsidR="00802D6B" w:rsidRPr="00C20633" w:rsidRDefault="00802D6B" w:rsidP="00441B9F">
            <w:pPr>
              <w:jc w:val="both"/>
              <w:outlineLvl w:val="1"/>
              <w:rPr>
                <w:rFonts w:ascii="Arial" w:hAnsi="Arial" w:cs="Arial"/>
                <w:sz w:val="22"/>
                <w:szCs w:val="22"/>
              </w:rPr>
            </w:pPr>
            <w:r w:rsidRPr="00C20633">
              <w:rPr>
                <w:rFonts w:ascii="Arial" w:hAnsi="Arial" w:cs="Arial"/>
                <w:sz w:val="22"/>
                <w:szCs w:val="22"/>
              </w:rPr>
              <w:t>Does not meet the requirement.</w:t>
            </w:r>
          </w:p>
          <w:p w:rsidR="00802D6B" w:rsidRDefault="00802D6B" w:rsidP="00441B9F">
            <w:pPr>
              <w:jc w:val="both"/>
              <w:outlineLvl w:val="1"/>
              <w:rPr>
                <w:rFonts w:ascii="Arial" w:hAnsi="Arial" w:cs="Arial"/>
                <w:sz w:val="22"/>
                <w:szCs w:val="22"/>
              </w:rPr>
            </w:pPr>
          </w:p>
          <w:p w:rsidR="00802D6B" w:rsidRPr="00C20633" w:rsidRDefault="00802D6B" w:rsidP="00441B9F">
            <w:pPr>
              <w:jc w:val="both"/>
              <w:outlineLvl w:val="1"/>
              <w:rPr>
                <w:rFonts w:ascii="Arial" w:hAnsi="Arial" w:cs="Arial"/>
                <w:sz w:val="22"/>
                <w:szCs w:val="22"/>
              </w:rPr>
            </w:pPr>
            <w:r>
              <w:rPr>
                <w:rFonts w:ascii="Arial" w:hAnsi="Arial" w:cs="Arial"/>
                <w:sz w:val="22"/>
                <w:szCs w:val="22"/>
              </w:rPr>
              <w:t xml:space="preserve">The approach the Bidder is proposing to apply and has set out in response to the scenario does not comply and/or insufficient information is provided </w:t>
            </w:r>
            <w:r w:rsidRPr="00C20633">
              <w:rPr>
                <w:rFonts w:ascii="Arial" w:hAnsi="Arial" w:cs="Arial"/>
                <w:sz w:val="22"/>
                <w:szCs w:val="22"/>
              </w:rPr>
              <w:t xml:space="preserve">of the </w:t>
            </w:r>
            <w:r>
              <w:rPr>
                <w:rFonts w:ascii="Arial" w:hAnsi="Arial" w:cs="Arial"/>
                <w:sz w:val="22"/>
                <w:szCs w:val="22"/>
              </w:rPr>
              <w:t>approach they will apply to the services. T</w:t>
            </w:r>
            <w:r w:rsidR="001F09EA">
              <w:rPr>
                <w:rFonts w:ascii="Arial" w:hAnsi="Arial" w:cs="Arial"/>
                <w:sz w:val="22"/>
                <w:szCs w:val="22"/>
              </w:rPr>
              <w:t xml:space="preserve">he Bidder provides little or </w:t>
            </w:r>
            <w:r w:rsidR="00003A8B">
              <w:rPr>
                <w:rFonts w:ascii="Arial" w:hAnsi="Arial" w:cs="Arial"/>
                <w:sz w:val="22"/>
                <w:szCs w:val="22"/>
              </w:rPr>
              <w:t>ir</w:t>
            </w:r>
            <w:r w:rsidR="001F09EA">
              <w:rPr>
                <w:rFonts w:ascii="Arial" w:hAnsi="Arial" w:cs="Arial"/>
                <w:sz w:val="22"/>
                <w:szCs w:val="22"/>
              </w:rPr>
              <w:t>relevant evidence</w:t>
            </w:r>
            <w:r>
              <w:rPr>
                <w:rFonts w:ascii="Arial" w:hAnsi="Arial" w:cs="Arial"/>
                <w:sz w:val="22"/>
                <w:szCs w:val="22"/>
              </w:rPr>
              <w:t xml:space="preserve"> to support the response and/or does not demonstrate relevant</w:t>
            </w:r>
            <w:r w:rsidRPr="00C20633">
              <w:rPr>
                <w:rFonts w:ascii="Arial" w:hAnsi="Arial" w:cs="Arial"/>
                <w:sz w:val="22"/>
                <w:szCs w:val="22"/>
              </w:rPr>
              <w:t xml:space="preserve"> </w:t>
            </w:r>
            <w:r>
              <w:rPr>
                <w:rFonts w:ascii="Arial" w:hAnsi="Arial" w:cs="Arial"/>
                <w:sz w:val="22"/>
                <w:szCs w:val="22"/>
              </w:rPr>
              <w:t>resources and quality measures required to provide the research.</w:t>
            </w:r>
          </w:p>
        </w:tc>
      </w:tr>
      <w:tr w:rsidR="00802D6B" w:rsidRPr="00C20633" w:rsidTr="00441B9F">
        <w:trPr>
          <w:trHeight w:val="382"/>
          <w:jc w:val="center"/>
        </w:trPr>
        <w:tc>
          <w:tcPr>
            <w:tcW w:w="2004" w:type="dxa"/>
            <w:vAlign w:val="center"/>
          </w:tcPr>
          <w:p w:rsidR="00802D6B" w:rsidRPr="00C20633" w:rsidRDefault="00802D6B" w:rsidP="00441B9F">
            <w:pPr>
              <w:jc w:val="center"/>
              <w:outlineLvl w:val="1"/>
              <w:rPr>
                <w:rFonts w:ascii="Arial" w:hAnsi="Arial" w:cs="Arial"/>
                <w:sz w:val="22"/>
                <w:szCs w:val="22"/>
              </w:rPr>
            </w:pPr>
            <w:r w:rsidRPr="00C20633">
              <w:rPr>
                <w:rFonts w:ascii="Arial" w:hAnsi="Arial" w:cs="Arial"/>
                <w:sz w:val="22"/>
                <w:szCs w:val="22"/>
              </w:rPr>
              <w:t>No response.</w:t>
            </w:r>
          </w:p>
        </w:tc>
        <w:tc>
          <w:tcPr>
            <w:tcW w:w="2135" w:type="dxa"/>
            <w:vAlign w:val="center"/>
          </w:tcPr>
          <w:p w:rsidR="00802D6B" w:rsidRDefault="00802D6B" w:rsidP="00441B9F">
            <w:pPr>
              <w:jc w:val="center"/>
              <w:outlineLvl w:val="1"/>
              <w:rPr>
                <w:rFonts w:ascii="Arial" w:hAnsi="Arial" w:cs="Arial"/>
                <w:sz w:val="22"/>
                <w:szCs w:val="22"/>
              </w:rPr>
            </w:pPr>
            <w:r>
              <w:rPr>
                <w:rFonts w:ascii="Arial" w:hAnsi="Arial" w:cs="Arial"/>
                <w:sz w:val="22"/>
                <w:szCs w:val="22"/>
              </w:rPr>
              <w:t>0</w:t>
            </w:r>
          </w:p>
        </w:tc>
        <w:tc>
          <w:tcPr>
            <w:tcW w:w="5720" w:type="dxa"/>
            <w:vAlign w:val="center"/>
          </w:tcPr>
          <w:p w:rsidR="00802D6B" w:rsidRPr="00C20633" w:rsidRDefault="00802D6B" w:rsidP="00441B9F">
            <w:pPr>
              <w:jc w:val="both"/>
              <w:outlineLvl w:val="1"/>
              <w:rPr>
                <w:rFonts w:ascii="Arial" w:hAnsi="Arial" w:cs="Arial"/>
                <w:sz w:val="22"/>
                <w:szCs w:val="22"/>
              </w:rPr>
            </w:pPr>
            <w:r w:rsidRPr="00C20633">
              <w:rPr>
                <w:rFonts w:ascii="Arial" w:hAnsi="Arial" w:cs="Arial"/>
                <w:sz w:val="22"/>
                <w:szCs w:val="22"/>
              </w:rPr>
              <w:t>No response.</w:t>
            </w:r>
          </w:p>
        </w:tc>
      </w:tr>
    </w:tbl>
    <w:p w:rsidR="00802D6B" w:rsidRPr="00C24B9F" w:rsidRDefault="00802D6B" w:rsidP="00802D6B">
      <w:pPr>
        <w:jc w:val="both"/>
        <w:outlineLvl w:val="1"/>
        <w:rPr>
          <w:rFonts w:ascii="Arial" w:hAnsi="Arial" w:cs="Arial"/>
        </w:rPr>
      </w:pPr>
    </w:p>
    <w:p w:rsidR="00802D6B" w:rsidRPr="00C24B9F" w:rsidRDefault="00802D6B" w:rsidP="00802D6B">
      <w:pPr>
        <w:jc w:val="both"/>
        <w:outlineLvl w:val="1"/>
        <w:rPr>
          <w:rFonts w:ascii="Arial" w:hAnsi="Arial" w:cs="Arial"/>
        </w:rPr>
      </w:pPr>
    </w:p>
    <w:p w:rsidR="00802D6B" w:rsidRPr="00C24B9F" w:rsidRDefault="00802D6B" w:rsidP="00802D6B">
      <w:pPr>
        <w:jc w:val="both"/>
        <w:outlineLvl w:val="1"/>
        <w:rPr>
          <w:rFonts w:ascii="Arial" w:hAnsi="Arial" w:cs="Arial"/>
          <w:b/>
        </w:rPr>
      </w:pPr>
      <w:r w:rsidRPr="00C24B9F">
        <w:rPr>
          <w:rFonts w:ascii="Arial" w:hAnsi="Arial" w:cs="Arial"/>
          <w:b/>
        </w:rPr>
        <w:t xml:space="preserve">Responses to </w:t>
      </w:r>
      <w:r w:rsidR="001B42EF">
        <w:rPr>
          <w:rFonts w:ascii="Arial" w:hAnsi="Arial" w:cs="Arial"/>
          <w:b/>
        </w:rPr>
        <w:t>the Technical Competency question</w:t>
      </w:r>
      <w:r w:rsidRPr="00C24B9F">
        <w:rPr>
          <w:rFonts w:ascii="Arial" w:hAnsi="Arial" w:cs="Arial"/>
          <w:b/>
        </w:rPr>
        <w:t xml:space="preserve"> will be evaluated using the following scoring methodology:</w:t>
      </w:r>
    </w:p>
    <w:p w:rsidR="00802D6B" w:rsidRPr="00C24B9F" w:rsidRDefault="00802D6B" w:rsidP="00802D6B">
      <w:pPr>
        <w:jc w:val="both"/>
        <w:outlineLvl w:val="1"/>
        <w:rPr>
          <w:rFonts w:ascii="Arial" w:hAnsi="Arial" w:cs="Arial"/>
          <w:b/>
        </w:rPr>
      </w:pPr>
    </w:p>
    <w:p w:rsidR="00802D6B" w:rsidRPr="002A34F7" w:rsidRDefault="00802D6B" w:rsidP="00802D6B">
      <w:pPr>
        <w:jc w:val="both"/>
        <w:outlineLvl w:val="1"/>
        <w:rPr>
          <w:rFonts w:ascii="Arial" w:hAnsi="Arial" w:cs="Arial"/>
          <w:b/>
        </w:rPr>
      </w:pPr>
      <w:r w:rsidRPr="00C24B9F">
        <w:rPr>
          <w:rFonts w:ascii="Arial" w:hAnsi="Arial" w:cs="Arial"/>
          <w:b/>
        </w:rPr>
        <w:t>Scoring - Technical Competency</w:t>
      </w:r>
    </w:p>
    <w:p w:rsidR="00802D6B" w:rsidRPr="00DE2C8F" w:rsidRDefault="00802D6B" w:rsidP="00802D6B">
      <w:pPr>
        <w:ind w:left="-360"/>
        <w:jc w:val="both"/>
        <w:outlineLvl w:val="1"/>
        <w:rPr>
          <w:rFonts w:ascii="Arial" w:hAnsi="Arial" w:cs="Arial"/>
          <w:b/>
          <w:sz w:val="28"/>
          <w:szCs w:val="28"/>
        </w:rPr>
      </w:pPr>
    </w:p>
    <w:tbl>
      <w:tblPr>
        <w:tblW w:w="9859" w:type="dxa"/>
        <w:jc w:val="center"/>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ook w:val="01E0"/>
      </w:tblPr>
      <w:tblGrid>
        <w:gridCol w:w="2004"/>
        <w:gridCol w:w="2135"/>
        <w:gridCol w:w="5720"/>
      </w:tblGrid>
      <w:tr w:rsidR="00802D6B" w:rsidRPr="00C20633" w:rsidTr="00441B9F">
        <w:trPr>
          <w:trHeight w:val="582"/>
          <w:tblHeader/>
          <w:jc w:val="center"/>
        </w:trPr>
        <w:tc>
          <w:tcPr>
            <w:tcW w:w="2004" w:type="dxa"/>
            <w:vAlign w:val="center"/>
          </w:tcPr>
          <w:p w:rsidR="00802D6B" w:rsidRPr="00C20633" w:rsidRDefault="00802D6B" w:rsidP="00441B9F">
            <w:pPr>
              <w:jc w:val="center"/>
              <w:outlineLvl w:val="1"/>
              <w:rPr>
                <w:rFonts w:ascii="Arial" w:hAnsi="Arial" w:cs="Arial"/>
                <w:b/>
                <w:sz w:val="22"/>
                <w:szCs w:val="22"/>
              </w:rPr>
            </w:pPr>
            <w:r w:rsidRPr="00C20633">
              <w:rPr>
                <w:rFonts w:ascii="Arial" w:hAnsi="Arial" w:cs="Arial"/>
                <w:b/>
                <w:sz w:val="22"/>
                <w:szCs w:val="22"/>
              </w:rPr>
              <w:t>Assessment</w:t>
            </w:r>
          </w:p>
        </w:tc>
        <w:tc>
          <w:tcPr>
            <w:tcW w:w="2135" w:type="dxa"/>
            <w:vAlign w:val="center"/>
          </w:tcPr>
          <w:p w:rsidR="00802D6B" w:rsidRPr="00C20633" w:rsidRDefault="00802D6B" w:rsidP="00441B9F">
            <w:pPr>
              <w:jc w:val="center"/>
              <w:outlineLvl w:val="1"/>
              <w:rPr>
                <w:rFonts w:ascii="Arial" w:hAnsi="Arial" w:cs="Arial"/>
                <w:b/>
                <w:sz w:val="22"/>
                <w:szCs w:val="22"/>
              </w:rPr>
            </w:pPr>
            <w:r w:rsidRPr="00C20633">
              <w:rPr>
                <w:rFonts w:ascii="Arial" w:hAnsi="Arial" w:cs="Arial"/>
                <w:b/>
                <w:sz w:val="22"/>
                <w:szCs w:val="22"/>
              </w:rPr>
              <w:t>Score</w:t>
            </w:r>
          </w:p>
        </w:tc>
        <w:tc>
          <w:tcPr>
            <w:tcW w:w="5720" w:type="dxa"/>
            <w:vAlign w:val="center"/>
          </w:tcPr>
          <w:p w:rsidR="00802D6B" w:rsidRPr="00C20633" w:rsidRDefault="00802D6B" w:rsidP="00441B9F">
            <w:pPr>
              <w:jc w:val="both"/>
              <w:outlineLvl w:val="1"/>
              <w:rPr>
                <w:rFonts w:ascii="Arial" w:hAnsi="Arial" w:cs="Arial"/>
                <w:b/>
                <w:sz w:val="22"/>
                <w:szCs w:val="22"/>
              </w:rPr>
            </w:pPr>
            <w:r w:rsidRPr="00C20633">
              <w:rPr>
                <w:rFonts w:ascii="Arial" w:hAnsi="Arial" w:cs="Arial"/>
                <w:b/>
                <w:sz w:val="22"/>
                <w:szCs w:val="22"/>
              </w:rPr>
              <w:t>Description</w:t>
            </w:r>
          </w:p>
        </w:tc>
      </w:tr>
      <w:tr w:rsidR="00802D6B" w:rsidRPr="00C20633" w:rsidTr="00441B9F">
        <w:trPr>
          <w:jc w:val="center"/>
        </w:trPr>
        <w:tc>
          <w:tcPr>
            <w:tcW w:w="2004" w:type="dxa"/>
            <w:vAlign w:val="center"/>
          </w:tcPr>
          <w:p w:rsidR="00802D6B" w:rsidRPr="00C20633" w:rsidRDefault="00003A8B" w:rsidP="007740F8">
            <w:pPr>
              <w:jc w:val="center"/>
              <w:outlineLvl w:val="1"/>
              <w:rPr>
                <w:rFonts w:ascii="Arial" w:hAnsi="Arial" w:cs="Arial"/>
                <w:sz w:val="22"/>
                <w:szCs w:val="22"/>
              </w:rPr>
            </w:pPr>
            <w:r>
              <w:rPr>
                <w:rFonts w:ascii="Arial" w:hAnsi="Arial" w:cs="Arial"/>
                <w:color w:val="000000"/>
                <w:sz w:val="22"/>
                <w:szCs w:val="22"/>
              </w:rPr>
              <w:t>Good</w:t>
            </w:r>
            <w:r w:rsidR="00802D6B" w:rsidRPr="00FF43A1">
              <w:rPr>
                <w:rFonts w:ascii="Arial" w:hAnsi="Arial" w:cs="Arial"/>
                <w:color w:val="000000"/>
                <w:sz w:val="22"/>
                <w:szCs w:val="22"/>
              </w:rPr>
              <w:t xml:space="preserve"> </w:t>
            </w:r>
          </w:p>
        </w:tc>
        <w:tc>
          <w:tcPr>
            <w:tcW w:w="2135" w:type="dxa"/>
            <w:vAlign w:val="center"/>
          </w:tcPr>
          <w:p w:rsidR="00802D6B" w:rsidRDefault="00802D6B" w:rsidP="00441B9F">
            <w:pPr>
              <w:jc w:val="center"/>
              <w:outlineLvl w:val="1"/>
              <w:rPr>
                <w:rFonts w:ascii="Arial" w:hAnsi="Arial" w:cs="Arial"/>
                <w:sz w:val="22"/>
                <w:szCs w:val="22"/>
              </w:rPr>
            </w:pPr>
            <w:r>
              <w:rPr>
                <w:rFonts w:ascii="Arial" w:hAnsi="Arial" w:cs="Arial"/>
                <w:sz w:val="22"/>
                <w:szCs w:val="22"/>
              </w:rPr>
              <w:t>100</w:t>
            </w:r>
          </w:p>
        </w:tc>
        <w:tc>
          <w:tcPr>
            <w:tcW w:w="5720" w:type="dxa"/>
          </w:tcPr>
          <w:p w:rsidR="00802D6B" w:rsidRPr="0050541F" w:rsidRDefault="007740F8" w:rsidP="00441B9F">
            <w:pPr>
              <w:rPr>
                <w:rFonts w:ascii="Arial" w:hAnsi="Arial" w:cs="Arial"/>
                <w:color w:val="000000"/>
                <w:sz w:val="22"/>
                <w:szCs w:val="22"/>
              </w:rPr>
            </w:pPr>
            <w:r>
              <w:rPr>
                <w:rFonts w:ascii="Arial" w:hAnsi="Arial" w:cs="Arial"/>
                <w:color w:val="000000"/>
                <w:sz w:val="22"/>
                <w:szCs w:val="22"/>
              </w:rPr>
              <w:t>Fully s</w:t>
            </w:r>
            <w:r w:rsidR="00802D6B" w:rsidRPr="0050541F">
              <w:rPr>
                <w:rFonts w:ascii="Arial" w:hAnsi="Arial" w:cs="Arial"/>
                <w:color w:val="000000"/>
                <w:sz w:val="22"/>
                <w:szCs w:val="22"/>
              </w:rPr>
              <w:t xml:space="preserve">atisfies the requirement with additional detail that exceeds the requirements. </w:t>
            </w:r>
          </w:p>
          <w:p w:rsidR="00802D6B" w:rsidRDefault="00802D6B" w:rsidP="00441B9F">
            <w:pPr>
              <w:jc w:val="both"/>
              <w:outlineLvl w:val="1"/>
              <w:rPr>
                <w:rFonts w:ascii="Arial" w:hAnsi="Arial" w:cs="Arial"/>
                <w:sz w:val="22"/>
                <w:szCs w:val="22"/>
              </w:rPr>
            </w:pPr>
          </w:p>
          <w:p w:rsidR="00802D6B" w:rsidRDefault="00802D6B" w:rsidP="00441B9F">
            <w:pPr>
              <w:jc w:val="both"/>
              <w:outlineLvl w:val="1"/>
              <w:rPr>
                <w:rFonts w:ascii="Arial" w:hAnsi="Arial" w:cs="Arial"/>
                <w:sz w:val="22"/>
                <w:szCs w:val="22"/>
              </w:rPr>
            </w:pPr>
            <w:r>
              <w:rPr>
                <w:rFonts w:ascii="Arial" w:hAnsi="Arial" w:cs="Arial"/>
                <w:sz w:val="22"/>
                <w:szCs w:val="22"/>
              </w:rPr>
              <w:t xml:space="preserve">The approach the Bidder is proposing to apply and has set out in response to the scenario demonstrates the Bidder has the relevant </w:t>
            </w:r>
            <w:r w:rsidRPr="00C20633">
              <w:rPr>
                <w:rFonts w:ascii="Arial" w:hAnsi="Arial" w:cs="Arial"/>
                <w:sz w:val="22"/>
                <w:szCs w:val="22"/>
              </w:rPr>
              <w:t>ability, understanding, ex</w:t>
            </w:r>
            <w:r>
              <w:rPr>
                <w:rFonts w:ascii="Arial" w:hAnsi="Arial" w:cs="Arial"/>
                <w:sz w:val="22"/>
                <w:szCs w:val="22"/>
              </w:rPr>
              <w:t xml:space="preserve">perience, and skills </w:t>
            </w:r>
            <w:r w:rsidRPr="00C20633">
              <w:rPr>
                <w:rFonts w:ascii="Arial" w:hAnsi="Arial" w:cs="Arial"/>
                <w:sz w:val="22"/>
                <w:szCs w:val="22"/>
              </w:rPr>
              <w:t xml:space="preserve">required to provide the </w:t>
            </w:r>
            <w:r>
              <w:rPr>
                <w:rFonts w:ascii="Arial" w:hAnsi="Arial" w:cs="Arial"/>
                <w:sz w:val="22"/>
                <w:szCs w:val="22"/>
              </w:rPr>
              <w:t>research</w:t>
            </w:r>
            <w:r w:rsidRPr="00C20633">
              <w:rPr>
                <w:rFonts w:ascii="Arial" w:hAnsi="Arial" w:cs="Arial"/>
                <w:sz w:val="22"/>
                <w:szCs w:val="22"/>
              </w:rPr>
              <w:t xml:space="preserve">. </w:t>
            </w:r>
            <w:r w:rsidRPr="006B119C">
              <w:rPr>
                <w:rFonts w:ascii="Arial" w:hAnsi="Arial" w:cs="Arial"/>
                <w:sz w:val="22"/>
                <w:szCs w:val="22"/>
              </w:rPr>
              <w:t xml:space="preserve">Evidence for current activity in field </w:t>
            </w:r>
            <w:r>
              <w:rPr>
                <w:rFonts w:ascii="Arial" w:hAnsi="Arial" w:cs="Arial"/>
                <w:sz w:val="22"/>
                <w:szCs w:val="22"/>
              </w:rPr>
              <w:t>of expertise</w:t>
            </w:r>
            <w:r w:rsidRPr="006B119C">
              <w:rPr>
                <w:rFonts w:ascii="Arial" w:hAnsi="Arial" w:cs="Arial"/>
                <w:sz w:val="22"/>
                <w:szCs w:val="22"/>
              </w:rPr>
              <w:t xml:space="preserve"> include</w:t>
            </w:r>
            <w:r>
              <w:rPr>
                <w:rFonts w:ascii="Arial" w:hAnsi="Arial" w:cs="Arial"/>
                <w:sz w:val="22"/>
                <w:szCs w:val="22"/>
              </w:rPr>
              <w:t>s</w:t>
            </w:r>
            <w:r w:rsidRPr="006B119C">
              <w:rPr>
                <w:rFonts w:ascii="Arial" w:hAnsi="Arial" w:cs="Arial"/>
                <w:sz w:val="22"/>
                <w:szCs w:val="22"/>
              </w:rPr>
              <w:t xml:space="preserve"> details of published papers. Appropriate </w:t>
            </w:r>
            <w:r w:rsidR="00C10379">
              <w:rPr>
                <w:rFonts w:ascii="Arial" w:hAnsi="Arial" w:cs="Arial"/>
                <w:sz w:val="22"/>
                <w:szCs w:val="22"/>
              </w:rPr>
              <w:t xml:space="preserve">relevant </w:t>
            </w:r>
            <w:r w:rsidRPr="006B119C">
              <w:rPr>
                <w:rFonts w:ascii="Arial" w:hAnsi="Arial" w:cs="Arial"/>
                <w:sz w:val="22"/>
                <w:szCs w:val="22"/>
              </w:rPr>
              <w:t xml:space="preserve">qualifications for statistics and </w:t>
            </w:r>
            <w:r>
              <w:rPr>
                <w:rFonts w:ascii="Arial" w:hAnsi="Arial" w:cs="Arial"/>
                <w:sz w:val="22"/>
                <w:szCs w:val="22"/>
              </w:rPr>
              <w:t>forensic genetics. Membership of</w:t>
            </w:r>
            <w:r w:rsidRPr="006B119C">
              <w:rPr>
                <w:rFonts w:ascii="Arial" w:hAnsi="Arial" w:cs="Arial"/>
                <w:sz w:val="22"/>
                <w:szCs w:val="22"/>
              </w:rPr>
              <w:t xml:space="preserve"> professional societies. Meets all key requirements around knowledge of the NDNAD</w:t>
            </w:r>
            <w:r>
              <w:rPr>
                <w:rFonts w:ascii="Arial" w:hAnsi="Arial" w:cs="Arial"/>
                <w:sz w:val="22"/>
                <w:szCs w:val="22"/>
              </w:rPr>
              <w:t xml:space="preserve"> and outputs with additional detail</w:t>
            </w:r>
            <w:r w:rsidRPr="00FF43A1">
              <w:rPr>
                <w:rFonts w:ascii="Arial" w:hAnsi="Arial" w:cs="Arial"/>
                <w:color w:val="000000"/>
                <w:sz w:val="22"/>
                <w:szCs w:val="22"/>
              </w:rPr>
              <w:t xml:space="preserve"> </w:t>
            </w:r>
            <w:r w:rsidRPr="0050541F">
              <w:rPr>
                <w:rFonts w:ascii="Arial" w:hAnsi="Arial" w:cs="Arial"/>
                <w:color w:val="000000"/>
                <w:sz w:val="22"/>
                <w:szCs w:val="22"/>
              </w:rPr>
              <w:t>which adds value to the project</w:t>
            </w:r>
            <w:r>
              <w:rPr>
                <w:rFonts w:ascii="Arial" w:hAnsi="Arial" w:cs="Arial"/>
                <w:color w:val="000000"/>
                <w:sz w:val="22"/>
                <w:szCs w:val="22"/>
              </w:rPr>
              <w:t>.</w:t>
            </w:r>
            <w:r w:rsidR="007740F8">
              <w:rPr>
                <w:rFonts w:ascii="Arial" w:hAnsi="Arial" w:cs="Arial"/>
                <w:color w:val="000000"/>
                <w:sz w:val="22"/>
                <w:szCs w:val="22"/>
              </w:rPr>
              <w:t xml:space="preserve"> All points answered with relevant details and evidence.</w:t>
            </w:r>
          </w:p>
          <w:p w:rsidR="00802D6B" w:rsidRPr="00C20633" w:rsidRDefault="00802D6B" w:rsidP="00441B9F">
            <w:pPr>
              <w:jc w:val="both"/>
              <w:outlineLvl w:val="1"/>
              <w:rPr>
                <w:rFonts w:ascii="Arial" w:hAnsi="Arial" w:cs="Arial"/>
                <w:sz w:val="22"/>
                <w:szCs w:val="22"/>
              </w:rPr>
            </w:pPr>
          </w:p>
        </w:tc>
      </w:tr>
      <w:tr w:rsidR="00802D6B" w:rsidRPr="00C20633" w:rsidTr="00441B9F">
        <w:trPr>
          <w:jc w:val="center"/>
        </w:trPr>
        <w:tc>
          <w:tcPr>
            <w:tcW w:w="2004" w:type="dxa"/>
            <w:vAlign w:val="center"/>
          </w:tcPr>
          <w:p w:rsidR="00802D6B" w:rsidRPr="00C20633" w:rsidRDefault="00802D6B" w:rsidP="00441B9F">
            <w:pPr>
              <w:jc w:val="center"/>
              <w:outlineLvl w:val="1"/>
              <w:rPr>
                <w:rFonts w:ascii="Arial" w:hAnsi="Arial" w:cs="Arial"/>
                <w:sz w:val="22"/>
                <w:szCs w:val="22"/>
              </w:rPr>
            </w:pPr>
            <w:r w:rsidRPr="00C20633">
              <w:rPr>
                <w:rFonts w:ascii="Arial" w:hAnsi="Arial" w:cs="Arial"/>
                <w:sz w:val="22"/>
                <w:szCs w:val="22"/>
              </w:rPr>
              <w:t>Acceptable</w:t>
            </w:r>
          </w:p>
        </w:tc>
        <w:tc>
          <w:tcPr>
            <w:tcW w:w="2135" w:type="dxa"/>
            <w:vAlign w:val="center"/>
          </w:tcPr>
          <w:p w:rsidR="00802D6B" w:rsidRPr="00C20633" w:rsidRDefault="00802D6B" w:rsidP="00441B9F">
            <w:pPr>
              <w:jc w:val="center"/>
              <w:outlineLvl w:val="1"/>
              <w:rPr>
                <w:rFonts w:ascii="Arial" w:hAnsi="Arial" w:cs="Arial"/>
                <w:sz w:val="22"/>
                <w:szCs w:val="22"/>
              </w:rPr>
            </w:pPr>
            <w:r>
              <w:rPr>
                <w:rFonts w:ascii="Arial" w:hAnsi="Arial" w:cs="Arial"/>
                <w:sz w:val="22"/>
                <w:szCs w:val="22"/>
              </w:rPr>
              <w:t>75</w:t>
            </w:r>
          </w:p>
        </w:tc>
        <w:tc>
          <w:tcPr>
            <w:tcW w:w="5720" w:type="dxa"/>
          </w:tcPr>
          <w:p w:rsidR="00802D6B" w:rsidRDefault="007740F8" w:rsidP="00441B9F">
            <w:pPr>
              <w:jc w:val="both"/>
              <w:outlineLvl w:val="1"/>
              <w:rPr>
                <w:rFonts w:ascii="Arial" w:hAnsi="Arial" w:cs="Arial"/>
                <w:sz w:val="22"/>
                <w:szCs w:val="22"/>
              </w:rPr>
            </w:pPr>
            <w:r>
              <w:rPr>
                <w:rFonts w:ascii="Arial" w:hAnsi="Arial" w:cs="Arial"/>
                <w:sz w:val="22"/>
                <w:szCs w:val="22"/>
              </w:rPr>
              <w:t>Satisfies the requirement and most of the significant points answered with relevant detail and evidence.</w:t>
            </w:r>
            <w:r w:rsidR="00802D6B" w:rsidRPr="00C20633">
              <w:rPr>
                <w:rFonts w:ascii="Arial" w:hAnsi="Arial" w:cs="Arial"/>
                <w:sz w:val="22"/>
                <w:szCs w:val="22"/>
              </w:rPr>
              <w:t xml:space="preserve"> </w:t>
            </w:r>
          </w:p>
          <w:p w:rsidR="00802D6B" w:rsidRPr="00C20633" w:rsidRDefault="00802D6B" w:rsidP="00441B9F">
            <w:pPr>
              <w:jc w:val="both"/>
              <w:outlineLvl w:val="1"/>
              <w:rPr>
                <w:rFonts w:ascii="Arial" w:hAnsi="Arial" w:cs="Arial"/>
                <w:sz w:val="22"/>
                <w:szCs w:val="22"/>
              </w:rPr>
            </w:pPr>
          </w:p>
          <w:p w:rsidR="00802D6B" w:rsidRDefault="00802D6B" w:rsidP="00441B9F">
            <w:pPr>
              <w:jc w:val="both"/>
              <w:outlineLvl w:val="1"/>
              <w:rPr>
                <w:rFonts w:ascii="Arial" w:hAnsi="Arial" w:cs="Arial"/>
                <w:sz w:val="22"/>
                <w:szCs w:val="22"/>
              </w:rPr>
            </w:pPr>
            <w:r>
              <w:rPr>
                <w:rFonts w:ascii="Arial" w:hAnsi="Arial" w:cs="Arial"/>
                <w:sz w:val="22"/>
                <w:szCs w:val="22"/>
              </w:rPr>
              <w:t xml:space="preserve">The approach the Bidder is proposing to apply and has set out in response to the scenario demonstrates the Bidder has the relevant </w:t>
            </w:r>
            <w:r w:rsidRPr="00C20633">
              <w:rPr>
                <w:rFonts w:ascii="Arial" w:hAnsi="Arial" w:cs="Arial"/>
                <w:sz w:val="22"/>
                <w:szCs w:val="22"/>
              </w:rPr>
              <w:t>ability, understanding, ex</w:t>
            </w:r>
            <w:r>
              <w:rPr>
                <w:rFonts w:ascii="Arial" w:hAnsi="Arial" w:cs="Arial"/>
                <w:sz w:val="22"/>
                <w:szCs w:val="22"/>
              </w:rPr>
              <w:t xml:space="preserve">perience, and skills </w:t>
            </w:r>
            <w:r w:rsidRPr="00C20633">
              <w:rPr>
                <w:rFonts w:ascii="Arial" w:hAnsi="Arial" w:cs="Arial"/>
                <w:sz w:val="22"/>
                <w:szCs w:val="22"/>
              </w:rPr>
              <w:t xml:space="preserve">required to provide the </w:t>
            </w:r>
            <w:r>
              <w:rPr>
                <w:rFonts w:ascii="Arial" w:hAnsi="Arial" w:cs="Arial"/>
                <w:sz w:val="22"/>
                <w:szCs w:val="22"/>
              </w:rPr>
              <w:t>research</w:t>
            </w:r>
            <w:r w:rsidRPr="00C20633">
              <w:rPr>
                <w:rFonts w:ascii="Arial" w:hAnsi="Arial" w:cs="Arial"/>
                <w:sz w:val="22"/>
                <w:szCs w:val="22"/>
              </w:rPr>
              <w:t xml:space="preserve">. </w:t>
            </w:r>
            <w:r w:rsidRPr="006B119C">
              <w:rPr>
                <w:rFonts w:ascii="Arial" w:hAnsi="Arial" w:cs="Arial"/>
                <w:sz w:val="22"/>
                <w:szCs w:val="22"/>
              </w:rPr>
              <w:t xml:space="preserve">Evidence for current activity in field </w:t>
            </w:r>
            <w:r>
              <w:rPr>
                <w:rFonts w:ascii="Arial" w:hAnsi="Arial" w:cs="Arial"/>
                <w:sz w:val="22"/>
                <w:szCs w:val="22"/>
              </w:rPr>
              <w:t>of expertise</w:t>
            </w:r>
            <w:r w:rsidRPr="006B119C">
              <w:rPr>
                <w:rFonts w:ascii="Arial" w:hAnsi="Arial" w:cs="Arial"/>
                <w:sz w:val="22"/>
                <w:szCs w:val="22"/>
              </w:rPr>
              <w:t xml:space="preserve"> include</w:t>
            </w:r>
            <w:r>
              <w:rPr>
                <w:rFonts w:ascii="Arial" w:hAnsi="Arial" w:cs="Arial"/>
                <w:sz w:val="22"/>
                <w:szCs w:val="22"/>
              </w:rPr>
              <w:t>s</w:t>
            </w:r>
            <w:r w:rsidRPr="006B119C">
              <w:rPr>
                <w:rFonts w:ascii="Arial" w:hAnsi="Arial" w:cs="Arial"/>
                <w:sz w:val="22"/>
                <w:szCs w:val="22"/>
              </w:rPr>
              <w:t xml:space="preserve"> details of published papers. Appropriate qualifications for statistics and </w:t>
            </w:r>
            <w:r>
              <w:rPr>
                <w:rFonts w:ascii="Arial" w:hAnsi="Arial" w:cs="Arial"/>
                <w:sz w:val="22"/>
                <w:szCs w:val="22"/>
              </w:rPr>
              <w:t>forensic genetics. Membership of</w:t>
            </w:r>
            <w:r w:rsidRPr="006B119C">
              <w:rPr>
                <w:rFonts w:ascii="Arial" w:hAnsi="Arial" w:cs="Arial"/>
                <w:sz w:val="22"/>
                <w:szCs w:val="22"/>
              </w:rPr>
              <w:t xml:space="preserve"> professional societies. Meets all key requirements around knowledge of the NDNAD</w:t>
            </w:r>
            <w:r>
              <w:rPr>
                <w:rFonts w:ascii="Arial" w:hAnsi="Arial" w:cs="Arial"/>
                <w:sz w:val="22"/>
                <w:szCs w:val="22"/>
              </w:rPr>
              <w:t xml:space="preserve"> and outputs.</w:t>
            </w:r>
          </w:p>
          <w:p w:rsidR="00802D6B" w:rsidRPr="00C20633" w:rsidRDefault="00802D6B" w:rsidP="00441B9F">
            <w:pPr>
              <w:jc w:val="both"/>
              <w:outlineLvl w:val="1"/>
              <w:rPr>
                <w:rFonts w:ascii="Arial" w:hAnsi="Arial" w:cs="Arial"/>
                <w:sz w:val="22"/>
                <w:szCs w:val="22"/>
              </w:rPr>
            </w:pPr>
          </w:p>
        </w:tc>
      </w:tr>
      <w:tr w:rsidR="00802D6B" w:rsidRPr="00C20633" w:rsidTr="00441B9F">
        <w:trPr>
          <w:jc w:val="center"/>
        </w:trPr>
        <w:tc>
          <w:tcPr>
            <w:tcW w:w="2004" w:type="dxa"/>
            <w:vAlign w:val="center"/>
          </w:tcPr>
          <w:p w:rsidR="00802D6B" w:rsidRPr="00C20633" w:rsidRDefault="00802D6B" w:rsidP="00441B9F">
            <w:pPr>
              <w:jc w:val="center"/>
              <w:outlineLvl w:val="1"/>
              <w:rPr>
                <w:rFonts w:ascii="Arial" w:hAnsi="Arial" w:cs="Arial"/>
                <w:sz w:val="22"/>
                <w:szCs w:val="22"/>
              </w:rPr>
            </w:pPr>
            <w:r w:rsidRPr="00C20633">
              <w:rPr>
                <w:rFonts w:ascii="Arial" w:hAnsi="Arial" w:cs="Arial"/>
                <w:sz w:val="22"/>
                <w:szCs w:val="22"/>
              </w:rPr>
              <w:t>Minor Reservations</w:t>
            </w:r>
          </w:p>
        </w:tc>
        <w:tc>
          <w:tcPr>
            <w:tcW w:w="2135" w:type="dxa"/>
            <w:vAlign w:val="center"/>
          </w:tcPr>
          <w:p w:rsidR="00802D6B" w:rsidRPr="00C20633" w:rsidRDefault="00802D6B" w:rsidP="00441B9F">
            <w:pPr>
              <w:jc w:val="center"/>
              <w:outlineLvl w:val="1"/>
              <w:rPr>
                <w:rFonts w:ascii="Arial" w:hAnsi="Arial" w:cs="Arial"/>
                <w:sz w:val="22"/>
                <w:szCs w:val="22"/>
              </w:rPr>
            </w:pPr>
            <w:r>
              <w:rPr>
                <w:rFonts w:ascii="Arial" w:hAnsi="Arial" w:cs="Arial"/>
                <w:sz w:val="22"/>
                <w:szCs w:val="22"/>
              </w:rPr>
              <w:t>50</w:t>
            </w:r>
          </w:p>
        </w:tc>
        <w:tc>
          <w:tcPr>
            <w:tcW w:w="5720" w:type="dxa"/>
          </w:tcPr>
          <w:p w:rsidR="00802D6B" w:rsidRDefault="00802D6B" w:rsidP="00441B9F">
            <w:pPr>
              <w:jc w:val="both"/>
              <w:outlineLvl w:val="1"/>
              <w:rPr>
                <w:rFonts w:ascii="Arial" w:hAnsi="Arial" w:cs="Arial"/>
                <w:sz w:val="22"/>
                <w:szCs w:val="22"/>
              </w:rPr>
            </w:pPr>
            <w:r w:rsidRPr="00C20633">
              <w:rPr>
                <w:rFonts w:ascii="Arial" w:hAnsi="Arial" w:cs="Arial"/>
                <w:sz w:val="22"/>
                <w:szCs w:val="22"/>
              </w:rPr>
              <w:t>Mainly satisfies the requirement, but with minor reservations</w:t>
            </w:r>
            <w:r>
              <w:rPr>
                <w:rFonts w:ascii="Arial" w:hAnsi="Arial" w:cs="Arial"/>
                <w:sz w:val="22"/>
                <w:szCs w:val="22"/>
              </w:rPr>
              <w:t xml:space="preserve"> or omissions</w:t>
            </w:r>
            <w:r w:rsidRPr="00C20633">
              <w:rPr>
                <w:rFonts w:ascii="Arial" w:hAnsi="Arial" w:cs="Arial"/>
                <w:sz w:val="22"/>
                <w:szCs w:val="22"/>
              </w:rPr>
              <w:t>.</w:t>
            </w:r>
            <w:r>
              <w:rPr>
                <w:rFonts w:ascii="Arial" w:hAnsi="Arial" w:cs="Arial"/>
                <w:sz w:val="22"/>
                <w:szCs w:val="22"/>
              </w:rPr>
              <w:t xml:space="preserve"> </w:t>
            </w:r>
          </w:p>
          <w:p w:rsidR="00802D6B" w:rsidRDefault="00802D6B" w:rsidP="00441B9F">
            <w:pPr>
              <w:jc w:val="both"/>
              <w:outlineLvl w:val="1"/>
              <w:rPr>
                <w:rFonts w:ascii="Arial" w:hAnsi="Arial" w:cs="Arial"/>
                <w:sz w:val="22"/>
                <w:szCs w:val="22"/>
              </w:rPr>
            </w:pPr>
          </w:p>
          <w:p w:rsidR="00802D6B" w:rsidRPr="00C20633" w:rsidRDefault="00802D6B" w:rsidP="00441B9F">
            <w:pPr>
              <w:jc w:val="both"/>
              <w:outlineLvl w:val="1"/>
              <w:rPr>
                <w:rFonts w:ascii="Arial" w:hAnsi="Arial" w:cs="Arial"/>
                <w:sz w:val="22"/>
                <w:szCs w:val="22"/>
              </w:rPr>
            </w:pPr>
            <w:r>
              <w:rPr>
                <w:rFonts w:ascii="Arial" w:hAnsi="Arial" w:cs="Arial"/>
                <w:sz w:val="22"/>
                <w:szCs w:val="22"/>
              </w:rPr>
              <w:t xml:space="preserve">The approach the Bidder is proposing to apply and has set out in response to the scenario </w:t>
            </w:r>
            <w:r w:rsidRPr="00726B25">
              <w:rPr>
                <w:rFonts w:ascii="Arial" w:hAnsi="Arial" w:cs="Arial"/>
                <w:sz w:val="22"/>
                <w:szCs w:val="22"/>
              </w:rPr>
              <w:t xml:space="preserve">demonstrates minor reservations in that the Bidder is missing </w:t>
            </w:r>
            <w:r>
              <w:rPr>
                <w:rFonts w:ascii="Arial" w:hAnsi="Arial" w:cs="Arial"/>
                <w:sz w:val="22"/>
                <w:szCs w:val="22"/>
              </w:rPr>
              <w:t xml:space="preserve">some but not significant </w:t>
            </w:r>
            <w:r w:rsidRPr="00726B25">
              <w:rPr>
                <w:rFonts w:ascii="Arial" w:hAnsi="Arial" w:cs="Arial"/>
                <w:sz w:val="22"/>
                <w:szCs w:val="22"/>
              </w:rPr>
              <w:t>evidence</w:t>
            </w:r>
            <w:r>
              <w:rPr>
                <w:rFonts w:ascii="Arial" w:hAnsi="Arial" w:cs="Arial"/>
                <w:sz w:val="22"/>
                <w:szCs w:val="22"/>
              </w:rPr>
              <w:t xml:space="preserve"> of relevant </w:t>
            </w:r>
            <w:r w:rsidRPr="00C20633">
              <w:rPr>
                <w:rFonts w:ascii="Arial" w:hAnsi="Arial" w:cs="Arial"/>
                <w:sz w:val="22"/>
                <w:szCs w:val="22"/>
              </w:rPr>
              <w:t>ability, understanding,</w:t>
            </w:r>
            <w:r>
              <w:rPr>
                <w:rFonts w:ascii="Arial" w:hAnsi="Arial" w:cs="Arial"/>
                <w:sz w:val="22"/>
                <w:szCs w:val="22"/>
              </w:rPr>
              <w:t xml:space="preserve"> experience, and skills </w:t>
            </w:r>
            <w:r w:rsidRPr="00C20633">
              <w:rPr>
                <w:rFonts w:ascii="Arial" w:hAnsi="Arial" w:cs="Arial"/>
                <w:sz w:val="22"/>
                <w:szCs w:val="22"/>
              </w:rPr>
              <w:t>r</w:t>
            </w:r>
            <w:r>
              <w:rPr>
                <w:rFonts w:ascii="Arial" w:hAnsi="Arial" w:cs="Arial"/>
                <w:sz w:val="22"/>
                <w:szCs w:val="22"/>
              </w:rPr>
              <w:t>equired to provide the research.</w:t>
            </w:r>
          </w:p>
          <w:p w:rsidR="00802D6B" w:rsidRPr="00C20633" w:rsidRDefault="00802D6B" w:rsidP="00441B9F">
            <w:pPr>
              <w:jc w:val="both"/>
              <w:outlineLvl w:val="1"/>
              <w:rPr>
                <w:rFonts w:ascii="Arial" w:hAnsi="Arial" w:cs="Arial"/>
                <w:b/>
                <w:sz w:val="22"/>
                <w:szCs w:val="22"/>
              </w:rPr>
            </w:pPr>
          </w:p>
        </w:tc>
      </w:tr>
      <w:tr w:rsidR="00802D6B" w:rsidRPr="00C20633" w:rsidTr="00441B9F">
        <w:trPr>
          <w:trHeight w:val="1555"/>
          <w:jc w:val="center"/>
        </w:trPr>
        <w:tc>
          <w:tcPr>
            <w:tcW w:w="2004" w:type="dxa"/>
            <w:vAlign w:val="center"/>
          </w:tcPr>
          <w:p w:rsidR="00802D6B" w:rsidRPr="00C20633" w:rsidRDefault="00802D6B" w:rsidP="00441B9F">
            <w:pPr>
              <w:jc w:val="center"/>
              <w:outlineLvl w:val="1"/>
              <w:rPr>
                <w:rFonts w:ascii="Arial" w:hAnsi="Arial" w:cs="Arial"/>
                <w:sz w:val="22"/>
                <w:szCs w:val="22"/>
              </w:rPr>
            </w:pPr>
            <w:r w:rsidRPr="00C20633">
              <w:rPr>
                <w:rFonts w:ascii="Arial" w:hAnsi="Arial" w:cs="Arial"/>
                <w:sz w:val="22"/>
                <w:szCs w:val="22"/>
              </w:rPr>
              <w:t>Unacceptable</w:t>
            </w:r>
          </w:p>
          <w:p w:rsidR="00802D6B" w:rsidRPr="00C20633" w:rsidRDefault="00802D6B" w:rsidP="00441B9F">
            <w:pPr>
              <w:jc w:val="center"/>
              <w:outlineLvl w:val="1"/>
              <w:rPr>
                <w:rFonts w:ascii="Arial" w:hAnsi="Arial" w:cs="Arial"/>
                <w:sz w:val="22"/>
                <w:szCs w:val="22"/>
              </w:rPr>
            </w:pPr>
          </w:p>
        </w:tc>
        <w:tc>
          <w:tcPr>
            <w:tcW w:w="2135" w:type="dxa"/>
            <w:vAlign w:val="center"/>
          </w:tcPr>
          <w:p w:rsidR="00802D6B" w:rsidRPr="00C20633" w:rsidRDefault="00802D6B" w:rsidP="00441B9F">
            <w:pPr>
              <w:jc w:val="center"/>
              <w:outlineLvl w:val="1"/>
              <w:rPr>
                <w:rFonts w:ascii="Arial" w:hAnsi="Arial" w:cs="Arial"/>
                <w:sz w:val="22"/>
                <w:szCs w:val="22"/>
              </w:rPr>
            </w:pPr>
            <w:r>
              <w:rPr>
                <w:rFonts w:ascii="Arial" w:hAnsi="Arial" w:cs="Arial"/>
                <w:sz w:val="22"/>
                <w:szCs w:val="22"/>
              </w:rPr>
              <w:t>25</w:t>
            </w:r>
          </w:p>
        </w:tc>
        <w:tc>
          <w:tcPr>
            <w:tcW w:w="5720" w:type="dxa"/>
          </w:tcPr>
          <w:p w:rsidR="00802D6B" w:rsidRPr="00C20633" w:rsidRDefault="00802D6B" w:rsidP="00441B9F">
            <w:pPr>
              <w:jc w:val="both"/>
              <w:outlineLvl w:val="1"/>
              <w:rPr>
                <w:rFonts w:ascii="Arial" w:hAnsi="Arial" w:cs="Arial"/>
                <w:sz w:val="22"/>
                <w:szCs w:val="22"/>
              </w:rPr>
            </w:pPr>
            <w:r w:rsidRPr="00C20633">
              <w:rPr>
                <w:rFonts w:ascii="Arial" w:hAnsi="Arial" w:cs="Arial"/>
                <w:sz w:val="22"/>
                <w:szCs w:val="22"/>
              </w:rPr>
              <w:t>Does not meet the requirement.</w:t>
            </w:r>
          </w:p>
          <w:p w:rsidR="00802D6B" w:rsidRDefault="00802D6B" w:rsidP="00441B9F">
            <w:pPr>
              <w:jc w:val="both"/>
              <w:outlineLvl w:val="1"/>
              <w:rPr>
                <w:rFonts w:ascii="Arial" w:hAnsi="Arial" w:cs="Arial"/>
                <w:sz w:val="22"/>
                <w:szCs w:val="22"/>
              </w:rPr>
            </w:pPr>
          </w:p>
          <w:p w:rsidR="00802D6B" w:rsidRPr="00C20633" w:rsidRDefault="00802D6B" w:rsidP="00441B9F">
            <w:pPr>
              <w:jc w:val="both"/>
              <w:outlineLvl w:val="1"/>
              <w:rPr>
                <w:rFonts w:ascii="Arial" w:hAnsi="Arial" w:cs="Arial"/>
                <w:sz w:val="22"/>
                <w:szCs w:val="22"/>
              </w:rPr>
            </w:pPr>
            <w:r>
              <w:rPr>
                <w:rFonts w:ascii="Arial" w:hAnsi="Arial" w:cs="Arial"/>
                <w:sz w:val="22"/>
                <w:szCs w:val="22"/>
              </w:rPr>
              <w:t>The Bidder provides little or no evidence to support the response and/or does not demonstrate relevant</w:t>
            </w:r>
            <w:r w:rsidRPr="00C20633">
              <w:rPr>
                <w:rFonts w:ascii="Arial" w:hAnsi="Arial" w:cs="Arial"/>
                <w:sz w:val="22"/>
                <w:szCs w:val="22"/>
              </w:rPr>
              <w:t xml:space="preserve"> ability, understanding, </w:t>
            </w:r>
            <w:r>
              <w:rPr>
                <w:rFonts w:ascii="Arial" w:hAnsi="Arial" w:cs="Arial"/>
                <w:sz w:val="22"/>
                <w:szCs w:val="22"/>
              </w:rPr>
              <w:t>and skills required to provide the research.</w:t>
            </w:r>
          </w:p>
          <w:p w:rsidR="00802D6B" w:rsidRPr="00C20633" w:rsidRDefault="00802D6B" w:rsidP="00441B9F">
            <w:pPr>
              <w:jc w:val="both"/>
              <w:outlineLvl w:val="1"/>
              <w:rPr>
                <w:rFonts w:ascii="Arial" w:hAnsi="Arial" w:cs="Arial"/>
                <w:sz w:val="22"/>
                <w:szCs w:val="22"/>
              </w:rPr>
            </w:pPr>
          </w:p>
        </w:tc>
      </w:tr>
      <w:tr w:rsidR="00802D6B" w:rsidRPr="00C20633" w:rsidTr="00441B9F">
        <w:trPr>
          <w:trHeight w:val="382"/>
          <w:jc w:val="center"/>
        </w:trPr>
        <w:tc>
          <w:tcPr>
            <w:tcW w:w="2004" w:type="dxa"/>
            <w:vAlign w:val="center"/>
          </w:tcPr>
          <w:p w:rsidR="00802D6B" w:rsidRPr="00C20633" w:rsidRDefault="00802D6B" w:rsidP="00441B9F">
            <w:pPr>
              <w:jc w:val="center"/>
              <w:outlineLvl w:val="1"/>
              <w:rPr>
                <w:rFonts w:ascii="Arial" w:hAnsi="Arial" w:cs="Arial"/>
                <w:sz w:val="22"/>
                <w:szCs w:val="22"/>
              </w:rPr>
            </w:pPr>
            <w:r w:rsidRPr="00C20633">
              <w:rPr>
                <w:rFonts w:ascii="Arial" w:hAnsi="Arial" w:cs="Arial"/>
                <w:sz w:val="22"/>
                <w:szCs w:val="22"/>
              </w:rPr>
              <w:t>No response.</w:t>
            </w:r>
          </w:p>
        </w:tc>
        <w:tc>
          <w:tcPr>
            <w:tcW w:w="2135" w:type="dxa"/>
            <w:vAlign w:val="center"/>
          </w:tcPr>
          <w:p w:rsidR="00802D6B" w:rsidRDefault="00802D6B" w:rsidP="00441B9F">
            <w:pPr>
              <w:jc w:val="center"/>
              <w:outlineLvl w:val="1"/>
              <w:rPr>
                <w:rFonts w:ascii="Arial" w:hAnsi="Arial" w:cs="Arial"/>
                <w:sz w:val="22"/>
                <w:szCs w:val="22"/>
              </w:rPr>
            </w:pPr>
            <w:r>
              <w:rPr>
                <w:rFonts w:ascii="Arial" w:hAnsi="Arial" w:cs="Arial"/>
                <w:sz w:val="22"/>
                <w:szCs w:val="22"/>
              </w:rPr>
              <w:t>0</w:t>
            </w:r>
          </w:p>
        </w:tc>
        <w:tc>
          <w:tcPr>
            <w:tcW w:w="5720" w:type="dxa"/>
            <w:vAlign w:val="center"/>
          </w:tcPr>
          <w:p w:rsidR="00802D6B" w:rsidRPr="00C20633" w:rsidRDefault="00802D6B" w:rsidP="00441B9F">
            <w:pPr>
              <w:jc w:val="both"/>
              <w:outlineLvl w:val="1"/>
              <w:rPr>
                <w:rFonts w:ascii="Arial" w:hAnsi="Arial" w:cs="Arial"/>
                <w:sz w:val="22"/>
                <w:szCs w:val="22"/>
              </w:rPr>
            </w:pPr>
            <w:r w:rsidRPr="00C20633">
              <w:rPr>
                <w:rFonts w:ascii="Arial" w:hAnsi="Arial" w:cs="Arial"/>
                <w:sz w:val="22"/>
                <w:szCs w:val="22"/>
              </w:rPr>
              <w:t>No response.</w:t>
            </w:r>
          </w:p>
        </w:tc>
      </w:tr>
    </w:tbl>
    <w:p w:rsidR="00062D54" w:rsidRDefault="00062D54" w:rsidP="00062D54">
      <w:pPr>
        <w:widowControl w:val="0"/>
        <w:overflowPunct w:val="0"/>
        <w:autoSpaceDE w:val="0"/>
        <w:autoSpaceDN w:val="0"/>
        <w:adjustRightInd w:val="0"/>
        <w:jc w:val="both"/>
        <w:textAlignment w:val="baseline"/>
        <w:rPr>
          <w:rFonts w:ascii="Arial" w:hAnsi="Arial" w:cs="Arial"/>
          <w:b/>
          <w:color w:val="000000"/>
        </w:rPr>
      </w:pPr>
    </w:p>
    <w:p w:rsidR="00062D54" w:rsidRDefault="00062D54" w:rsidP="00062D54">
      <w:pPr>
        <w:widowControl w:val="0"/>
        <w:overflowPunct w:val="0"/>
        <w:autoSpaceDE w:val="0"/>
        <w:autoSpaceDN w:val="0"/>
        <w:adjustRightInd w:val="0"/>
        <w:jc w:val="both"/>
        <w:textAlignment w:val="baseline"/>
        <w:rPr>
          <w:rFonts w:ascii="Arial" w:hAnsi="Arial" w:cs="Arial"/>
          <w:b/>
          <w:color w:val="000000"/>
        </w:rPr>
      </w:pPr>
    </w:p>
    <w:p w:rsidR="00062D54" w:rsidRDefault="00062D54" w:rsidP="00062D54">
      <w:pPr>
        <w:widowControl w:val="0"/>
        <w:overflowPunct w:val="0"/>
        <w:autoSpaceDE w:val="0"/>
        <w:autoSpaceDN w:val="0"/>
        <w:adjustRightInd w:val="0"/>
        <w:jc w:val="both"/>
        <w:textAlignment w:val="baseline"/>
        <w:rPr>
          <w:rFonts w:ascii="Arial" w:hAnsi="Arial" w:cs="Arial"/>
          <w:b/>
          <w:color w:val="000000"/>
        </w:rPr>
      </w:pPr>
    </w:p>
    <w:p w:rsidR="00062D54" w:rsidRDefault="00062D54" w:rsidP="00062D54">
      <w:pPr>
        <w:widowControl w:val="0"/>
        <w:overflowPunct w:val="0"/>
        <w:autoSpaceDE w:val="0"/>
        <w:autoSpaceDN w:val="0"/>
        <w:adjustRightInd w:val="0"/>
        <w:jc w:val="both"/>
        <w:textAlignment w:val="baseline"/>
        <w:rPr>
          <w:rFonts w:ascii="Arial" w:hAnsi="Arial" w:cs="Arial"/>
          <w:b/>
          <w:color w:val="000000"/>
        </w:rPr>
      </w:pPr>
    </w:p>
    <w:p w:rsidR="00062D54" w:rsidRDefault="00062D54" w:rsidP="00062D54">
      <w:pPr>
        <w:widowControl w:val="0"/>
        <w:overflowPunct w:val="0"/>
        <w:autoSpaceDE w:val="0"/>
        <w:autoSpaceDN w:val="0"/>
        <w:adjustRightInd w:val="0"/>
        <w:jc w:val="both"/>
        <w:textAlignment w:val="baseline"/>
        <w:rPr>
          <w:rFonts w:ascii="Arial" w:hAnsi="Arial" w:cs="Arial"/>
          <w:b/>
          <w:color w:val="000000"/>
          <w:w w:val="1"/>
          <w:sz w:val="22"/>
          <w:szCs w:val="22"/>
        </w:rPr>
      </w:pPr>
      <w:r>
        <w:rPr>
          <w:rFonts w:ascii="Arial" w:hAnsi="Arial" w:cs="Arial"/>
          <w:b/>
          <w:color w:val="000000"/>
        </w:rPr>
        <w:t>Commercial Criteria Evaluation</w:t>
      </w:r>
    </w:p>
    <w:p w:rsidR="00062D54" w:rsidRDefault="00062D54" w:rsidP="00062D54">
      <w:pPr>
        <w:jc w:val="both"/>
        <w:rPr>
          <w:rFonts w:ascii="Arial" w:hAnsi="Arial" w:cs="Arial"/>
          <w:color w:val="000000"/>
        </w:rPr>
      </w:pPr>
      <w:r>
        <w:rPr>
          <w:rFonts w:ascii="Arial" w:hAnsi="Arial" w:cs="Arial"/>
          <w:bCs/>
          <w:color w:val="000000"/>
        </w:rPr>
        <w:t>Tenderers should aim to demonstrate within the Commercial Tender that their overall Tender offers</w:t>
      </w:r>
      <w:r>
        <w:rPr>
          <w:rFonts w:ascii="Arial" w:hAnsi="Arial" w:cs="Arial"/>
          <w:b/>
          <w:bCs/>
          <w:color w:val="000000"/>
        </w:rPr>
        <w:t xml:space="preserve"> </w:t>
      </w:r>
      <w:r>
        <w:rPr>
          <w:rFonts w:ascii="Arial" w:hAnsi="Arial" w:cs="Arial"/>
          <w:color w:val="000000"/>
        </w:rPr>
        <w:t xml:space="preserve">the best mix of quality and effectiveness for the least outlay over the period of using the goods or services required. </w:t>
      </w:r>
    </w:p>
    <w:p w:rsidR="00062D54" w:rsidRDefault="00062D54" w:rsidP="00062D54">
      <w:pPr>
        <w:jc w:val="both"/>
        <w:rPr>
          <w:rFonts w:ascii="Arial" w:hAnsi="Arial" w:cs="Arial"/>
          <w:b/>
          <w:color w:val="000000"/>
        </w:rPr>
      </w:pPr>
      <w:r>
        <w:rPr>
          <w:rFonts w:ascii="Arial" w:hAnsi="Arial" w:cs="Arial"/>
          <w:b/>
          <w:color w:val="000000"/>
        </w:rPr>
        <w:t>Table 1 – Commercial Evaluation Questionnaire weightings for Attachments 3 and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1"/>
        <w:gridCol w:w="3638"/>
        <w:gridCol w:w="3135"/>
      </w:tblGrid>
      <w:tr w:rsidR="00062D54" w:rsidTr="00062D54">
        <w:tc>
          <w:tcPr>
            <w:tcW w:w="2441" w:type="dxa"/>
            <w:tcBorders>
              <w:top w:val="single" w:sz="4" w:space="0" w:color="auto"/>
              <w:left w:val="single" w:sz="4" w:space="0" w:color="auto"/>
              <w:bottom w:val="single" w:sz="4" w:space="0" w:color="auto"/>
              <w:right w:val="single" w:sz="4" w:space="0" w:color="auto"/>
            </w:tcBorders>
            <w:shd w:val="clear" w:color="auto" w:fill="E0E0E0"/>
            <w:hideMark/>
          </w:tcPr>
          <w:p w:rsidR="00062D54" w:rsidRDefault="00062D54">
            <w:pPr>
              <w:jc w:val="both"/>
              <w:rPr>
                <w:rFonts w:ascii="Arial" w:hAnsi="Arial" w:cs="Arial"/>
                <w:b/>
              </w:rPr>
            </w:pPr>
            <w:r>
              <w:rPr>
                <w:rFonts w:ascii="Arial" w:hAnsi="Arial" w:cs="Arial"/>
                <w:b/>
              </w:rPr>
              <w:t>Attachment</w:t>
            </w:r>
          </w:p>
        </w:tc>
        <w:tc>
          <w:tcPr>
            <w:tcW w:w="3638" w:type="dxa"/>
            <w:tcBorders>
              <w:top w:val="single" w:sz="4" w:space="0" w:color="auto"/>
              <w:left w:val="single" w:sz="4" w:space="0" w:color="auto"/>
              <w:bottom w:val="single" w:sz="4" w:space="0" w:color="auto"/>
              <w:right w:val="single" w:sz="4" w:space="0" w:color="auto"/>
            </w:tcBorders>
            <w:shd w:val="clear" w:color="auto" w:fill="E0E0E0"/>
            <w:hideMark/>
          </w:tcPr>
          <w:p w:rsidR="00062D54" w:rsidRDefault="00062D54">
            <w:pPr>
              <w:jc w:val="both"/>
              <w:rPr>
                <w:rFonts w:ascii="Arial" w:hAnsi="Arial" w:cs="Arial"/>
                <w:b/>
              </w:rPr>
            </w:pPr>
            <w:r>
              <w:rPr>
                <w:rFonts w:ascii="Arial" w:hAnsi="Arial" w:cs="Arial"/>
                <w:b/>
              </w:rPr>
              <w:t>Section</w:t>
            </w:r>
          </w:p>
        </w:tc>
        <w:tc>
          <w:tcPr>
            <w:tcW w:w="3135" w:type="dxa"/>
            <w:tcBorders>
              <w:top w:val="single" w:sz="4" w:space="0" w:color="auto"/>
              <w:left w:val="single" w:sz="4" w:space="0" w:color="auto"/>
              <w:bottom w:val="single" w:sz="4" w:space="0" w:color="auto"/>
              <w:right w:val="single" w:sz="4" w:space="0" w:color="auto"/>
            </w:tcBorders>
            <w:shd w:val="clear" w:color="auto" w:fill="E0E0E0"/>
            <w:hideMark/>
          </w:tcPr>
          <w:p w:rsidR="00062D54" w:rsidRDefault="00062D54">
            <w:pPr>
              <w:jc w:val="both"/>
              <w:rPr>
                <w:rFonts w:ascii="Arial" w:hAnsi="Arial" w:cs="Arial"/>
                <w:b/>
              </w:rPr>
            </w:pPr>
            <w:r>
              <w:rPr>
                <w:rFonts w:ascii="Arial" w:hAnsi="Arial" w:cs="Arial"/>
                <w:b/>
              </w:rPr>
              <w:t>Weighting</w:t>
            </w:r>
          </w:p>
        </w:tc>
      </w:tr>
      <w:tr w:rsidR="00062D54" w:rsidTr="00062D54">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Attachment 3 – Commercial Evaluation Questionnaire – Section A</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Organisation and Contact Details</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N/A</w:t>
            </w:r>
          </w:p>
        </w:tc>
      </w:tr>
      <w:tr w:rsidR="00062D54" w:rsidTr="00062D54">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Attachment 3 – Commercial Evaluation Questionnaire – Section B</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Grounds For Mandatory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Pass/Fail</w:t>
            </w:r>
          </w:p>
        </w:tc>
      </w:tr>
      <w:tr w:rsidR="00062D54" w:rsidTr="00062D54">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Attachment 3 – Commercial Evaluation Questionnaire – Section C</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Grounds For Discretionary Rejection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Pass/Fail</w:t>
            </w:r>
          </w:p>
        </w:tc>
      </w:tr>
      <w:tr w:rsidR="00062D54" w:rsidTr="00062D54">
        <w:tc>
          <w:tcPr>
            <w:tcW w:w="24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Attachment 3 – Commercial Evaluation Questionnaire – Section D</w:t>
            </w:r>
          </w:p>
        </w:tc>
        <w:tc>
          <w:tcPr>
            <w:tcW w:w="3638" w:type="dxa"/>
            <w:tcBorders>
              <w:top w:val="single" w:sz="4" w:space="0" w:color="auto"/>
              <w:left w:val="single" w:sz="4" w:space="0" w:color="auto"/>
              <w:bottom w:val="single" w:sz="4" w:space="0" w:color="auto"/>
              <w:right w:val="single" w:sz="4" w:space="0" w:color="auto"/>
            </w:tcBorders>
            <w:shd w:val="clear" w:color="auto" w:fill="FFFFFF" w:themeFill="background1"/>
          </w:tcPr>
          <w:p w:rsidR="00062D54" w:rsidRDefault="00062D54">
            <w:pPr>
              <w:jc w:val="both"/>
              <w:rPr>
                <w:rFonts w:ascii="Arial" w:hAnsi="Arial" w:cs="Arial"/>
              </w:rPr>
            </w:pPr>
            <w:r>
              <w:rPr>
                <w:rFonts w:ascii="Arial" w:hAnsi="Arial" w:cs="Arial"/>
              </w:rPr>
              <w:t xml:space="preserve">Economic And Financial Standing </w:t>
            </w:r>
          </w:p>
          <w:p w:rsidR="00062D54" w:rsidRDefault="00062D54">
            <w:pPr>
              <w:jc w:val="both"/>
              <w:rPr>
                <w:rFonts w:ascii="Arial" w:hAnsi="Arial" w:cs="Arial"/>
              </w:rPr>
            </w:pP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62D54" w:rsidRDefault="00062D54">
            <w:pPr>
              <w:jc w:val="both"/>
              <w:rPr>
                <w:rFonts w:ascii="Arial" w:hAnsi="Arial" w:cs="Arial"/>
              </w:rPr>
            </w:pPr>
            <w:r>
              <w:rPr>
                <w:rFonts w:ascii="Arial" w:hAnsi="Arial" w:cs="Arial"/>
              </w:rPr>
              <w:t>Pass/Fail</w:t>
            </w:r>
          </w:p>
        </w:tc>
      </w:tr>
      <w:tr w:rsidR="00062D54" w:rsidTr="00062D54">
        <w:tc>
          <w:tcPr>
            <w:tcW w:w="2441" w:type="dxa"/>
            <w:tcBorders>
              <w:top w:val="single" w:sz="4" w:space="0" w:color="auto"/>
              <w:left w:val="single" w:sz="4" w:space="0" w:color="auto"/>
              <w:bottom w:val="single" w:sz="4" w:space="0" w:color="auto"/>
              <w:right w:val="single" w:sz="4" w:space="0" w:color="auto"/>
            </w:tcBorders>
            <w:hideMark/>
          </w:tcPr>
          <w:p w:rsidR="00062D54" w:rsidRDefault="00062D54">
            <w:pPr>
              <w:jc w:val="both"/>
              <w:rPr>
                <w:rFonts w:ascii="Arial" w:hAnsi="Arial" w:cs="Arial"/>
              </w:rPr>
            </w:pPr>
            <w:r>
              <w:rPr>
                <w:rFonts w:ascii="Arial" w:hAnsi="Arial" w:cs="Arial"/>
              </w:rPr>
              <w:t>Attachment 4 – Pricing Matrix</w:t>
            </w:r>
          </w:p>
        </w:tc>
        <w:tc>
          <w:tcPr>
            <w:tcW w:w="3638" w:type="dxa"/>
            <w:tcBorders>
              <w:top w:val="single" w:sz="4" w:space="0" w:color="auto"/>
              <w:left w:val="single" w:sz="4" w:space="0" w:color="auto"/>
              <w:bottom w:val="single" w:sz="4" w:space="0" w:color="auto"/>
              <w:right w:val="single" w:sz="4" w:space="0" w:color="auto"/>
            </w:tcBorders>
            <w:hideMark/>
          </w:tcPr>
          <w:p w:rsidR="00062D54" w:rsidRDefault="00062D54">
            <w:pPr>
              <w:rPr>
                <w:rFonts w:ascii="Arial" w:hAnsi="Arial" w:cs="Arial"/>
              </w:rPr>
            </w:pPr>
            <w:r>
              <w:rPr>
                <w:rFonts w:ascii="Arial" w:hAnsi="Arial" w:cs="Arial"/>
                <w:color w:val="000000"/>
              </w:rPr>
              <w:t>Provide a fully itemised total fixed price for the duration of the project commercial envelope. Scored on an inverse percentage e.g. lowest priced bid/price of bid x 100 x 3.00</w:t>
            </w:r>
          </w:p>
        </w:tc>
        <w:tc>
          <w:tcPr>
            <w:tcW w:w="3135" w:type="dxa"/>
            <w:tcBorders>
              <w:top w:val="single" w:sz="4" w:space="0" w:color="auto"/>
              <w:left w:val="single" w:sz="4" w:space="0" w:color="auto"/>
              <w:bottom w:val="single" w:sz="4" w:space="0" w:color="auto"/>
              <w:right w:val="single" w:sz="4" w:space="0" w:color="auto"/>
            </w:tcBorders>
            <w:hideMark/>
          </w:tcPr>
          <w:p w:rsidR="00062D54" w:rsidRDefault="00062D54">
            <w:pPr>
              <w:jc w:val="both"/>
              <w:rPr>
                <w:rFonts w:ascii="Arial" w:hAnsi="Arial" w:cs="Arial"/>
              </w:rPr>
            </w:pPr>
            <w:r>
              <w:rPr>
                <w:rFonts w:ascii="Arial" w:hAnsi="Arial" w:cs="Arial"/>
              </w:rPr>
              <w:t>30</w:t>
            </w:r>
          </w:p>
        </w:tc>
      </w:tr>
      <w:tr w:rsidR="00062D54" w:rsidTr="00062D54">
        <w:tc>
          <w:tcPr>
            <w:tcW w:w="6079" w:type="dxa"/>
            <w:gridSpan w:val="2"/>
            <w:tcBorders>
              <w:top w:val="single" w:sz="4" w:space="0" w:color="auto"/>
              <w:left w:val="single" w:sz="4" w:space="0" w:color="auto"/>
              <w:bottom w:val="single" w:sz="4" w:space="0" w:color="auto"/>
              <w:right w:val="single" w:sz="4" w:space="0" w:color="auto"/>
            </w:tcBorders>
            <w:hideMark/>
          </w:tcPr>
          <w:p w:rsidR="00062D54" w:rsidRDefault="00062D54">
            <w:pPr>
              <w:jc w:val="both"/>
              <w:rPr>
                <w:rFonts w:ascii="Arial" w:hAnsi="Arial" w:cs="Arial"/>
                <w:b/>
              </w:rPr>
            </w:pPr>
            <w:r>
              <w:rPr>
                <w:rFonts w:ascii="Arial" w:hAnsi="Arial" w:cs="Arial"/>
                <w:b/>
              </w:rPr>
              <w:t>Total Commercial Score Available</w:t>
            </w:r>
          </w:p>
        </w:tc>
        <w:tc>
          <w:tcPr>
            <w:tcW w:w="3135" w:type="dxa"/>
            <w:tcBorders>
              <w:top w:val="single" w:sz="4" w:space="0" w:color="auto"/>
              <w:left w:val="single" w:sz="4" w:space="0" w:color="auto"/>
              <w:bottom w:val="single" w:sz="4" w:space="0" w:color="auto"/>
              <w:right w:val="single" w:sz="4" w:space="0" w:color="auto"/>
            </w:tcBorders>
          </w:tcPr>
          <w:p w:rsidR="00062D54" w:rsidRDefault="00062D54">
            <w:pPr>
              <w:jc w:val="both"/>
              <w:rPr>
                <w:rFonts w:ascii="Arial" w:hAnsi="Arial" w:cs="Arial"/>
                <w:b/>
              </w:rPr>
            </w:pPr>
            <w:r>
              <w:rPr>
                <w:rFonts w:ascii="Arial" w:hAnsi="Arial" w:cs="Arial"/>
                <w:b/>
              </w:rPr>
              <w:t>30%</w:t>
            </w:r>
          </w:p>
          <w:p w:rsidR="00062D54" w:rsidRDefault="00062D54">
            <w:pPr>
              <w:jc w:val="both"/>
              <w:rPr>
                <w:rFonts w:ascii="Arial" w:hAnsi="Arial" w:cs="Arial"/>
                <w:b/>
              </w:rPr>
            </w:pPr>
          </w:p>
        </w:tc>
      </w:tr>
    </w:tbl>
    <w:p w:rsidR="00062D54" w:rsidRDefault="00062D54" w:rsidP="00062D54">
      <w:pPr>
        <w:jc w:val="both"/>
        <w:rPr>
          <w:rFonts w:ascii="Arial" w:hAnsi="Arial" w:cs="Arial"/>
          <w:b/>
          <w:bCs/>
          <w:color w:val="000000"/>
          <w:w w:val="1"/>
          <w:sz w:val="22"/>
          <w:szCs w:val="22"/>
          <w:lang w:eastAsia="en-US"/>
        </w:rPr>
      </w:pPr>
    </w:p>
    <w:p w:rsidR="00062D54" w:rsidRPr="00F547AF" w:rsidRDefault="00062D54" w:rsidP="00062D54">
      <w:pPr>
        <w:pStyle w:val="BasicParagraph"/>
        <w:jc w:val="both"/>
        <w:outlineLvl w:val="1"/>
        <w:rPr>
          <w:rFonts w:ascii="Arial" w:hAnsi="Arial" w:cs="Arial"/>
          <w:sz w:val="24"/>
          <w:szCs w:val="24"/>
        </w:rPr>
      </w:pPr>
      <w:r w:rsidRPr="00F547AF">
        <w:rPr>
          <w:rFonts w:ascii="Arial" w:hAnsi="Arial" w:cs="Arial"/>
          <w:sz w:val="24"/>
          <w:szCs w:val="24"/>
        </w:rPr>
        <w:t xml:space="preserve">The pricing formula to be applied to allocating scores shall be on an inverse percentage – </w:t>
      </w:r>
      <w:proofErr w:type="spellStart"/>
      <w:r w:rsidRPr="00F547AF">
        <w:rPr>
          <w:rFonts w:ascii="Arial" w:hAnsi="Arial" w:cs="Arial"/>
          <w:sz w:val="24"/>
          <w:szCs w:val="24"/>
        </w:rPr>
        <w:t>e.g</w:t>
      </w:r>
      <w:proofErr w:type="spellEnd"/>
      <w:r w:rsidRPr="00F547AF">
        <w:rPr>
          <w:rFonts w:ascii="Arial" w:hAnsi="Arial" w:cs="Arial"/>
          <w:sz w:val="24"/>
          <w:szCs w:val="24"/>
        </w:rPr>
        <w:t xml:space="preserve">: Lowest bid/price of bid x 100 x 0.30 (weighting 30%). </w:t>
      </w:r>
    </w:p>
    <w:p w:rsidR="00062D54" w:rsidRDefault="00062D54" w:rsidP="00062D54">
      <w:pPr>
        <w:jc w:val="both"/>
        <w:rPr>
          <w:rFonts w:ascii="Arial" w:hAnsi="Arial" w:cs="Arial"/>
        </w:rPr>
      </w:pPr>
      <w:r>
        <w:rPr>
          <w:rFonts w:ascii="Arial" w:hAnsi="Arial" w:cs="Arial"/>
        </w:rPr>
        <w:t xml:space="preserve">The Home Office shall be entitled to exclude </w:t>
      </w:r>
      <w:r>
        <w:rPr>
          <w:rFonts w:ascii="Arial" w:hAnsi="Arial" w:cs="Arial"/>
          <w:spacing w:val="2"/>
          <w:w w:val="105"/>
        </w:rPr>
        <w:t xml:space="preserve">Bidders </w:t>
      </w:r>
      <w:r>
        <w:rPr>
          <w:rFonts w:ascii="Arial" w:hAnsi="Arial" w:cs="Arial"/>
        </w:rPr>
        <w:t>from the procurement exercise</w:t>
      </w:r>
      <w:r>
        <w:rPr>
          <w:rFonts w:ascii="Arial" w:hAnsi="Arial" w:cs="Arial"/>
          <w:spacing w:val="2"/>
          <w:w w:val="105"/>
        </w:rPr>
        <w:t xml:space="preserve"> who fail to meet any </w:t>
      </w:r>
      <w:r>
        <w:rPr>
          <w:rFonts w:ascii="Arial" w:hAnsi="Arial" w:cs="Arial"/>
        </w:rPr>
        <w:t>“Pass” criteria as identified within the ITT, irrespective of their scores in other areas.</w:t>
      </w:r>
    </w:p>
    <w:p w:rsidR="00062D54" w:rsidRDefault="00062D54" w:rsidP="00062D54">
      <w:pPr>
        <w:jc w:val="both"/>
        <w:rPr>
          <w:rFonts w:ascii="Arial" w:hAnsi="Arial" w:cs="Arial"/>
        </w:rPr>
      </w:pPr>
    </w:p>
    <w:p w:rsidR="00062D54" w:rsidRPr="00062D54" w:rsidRDefault="00062D54" w:rsidP="00062D54">
      <w:pPr>
        <w:jc w:val="both"/>
        <w:rPr>
          <w:rFonts w:ascii="Arial" w:hAnsi="Arial" w:cs="Arial"/>
          <w:b/>
        </w:rPr>
      </w:pPr>
      <w:r>
        <w:rPr>
          <w:rFonts w:ascii="Arial" w:hAnsi="Arial" w:cs="Arial"/>
        </w:rPr>
        <w:t xml:space="preserve">The Home Office shall be entitled to exclude </w:t>
      </w:r>
      <w:r>
        <w:rPr>
          <w:rFonts w:ascii="Arial" w:hAnsi="Arial" w:cs="Arial"/>
          <w:spacing w:val="2"/>
          <w:w w:val="105"/>
        </w:rPr>
        <w:t xml:space="preserve">Bidders </w:t>
      </w:r>
      <w:r>
        <w:rPr>
          <w:rFonts w:ascii="Arial" w:hAnsi="Arial" w:cs="Arial"/>
        </w:rPr>
        <w:t>from the procurement exercise</w:t>
      </w:r>
      <w:r>
        <w:rPr>
          <w:rFonts w:ascii="Arial" w:hAnsi="Arial" w:cs="Arial"/>
          <w:spacing w:val="2"/>
          <w:w w:val="105"/>
        </w:rPr>
        <w:t xml:space="preserve"> who fail to achieve any </w:t>
      </w:r>
      <w:r>
        <w:rPr>
          <w:rFonts w:ascii="Arial" w:hAnsi="Arial" w:cs="Arial"/>
        </w:rPr>
        <w:t>minimum mandatory criteria as identified within the ITT, irrespective of their scores in other areas.</w:t>
      </w:r>
    </w:p>
    <w:p w:rsidR="00B55525" w:rsidRPr="00B823BE" w:rsidRDefault="00B55525">
      <w:pPr>
        <w:pStyle w:val="Heading1"/>
        <w:numPr>
          <w:ilvl w:val="0"/>
          <w:numId w:val="0"/>
        </w:numPr>
        <w:rPr>
          <w:color w:val="8F23B3"/>
        </w:rPr>
      </w:pPr>
      <w:r w:rsidRPr="00B823BE">
        <w:rPr>
          <w:color w:val="8F23B3"/>
        </w:rPr>
        <w:t>Notes:</w:t>
      </w:r>
    </w:p>
    <w:p w:rsidR="00B55525" w:rsidRPr="009716C5" w:rsidRDefault="00BA237C" w:rsidP="001C4615">
      <w:pPr>
        <w:pStyle w:val="Body"/>
        <w:numPr>
          <w:ilvl w:val="0"/>
          <w:numId w:val="4"/>
        </w:numPr>
        <w:pBdr>
          <w:top w:val="none" w:sz="0" w:space="0" w:color="auto"/>
          <w:left w:val="none" w:sz="0" w:space="0" w:color="auto"/>
          <w:bottom w:val="none" w:sz="0" w:space="0" w:color="auto"/>
          <w:right w:val="none" w:sz="0" w:space="0" w:color="auto"/>
          <w:bar w:val="none" w:sz="0" w:color="auto"/>
        </w:pBdr>
        <w:jc w:val="both"/>
        <w:rPr>
          <w:rFonts w:ascii="Arial" w:hAnsi="Arial" w:cs="Arial"/>
          <w:lang w:val="en-GB"/>
        </w:rPr>
      </w:pPr>
      <w:r w:rsidRPr="009716C5">
        <w:rPr>
          <w:rFonts w:ascii="Arial" w:hAnsi="Arial" w:cs="Arial"/>
          <w:lang w:val="en-GB"/>
        </w:rPr>
        <w:t xml:space="preserve">The </w:t>
      </w:r>
      <w:r w:rsidR="00B55525" w:rsidRPr="009716C5">
        <w:rPr>
          <w:rFonts w:ascii="Arial" w:hAnsi="Arial" w:cs="Arial"/>
          <w:lang w:val="en-GB"/>
        </w:rPr>
        <w:t>stud</w:t>
      </w:r>
      <w:r w:rsidRPr="009716C5">
        <w:rPr>
          <w:rFonts w:ascii="Arial" w:hAnsi="Arial" w:cs="Arial"/>
          <w:lang w:val="en-GB"/>
        </w:rPr>
        <w:t>y</w:t>
      </w:r>
      <w:r w:rsidR="00B55525" w:rsidRPr="009716C5">
        <w:rPr>
          <w:rFonts w:ascii="Arial" w:hAnsi="Arial" w:cs="Arial"/>
          <w:lang w:val="en-GB"/>
        </w:rPr>
        <w:t xml:space="preserve"> will be in the context of the current complement of DNA profile records on the NDNAD but</w:t>
      </w:r>
      <w:r w:rsidR="009716C5" w:rsidRPr="009716C5">
        <w:rPr>
          <w:rFonts w:ascii="Arial" w:hAnsi="Arial" w:cs="Arial"/>
          <w:lang w:val="en-GB"/>
        </w:rPr>
        <w:t xml:space="preserve"> consider</w:t>
      </w:r>
      <w:r w:rsidR="00B55525" w:rsidRPr="009716C5">
        <w:rPr>
          <w:rFonts w:ascii="Arial" w:hAnsi="Arial" w:cs="Arial"/>
          <w:lang w:val="en-GB"/>
        </w:rPr>
        <w:t xml:space="preserve"> future </w:t>
      </w:r>
      <w:r w:rsidR="009716C5" w:rsidRPr="009716C5">
        <w:rPr>
          <w:rFonts w:ascii="Arial" w:hAnsi="Arial" w:cs="Arial"/>
          <w:lang w:val="en-GB"/>
        </w:rPr>
        <w:t>development e.g. with expansion to inclusion of ‘DNA-20+’ profiles</w:t>
      </w:r>
    </w:p>
    <w:p w:rsidR="00B55525" w:rsidRPr="00B55525" w:rsidRDefault="00B55525" w:rsidP="001C4615">
      <w:pPr>
        <w:pStyle w:val="Body"/>
        <w:numPr>
          <w:ilvl w:val="0"/>
          <w:numId w:val="4"/>
        </w:numPr>
        <w:pBdr>
          <w:top w:val="none" w:sz="0" w:space="0" w:color="auto"/>
          <w:left w:val="none" w:sz="0" w:space="0" w:color="auto"/>
          <w:bottom w:val="none" w:sz="0" w:space="0" w:color="auto"/>
          <w:right w:val="none" w:sz="0" w:space="0" w:color="auto"/>
          <w:bar w:val="none" w:sz="0" w:color="auto"/>
        </w:pBdr>
        <w:jc w:val="both"/>
        <w:rPr>
          <w:rFonts w:ascii="Arial" w:hAnsi="Arial" w:cs="Arial"/>
          <w:lang w:val="en-GB"/>
        </w:rPr>
      </w:pPr>
      <w:r w:rsidRPr="00B55525">
        <w:rPr>
          <w:rFonts w:ascii="Arial" w:hAnsi="Arial" w:cs="Arial"/>
          <w:lang w:val="en-GB"/>
        </w:rPr>
        <w:t>Data will be provided in or</w:t>
      </w:r>
      <w:r w:rsidR="004C4973">
        <w:rPr>
          <w:rFonts w:ascii="Arial" w:hAnsi="Arial" w:cs="Arial"/>
          <w:lang w:val="en-GB"/>
        </w:rPr>
        <w:t>der to carry out the assessment as required</w:t>
      </w:r>
    </w:p>
    <w:p w:rsidR="00B55525" w:rsidRPr="00B55525" w:rsidRDefault="0049254E" w:rsidP="001C4615">
      <w:pPr>
        <w:pStyle w:val="Body"/>
        <w:numPr>
          <w:ilvl w:val="0"/>
          <w:numId w:val="4"/>
        </w:numPr>
        <w:pBdr>
          <w:top w:val="none" w:sz="0" w:space="0" w:color="auto"/>
          <w:left w:val="none" w:sz="0" w:space="0" w:color="auto"/>
          <w:bottom w:val="none" w:sz="0" w:space="0" w:color="auto"/>
          <w:right w:val="none" w:sz="0" w:space="0" w:color="auto"/>
          <w:bar w:val="none" w:sz="0" w:color="auto"/>
        </w:pBdr>
        <w:jc w:val="both"/>
        <w:rPr>
          <w:rFonts w:ascii="Arial" w:hAnsi="Arial" w:cs="Arial"/>
          <w:lang w:val="en-GB"/>
        </w:rPr>
      </w:pPr>
      <w:r>
        <w:rPr>
          <w:rFonts w:ascii="Arial" w:hAnsi="Arial" w:cs="Arial"/>
          <w:lang w:val="en-GB"/>
        </w:rPr>
        <w:t>Proposals</w:t>
      </w:r>
      <w:r w:rsidRPr="00B55525">
        <w:rPr>
          <w:rFonts w:ascii="Arial" w:hAnsi="Arial" w:cs="Arial"/>
          <w:lang w:val="en-GB"/>
        </w:rPr>
        <w:t xml:space="preserve"> </w:t>
      </w:r>
      <w:r w:rsidR="00B55525" w:rsidRPr="00B55525">
        <w:rPr>
          <w:rFonts w:ascii="Arial" w:hAnsi="Arial" w:cs="Arial"/>
          <w:lang w:val="en-GB"/>
        </w:rPr>
        <w:t xml:space="preserve">must include outline information on the tasks to be carried out and the data required in order to complete the assessment.  </w:t>
      </w:r>
    </w:p>
    <w:p w:rsidR="0049254E" w:rsidRPr="00B55525" w:rsidRDefault="0049254E" w:rsidP="001C4615">
      <w:pPr>
        <w:pStyle w:val="Body"/>
        <w:numPr>
          <w:ilvl w:val="0"/>
          <w:numId w:val="4"/>
        </w:numPr>
        <w:pBdr>
          <w:top w:val="none" w:sz="0" w:space="0" w:color="auto"/>
          <w:left w:val="none" w:sz="0" w:space="0" w:color="auto"/>
          <w:bottom w:val="none" w:sz="0" w:space="0" w:color="auto"/>
          <w:right w:val="none" w:sz="0" w:space="0" w:color="auto"/>
          <w:bar w:val="none" w:sz="0" w:color="auto"/>
        </w:pBdr>
        <w:jc w:val="both"/>
        <w:rPr>
          <w:rFonts w:ascii="Arial" w:hAnsi="Arial" w:cs="Arial"/>
          <w:lang w:val="en-GB"/>
        </w:rPr>
      </w:pPr>
      <w:r>
        <w:rPr>
          <w:rFonts w:ascii="Arial" w:hAnsi="Arial" w:cs="Arial"/>
          <w:lang w:val="en-GB"/>
        </w:rPr>
        <w:t>A work plan must be provided, including the numbers of working days and total elapsed time for the work and a break-down of the personnel to undertake the work.</w:t>
      </w:r>
    </w:p>
    <w:p w:rsidR="00B55525" w:rsidRPr="00B55525" w:rsidRDefault="00B55525" w:rsidP="001C4615">
      <w:pPr>
        <w:pStyle w:val="Body"/>
        <w:numPr>
          <w:ilvl w:val="0"/>
          <w:numId w:val="4"/>
        </w:numPr>
        <w:pBdr>
          <w:top w:val="none" w:sz="0" w:space="0" w:color="auto"/>
          <w:left w:val="none" w:sz="0" w:space="0" w:color="auto"/>
          <w:bottom w:val="none" w:sz="0" w:space="0" w:color="auto"/>
          <w:right w:val="none" w:sz="0" w:space="0" w:color="auto"/>
          <w:bar w:val="none" w:sz="0" w:color="auto"/>
        </w:pBdr>
        <w:jc w:val="both"/>
        <w:rPr>
          <w:rFonts w:ascii="Arial" w:hAnsi="Arial" w:cs="Arial"/>
          <w:lang w:val="en-GB"/>
        </w:rPr>
      </w:pPr>
      <w:r w:rsidRPr="00B55525">
        <w:rPr>
          <w:rFonts w:ascii="Arial" w:hAnsi="Arial" w:cs="Arial"/>
          <w:lang w:val="en-GB"/>
        </w:rPr>
        <w:lastRenderedPageBreak/>
        <w:t>The</w:t>
      </w:r>
      <w:r w:rsidR="00DA023C">
        <w:rPr>
          <w:rFonts w:ascii="Arial" w:hAnsi="Arial" w:cs="Arial"/>
          <w:lang w:val="en-GB"/>
        </w:rPr>
        <w:t xml:space="preserve"> NDNAD Technical Requirements Manager </w:t>
      </w:r>
      <w:r w:rsidRPr="00B55525">
        <w:rPr>
          <w:rFonts w:ascii="Arial" w:hAnsi="Arial" w:cs="Arial"/>
          <w:lang w:val="en-GB"/>
        </w:rPr>
        <w:t xml:space="preserve">for the </w:t>
      </w:r>
      <w:r w:rsidR="00BA237C">
        <w:rPr>
          <w:rFonts w:ascii="Arial" w:hAnsi="Arial" w:cs="Arial"/>
          <w:lang w:val="en-GB"/>
        </w:rPr>
        <w:t>NDU</w:t>
      </w:r>
      <w:r w:rsidR="00BA237C" w:rsidRPr="00B55525">
        <w:rPr>
          <w:rFonts w:ascii="Arial" w:hAnsi="Arial" w:cs="Arial"/>
          <w:lang w:val="en-GB"/>
        </w:rPr>
        <w:t xml:space="preserve"> </w:t>
      </w:r>
      <w:r w:rsidRPr="00B55525">
        <w:rPr>
          <w:rFonts w:ascii="Arial" w:hAnsi="Arial" w:cs="Arial"/>
          <w:lang w:val="en-GB"/>
        </w:rPr>
        <w:t>will be available to provide supporting information into the work</w:t>
      </w:r>
    </w:p>
    <w:p w:rsidR="00B55525" w:rsidRDefault="00B55525" w:rsidP="001C4615">
      <w:pPr>
        <w:pStyle w:val="Body"/>
        <w:numPr>
          <w:ilvl w:val="0"/>
          <w:numId w:val="4"/>
        </w:numPr>
        <w:pBdr>
          <w:top w:val="none" w:sz="0" w:space="0" w:color="auto"/>
          <w:left w:val="none" w:sz="0" w:space="0" w:color="auto"/>
          <w:bottom w:val="none" w:sz="0" w:space="0" w:color="auto"/>
          <w:right w:val="none" w:sz="0" w:space="0" w:color="auto"/>
          <w:bar w:val="none" w:sz="0" w:color="auto"/>
        </w:pBdr>
        <w:jc w:val="both"/>
        <w:rPr>
          <w:rFonts w:ascii="Arial" w:hAnsi="Arial" w:cs="Arial"/>
          <w:lang w:val="en-GB"/>
        </w:rPr>
      </w:pPr>
      <w:r w:rsidRPr="00B55525">
        <w:rPr>
          <w:rFonts w:ascii="Arial" w:hAnsi="Arial" w:cs="Arial"/>
          <w:lang w:val="en-GB"/>
        </w:rPr>
        <w:t>The expected deliverable will be a report</w:t>
      </w:r>
      <w:r w:rsidR="00BA237C">
        <w:rPr>
          <w:rFonts w:ascii="Arial" w:hAnsi="Arial" w:cs="Arial"/>
          <w:lang w:val="en-GB"/>
        </w:rPr>
        <w:t>(s)</w:t>
      </w:r>
      <w:r w:rsidRPr="00B55525">
        <w:rPr>
          <w:rFonts w:ascii="Arial" w:hAnsi="Arial" w:cs="Arial"/>
          <w:lang w:val="en-GB"/>
        </w:rPr>
        <w:t xml:space="preserve"> detailing the </w:t>
      </w:r>
      <w:r w:rsidR="004C4973">
        <w:rPr>
          <w:rFonts w:ascii="Arial" w:hAnsi="Arial" w:cs="Arial"/>
          <w:lang w:val="en-GB"/>
        </w:rPr>
        <w:t>statistical assessment</w:t>
      </w:r>
      <w:r w:rsidRPr="00B55525">
        <w:rPr>
          <w:rFonts w:ascii="Arial" w:hAnsi="Arial" w:cs="Arial"/>
          <w:lang w:val="en-GB"/>
        </w:rPr>
        <w:t xml:space="preserve">, with justifiable conclusions from which assessment can be made on recommendations for consideration by </w:t>
      </w:r>
      <w:r w:rsidR="00BA237C">
        <w:rPr>
          <w:rFonts w:ascii="Arial" w:hAnsi="Arial" w:cs="Arial"/>
          <w:lang w:val="en-GB"/>
        </w:rPr>
        <w:t xml:space="preserve">key </w:t>
      </w:r>
      <w:r w:rsidRPr="00B55525">
        <w:rPr>
          <w:rFonts w:ascii="Arial" w:hAnsi="Arial" w:cs="Arial"/>
          <w:lang w:val="en-GB"/>
        </w:rPr>
        <w:t>Stakeholders.</w:t>
      </w:r>
    </w:p>
    <w:p w:rsidR="006A5E8B" w:rsidRDefault="006A5E8B" w:rsidP="006A5E8B">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lang w:val="en-GB"/>
        </w:rPr>
      </w:pPr>
    </w:p>
    <w:p w:rsidR="006A5E8B" w:rsidRPr="00B55525" w:rsidRDefault="006A5E8B" w:rsidP="006A5E8B">
      <w:pPr>
        <w:pStyle w:val="Body"/>
        <w:pBdr>
          <w:top w:val="none" w:sz="0" w:space="0" w:color="auto"/>
          <w:left w:val="none" w:sz="0" w:space="0" w:color="auto"/>
          <w:bottom w:val="none" w:sz="0" w:space="0" w:color="auto"/>
          <w:right w:val="none" w:sz="0" w:space="0" w:color="auto"/>
          <w:bar w:val="none" w:sz="0" w:color="auto"/>
        </w:pBdr>
        <w:jc w:val="both"/>
        <w:rPr>
          <w:rFonts w:ascii="Arial" w:hAnsi="Arial" w:cs="Arial"/>
          <w:lang w:val="en-GB"/>
        </w:rPr>
      </w:pPr>
    </w:p>
    <w:p w:rsidR="006A5E8B" w:rsidRPr="00B823BE" w:rsidRDefault="006A5E8B" w:rsidP="006A5E8B">
      <w:pPr>
        <w:pStyle w:val="Heading1"/>
        <w:numPr>
          <w:ilvl w:val="0"/>
          <w:numId w:val="0"/>
        </w:numPr>
        <w:rPr>
          <w:color w:val="8F23B3"/>
        </w:rPr>
      </w:pPr>
      <w:r w:rsidRPr="00B823BE">
        <w:rPr>
          <w:color w:val="8F23B3"/>
        </w:rPr>
        <w:t>Annex 1:</w:t>
      </w:r>
    </w:p>
    <w:p w:rsidR="006A5E8B" w:rsidRPr="006A5E8B" w:rsidRDefault="006A5E8B" w:rsidP="006A5E8B">
      <w:pPr>
        <w:pStyle w:val="Bodycopy"/>
      </w:pPr>
    </w:p>
    <w:p w:rsidR="006A5E8B" w:rsidRPr="006A5E8B" w:rsidRDefault="00E11227" w:rsidP="006A5E8B">
      <w:pPr>
        <w:rPr>
          <w:rFonts w:ascii="Arial" w:eastAsia="Arial Unicode MS" w:hAnsi="Arial" w:cs="Arial"/>
          <w:color w:val="000000"/>
          <w:sz w:val="22"/>
          <w:szCs w:val="22"/>
        </w:rPr>
      </w:pPr>
      <w:r>
        <w:rPr>
          <w:rFonts w:ascii="Arial" w:eastAsia="Arial Unicode MS" w:hAnsi="Arial" w:cs="Arial"/>
          <w:color w:val="000000"/>
          <w:sz w:val="22"/>
          <w:szCs w:val="22"/>
        </w:rPr>
        <w:t xml:space="preserve">From </w:t>
      </w:r>
      <w:r w:rsidRPr="00E11227">
        <w:rPr>
          <w:rFonts w:ascii="Arial" w:eastAsia="Arial Unicode MS" w:hAnsi="Arial" w:cs="Arial"/>
          <w:color w:val="000000"/>
          <w:sz w:val="22"/>
          <w:szCs w:val="22"/>
        </w:rPr>
        <w:t>DNA Good Practice Manual – 7</w:t>
      </w:r>
      <w:r w:rsidRPr="009716C5">
        <w:rPr>
          <w:rFonts w:ascii="Arial" w:eastAsia="Arial Unicode MS" w:hAnsi="Arial" w:cs="Arial"/>
          <w:color w:val="000000"/>
          <w:sz w:val="22"/>
          <w:szCs w:val="22"/>
          <w:vertAlign w:val="superscript"/>
        </w:rPr>
        <w:t>th</w:t>
      </w:r>
      <w:r w:rsidRPr="00E11227">
        <w:rPr>
          <w:rFonts w:ascii="Arial" w:eastAsia="Arial Unicode MS" w:hAnsi="Arial" w:cs="Arial"/>
          <w:color w:val="000000"/>
          <w:sz w:val="22"/>
          <w:szCs w:val="22"/>
        </w:rPr>
        <w:t xml:space="preserve"> edition draft -</w:t>
      </w:r>
      <w:r>
        <w:rPr>
          <w:sz w:val="16"/>
          <w:szCs w:val="16"/>
        </w:rPr>
        <w:t xml:space="preserve"> </w:t>
      </w:r>
      <w:r>
        <w:rPr>
          <w:rFonts w:ascii="Arial" w:eastAsia="Arial Unicode MS" w:hAnsi="Arial" w:cs="Arial"/>
          <w:color w:val="000000"/>
          <w:sz w:val="22"/>
          <w:szCs w:val="22"/>
        </w:rPr>
        <w:t>t</w:t>
      </w:r>
      <w:r w:rsidR="006A5E8B" w:rsidRPr="006A5E8B">
        <w:rPr>
          <w:rFonts w:ascii="Arial" w:eastAsia="Arial Unicode MS" w:hAnsi="Arial" w:cs="Arial"/>
          <w:color w:val="000000"/>
          <w:sz w:val="22"/>
          <w:szCs w:val="22"/>
        </w:rPr>
        <w:t>able agreed at the DNA Operations Group in 2014 from a study initiated in 2013 by a Force and all FSPs contributed to provide the most conservative match probabilities for the types of matches listed.</w:t>
      </w:r>
    </w:p>
    <w:p w:rsidR="006A5E8B" w:rsidRPr="00F518FC" w:rsidRDefault="006A5E8B" w:rsidP="006A5E8B">
      <w:pPr>
        <w:pStyle w:val="BodyText"/>
        <w:rPr>
          <w:lang w:val="en-AU"/>
        </w:rPr>
      </w:pPr>
    </w:p>
    <w:tbl>
      <w:tblPr>
        <w:tblW w:w="10335" w:type="dxa"/>
        <w:tblInd w:w="93" w:type="dxa"/>
        <w:tblLook w:val="04A0"/>
      </w:tblPr>
      <w:tblGrid>
        <w:gridCol w:w="2246"/>
        <w:gridCol w:w="2353"/>
        <w:gridCol w:w="5736"/>
      </w:tblGrid>
      <w:tr w:rsidR="006A5E8B" w:rsidRPr="0042678D" w:rsidTr="006A5E8B">
        <w:trPr>
          <w:trHeight w:val="145"/>
        </w:trPr>
        <w:tc>
          <w:tcPr>
            <w:tcW w:w="224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b/>
                <w:bCs/>
                <w:color w:val="000000"/>
                <w:sz w:val="18"/>
                <w:szCs w:val="18"/>
              </w:rPr>
            </w:pPr>
            <w:r w:rsidRPr="006A5E8B">
              <w:rPr>
                <w:rFonts w:ascii="Arial" w:hAnsi="Arial" w:cs="Arial"/>
                <w:b/>
                <w:bCs/>
                <w:color w:val="000000"/>
                <w:sz w:val="18"/>
                <w:szCs w:val="18"/>
              </w:rPr>
              <w:t xml:space="preserve">Scene Profile </w:t>
            </w:r>
          </w:p>
        </w:tc>
        <w:tc>
          <w:tcPr>
            <w:tcW w:w="2353" w:type="dxa"/>
            <w:tcBorders>
              <w:top w:val="single" w:sz="8" w:space="0" w:color="000000"/>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b/>
                <w:bCs/>
                <w:color w:val="000000"/>
                <w:sz w:val="18"/>
                <w:szCs w:val="18"/>
              </w:rPr>
            </w:pPr>
            <w:r w:rsidRPr="006A5E8B">
              <w:rPr>
                <w:rFonts w:ascii="Arial" w:hAnsi="Arial" w:cs="Arial"/>
                <w:b/>
                <w:bCs/>
                <w:color w:val="000000"/>
                <w:sz w:val="18"/>
                <w:szCs w:val="18"/>
              </w:rPr>
              <w:t xml:space="preserve">Subject Profile </w:t>
            </w:r>
          </w:p>
        </w:tc>
        <w:tc>
          <w:tcPr>
            <w:tcW w:w="5736" w:type="dxa"/>
            <w:tcBorders>
              <w:top w:val="single" w:sz="8" w:space="0" w:color="000000"/>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b/>
                <w:bCs/>
                <w:color w:val="000000"/>
                <w:sz w:val="18"/>
                <w:szCs w:val="18"/>
              </w:rPr>
            </w:pPr>
            <w:r w:rsidRPr="006A5E8B">
              <w:rPr>
                <w:rFonts w:ascii="Arial" w:hAnsi="Arial" w:cs="Arial"/>
                <w:b/>
                <w:bCs/>
                <w:color w:val="000000"/>
                <w:sz w:val="18"/>
                <w:szCs w:val="18"/>
              </w:rPr>
              <w:t>Probability of Adventitious Match</w:t>
            </w:r>
          </w:p>
        </w:tc>
      </w:tr>
      <w:tr w:rsidR="006A5E8B" w:rsidRPr="0042678D" w:rsidTr="006A5E8B">
        <w:trPr>
          <w:trHeight w:val="377"/>
        </w:trPr>
        <w:tc>
          <w:tcPr>
            <w:tcW w:w="2246" w:type="dxa"/>
            <w:tcBorders>
              <w:top w:val="nil"/>
              <w:left w:val="single" w:sz="8" w:space="0" w:color="000000"/>
              <w:bottom w:val="single" w:sz="8" w:space="0" w:color="000000"/>
              <w:right w:val="single" w:sz="8" w:space="0" w:color="000000"/>
            </w:tcBorders>
            <w:shd w:val="clear" w:color="auto" w:fill="auto"/>
            <w:vAlign w:val="center"/>
          </w:tcPr>
          <w:p w:rsidR="006A5E8B" w:rsidRPr="006A5E8B" w:rsidRDefault="006A5E8B" w:rsidP="00B823BE">
            <w:pPr>
              <w:rPr>
                <w:rFonts w:ascii="Arial" w:hAnsi="Arial" w:cs="Arial"/>
                <w:color w:val="000000"/>
                <w:sz w:val="18"/>
                <w:szCs w:val="18"/>
              </w:rPr>
            </w:pPr>
            <w:r w:rsidRPr="006A5E8B">
              <w:rPr>
                <w:rFonts w:ascii="Arial" w:hAnsi="Arial" w:cs="Arial"/>
                <w:color w:val="000000"/>
                <w:sz w:val="18"/>
                <w:szCs w:val="18"/>
              </w:rPr>
              <w:t>Full DNA-17</w:t>
            </w:r>
          </w:p>
        </w:tc>
        <w:tc>
          <w:tcPr>
            <w:tcW w:w="2353"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Full DNA-17</w:t>
            </w:r>
          </w:p>
        </w:tc>
        <w:tc>
          <w:tcPr>
            <w:tcW w:w="5736"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estimated in the order of 1 in 1 billion (1 billion is 1 thousand million) </w:t>
            </w:r>
          </w:p>
        </w:tc>
      </w:tr>
      <w:tr w:rsidR="006A5E8B" w:rsidRPr="0042678D" w:rsidTr="006A5E8B">
        <w:trPr>
          <w:trHeight w:val="377"/>
        </w:trPr>
        <w:tc>
          <w:tcPr>
            <w:tcW w:w="2246" w:type="dxa"/>
            <w:tcBorders>
              <w:top w:val="nil"/>
              <w:left w:val="single" w:sz="8" w:space="0" w:color="000000"/>
              <w:bottom w:val="single" w:sz="8" w:space="0" w:color="000000"/>
              <w:right w:val="single" w:sz="8" w:space="0" w:color="000000"/>
            </w:tcBorders>
            <w:shd w:val="clear" w:color="auto" w:fill="auto"/>
            <w:vAlign w:val="center"/>
          </w:tcPr>
          <w:p w:rsidR="006A5E8B" w:rsidRPr="006A5E8B" w:rsidRDefault="006A5E8B" w:rsidP="00B823BE">
            <w:pPr>
              <w:rPr>
                <w:rFonts w:ascii="Arial" w:hAnsi="Arial" w:cs="Arial"/>
                <w:color w:val="000000"/>
                <w:sz w:val="18"/>
                <w:szCs w:val="18"/>
              </w:rPr>
            </w:pPr>
            <w:r w:rsidRPr="006A5E8B">
              <w:rPr>
                <w:rFonts w:ascii="Arial" w:hAnsi="Arial" w:cs="Arial"/>
                <w:color w:val="000000"/>
                <w:sz w:val="18"/>
                <w:szCs w:val="18"/>
              </w:rPr>
              <w:t>Full DNA-17</w:t>
            </w:r>
          </w:p>
        </w:tc>
        <w:tc>
          <w:tcPr>
            <w:tcW w:w="2353"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 xml:space="preserve">Full </w:t>
            </w:r>
            <w:proofErr w:type="spellStart"/>
            <w:r w:rsidRPr="006A5E8B">
              <w:rPr>
                <w:rFonts w:ascii="Arial" w:hAnsi="Arial" w:cs="Arial"/>
                <w:color w:val="000000"/>
                <w:sz w:val="18"/>
                <w:szCs w:val="18"/>
              </w:rPr>
              <w:t>SGMPlus</w:t>
            </w:r>
            <w:proofErr w:type="spellEnd"/>
          </w:p>
        </w:tc>
        <w:tc>
          <w:tcPr>
            <w:tcW w:w="5736"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estimated in the order of 1 in 1 billion (1 billion is 1 thousand million) </w:t>
            </w:r>
          </w:p>
        </w:tc>
      </w:tr>
      <w:tr w:rsidR="006A5E8B" w:rsidRPr="0042678D" w:rsidTr="006A5E8B">
        <w:trPr>
          <w:trHeight w:val="377"/>
        </w:trPr>
        <w:tc>
          <w:tcPr>
            <w:tcW w:w="2246" w:type="dxa"/>
            <w:tcBorders>
              <w:top w:val="nil"/>
              <w:left w:val="single" w:sz="8" w:space="0" w:color="000000"/>
              <w:bottom w:val="single" w:sz="8" w:space="0" w:color="000000"/>
              <w:right w:val="single" w:sz="8" w:space="0" w:color="000000"/>
            </w:tcBorders>
            <w:shd w:val="clear" w:color="auto" w:fill="auto"/>
            <w:vAlign w:val="center"/>
          </w:tcPr>
          <w:p w:rsidR="006A5E8B" w:rsidRPr="006A5E8B" w:rsidRDefault="006A5E8B" w:rsidP="00B823BE">
            <w:pPr>
              <w:rPr>
                <w:rFonts w:ascii="Arial" w:hAnsi="Arial" w:cs="Arial"/>
                <w:color w:val="000000"/>
                <w:sz w:val="18"/>
                <w:szCs w:val="18"/>
              </w:rPr>
            </w:pPr>
            <w:r w:rsidRPr="006A5E8B">
              <w:rPr>
                <w:rFonts w:ascii="Arial" w:hAnsi="Arial" w:cs="Arial"/>
                <w:color w:val="000000"/>
                <w:sz w:val="18"/>
                <w:szCs w:val="18"/>
              </w:rPr>
              <w:t xml:space="preserve">Full </w:t>
            </w:r>
            <w:proofErr w:type="spellStart"/>
            <w:r w:rsidRPr="006A5E8B">
              <w:rPr>
                <w:rFonts w:ascii="Arial" w:hAnsi="Arial" w:cs="Arial"/>
                <w:color w:val="000000"/>
                <w:sz w:val="18"/>
                <w:szCs w:val="18"/>
              </w:rPr>
              <w:t>SGMPlus</w:t>
            </w:r>
            <w:proofErr w:type="spellEnd"/>
          </w:p>
        </w:tc>
        <w:tc>
          <w:tcPr>
            <w:tcW w:w="2353"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Full DNA-17</w:t>
            </w:r>
          </w:p>
        </w:tc>
        <w:tc>
          <w:tcPr>
            <w:tcW w:w="5736"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estimated in the order of 1 in 1 billion (1 billion is 1 thousand million) </w:t>
            </w:r>
          </w:p>
        </w:tc>
      </w:tr>
      <w:tr w:rsidR="006A5E8B" w:rsidRPr="0042678D" w:rsidTr="006A5E8B">
        <w:trPr>
          <w:trHeight w:val="377"/>
        </w:trPr>
        <w:tc>
          <w:tcPr>
            <w:tcW w:w="2246" w:type="dxa"/>
            <w:tcBorders>
              <w:top w:val="nil"/>
              <w:left w:val="single" w:sz="8" w:space="0" w:color="000000"/>
              <w:bottom w:val="single" w:sz="8" w:space="0" w:color="000000"/>
              <w:right w:val="single" w:sz="8" w:space="0" w:color="000000"/>
            </w:tcBorders>
            <w:shd w:val="clear" w:color="auto" w:fill="auto"/>
            <w:vAlign w:val="center"/>
          </w:tcPr>
          <w:p w:rsidR="006A5E8B" w:rsidRPr="006A5E8B" w:rsidRDefault="006A5E8B" w:rsidP="00B823BE">
            <w:pPr>
              <w:rPr>
                <w:rFonts w:ascii="Arial" w:hAnsi="Arial" w:cs="Arial"/>
                <w:color w:val="000000"/>
                <w:sz w:val="18"/>
                <w:szCs w:val="18"/>
              </w:rPr>
            </w:pPr>
            <w:r w:rsidRPr="006A5E8B">
              <w:rPr>
                <w:rFonts w:ascii="Arial" w:hAnsi="Arial" w:cs="Arial"/>
                <w:color w:val="000000"/>
                <w:sz w:val="18"/>
                <w:szCs w:val="18"/>
              </w:rPr>
              <w:t xml:space="preserve">Full </w:t>
            </w:r>
            <w:proofErr w:type="spellStart"/>
            <w:r w:rsidRPr="006A5E8B">
              <w:rPr>
                <w:rFonts w:ascii="Arial" w:hAnsi="Arial" w:cs="Arial"/>
                <w:color w:val="000000"/>
                <w:sz w:val="18"/>
                <w:szCs w:val="18"/>
              </w:rPr>
              <w:t>SGMPlus</w:t>
            </w:r>
            <w:proofErr w:type="spellEnd"/>
            <w:r w:rsidRPr="006A5E8B">
              <w:rPr>
                <w:rFonts w:ascii="Arial" w:hAnsi="Arial" w:cs="Arial"/>
                <w:color w:val="000000"/>
                <w:sz w:val="18"/>
                <w:szCs w:val="18"/>
              </w:rPr>
              <w:t> </w:t>
            </w:r>
          </w:p>
        </w:tc>
        <w:tc>
          <w:tcPr>
            <w:tcW w:w="2353"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 xml:space="preserve">Full </w:t>
            </w:r>
            <w:proofErr w:type="spellStart"/>
            <w:r w:rsidRPr="006A5E8B">
              <w:rPr>
                <w:rFonts w:ascii="Arial" w:hAnsi="Arial" w:cs="Arial"/>
                <w:color w:val="000000"/>
                <w:sz w:val="18"/>
                <w:szCs w:val="18"/>
              </w:rPr>
              <w:t>SGMPlus</w:t>
            </w:r>
            <w:proofErr w:type="spellEnd"/>
          </w:p>
        </w:tc>
        <w:tc>
          <w:tcPr>
            <w:tcW w:w="5736"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estimated in the order of 1 in 1 billion (1 billion is 1 thousand million) </w:t>
            </w:r>
          </w:p>
        </w:tc>
      </w:tr>
      <w:tr w:rsidR="006A5E8B" w:rsidRPr="0042678D" w:rsidTr="006A5E8B">
        <w:trPr>
          <w:trHeight w:val="377"/>
        </w:trPr>
        <w:tc>
          <w:tcPr>
            <w:tcW w:w="2246" w:type="dxa"/>
            <w:tcBorders>
              <w:top w:val="nil"/>
              <w:left w:val="single" w:sz="8" w:space="0" w:color="000000"/>
              <w:bottom w:val="single" w:sz="8" w:space="0" w:color="000000"/>
              <w:right w:val="single" w:sz="8" w:space="0" w:color="000000"/>
            </w:tcBorders>
            <w:shd w:val="clear" w:color="auto" w:fill="auto"/>
            <w:vAlign w:val="center"/>
          </w:tcPr>
          <w:p w:rsidR="006A5E8B" w:rsidRPr="006A5E8B" w:rsidRDefault="006A5E8B" w:rsidP="00B823BE">
            <w:pPr>
              <w:rPr>
                <w:rFonts w:ascii="Arial" w:hAnsi="Arial" w:cs="Arial"/>
                <w:color w:val="000000"/>
                <w:sz w:val="18"/>
                <w:szCs w:val="18"/>
              </w:rPr>
            </w:pPr>
            <w:r w:rsidRPr="006A5E8B">
              <w:rPr>
                <w:rFonts w:ascii="Arial" w:hAnsi="Arial" w:cs="Arial"/>
                <w:color w:val="000000"/>
                <w:sz w:val="18"/>
                <w:szCs w:val="18"/>
              </w:rPr>
              <w:t>PARTIAL with minimum 19 alleles in overlap</w:t>
            </w:r>
          </w:p>
        </w:tc>
        <w:tc>
          <w:tcPr>
            <w:tcW w:w="2353"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 xml:space="preserve">Full </w:t>
            </w:r>
            <w:proofErr w:type="spellStart"/>
            <w:r w:rsidRPr="006A5E8B">
              <w:rPr>
                <w:rFonts w:ascii="Arial" w:hAnsi="Arial" w:cs="Arial"/>
                <w:color w:val="000000"/>
                <w:sz w:val="18"/>
                <w:szCs w:val="18"/>
              </w:rPr>
              <w:t>SGMPlus</w:t>
            </w:r>
            <w:proofErr w:type="spellEnd"/>
            <w:r w:rsidRPr="006A5E8B">
              <w:rPr>
                <w:rFonts w:ascii="Arial" w:hAnsi="Arial" w:cs="Arial"/>
                <w:color w:val="000000"/>
                <w:sz w:val="18"/>
                <w:szCs w:val="18"/>
              </w:rPr>
              <w:t xml:space="preserve"> or DNA-17</w:t>
            </w:r>
          </w:p>
        </w:tc>
        <w:tc>
          <w:tcPr>
            <w:tcW w:w="5736"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estimated in the order of 1 in 1 billion (1 billion is 1 thousand million)</w:t>
            </w:r>
          </w:p>
        </w:tc>
      </w:tr>
      <w:tr w:rsidR="006A5E8B" w:rsidRPr="0042678D" w:rsidTr="006A5E8B">
        <w:trPr>
          <w:trHeight w:val="377"/>
        </w:trPr>
        <w:tc>
          <w:tcPr>
            <w:tcW w:w="2246" w:type="dxa"/>
            <w:tcBorders>
              <w:top w:val="nil"/>
              <w:left w:val="single" w:sz="8" w:space="0" w:color="000000"/>
              <w:bottom w:val="single" w:sz="8" w:space="0" w:color="000000"/>
              <w:right w:val="single" w:sz="8" w:space="0" w:color="000000"/>
            </w:tcBorders>
            <w:shd w:val="clear" w:color="auto" w:fill="auto"/>
            <w:vAlign w:val="center"/>
          </w:tcPr>
          <w:p w:rsidR="006A5E8B" w:rsidRPr="006A5E8B" w:rsidRDefault="006A5E8B" w:rsidP="00B823BE">
            <w:pPr>
              <w:rPr>
                <w:rFonts w:ascii="Arial" w:hAnsi="Arial" w:cs="Arial"/>
                <w:color w:val="000000"/>
                <w:sz w:val="18"/>
                <w:szCs w:val="18"/>
              </w:rPr>
            </w:pPr>
            <w:r w:rsidRPr="006A5E8B">
              <w:rPr>
                <w:rFonts w:ascii="Arial" w:hAnsi="Arial" w:cs="Arial"/>
                <w:color w:val="000000"/>
                <w:sz w:val="18"/>
                <w:szCs w:val="18"/>
              </w:rPr>
              <w:t xml:space="preserve">PARTIAL 17 or 18 </w:t>
            </w:r>
            <w:r w:rsidRPr="006A5E8B">
              <w:rPr>
                <w:rFonts w:ascii="Arial" w:hAnsi="Arial" w:cs="Arial"/>
                <w:color w:val="000000"/>
                <w:sz w:val="18"/>
                <w:szCs w:val="18"/>
              </w:rPr>
              <w:br/>
              <w:t>alleles in overlap</w:t>
            </w:r>
          </w:p>
        </w:tc>
        <w:tc>
          <w:tcPr>
            <w:tcW w:w="2353"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 xml:space="preserve">Full </w:t>
            </w:r>
            <w:proofErr w:type="spellStart"/>
            <w:r w:rsidRPr="006A5E8B">
              <w:rPr>
                <w:rFonts w:ascii="Arial" w:hAnsi="Arial" w:cs="Arial"/>
                <w:color w:val="000000"/>
                <w:sz w:val="18"/>
                <w:szCs w:val="18"/>
              </w:rPr>
              <w:t>SGMPlus</w:t>
            </w:r>
            <w:proofErr w:type="spellEnd"/>
            <w:r w:rsidRPr="006A5E8B">
              <w:rPr>
                <w:rFonts w:ascii="Arial" w:hAnsi="Arial" w:cs="Arial"/>
                <w:color w:val="000000"/>
                <w:sz w:val="18"/>
                <w:szCs w:val="18"/>
              </w:rPr>
              <w:t xml:space="preserve"> or DNA-17</w:t>
            </w:r>
          </w:p>
        </w:tc>
        <w:tc>
          <w:tcPr>
            <w:tcW w:w="5736"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estimated 1 in 100 million</w:t>
            </w:r>
          </w:p>
        </w:tc>
      </w:tr>
      <w:tr w:rsidR="006A5E8B" w:rsidRPr="0042678D" w:rsidTr="006A5E8B">
        <w:trPr>
          <w:trHeight w:val="377"/>
        </w:trPr>
        <w:tc>
          <w:tcPr>
            <w:tcW w:w="2246" w:type="dxa"/>
            <w:tcBorders>
              <w:top w:val="nil"/>
              <w:left w:val="single" w:sz="8" w:space="0" w:color="000000"/>
              <w:bottom w:val="single" w:sz="8" w:space="0" w:color="000000"/>
              <w:right w:val="single" w:sz="8" w:space="0" w:color="000000"/>
            </w:tcBorders>
            <w:shd w:val="clear" w:color="auto" w:fill="auto"/>
            <w:vAlign w:val="center"/>
          </w:tcPr>
          <w:p w:rsidR="006A5E8B" w:rsidRPr="006A5E8B" w:rsidRDefault="006A5E8B" w:rsidP="00B823BE">
            <w:pPr>
              <w:rPr>
                <w:rFonts w:ascii="Arial" w:hAnsi="Arial" w:cs="Arial"/>
                <w:color w:val="000000"/>
                <w:sz w:val="18"/>
                <w:szCs w:val="18"/>
              </w:rPr>
            </w:pPr>
            <w:r w:rsidRPr="006A5E8B">
              <w:rPr>
                <w:rFonts w:ascii="Arial" w:hAnsi="Arial" w:cs="Arial"/>
                <w:color w:val="000000"/>
                <w:sz w:val="18"/>
                <w:szCs w:val="18"/>
              </w:rPr>
              <w:t xml:space="preserve">PARTIAL 15 or 16 </w:t>
            </w:r>
            <w:r w:rsidRPr="006A5E8B">
              <w:rPr>
                <w:rFonts w:ascii="Arial" w:hAnsi="Arial" w:cs="Arial"/>
                <w:color w:val="000000"/>
                <w:sz w:val="18"/>
                <w:szCs w:val="18"/>
              </w:rPr>
              <w:br/>
              <w:t>alleles in overlap</w:t>
            </w:r>
          </w:p>
        </w:tc>
        <w:tc>
          <w:tcPr>
            <w:tcW w:w="2353"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 xml:space="preserve">Full </w:t>
            </w:r>
            <w:proofErr w:type="spellStart"/>
            <w:r w:rsidRPr="006A5E8B">
              <w:rPr>
                <w:rFonts w:ascii="Arial" w:hAnsi="Arial" w:cs="Arial"/>
                <w:color w:val="000000"/>
                <w:sz w:val="18"/>
                <w:szCs w:val="18"/>
              </w:rPr>
              <w:t>SGMPlus</w:t>
            </w:r>
            <w:proofErr w:type="spellEnd"/>
            <w:r w:rsidRPr="006A5E8B">
              <w:rPr>
                <w:rFonts w:ascii="Arial" w:hAnsi="Arial" w:cs="Arial"/>
                <w:color w:val="000000"/>
                <w:sz w:val="18"/>
                <w:szCs w:val="18"/>
              </w:rPr>
              <w:t xml:space="preserve"> or DNA-17</w:t>
            </w:r>
          </w:p>
        </w:tc>
        <w:tc>
          <w:tcPr>
            <w:tcW w:w="5736"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estimated 1 in 10 million</w:t>
            </w:r>
          </w:p>
        </w:tc>
      </w:tr>
      <w:tr w:rsidR="006A5E8B" w:rsidRPr="0042678D" w:rsidTr="006A5E8B">
        <w:trPr>
          <w:trHeight w:val="377"/>
        </w:trPr>
        <w:tc>
          <w:tcPr>
            <w:tcW w:w="2246" w:type="dxa"/>
            <w:tcBorders>
              <w:top w:val="nil"/>
              <w:left w:val="single" w:sz="8" w:space="0" w:color="000000"/>
              <w:bottom w:val="single" w:sz="8" w:space="0" w:color="000000"/>
              <w:right w:val="single" w:sz="8" w:space="0" w:color="000000"/>
            </w:tcBorders>
            <w:shd w:val="clear" w:color="auto" w:fill="auto"/>
            <w:vAlign w:val="center"/>
          </w:tcPr>
          <w:p w:rsidR="006A5E8B" w:rsidRPr="006A5E8B" w:rsidRDefault="006A5E8B" w:rsidP="00B823BE">
            <w:pPr>
              <w:rPr>
                <w:rFonts w:ascii="Arial" w:hAnsi="Arial" w:cs="Arial"/>
                <w:color w:val="000000"/>
                <w:sz w:val="18"/>
                <w:szCs w:val="18"/>
              </w:rPr>
            </w:pPr>
            <w:r w:rsidRPr="006A5E8B">
              <w:rPr>
                <w:rFonts w:ascii="Arial" w:hAnsi="Arial" w:cs="Arial"/>
                <w:color w:val="000000"/>
                <w:sz w:val="18"/>
                <w:szCs w:val="18"/>
              </w:rPr>
              <w:t xml:space="preserve">PARTIAL 13 or 14 </w:t>
            </w:r>
            <w:r w:rsidRPr="006A5E8B">
              <w:rPr>
                <w:rFonts w:ascii="Arial" w:hAnsi="Arial" w:cs="Arial"/>
                <w:color w:val="000000"/>
                <w:sz w:val="18"/>
                <w:szCs w:val="18"/>
              </w:rPr>
              <w:br/>
              <w:t>alleles in overlap</w:t>
            </w:r>
          </w:p>
        </w:tc>
        <w:tc>
          <w:tcPr>
            <w:tcW w:w="2353"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 xml:space="preserve">Full </w:t>
            </w:r>
            <w:proofErr w:type="spellStart"/>
            <w:r w:rsidRPr="006A5E8B">
              <w:rPr>
                <w:rFonts w:ascii="Arial" w:hAnsi="Arial" w:cs="Arial"/>
                <w:color w:val="000000"/>
                <w:sz w:val="18"/>
                <w:szCs w:val="18"/>
              </w:rPr>
              <w:t>SGMPlus</w:t>
            </w:r>
            <w:proofErr w:type="spellEnd"/>
            <w:r w:rsidRPr="006A5E8B">
              <w:rPr>
                <w:rFonts w:ascii="Arial" w:hAnsi="Arial" w:cs="Arial"/>
                <w:color w:val="000000"/>
                <w:sz w:val="18"/>
                <w:szCs w:val="18"/>
              </w:rPr>
              <w:t xml:space="preserve"> or DNA-17</w:t>
            </w:r>
          </w:p>
        </w:tc>
        <w:tc>
          <w:tcPr>
            <w:tcW w:w="5736"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estimated 1 in 1 million</w:t>
            </w:r>
          </w:p>
        </w:tc>
      </w:tr>
      <w:tr w:rsidR="006A5E8B" w:rsidRPr="00685CF8" w:rsidTr="006A5E8B">
        <w:trPr>
          <w:trHeight w:val="377"/>
        </w:trPr>
        <w:tc>
          <w:tcPr>
            <w:tcW w:w="2246" w:type="dxa"/>
            <w:tcBorders>
              <w:top w:val="nil"/>
              <w:left w:val="single" w:sz="8" w:space="0" w:color="000000"/>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 xml:space="preserve">PARTIAL 11 or 12 </w:t>
            </w:r>
            <w:r w:rsidRPr="006A5E8B">
              <w:rPr>
                <w:rFonts w:ascii="Arial" w:hAnsi="Arial" w:cs="Arial"/>
                <w:color w:val="000000"/>
                <w:sz w:val="18"/>
                <w:szCs w:val="18"/>
              </w:rPr>
              <w:br/>
              <w:t>alleles in overlap</w:t>
            </w:r>
          </w:p>
        </w:tc>
        <w:tc>
          <w:tcPr>
            <w:tcW w:w="2353"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 xml:space="preserve">Full </w:t>
            </w:r>
            <w:proofErr w:type="spellStart"/>
            <w:r w:rsidRPr="006A5E8B">
              <w:rPr>
                <w:rFonts w:ascii="Arial" w:hAnsi="Arial" w:cs="Arial"/>
                <w:color w:val="000000"/>
                <w:sz w:val="18"/>
                <w:szCs w:val="18"/>
              </w:rPr>
              <w:t>SGMPlus</w:t>
            </w:r>
            <w:proofErr w:type="spellEnd"/>
            <w:r w:rsidRPr="006A5E8B">
              <w:rPr>
                <w:rFonts w:ascii="Arial" w:hAnsi="Arial" w:cs="Arial"/>
                <w:color w:val="000000"/>
                <w:sz w:val="18"/>
                <w:szCs w:val="18"/>
              </w:rPr>
              <w:t xml:space="preserve"> or DNA-17</w:t>
            </w:r>
          </w:p>
        </w:tc>
        <w:tc>
          <w:tcPr>
            <w:tcW w:w="5736" w:type="dxa"/>
            <w:tcBorders>
              <w:top w:val="nil"/>
              <w:left w:val="nil"/>
              <w:bottom w:val="single" w:sz="8" w:space="0" w:color="000000"/>
              <w:right w:val="single" w:sz="8" w:space="0" w:color="000000"/>
            </w:tcBorders>
            <w:shd w:val="clear" w:color="auto" w:fill="auto"/>
            <w:vAlign w:val="center"/>
          </w:tcPr>
          <w:p w:rsidR="006A5E8B" w:rsidRPr="006A5E8B" w:rsidRDefault="006A5E8B" w:rsidP="00B823BE">
            <w:pPr>
              <w:jc w:val="both"/>
              <w:rPr>
                <w:rFonts w:ascii="Arial" w:hAnsi="Arial" w:cs="Arial"/>
                <w:color w:val="000000"/>
                <w:sz w:val="18"/>
                <w:szCs w:val="18"/>
              </w:rPr>
            </w:pPr>
            <w:r w:rsidRPr="006A5E8B">
              <w:rPr>
                <w:rFonts w:ascii="Arial" w:hAnsi="Arial" w:cs="Arial"/>
                <w:color w:val="000000"/>
                <w:sz w:val="18"/>
                <w:szCs w:val="18"/>
              </w:rPr>
              <w:t>estimated 1 in 78,000</w:t>
            </w:r>
          </w:p>
        </w:tc>
      </w:tr>
    </w:tbl>
    <w:p w:rsidR="00B55525" w:rsidRDefault="00B55525" w:rsidP="00B75823">
      <w:pPr>
        <w:pStyle w:val="Body"/>
        <w:pBdr>
          <w:top w:val="none" w:sz="0" w:space="0" w:color="auto"/>
          <w:left w:val="none" w:sz="0" w:space="0" w:color="auto"/>
          <w:bottom w:val="none" w:sz="0" w:space="0" w:color="auto"/>
          <w:right w:val="none" w:sz="0" w:space="0" w:color="auto"/>
          <w:bar w:val="none" w:sz="0" w:color="auto"/>
        </w:pBdr>
        <w:jc w:val="both"/>
      </w:pPr>
    </w:p>
    <w:sectPr w:rsidR="00B55525" w:rsidSect="0037657A">
      <w:headerReference w:type="default" r:id="rId8"/>
      <w:footerReference w:type="default" r:id="rId9"/>
      <w:headerReference w:type="first" r:id="rId10"/>
      <w:pgSz w:w="11906" w:h="16838" w:code="9"/>
      <w:pgMar w:top="851" w:right="851" w:bottom="851" w:left="851"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083" w:rsidRDefault="00377083" w:rsidP="0075056B">
      <w:r>
        <w:separator/>
      </w:r>
    </w:p>
  </w:endnote>
  <w:endnote w:type="continuationSeparator" w:id="0">
    <w:p w:rsidR="00377083" w:rsidRDefault="00377083" w:rsidP="0075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FSAlbert-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82" w:rsidRPr="004E0C8D" w:rsidRDefault="00373982" w:rsidP="004E0C8D">
    <w:pPr>
      <w:pStyle w:val="Footer"/>
      <w:jc w:val="right"/>
      <w:rPr>
        <w:rFonts w:ascii="Arial" w:hAnsi="Arial" w:cs="Arial"/>
        <w:sz w:val="18"/>
        <w:szCs w:val="18"/>
      </w:rPr>
    </w:pPr>
    <w:r>
      <w:rPr>
        <w:rFonts w:ascii="Arial" w:hAnsi="Arial" w:cs="Arial"/>
        <w:sz w:val="18"/>
        <w:szCs w:val="18"/>
      </w:rPr>
      <w:t xml:space="preserve">Page </w:t>
    </w:r>
    <w:r w:rsidR="007F2769" w:rsidRPr="00736691">
      <w:rPr>
        <w:rFonts w:ascii="Arial" w:hAnsi="Arial" w:cs="Arial"/>
        <w:sz w:val="18"/>
        <w:szCs w:val="18"/>
      </w:rPr>
      <w:fldChar w:fldCharType="begin"/>
    </w:r>
    <w:r w:rsidRPr="00736691">
      <w:rPr>
        <w:rFonts w:ascii="Arial" w:hAnsi="Arial" w:cs="Arial"/>
        <w:sz w:val="18"/>
        <w:szCs w:val="18"/>
      </w:rPr>
      <w:instrText xml:space="preserve"> PAGE </w:instrText>
    </w:r>
    <w:r w:rsidR="007F2769" w:rsidRPr="00736691">
      <w:rPr>
        <w:rFonts w:ascii="Arial" w:hAnsi="Arial" w:cs="Arial"/>
        <w:sz w:val="18"/>
        <w:szCs w:val="18"/>
      </w:rPr>
      <w:fldChar w:fldCharType="separate"/>
    </w:r>
    <w:r w:rsidR="007740F8">
      <w:rPr>
        <w:rFonts w:ascii="Arial" w:hAnsi="Arial" w:cs="Arial"/>
        <w:noProof/>
        <w:sz w:val="18"/>
        <w:szCs w:val="18"/>
      </w:rPr>
      <w:t>7</w:t>
    </w:r>
    <w:r w:rsidR="007F2769" w:rsidRPr="00736691">
      <w:rPr>
        <w:rFonts w:ascii="Arial" w:hAnsi="Arial" w:cs="Arial"/>
        <w:sz w:val="18"/>
        <w:szCs w:val="18"/>
      </w:rPr>
      <w:fldChar w:fldCharType="end"/>
    </w:r>
    <w:r w:rsidRPr="00736691">
      <w:rPr>
        <w:rFonts w:ascii="Arial" w:hAnsi="Arial" w:cs="Arial"/>
        <w:sz w:val="18"/>
        <w:szCs w:val="18"/>
      </w:rPr>
      <w:t xml:space="preserve"> of </w:t>
    </w:r>
    <w:r w:rsidR="007F2769" w:rsidRPr="00736691">
      <w:rPr>
        <w:rFonts w:ascii="Arial" w:hAnsi="Arial" w:cs="Arial"/>
        <w:sz w:val="18"/>
        <w:szCs w:val="18"/>
      </w:rPr>
      <w:fldChar w:fldCharType="begin"/>
    </w:r>
    <w:r w:rsidRPr="00736691">
      <w:rPr>
        <w:rFonts w:ascii="Arial" w:hAnsi="Arial" w:cs="Arial"/>
        <w:sz w:val="18"/>
        <w:szCs w:val="18"/>
      </w:rPr>
      <w:instrText xml:space="preserve"> NUMPAGES </w:instrText>
    </w:r>
    <w:r w:rsidR="007F2769" w:rsidRPr="00736691">
      <w:rPr>
        <w:rFonts w:ascii="Arial" w:hAnsi="Arial" w:cs="Arial"/>
        <w:sz w:val="18"/>
        <w:szCs w:val="18"/>
      </w:rPr>
      <w:fldChar w:fldCharType="separate"/>
    </w:r>
    <w:r w:rsidR="007740F8">
      <w:rPr>
        <w:rFonts w:ascii="Arial" w:hAnsi="Arial" w:cs="Arial"/>
        <w:noProof/>
        <w:sz w:val="18"/>
        <w:szCs w:val="18"/>
      </w:rPr>
      <w:t>8</w:t>
    </w:r>
    <w:r w:rsidR="007F2769" w:rsidRPr="00736691">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083" w:rsidRDefault="00377083" w:rsidP="0075056B">
      <w:r>
        <w:separator/>
      </w:r>
    </w:p>
  </w:footnote>
  <w:footnote w:type="continuationSeparator" w:id="0">
    <w:p w:rsidR="00377083" w:rsidRDefault="00377083" w:rsidP="00750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82" w:rsidRPr="00354C99" w:rsidRDefault="00373982" w:rsidP="00354C99">
    <w:pPr>
      <w:pStyle w:val="Header"/>
      <w:jc w:val="cent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982" w:rsidRDefault="00373982" w:rsidP="00185E9C">
    <w:pPr>
      <w:pStyle w:val="Header"/>
      <w:jc w:val="center"/>
      <w:rPr>
        <w:rFonts w:ascii="Arial" w:hAnsi="Arial" w:cs="Arial"/>
        <w:noProof/>
      </w:rPr>
    </w:pPr>
  </w:p>
  <w:p w:rsidR="00373982" w:rsidRDefault="00373982" w:rsidP="007A2AB8">
    <w:pPr>
      <w:pStyle w:val="Header"/>
      <w:jc w:val="center"/>
      <w:rPr>
        <w:rFonts w:ascii="Arial" w:hAnsi="Arial" w:cs="Arial"/>
      </w:rPr>
    </w:pPr>
    <w:r>
      <w:rPr>
        <w:noProof/>
      </w:rPr>
      <w:drawing>
        <wp:anchor distT="0" distB="0" distL="114300" distR="114300" simplePos="0" relativeHeight="251658240" behindDoc="1" locked="0" layoutInCell="1" allowOverlap="1">
          <wp:simplePos x="0" y="0"/>
          <wp:positionH relativeFrom="column">
            <wp:posOffset>306070</wp:posOffset>
          </wp:positionH>
          <wp:positionV relativeFrom="paragraph">
            <wp:posOffset>109855</wp:posOffset>
          </wp:positionV>
          <wp:extent cx="1910715" cy="825500"/>
          <wp:effectExtent l="0" t="0" r="0" b="0"/>
          <wp:wrapNone/>
          <wp:docPr id="2" name="Picture 2"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Office_RGB_AW"/>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10715" cy="825500"/>
                  </a:xfrm>
                  <a:prstGeom prst="rect">
                    <a:avLst/>
                  </a:prstGeom>
                  <a:noFill/>
                  <a:ln>
                    <a:noFill/>
                  </a:ln>
                </pic:spPr>
              </pic:pic>
            </a:graphicData>
          </a:graphic>
        </wp:anchor>
      </w:drawing>
    </w:r>
  </w:p>
  <w:p w:rsidR="00373982" w:rsidRDefault="00373982" w:rsidP="00185E9C">
    <w:pPr>
      <w:pStyle w:val="Header"/>
      <w:jc w:val="center"/>
      <w:rPr>
        <w:rFonts w:ascii="Arial" w:hAnsi="Arial" w:cs="Arial"/>
      </w:rPr>
    </w:pPr>
  </w:p>
  <w:p w:rsidR="00373982" w:rsidRDefault="00373982" w:rsidP="007A2AB8">
    <w:pPr>
      <w:pStyle w:val="Header"/>
      <w:rPr>
        <w:rFonts w:ascii="Arial" w:hAnsi="Arial" w:cs="Arial"/>
      </w:rPr>
    </w:pPr>
  </w:p>
  <w:p w:rsidR="00373982" w:rsidRDefault="00373982" w:rsidP="00C44F7A">
    <w:pPr>
      <w:pStyle w:val="Header"/>
      <w:rPr>
        <w:rFonts w:ascii="Arial" w:hAnsi="Arial" w:cs="Arial"/>
      </w:rPr>
    </w:pPr>
  </w:p>
  <w:p w:rsidR="00373982" w:rsidRDefault="00373982" w:rsidP="004A2949">
    <w:pPr>
      <w:pStyle w:val="Header"/>
      <w:rPr>
        <w:rFonts w:ascii="Arial" w:hAnsi="Arial" w:cs="Arial"/>
      </w:rPr>
    </w:pPr>
  </w:p>
  <w:p w:rsidR="00373982" w:rsidRDefault="00373982" w:rsidP="00185E9C">
    <w:pPr>
      <w:pStyle w:val="Header"/>
      <w:jc w:val="center"/>
      <w:rPr>
        <w:rFonts w:ascii="Arial" w:hAnsi="Arial" w:cs="Arial"/>
      </w:rPr>
    </w:pPr>
  </w:p>
  <w:p w:rsidR="00373982" w:rsidRDefault="00373982" w:rsidP="00185E9C">
    <w:pPr>
      <w:pStyle w:val="Header"/>
      <w:jc w:val="center"/>
      <w:rPr>
        <w:rFonts w:ascii="Arial" w:hAnsi="Arial" w:cs="Arial"/>
      </w:rPr>
    </w:pPr>
  </w:p>
  <w:p w:rsidR="00373982" w:rsidRDefault="00373982" w:rsidP="00185E9C">
    <w:pPr>
      <w:pStyle w:val="Header"/>
      <w:jc w:val="center"/>
      <w:rPr>
        <w:rFonts w:ascii="Arial" w:hAnsi="Arial" w:cs="Arial"/>
      </w:rPr>
    </w:pPr>
  </w:p>
  <w:p w:rsidR="00373982" w:rsidRDefault="00373982" w:rsidP="00185E9C">
    <w:pPr>
      <w:pStyle w:val="Header"/>
      <w:jc w:val="center"/>
      <w:rPr>
        <w:rFonts w:ascii="Arial" w:hAnsi="Arial" w:cs="Arial"/>
      </w:rPr>
    </w:pPr>
  </w:p>
  <w:p w:rsidR="00373982" w:rsidRPr="00185E9C" w:rsidRDefault="00373982" w:rsidP="00185E9C">
    <w:pPr>
      <w:pStyle w:val="Header"/>
      <w:jc w:val="center"/>
      <w:rPr>
        <w:rFonts w:ascii="Arial" w:hAnsi="Arial" w:cs="Arial"/>
      </w:rPr>
    </w:pPr>
  </w:p>
  <w:p w:rsidR="00373982" w:rsidRPr="00185E9C" w:rsidRDefault="00373982" w:rsidP="00185E9C">
    <w:pPr>
      <w:pStyle w:val="Header"/>
      <w:jc w:val="center"/>
      <w:rPr>
        <w:rFonts w:ascii="Arial" w:hAnsi="Arial" w:cs="Arial"/>
      </w:rPr>
    </w:pPr>
  </w:p>
  <w:p w:rsidR="00373982" w:rsidRPr="00185E9C" w:rsidRDefault="00373982" w:rsidP="00185E9C">
    <w:pPr>
      <w:pStyle w:val="Header"/>
      <w:jc w:val="center"/>
      <w:rPr>
        <w:rFonts w:ascii="Arial" w:hAnsi="Arial" w:cs="Arial"/>
      </w:rPr>
    </w:pPr>
  </w:p>
  <w:p w:rsidR="00373982" w:rsidRPr="00185E9C" w:rsidRDefault="00373982" w:rsidP="00185E9C">
    <w:pPr>
      <w:pStyle w:val="Header"/>
      <w:jc w:val="center"/>
      <w:rPr>
        <w:rFonts w:ascii="Arial" w:hAnsi="Arial" w:cs="Arial"/>
      </w:rPr>
    </w:pPr>
  </w:p>
  <w:p w:rsidR="00373982" w:rsidRPr="00185E9C" w:rsidRDefault="00373982" w:rsidP="00185E9C">
    <w:pPr>
      <w:pStyle w:val="Header"/>
      <w:jc w:val="center"/>
      <w:rPr>
        <w:rFonts w:ascii="Arial" w:hAnsi="Arial" w:cs="Arial"/>
      </w:rPr>
    </w:pPr>
  </w:p>
  <w:p w:rsidR="00373982" w:rsidRPr="00185E9C" w:rsidRDefault="00373982" w:rsidP="00185E9C">
    <w:pPr>
      <w:pStyle w:val="Header"/>
      <w:jc w:val="cent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88E4C36"/>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344C0B57"/>
    <w:multiLevelType w:val="hybridMultilevel"/>
    <w:tmpl w:val="63702CA2"/>
    <w:lvl w:ilvl="0" w:tplc="72A8F38E">
      <w:numFmt w:val="bullet"/>
      <w:lvlText w:val="-"/>
      <w:lvlJc w:val="left"/>
      <w:pPr>
        <w:ind w:left="783" w:hanging="360"/>
      </w:pPr>
      <w:rPr>
        <w:rFonts w:ascii="Arial" w:eastAsia="Times New Roman" w:hAnsi="Arial" w:cs="Aria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nsid w:val="3D3A18CD"/>
    <w:multiLevelType w:val="multilevel"/>
    <w:tmpl w:val="1A907B00"/>
    <w:lvl w:ilvl="0">
      <w:start w:val="1"/>
      <w:numFmt w:val="decimal"/>
      <w:pStyle w:val="Sectiontitl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44B23189"/>
    <w:multiLevelType w:val="hybridMultilevel"/>
    <w:tmpl w:val="AE988C3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D920FFB"/>
    <w:multiLevelType w:val="multilevel"/>
    <w:tmpl w:val="BE0088E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57231ABB"/>
    <w:multiLevelType w:val="hybridMultilevel"/>
    <w:tmpl w:val="5D227B0E"/>
    <w:lvl w:ilvl="0" w:tplc="44B4FD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0590CCC"/>
    <w:multiLevelType w:val="hybridMultilevel"/>
    <w:tmpl w:val="137AA6F4"/>
    <w:lvl w:ilvl="0" w:tplc="7308977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nsid w:val="6233050E"/>
    <w:multiLevelType w:val="hybridMultilevel"/>
    <w:tmpl w:val="39C24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38117A5"/>
    <w:multiLevelType w:val="hybridMultilevel"/>
    <w:tmpl w:val="9CFAAB5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3206EE9"/>
    <w:multiLevelType w:val="multilevel"/>
    <w:tmpl w:val="F70408D6"/>
    <w:lvl w:ilvl="0">
      <w:start w:val="1"/>
      <w:numFmt w:val="decimal"/>
      <w:pStyle w:val="Sub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7B483DE7"/>
    <w:multiLevelType w:val="hybridMultilevel"/>
    <w:tmpl w:val="57F6E304"/>
    <w:lvl w:ilvl="0" w:tplc="72A8F38E">
      <w:numFmt w:val="bullet"/>
      <w:lvlText w:val="-"/>
      <w:lvlJc w:val="left"/>
      <w:pPr>
        <w:tabs>
          <w:tab w:val="num" w:pos="720"/>
        </w:tabs>
        <w:ind w:left="720"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4"/>
  </w:num>
  <w:num w:numId="4">
    <w:abstractNumId w:val="5"/>
  </w:num>
  <w:num w:numId="5">
    <w:abstractNumId w:val="3"/>
  </w:num>
  <w:num w:numId="6">
    <w:abstractNumId w:val="6"/>
  </w:num>
  <w:num w:numId="7">
    <w:abstractNumId w:val="8"/>
  </w:num>
  <w:num w:numId="8">
    <w:abstractNumId w:val="7"/>
  </w:num>
  <w:num w:numId="9">
    <w:abstractNumId w:val="10"/>
  </w:num>
  <w:num w:numId="10">
    <w:abstractNumId w:val="0"/>
  </w:num>
  <w:num w:numId="11">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8"/>
  <w:defaultTabStop w:val="720"/>
  <w:noPunctuationKerning/>
  <w:characterSpacingControl w:val="doNotCompress"/>
  <w:savePreviewPicture/>
  <w:hdrShapeDefaults>
    <o:shapedefaults v:ext="edit" spidmax="30721"/>
  </w:hdrShapeDefaults>
  <w:footnotePr>
    <w:footnote w:id="-1"/>
    <w:footnote w:id="0"/>
  </w:footnotePr>
  <w:endnotePr>
    <w:endnote w:id="-1"/>
    <w:endnote w:id="0"/>
  </w:endnotePr>
  <w:compat/>
  <w:rsids>
    <w:rsidRoot w:val="002F6D30"/>
    <w:rsid w:val="000011BE"/>
    <w:rsid w:val="00003A8B"/>
    <w:rsid w:val="00015F09"/>
    <w:rsid w:val="00017373"/>
    <w:rsid w:val="000201FC"/>
    <w:rsid w:val="0002436B"/>
    <w:rsid w:val="00031D27"/>
    <w:rsid w:val="00031F71"/>
    <w:rsid w:val="0003234F"/>
    <w:rsid w:val="00033759"/>
    <w:rsid w:val="000348F2"/>
    <w:rsid w:val="00040007"/>
    <w:rsid w:val="00041247"/>
    <w:rsid w:val="00041DB1"/>
    <w:rsid w:val="000428D4"/>
    <w:rsid w:val="00043592"/>
    <w:rsid w:val="0005009F"/>
    <w:rsid w:val="000616B4"/>
    <w:rsid w:val="00062D54"/>
    <w:rsid w:val="000725D8"/>
    <w:rsid w:val="00080941"/>
    <w:rsid w:val="0008312A"/>
    <w:rsid w:val="00084F65"/>
    <w:rsid w:val="000861D6"/>
    <w:rsid w:val="000A1245"/>
    <w:rsid w:val="000A236D"/>
    <w:rsid w:val="000A246A"/>
    <w:rsid w:val="000A54D8"/>
    <w:rsid w:val="000B78CA"/>
    <w:rsid w:val="000C2131"/>
    <w:rsid w:val="000C7569"/>
    <w:rsid w:val="000C7B1D"/>
    <w:rsid w:val="000D07B1"/>
    <w:rsid w:val="000D2492"/>
    <w:rsid w:val="000D58B7"/>
    <w:rsid w:val="000E3A77"/>
    <w:rsid w:val="000E7152"/>
    <w:rsid w:val="000F2178"/>
    <w:rsid w:val="000F2DC2"/>
    <w:rsid w:val="000F617E"/>
    <w:rsid w:val="000F715D"/>
    <w:rsid w:val="001073AD"/>
    <w:rsid w:val="00107988"/>
    <w:rsid w:val="00114260"/>
    <w:rsid w:val="001236BD"/>
    <w:rsid w:val="00123FD8"/>
    <w:rsid w:val="00124877"/>
    <w:rsid w:val="00143953"/>
    <w:rsid w:val="0015152E"/>
    <w:rsid w:val="00153A06"/>
    <w:rsid w:val="00157842"/>
    <w:rsid w:val="0016407F"/>
    <w:rsid w:val="00166142"/>
    <w:rsid w:val="001766D9"/>
    <w:rsid w:val="001767AE"/>
    <w:rsid w:val="00182866"/>
    <w:rsid w:val="00185E9C"/>
    <w:rsid w:val="001A7CBC"/>
    <w:rsid w:val="001B20E5"/>
    <w:rsid w:val="001B42EF"/>
    <w:rsid w:val="001B6A5C"/>
    <w:rsid w:val="001C22CE"/>
    <w:rsid w:val="001C4615"/>
    <w:rsid w:val="001D029C"/>
    <w:rsid w:val="001D25B1"/>
    <w:rsid w:val="001D42CC"/>
    <w:rsid w:val="001E08C6"/>
    <w:rsid w:val="001E124E"/>
    <w:rsid w:val="001F09EA"/>
    <w:rsid w:val="001F114E"/>
    <w:rsid w:val="001F1BB7"/>
    <w:rsid w:val="001F28A1"/>
    <w:rsid w:val="001F3CFA"/>
    <w:rsid w:val="001F6B13"/>
    <w:rsid w:val="00207BFA"/>
    <w:rsid w:val="002119EF"/>
    <w:rsid w:val="00212CE8"/>
    <w:rsid w:val="0021431D"/>
    <w:rsid w:val="0022236B"/>
    <w:rsid w:val="00222B3B"/>
    <w:rsid w:val="00226719"/>
    <w:rsid w:val="002308B3"/>
    <w:rsid w:val="002339D0"/>
    <w:rsid w:val="00236C65"/>
    <w:rsid w:val="00242210"/>
    <w:rsid w:val="002501D2"/>
    <w:rsid w:val="00250C71"/>
    <w:rsid w:val="0025158A"/>
    <w:rsid w:val="00251D14"/>
    <w:rsid w:val="002539D6"/>
    <w:rsid w:val="00267D02"/>
    <w:rsid w:val="00273191"/>
    <w:rsid w:val="00273323"/>
    <w:rsid w:val="00274B86"/>
    <w:rsid w:val="00276339"/>
    <w:rsid w:val="0027719F"/>
    <w:rsid w:val="002778AF"/>
    <w:rsid w:val="00280BCD"/>
    <w:rsid w:val="00282752"/>
    <w:rsid w:val="0028402C"/>
    <w:rsid w:val="00294107"/>
    <w:rsid w:val="002A0D0C"/>
    <w:rsid w:val="002A1DDC"/>
    <w:rsid w:val="002A2177"/>
    <w:rsid w:val="002A642E"/>
    <w:rsid w:val="002A64BE"/>
    <w:rsid w:val="002A77C0"/>
    <w:rsid w:val="002B20B5"/>
    <w:rsid w:val="002B5A09"/>
    <w:rsid w:val="002C204B"/>
    <w:rsid w:val="002C6DAB"/>
    <w:rsid w:val="002C6FB5"/>
    <w:rsid w:val="002F03EA"/>
    <w:rsid w:val="002F6D30"/>
    <w:rsid w:val="0030549A"/>
    <w:rsid w:val="0030552C"/>
    <w:rsid w:val="0030588F"/>
    <w:rsid w:val="00310FF7"/>
    <w:rsid w:val="003147C7"/>
    <w:rsid w:val="00314F7C"/>
    <w:rsid w:val="00316BA2"/>
    <w:rsid w:val="00321345"/>
    <w:rsid w:val="00321F8A"/>
    <w:rsid w:val="0032374A"/>
    <w:rsid w:val="00323F6E"/>
    <w:rsid w:val="00324F67"/>
    <w:rsid w:val="00326514"/>
    <w:rsid w:val="00342C35"/>
    <w:rsid w:val="0035443A"/>
    <w:rsid w:val="00354C99"/>
    <w:rsid w:val="00362F4B"/>
    <w:rsid w:val="00365754"/>
    <w:rsid w:val="003661E9"/>
    <w:rsid w:val="00367B90"/>
    <w:rsid w:val="003720A0"/>
    <w:rsid w:val="00373982"/>
    <w:rsid w:val="003747F5"/>
    <w:rsid w:val="0037657A"/>
    <w:rsid w:val="00377083"/>
    <w:rsid w:val="00384CF9"/>
    <w:rsid w:val="0038742D"/>
    <w:rsid w:val="003876D1"/>
    <w:rsid w:val="00390337"/>
    <w:rsid w:val="00395F09"/>
    <w:rsid w:val="003A2AA0"/>
    <w:rsid w:val="003A5490"/>
    <w:rsid w:val="003C1B6A"/>
    <w:rsid w:val="003C714B"/>
    <w:rsid w:val="003C772B"/>
    <w:rsid w:val="003D0F20"/>
    <w:rsid w:val="003D63C3"/>
    <w:rsid w:val="003E1D5A"/>
    <w:rsid w:val="003E2FC4"/>
    <w:rsid w:val="003E502D"/>
    <w:rsid w:val="003E55B7"/>
    <w:rsid w:val="003F051E"/>
    <w:rsid w:val="003F5873"/>
    <w:rsid w:val="004017C9"/>
    <w:rsid w:val="0040404B"/>
    <w:rsid w:val="004061C0"/>
    <w:rsid w:val="00413375"/>
    <w:rsid w:val="00413CDC"/>
    <w:rsid w:val="00414574"/>
    <w:rsid w:val="004174E9"/>
    <w:rsid w:val="00427DAA"/>
    <w:rsid w:val="00431D0F"/>
    <w:rsid w:val="00432AC9"/>
    <w:rsid w:val="00445B61"/>
    <w:rsid w:val="004575AB"/>
    <w:rsid w:val="00463725"/>
    <w:rsid w:val="00463A76"/>
    <w:rsid w:val="0047112D"/>
    <w:rsid w:val="00473F2C"/>
    <w:rsid w:val="00475D40"/>
    <w:rsid w:val="004816E8"/>
    <w:rsid w:val="00482132"/>
    <w:rsid w:val="00485B63"/>
    <w:rsid w:val="00491C3A"/>
    <w:rsid w:val="0049254E"/>
    <w:rsid w:val="00493286"/>
    <w:rsid w:val="00493F1B"/>
    <w:rsid w:val="004960D6"/>
    <w:rsid w:val="004A07CC"/>
    <w:rsid w:val="004A0A05"/>
    <w:rsid w:val="004A2949"/>
    <w:rsid w:val="004A5CD2"/>
    <w:rsid w:val="004C1545"/>
    <w:rsid w:val="004C2195"/>
    <w:rsid w:val="004C4973"/>
    <w:rsid w:val="004D3F21"/>
    <w:rsid w:val="004D4B85"/>
    <w:rsid w:val="004E0C8D"/>
    <w:rsid w:val="004E6D04"/>
    <w:rsid w:val="004F0A87"/>
    <w:rsid w:val="004F162C"/>
    <w:rsid w:val="004F17B5"/>
    <w:rsid w:val="004F450B"/>
    <w:rsid w:val="005035A8"/>
    <w:rsid w:val="00504ADB"/>
    <w:rsid w:val="00506A41"/>
    <w:rsid w:val="00512DED"/>
    <w:rsid w:val="00530F64"/>
    <w:rsid w:val="00531F4E"/>
    <w:rsid w:val="00534E27"/>
    <w:rsid w:val="005376A2"/>
    <w:rsid w:val="00541E25"/>
    <w:rsid w:val="00546BF0"/>
    <w:rsid w:val="0054723E"/>
    <w:rsid w:val="0055501E"/>
    <w:rsid w:val="0056350B"/>
    <w:rsid w:val="0056653A"/>
    <w:rsid w:val="00567054"/>
    <w:rsid w:val="00570D75"/>
    <w:rsid w:val="0057221C"/>
    <w:rsid w:val="00593B91"/>
    <w:rsid w:val="005A7715"/>
    <w:rsid w:val="005B31F9"/>
    <w:rsid w:val="005B6227"/>
    <w:rsid w:val="005B795D"/>
    <w:rsid w:val="005D44CF"/>
    <w:rsid w:val="005D70EE"/>
    <w:rsid w:val="005D76B9"/>
    <w:rsid w:val="005D78C0"/>
    <w:rsid w:val="005E42D1"/>
    <w:rsid w:val="005F2593"/>
    <w:rsid w:val="005F43B5"/>
    <w:rsid w:val="00607B0A"/>
    <w:rsid w:val="00610125"/>
    <w:rsid w:val="00610D22"/>
    <w:rsid w:val="00615942"/>
    <w:rsid w:val="006237DE"/>
    <w:rsid w:val="00631444"/>
    <w:rsid w:val="00633619"/>
    <w:rsid w:val="00635654"/>
    <w:rsid w:val="00636624"/>
    <w:rsid w:val="00646757"/>
    <w:rsid w:val="00651F9D"/>
    <w:rsid w:val="00654B3A"/>
    <w:rsid w:val="00662B36"/>
    <w:rsid w:val="006660BA"/>
    <w:rsid w:val="00676DD5"/>
    <w:rsid w:val="00676FFC"/>
    <w:rsid w:val="006819E9"/>
    <w:rsid w:val="00684159"/>
    <w:rsid w:val="00685DE2"/>
    <w:rsid w:val="00693EE7"/>
    <w:rsid w:val="006958B2"/>
    <w:rsid w:val="006A0CB1"/>
    <w:rsid w:val="006A0CC7"/>
    <w:rsid w:val="006A45DF"/>
    <w:rsid w:val="006A5E8B"/>
    <w:rsid w:val="006B12E3"/>
    <w:rsid w:val="006B1718"/>
    <w:rsid w:val="006B1AE9"/>
    <w:rsid w:val="006B1F0C"/>
    <w:rsid w:val="006B45A2"/>
    <w:rsid w:val="006B53A8"/>
    <w:rsid w:val="006C0556"/>
    <w:rsid w:val="006C14F8"/>
    <w:rsid w:val="006C2A3F"/>
    <w:rsid w:val="006C44DE"/>
    <w:rsid w:val="006D341E"/>
    <w:rsid w:val="006D75BA"/>
    <w:rsid w:val="006E04BE"/>
    <w:rsid w:val="006E27A3"/>
    <w:rsid w:val="006E4D21"/>
    <w:rsid w:val="006E6B16"/>
    <w:rsid w:val="006F28AB"/>
    <w:rsid w:val="006F42F4"/>
    <w:rsid w:val="006F63D8"/>
    <w:rsid w:val="006F6713"/>
    <w:rsid w:val="00710A5E"/>
    <w:rsid w:val="00722856"/>
    <w:rsid w:val="00722BA1"/>
    <w:rsid w:val="007321B0"/>
    <w:rsid w:val="0073501D"/>
    <w:rsid w:val="00736691"/>
    <w:rsid w:val="007367F4"/>
    <w:rsid w:val="00737786"/>
    <w:rsid w:val="0074348E"/>
    <w:rsid w:val="007447EB"/>
    <w:rsid w:val="0075056B"/>
    <w:rsid w:val="007556B3"/>
    <w:rsid w:val="007556F0"/>
    <w:rsid w:val="00757BD4"/>
    <w:rsid w:val="007623E2"/>
    <w:rsid w:val="007740F8"/>
    <w:rsid w:val="00780A40"/>
    <w:rsid w:val="00781518"/>
    <w:rsid w:val="0078451E"/>
    <w:rsid w:val="00785280"/>
    <w:rsid w:val="007865D0"/>
    <w:rsid w:val="007A2AB8"/>
    <w:rsid w:val="007A2B8D"/>
    <w:rsid w:val="007A42D9"/>
    <w:rsid w:val="007C05C6"/>
    <w:rsid w:val="007C10E9"/>
    <w:rsid w:val="007C2462"/>
    <w:rsid w:val="007C2486"/>
    <w:rsid w:val="007D0E69"/>
    <w:rsid w:val="007E3141"/>
    <w:rsid w:val="007E4E6D"/>
    <w:rsid w:val="007F2769"/>
    <w:rsid w:val="007F4E29"/>
    <w:rsid w:val="007F6552"/>
    <w:rsid w:val="00801EBD"/>
    <w:rsid w:val="0080232D"/>
    <w:rsid w:val="00802980"/>
    <w:rsid w:val="00802D6B"/>
    <w:rsid w:val="00803405"/>
    <w:rsid w:val="0081513A"/>
    <w:rsid w:val="00815690"/>
    <w:rsid w:val="0081677C"/>
    <w:rsid w:val="00836282"/>
    <w:rsid w:val="00843B3D"/>
    <w:rsid w:val="0084679D"/>
    <w:rsid w:val="00852E58"/>
    <w:rsid w:val="0085683F"/>
    <w:rsid w:val="008653D0"/>
    <w:rsid w:val="008866C8"/>
    <w:rsid w:val="00891131"/>
    <w:rsid w:val="00891336"/>
    <w:rsid w:val="00891B5F"/>
    <w:rsid w:val="00894500"/>
    <w:rsid w:val="00895259"/>
    <w:rsid w:val="00896DFC"/>
    <w:rsid w:val="008A1376"/>
    <w:rsid w:val="008A38DA"/>
    <w:rsid w:val="008A7706"/>
    <w:rsid w:val="008C263C"/>
    <w:rsid w:val="008C28AE"/>
    <w:rsid w:val="008C503E"/>
    <w:rsid w:val="008C6526"/>
    <w:rsid w:val="008C79C1"/>
    <w:rsid w:val="008D1D45"/>
    <w:rsid w:val="008D2827"/>
    <w:rsid w:val="008D3107"/>
    <w:rsid w:val="008D5FEA"/>
    <w:rsid w:val="008E2B7D"/>
    <w:rsid w:val="008E38A4"/>
    <w:rsid w:val="008E6B99"/>
    <w:rsid w:val="00907D7C"/>
    <w:rsid w:val="00943C9C"/>
    <w:rsid w:val="00946345"/>
    <w:rsid w:val="009500AB"/>
    <w:rsid w:val="00950E1B"/>
    <w:rsid w:val="009541DF"/>
    <w:rsid w:val="009558B8"/>
    <w:rsid w:val="00963756"/>
    <w:rsid w:val="009716C5"/>
    <w:rsid w:val="009801FC"/>
    <w:rsid w:val="00982C19"/>
    <w:rsid w:val="00983CB1"/>
    <w:rsid w:val="00984D55"/>
    <w:rsid w:val="00985866"/>
    <w:rsid w:val="009A2FD5"/>
    <w:rsid w:val="009A6B7F"/>
    <w:rsid w:val="009A7875"/>
    <w:rsid w:val="009B16C1"/>
    <w:rsid w:val="009B2955"/>
    <w:rsid w:val="009B3B6E"/>
    <w:rsid w:val="009B5516"/>
    <w:rsid w:val="009B738D"/>
    <w:rsid w:val="009D6C34"/>
    <w:rsid w:val="009E3370"/>
    <w:rsid w:val="009E5686"/>
    <w:rsid w:val="009E5987"/>
    <w:rsid w:val="009E5DD9"/>
    <w:rsid w:val="009F0E11"/>
    <w:rsid w:val="00A00687"/>
    <w:rsid w:val="00A06B5E"/>
    <w:rsid w:val="00A1236E"/>
    <w:rsid w:val="00A12AB0"/>
    <w:rsid w:val="00A14019"/>
    <w:rsid w:val="00A25E35"/>
    <w:rsid w:val="00A26BFF"/>
    <w:rsid w:val="00A40696"/>
    <w:rsid w:val="00A42DC4"/>
    <w:rsid w:val="00A5112D"/>
    <w:rsid w:val="00A517C2"/>
    <w:rsid w:val="00A52DAE"/>
    <w:rsid w:val="00A5532F"/>
    <w:rsid w:val="00A60ADF"/>
    <w:rsid w:val="00A63C01"/>
    <w:rsid w:val="00A65A16"/>
    <w:rsid w:val="00A71103"/>
    <w:rsid w:val="00A752F3"/>
    <w:rsid w:val="00A77C17"/>
    <w:rsid w:val="00A825FA"/>
    <w:rsid w:val="00A954C3"/>
    <w:rsid w:val="00A9670B"/>
    <w:rsid w:val="00AA5F87"/>
    <w:rsid w:val="00AB4F7A"/>
    <w:rsid w:val="00AB540A"/>
    <w:rsid w:val="00AB78B5"/>
    <w:rsid w:val="00AC10C0"/>
    <w:rsid w:val="00AC443D"/>
    <w:rsid w:val="00AC7E6E"/>
    <w:rsid w:val="00AD171F"/>
    <w:rsid w:val="00AD3463"/>
    <w:rsid w:val="00AE5629"/>
    <w:rsid w:val="00AF6349"/>
    <w:rsid w:val="00B031AA"/>
    <w:rsid w:val="00B06FA9"/>
    <w:rsid w:val="00B136D9"/>
    <w:rsid w:val="00B16792"/>
    <w:rsid w:val="00B173AB"/>
    <w:rsid w:val="00B25165"/>
    <w:rsid w:val="00B30502"/>
    <w:rsid w:val="00B322FC"/>
    <w:rsid w:val="00B3471A"/>
    <w:rsid w:val="00B42958"/>
    <w:rsid w:val="00B43DCF"/>
    <w:rsid w:val="00B50FE3"/>
    <w:rsid w:val="00B55525"/>
    <w:rsid w:val="00B55A7E"/>
    <w:rsid w:val="00B55FA7"/>
    <w:rsid w:val="00B57F33"/>
    <w:rsid w:val="00B67B45"/>
    <w:rsid w:val="00B729F9"/>
    <w:rsid w:val="00B75823"/>
    <w:rsid w:val="00B823BE"/>
    <w:rsid w:val="00B86884"/>
    <w:rsid w:val="00B91F92"/>
    <w:rsid w:val="00BA237C"/>
    <w:rsid w:val="00BA7609"/>
    <w:rsid w:val="00BB44DF"/>
    <w:rsid w:val="00BD1856"/>
    <w:rsid w:val="00BF0D42"/>
    <w:rsid w:val="00BF3BEF"/>
    <w:rsid w:val="00BF50C7"/>
    <w:rsid w:val="00C055EF"/>
    <w:rsid w:val="00C072F5"/>
    <w:rsid w:val="00C10379"/>
    <w:rsid w:val="00C10F71"/>
    <w:rsid w:val="00C11C18"/>
    <w:rsid w:val="00C20607"/>
    <w:rsid w:val="00C24EF8"/>
    <w:rsid w:val="00C30615"/>
    <w:rsid w:val="00C327FD"/>
    <w:rsid w:val="00C371D4"/>
    <w:rsid w:val="00C4020E"/>
    <w:rsid w:val="00C40DB2"/>
    <w:rsid w:val="00C44F7A"/>
    <w:rsid w:val="00C45238"/>
    <w:rsid w:val="00C50EEB"/>
    <w:rsid w:val="00C61242"/>
    <w:rsid w:val="00C62008"/>
    <w:rsid w:val="00C637AD"/>
    <w:rsid w:val="00C64B73"/>
    <w:rsid w:val="00C65D7F"/>
    <w:rsid w:val="00C77C6D"/>
    <w:rsid w:val="00C8440F"/>
    <w:rsid w:val="00C86694"/>
    <w:rsid w:val="00C9317F"/>
    <w:rsid w:val="00C96215"/>
    <w:rsid w:val="00CA1A95"/>
    <w:rsid w:val="00CA3E10"/>
    <w:rsid w:val="00CC6A15"/>
    <w:rsid w:val="00CD0AB7"/>
    <w:rsid w:val="00CD4AB6"/>
    <w:rsid w:val="00CE4A84"/>
    <w:rsid w:val="00CE4EB9"/>
    <w:rsid w:val="00CF2368"/>
    <w:rsid w:val="00D000AA"/>
    <w:rsid w:val="00D02BE0"/>
    <w:rsid w:val="00D04A44"/>
    <w:rsid w:val="00D05853"/>
    <w:rsid w:val="00D107BB"/>
    <w:rsid w:val="00D10F5C"/>
    <w:rsid w:val="00D21376"/>
    <w:rsid w:val="00D27CE4"/>
    <w:rsid w:val="00D4130E"/>
    <w:rsid w:val="00D445F6"/>
    <w:rsid w:val="00D622C1"/>
    <w:rsid w:val="00D873C2"/>
    <w:rsid w:val="00D87DD3"/>
    <w:rsid w:val="00D91CA6"/>
    <w:rsid w:val="00D93C20"/>
    <w:rsid w:val="00D958B1"/>
    <w:rsid w:val="00DA023C"/>
    <w:rsid w:val="00DC173E"/>
    <w:rsid w:val="00DC2A5B"/>
    <w:rsid w:val="00DC306F"/>
    <w:rsid w:val="00DC3C20"/>
    <w:rsid w:val="00DC6809"/>
    <w:rsid w:val="00DD2803"/>
    <w:rsid w:val="00DD3197"/>
    <w:rsid w:val="00DD3965"/>
    <w:rsid w:val="00E00741"/>
    <w:rsid w:val="00E0095A"/>
    <w:rsid w:val="00E11227"/>
    <w:rsid w:val="00E11DD2"/>
    <w:rsid w:val="00E14061"/>
    <w:rsid w:val="00E16CE1"/>
    <w:rsid w:val="00E175F8"/>
    <w:rsid w:val="00E25452"/>
    <w:rsid w:val="00E362F1"/>
    <w:rsid w:val="00E37C92"/>
    <w:rsid w:val="00E515E2"/>
    <w:rsid w:val="00E51B55"/>
    <w:rsid w:val="00E56783"/>
    <w:rsid w:val="00E60460"/>
    <w:rsid w:val="00E62983"/>
    <w:rsid w:val="00E65B87"/>
    <w:rsid w:val="00E66E9C"/>
    <w:rsid w:val="00E67EAE"/>
    <w:rsid w:val="00E72616"/>
    <w:rsid w:val="00E758BA"/>
    <w:rsid w:val="00E75F7B"/>
    <w:rsid w:val="00E76113"/>
    <w:rsid w:val="00E80D4C"/>
    <w:rsid w:val="00E842F1"/>
    <w:rsid w:val="00E91601"/>
    <w:rsid w:val="00E945A8"/>
    <w:rsid w:val="00E9500B"/>
    <w:rsid w:val="00E96417"/>
    <w:rsid w:val="00EA31E6"/>
    <w:rsid w:val="00EB2313"/>
    <w:rsid w:val="00EB2A98"/>
    <w:rsid w:val="00EB2B07"/>
    <w:rsid w:val="00EB5782"/>
    <w:rsid w:val="00EC3CDC"/>
    <w:rsid w:val="00EC488B"/>
    <w:rsid w:val="00ED3ABD"/>
    <w:rsid w:val="00ED3E91"/>
    <w:rsid w:val="00ED41D8"/>
    <w:rsid w:val="00ED5A4B"/>
    <w:rsid w:val="00EE0533"/>
    <w:rsid w:val="00EE2381"/>
    <w:rsid w:val="00EE45CE"/>
    <w:rsid w:val="00EF5F3B"/>
    <w:rsid w:val="00EF6F14"/>
    <w:rsid w:val="00F02162"/>
    <w:rsid w:val="00F038B3"/>
    <w:rsid w:val="00F05F77"/>
    <w:rsid w:val="00F12D21"/>
    <w:rsid w:val="00F14CB9"/>
    <w:rsid w:val="00F2058C"/>
    <w:rsid w:val="00F22E41"/>
    <w:rsid w:val="00F2346C"/>
    <w:rsid w:val="00F24BE3"/>
    <w:rsid w:val="00F45EA4"/>
    <w:rsid w:val="00F46354"/>
    <w:rsid w:val="00F547AF"/>
    <w:rsid w:val="00F54AC8"/>
    <w:rsid w:val="00F550B2"/>
    <w:rsid w:val="00F70450"/>
    <w:rsid w:val="00F7583E"/>
    <w:rsid w:val="00F76FDC"/>
    <w:rsid w:val="00F810A6"/>
    <w:rsid w:val="00F8374A"/>
    <w:rsid w:val="00F9421E"/>
    <w:rsid w:val="00F973BD"/>
    <w:rsid w:val="00F976B2"/>
    <w:rsid w:val="00FA5EA5"/>
    <w:rsid w:val="00FC4C6B"/>
    <w:rsid w:val="00FC5444"/>
    <w:rsid w:val="00FE1AB8"/>
    <w:rsid w:val="00FE66FC"/>
    <w:rsid w:val="00FE783F"/>
    <w:rsid w:val="00FF30F5"/>
    <w:rsid w:val="00FF41B5"/>
    <w:rsid w:val="00FF5A9E"/>
    <w:rsid w:val="00FF6B1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8A4"/>
    <w:rPr>
      <w:sz w:val="24"/>
      <w:szCs w:val="24"/>
    </w:rPr>
  </w:style>
  <w:style w:type="paragraph" w:styleId="Heading1">
    <w:name w:val="heading 1"/>
    <w:next w:val="Bodycopy"/>
    <w:link w:val="Heading1Char"/>
    <w:uiPriority w:val="9"/>
    <w:qFormat/>
    <w:rsid w:val="002A642E"/>
    <w:pPr>
      <w:keepNext/>
      <w:numPr>
        <w:numId w:val="3"/>
      </w:numPr>
      <w:spacing w:before="240" w:after="60"/>
      <w:outlineLvl w:val="0"/>
    </w:pPr>
    <w:rPr>
      <w:rFonts w:ascii="Arial" w:hAnsi="Arial"/>
      <w:bCs/>
      <w:color w:val="800080"/>
      <w:kern w:val="32"/>
      <w:sz w:val="36"/>
      <w:szCs w:val="32"/>
    </w:rPr>
  </w:style>
  <w:style w:type="paragraph" w:styleId="Heading2">
    <w:name w:val="heading 2"/>
    <w:basedOn w:val="Normal"/>
    <w:next w:val="Normal"/>
    <w:qFormat/>
    <w:rsid w:val="002A642E"/>
    <w:pPr>
      <w:keepNext/>
      <w:numPr>
        <w:ilvl w:val="1"/>
        <w:numId w:val="3"/>
      </w:numPr>
      <w:spacing w:before="240" w:after="60"/>
      <w:outlineLvl w:val="1"/>
    </w:pPr>
    <w:rPr>
      <w:rFonts w:ascii="Arial" w:hAnsi="Arial" w:cs="Arial"/>
      <w:b/>
      <w:bCs/>
      <w:i/>
      <w:iCs/>
      <w:color w:val="800080"/>
      <w:sz w:val="28"/>
      <w:szCs w:val="28"/>
    </w:rPr>
  </w:style>
  <w:style w:type="paragraph" w:styleId="Heading3">
    <w:name w:val="heading 3"/>
    <w:basedOn w:val="Normal"/>
    <w:next w:val="Normal"/>
    <w:qFormat/>
    <w:rsid w:val="002A642E"/>
    <w:pPr>
      <w:keepNext/>
      <w:numPr>
        <w:ilvl w:val="2"/>
        <w:numId w:val="3"/>
      </w:numPr>
      <w:spacing w:before="240" w:after="60"/>
      <w:outlineLvl w:val="2"/>
    </w:pPr>
    <w:rPr>
      <w:rFonts w:ascii="Arial" w:hAnsi="Arial" w:cs="Arial"/>
      <w:b/>
      <w:bCs/>
      <w:color w:val="800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42E"/>
    <w:rPr>
      <w:rFonts w:ascii="Arial" w:hAnsi="Arial"/>
      <w:bCs/>
      <w:color w:val="800080"/>
      <w:kern w:val="32"/>
      <w:sz w:val="36"/>
      <w:szCs w:val="32"/>
    </w:rPr>
  </w:style>
  <w:style w:type="paragraph" w:styleId="BalloonText">
    <w:name w:val="Balloon Text"/>
    <w:basedOn w:val="Normal"/>
    <w:link w:val="BalloonTextChar"/>
    <w:uiPriority w:val="99"/>
    <w:semiHidden/>
    <w:unhideWhenUsed/>
    <w:rsid w:val="00DD3197"/>
    <w:rPr>
      <w:rFonts w:ascii="Tahoma" w:hAnsi="Tahoma" w:cs="Tahoma"/>
      <w:sz w:val="16"/>
      <w:szCs w:val="16"/>
    </w:rPr>
  </w:style>
  <w:style w:type="character" w:customStyle="1" w:styleId="BalloonTextChar">
    <w:name w:val="Balloon Text Char"/>
    <w:basedOn w:val="DefaultParagraphFont"/>
    <w:link w:val="BalloonText"/>
    <w:uiPriority w:val="99"/>
    <w:semiHidden/>
    <w:rsid w:val="00DD3197"/>
    <w:rPr>
      <w:rFonts w:ascii="Tahoma" w:hAnsi="Tahoma" w:cs="Tahoma"/>
      <w:sz w:val="16"/>
      <w:szCs w:val="16"/>
    </w:rPr>
  </w:style>
  <w:style w:type="paragraph" w:styleId="Header">
    <w:name w:val="header"/>
    <w:basedOn w:val="Normal"/>
    <w:link w:val="HeaderChar"/>
    <w:uiPriority w:val="99"/>
    <w:unhideWhenUsed/>
    <w:rsid w:val="0075056B"/>
    <w:pPr>
      <w:tabs>
        <w:tab w:val="center" w:pos="4513"/>
        <w:tab w:val="right" w:pos="9026"/>
      </w:tabs>
    </w:pPr>
  </w:style>
  <w:style w:type="character" w:customStyle="1" w:styleId="HeaderChar">
    <w:name w:val="Header Char"/>
    <w:basedOn w:val="DefaultParagraphFont"/>
    <w:link w:val="Header"/>
    <w:uiPriority w:val="99"/>
    <w:rsid w:val="0075056B"/>
    <w:rPr>
      <w:sz w:val="24"/>
      <w:szCs w:val="24"/>
    </w:rPr>
  </w:style>
  <w:style w:type="paragraph" w:styleId="Footer">
    <w:name w:val="footer"/>
    <w:basedOn w:val="Normal"/>
    <w:link w:val="FooterChar"/>
    <w:uiPriority w:val="99"/>
    <w:unhideWhenUsed/>
    <w:rsid w:val="00C11C18"/>
    <w:pPr>
      <w:tabs>
        <w:tab w:val="center" w:pos="4513"/>
        <w:tab w:val="right" w:pos="9026"/>
      </w:tabs>
    </w:pPr>
  </w:style>
  <w:style w:type="character" w:customStyle="1" w:styleId="FooterChar">
    <w:name w:val="Footer Char"/>
    <w:basedOn w:val="DefaultParagraphFont"/>
    <w:link w:val="Footer"/>
    <w:uiPriority w:val="99"/>
    <w:rsid w:val="008E38A4"/>
    <w:rPr>
      <w:sz w:val="24"/>
      <w:szCs w:val="24"/>
    </w:rPr>
  </w:style>
  <w:style w:type="paragraph" w:customStyle="1" w:styleId="Bodycopy">
    <w:name w:val="Body copy"/>
    <w:link w:val="BodycopyChar"/>
    <w:rsid w:val="00FE783F"/>
    <w:rPr>
      <w:rFonts w:ascii="Arial" w:hAnsi="Arial" w:cs="Arial"/>
      <w:sz w:val="24"/>
      <w:szCs w:val="24"/>
    </w:rPr>
  </w:style>
  <w:style w:type="paragraph" w:customStyle="1" w:styleId="Subheading3">
    <w:name w:val="Subheading 3"/>
    <w:next w:val="Bodycopy"/>
    <w:qFormat/>
    <w:rsid w:val="00C20607"/>
    <w:rPr>
      <w:rFonts w:ascii="Arial" w:hAnsi="Arial" w:cs="Arial"/>
      <w:b/>
      <w:color w:val="7030A0"/>
      <w:sz w:val="28"/>
      <w:szCs w:val="28"/>
    </w:rPr>
  </w:style>
  <w:style w:type="character" w:customStyle="1" w:styleId="BodycopyChar">
    <w:name w:val="Body copy Char"/>
    <w:basedOn w:val="DefaultParagraphFont"/>
    <w:link w:val="Bodycopy"/>
    <w:rsid w:val="00FE783F"/>
    <w:rPr>
      <w:rFonts w:ascii="Arial" w:hAnsi="Arial" w:cs="Arial"/>
      <w:sz w:val="24"/>
      <w:szCs w:val="24"/>
      <w:lang w:val="en-GB" w:eastAsia="en-GB" w:bidi="ar-SA"/>
    </w:rPr>
  </w:style>
  <w:style w:type="paragraph" w:customStyle="1" w:styleId="Subheading1">
    <w:name w:val="Subheading 1"/>
    <w:next w:val="Bodycopy"/>
    <w:qFormat/>
    <w:rsid w:val="002A642E"/>
    <w:pPr>
      <w:numPr>
        <w:numId w:val="2"/>
      </w:numPr>
    </w:pPr>
    <w:rPr>
      <w:rFonts w:ascii="Arial" w:hAnsi="Arial" w:cs="Arial"/>
      <w:color w:val="8F23B3"/>
      <w:sz w:val="32"/>
      <w:szCs w:val="32"/>
    </w:rPr>
  </w:style>
  <w:style w:type="paragraph" w:customStyle="1" w:styleId="Sectiontitle">
    <w:name w:val="Section title"/>
    <w:next w:val="Bodycopy"/>
    <w:qFormat/>
    <w:rsid w:val="002A642E"/>
    <w:pPr>
      <w:numPr>
        <w:numId w:val="1"/>
      </w:numPr>
    </w:pPr>
    <w:rPr>
      <w:rFonts w:ascii="Arial" w:hAnsi="Arial" w:cs="Arial"/>
      <w:color w:val="8F23B3"/>
      <w:sz w:val="40"/>
      <w:szCs w:val="52"/>
    </w:rPr>
  </w:style>
  <w:style w:type="paragraph" w:styleId="NormalWeb">
    <w:name w:val="Normal (Web)"/>
    <w:basedOn w:val="Normal"/>
    <w:uiPriority w:val="99"/>
    <w:semiHidden/>
    <w:unhideWhenUsed/>
    <w:rsid w:val="0005009F"/>
    <w:pPr>
      <w:spacing w:after="301" w:line="301" w:lineRule="atLeast"/>
      <w:jc w:val="both"/>
    </w:pPr>
  </w:style>
  <w:style w:type="table" w:styleId="TableGrid">
    <w:name w:val="Table Grid"/>
    <w:basedOn w:val="TableNormal"/>
    <w:uiPriority w:val="59"/>
    <w:rsid w:val="005B79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B795D"/>
    <w:rPr>
      <w:color w:val="0000FF"/>
      <w:u w:val="single"/>
    </w:rPr>
  </w:style>
  <w:style w:type="table" w:customStyle="1" w:styleId="Table">
    <w:name w:val="Table"/>
    <w:basedOn w:val="TableNormal"/>
    <w:uiPriority w:val="99"/>
    <w:rsid w:val="00040007"/>
    <w:rPr>
      <w:rFonts w:ascii="Arial" w:hAnsi="Arial"/>
    </w:rPr>
    <w:tblPr>
      <w:tblInd w:w="0" w:type="dxa"/>
      <w:tblBorders>
        <w:top w:val="single" w:sz="4" w:space="0" w:color="8F23B3"/>
        <w:left w:val="single" w:sz="4" w:space="0" w:color="8F23B3"/>
        <w:bottom w:val="single" w:sz="4" w:space="0" w:color="8F23B3"/>
        <w:right w:val="single" w:sz="4" w:space="0" w:color="8F23B3"/>
        <w:insideH w:val="single" w:sz="4" w:space="0" w:color="8F23B3"/>
        <w:insideV w:val="single" w:sz="4" w:space="0" w:color="8F23B3"/>
      </w:tblBorders>
      <w:tblCellMar>
        <w:top w:w="113" w:type="dxa"/>
        <w:left w:w="113" w:type="dxa"/>
        <w:bottom w:w="142" w:type="dxa"/>
        <w:right w:w="113" w:type="dxa"/>
      </w:tblCellMar>
    </w:tblPr>
    <w:tcPr>
      <w:shd w:val="clear" w:color="auto" w:fill="F4E9F7"/>
    </w:tcPr>
    <w:tblStylePr w:type="firstRow">
      <w:rPr>
        <w:b/>
        <w:color w:val="000000" w:themeColor="text1"/>
      </w:rPr>
      <w:tblPr/>
      <w:tcPr>
        <w:shd w:val="clear" w:color="auto" w:fill="D2A7E1"/>
      </w:tcPr>
    </w:tblStylePr>
  </w:style>
  <w:style w:type="paragraph" w:customStyle="1" w:styleId="Subheading2">
    <w:name w:val="Subheading 2"/>
    <w:basedOn w:val="Subheading1"/>
    <w:next w:val="Bodycopy"/>
    <w:rsid w:val="00C20607"/>
    <w:rPr>
      <w:b/>
      <w:bCs/>
      <w:color w:val="7030A0"/>
    </w:rPr>
  </w:style>
  <w:style w:type="paragraph" w:customStyle="1" w:styleId="Subheading4">
    <w:name w:val="Subheading 4"/>
    <w:basedOn w:val="Subheading1"/>
    <w:next w:val="Bodycopy"/>
    <w:rsid w:val="00C20607"/>
    <w:rPr>
      <w:b/>
      <w:color w:val="7030A0"/>
      <w:sz w:val="28"/>
      <w:szCs w:val="28"/>
    </w:rPr>
  </w:style>
  <w:style w:type="paragraph" w:styleId="CommentText">
    <w:name w:val="annotation text"/>
    <w:basedOn w:val="Normal"/>
    <w:link w:val="CommentTextChar"/>
    <w:semiHidden/>
    <w:rsid w:val="0002436B"/>
    <w:rPr>
      <w:sz w:val="20"/>
      <w:szCs w:val="20"/>
    </w:rPr>
  </w:style>
  <w:style w:type="paragraph" w:styleId="CommentSubject">
    <w:name w:val="annotation subject"/>
    <w:basedOn w:val="CommentText"/>
    <w:next w:val="CommentText"/>
    <w:semiHidden/>
    <w:rsid w:val="0002436B"/>
    <w:rPr>
      <w:b/>
      <w:bCs/>
    </w:rPr>
  </w:style>
  <w:style w:type="paragraph" w:styleId="FootnoteText">
    <w:name w:val="footnote text"/>
    <w:basedOn w:val="Normal"/>
    <w:semiHidden/>
    <w:rsid w:val="00485B63"/>
    <w:rPr>
      <w:sz w:val="20"/>
      <w:szCs w:val="20"/>
    </w:rPr>
  </w:style>
  <w:style w:type="character" w:styleId="FootnoteReference">
    <w:name w:val="footnote reference"/>
    <w:basedOn w:val="DefaultParagraphFont"/>
    <w:semiHidden/>
    <w:rsid w:val="00485B63"/>
    <w:rPr>
      <w:vertAlign w:val="superscript"/>
    </w:rPr>
  </w:style>
  <w:style w:type="paragraph" w:customStyle="1" w:styleId="StyleArial26ptBoldCustomColorRGB14335179Left07">
    <w:name w:val="Style Arial 26 pt Bold Custom Color(RGB(14335179)) Left:  0.7..."/>
    <w:basedOn w:val="Normal"/>
    <w:rsid w:val="002A642E"/>
    <w:pPr>
      <w:ind w:left="426"/>
    </w:pPr>
    <w:rPr>
      <w:rFonts w:ascii="Arial" w:hAnsi="Arial"/>
      <w:b/>
      <w:bCs/>
      <w:color w:val="8F23B3"/>
      <w:sz w:val="40"/>
      <w:szCs w:val="20"/>
    </w:rPr>
  </w:style>
  <w:style w:type="paragraph" w:customStyle="1" w:styleId="Body">
    <w:name w:val="Body"/>
    <w:rsid w:val="00801EB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customStyle="1" w:styleId="Footnote">
    <w:name w:val="Footnote"/>
    <w:rsid w:val="00801EB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hAnsi="Helvetica" w:cs="Helvetica"/>
      <w:color w:val="000000"/>
      <w:sz w:val="22"/>
      <w:szCs w:val="22"/>
    </w:rPr>
  </w:style>
  <w:style w:type="paragraph" w:customStyle="1" w:styleId="Default">
    <w:name w:val="Default"/>
    <w:rsid w:val="00801EB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hAnsi="Helvetica" w:cs="Helvetica"/>
      <w:color w:val="000000"/>
      <w:sz w:val="22"/>
      <w:szCs w:val="22"/>
    </w:rPr>
  </w:style>
  <w:style w:type="character" w:styleId="CommentReference">
    <w:name w:val="annotation reference"/>
    <w:basedOn w:val="DefaultParagraphFont"/>
    <w:semiHidden/>
    <w:rsid w:val="00801EBD"/>
    <w:rPr>
      <w:rFonts w:cs="Times New Roman"/>
      <w:sz w:val="16"/>
      <w:szCs w:val="16"/>
    </w:rPr>
  </w:style>
  <w:style w:type="character" w:styleId="PageNumber">
    <w:name w:val="page number"/>
    <w:basedOn w:val="DefaultParagraphFont"/>
    <w:rsid w:val="00736691"/>
  </w:style>
  <w:style w:type="paragraph" w:styleId="ListParagraph">
    <w:name w:val="List Paragraph"/>
    <w:basedOn w:val="Normal"/>
    <w:uiPriority w:val="34"/>
    <w:qFormat/>
    <w:rsid w:val="007556F0"/>
    <w:pPr>
      <w:spacing w:after="200" w:line="276" w:lineRule="auto"/>
      <w:ind w:left="720"/>
      <w:contextualSpacing/>
    </w:pPr>
    <w:rPr>
      <w:rFonts w:ascii="Calibri" w:eastAsia="Calibri" w:hAnsi="Calibri"/>
      <w:sz w:val="22"/>
      <w:szCs w:val="22"/>
      <w:lang w:eastAsia="en-US"/>
    </w:rPr>
  </w:style>
  <w:style w:type="paragraph" w:styleId="Title">
    <w:name w:val="Title"/>
    <w:basedOn w:val="Normal"/>
    <w:next w:val="Normal"/>
    <w:link w:val="TitleChar"/>
    <w:qFormat/>
    <w:rsid w:val="00B555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rsid w:val="00B55525"/>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CharChar1">
    <w:name w:val="Char Char1"/>
    <w:basedOn w:val="Normal"/>
    <w:rsid w:val="002778AF"/>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semiHidden/>
    <w:rsid w:val="00C327FD"/>
  </w:style>
  <w:style w:type="paragraph" w:styleId="BodyText">
    <w:name w:val="Body Text"/>
    <w:aliases w:val="Bullet copy"/>
    <w:basedOn w:val="Normal"/>
    <w:link w:val="BodyTextChar"/>
    <w:rsid w:val="006A5E8B"/>
    <w:pPr>
      <w:spacing w:before="60" w:after="60" w:line="300" w:lineRule="atLeast"/>
      <w:jc w:val="both"/>
    </w:pPr>
    <w:rPr>
      <w:rFonts w:ascii="Arial" w:hAnsi="Arial"/>
      <w:color w:val="000000"/>
      <w:szCs w:val="20"/>
      <w:lang w:eastAsia="en-US"/>
    </w:rPr>
  </w:style>
  <w:style w:type="character" w:customStyle="1" w:styleId="BodyTextChar">
    <w:name w:val="Body Text Char"/>
    <w:aliases w:val="Bullet copy Char"/>
    <w:basedOn w:val="DefaultParagraphFont"/>
    <w:link w:val="BodyText"/>
    <w:rsid w:val="006A5E8B"/>
    <w:rPr>
      <w:rFonts w:ascii="Arial" w:hAnsi="Arial"/>
      <w:color w:val="000000"/>
      <w:sz w:val="24"/>
      <w:lang w:eastAsia="en-US"/>
    </w:rPr>
  </w:style>
  <w:style w:type="character" w:customStyle="1" w:styleId="org">
    <w:name w:val="org"/>
    <w:basedOn w:val="DefaultParagraphFont"/>
    <w:rsid w:val="00C50EEB"/>
  </w:style>
  <w:style w:type="character" w:styleId="Strong">
    <w:name w:val="Strong"/>
    <w:basedOn w:val="DefaultParagraphFont"/>
    <w:uiPriority w:val="22"/>
    <w:qFormat/>
    <w:rsid w:val="00AD171F"/>
    <w:rPr>
      <w:b/>
      <w:bCs/>
    </w:rPr>
  </w:style>
  <w:style w:type="paragraph" w:customStyle="1" w:styleId="BoldHdngL1V1">
    <w:name w:val="BoldHdngL1V1"/>
    <w:basedOn w:val="Normal"/>
    <w:rsid w:val="008D2827"/>
    <w:pPr>
      <w:widowControl w:val="0"/>
    </w:pPr>
    <w:rPr>
      <w:b/>
      <w:snapToGrid w:val="0"/>
      <w:szCs w:val="20"/>
      <w:lang w:val="en-US" w:eastAsia="en-US"/>
    </w:rPr>
  </w:style>
  <w:style w:type="paragraph" w:styleId="ListBullet3">
    <w:name w:val="List Bullet 3"/>
    <w:basedOn w:val="Normal"/>
    <w:autoRedefine/>
    <w:semiHidden/>
    <w:rsid w:val="008D2827"/>
    <w:pPr>
      <w:numPr>
        <w:numId w:val="10"/>
      </w:numPr>
    </w:pPr>
    <w:rPr>
      <w:sz w:val="20"/>
      <w:szCs w:val="20"/>
      <w:lang w:val="en-US" w:eastAsia="en-US"/>
    </w:rPr>
  </w:style>
  <w:style w:type="paragraph" w:styleId="BlockText">
    <w:name w:val="Block Text"/>
    <w:basedOn w:val="Normal"/>
    <w:rsid w:val="008D2827"/>
    <w:pPr>
      <w:tabs>
        <w:tab w:val="left" w:pos="-1440"/>
        <w:tab w:val="left" w:pos="-720"/>
        <w:tab w:val="left" w:pos="0"/>
        <w:tab w:val="left" w:pos="45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spacing w:line="203" w:lineRule="auto"/>
      <w:ind w:left="450" w:right="8" w:hanging="450"/>
      <w:jc w:val="both"/>
    </w:pPr>
    <w:rPr>
      <w:szCs w:val="20"/>
      <w:lang w:eastAsia="en-US"/>
    </w:rPr>
  </w:style>
  <w:style w:type="paragraph" w:customStyle="1" w:styleId="BodyText1">
    <w:name w:val="Body Text1"/>
    <w:basedOn w:val="Normal"/>
    <w:rsid w:val="008D2827"/>
    <w:pPr>
      <w:spacing w:before="240" w:after="120"/>
      <w:ind w:firstLine="357"/>
    </w:pPr>
    <w:rPr>
      <w:rFonts w:ascii="Arial" w:hAnsi="Arial"/>
      <w:noProof/>
      <w:sz w:val="20"/>
      <w:szCs w:val="22"/>
      <w:lang w:val="en-US" w:eastAsia="en-US" w:bidi="en-US"/>
    </w:rPr>
  </w:style>
  <w:style w:type="paragraph" w:customStyle="1" w:styleId="Normal1">
    <w:name w:val="Normal1"/>
    <w:rsid w:val="003747F5"/>
    <w:rPr>
      <w:color w:val="000000"/>
      <w:sz w:val="24"/>
      <w:szCs w:val="24"/>
      <w:lang w:eastAsia="en-US"/>
    </w:rPr>
  </w:style>
  <w:style w:type="paragraph" w:customStyle="1" w:styleId="BasicParagraph">
    <w:name w:val="[Basic Paragraph]"/>
    <w:basedOn w:val="Normal"/>
    <w:uiPriority w:val="99"/>
    <w:rsid w:val="00062D54"/>
    <w:pPr>
      <w:widowControl w:val="0"/>
      <w:suppressAutoHyphens/>
      <w:autoSpaceDE w:val="0"/>
      <w:autoSpaceDN w:val="0"/>
      <w:adjustRightInd w:val="0"/>
      <w:spacing w:after="113" w:line="280" w:lineRule="atLeast"/>
    </w:pPr>
    <w:rPr>
      <w:rFonts w:ascii="FSAlbert-Light" w:eastAsia="Cambria" w:hAnsi="FSAlbert-Light" w:cs="FSAlbert-Light"/>
      <w:color w:val="000000"/>
      <w:sz w:val="22"/>
      <w:szCs w:val="22"/>
      <w:lang w:eastAsia="en-US"/>
    </w:rPr>
  </w:style>
</w:styles>
</file>

<file path=word/webSettings.xml><?xml version="1.0" encoding="utf-8"?>
<w:webSettings xmlns:r="http://schemas.openxmlformats.org/officeDocument/2006/relationships" xmlns:w="http://schemas.openxmlformats.org/wordprocessingml/2006/main">
  <w:divs>
    <w:div w:id="144778998">
      <w:bodyDiv w:val="1"/>
      <w:marLeft w:val="0"/>
      <w:marRight w:val="0"/>
      <w:marTop w:val="0"/>
      <w:marBottom w:val="0"/>
      <w:divBdr>
        <w:top w:val="none" w:sz="0" w:space="0" w:color="auto"/>
        <w:left w:val="none" w:sz="0" w:space="0" w:color="auto"/>
        <w:bottom w:val="none" w:sz="0" w:space="0" w:color="auto"/>
        <w:right w:val="none" w:sz="0" w:space="0" w:color="auto"/>
      </w:divBdr>
      <w:divsChild>
        <w:div w:id="1434398907">
          <w:marLeft w:val="0"/>
          <w:marRight w:val="0"/>
          <w:marTop w:val="0"/>
          <w:marBottom w:val="0"/>
          <w:divBdr>
            <w:top w:val="none" w:sz="0" w:space="0" w:color="auto"/>
            <w:left w:val="none" w:sz="0" w:space="0" w:color="auto"/>
            <w:bottom w:val="none" w:sz="0" w:space="0" w:color="auto"/>
            <w:right w:val="none" w:sz="0" w:space="0" w:color="auto"/>
          </w:divBdr>
          <w:divsChild>
            <w:div w:id="2049328619">
              <w:marLeft w:val="0"/>
              <w:marRight w:val="0"/>
              <w:marTop w:val="129"/>
              <w:marBottom w:val="0"/>
              <w:divBdr>
                <w:top w:val="single" w:sz="8" w:space="6" w:color="666666"/>
                <w:left w:val="none" w:sz="0" w:space="0" w:color="auto"/>
                <w:bottom w:val="none" w:sz="0" w:space="0" w:color="auto"/>
                <w:right w:val="none" w:sz="0" w:space="0" w:color="auto"/>
              </w:divBdr>
            </w:div>
          </w:divsChild>
        </w:div>
      </w:divsChild>
    </w:div>
    <w:div w:id="238053493">
      <w:bodyDiv w:val="1"/>
      <w:marLeft w:val="0"/>
      <w:marRight w:val="0"/>
      <w:marTop w:val="0"/>
      <w:marBottom w:val="0"/>
      <w:divBdr>
        <w:top w:val="none" w:sz="0" w:space="0" w:color="auto"/>
        <w:left w:val="none" w:sz="0" w:space="0" w:color="auto"/>
        <w:bottom w:val="none" w:sz="0" w:space="0" w:color="auto"/>
        <w:right w:val="none" w:sz="0" w:space="0" w:color="auto"/>
      </w:divBdr>
    </w:div>
    <w:div w:id="384717314">
      <w:bodyDiv w:val="1"/>
      <w:marLeft w:val="0"/>
      <w:marRight w:val="0"/>
      <w:marTop w:val="0"/>
      <w:marBottom w:val="0"/>
      <w:divBdr>
        <w:top w:val="none" w:sz="0" w:space="0" w:color="auto"/>
        <w:left w:val="none" w:sz="0" w:space="0" w:color="auto"/>
        <w:bottom w:val="none" w:sz="0" w:space="0" w:color="auto"/>
        <w:right w:val="none" w:sz="0" w:space="0" w:color="auto"/>
      </w:divBdr>
    </w:div>
    <w:div w:id="418798534">
      <w:bodyDiv w:val="1"/>
      <w:marLeft w:val="0"/>
      <w:marRight w:val="0"/>
      <w:marTop w:val="0"/>
      <w:marBottom w:val="0"/>
      <w:divBdr>
        <w:top w:val="none" w:sz="0" w:space="0" w:color="auto"/>
        <w:left w:val="none" w:sz="0" w:space="0" w:color="auto"/>
        <w:bottom w:val="none" w:sz="0" w:space="0" w:color="auto"/>
        <w:right w:val="none" w:sz="0" w:space="0" w:color="auto"/>
      </w:divBdr>
    </w:div>
    <w:div w:id="804354716">
      <w:bodyDiv w:val="1"/>
      <w:marLeft w:val="0"/>
      <w:marRight w:val="0"/>
      <w:marTop w:val="0"/>
      <w:marBottom w:val="0"/>
      <w:divBdr>
        <w:top w:val="none" w:sz="0" w:space="0" w:color="auto"/>
        <w:left w:val="none" w:sz="0" w:space="0" w:color="auto"/>
        <w:bottom w:val="none" w:sz="0" w:space="0" w:color="auto"/>
        <w:right w:val="none" w:sz="0" w:space="0" w:color="auto"/>
      </w:divBdr>
    </w:div>
    <w:div w:id="1127089149">
      <w:bodyDiv w:val="1"/>
      <w:marLeft w:val="0"/>
      <w:marRight w:val="0"/>
      <w:marTop w:val="0"/>
      <w:marBottom w:val="0"/>
      <w:divBdr>
        <w:top w:val="none" w:sz="0" w:space="0" w:color="auto"/>
        <w:left w:val="none" w:sz="0" w:space="0" w:color="auto"/>
        <w:bottom w:val="none" w:sz="0" w:space="0" w:color="auto"/>
        <w:right w:val="none" w:sz="0" w:space="0" w:color="auto"/>
      </w:divBdr>
    </w:div>
    <w:div w:id="1724670514">
      <w:bodyDiv w:val="1"/>
      <w:marLeft w:val="0"/>
      <w:marRight w:val="0"/>
      <w:marTop w:val="64"/>
      <w:marBottom w:val="64"/>
      <w:divBdr>
        <w:top w:val="none" w:sz="0" w:space="0" w:color="auto"/>
        <w:left w:val="none" w:sz="0" w:space="0" w:color="auto"/>
        <w:bottom w:val="none" w:sz="0" w:space="0" w:color="auto"/>
        <w:right w:val="none" w:sz="0" w:space="0" w:color="auto"/>
      </w:divBdr>
      <w:divsChild>
        <w:div w:id="1170868901">
          <w:marLeft w:val="0"/>
          <w:marRight w:val="0"/>
          <w:marTop w:val="0"/>
          <w:marBottom w:val="0"/>
          <w:divBdr>
            <w:top w:val="none" w:sz="0" w:space="0" w:color="auto"/>
            <w:left w:val="none" w:sz="0" w:space="0" w:color="auto"/>
            <w:bottom w:val="none" w:sz="0" w:space="0" w:color="auto"/>
            <w:right w:val="none" w:sz="0" w:space="0" w:color="auto"/>
          </w:divBdr>
          <w:divsChild>
            <w:div w:id="593896956">
              <w:marLeft w:val="0"/>
              <w:marRight w:val="0"/>
              <w:marTop w:val="0"/>
              <w:marBottom w:val="0"/>
              <w:divBdr>
                <w:top w:val="none" w:sz="0" w:space="0" w:color="auto"/>
                <w:left w:val="none" w:sz="0" w:space="0" w:color="auto"/>
                <w:bottom w:val="none" w:sz="0" w:space="0" w:color="auto"/>
                <w:right w:val="none" w:sz="0" w:space="0" w:color="auto"/>
              </w:divBdr>
              <w:divsChild>
                <w:div w:id="158620352">
                  <w:marLeft w:val="0"/>
                  <w:marRight w:val="0"/>
                  <w:marTop w:val="0"/>
                  <w:marBottom w:val="0"/>
                  <w:divBdr>
                    <w:top w:val="none" w:sz="0" w:space="0" w:color="auto"/>
                    <w:left w:val="none" w:sz="0" w:space="0" w:color="auto"/>
                    <w:bottom w:val="none" w:sz="0" w:space="0" w:color="auto"/>
                    <w:right w:val="none" w:sz="0" w:space="0" w:color="auto"/>
                  </w:divBdr>
                  <w:divsChild>
                    <w:div w:id="734475718">
                      <w:marLeft w:val="0"/>
                      <w:marRight w:val="0"/>
                      <w:marTop w:val="559"/>
                      <w:marBottom w:val="0"/>
                      <w:divBdr>
                        <w:top w:val="none" w:sz="0" w:space="0" w:color="auto"/>
                        <w:left w:val="none" w:sz="0" w:space="0" w:color="auto"/>
                        <w:bottom w:val="none" w:sz="0" w:space="0" w:color="auto"/>
                        <w:right w:val="none" w:sz="0" w:space="0" w:color="auto"/>
                      </w:divBdr>
                      <w:divsChild>
                        <w:div w:id="1361543105">
                          <w:marLeft w:val="4556"/>
                          <w:marRight w:val="5459"/>
                          <w:marTop w:val="0"/>
                          <w:marBottom w:val="0"/>
                          <w:divBdr>
                            <w:top w:val="none" w:sz="0" w:space="0" w:color="auto"/>
                            <w:left w:val="none" w:sz="0" w:space="0" w:color="auto"/>
                            <w:bottom w:val="none" w:sz="0" w:space="0" w:color="auto"/>
                            <w:right w:val="none" w:sz="0" w:space="0" w:color="auto"/>
                          </w:divBdr>
                          <w:divsChild>
                            <w:div w:id="941260230">
                              <w:marLeft w:val="0"/>
                              <w:marRight w:val="0"/>
                              <w:marTop w:val="0"/>
                              <w:marBottom w:val="0"/>
                              <w:divBdr>
                                <w:top w:val="none" w:sz="0" w:space="0" w:color="auto"/>
                                <w:left w:val="none" w:sz="0" w:space="0" w:color="auto"/>
                                <w:bottom w:val="none" w:sz="0" w:space="0" w:color="auto"/>
                                <w:right w:val="none" w:sz="0" w:space="0" w:color="auto"/>
                              </w:divBdr>
                              <w:divsChild>
                                <w:div w:id="1149977403">
                                  <w:marLeft w:val="0"/>
                                  <w:marRight w:val="0"/>
                                  <w:marTop w:val="0"/>
                                  <w:marBottom w:val="0"/>
                                  <w:divBdr>
                                    <w:top w:val="none" w:sz="0" w:space="0" w:color="auto"/>
                                    <w:left w:val="none" w:sz="0" w:space="0" w:color="auto"/>
                                    <w:bottom w:val="none" w:sz="0" w:space="0" w:color="auto"/>
                                    <w:right w:val="none" w:sz="0" w:space="0" w:color="auto"/>
                                  </w:divBdr>
                                  <w:divsChild>
                                    <w:div w:id="958031357">
                                      <w:marLeft w:val="0"/>
                                      <w:marRight w:val="0"/>
                                      <w:marTop w:val="0"/>
                                      <w:marBottom w:val="0"/>
                                      <w:divBdr>
                                        <w:top w:val="none" w:sz="0" w:space="0" w:color="auto"/>
                                        <w:left w:val="none" w:sz="0" w:space="0" w:color="auto"/>
                                        <w:bottom w:val="none" w:sz="0" w:space="0" w:color="auto"/>
                                        <w:right w:val="none" w:sz="0" w:space="0" w:color="auto"/>
                                      </w:divBdr>
                                      <w:divsChild>
                                        <w:div w:id="835341539">
                                          <w:marLeft w:val="0"/>
                                          <w:marRight w:val="0"/>
                                          <w:marTop w:val="0"/>
                                          <w:marBottom w:val="0"/>
                                          <w:divBdr>
                                            <w:top w:val="none" w:sz="0" w:space="0" w:color="auto"/>
                                            <w:left w:val="none" w:sz="0" w:space="0" w:color="auto"/>
                                            <w:bottom w:val="none" w:sz="0" w:space="0" w:color="auto"/>
                                            <w:right w:val="none" w:sz="0" w:space="0" w:color="auto"/>
                                          </w:divBdr>
                                          <w:divsChild>
                                            <w:div w:id="1522549125">
                                              <w:marLeft w:val="0"/>
                                              <w:marRight w:val="0"/>
                                              <w:marTop w:val="0"/>
                                              <w:marBottom w:val="0"/>
                                              <w:divBdr>
                                                <w:top w:val="none" w:sz="0" w:space="0" w:color="auto"/>
                                                <w:left w:val="none" w:sz="0" w:space="0" w:color="auto"/>
                                                <w:bottom w:val="none" w:sz="0" w:space="0" w:color="auto"/>
                                                <w:right w:val="none" w:sz="0" w:space="0" w:color="auto"/>
                                              </w:divBdr>
                                              <w:divsChild>
                                                <w:div w:id="21353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0555">
                                          <w:marLeft w:val="0"/>
                                          <w:marRight w:val="0"/>
                                          <w:marTop w:val="0"/>
                                          <w:marBottom w:val="0"/>
                                          <w:divBdr>
                                            <w:top w:val="none" w:sz="0" w:space="0" w:color="auto"/>
                                            <w:left w:val="none" w:sz="0" w:space="0" w:color="auto"/>
                                            <w:bottom w:val="none" w:sz="0" w:space="0" w:color="auto"/>
                                            <w:right w:val="none" w:sz="0" w:space="0" w:color="auto"/>
                                          </w:divBdr>
                                          <w:divsChild>
                                            <w:div w:id="2011592257">
                                              <w:marLeft w:val="0"/>
                                              <w:marRight w:val="0"/>
                                              <w:marTop w:val="0"/>
                                              <w:marBottom w:val="0"/>
                                              <w:divBdr>
                                                <w:top w:val="none" w:sz="0" w:space="0" w:color="auto"/>
                                                <w:left w:val="none" w:sz="0" w:space="0" w:color="auto"/>
                                                <w:bottom w:val="none" w:sz="0" w:space="0" w:color="auto"/>
                                                <w:right w:val="none" w:sz="0" w:space="0" w:color="auto"/>
                                              </w:divBdr>
                                            </w:div>
                                          </w:divsChild>
                                        </w:div>
                                        <w:div w:id="1379086531">
                                          <w:marLeft w:val="0"/>
                                          <w:marRight w:val="0"/>
                                          <w:marTop w:val="0"/>
                                          <w:marBottom w:val="0"/>
                                          <w:divBdr>
                                            <w:top w:val="none" w:sz="0" w:space="0" w:color="auto"/>
                                            <w:left w:val="none" w:sz="0" w:space="0" w:color="auto"/>
                                            <w:bottom w:val="none" w:sz="0" w:space="0" w:color="auto"/>
                                            <w:right w:val="none" w:sz="0" w:space="0" w:color="auto"/>
                                          </w:divBdr>
                                          <w:divsChild>
                                            <w:div w:id="1533306115">
                                              <w:marLeft w:val="0"/>
                                              <w:marRight w:val="0"/>
                                              <w:marTop w:val="0"/>
                                              <w:marBottom w:val="0"/>
                                              <w:divBdr>
                                                <w:top w:val="none" w:sz="0" w:space="0" w:color="auto"/>
                                                <w:left w:val="none" w:sz="0" w:space="0" w:color="auto"/>
                                                <w:bottom w:val="none" w:sz="0" w:space="0" w:color="auto"/>
                                                <w:right w:val="none" w:sz="0" w:space="0" w:color="auto"/>
                                              </w:divBdr>
                                              <w:divsChild>
                                                <w:div w:id="10869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0EB76-F3E6-47B5-A7A9-A93E838D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2701</Words>
  <Characters>14602</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Main heading goes here</vt:lpstr>
      <vt:lpstr>August 2017 </vt:lpstr>
      <vt:lpstr>Requirements</vt:lpstr>
      <vt:lpstr>Budget</vt:lpstr>
      <vt:lpstr>Timetable</vt:lpstr>
      <vt:lpstr>INDICATIVE TIMETABLE</vt:lpstr>
      <vt:lpstr/>
      <vt:lpstr>By issuing this invitation the Authority is not bound in any way and does not ha</vt:lpstr>
      <vt:lpstr>Evaluation Criteria</vt:lpstr>
      <vt:lpstr>    Responses to the Technical Methodology question will be evaluated using the foll</vt:lpstr>
      <vt:lpstr>    </vt:lpstr>
      <vt:lpstr>    Scoring - Technical Methodology</vt:lpstr>
      <vt:lpstr>    </vt:lpstr>
      <vt:lpstr>    </vt:lpstr>
      <vt:lpstr>    </vt:lpstr>
      <vt:lpstr>    Responses to the Technical Competency question will be evaluated using the follo</vt:lpstr>
      <vt:lpstr>    </vt:lpstr>
      <vt:lpstr>    Scoring - Technical Competency</vt:lpstr>
      <vt:lpstr>    </vt:lpstr>
      <vt:lpstr>    The pricing formula to be applied to allocating scores shall be on an inverse pe</vt:lpstr>
      <vt:lpstr>Notes:</vt:lpstr>
      <vt:lpstr>Annex 1:</vt:lpstr>
    </vt:vector>
  </TitlesOfParts>
  <Company>National Police Improvement Agency</Company>
  <LinksUpToDate>false</LinksUpToDate>
  <CharactersWithSpaces>17269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 goes here</dc:title>
  <dc:creator>Philip Harris</dc:creator>
  <cp:lastModifiedBy>Amy Watkins</cp:lastModifiedBy>
  <cp:revision>3</cp:revision>
  <cp:lastPrinted>2017-08-16T09:43:00Z</cp:lastPrinted>
  <dcterms:created xsi:type="dcterms:W3CDTF">2017-08-17T14:35:00Z</dcterms:created>
  <dcterms:modified xsi:type="dcterms:W3CDTF">2017-08-17T14:48:00Z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