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3451" w14:textId="77777777" w:rsidR="0009145F" w:rsidRPr="00D71449" w:rsidRDefault="0009145F" w:rsidP="0009145F">
      <w:pPr>
        <w:spacing w:after="240" w:line="240" w:lineRule="auto"/>
        <w:jc w:val="both"/>
        <w:rPr>
          <w:rFonts w:ascii="Arial" w:hAnsi="Arial" w:cs="Arial"/>
          <w:b/>
        </w:rPr>
      </w:pPr>
      <w:r>
        <w:rPr>
          <w:rFonts w:ascii="Arial" w:hAnsi="Arial" w:cs="Arial"/>
          <w:b/>
          <w:bCs/>
        </w:rPr>
        <w:t xml:space="preserve">IT Enterprise Service Model Provision. </w:t>
      </w:r>
    </w:p>
    <w:p w14:paraId="6536C1DE" w14:textId="77777777" w:rsidR="0009145F" w:rsidRPr="00991F67" w:rsidRDefault="0009145F" w:rsidP="0009145F">
      <w:pPr>
        <w:spacing w:after="240" w:line="240" w:lineRule="auto"/>
        <w:jc w:val="both"/>
        <w:rPr>
          <w:rFonts w:ascii="Arial" w:hAnsi="Arial" w:cs="Arial"/>
          <w:b/>
          <w:bCs/>
        </w:rPr>
      </w:pPr>
      <w:r w:rsidRPr="00991F67">
        <w:rPr>
          <w:rFonts w:ascii="Arial" w:hAnsi="Arial" w:cs="Arial"/>
          <w:b/>
          <w:bCs/>
        </w:rPr>
        <w:t>Overview</w:t>
      </w:r>
    </w:p>
    <w:p w14:paraId="00B85591" w14:textId="77777777" w:rsidR="0009145F" w:rsidRDefault="0009145F" w:rsidP="0009145F">
      <w:pPr>
        <w:spacing w:after="240" w:line="240" w:lineRule="auto"/>
        <w:jc w:val="both"/>
        <w:rPr>
          <w:rFonts w:ascii="Arial" w:hAnsi="Arial" w:cs="Arial"/>
        </w:rPr>
      </w:pPr>
      <w:r w:rsidRPr="001476A9">
        <w:rPr>
          <w:rFonts w:ascii="Arial" w:hAnsi="Arial" w:cs="Arial"/>
        </w:rPr>
        <w:t xml:space="preserve">Given the challenges increasingly faced by Defence, with the need for agility and pace, a change in the way services are procured, delivered, and managed must be considered as a core element of capability. This market engagement event is an opportunity for the Authority to engage early with suppliers on emerging requirements for an IT Enterprise </w:t>
      </w:r>
      <w:r>
        <w:rPr>
          <w:rFonts w:ascii="Arial" w:hAnsi="Arial" w:cs="Arial"/>
        </w:rPr>
        <w:t>Service Model (ESM)</w:t>
      </w:r>
      <w:r w:rsidRPr="001476A9">
        <w:rPr>
          <w:rFonts w:ascii="Arial" w:hAnsi="Arial" w:cs="Arial"/>
        </w:rPr>
        <w:t xml:space="preserve"> and our procurement approach. </w:t>
      </w:r>
    </w:p>
    <w:p w14:paraId="3AB74F14" w14:textId="77777777" w:rsidR="0009145F" w:rsidRDefault="0009145F" w:rsidP="0009145F">
      <w:pPr>
        <w:spacing w:after="240" w:line="240" w:lineRule="auto"/>
        <w:jc w:val="both"/>
        <w:rPr>
          <w:rFonts w:ascii="Arial" w:hAnsi="Arial" w:cs="Arial"/>
          <w:b/>
          <w:bCs/>
        </w:rPr>
      </w:pPr>
      <w:r w:rsidRPr="001476A9">
        <w:rPr>
          <w:rFonts w:ascii="Arial" w:hAnsi="Arial" w:cs="Arial"/>
        </w:rPr>
        <w:t xml:space="preserve">The requirement is for support to a </w:t>
      </w:r>
      <w:r>
        <w:rPr>
          <w:rFonts w:ascii="Arial" w:hAnsi="Arial" w:cs="Arial"/>
        </w:rPr>
        <w:t>Ministry of Defence (</w:t>
      </w:r>
      <w:r w:rsidRPr="001476A9">
        <w:rPr>
          <w:rFonts w:ascii="Arial" w:hAnsi="Arial" w:cs="Arial"/>
        </w:rPr>
        <w:t>MOD</w:t>
      </w:r>
      <w:r>
        <w:rPr>
          <w:rFonts w:ascii="Arial" w:hAnsi="Arial" w:cs="Arial"/>
        </w:rPr>
        <w:t>)</w:t>
      </w:r>
      <w:r w:rsidRPr="001476A9">
        <w:rPr>
          <w:rFonts w:ascii="Arial" w:hAnsi="Arial" w:cs="Arial"/>
        </w:rPr>
        <w:t xml:space="preserve"> specialist user with operational demands that span the broadest and most complex requirements. This requires the ability to utilise, integrate, and operate technologies that provide significant advantages in the modern warfighting environment against all adversaries. The nature of this competitive edge requires industry partners to operate as part of a federated joint mission partner approach to maximise the effectiveness of the whole force, where technical risk is managed at the highest level. Operating in the SECRET Domain, the service will predominantly be UK based, but will operate globally. This creates opportunities for a combined problem centric approach to solving challenges at pace, experimenting with innovative solutions, as well as traditional support requirements</w:t>
      </w:r>
      <w:r w:rsidRPr="001476A9">
        <w:rPr>
          <w:rFonts w:ascii="Arial" w:hAnsi="Arial" w:cs="Arial"/>
          <w:b/>
          <w:bCs/>
        </w:rPr>
        <w:t>.</w:t>
      </w:r>
    </w:p>
    <w:p w14:paraId="25617CF9" w14:textId="77777777" w:rsidR="0009145F" w:rsidRDefault="0009145F" w:rsidP="0009145F">
      <w:pPr>
        <w:spacing w:after="240" w:line="240" w:lineRule="auto"/>
        <w:jc w:val="both"/>
        <w:rPr>
          <w:rFonts w:ascii="Arial" w:hAnsi="Arial" w:cs="Arial"/>
          <w:b/>
          <w:bCs/>
        </w:rPr>
      </w:pPr>
      <w:r>
        <w:rPr>
          <w:rFonts w:ascii="Arial" w:hAnsi="Arial" w:cs="Arial"/>
          <w:b/>
          <w:bCs/>
        </w:rPr>
        <w:t>Description</w:t>
      </w:r>
    </w:p>
    <w:p w14:paraId="28041F12" w14:textId="77777777" w:rsidR="0009145F" w:rsidRPr="00FF1C55" w:rsidRDefault="0009145F" w:rsidP="0009145F">
      <w:pPr>
        <w:spacing w:after="240" w:line="240" w:lineRule="auto"/>
        <w:jc w:val="both"/>
        <w:rPr>
          <w:rFonts w:ascii="Arial" w:hAnsi="Arial" w:cs="Arial"/>
        </w:rPr>
      </w:pPr>
      <w:r>
        <w:rPr>
          <w:rFonts w:ascii="Arial" w:hAnsi="Arial" w:cs="Arial"/>
        </w:rPr>
        <w:t>The Special Projects Information Systems &amp; Networks (</w:t>
      </w:r>
      <w:r w:rsidRPr="006E1265">
        <w:rPr>
          <w:rFonts w:ascii="Arial" w:hAnsi="Arial" w:cs="Arial"/>
        </w:rPr>
        <w:t>SPISN</w:t>
      </w:r>
      <w:r>
        <w:rPr>
          <w:rFonts w:ascii="Arial" w:hAnsi="Arial" w:cs="Arial"/>
        </w:rPr>
        <w:t>)</w:t>
      </w:r>
      <w:r w:rsidRPr="006E1265">
        <w:rPr>
          <w:rFonts w:ascii="Arial" w:hAnsi="Arial" w:cs="Arial"/>
        </w:rPr>
        <w:t xml:space="preserve"> Delivery Team (DT) are adopting Agile</w:t>
      </w:r>
      <w:r>
        <w:rPr>
          <w:rFonts w:ascii="Arial" w:hAnsi="Arial" w:cs="Arial"/>
        </w:rPr>
        <w:t xml:space="preserve"> working</w:t>
      </w:r>
      <w:r w:rsidRPr="006E1265">
        <w:rPr>
          <w:rFonts w:ascii="Arial" w:hAnsi="Arial" w:cs="Arial"/>
        </w:rPr>
        <w:t xml:space="preserve"> practises and moving towards an ESM as well as moving towards consuming services. </w:t>
      </w:r>
      <w:r>
        <w:rPr>
          <w:rStyle w:val="CommentReference"/>
          <w:rFonts w:ascii="Arial" w:hAnsi="Arial" w:cs="Arial"/>
          <w:sz w:val="22"/>
          <w:szCs w:val="22"/>
        </w:rPr>
        <w:t>T</w:t>
      </w:r>
      <w:r w:rsidRPr="006E1265">
        <w:rPr>
          <w:rFonts w:ascii="Arial" w:hAnsi="Arial" w:cs="Arial"/>
        </w:rPr>
        <w:t xml:space="preserve">he main aims are to deliver collaborative working </w:t>
      </w:r>
      <w:r>
        <w:rPr>
          <w:rFonts w:ascii="Arial" w:hAnsi="Arial" w:cs="Arial"/>
        </w:rPr>
        <w:t xml:space="preserve">across partners, to drive </w:t>
      </w:r>
      <w:r w:rsidRPr="006E1265">
        <w:rPr>
          <w:rFonts w:ascii="Arial" w:hAnsi="Arial" w:cs="Arial"/>
        </w:rPr>
        <w:t>improv</w:t>
      </w:r>
      <w:r>
        <w:rPr>
          <w:rFonts w:ascii="Arial" w:hAnsi="Arial" w:cs="Arial"/>
        </w:rPr>
        <w:t xml:space="preserve">ements across </w:t>
      </w:r>
      <w:r w:rsidRPr="006E1265">
        <w:rPr>
          <w:rFonts w:ascii="Arial" w:hAnsi="Arial" w:cs="Arial"/>
        </w:rPr>
        <w:t>user experience</w:t>
      </w:r>
      <w:r>
        <w:rPr>
          <w:rFonts w:ascii="Arial" w:hAnsi="Arial" w:cs="Arial"/>
        </w:rPr>
        <w:t xml:space="preserve"> and efficiency across the enterprise.</w:t>
      </w:r>
    </w:p>
    <w:p w14:paraId="4128BB5F" w14:textId="77777777" w:rsidR="0009145F" w:rsidRDefault="0009145F" w:rsidP="0009145F">
      <w:pPr>
        <w:spacing w:after="240" w:line="240" w:lineRule="auto"/>
        <w:contextualSpacing/>
        <w:jc w:val="both"/>
        <w:rPr>
          <w:rFonts w:ascii="Arial" w:hAnsi="Arial" w:cs="Arial"/>
        </w:rPr>
      </w:pPr>
      <w:r w:rsidRPr="00FF1C55">
        <w:rPr>
          <w:rFonts w:ascii="Arial" w:hAnsi="Arial" w:cs="Arial"/>
        </w:rPr>
        <w:t xml:space="preserve">The vision for ESM is </w:t>
      </w:r>
      <w:r>
        <w:rPr>
          <w:rFonts w:ascii="Arial" w:hAnsi="Arial" w:cs="Arial"/>
        </w:rPr>
        <w:t>t</w:t>
      </w:r>
      <w:r w:rsidRPr="00FF1C55">
        <w:rPr>
          <w:rFonts w:ascii="Arial" w:hAnsi="Arial" w:cs="Arial"/>
        </w:rPr>
        <w:t>he users of the service will become the central focus look</w:t>
      </w:r>
      <w:r>
        <w:rPr>
          <w:rFonts w:ascii="Arial" w:hAnsi="Arial" w:cs="Arial"/>
        </w:rPr>
        <w:t>ing</w:t>
      </w:r>
      <w:r w:rsidRPr="00FF1C55">
        <w:rPr>
          <w:rFonts w:ascii="Arial" w:hAnsi="Arial" w:cs="Arial"/>
        </w:rPr>
        <w:t xml:space="preserve"> beyond the technical solutions and stove piped approach</w:t>
      </w:r>
      <w:r>
        <w:rPr>
          <w:rFonts w:ascii="Arial" w:hAnsi="Arial" w:cs="Arial"/>
        </w:rPr>
        <w:t>es</w:t>
      </w:r>
      <w:r w:rsidRPr="00FF1C55">
        <w:rPr>
          <w:rFonts w:ascii="Arial" w:hAnsi="Arial" w:cs="Arial"/>
        </w:rPr>
        <w:t>. The intent is to design a solution fit for future adoption</w:t>
      </w:r>
      <w:r>
        <w:rPr>
          <w:rFonts w:ascii="Arial" w:hAnsi="Arial" w:cs="Arial"/>
        </w:rPr>
        <w:t xml:space="preserve"> and </w:t>
      </w:r>
      <w:r w:rsidRPr="00FF1C55">
        <w:rPr>
          <w:rFonts w:ascii="Arial" w:hAnsi="Arial" w:cs="Arial"/>
        </w:rPr>
        <w:t>expansion</w:t>
      </w:r>
      <w:r>
        <w:rPr>
          <w:rFonts w:ascii="Arial" w:hAnsi="Arial" w:cs="Arial"/>
        </w:rPr>
        <w:t xml:space="preserve"> </w:t>
      </w:r>
      <w:r w:rsidRPr="00FF1C55">
        <w:rPr>
          <w:rFonts w:ascii="Arial" w:hAnsi="Arial" w:cs="Arial"/>
        </w:rPr>
        <w:t xml:space="preserve">allowing </w:t>
      </w:r>
      <w:r>
        <w:rPr>
          <w:rFonts w:ascii="Arial" w:hAnsi="Arial" w:cs="Arial"/>
        </w:rPr>
        <w:t>other</w:t>
      </w:r>
      <w:r w:rsidRPr="00FF1C55">
        <w:rPr>
          <w:rFonts w:ascii="Arial" w:hAnsi="Arial" w:cs="Arial"/>
        </w:rPr>
        <w:t xml:space="preserve"> customer </w:t>
      </w:r>
      <w:r>
        <w:rPr>
          <w:rFonts w:ascii="Arial" w:hAnsi="Arial" w:cs="Arial"/>
        </w:rPr>
        <w:t xml:space="preserve">capabilities </w:t>
      </w:r>
      <w:r w:rsidRPr="00FF1C55">
        <w:rPr>
          <w:rFonts w:ascii="Arial" w:hAnsi="Arial" w:cs="Arial"/>
        </w:rPr>
        <w:t xml:space="preserve">to </w:t>
      </w:r>
      <w:r>
        <w:rPr>
          <w:rFonts w:ascii="Arial" w:hAnsi="Arial" w:cs="Arial"/>
        </w:rPr>
        <w:t>be delivered</w:t>
      </w:r>
      <w:r w:rsidRPr="00FF1C55">
        <w:rPr>
          <w:rFonts w:ascii="Arial" w:hAnsi="Arial" w:cs="Arial"/>
        </w:rPr>
        <w:t xml:space="preserve"> </w:t>
      </w:r>
      <w:r>
        <w:rPr>
          <w:rFonts w:ascii="Arial" w:hAnsi="Arial" w:cs="Arial"/>
        </w:rPr>
        <w:t>through this model.</w:t>
      </w:r>
    </w:p>
    <w:p w14:paraId="52A91070" w14:textId="77777777" w:rsidR="0009145F" w:rsidRPr="00FF1C55" w:rsidRDefault="0009145F" w:rsidP="0009145F">
      <w:pPr>
        <w:spacing w:after="240" w:line="240" w:lineRule="auto"/>
        <w:contextualSpacing/>
        <w:jc w:val="both"/>
        <w:rPr>
          <w:rFonts w:ascii="Arial" w:hAnsi="Arial" w:cs="Arial"/>
        </w:rPr>
      </w:pPr>
    </w:p>
    <w:p w14:paraId="3AE88C3A" w14:textId="77777777" w:rsidR="0009145F" w:rsidRPr="00FF1C55" w:rsidRDefault="0009145F" w:rsidP="0009145F">
      <w:pPr>
        <w:spacing w:after="240" w:line="240" w:lineRule="auto"/>
        <w:contextualSpacing/>
        <w:jc w:val="both"/>
        <w:rPr>
          <w:rFonts w:ascii="Arial" w:hAnsi="Arial" w:cs="Arial"/>
        </w:rPr>
      </w:pPr>
      <w:r w:rsidRPr="00FF1C55">
        <w:rPr>
          <w:rFonts w:ascii="Arial" w:hAnsi="Arial" w:cs="Arial"/>
        </w:rPr>
        <w:t xml:space="preserve">As part of the strategic roadmap, </w:t>
      </w:r>
      <w:r>
        <w:rPr>
          <w:rFonts w:ascii="Arial" w:hAnsi="Arial" w:cs="Arial"/>
        </w:rPr>
        <w:t>SPISN a</w:t>
      </w:r>
      <w:r w:rsidRPr="00FF1C55">
        <w:rPr>
          <w:rFonts w:ascii="Arial" w:hAnsi="Arial" w:cs="Arial"/>
        </w:rPr>
        <w:t>re reviewing and collaborating with Defence-wide initiatives, and incorporating these, where suitable, into the Roadmap and Target Architecture</w:t>
      </w:r>
      <w:r>
        <w:rPr>
          <w:rFonts w:ascii="Arial" w:hAnsi="Arial" w:cs="Arial"/>
        </w:rPr>
        <w:t>, with a focus on:</w:t>
      </w:r>
    </w:p>
    <w:p w14:paraId="06586A5C" w14:textId="77777777" w:rsidR="0009145F" w:rsidRDefault="0009145F" w:rsidP="0009145F">
      <w:pPr>
        <w:pStyle w:val="ListParagraph"/>
        <w:numPr>
          <w:ilvl w:val="0"/>
          <w:numId w:val="1"/>
        </w:numPr>
        <w:spacing w:after="240" w:line="240" w:lineRule="auto"/>
        <w:ind w:left="567" w:firstLine="0"/>
        <w:contextualSpacing w:val="0"/>
        <w:jc w:val="both"/>
        <w:rPr>
          <w:rFonts w:ascii="Arial" w:hAnsi="Arial" w:cs="Arial"/>
        </w:rPr>
      </w:pPr>
      <w:r w:rsidRPr="00461118">
        <w:rPr>
          <w:rFonts w:ascii="Arial" w:hAnsi="Arial" w:cs="Arial"/>
        </w:rPr>
        <w:t>The provision of design, delivery, and support of a multi-tenanted enterprise IT Platform Service</w:t>
      </w:r>
      <w:r>
        <w:rPr>
          <w:rFonts w:ascii="Arial" w:hAnsi="Arial" w:cs="Arial"/>
        </w:rPr>
        <w:t xml:space="preserve"> which, </w:t>
      </w:r>
      <w:r w:rsidRPr="00461118">
        <w:rPr>
          <w:rFonts w:ascii="Arial" w:hAnsi="Arial" w:cs="Arial"/>
        </w:rPr>
        <w:t>provid</w:t>
      </w:r>
      <w:r>
        <w:rPr>
          <w:rFonts w:ascii="Arial" w:hAnsi="Arial" w:cs="Arial"/>
        </w:rPr>
        <w:t>es</w:t>
      </w:r>
      <w:r w:rsidRPr="00461118">
        <w:rPr>
          <w:rFonts w:ascii="Arial" w:hAnsi="Arial" w:cs="Arial"/>
        </w:rPr>
        <w:t xml:space="preserve"> the underlying physical compute, data centre networking and storage fabric necessary to run virtualised workloads</w:t>
      </w:r>
      <w:r>
        <w:rPr>
          <w:rFonts w:ascii="Arial" w:hAnsi="Arial" w:cs="Arial"/>
        </w:rPr>
        <w:t xml:space="preserve"> across a resilient distributed architecture. </w:t>
      </w:r>
    </w:p>
    <w:p w14:paraId="08F5045F" w14:textId="77777777" w:rsidR="0009145F" w:rsidRDefault="0009145F" w:rsidP="0009145F">
      <w:pPr>
        <w:pStyle w:val="ListParagraph"/>
        <w:numPr>
          <w:ilvl w:val="0"/>
          <w:numId w:val="1"/>
        </w:numPr>
        <w:spacing w:after="240" w:line="240" w:lineRule="auto"/>
        <w:ind w:left="567" w:firstLine="0"/>
        <w:contextualSpacing w:val="0"/>
        <w:jc w:val="both"/>
        <w:rPr>
          <w:rFonts w:ascii="Arial" w:hAnsi="Arial" w:cs="Arial"/>
        </w:rPr>
      </w:pPr>
      <w:r>
        <w:rPr>
          <w:rFonts w:ascii="Arial" w:hAnsi="Arial" w:cs="Arial"/>
        </w:rPr>
        <w:t>The provision of Edge services to support the procurement, design and support of services consumed by the user. This</w:t>
      </w:r>
      <w:r w:rsidRPr="00753738">
        <w:rPr>
          <w:rFonts w:ascii="Arial" w:hAnsi="Arial" w:cs="Arial"/>
        </w:rPr>
        <w:t xml:space="preserve"> comprise</w:t>
      </w:r>
      <w:r>
        <w:rPr>
          <w:rFonts w:ascii="Arial" w:hAnsi="Arial" w:cs="Arial"/>
        </w:rPr>
        <w:t>s of</w:t>
      </w:r>
      <w:r w:rsidRPr="00753738">
        <w:rPr>
          <w:rFonts w:ascii="Arial" w:hAnsi="Arial" w:cs="Arial"/>
        </w:rPr>
        <w:t xml:space="preserve"> the hardware and software </w:t>
      </w:r>
      <w:r>
        <w:rPr>
          <w:rFonts w:ascii="Arial" w:hAnsi="Arial" w:cs="Arial"/>
        </w:rPr>
        <w:t>that the user directly interact with,</w:t>
      </w:r>
      <w:r w:rsidRPr="00753738">
        <w:rPr>
          <w:rFonts w:ascii="Arial" w:hAnsi="Arial" w:cs="Arial"/>
        </w:rPr>
        <w:t xml:space="preserve"> that are appropriately configured for the mission profile to provide sensing, actuating, and/or communication functions aligned with the mission intent</w:t>
      </w:r>
      <w:r>
        <w:rPr>
          <w:rFonts w:ascii="Arial" w:hAnsi="Arial" w:cs="Arial"/>
        </w:rPr>
        <w:t xml:space="preserve">. </w:t>
      </w:r>
    </w:p>
    <w:p w14:paraId="3AB565C9" w14:textId="77777777" w:rsidR="0009145F" w:rsidRDefault="0009145F" w:rsidP="0009145F">
      <w:pPr>
        <w:pStyle w:val="ListParagraph"/>
        <w:numPr>
          <w:ilvl w:val="0"/>
          <w:numId w:val="1"/>
        </w:numPr>
        <w:spacing w:after="240" w:line="240" w:lineRule="auto"/>
        <w:ind w:left="567" w:firstLine="0"/>
        <w:contextualSpacing w:val="0"/>
        <w:jc w:val="both"/>
        <w:rPr>
          <w:rFonts w:ascii="Arial" w:hAnsi="Arial" w:cs="Arial"/>
        </w:rPr>
      </w:pPr>
      <w:r>
        <w:rPr>
          <w:rFonts w:ascii="Arial" w:hAnsi="Arial" w:cs="Arial"/>
        </w:rPr>
        <w:t xml:space="preserve">The provision of Information Technology Service </w:t>
      </w:r>
      <w:r w:rsidRPr="00376190">
        <w:rPr>
          <w:rFonts w:ascii="Arial" w:hAnsi="Arial" w:cs="Arial"/>
        </w:rPr>
        <w:t>Management</w:t>
      </w:r>
      <w:r>
        <w:rPr>
          <w:rFonts w:ascii="Arial" w:hAnsi="Arial" w:cs="Arial"/>
        </w:rPr>
        <w:t xml:space="preserve"> (ITSM) to </w:t>
      </w:r>
      <w:r w:rsidRPr="00376190">
        <w:rPr>
          <w:rFonts w:ascii="Arial" w:hAnsi="Arial" w:cs="Arial"/>
        </w:rPr>
        <w:t>ensure management is possible using an integrated, interoperable suite of Service Management tools</w:t>
      </w:r>
      <w:r>
        <w:rPr>
          <w:rFonts w:ascii="Arial" w:hAnsi="Arial" w:cs="Arial"/>
        </w:rPr>
        <w:t xml:space="preserve"> (ServiceNow)</w:t>
      </w:r>
      <w:r w:rsidRPr="00376190">
        <w:rPr>
          <w:rFonts w:ascii="Arial" w:hAnsi="Arial" w:cs="Arial"/>
        </w:rPr>
        <w:t xml:space="preserve"> that cover all elements of Service Management (ITIL Service Management practices) including the design, build, deployment, management, and operation of all services for end users. Further, it is to</w:t>
      </w:r>
      <w:r>
        <w:rPr>
          <w:rFonts w:ascii="Arial" w:hAnsi="Arial" w:cs="Arial"/>
        </w:rPr>
        <w:t xml:space="preserve"> support and continuously improve user experience exploiting and evolving the ITSM tooling</w:t>
      </w:r>
      <w:r w:rsidRPr="00376190">
        <w:rPr>
          <w:rFonts w:ascii="Arial" w:hAnsi="Arial" w:cs="Arial"/>
        </w:rPr>
        <w:t xml:space="preserve"> </w:t>
      </w:r>
      <w:r>
        <w:rPr>
          <w:rFonts w:ascii="Arial" w:hAnsi="Arial" w:cs="Arial"/>
        </w:rPr>
        <w:t>to maximum the efficiency of the enterprise.</w:t>
      </w:r>
      <w:r w:rsidRPr="00376190">
        <w:rPr>
          <w:rFonts w:ascii="Arial" w:hAnsi="Arial" w:cs="Arial"/>
        </w:rPr>
        <w:t xml:space="preserve"> </w:t>
      </w:r>
    </w:p>
    <w:p w14:paraId="5C0EAF7A" w14:textId="77777777" w:rsidR="0009145F" w:rsidRPr="00376190" w:rsidRDefault="0009145F" w:rsidP="0009145F">
      <w:pPr>
        <w:pStyle w:val="ListParagraph"/>
        <w:numPr>
          <w:ilvl w:val="0"/>
          <w:numId w:val="1"/>
        </w:numPr>
        <w:spacing w:after="240" w:line="240" w:lineRule="auto"/>
        <w:ind w:left="567" w:firstLine="0"/>
        <w:jc w:val="both"/>
        <w:rPr>
          <w:rFonts w:ascii="Arial" w:hAnsi="Arial" w:cs="Arial"/>
        </w:rPr>
      </w:pPr>
      <w:r>
        <w:rPr>
          <w:rFonts w:ascii="Arial" w:hAnsi="Arial" w:cs="Arial"/>
        </w:rPr>
        <w:t xml:space="preserve">The Provision of a Data &amp; Analytic service to provide the </w:t>
      </w:r>
      <w:r w:rsidRPr="00753738">
        <w:rPr>
          <w:rFonts w:ascii="Arial" w:hAnsi="Arial" w:cs="Arial"/>
        </w:rPr>
        <w:t>ability to collaboratively: onboard, integrate, create, and deploy a multitude of tools, and data feeds</w:t>
      </w:r>
      <w:r>
        <w:rPr>
          <w:rFonts w:ascii="Arial" w:hAnsi="Arial" w:cs="Arial"/>
        </w:rPr>
        <w:t xml:space="preserve"> i.e., </w:t>
      </w:r>
      <w:r w:rsidRPr="00907C80">
        <w:rPr>
          <w:rFonts w:ascii="Arial" w:hAnsi="Arial" w:cs="Arial"/>
        </w:rPr>
        <w:t>geospatial, edge/ sensor, applications</w:t>
      </w:r>
      <w:r>
        <w:rPr>
          <w:rFonts w:ascii="Arial" w:hAnsi="Arial" w:cs="Arial"/>
        </w:rPr>
        <w:t>. E</w:t>
      </w:r>
      <w:r w:rsidRPr="00753738">
        <w:rPr>
          <w:rFonts w:ascii="Arial" w:hAnsi="Arial" w:cs="Arial"/>
        </w:rPr>
        <w:t>nabling the users to drive information advantage through more automated enrichment, and rapid exploitation of current, and continuous data captures.​ The intent is to help drive data driven decision making across the enterprise.</w:t>
      </w:r>
    </w:p>
    <w:p w14:paraId="3A6EC4E5" w14:textId="77777777" w:rsidR="0009145F" w:rsidRDefault="0009145F" w:rsidP="0009145F">
      <w:pPr>
        <w:spacing w:after="240" w:line="240" w:lineRule="auto"/>
        <w:contextualSpacing/>
        <w:jc w:val="both"/>
        <w:rPr>
          <w:rFonts w:ascii="Arial" w:hAnsi="Arial" w:cs="Arial"/>
        </w:rPr>
      </w:pPr>
      <w:r>
        <w:rPr>
          <w:rFonts w:ascii="Arial" w:hAnsi="Arial" w:cs="Arial"/>
        </w:rPr>
        <w:lastRenderedPageBreak/>
        <w:t>This will be underpinned by:</w:t>
      </w:r>
    </w:p>
    <w:p w14:paraId="46845C68" w14:textId="77777777" w:rsidR="0009145F" w:rsidRPr="005A770D" w:rsidRDefault="0009145F" w:rsidP="0009145F">
      <w:pPr>
        <w:pStyle w:val="ListParagraph"/>
        <w:numPr>
          <w:ilvl w:val="0"/>
          <w:numId w:val="3"/>
        </w:numPr>
        <w:spacing w:after="240" w:line="240" w:lineRule="auto"/>
        <w:ind w:left="567" w:firstLine="0"/>
        <w:contextualSpacing w:val="0"/>
        <w:jc w:val="both"/>
        <w:rPr>
          <w:rFonts w:ascii="Arial" w:hAnsi="Arial" w:cs="Arial"/>
        </w:rPr>
      </w:pPr>
      <w:r w:rsidRPr="005A770D">
        <w:rPr>
          <w:rFonts w:ascii="Arial" w:hAnsi="Arial" w:cs="Arial"/>
        </w:rPr>
        <w:t>Establish</w:t>
      </w:r>
      <w:r>
        <w:rPr>
          <w:rFonts w:ascii="Arial" w:hAnsi="Arial" w:cs="Arial"/>
        </w:rPr>
        <w:t>ing a c</w:t>
      </w:r>
      <w:r w:rsidRPr="005A770D">
        <w:rPr>
          <w:rFonts w:ascii="Arial" w:hAnsi="Arial" w:cs="Arial"/>
        </w:rPr>
        <w:t>ommon technology architecture to support the move away from a stove</w:t>
      </w:r>
      <w:r>
        <w:rPr>
          <w:rFonts w:ascii="Arial" w:hAnsi="Arial" w:cs="Arial"/>
        </w:rPr>
        <w:t>-</w:t>
      </w:r>
      <w:r w:rsidRPr="005A770D">
        <w:rPr>
          <w:rFonts w:ascii="Arial" w:hAnsi="Arial" w:cs="Arial"/>
        </w:rPr>
        <w:t>piped systems model</w:t>
      </w:r>
      <w:r>
        <w:rPr>
          <w:rFonts w:ascii="Arial" w:hAnsi="Arial" w:cs="Arial"/>
        </w:rPr>
        <w:t xml:space="preserve"> and improving security and resilience across the enterprise.</w:t>
      </w:r>
    </w:p>
    <w:p w14:paraId="5ED9EC1A" w14:textId="77777777" w:rsidR="0009145F" w:rsidRDefault="0009145F" w:rsidP="0009145F">
      <w:pPr>
        <w:pStyle w:val="ListParagraph"/>
        <w:numPr>
          <w:ilvl w:val="0"/>
          <w:numId w:val="3"/>
        </w:numPr>
        <w:spacing w:after="240" w:line="240" w:lineRule="auto"/>
        <w:ind w:left="567" w:firstLine="0"/>
        <w:contextualSpacing w:val="0"/>
        <w:jc w:val="both"/>
        <w:rPr>
          <w:rFonts w:ascii="Arial" w:hAnsi="Arial" w:cs="Arial"/>
        </w:rPr>
      </w:pPr>
      <w:r w:rsidRPr="00FF1C55">
        <w:rPr>
          <w:rFonts w:ascii="Arial" w:hAnsi="Arial" w:cs="Arial"/>
        </w:rPr>
        <w:t>Enact</w:t>
      </w:r>
      <w:r>
        <w:rPr>
          <w:rFonts w:ascii="Arial" w:hAnsi="Arial" w:cs="Arial"/>
        </w:rPr>
        <w:t>ing</w:t>
      </w:r>
      <w:r w:rsidRPr="00FF1C55">
        <w:rPr>
          <w:rFonts w:ascii="Arial" w:hAnsi="Arial" w:cs="Arial"/>
        </w:rPr>
        <w:t xml:space="preserve"> a move away from being a group that builds and maintains platforms to one who c</w:t>
      </w:r>
      <w:r>
        <w:rPr>
          <w:rFonts w:ascii="Arial" w:hAnsi="Arial" w:cs="Arial"/>
        </w:rPr>
        <w:t>o</w:t>
      </w:r>
      <w:r w:rsidRPr="00FF1C55">
        <w:rPr>
          <w:rFonts w:ascii="Arial" w:hAnsi="Arial" w:cs="Arial"/>
        </w:rPr>
        <w:t>nsumes where possible and instead exploits the opportunity to utilise more COTS services and connect to global partner solutions.</w:t>
      </w:r>
    </w:p>
    <w:p w14:paraId="694397FB" w14:textId="77777777" w:rsidR="0009145F" w:rsidRPr="00F43DBA" w:rsidRDefault="0009145F" w:rsidP="0009145F">
      <w:pPr>
        <w:pStyle w:val="ListParagraph"/>
        <w:numPr>
          <w:ilvl w:val="0"/>
          <w:numId w:val="3"/>
        </w:numPr>
        <w:spacing w:after="240" w:line="240" w:lineRule="auto"/>
        <w:ind w:left="567" w:firstLine="0"/>
        <w:contextualSpacing w:val="0"/>
        <w:jc w:val="both"/>
        <w:rPr>
          <w:rFonts w:ascii="Arial" w:hAnsi="Arial" w:cs="Arial"/>
        </w:rPr>
      </w:pPr>
      <w:r w:rsidRPr="00FF1C55">
        <w:rPr>
          <w:rFonts w:ascii="Arial" w:hAnsi="Arial" w:cs="Arial"/>
        </w:rPr>
        <w:t>Phased approach to delivery</w:t>
      </w:r>
      <w:r>
        <w:rPr>
          <w:rFonts w:ascii="Arial" w:hAnsi="Arial" w:cs="Arial"/>
        </w:rPr>
        <w:t xml:space="preserve"> as the Enterprise develops to include but not limited to future cloud opportunities.</w:t>
      </w:r>
    </w:p>
    <w:p w14:paraId="612A5FA8" w14:textId="77777777" w:rsidR="0009145F" w:rsidRDefault="0009145F" w:rsidP="0009145F">
      <w:pPr>
        <w:pStyle w:val="ListParagraph"/>
        <w:numPr>
          <w:ilvl w:val="0"/>
          <w:numId w:val="3"/>
        </w:numPr>
        <w:spacing w:after="240" w:line="240" w:lineRule="auto"/>
        <w:ind w:left="567" w:firstLine="0"/>
        <w:contextualSpacing w:val="0"/>
        <w:jc w:val="both"/>
        <w:rPr>
          <w:rFonts w:ascii="Arial" w:hAnsi="Arial" w:cs="Arial"/>
        </w:rPr>
      </w:pPr>
      <w:r>
        <w:rPr>
          <w:rFonts w:ascii="Arial" w:hAnsi="Arial" w:cs="Arial"/>
        </w:rPr>
        <w:t>I</w:t>
      </w:r>
      <w:r w:rsidRPr="00FF1C55">
        <w:rPr>
          <w:rFonts w:ascii="Arial" w:hAnsi="Arial" w:cs="Arial"/>
        </w:rPr>
        <w:t>ndustry to develop</w:t>
      </w:r>
      <w:r>
        <w:rPr>
          <w:rFonts w:ascii="Arial" w:hAnsi="Arial" w:cs="Arial"/>
        </w:rPr>
        <w:t xml:space="preserve"> and maintain</w:t>
      </w:r>
      <w:r w:rsidRPr="00FF1C55">
        <w:rPr>
          <w:rFonts w:ascii="Arial" w:hAnsi="Arial" w:cs="Arial"/>
        </w:rPr>
        <w:t xml:space="preserve"> working relationships</w:t>
      </w:r>
      <w:r>
        <w:rPr>
          <w:rFonts w:ascii="Arial" w:hAnsi="Arial" w:cs="Arial"/>
        </w:rPr>
        <w:t xml:space="preserve"> across the ESM</w:t>
      </w:r>
      <w:r w:rsidRPr="00FF1C55">
        <w:rPr>
          <w:rFonts w:ascii="Arial" w:hAnsi="Arial" w:cs="Arial"/>
        </w:rPr>
        <w:t xml:space="preserve"> with</w:t>
      </w:r>
      <w:r>
        <w:rPr>
          <w:rFonts w:ascii="Arial" w:hAnsi="Arial" w:cs="Arial"/>
        </w:rPr>
        <w:t xml:space="preserve"> common</w:t>
      </w:r>
      <w:r w:rsidRPr="00FF1C55">
        <w:rPr>
          <w:rFonts w:ascii="Arial" w:hAnsi="Arial" w:cs="Arial"/>
        </w:rPr>
        <w:t xml:space="preserve"> </w:t>
      </w:r>
      <w:r>
        <w:rPr>
          <w:rFonts w:ascii="Arial" w:hAnsi="Arial" w:cs="Arial"/>
        </w:rPr>
        <w:t>set of Experience Level Indicators/Agreements (XLI/A) and Key Performance Indicators (</w:t>
      </w:r>
      <w:r w:rsidRPr="00FF1C55">
        <w:rPr>
          <w:rFonts w:ascii="Arial" w:hAnsi="Arial" w:cs="Arial"/>
        </w:rPr>
        <w:t>KPI</w:t>
      </w:r>
      <w:r>
        <w:rPr>
          <w:rFonts w:ascii="Arial" w:hAnsi="Arial" w:cs="Arial"/>
        </w:rPr>
        <w:t>)</w:t>
      </w:r>
      <w:r w:rsidRPr="00FF1C55">
        <w:rPr>
          <w:rFonts w:ascii="Arial" w:hAnsi="Arial" w:cs="Arial"/>
        </w:rPr>
        <w:t xml:space="preserve"> to deliver services and encourage pragmatic solutions together</w:t>
      </w:r>
      <w:r>
        <w:rPr>
          <w:rFonts w:ascii="Arial" w:hAnsi="Arial" w:cs="Arial"/>
        </w:rPr>
        <w:t xml:space="preserve">. </w:t>
      </w:r>
    </w:p>
    <w:p w14:paraId="31A4AA51" w14:textId="77777777" w:rsidR="0009145F" w:rsidRPr="005400B0" w:rsidRDefault="0009145F" w:rsidP="0009145F">
      <w:pPr>
        <w:pStyle w:val="DWNormal"/>
        <w:numPr>
          <w:ilvl w:val="0"/>
          <w:numId w:val="0"/>
        </w:numPr>
        <w:spacing w:after="240"/>
        <w:ind w:left="1134" w:hanging="1134"/>
        <w:contextualSpacing/>
        <w:rPr>
          <w:b/>
          <w:bCs w:val="0"/>
          <w:szCs w:val="22"/>
        </w:rPr>
      </w:pPr>
      <w:r w:rsidRPr="005400B0">
        <w:rPr>
          <w:b/>
          <w:bCs w:val="0"/>
          <w:szCs w:val="22"/>
        </w:rPr>
        <w:t>Commercial Waiver</w:t>
      </w:r>
    </w:p>
    <w:p w14:paraId="1526A9B0" w14:textId="264EF004" w:rsidR="0009145F" w:rsidRPr="00FF1C55" w:rsidRDefault="0009145F" w:rsidP="0009145F">
      <w:pPr>
        <w:spacing w:after="240" w:line="240" w:lineRule="auto"/>
        <w:contextualSpacing/>
        <w:jc w:val="both"/>
        <w:rPr>
          <w:rFonts w:ascii="Arial" w:hAnsi="Arial" w:cs="Arial"/>
        </w:rPr>
      </w:pPr>
      <w:r w:rsidRPr="00FF1C55">
        <w:rPr>
          <w:rFonts w:ascii="Arial" w:hAnsi="Arial" w:cs="Arial"/>
        </w:rPr>
        <w:t>Please note, this is not a call for competition. This is a market engagement event.</w:t>
      </w:r>
      <w:r w:rsidRPr="008C5C14">
        <w:rPr>
          <w:rFonts w:ascii="Arial" w:hAnsi="Arial" w:cs="Arial"/>
        </w:rPr>
        <w:t xml:space="preserve"> </w:t>
      </w:r>
      <w:r w:rsidRPr="00FF1C55">
        <w:rPr>
          <w:rFonts w:ascii="Arial" w:hAnsi="Arial" w:cs="Arial"/>
        </w:rPr>
        <w:t xml:space="preserve">The purpose of this Prior Information Notice (PIN) is to invite suppliers to participate in an Industry Day prior to the commencement of a future competition for the requirement. The Industry Day will be taking place </w:t>
      </w:r>
      <w:r>
        <w:rPr>
          <w:rFonts w:ascii="Arial" w:hAnsi="Arial" w:cs="Arial"/>
        </w:rPr>
        <w:t>o</w:t>
      </w:r>
      <w:r w:rsidRPr="00FF1C55">
        <w:rPr>
          <w:rFonts w:ascii="Arial" w:hAnsi="Arial" w:cs="Arial"/>
        </w:rPr>
        <w:t xml:space="preserve">n </w:t>
      </w:r>
      <w:r>
        <w:rPr>
          <w:rFonts w:ascii="Arial" w:hAnsi="Arial" w:cs="Arial"/>
        </w:rPr>
        <w:t>11</w:t>
      </w:r>
      <w:r w:rsidRPr="009D532F">
        <w:rPr>
          <w:rFonts w:ascii="Arial" w:hAnsi="Arial" w:cs="Arial"/>
          <w:vertAlign w:val="superscript"/>
        </w:rPr>
        <w:t>th</w:t>
      </w:r>
      <w:r>
        <w:rPr>
          <w:rFonts w:ascii="Arial" w:hAnsi="Arial" w:cs="Arial"/>
        </w:rPr>
        <w:t xml:space="preserve"> and 12</w:t>
      </w:r>
      <w:r w:rsidRPr="009D532F">
        <w:rPr>
          <w:rFonts w:ascii="Arial" w:hAnsi="Arial" w:cs="Arial"/>
          <w:vertAlign w:val="superscript"/>
        </w:rPr>
        <w:t>th</w:t>
      </w:r>
      <w:r>
        <w:rPr>
          <w:rFonts w:ascii="Arial" w:hAnsi="Arial" w:cs="Arial"/>
        </w:rPr>
        <w:t xml:space="preserve"> June 2024, with the first day being used for a brief from the Authority regarding context and requirements, and the second day for a chance for Industry partners to </w:t>
      </w:r>
      <w:r>
        <w:rPr>
          <w:rFonts w:ascii="Arial" w:hAnsi="Arial" w:cs="Arial"/>
        </w:rPr>
        <w:t>discuss</w:t>
      </w:r>
      <w:r>
        <w:rPr>
          <w:rFonts w:ascii="Arial" w:hAnsi="Arial" w:cs="Arial"/>
        </w:rPr>
        <w:t xml:space="preserve"> potential solutions </w:t>
      </w:r>
      <w:r>
        <w:rPr>
          <w:rFonts w:ascii="Arial" w:hAnsi="Arial" w:cs="Arial"/>
        </w:rPr>
        <w:t xml:space="preserve">with The Authority </w:t>
      </w:r>
      <w:r>
        <w:rPr>
          <w:rFonts w:ascii="Arial" w:hAnsi="Arial" w:cs="Arial"/>
        </w:rPr>
        <w:t xml:space="preserve">in breakout rooms. </w:t>
      </w:r>
    </w:p>
    <w:p w14:paraId="07488AA0" w14:textId="77777777" w:rsidR="0009145F" w:rsidRPr="00FF1C55" w:rsidRDefault="0009145F" w:rsidP="0009145F">
      <w:pPr>
        <w:spacing w:after="240" w:line="240" w:lineRule="auto"/>
        <w:contextualSpacing/>
        <w:jc w:val="both"/>
        <w:rPr>
          <w:rFonts w:ascii="Arial" w:hAnsi="Arial" w:cs="Arial"/>
        </w:rPr>
      </w:pPr>
    </w:p>
    <w:p w14:paraId="04FACCC2" w14:textId="7567A986" w:rsidR="0009145F" w:rsidRPr="00FF1C55" w:rsidRDefault="0009145F" w:rsidP="0009145F">
      <w:pPr>
        <w:spacing w:after="240" w:line="240" w:lineRule="auto"/>
        <w:contextualSpacing/>
        <w:jc w:val="both"/>
        <w:rPr>
          <w:rFonts w:ascii="Arial" w:hAnsi="Arial" w:cs="Arial"/>
        </w:rPr>
      </w:pPr>
      <w:r w:rsidRPr="00FF1C55">
        <w:rPr>
          <w:rFonts w:ascii="Arial" w:hAnsi="Arial" w:cs="Arial"/>
        </w:rPr>
        <w:t xml:space="preserve">Should your organisation wish to attend the Industry Day, please send your </w:t>
      </w:r>
      <w:r w:rsidRPr="00670F4E">
        <w:rPr>
          <w:rFonts w:ascii="Arial" w:hAnsi="Arial" w:cs="Arial"/>
        </w:rPr>
        <w:t>request</w:t>
      </w:r>
      <w:r>
        <w:rPr>
          <w:rFonts w:ascii="Arial" w:hAnsi="Arial" w:cs="Arial"/>
        </w:rPr>
        <w:t xml:space="preserve"> to attend</w:t>
      </w:r>
      <w:r w:rsidRPr="00FF1C55">
        <w:rPr>
          <w:rFonts w:ascii="Arial" w:hAnsi="Arial" w:cs="Arial"/>
        </w:rPr>
        <w:t xml:space="preserve"> via email to the SPISN Commercial Team at </w:t>
      </w:r>
      <w:hyperlink r:id="rId7">
        <w:r w:rsidRPr="00FF1C55">
          <w:rPr>
            <w:rStyle w:val="Hyperlink"/>
          </w:rPr>
          <w:t>DESSPISN-Comrcl@mod.gov.uk</w:t>
        </w:r>
      </w:hyperlink>
      <w:r w:rsidRPr="00FF1C55">
        <w:rPr>
          <w:rFonts w:ascii="Arial" w:hAnsi="Arial" w:cs="Arial"/>
        </w:rPr>
        <w:t>. All attendees must comply with the conditions for participation</w:t>
      </w:r>
      <w:r>
        <w:rPr>
          <w:rFonts w:ascii="Arial" w:hAnsi="Arial" w:cs="Arial"/>
        </w:rPr>
        <w:t>,</w:t>
      </w:r>
      <w:r w:rsidRPr="00FF1C55">
        <w:rPr>
          <w:rFonts w:ascii="Arial" w:hAnsi="Arial" w:cs="Arial"/>
        </w:rPr>
        <w:t xml:space="preserve"> </w:t>
      </w:r>
      <w:r>
        <w:rPr>
          <w:rFonts w:ascii="Arial" w:hAnsi="Arial" w:cs="Arial"/>
        </w:rPr>
        <w:t xml:space="preserve">as a minimum must hold </w:t>
      </w:r>
      <w:r w:rsidRPr="00FF1C55">
        <w:rPr>
          <w:rFonts w:ascii="Arial" w:hAnsi="Arial" w:cs="Arial"/>
        </w:rPr>
        <w:t>SC clearance.</w:t>
      </w:r>
      <w:r>
        <w:rPr>
          <w:rFonts w:ascii="Arial" w:hAnsi="Arial" w:cs="Arial"/>
        </w:rPr>
        <w:t xml:space="preserve">  Please note SC clearance certification must be submitted with any request to attend.</w:t>
      </w:r>
    </w:p>
    <w:p w14:paraId="248DDD89" w14:textId="77777777" w:rsidR="0009145F" w:rsidRPr="00FF1C55" w:rsidRDefault="0009145F" w:rsidP="0009145F">
      <w:pPr>
        <w:spacing w:after="240" w:line="240" w:lineRule="auto"/>
        <w:contextualSpacing/>
        <w:jc w:val="both"/>
        <w:rPr>
          <w:rFonts w:ascii="Arial" w:hAnsi="Arial" w:cs="Arial"/>
        </w:rPr>
      </w:pPr>
    </w:p>
    <w:p w14:paraId="717886F1" w14:textId="77777777" w:rsidR="0009145F" w:rsidRDefault="0009145F" w:rsidP="0009145F">
      <w:pPr>
        <w:spacing w:after="240" w:line="240" w:lineRule="auto"/>
        <w:contextualSpacing/>
        <w:jc w:val="both"/>
        <w:rPr>
          <w:rFonts w:ascii="Arial" w:hAnsi="Arial" w:cs="Arial"/>
        </w:rPr>
      </w:pPr>
      <w:r w:rsidRPr="00FF1C55">
        <w:rPr>
          <w:rFonts w:ascii="Arial" w:hAnsi="Arial" w:cs="Arial"/>
        </w:rPr>
        <w:t xml:space="preserve">The deadline for expressions to participate in this Industry Day is </w:t>
      </w:r>
      <w:r w:rsidRPr="0047536A">
        <w:rPr>
          <w:rFonts w:ascii="Arial" w:hAnsi="Arial" w:cs="Arial"/>
          <w:b/>
          <w:u w:val="single"/>
        </w:rPr>
        <w:t>Friday 17</w:t>
      </w:r>
      <w:r w:rsidRPr="0047536A">
        <w:rPr>
          <w:rFonts w:ascii="Arial" w:hAnsi="Arial" w:cs="Arial"/>
          <w:b/>
          <w:u w:val="single"/>
          <w:vertAlign w:val="superscript"/>
        </w:rPr>
        <w:t>th</w:t>
      </w:r>
      <w:r w:rsidRPr="0047536A" w:rsidDel="00435BC0">
        <w:rPr>
          <w:rFonts w:ascii="Arial" w:hAnsi="Arial" w:cs="Arial"/>
          <w:b/>
          <w:u w:val="single"/>
        </w:rPr>
        <w:t xml:space="preserve"> </w:t>
      </w:r>
      <w:r w:rsidRPr="0047536A">
        <w:rPr>
          <w:rFonts w:ascii="Arial" w:hAnsi="Arial" w:cs="Arial"/>
          <w:b/>
          <w:u w:val="single"/>
        </w:rPr>
        <w:t>May 2024</w:t>
      </w:r>
      <w:r w:rsidRPr="0047536A">
        <w:rPr>
          <w:rFonts w:ascii="Arial" w:hAnsi="Arial" w:cs="Arial"/>
          <w:u w:val="single"/>
        </w:rPr>
        <w:t>.</w:t>
      </w:r>
      <w:r w:rsidRPr="00FF1C55">
        <w:rPr>
          <w:rFonts w:ascii="Arial" w:hAnsi="Arial" w:cs="Arial"/>
        </w:rPr>
        <w:t xml:space="preserve"> Any </w:t>
      </w:r>
      <w:r w:rsidRPr="00DF4478">
        <w:rPr>
          <w:rFonts w:ascii="Arial" w:hAnsi="Arial" w:cs="Arial"/>
        </w:rPr>
        <w:t>request</w:t>
      </w:r>
      <w:r>
        <w:rPr>
          <w:rFonts w:ascii="Arial" w:hAnsi="Arial" w:cs="Arial"/>
        </w:rPr>
        <w:t xml:space="preserve"> to attend</w:t>
      </w:r>
      <w:r w:rsidRPr="00FF1C55">
        <w:rPr>
          <w:rFonts w:ascii="Arial" w:hAnsi="Arial" w:cs="Arial"/>
        </w:rPr>
        <w:t xml:space="preserve"> received after this time may be rejected at the Authority’s sole discretion.</w:t>
      </w:r>
    </w:p>
    <w:p w14:paraId="37DDB1E7" w14:textId="77777777" w:rsidR="0009145F" w:rsidRDefault="0009145F" w:rsidP="0009145F">
      <w:pPr>
        <w:spacing w:after="240" w:line="240" w:lineRule="auto"/>
        <w:contextualSpacing/>
        <w:jc w:val="both"/>
        <w:rPr>
          <w:rFonts w:ascii="Arial" w:hAnsi="Arial" w:cs="Arial"/>
        </w:rPr>
      </w:pPr>
    </w:p>
    <w:p w14:paraId="4EFEC98D" w14:textId="77777777" w:rsidR="0009145F" w:rsidRPr="00FF1C55" w:rsidRDefault="0009145F" w:rsidP="0009145F">
      <w:pPr>
        <w:spacing w:after="240" w:line="240" w:lineRule="auto"/>
        <w:contextualSpacing/>
        <w:jc w:val="both"/>
        <w:rPr>
          <w:rFonts w:ascii="Arial" w:hAnsi="Arial" w:cs="Arial"/>
        </w:rPr>
      </w:pPr>
      <w:r>
        <w:rPr>
          <w:rFonts w:ascii="Arial" w:hAnsi="Arial" w:cs="Arial"/>
        </w:rPr>
        <w:t xml:space="preserve">The </w:t>
      </w:r>
      <w:r w:rsidRPr="00FF1C55">
        <w:rPr>
          <w:rFonts w:ascii="Arial" w:hAnsi="Arial" w:cs="Arial"/>
        </w:rPr>
        <w:t>SPISN team will manage the process in an open and transparent manner, therefore participation or non-participation in the industry day will not, respectively, advantage or disadvantage any supplier or affect their ability to participate in any future procurement process.</w:t>
      </w:r>
    </w:p>
    <w:p w14:paraId="1F870FE0" w14:textId="77777777" w:rsidR="0009145F" w:rsidRPr="00FF1C55" w:rsidRDefault="0009145F" w:rsidP="0009145F">
      <w:pPr>
        <w:spacing w:after="240" w:line="240" w:lineRule="auto"/>
        <w:contextualSpacing/>
        <w:jc w:val="both"/>
        <w:rPr>
          <w:rFonts w:ascii="Arial" w:hAnsi="Arial" w:cs="Arial"/>
        </w:rPr>
      </w:pPr>
    </w:p>
    <w:p w14:paraId="1B78BC33" w14:textId="77777777" w:rsidR="0009145F" w:rsidRPr="00FF1C55" w:rsidRDefault="0009145F" w:rsidP="0009145F">
      <w:pPr>
        <w:spacing w:after="240" w:line="240" w:lineRule="auto"/>
        <w:contextualSpacing/>
        <w:jc w:val="both"/>
        <w:rPr>
          <w:rFonts w:ascii="Arial" w:hAnsi="Arial" w:cs="Arial"/>
        </w:rPr>
      </w:pPr>
      <w:r w:rsidRPr="00FF1C55">
        <w:rPr>
          <w:rFonts w:ascii="Arial" w:hAnsi="Arial" w:cs="Arial"/>
        </w:rPr>
        <w:t>This PIN does not formally signify the beginning of a procurement process and does not constitute commitment to undertake a procurement exercise until the Contract Notice is issued.</w:t>
      </w:r>
    </w:p>
    <w:p w14:paraId="01D8B05F" w14:textId="77777777" w:rsidR="0009145F" w:rsidRPr="00FF1C55" w:rsidRDefault="0009145F" w:rsidP="0009145F">
      <w:pPr>
        <w:spacing w:after="240" w:line="240" w:lineRule="auto"/>
        <w:contextualSpacing/>
        <w:jc w:val="both"/>
        <w:rPr>
          <w:rFonts w:ascii="Arial" w:hAnsi="Arial" w:cs="Arial"/>
        </w:rPr>
      </w:pPr>
    </w:p>
    <w:p w14:paraId="70F2D6B2" w14:textId="77777777" w:rsidR="0009145F" w:rsidRPr="00FF1C55" w:rsidRDefault="0009145F" w:rsidP="0009145F">
      <w:pPr>
        <w:spacing w:after="240" w:line="240" w:lineRule="auto"/>
        <w:contextualSpacing/>
        <w:jc w:val="both"/>
        <w:rPr>
          <w:rFonts w:ascii="Arial" w:hAnsi="Arial" w:cs="Arial"/>
        </w:rPr>
      </w:pPr>
      <w:r w:rsidRPr="00FF1C55">
        <w:rPr>
          <w:rFonts w:ascii="Arial" w:hAnsi="Arial" w:cs="Arial"/>
        </w:rPr>
        <w:t>You must not take this announcement as confirmation that the Authority shall award a contract for this requirement. The Authority is publishing this announcement without any commitment to issue a tender or place a contract. The Authority also reserves the right to vary or cancel the Industry Day at any time. Accordingly, any expenditure, work or effort undertaken before contract award is a matter solely for the commercial judgement of potential suppliers. Announcements may also be published on the Defence Sourcing Portal, Contracts Finder or the Find a Tender service, as appropriate.</w:t>
      </w:r>
    </w:p>
    <w:p w14:paraId="2F234E9F" w14:textId="77777777" w:rsidR="0009145F" w:rsidRDefault="0009145F" w:rsidP="0009145F">
      <w:pPr>
        <w:spacing w:after="240" w:line="240" w:lineRule="auto"/>
        <w:contextualSpacing/>
        <w:jc w:val="both"/>
        <w:rPr>
          <w:rFonts w:ascii="Arial" w:hAnsi="Arial" w:cs="Arial"/>
          <w:b/>
          <w:bCs/>
        </w:rPr>
      </w:pPr>
    </w:p>
    <w:p w14:paraId="788C0027" w14:textId="77777777" w:rsidR="0009145F" w:rsidRDefault="0009145F" w:rsidP="0009145F">
      <w:pPr>
        <w:spacing w:after="240" w:line="240" w:lineRule="auto"/>
        <w:contextualSpacing/>
        <w:jc w:val="both"/>
        <w:rPr>
          <w:rFonts w:ascii="Arial" w:hAnsi="Arial" w:cs="Arial"/>
          <w:b/>
          <w:bCs/>
        </w:rPr>
      </w:pPr>
    </w:p>
    <w:p w14:paraId="2DEEC291" w14:textId="77777777" w:rsidR="0009145F" w:rsidRPr="00A8332D" w:rsidRDefault="0009145F" w:rsidP="0009145F">
      <w:pPr>
        <w:rPr>
          <w:rFonts w:ascii="Arial" w:hAnsi="Arial" w:cs="Arial"/>
        </w:rPr>
      </w:pPr>
    </w:p>
    <w:p w14:paraId="3BAB0BD1" w14:textId="77777777" w:rsidR="0009145F" w:rsidRPr="00FF1C55" w:rsidRDefault="0009145F" w:rsidP="0009145F">
      <w:pPr>
        <w:spacing w:after="240" w:line="240" w:lineRule="auto"/>
        <w:contextualSpacing/>
        <w:jc w:val="both"/>
        <w:rPr>
          <w:rFonts w:ascii="Arial" w:hAnsi="Arial" w:cs="Arial"/>
        </w:rPr>
      </w:pPr>
    </w:p>
    <w:p w14:paraId="184E8F9F" w14:textId="77777777" w:rsidR="0009145F" w:rsidRDefault="0009145F"/>
    <w:sectPr w:rsidR="0009145F" w:rsidSect="00A8332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0AA7B" w14:textId="77777777" w:rsidR="0009145F" w:rsidRDefault="0009145F" w:rsidP="0009145F">
      <w:pPr>
        <w:spacing w:after="0" w:line="240" w:lineRule="auto"/>
      </w:pPr>
      <w:r>
        <w:separator/>
      </w:r>
    </w:p>
  </w:endnote>
  <w:endnote w:type="continuationSeparator" w:id="0">
    <w:p w14:paraId="165F140E" w14:textId="77777777" w:rsidR="0009145F" w:rsidRDefault="0009145F" w:rsidP="0009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F2E6" w14:textId="707825A9" w:rsidR="0009145F" w:rsidRDefault="0009145F">
    <w:pPr>
      <w:pStyle w:val="Footer"/>
    </w:pPr>
    <w:r>
      <w:rPr>
        <w:noProof/>
      </w:rPr>
      <mc:AlternateContent>
        <mc:Choice Requires="wps">
          <w:drawing>
            <wp:anchor distT="0" distB="0" distL="0" distR="0" simplePos="0" relativeHeight="251662336" behindDoc="0" locked="0" layoutInCell="1" allowOverlap="1" wp14:anchorId="4C49B097" wp14:editId="4AF2E873">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B8F473" w14:textId="6486BF16" w:rsidR="0009145F" w:rsidRPr="0009145F" w:rsidRDefault="0009145F" w:rsidP="0009145F">
                          <w:pPr>
                            <w:spacing w:after="0"/>
                            <w:rPr>
                              <w:rFonts w:ascii="Arial" w:eastAsia="Arial" w:hAnsi="Arial" w:cs="Arial"/>
                              <w:noProof/>
                              <w:color w:val="000000"/>
                            </w:rPr>
                          </w:pPr>
                          <w:r w:rsidRPr="0009145F">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9B097"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AB8F473" w14:textId="6486BF16" w:rsidR="0009145F" w:rsidRPr="0009145F" w:rsidRDefault="0009145F" w:rsidP="0009145F">
                    <w:pPr>
                      <w:spacing w:after="0"/>
                      <w:rPr>
                        <w:rFonts w:ascii="Arial" w:eastAsia="Arial" w:hAnsi="Arial" w:cs="Arial"/>
                        <w:noProof/>
                        <w:color w:val="000000"/>
                      </w:rPr>
                    </w:pPr>
                    <w:r w:rsidRPr="0009145F">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3448" w14:textId="30BD78C1" w:rsidR="00B52271" w:rsidRDefault="0009145F">
    <w:pPr>
      <w:pStyle w:val="Footer"/>
      <w:jc w:val="right"/>
    </w:pPr>
    <w:r>
      <w:rPr>
        <w:noProof/>
      </w:rPr>
      <mc:AlternateContent>
        <mc:Choice Requires="wps">
          <w:drawing>
            <wp:anchor distT="0" distB="0" distL="0" distR="0" simplePos="0" relativeHeight="251663360" behindDoc="0" locked="0" layoutInCell="1" allowOverlap="1" wp14:anchorId="6FCE5808" wp14:editId="5C62A82E">
              <wp:simplePos x="723900" y="990600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2DD138" w14:textId="6AC022A3" w:rsidR="0009145F" w:rsidRPr="0009145F" w:rsidRDefault="0009145F" w:rsidP="0009145F">
                          <w:pPr>
                            <w:spacing w:after="0"/>
                            <w:rPr>
                              <w:rFonts w:ascii="Arial" w:eastAsia="Arial" w:hAnsi="Arial" w:cs="Arial"/>
                              <w:noProof/>
                              <w:color w:val="000000"/>
                            </w:rPr>
                          </w:pPr>
                          <w:r w:rsidRPr="0009145F">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CE5808" id="_x0000_t202" coordsize="21600,21600" o:spt="202" path="m,l,21600r21600,l21600,xe">
              <v:stroke joinstyle="miter"/>
              <v:path gradientshapeok="t" o:connecttype="rect"/>
            </v:shapetype>
            <v:shape id="Text Box 6" o:spid="_x0000_s1029" type="#_x0000_t202" alt="OFFICIAL-SENSITIVE - COMMER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A2DD138" w14:textId="6AC022A3" w:rsidR="0009145F" w:rsidRPr="0009145F" w:rsidRDefault="0009145F" w:rsidP="0009145F">
                    <w:pPr>
                      <w:spacing w:after="0"/>
                      <w:rPr>
                        <w:rFonts w:ascii="Arial" w:eastAsia="Arial" w:hAnsi="Arial" w:cs="Arial"/>
                        <w:noProof/>
                        <w:color w:val="000000"/>
                      </w:rPr>
                    </w:pPr>
                    <w:r w:rsidRPr="0009145F">
                      <w:rPr>
                        <w:rFonts w:ascii="Arial" w:eastAsia="Arial" w:hAnsi="Arial" w:cs="Arial"/>
                        <w:noProof/>
                        <w:color w:val="000000"/>
                      </w:rPr>
                      <w:t>OFFICIAL-SENSITIVE - COMMERCIAL</w:t>
                    </w:r>
                  </w:p>
                </w:txbxContent>
              </v:textbox>
              <w10:wrap anchorx="page" anchory="page"/>
            </v:shape>
          </w:pict>
        </mc:Fallback>
      </mc:AlternateContent>
    </w:r>
    <w:sdt>
      <w:sdtPr>
        <w:id w:val="14350896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F6F8273" w14:textId="77777777" w:rsidR="00E816B2" w:rsidRDefault="000914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AB68" w14:textId="6628EA16" w:rsidR="0009145F" w:rsidRDefault="0009145F">
    <w:pPr>
      <w:pStyle w:val="Footer"/>
    </w:pPr>
    <w:r>
      <w:rPr>
        <w:noProof/>
      </w:rPr>
      <mc:AlternateContent>
        <mc:Choice Requires="wps">
          <w:drawing>
            <wp:anchor distT="0" distB="0" distL="0" distR="0" simplePos="0" relativeHeight="251661312" behindDoc="0" locked="0" layoutInCell="1" allowOverlap="1" wp14:anchorId="4AA93DDC" wp14:editId="47238BBF">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CC8661" w14:textId="1D4BDD14" w:rsidR="0009145F" w:rsidRPr="0009145F" w:rsidRDefault="0009145F" w:rsidP="0009145F">
                          <w:pPr>
                            <w:spacing w:after="0"/>
                            <w:rPr>
                              <w:rFonts w:ascii="Arial" w:eastAsia="Arial" w:hAnsi="Arial" w:cs="Arial"/>
                              <w:noProof/>
                              <w:color w:val="000000"/>
                            </w:rPr>
                          </w:pPr>
                          <w:r w:rsidRPr="0009145F">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A93DDC"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CCC8661" w14:textId="1D4BDD14" w:rsidR="0009145F" w:rsidRPr="0009145F" w:rsidRDefault="0009145F" w:rsidP="0009145F">
                    <w:pPr>
                      <w:spacing w:after="0"/>
                      <w:rPr>
                        <w:rFonts w:ascii="Arial" w:eastAsia="Arial" w:hAnsi="Arial" w:cs="Arial"/>
                        <w:noProof/>
                        <w:color w:val="000000"/>
                      </w:rPr>
                    </w:pPr>
                    <w:r w:rsidRPr="0009145F">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DAFE" w14:textId="77777777" w:rsidR="0009145F" w:rsidRDefault="0009145F" w:rsidP="0009145F">
      <w:pPr>
        <w:spacing w:after="0" w:line="240" w:lineRule="auto"/>
      </w:pPr>
      <w:r>
        <w:separator/>
      </w:r>
    </w:p>
  </w:footnote>
  <w:footnote w:type="continuationSeparator" w:id="0">
    <w:p w14:paraId="21F12E87" w14:textId="77777777" w:rsidR="0009145F" w:rsidRDefault="0009145F" w:rsidP="00091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CD9A" w14:textId="4BE587E8" w:rsidR="0009145F" w:rsidRDefault="0009145F">
    <w:pPr>
      <w:pStyle w:val="Header"/>
    </w:pPr>
    <w:r>
      <w:rPr>
        <w:noProof/>
      </w:rPr>
      <mc:AlternateContent>
        <mc:Choice Requires="wps">
          <w:drawing>
            <wp:anchor distT="0" distB="0" distL="0" distR="0" simplePos="0" relativeHeight="251659264" behindDoc="0" locked="0" layoutInCell="1" allowOverlap="1" wp14:anchorId="3F9BB316" wp14:editId="2CB1F3DA">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8A6C2D" w14:textId="3C64BE15" w:rsidR="0009145F" w:rsidRPr="0009145F" w:rsidRDefault="0009145F" w:rsidP="0009145F">
                          <w:pPr>
                            <w:spacing w:after="0"/>
                            <w:rPr>
                              <w:rFonts w:ascii="Arial" w:eastAsia="Arial" w:hAnsi="Arial" w:cs="Arial"/>
                              <w:noProof/>
                              <w:color w:val="000000"/>
                            </w:rPr>
                          </w:pPr>
                          <w:r w:rsidRPr="0009145F">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BB316"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3F8A6C2D" w14:textId="3C64BE15" w:rsidR="0009145F" w:rsidRPr="0009145F" w:rsidRDefault="0009145F" w:rsidP="0009145F">
                    <w:pPr>
                      <w:spacing w:after="0"/>
                      <w:rPr>
                        <w:rFonts w:ascii="Arial" w:eastAsia="Arial" w:hAnsi="Arial" w:cs="Arial"/>
                        <w:noProof/>
                        <w:color w:val="000000"/>
                      </w:rPr>
                    </w:pPr>
                    <w:r w:rsidRPr="0009145F">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FEB2" w14:textId="7D32D7F4" w:rsidR="0009145F" w:rsidRDefault="0009145F">
    <w:pPr>
      <w:pStyle w:val="Header"/>
    </w:pPr>
    <w:r>
      <w:rPr>
        <w:noProof/>
      </w:rPr>
      <mc:AlternateContent>
        <mc:Choice Requires="wps">
          <w:drawing>
            <wp:anchor distT="0" distB="0" distL="0" distR="0" simplePos="0" relativeHeight="251660288" behindDoc="0" locked="0" layoutInCell="1" allowOverlap="1" wp14:anchorId="2293A062" wp14:editId="64C7E097">
              <wp:simplePos x="723900" y="447675"/>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493B95" w14:textId="7C7F6AFD" w:rsidR="0009145F" w:rsidRPr="0009145F" w:rsidRDefault="0009145F" w:rsidP="0009145F">
                          <w:pPr>
                            <w:spacing w:after="0"/>
                            <w:rPr>
                              <w:rFonts w:ascii="Arial" w:eastAsia="Arial" w:hAnsi="Arial" w:cs="Arial"/>
                              <w:noProof/>
                              <w:color w:val="000000"/>
                            </w:rPr>
                          </w:pPr>
                          <w:r w:rsidRPr="0009145F">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93A062"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8493B95" w14:textId="7C7F6AFD" w:rsidR="0009145F" w:rsidRPr="0009145F" w:rsidRDefault="0009145F" w:rsidP="0009145F">
                    <w:pPr>
                      <w:spacing w:after="0"/>
                      <w:rPr>
                        <w:rFonts w:ascii="Arial" w:eastAsia="Arial" w:hAnsi="Arial" w:cs="Arial"/>
                        <w:noProof/>
                        <w:color w:val="000000"/>
                      </w:rPr>
                    </w:pPr>
                    <w:r w:rsidRPr="0009145F">
                      <w:rPr>
                        <w:rFonts w:ascii="Arial" w:eastAsia="Arial" w:hAnsi="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B680" w14:textId="57DC17CB" w:rsidR="0009145F" w:rsidRDefault="0009145F">
    <w:pPr>
      <w:pStyle w:val="Header"/>
    </w:pPr>
    <w:r>
      <w:rPr>
        <w:noProof/>
      </w:rPr>
      <mc:AlternateContent>
        <mc:Choice Requires="wps">
          <w:drawing>
            <wp:anchor distT="0" distB="0" distL="0" distR="0" simplePos="0" relativeHeight="251658240" behindDoc="0" locked="0" layoutInCell="1" allowOverlap="1" wp14:anchorId="3189B916" wp14:editId="79173ADC">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6F00D5" w14:textId="567FDCE5" w:rsidR="0009145F" w:rsidRPr="0009145F" w:rsidRDefault="0009145F" w:rsidP="0009145F">
                          <w:pPr>
                            <w:spacing w:after="0"/>
                            <w:rPr>
                              <w:rFonts w:ascii="Arial" w:eastAsia="Arial" w:hAnsi="Arial" w:cs="Arial"/>
                              <w:noProof/>
                              <w:color w:val="000000"/>
                            </w:rPr>
                          </w:pPr>
                          <w:r w:rsidRPr="0009145F">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9B916"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6D6F00D5" w14:textId="567FDCE5" w:rsidR="0009145F" w:rsidRPr="0009145F" w:rsidRDefault="0009145F" w:rsidP="0009145F">
                    <w:pPr>
                      <w:spacing w:after="0"/>
                      <w:rPr>
                        <w:rFonts w:ascii="Arial" w:eastAsia="Arial" w:hAnsi="Arial" w:cs="Arial"/>
                        <w:noProof/>
                        <w:color w:val="000000"/>
                      </w:rPr>
                    </w:pPr>
                    <w:r w:rsidRPr="0009145F">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25BC6"/>
    <w:multiLevelType w:val="hybridMultilevel"/>
    <w:tmpl w:val="BFF6C3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191AF2"/>
    <w:multiLevelType w:val="hybridMultilevel"/>
    <w:tmpl w:val="BFF6C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592B19"/>
    <w:multiLevelType w:val="multilevel"/>
    <w:tmpl w:val="DA6015E2"/>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b w:val="0"/>
      </w:rPr>
    </w:lvl>
    <w:lvl w:ilvl="3">
      <w:start w:val="1"/>
      <w:numFmt w:val="decimal"/>
      <w:pStyle w:val="DWNormal"/>
      <w:lvlText w:val="%1.%2.%3.%4"/>
      <w:lvlJc w:val="left"/>
      <w:pPr>
        <w:tabs>
          <w:tab w:val="num" w:pos="4112"/>
        </w:tabs>
        <w:ind w:left="4112" w:hanging="1134"/>
      </w:pPr>
      <w:rPr>
        <w:rFonts w:hint="default"/>
      </w:rPr>
    </w:lvl>
    <w:lvl w:ilvl="4">
      <w:start w:val="1"/>
      <w:numFmt w:val="lowerLetter"/>
      <w:pStyle w:val="StyleDWNormalJustified"/>
      <w:lvlText w:val="%5."/>
      <w:lvlJc w:val="left"/>
      <w:pPr>
        <w:tabs>
          <w:tab w:val="num" w:pos="0"/>
        </w:tabs>
        <w:ind w:left="1701" w:hanging="567"/>
      </w:pPr>
      <w:rPr>
        <w:rFonts w:hint="default"/>
      </w:rPr>
    </w:lvl>
    <w:lvl w:ilvl="5">
      <w:start w:val="1"/>
      <w:numFmt w:val="lowerLetter"/>
      <w:pStyle w:val="DWSubparagraphs"/>
      <w:lvlText w:val="(%6)"/>
      <w:lvlJc w:val="left"/>
      <w:pPr>
        <w:tabs>
          <w:tab w:val="num" w:pos="0"/>
        </w:tabs>
        <w:ind w:left="2268" w:hanging="567"/>
      </w:pPr>
      <w:rPr>
        <w:rFonts w:hint="default"/>
      </w:rPr>
    </w:lvl>
    <w:lvl w:ilvl="6">
      <w:start w:val="1"/>
      <w:numFmt w:val="lowerRoman"/>
      <w:pStyle w:val="DWSubsubparagraphs"/>
      <w:lvlText w:val="%7."/>
      <w:lvlJc w:val="left"/>
      <w:pPr>
        <w:tabs>
          <w:tab w:val="num" w:pos="0"/>
        </w:tabs>
        <w:ind w:left="2835" w:hanging="567"/>
      </w:pPr>
      <w:rPr>
        <w:rFonts w:hint="default"/>
      </w:rPr>
    </w:lvl>
    <w:lvl w:ilvl="7">
      <w:start w:val="1"/>
      <w:numFmt w:val="lowerRoman"/>
      <w:pStyle w:val="DWSubsubsubparagraphs"/>
      <w:lvlText w:val="(%8)"/>
      <w:lvlJc w:val="left"/>
      <w:pPr>
        <w:tabs>
          <w:tab w:val="num" w:pos="0"/>
        </w:tabs>
        <w:ind w:left="3402" w:hanging="567"/>
      </w:pPr>
      <w:rPr>
        <w:rFonts w:hint="default"/>
      </w:rPr>
    </w:lvl>
    <w:lvl w:ilvl="8">
      <w:start w:val="1"/>
      <w:numFmt w:val="bullet"/>
      <w:lvlText w:val=""/>
      <w:lvlJc w:val="left"/>
      <w:pPr>
        <w:tabs>
          <w:tab w:val="num" w:pos="0"/>
        </w:tabs>
        <w:ind w:left="3969" w:hanging="567"/>
      </w:pPr>
      <w:rPr>
        <w:rFonts w:ascii="Symbol" w:hAnsi="Symbol" w:hint="default"/>
      </w:rPr>
    </w:lvl>
  </w:abstractNum>
  <w:num w:numId="1" w16cid:durableId="766733495">
    <w:abstractNumId w:val="1"/>
  </w:num>
  <w:num w:numId="2" w16cid:durableId="1727684670">
    <w:abstractNumId w:val="2"/>
  </w:num>
  <w:num w:numId="3" w16cid:durableId="167275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5F"/>
    <w:rsid w:val="00091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6D23"/>
  <w15:chartTrackingRefBased/>
  <w15:docId w15:val="{4EC4E2CB-31A2-48AB-8805-D6B27995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45F"/>
  </w:style>
  <w:style w:type="paragraph" w:styleId="Heading1">
    <w:name w:val="heading 1"/>
    <w:next w:val="DWNormal"/>
    <w:link w:val="Heading1Char"/>
    <w:qFormat/>
    <w:rsid w:val="0009145F"/>
    <w:pPr>
      <w:keepNext/>
      <w:keepLines/>
      <w:numPr>
        <w:numId w:val="2"/>
      </w:numPr>
      <w:suppressAutoHyphens/>
      <w:spacing w:after="220" w:line="240" w:lineRule="auto"/>
      <w:outlineLvl w:val="0"/>
    </w:pPr>
    <w:rPr>
      <w:rFonts w:ascii="Arial" w:eastAsia="Times New Roman" w:hAnsi="Arial" w:cs="Arial"/>
      <w:b/>
      <w:bCs/>
      <w:caps/>
      <w:kern w:val="22"/>
      <w:sz w:val="26"/>
      <w:szCs w:val="32"/>
      <w:lang w:eastAsia="en-GB"/>
    </w:rPr>
  </w:style>
  <w:style w:type="paragraph" w:styleId="Heading2">
    <w:name w:val="heading 2"/>
    <w:next w:val="DWNormal"/>
    <w:link w:val="Heading2Char"/>
    <w:qFormat/>
    <w:rsid w:val="0009145F"/>
    <w:pPr>
      <w:keepNext/>
      <w:keepLines/>
      <w:numPr>
        <w:ilvl w:val="1"/>
        <w:numId w:val="2"/>
      </w:numPr>
      <w:suppressLineNumbers/>
      <w:suppressAutoHyphens/>
      <w:spacing w:after="220" w:line="240" w:lineRule="auto"/>
      <w:outlineLvl w:val="1"/>
    </w:pPr>
    <w:rPr>
      <w:rFonts w:ascii="Arial" w:eastAsia="Times New Roman" w:hAnsi="Arial" w:cs="Arial"/>
      <w:b/>
      <w:caps/>
      <w:kern w:val="22"/>
      <w:lang w:eastAsia="en-GB"/>
    </w:rPr>
  </w:style>
  <w:style w:type="paragraph" w:styleId="Heading3">
    <w:name w:val="heading 3"/>
    <w:next w:val="DWNormal"/>
    <w:link w:val="Heading3Char"/>
    <w:qFormat/>
    <w:rsid w:val="0009145F"/>
    <w:pPr>
      <w:keepNext/>
      <w:keepLines/>
      <w:numPr>
        <w:ilvl w:val="2"/>
        <w:numId w:val="2"/>
      </w:numPr>
      <w:suppressLineNumbers/>
      <w:suppressAutoHyphens/>
      <w:spacing w:after="220" w:line="240" w:lineRule="auto"/>
      <w:outlineLvl w:val="2"/>
    </w:pPr>
    <w:rPr>
      <w:rFonts w:ascii="Arial" w:eastAsia="Times New Roman" w:hAnsi="Arial" w:cs="Arial"/>
      <w:b/>
      <w:kern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145F"/>
    <w:rPr>
      <w:rFonts w:ascii="Arial" w:eastAsia="Times New Roman" w:hAnsi="Arial" w:cs="Arial"/>
      <w:b/>
      <w:bCs/>
      <w:caps/>
      <w:kern w:val="22"/>
      <w:sz w:val="26"/>
      <w:szCs w:val="32"/>
      <w:lang w:eastAsia="en-GB"/>
    </w:rPr>
  </w:style>
  <w:style w:type="character" w:customStyle="1" w:styleId="Heading2Char">
    <w:name w:val="Heading 2 Char"/>
    <w:basedOn w:val="DefaultParagraphFont"/>
    <w:link w:val="Heading2"/>
    <w:rsid w:val="0009145F"/>
    <w:rPr>
      <w:rFonts w:ascii="Arial" w:eastAsia="Times New Roman" w:hAnsi="Arial" w:cs="Arial"/>
      <w:b/>
      <w:caps/>
      <w:kern w:val="22"/>
      <w:lang w:eastAsia="en-GB"/>
    </w:rPr>
  </w:style>
  <w:style w:type="character" w:customStyle="1" w:styleId="Heading3Char">
    <w:name w:val="Heading 3 Char"/>
    <w:basedOn w:val="DefaultParagraphFont"/>
    <w:link w:val="Heading3"/>
    <w:rsid w:val="0009145F"/>
    <w:rPr>
      <w:rFonts w:ascii="Arial" w:eastAsia="Times New Roman" w:hAnsi="Arial" w:cs="Arial"/>
      <w:b/>
      <w:kern w:val="22"/>
      <w:lang w:eastAsia="en-GB"/>
    </w:rPr>
  </w:style>
  <w:style w:type="character" w:styleId="Hyperlink">
    <w:name w:val="Hyperlink"/>
    <w:basedOn w:val="DefaultParagraphFont"/>
    <w:uiPriority w:val="99"/>
    <w:unhideWhenUsed/>
    <w:rsid w:val="0009145F"/>
    <w:rPr>
      <w:color w:val="0563C1" w:themeColor="hyperlink"/>
      <w:u w:val="single"/>
    </w:rPr>
  </w:style>
  <w:style w:type="paragraph" w:styleId="ListParagraph">
    <w:name w:val="List Paragraph"/>
    <w:basedOn w:val="Normal"/>
    <w:uiPriority w:val="34"/>
    <w:qFormat/>
    <w:rsid w:val="0009145F"/>
    <w:pPr>
      <w:ind w:left="720"/>
      <w:contextualSpacing/>
    </w:pPr>
  </w:style>
  <w:style w:type="character" w:styleId="CommentReference">
    <w:name w:val="annotation reference"/>
    <w:basedOn w:val="DefaultParagraphFont"/>
    <w:uiPriority w:val="99"/>
    <w:semiHidden/>
    <w:unhideWhenUsed/>
    <w:rsid w:val="0009145F"/>
    <w:rPr>
      <w:sz w:val="16"/>
      <w:szCs w:val="16"/>
    </w:rPr>
  </w:style>
  <w:style w:type="paragraph" w:customStyle="1" w:styleId="DWNormal">
    <w:name w:val="DW Normal"/>
    <w:basedOn w:val="Normal"/>
    <w:qFormat/>
    <w:rsid w:val="0009145F"/>
    <w:pPr>
      <w:numPr>
        <w:ilvl w:val="3"/>
        <w:numId w:val="2"/>
      </w:numPr>
      <w:spacing w:after="220" w:line="240" w:lineRule="auto"/>
      <w:ind w:left="1134"/>
    </w:pPr>
    <w:rPr>
      <w:rFonts w:ascii="Arial" w:eastAsia="Times New Roman" w:hAnsi="Arial" w:cs="Arial"/>
      <w:bCs/>
      <w:kern w:val="22"/>
      <w:szCs w:val="20"/>
      <w:lang w:eastAsia="en-GB"/>
    </w:rPr>
  </w:style>
  <w:style w:type="paragraph" w:customStyle="1" w:styleId="DWSubparagraphs">
    <w:name w:val="DW Subparagraphs"/>
    <w:basedOn w:val="Normal"/>
    <w:rsid w:val="0009145F"/>
    <w:pPr>
      <w:numPr>
        <w:ilvl w:val="5"/>
        <w:numId w:val="2"/>
      </w:numPr>
      <w:spacing w:after="220" w:line="240" w:lineRule="auto"/>
    </w:pPr>
    <w:rPr>
      <w:rFonts w:ascii="Arial" w:eastAsia="Times New Roman" w:hAnsi="Arial" w:cs="Arial"/>
      <w:bCs/>
      <w:kern w:val="22"/>
      <w:szCs w:val="20"/>
      <w:lang w:eastAsia="en-GB"/>
    </w:rPr>
  </w:style>
  <w:style w:type="paragraph" w:customStyle="1" w:styleId="DWSubsubparagraphs">
    <w:name w:val="DW Subsubparagraphs"/>
    <w:basedOn w:val="Normal"/>
    <w:rsid w:val="0009145F"/>
    <w:pPr>
      <w:numPr>
        <w:ilvl w:val="6"/>
        <w:numId w:val="2"/>
      </w:numPr>
      <w:spacing w:after="220" w:line="240" w:lineRule="auto"/>
    </w:pPr>
    <w:rPr>
      <w:rFonts w:ascii="Arial" w:eastAsia="Times New Roman" w:hAnsi="Arial" w:cs="Arial"/>
      <w:bCs/>
      <w:kern w:val="22"/>
      <w:szCs w:val="20"/>
      <w:lang w:eastAsia="en-GB"/>
    </w:rPr>
  </w:style>
  <w:style w:type="paragraph" w:customStyle="1" w:styleId="DWSubsubsubparagraphs">
    <w:name w:val="DW Subsubsubparagraphs"/>
    <w:basedOn w:val="Normal"/>
    <w:rsid w:val="0009145F"/>
    <w:pPr>
      <w:numPr>
        <w:ilvl w:val="7"/>
        <w:numId w:val="2"/>
      </w:numPr>
      <w:spacing w:after="220" w:line="240" w:lineRule="auto"/>
    </w:pPr>
    <w:rPr>
      <w:rFonts w:ascii="Arial" w:eastAsia="Times New Roman" w:hAnsi="Arial" w:cs="Arial"/>
      <w:bCs/>
      <w:kern w:val="22"/>
      <w:szCs w:val="20"/>
      <w:lang w:eastAsia="en-GB"/>
    </w:rPr>
  </w:style>
  <w:style w:type="paragraph" w:customStyle="1" w:styleId="StyleDWNormalJustified">
    <w:name w:val="Style DW Normal + Justified"/>
    <w:basedOn w:val="DWNormal"/>
    <w:qFormat/>
    <w:rsid w:val="0009145F"/>
    <w:pPr>
      <w:numPr>
        <w:ilvl w:val="4"/>
      </w:numPr>
      <w:jc w:val="both"/>
    </w:pPr>
    <w:rPr>
      <w:rFonts w:cs="Times New Roman"/>
      <w:bCs w:val="0"/>
    </w:rPr>
  </w:style>
  <w:style w:type="paragraph" w:styleId="Footer">
    <w:name w:val="footer"/>
    <w:basedOn w:val="Normal"/>
    <w:link w:val="FooterChar"/>
    <w:uiPriority w:val="99"/>
    <w:unhideWhenUsed/>
    <w:rsid w:val="0009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45F"/>
  </w:style>
  <w:style w:type="paragraph" w:styleId="Header">
    <w:name w:val="header"/>
    <w:basedOn w:val="Normal"/>
    <w:link w:val="HeaderChar"/>
    <w:uiPriority w:val="99"/>
    <w:unhideWhenUsed/>
    <w:rsid w:val="0009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ESSPISN-Comrcl@mod.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Samantha Mrs (DES SPISN-Comrcl-2c-1)</dc:creator>
  <cp:keywords/>
  <dc:description/>
  <cp:lastModifiedBy>Williams, Samantha Mrs (DES SPISN-Comrcl-2c-1)</cp:lastModifiedBy>
  <cp:revision>1</cp:revision>
  <dcterms:created xsi:type="dcterms:W3CDTF">2024-04-08T14:15:00Z</dcterms:created>
  <dcterms:modified xsi:type="dcterms:W3CDTF">2024-04-08T14:25:00Z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2024-04-08T14:25:04Z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2720f107-0bc6-4440-8118-73005dcb0b83</vt:lpwstr>
  </property>
  <property fmtid="{D5CDD505-2E9C-101B-9397-08002B2CF9AE}" pid="14" name="MSIP_Label_5e992740-1f89-4ed6-b51b-95a6d0136ac8_ContentBits">
    <vt:lpwstr>3</vt:lpwstr>
  </property>
</Properties>
</file>