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33BAC"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1733BAF" w14:textId="77777777" w:rsidTr="00061C01">
        <w:tc>
          <w:tcPr>
            <w:tcW w:w="4539" w:type="dxa"/>
          </w:tcPr>
          <w:p w14:paraId="61733BAD"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1733DB7" wp14:editId="61733DB8">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61733BAE"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1733DB9" wp14:editId="61733DBA">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61733BB0" w14:textId="77777777" w:rsidR="00582B96" w:rsidRDefault="00582B96" w:rsidP="00582B96"/>
    <w:p w14:paraId="61733BB1" w14:textId="77777777" w:rsidR="00582B96" w:rsidRPr="00D144D9" w:rsidRDefault="00582B96" w:rsidP="00582B96">
      <w:pPr>
        <w:rPr>
          <w:color w:val="FF0000"/>
        </w:rPr>
      </w:pPr>
    </w:p>
    <w:p w14:paraId="61733BB2" w14:textId="77777777" w:rsidR="00582B96" w:rsidRDefault="00582B96" w:rsidP="00582B96"/>
    <w:p w14:paraId="61733BB3" w14:textId="77777777" w:rsidR="00582B96" w:rsidRDefault="00582B96" w:rsidP="00582B96"/>
    <w:p w14:paraId="61733BB4" w14:textId="77777777" w:rsidR="00582B96" w:rsidRDefault="00582B96" w:rsidP="00582B96"/>
    <w:p w14:paraId="61733BB5" w14:textId="77777777" w:rsidR="00C5289B" w:rsidRDefault="00C5289B" w:rsidP="00582B96">
      <w:pPr>
        <w:rPr>
          <w:b/>
          <w:sz w:val="52"/>
          <w:szCs w:val="52"/>
        </w:rPr>
      </w:pPr>
    </w:p>
    <w:p w14:paraId="61733BB6" w14:textId="7EE4A1A9" w:rsidR="00582B96" w:rsidRPr="007B59F3" w:rsidRDefault="00582B96" w:rsidP="00582B96">
      <w:pPr>
        <w:rPr>
          <w:b/>
          <w:sz w:val="48"/>
          <w:szCs w:val="48"/>
        </w:rPr>
      </w:pPr>
      <w:r w:rsidRPr="007B59F3">
        <w:rPr>
          <w:b/>
          <w:sz w:val="48"/>
          <w:szCs w:val="48"/>
        </w:rPr>
        <w:t xml:space="preserve">SPECIFICATION </w:t>
      </w:r>
    </w:p>
    <w:p w14:paraId="61733BB7" w14:textId="77777777" w:rsidR="00582B96" w:rsidRDefault="00582B96" w:rsidP="00582B96">
      <w:pPr>
        <w:rPr>
          <w:b/>
          <w:sz w:val="48"/>
          <w:szCs w:val="48"/>
        </w:rPr>
      </w:pPr>
    </w:p>
    <w:p w14:paraId="61733BB8" w14:textId="77777777" w:rsidR="00582B96" w:rsidRDefault="00582B96" w:rsidP="00582B96">
      <w:pPr>
        <w:rPr>
          <w:b/>
          <w:sz w:val="48"/>
          <w:szCs w:val="48"/>
        </w:rPr>
      </w:pPr>
    </w:p>
    <w:p w14:paraId="61733BB9" w14:textId="0AA48CB6" w:rsidR="00582B96" w:rsidRPr="00360CDD" w:rsidRDefault="01E80CCA" w:rsidP="00582B96">
      <w:pPr>
        <w:rPr>
          <w:b/>
          <w:color w:val="FF0000"/>
          <w:sz w:val="36"/>
          <w:szCs w:val="36"/>
        </w:rPr>
      </w:pPr>
      <w:r w:rsidRPr="01E80CCA">
        <w:rPr>
          <w:b/>
          <w:bCs/>
          <w:sz w:val="36"/>
          <w:szCs w:val="36"/>
        </w:rPr>
        <w:t>INVITATION TO TENDER – ITT 30031</w:t>
      </w:r>
    </w:p>
    <w:p w14:paraId="61733BBA" w14:textId="77777777" w:rsidR="00582B96" w:rsidRPr="00360CDD" w:rsidRDefault="00582B96" w:rsidP="00582B96">
      <w:pPr>
        <w:autoSpaceDE w:val="0"/>
        <w:autoSpaceDN w:val="0"/>
        <w:adjustRightInd w:val="0"/>
        <w:rPr>
          <w:rFonts w:cs="Arial"/>
          <w:b/>
          <w:bCs/>
          <w:sz w:val="48"/>
          <w:szCs w:val="48"/>
        </w:rPr>
      </w:pPr>
    </w:p>
    <w:p w14:paraId="61733BBB" w14:textId="49C6DFC1" w:rsidR="00582B96" w:rsidRPr="007B59F3" w:rsidRDefault="00657E32" w:rsidP="00582B96">
      <w:pPr>
        <w:autoSpaceDE w:val="0"/>
        <w:autoSpaceDN w:val="0"/>
        <w:adjustRightInd w:val="0"/>
        <w:rPr>
          <w:rFonts w:cs="Arial"/>
          <w:b/>
          <w:bCs/>
          <w:sz w:val="36"/>
          <w:szCs w:val="36"/>
        </w:rPr>
      </w:pPr>
      <w:r w:rsidRPr="007B59F3">
        <w:rPr>
          <w:rFonts w:cs="Arial"/>
          <w:b/>
          <w:bCs/>
          <w:sz w:val="36"/>
          <w:szCs w:val="36"/>
        </w:rPr>
        <w:t>GREATER MANCHESTER SKILLS SUPPORT FOR THE WORKFORCE</w:t>
      </w:r>
      <w:r w:rsidR="00ED31BF" w:rsidRPr="007B59F3">
        <w:rPr>
          <w:rFonts w:cs="Arial"/>
          <w:b/>
          <w:bCs/>
          <w:sz w:val="36"/>
          <w:szCs w:val="36"/>
        </w:rPr>
        <w:t xml:space="preserve"> </w:t>
      </w:r>
      <w:r w:rsidR="00AE4437" w:rsidRPr="007B59F3">
        <w:rPr>
          <w:rFonts w:cs="Arial"/>
          <w:b/>
          <w:bCs/>
          <w:sz w:val="36"/>
          <w:szCs w:val="36"/>
        </w:rPr>
        <w:t xml:space="preserve">PROGRAMME </w:t>
      </w:r>
      <w:r w:rsidR="00ED31BF" w:rsidRPr="007B59F3">
        <w:rPr>
          <w:rFonts w:cs="Arial"/>
          <w:b/>
          <w:bCs/>
          <w:sz w:val="36"/>
          <w:szCs w:val="36"/>
        </w:rPr>
        <w:t>(15-002-</w:t>
      </w:r>
      <w:r w:rsidR="007B59F3">
        <w:rPr>
          <w:rFonts w:cs="Arial"/>
          <w:b/>
          <w:bCs/>
          <w:sz w:val="36"/>
          <w:szCs w:val="36"/>
        </w:rPr>
        <w:t>01</w:t>
      </w:r>
      <w:r w:rsidR="00ED31BF" w:rsidRPr="007B59F3">
        <w:rPr>
          <w:rFonts w:cs="Arial"/>
          <w:b/>
          <w:bCs/>
          <w:sz w:val="36"/>
          <w:szCs w:val="36"/>
        </w:rPr>
        <w:t>)</w:t>
      </w:r>
    </w:p>
    <w:p w14:paraId="61733BBC" w14:textId="77777777" w:rsidR="00582B96" w:rsidRDefault="00582B96" w:rsidP="00582B96">
      <w:pPr>
        <w:rPr>
          <w:b/>
          <w:sz w:val="48"/>
          <w:szCs w:val="48"/>
        </w:rPr>
      </w:pPr>
    </w:p>
    <w:p w14:paraId="61733BBD" w14:textId="77777777" w:rsidR="00582B96" w:rsidRDefault="00582B96" w:rsidP="00582B96">
      <w:pPr>
        <w:rPr>
          <w:b/>
          <w:sz w:val="48"/>
          <w:szCs w:val="48"/>
        </w:rPr>
      </w:pPr>
    </w:p>
    <w:p w14:paraId="61733BBE" w14:textId="77777777" w:rsidR="00582B96" w:rsidRPr="007B59F3" w:rsidRDefault="00657E32" w:rsidP="00582B96">
      <w:pPr>
        <w:rPr>
          <w:b/>
          <w:sz w:val="36"/>
          <w:szCs w:val="36"/>
        </w:rPr>
      </w:pPr>
      <w:r w:rsidRPr="007B59F3">
        <w:rPr>
          <w:b/>
          <w:sz w:val="36"/>
          <w:szCs w:val="36"/>
        </w:rPr>
        <w:t>G</w:t>
      </w:r>
      <w:r w:rsidR="00AE4437" w:rsidRPr="007B59F3">
        <w:rPr>
          <w:b/>
          <w:sz w:val="36"/>
          <w:szCs w:val="36"/>
        </w:rPr>
        <w:t>reater Manchester</w:t>
      </w:r>
    </w:p>
    <w:p w14:paraId="61733BBF" w14:textId="77777777" w:rsidR="00582B96" w:rsidRDefault="00582B96" w:rsidP="00582B96">
      <w:pPr>
        <w:rPr>
          <w:b/>
          <w:sz w:val="48"/>
          <w:szCs w:val="48"/>
        </w:rPr>
      </w:pPr>
    </w:p>
    <w:p w14:paraId="61733BC0" w14:textId="77777777" w:rsidR="00582B96" w:rsidRDefault="00582B96" w:rsidP="00582B96">
      <w:pPr>
        <w:rPr>
          <w:b/>
          <w:sz w:val="48"/>
          <w:szCs w:val="48"/>
        </w:rPr>
      </w:pPr>
    </w:p>
    <w:p w14:paraId="61733BC1" w14:textId="77777777" w:rsidR="00582B96" w:rsidRDefault="00582B96" w:rsidP="00582B96">
      <w:pPr>
        <w:rPr>
          <w:b/>
          <w:sz w:val="48"/>
          <w:szCs w:val="48"/>
        </w:rPr>
      </w:pPr>
    </w:p>
    <w:p w14:paraId="61733BC2" w14:textId="4E24A1A6" w:rsidR="00582B96" w:rsidRDefault="00582B96" w:rsidP="00582B96">
      <w:pPr>
        <w:rPr>
          <w:b/>
          <w:sz w:val="36"/>
          <w:szCs w:val="36"/>
        </w:rPr>
      </w:pPr>
      <w:r w:rsidRPr="00360CDD">
        <w:rPr>
          <w:b/>
          <w:sz w:val="36"/>
          <w:szCs w:val="36"/>
        </w:rPr>
        <w:t>DATE:</w:t>
      </w:r>
      <w:r w:rsidR="006C4B44">
        <w:rPr>
          <w:b/>
          <w:sz w:val="36"/>
          <w:szCs w:val="36"/>
        </w:rPr>
        <w:t xml:space="preserve"> </w:t>
      </w:r>
      <w:r w:rsidR="007B59F3">
        <w:rPr>
          <w:b/>
          <w:sz w:val="36"/>
          <w:szCs w:val="36"/>
        </w:rPr>
        <w:t>Ma</w:t>
      </w:r>
      <w:r w:rsidR="00657E32">
        <w:rPr>
          <w:b/>
          <w:sz w:val="36"/>
          <w:szCs w:val="36"/>
        </w:rPr>
        <w:t xml:space="preserve">y </w:t>
      </w:r>
      <w:r w:rsidR="006C4B44">
        <w:rPr>
          <w:b/>
          <w:sz w:val="36"/>
          <w:szCs w:val="36"/>
        </w:rPr>
        <w:t>2016</w:t>
      </w:r>
    </w:p>
    <w:p w14:paraId="6E5A2F33" w14:textId="77777777" w:rsidR="007B59F3" w:rsidRPr="00360CDD" w:rsidRDefault="007B59F3" w:rsidP="00582B96">
      <w:pPr>
        <w:rPr>
          <w:b/>
          <w:sz w:val="36"/>
          <w:szCs w:val="36"/>
        </w:rPr>
      </w:pPr>
    </w:p>
    <w:p w14:paraId="61733BC3" w14:textId="77777777" w:rsidR="00582B96" w:rsidRDefault="00582B96"/>
    <w:tbl>
      <w:tblPr>
        <w:tblW w:w="0" w:type="auto"/>
        <w:tblLook w:val="01E0" w:firstRow="1" w:lastRow="1" w:firstColumn="1" w:lastColumn="1" w:noHBand="0" w:noVBand="0"/>
      </w:tblPr>
      <w:tblGrid>
        <w:gridCol w:w="4421"/>
        <w:gridCol w:w="4366"/>
      </w:tblGrid>
      <w:tr w:rsidR="00ED67E0" w14:paraId="61733BC6" w14:textId="77777777" w:rsidTr="00B24D65">
        <w:tc>
          <w:tcPr>
            <w:tcW w:w="4421" w:type="dxa"/>
          </w:tcPr>
          <w:p w14:paraId="61733BC4" w14:textId="77777777" w:rsidR="00ED67E0" w:rsidRDefault="00ED67E0" w:rsidP="000419AD">
            <w:pPr>
              <w:pStyle w:val="Header"/>
              <w:tabs>
                <w:tab w:val="clear" w:pos="4153"/>
                <w:tab w:val="clear" w:pos="8306"/>
                <w:tab w:val="left" w:pos="1185"/>
              </w:tabs>
            </w:pPr>
            <w:r>
              <w:tab/>
            </w:r>
          </w:p>
        </w:tc>
        <w:tc>
          <w:tcPr>
            <w:tcW w:w="4366" w:type="dxa"/>
          </w:tcPr>
          <w:p w14:paraId="61733BC5" w14:textId="77777777" w:rsidR="00ED67E0" w:rsidRDefault="00ED67E0" w:rsidP="000419AD">
            <w:pPr>
              <w:pStyle w:val="Header"/>
              <w:jc w:val="right"/>
            </w:pPr>
          </w:p>
        </w:tc>
      </w:tr>
      <w:tr w:rsidR="00ED67E0" w:rsidRPr="002465E9" w14:paraId="61733BC9" w14:textId="77777777" w:rsidTr="00B24D65">
        <w:tc>
          <w:tcPr>
            <w:tcW w:w="4421" w:type="dxa"/>
          </w:tcPr>
          <w:p w14:paraId="61733BC7" w14:textId="77777777" w:rsidR="00ED67E0" w:rsidRDefault="00ED67E0" w:rsidP="000419AD">
            <w:pPr>
              <w:pStyle w:val="Header"/>
            </w:pPr>
            <w:r>
              <w:rPr>
                <w:noProof/>
                <w:lang w:eastAsia="en-GB"/>
              </w:rPr>
              <w:lastRenderedPageBreak/>
              <w:drawing>
                <wp:inline distT="0" distB="0" distL="0" distR="0" wp14:anchorId="61733DBB" wp14:editId="61733DBC">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61733BC8" w14:textId="77777777" w:rsidR="00ED67E0" w:rsidRDefault="000D51DE" w:rsidP="000419AD">
            <w:pPr>
              <w:pStyle w:val="Header"/>
              <w:jc w:val="right"/>
            </w:pPr>
            <w:r>
              <w:rPr>
                <w:noProof/>
                <w:lang w:eastAsia="en-GB"/>
              </w:rPr>
              <w:drawing>
                <wp:inline distT="0" distB="0" distL="0" distR="0" wp14:anchorId="61733DBD" wp14:editId="61733DBE">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1733BCC" w14:textId="77777777" w:rsidTr="00B24D65">
        <w:tc>
          <w:tcPr>
            <w:tcW w:w="4421" w:type="dxa"/>
          </w:tcPr>
          <w:p w14:paraId="61733BCA" w14:textId="77777777" w:rsidR="008441FE" w:rsidRDefault="008441FE" w:rsidP="000419AD">
            <w:pPr>
              <w:pStyle w:val="Header"/>
              <w:rPr>
                <w:noProof/>
                <w:lang w:eastAsia="en-GB"/>
              </w:rPr>
            </w:pPr>
          </w:p>
        </w:tc>
        <w:tc>
          <w:tcPr>
            <w:tcW w:w="4366" w:type="dxa"/>
          </w:tcPr>
          <w:p w14:paraId="61733BCB" w14:textId="77777777" w:rsidR="008441FE" w:rsidRDefault="008441FE" w:rsidP="000419AD">
            <w:pPr>
              <w:pStyle w:val="Header"/>
              <w:jc w:val="right"/>
              <w:rPr>
                <w:noProof/>
                <w:lang w:eastAsia="en-GB"/>
              </w:rPr>
            </w:pPr>
          </w:p>
        </w:tc>
      </w:tr>
    </w:tbl>
    <w:p w14:paraId="61733BCD"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61733BD1" w14:textId="77777777" w:rsidTr="00E0293B">
        <w:trPr>
          <w:trHeight w:val="597"/>
        </w:trPr>
        <w:tc>
          <w:tcPr>
            <w:tcW w:w="9088" w:type="dxa"/>
          </w:tcPr>
          <w:p w14:paraId="61733BCF" w14:textId="23680DCB" w:rsidR="007654E6" w:rsidRPr="007B59F3" w:rsidRDefault="00B3399A" w:rsidP="00A524B5">
            <w:pPr>
              <w:pStyle w:val="BodyText"/>
              <w:tabs>
                <w:tab w:val="num" w:pos="1134"/>
              </w:tabs>
              <w:spacing w:after="0"/>
              <w:jc w:val="both"/>
              <w:rPr>
                <w:rFonts w:ascii="Arial" w:hAnsi="Arial" w:cs="Arial"/>
                <w:b/>
              </w:rPr>
            </w:pPr>
            <w:r w:rsidRPr="007B59F3">
              <w:rPr>
                <w:rFonts w:ascii="Arial" w:hAnsi="Arial" w:cs="Arial"/>
                <w:b/>
              </w:rPr>
              <w:t xml:space="preserve">SPECIFICATION: </w:t>
            </w:r>
            <w:r w:rsidR="00657E32" w:rsidRPr="007B59F3">
              <w:rPr>
                <w:rFonts w:ascii="Arial" w:hAnsi="Arial" w:cs="Arial"/>
                <w:b/>
              </w:rPr>
              <w:t>Greater Manchester</w:t>
            </w:r>
            <w:r w:rsidR="00ED31BF" w:rsidRPr="007B59F3">
              <w:rPr>
                <w:rFonts w:ascii="Arial" w:hAnsi="Arial" w:cs="Arial"/>
                <w:b/>
              </w:rPr>
              <w:t xml:space="preserve"> </w:t>
            </w:r>
            <w:r w:rsidR="00657E32" w:rsidRPr="007B59F3">
              <w:rPr>
                <w:rFonts w:ascii="Arial" w:hAnsi="Arial" w:cs="Arial"/>
                <w:b/>
              </w:rPr>
              <w:t>Skills Support for the Workforce</w:t>
            </w:r>
            <w:r w:rsidR="007D4445" w:rsidRPr="007B59F3">
              <w:rPr>
                <w:rFonts w:ascii="Arial" w:hAnsi="Arial" w:cs="Arial"/>
                <w:b/>
              </w:rPr>
              <w:t xml:space="preserve"> Programme</w:t>
            </w:r>
          </w:p>
          <w:p w14:paraId="61733BD0"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61733BD3" w14:textId="77777777" w:rsidTr="00E1095C">
        <w:trPr>
          <w:trHeight w:val="567"/>
        </w:trPr>
        <w:tc>
          <w:tcPr>
            <w:tcW w:w="9088" w:type="dxa"/>
            <w:shd w:val="clear" w:color="auto" w:fill="D9D9D9" w:themeFill="background1" w:themeFillShade="D9"/>
            <w:vAlign w:val="center"/>
          </w:tcPr>
          <w:p w14:paraId="61733BD2" w14:textId="77777777" w:rsidR="00967429" w:rsidRPr="00FD3B0A" w:rsidRDefault="004C726D" w:rsidP="00FD3B0A">
            <w:pPr>
              <w:pStyle w:val="SpecificationHeading"/>
            </w:pPr>
            <w:r w:rsidRPr="00FD3B0A">
              <w:t>BACKGROUND</w:t>
            </w:r>
          </w:p>
        </w:tc>
      </w:tr>
      <w:tr w:rsidR="00967429" w:rsidRPr="00EF4406" w14:paraId="61733BF0" w14:textId="77777777" w:rsidTr="00E0293B">
        <w:tc>
          <w:tcPr>
            <w:tcW w:w="9088" w:type="dxa"/>
          </w:tcPr>
          <w:p w14:paraId="61733BD4" w14:textId="77777777" w:rsidR="00B24D65" w:rsidRPr="002833D9" w:rsidRDefault="00B24D65" w:rsidP="00FF3875">
            <w:pPr>
              <w:tabs>
                <w:tab w:val="num" w:pos="900"/>
              </w:tabs>
              <w:autoSpaceDE w:val="0"/>
              <w:autoSpaceDN w:val="0"/>
              <w:adjustRightInd w:val="0"/>
              <w:jc w:val="both"/>
              <w:rPr>
                <w:rFonts w:cs="Arial"/>
                <w:b/>
              </w:rPr>
            </w:pPr>
          </w:p>
          <w:p w14:paraId="61733BD5" w14:textId="77777777" w:rsidR="001F0385" w:rsidRPr="002833D9" w:rsidRDefault="002833D9" w:rsidP="00FF3875">
            <w:pPr>
              <w:tabs>
                <w:tab w:val="num" w:pos="900"/>
              </w:tabs>
              <w:autoSpaceDE w:val="0"/>
              <w:autoSpaceDN w:val="0"/>
              <w:adjustRightInd w:val="0"/>
              <w:jc w:val="both"/>
              <w:rPr>
                <w:rFonts w:cs="Arial"/>
                <w:b/>
              </w:rPr>
            </w:pPr>
            <w:r w:rsidRPr="002833D9">
              <w:rPr>
                <w:rFonts w:cs="Arial"/>
                <w:b/>
              </w:rPr>
              <w:t>General</w:t>
            </w:r>
          </w:p>
          <w:p w14:paraId="61733BD6" w14:textId="77777777" w:rsidR="002833D9" w:rsidRPr="002833D9" w:rsidRDefault="002833D9" w:rsidP="00FF3875">
            <w:pPr>
              <w:tabs>
                <w:tab w:val="num" w:pos="900"/>
              </w:tabs>
              <w:autoSpaceDE w:val="0"/>
              <w:autoSpaceDN w:val="0"/>
              <w:adjustRightInd w:val="0"/>
              <w:jc w:val="both"/>
              <w:rPr>
                <w:rFonts w:cs="Arial"/>
                <w:b/>
              </w:rPr>
            </w:pPr>
          </w:p>
          <w:p w14:paraId="61733BD7" w14:textId="77777777" w:rsidR="00B24D65" w:rsidRPr="005A1D76" w:rsidRDefault="00B24D65" w:rsidP="00FF3875">
            <w:pPr>
              <w:tabs>
                <w:tab w:val="num" w:pos="900"/>
              </w:tabs>
              <w:autoSpaceDE w:val="0"/>
              <w:autoSpaceDN w:val="0"/>
              <w:adjustRightInd w:val="0"/>
              <w:jc w:val="both"/>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61733BD8" w14:textId="77777777" w:rsidR="002833D9" w:rsidRPr="005A1D76" w:rsidRDefault="002833D9" w:rsidP="00FF3875">
            <w:pPr>
              <w:tabs>
                <w:tab w:val="num" w:pos="900"/>
              </w:tabs>
              <w:autoSpaceDE w:val="0"/>
              <w:autoSpaceDN w:val="0"/>
              <w:adjustRightInd w:val="0"/>
              <w:jc w:val="both"/>
              <w:rPr>
                <w:rFonts w:cs="Arial"/>
              </w:rPr>
            </w:pPr>
          </w:p>
          <w:p w14:paraId="61733BD9" w14:textId="77777777" w:rsidR="002833D9" w:rsidRPr="005A1D76" w:rsidRDefault="002833D9" w:rsidP="00FF3875">
            <w:pPr>
              <w:jc w:val="both"/>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61733BDA" w14:textId="77777777" w:rsidR="002833D9" w:rsidRPr="005A1D76" w:rsidRDefault="002833D9" w:rsidP="00FF3875">
            <w:pPr>
              <w:jc w:val="both"/>
              <w:rPr>
                <w:rFonts w:cs="Arial"/>
              </w:rPr>
            </w:pPr>
          </w:p>
          <w:p w14:paraId="61733BDB" w14:textId="77777777" w:rsidR="00A63E89" w:rsidRPr="00A63E89" w:rsidRDefault="00AD0B65" w:rsidP="00FF3875">
            <w:pPr>
              <w:jc w:val="both"/>
            </w:pPr>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EB57C4">
              <w:t>, w</w:t>
            </w:r>
            <w:r w:rsidR="00A63E89" w:rsidRPr="00A63E89">
              <w:t xml:space="preserve">here the need has been identified both in the LEP area and European Structural and Investment Fund Strategies.  </w:t>
            </w:r>
          </w:p>
          <w:p w14:paraId="61733BDC" w14:textId="77777777" w:rsidR="00AD0B65" w:rsidRPr="00AD0B65" w:rsidRDefault="00AD0B65" w:rsidP="00FF3875">
            <w:pPr>
              <w:jc w:val="both"/>
              <w:rPr>
                <w:rFonts w:cs="Arial"/>
              </w:rPr>
            </w:pPr>
          </w:p>
          <w:p w14:paraId="61733BDD" w14:textId="77777777" w:rsidR="004A2467" w:rsidRDefault="009E7A30" w:rsidP="00FF3875">
            <w:pPr>
              <w:jc w:val="both"/>
            </w:pPr>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61733BDE" w14:textId="77777777" w:rsidR="00EB57C4" w:rsidRDefault="00EB57C4" w:rsidP="00FF3875">
            <w:pPr>
              <w:jc w:val="both"/>
            </w:pPr>
          </w:p>
          <w:p w14:paraId="61733BDF" w14:textId="77777777" w:rsidR="00EB57C4" w:rsidRDefault="00EB57C4" w:rsidP="00FF3875">
            <w:pPr>
              <w:jc w:val="both"/>
            </w:pPr>
            <w:r>
              <w:t>This strand is for:</w:t>
            </w:r>
          </w:p>
          <w:p w14:paraId="61733BE0" w14:textId="77777777" w:rsidR="00EB57C4" w:rsidRDefault="00EB57C4" w:rsidP="00FF3875">
            <w:pPr>
              <w:jc w:val="both"/>
            </w:pPr>
          </w:p>
          <w:p w14:paraId="61733BE1" w14:textId="77777777" w:rsidR="00FF3875" w:rsidRDefault="00FF3875" w:rsidP="00FF3875">
            <w:pPr>
              <w:pStyle w:val="ListParagraph"/>
              <w:numPr>
                <w:ilvl w:val="0"/>
                <w:numId w:val="9"/>
              </w:numPr>
              <w:jc w:val="both"/>
            </w:pPr>
            <w:r>
              <w:t>Skills Support for the Workforce, Basic Skills provision</w:t>
            </w:r>
          </w:p>
          <w:p w14:paraId="61733BE2" w14:textId="77777777" w:rsidR="004A2467" w:rsidRDefault="004A2467" w:rsidP="00FF3875">
            <w:pPr>
              <w:pStyle w:val="ListParagraph"/>
              <w:numPr>
                <w:ilvl w:val="0"/>
                <w:numId w:val="9"/>
              </w:numPr>
              <w:jc w:val="both"/>
            </w:pPr>
            <w:r>
              <w:t>Skills Support for the Workfor</w:t>
            </w:r>
            <w:r w:rsidR="00FF3875">
              <w:t>ce, Intermediate/Higher Skills p</w:t>
            </w:r>
            <w:r>
              <w:t>rovision</w:t>
            </w:r>
          </w:p>
          <w:p w14:paraId="61733BE3" w14:textId="77777777" w:rsidR="006C4B44" w:rsidRDefault="006C4B44" w:rsidP="00FF3875">
            <w:pPr>
              <w:pStyle w:val="ListParagraph"/>
              <w:numPr>
                <w:ilvl w:val="0"/>
                <w:numId w:val="9"/>
              </w:numPr>
              <w:jc w:val="both"/>
            </w:pPr>
            <w:r>
              <w:t>Skills Support for Redundancy</w:t>
            </w:r>
          </w:p>
          <w:p w14:paraId="61733BE4" w14:textId="77777777" w:rsidR="00F17CE2" w:rsidRPr="005A1D76" w:rsidRDefault="00F17CE2" w:rsidP="00FF3875">
            <w:pPr>
              <w:tabs>
                <w:tab w:val="num" w:pos="900"/>
              </w:tabs>
              <w:autoSpaceDE w:val="0"/>
              <w:autoSpaceDN w:val="0"/>
              <w:adjustRightInd w:val="0"/>
              <w:jc w:val="both"/>
              <w:rPr>
                <w:rFonts w:cs="Arial"/>
              </w:rPr>
            </w:pPr>
          </w:p>
          <w:p w14:paraId="61733BE5" w14:textId="77777777" w:rsidR="00442DA3" w:rsidRDefault="00B24D65" w:rsidP="00FF3875">
            <w:pPr>
              <w:jc w:val="both"/>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2D562550" w14:textId="77777777" w:rsidR="00E1095C" w:rsidRDefault="00E1095C" w:rsidP="00FF3875">
            <w:pPr>
              <w:jc w:val="both"/>
              <w:rPr>
                <w:rFonts w:cs="Arial"/>
              </w:rPr>
            </w:pPr>
          </w:p>
          <w:p w14:paraId="61733BE6" w14:textId="77777777" w:rsidR="00EB57C4" w:rsidRDefault="00EB57C4" w:rsidP="00FF3875">
            <w:pPr>
              <w:jc w:val="both"/>
              <w:rPr>
                <w:rFonts w:cs="Arial"/>
                <w:b/>
              </w:rPr>
            </w:pPr>
            <w:r w:rsidRPr="00EB57C4">
              <w:rPr>
                <w:rFonts w:cs="Arial"/>
                <w:b/>
              </w:rPr>
              <w:t>Greater Manchester</w:t>
            </w:r>
            <w:r>
              <w:rPr>
                <w:rFonts w:cs="Arial"/>
              </w:rPr>
              <w:t xml:space="preserve"> </w:t>
            </w:r>
            <w:r>
              <w:rPr>
                <w:rFonts w:cs="Arial"/>
                <w:b/>
              </w:rPr>
              <w:t>Local Enterprise Partnership Background</w:t>
            </w:r>
          </w:p>
          <w:p w14:paraId="61733BE7" w14:textId="77777777" w:rsidR="000D51DE" w:rsidRDefault="000D51DE" w:rsidP="00FF3875">
            <w:pPr>
              <w:jc w:val="both"/>
              <w:rPr>
                <w:rFonts w:cs="Arial"/>
              </w:rPr>
            </w:pPr>
          </w:p>
          <w:p w14:paraId="61733BE8" w14:textId="77777777" w:rsidR="0053752C" w:rsidRPr="00426CB3" w:rsidRDefault="0053752C" w:rsidP="00FF3875">
            <w:pPr>
              <w:pStyle w:val="Default"/>
              <w:jc w:val="both"/>
              <w:rPr>
                <w:color w:val="auto"/>
              </w:rPr>
            </w:pPr>
            <w:r w:rsidRPr="00426CB3">
              <w:rPr>
                <w:color w:val="auto"/>
              </w:rPr>
              <w:t xml:space="preserve">It is estimated that a quarter of the productivity gap between Greater Manchester (GM) and the UK as a whole is caused by higher than average levels of </w:t>
            </w:r>
            <w:proofErr w:type="spellStart"/>
            <w:r w:rsidRPr="00426CB3">
              <w:rPr>
                <w:color w:val="auto"/>
              </w:rPr>
              <w:t>worklessness</w:t>
            </w:r>
            <w:proofErr w:type="spellEnd"/>
            <w:r w:rsidRPr="00426CB3">
              <w:rPr>
                <w:color w:val="auto"/>
              </w:rPr>
              <w:t xml:space="preserve"> and low levels of economic activity. The other three quarters is caused by lower levels of economic output, with people in work not as productive as elsewhere in the country, and of which low skill levels is a critical component. </w:t>
            </w:r>
          </w:p>
          <w:p w14:paraId="61733BE9" w14:textId="77777777" w:rsidR="0053752C" w:rsidRPr="00426CB3" w:rsidRDefault="0053752C" w:rsidP="00FF3875">
            <w:pPr>
              <w:jc w:val="both"/>
              <w:textAlignment w:val="baseline"/>
              <w:rPr>
                <w:rFonts w:cs="Arial"/>
              </w:rPr>
            </w:pPr>
          </w:p>
          <w:p w14:paraId="61733BEA" w14:textId="77777777" w:rsidR="0053752C" w:rsidRPr="00426CB3" w:rsidRDefault="0053752C" w:rsidP="00FF3875">
            <w:pPr>
              <w:pStyle w:val="Default"/>
              <w:jc w:val="both"/>
              <w:rPr>
                <w:color w:val="auto"/>
              </w:rPr>
            </w:pPr>
            <w:r w:rsidRPr="00426CB3">
              <w:rPr>
                <w:color w:val="auto"/>
              </w:rPr>
              <w:t>This programme will raise  productivity through workforce skills development, particularly at advanced and higher levels in those existing and emerging growth sectors (identified as being business, financial &amp; professional services, advanced manufacturing (including advanced materials), digital and creative, construction, logistics and low carbon), where possible.</w:t>
            </w:r>
          </w:p>
          <w:p w14:paraId="61733BEB" w14:textId="77777777" w:rsidR="0053752C" w:rsidRPr="00426CB3" w:rsidRDefault="0053752C" w:rsidP="00FF3875">
            <w:pPr>
              <w:pStyle w:val="Default"/>
              <w:jc w:val="both"/>
              <w:rPr>
                <w:color w:val="auto"/>
              </w:rPr>
            </w:pPr>
            <w:r w:rsidRPr="00426CB3">
              <w:rPr>
                <w:color w:val="auto"/>
              </w:rPr>
              <w:t xml:space="preserve"> </w:t>
            </w:r>
          </w:p>
          <w:p w14:paraId="61733BEC" w14:textId="77777777" w:rsidR="0053752C" w:rsidRPr="00426CB3" w:rsidRDefault="0053752C" w:rsidP="00FF3875">
            <w:pPr>
              <w:autoSpaceDE w:val="0"/>
              <w:autoSpaceDN w:val="0"/>
              <w:adjustRightInd w:val="0"/>
              <w:jc w:val="both"/>
              <w:rPr>
                <w:rFonts w:cs="Arial"/>
              </w:rPr>
            </w:pPr>
            <w:r w:rsidRPr="00426CB3">
              <w:rPr>
                <w:rFonts w:cs="Arial"/>
              </w:rPr>
              <w:t xml:space="preserve">Provision will support sustainable employment and promote in-work progression for individuals through the delivery of work-related skills training. Greater Manchester will fund provision that raises the attainment levels achieved by these individuals, enabling them to improve their employment status and move on to undertake higher levels of training. </w:t>
            </w:r>
          </w:p>
          <w:p w14:paraId="61733BED" w14:textId="77777777" w:rsidR="0053752C" w:rsidRPr="00426CB3" w:rsidRDefault="0053752C" w:rsidP="00FF3875">
            <w:pPr>
              <w:autoSpaceDE w:val="0"/>
              <w:autoSpaceDN w:val="0"/>
              <w:adjustRightInd w:val="0"/>
              <w:jc w:val="both"/>
              <w:rPr>
                <w:rFonts w:cs="Arial"/>
              </w:rPr>
            </w:pPr>
          </w:p>
          <w:p w14:paraId="639905BA" w14:textId="77777777" w:rsidR="00426CB3" w:rsidRDefault="0053752C" w:rsidP="00FF3875">
            <w:pPr>
              <w:pStyle w:val="Default"/>
              <w:jc w:val="both"/>
              <w:rPr>
                <w:color w:val="auto"/>
              </w:rPr>
            </w:pPr>
            <w:r w:rsidRPr="00426CB3">
              <w:rPr>
                <w:color w:val="auto"/>
              </w:rPr>
              <w:t xml:space="preserve">Engaging with  employees, with support from the employer, to understand the requirements of both sets of skills needs and provide localised support with appropriate education or training that is in line with labour market need will support both Growth and Reform in GM (GM Growth and Reform plan can be found here:  </w:t>
            </w:r>
            <w:hyperlink r:id="rId15" w:history="1">
              <w:r w:rsidRPr="00426CB3">
                <w:rPr>
                  <w:rStyle w:val="Hyperlink"/>
                  <w:color w:val="3333FF"/>
                  <w:sz w:val="24"/>
                  <w:szCs w:val="24"/>
                </w:rPr>
                <w:t>https://www.greatermanchester-ca.gov.uk/downloads/download/10/gm_growth_and_reform_plan</w:t>
              </w:r>
            </w:hyperlink>
            <w:r w:rsidRPr="00426CB3">
              <w:rPr>
                <w:color w:val="3333FF"/>
              </w:rPr>
              <w:t>)</w:t>
            </w:r>
            <w:r w:rsidRPr="00426CB3">
              <w:rPr>
                <w:color w:val="auto"/>
              </w:rPr>
              <w:t xml:space="preserve"> </w:t>
            </w:r>
          </w:p>
          <w:p w14:paraId="5ECC834F" w14:textId="77777777" w:rsidR="00426CB3" w:rsidRDefault="0053752C" w:rsidP="00426CB3">
            <w:pPr>
              <w:pStyle w:val="Default"/>
              <w:rPr>
                <w:color w:val="auto"/>
              </w:rPr>
            </w:pPr>
            <w:r w:rsidRPr="00426CB3">
              <w:rPr>
                <w:color w:val="auto"/>
              </w:rPr>
              <w:t xml:space="preserve">and the objectives outlined in the Greater Manchester Strategy (strategy document can be found here: </w:t>
            </w:r>
          </w:p>
          <w:p w14:paraId="61733BEE" w14:textId="72798D4D" w:rsidR="0053752C" w:rsidRPr="00426CB3" w:rsidRDefault="00A66FDE" w:rsidP="00426CB3">
            <w:pPr>
              <w:pStyle w:val="Default"/>
              <w:rPr>
                <w:color w:val="3333FF"/>
              </w:rPr>
            </w:pPr>
            <w:hyperlink r:id="rId16" w:history="1">
              <w:r w:rsidR="00426CB3" w:rsidRPr="0027746D">
                <w:rPr>
                  <w:rStyle w:val="Hyperlink"/>
                  <w:sz w:val="24"/>
                  <w:szCs w:val="24"/>
                </w:rPr>
                <w:t>https://www.greatermanchesterca.gov.uk/downloads/download/8/stronger_together_-_greater_manchester_strategy</w:t>
              </w:r>
            </w:hyperlink>
            <w:r w:rsidR="0053752C" w:rsidRPr="00426CB3">
              <w:rPr>
                <w:color w:val="3333FF"/>
              </w:rPr>
              <w:t xml:space="preserve">). </w:t>
            </w:r>
          </w:p>
          <w:p w14:paraId="61733BEF" w14:textId="77777777" w:rsidR="006C4B44" w:rsidRPr="006C4B44" w:rsidRDefault="006C4B44" w:rsidP="00FF3875">
            <w:pPr>
              <w:pStyle w:val="Default"/>
              <w:jc w:val="both"/>
              <w:rPr>
                <w:lang w:eastAsia="en-GB"/>
              </w:rPr>
            </w:pPr>
          </w:p>
        </w:tc>
      </w:tr>
      <w:tr w:rsidR="00967429" w14:paraId="61733BF2" w14:textId="77777777" w:rsidTr="00E1095C">
        <w:trPr>
          <w:trHeight w:val="567"/>
        </w:trPr>
        <w:tc>
          <w:tcPr>
            <w:tcW w:w="9088" w:type="dxa"/>
            <w:shd w:val="clear" w:color="auto" w:fill="D9D9D9" w:themeFill="background1" w:themeFillShade="D9"/>
            <w:vAlign w:val="center"/>
          </w:tcPr>
          <w:p w14:paraId="61733BF1"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61733C12" w14:textId="77777777" w:rsidTr="00E0293B">
        <w:tc>
          <w:tcPr>
            <w:tcW w:w="9088" w:type="dxa"/>
          </w:tcPr>
          <w:p w14:paraId="61733BF3" w14:textId="77777777" w:rsidR="002E25F4" w:rsidRDefault="002E25F4" w:rsidP="00FF3875">
            <w:pPr>
              <w:jc w:val="both"/>
              <w:rPr>
                <w:rFonts w:cs="Arial"/>
                <w:i/>
              </w:rPr>
            </w:pPr>
          </w:p>
          <w:p w14:paraId="61733BF4" w14:textId="77777777" w:rsidR="0004585A" w:rsidRDefault="233CE29A" w:rsidP="00FF3875">
            <w:pPr>
              <w:ind w:left="360" w:hanging="360"/>
              <w:jc w:val="both"/>
            </w:pPr>
            <w:r w:rsidRPr="001F4B04">
              <w:rPr>
                <w:rFonts w:eastAsia="Arial" w:cs="Arial"/>
                <w:b/>
                <w:bCs/>
              </w:rPr>
              <w:t xml:space="preserve">At risk of Redundancy: </w:t>
            </w:r>
            <w:r w:rsidRPr="001F4B04">
              <w:rPr>
                <w:rFonts w:eastAsia="Arial" w:cs="Arial"/>
              </w:rPr>
              <w:t>means Employees identified by the employer as at risk or redundancy and/or commenced formal consultation with staff representatives on the need to make redundancies</w:t>
            </w:r>
          </w:p>
          <w:p w14:paraId="61733BF5" w14:textId="77777777" w:rsidR="0004585A" w:rsidRDefault="233CE29A" w:rsidP="00FF3875">
            <w:pPr>
              <w:ind w:left="360" w:hanging="360"/>
              <w:jc w:val="both"/>
            </w:pPr>
            <w:r w:rsidRPr="001F4B04">
              <w:rPr>
                <w:rFonts w:eastAsia="Arial" w:cs="Arial"/>
                <w:b/>
                <w:bCs/>
              </w:rPr>
              <w:t xml:space="preserve"> </w:t>
            </w:r>
          </w:p>
          <w:p w14:paraId="61733BF6" w14:textId="77777777" w:rsidR="0004585A" w:rsidRDefault="233CE29A" w:rsidP="00FF3875">
            <w:pPr>
              <w:ind w:left="360" w:hanging="360"/>
              <w:jc w:val="both"/>
            </w:pPr>
            <w:r w:rsidRPr="001F4B04">
              <w:rPr>
                <w:rFonts w:eastAsia="Arial" w:cs="Arial"/>
                <w:b/>
                <w:bCs/>
              </w:rPr>
              <w:t xml:space="preserve">Candidate: </w:t>
            </w:r>
            <w:r w:rsidRPr="001F4B04">
              <w:rPr>
                <w:rFonts w:eastAsia="Arial" w:cs="Arial"/>
              </w:rPr>
              <w:t>means an organisation who has been invited to take part in this restricted procurement procedure</w:t>
            </w:r>
          </w:p>
          <w:p w14:paraId="61733BF7" w14:textId="77777777" w:rsidR="0004585A" w:rsidRDefault="233CE29A" w:rsidP="00FF3875">
            <w:pPr>
              <w:ind w:left="360" w:hanging="360"/>
              <w:jc w:val="both"/>
            </w:pPr>
            <w:r w:rsidRPr="001F4B04">
              <w:rPr>
                <w:rFonts w:eastAsia="Arial" w:cs="Arial"/>
                <w:b/>
                <w:bCs/>
              </w:rPr>
              <w:t xml:space="preserve"> </w:t>
            </w:r>
          </w:p>
          <w:p w14:paraId="61733BF8" w14:textId="77777777" w:rsidR="0004585A" w:rsidRDefault="233CE29A" w:rsidP="00FF3875">
            <w:pPr>
              <w:ind w:left="360" w:hanging="360"/>
              <w:jc w:val="both"/>
            </w:pPr>
            <w:r w:rsidRPr="001F4B04">
              <w:rPr>
                <w:rFonts w:eastAsia="Arial" w:cs="Arial"/>
                <w:b/>
                <w:bCs/>
              </w:rPr>
              <w:t>Disability</w:t>
            </w:r>
            <w:r w:rsidRPr="001F4B04">
              <w:rPr>
                <w:rFonts w:eastAsia="Arial" w:cs="Arial"/>
              </w:rPr>
              <w:t xml:space="preserve">: A person </w:t>
            </w:r>
            <w:r w:rsidRPr="001F4B04">
              <w:rPr>
                <w:rFonts w:eastAsia="Arial" w:cs="Arial"/>
                <w:lang w:val="en"/>
              </w:rPr>
              <w:t>who has a physical or mental impairment that has a substantial and long-term adverse effect on the ability to carry out normal day-to-day activities.</w:t>
            </w:r>
          </w:p>
          <w:p w14:paraId="61733BF9" w14:textId="77777777" w:rsidR="0004585A" w:rsidRDefault="233CE29A" w:rsidP="00FF3875">
            <w:pPr>
              <w:ind w:left="360" w:hanging="360"/>
              <w:jc w:val="both"/>
            </w:pPr>
            <w:r w:rsidRPr="001F4B04">
              <w:rPr>
                <w:rFonts w:eastAsia="Arial" w:cs="Arial"/>
                <w:b/>
                <w:bCs/>
              </w:rPr>
              <w:t xml:space="preserve"> </w:t>
            </w:r>
          </w:p>
          <w:p w14:paraId="61733BFA" w14:textId="77777777" w:rsidR="0004585A" w:rsidRDefault="233CE29A" w:rsidP="00FF3875">
            <w:pPr>
              <w:ind w:left="360" w:hanging="360"/>
              <w:jc w:val="both"/>
            </w:pPr>
            <w:r w:rsidRPr="001F4B04">
              <w:rPr>
                <w:rFonts w:eastAsia="Arial" w:cs="Arial"/>
                <w:b/>
                <w:bCs/>
              </w:rPr>
              <w:t>Eligibility:</w:t>
            </w:r>
            <w:r w:rsidRPr="001F4B04">
              <w:rPr>
                <w:rFonts w:eastAsia="Arial" w:cs="Arial"/>
              </w:rPr>
              <w:t xml:space="preserve"> Only people who are eligible to work in UK are eligible for this EU programme.  </w:t>
            </w:r>
          </w:p>
          <w:p w14:paraId="61733BFB" w14:textId="77777777" w:rsidR="0004585A" w:rsidRDefault="233CE29A" w:rsidP="00FF3875">
            <w:pPr>
              <w:ind w:left="360" w:hanging="360"/>
              <w:jc w:val="both"/>
            </w:pPr>
            <w:r w:rsidRPr="001F4B04">
              <w:rPr>
                <w:rFonts w:eastAsia="Arial" w:cs="Arial"/>
              </w:rPr>
              <w:t xml:space="preserve"> </w:t>
            </w:r>
          </w:p>
          <w:p w14:paraId="61733BFC" w14:textId="77777777" w:rsidR="0004585A" w:rsidRDefault="233CE29A" w:rsidP="00FF3875">
            <w:pPr>
              <w:ind w:left="360" w:hanging="360"/>
              <w:jc w:val="both"/>
              <w:rPr>
                <w:rFonts w:eastAsia="Arial" w:cs="Arial"/>
              </w:rPr>
            </w:pPr>
            <w:r w:rsidRPr="001F4B04">
              <w:rPr>
                <w:rFonts w:eastAsia="Arial" w:cs="Arial"/>
                <w:b/>
                <w:bCs/>
              </w:rPr>
              <w:lastRenderedPageBreak/>
              <w:t>Employed</w:t>
            </w:r>
            <w:r w:rsidRPr="001F4B04">
              <w:rPr>
                <w:rFonts w:eastAsia="Arial" w:cs="Arial"/>
              </w:rPr>
              <w:t>: People are employed if they perform work for pay, profit or family gain. People are self-employed if they work in his/her own business for the purpose of earning a profit, even if they are not making a profit or are just setting up.</w:t>
            </w:r>
          </w:p>
          <w:p w14:paraId="61733BFD" w14:textId="77777777" w:rsidR="000F36CA" w:rsidRDefault="000F36CA" w:rsidP="00FF3875">
            <w:pPr>
              <w:ind w:left="360" w:hanging="360"/>
              <w:jc w:val="both"/>
            </w:pPr>
          </w:p>
          <w:p w14:paraId="61733BFF" w14:textId="6DDC5262" w:rsidR="000F36CA" w:rsidRDefault="000F36CA" w:rsidP="00E1095C">
            <w:pPr>
              <w:jc w:val="both"/>
              <w:rPr>
                <w:rFonts w:eastAsia="Arial" w:cs="Arial"/>
                <w:color w:val="000000" w:themeColor="text1"/>
              </w:rPr>
            </w:pPr>
            <w:r w:rsidRPr="001F4B04">
              <w:rPr>
                <w:rFonts w:eastAsia="Arial" w:cs="Arial"/>
                <w:b/>
                <w:bCs/>
                <w:color w:val="000000" w:themeColor="text1"/>
              </w:rPr>
              <w:t xml:space="preserve">Micro Businesses: </w:t>
            </w:r>
            <w:r w:rsidRPr="001F4B04">
              <w:rPr>
                <w:rFonts w:eastAsia="Arial" w:cs="Arial"/>
                <w:color w:val="000000" w:themeColor="text1"/>
              </w:rPr>
              <w:t>This relates to organisations employing less than 10</w:t>
            </w:r>
            <w:r w:rsidR="00E1095C">
              <w:rPr>
                <w:rFonts w:eastAsia="Arial" w:cs="Arial"/>
                <w:color w:val="000000" w:themeColor="text1"/>
              </w:rPr>
              <w:t xml:space="preserve"> </w:t>
            </w:r>
            <w:r w:rsidRPr="001F4B04">
              <w:rPr>
                <w:rFonts w:eastAsia="Arial" w:cs="Arial"/>
                <w:color w:val="000000" w:themeColor="text1"/>
              </w:rPr>
              <w:t>Employees</w:t>
            </w:r>
            <w:r>
              <w:rPr>
                <w:rFonts w:eastAsia="Arial" w:cs="Arial"/>
                <w:color w:val="000000" w:themeColor="text1"/>
              </w:rPr>
              <w:t>.</w:t>
            </w:r>
          </w:p>
          <w:p w14:paraId="61733C00" w14:textId="77777777" w:rsidR="0004585A" w:rsidRDefault="0004585A" w:rsidP="00FF3875">
            <w:pPr>
              <w:ind w:left="360" w:hanging="360"/>
              <w:jc w:val="both"/>
            </w:pPr>
          </w:p>
          <w:p w14:paraId="61733C01" w14:textId="77777777" w:rsidR="0004585A" w:rsidRDefault="233CE29A" w:rsidP="00E1095C">
            <w:pPr>
              <w:ind w:left="360" w:hanging="360"/>
              <w:jc w:val="both"/>
            </w:pPr>
            <w:r w:rsidRPr="001F4B04">
              <w:rPr>
                <w:rFonts w:eastAsia="Arial" w:cs="Arial"/>
              </w:rPr>
              <w:t xml:space="preserve"> </w:t>
            </w:r>
            <w:r w:rsidRPr="001F4B04">
              <w:rPr>
                <w:rFonts w:eastAsia="Arial" w:cs="Arial"/>
                <w:b/>
                <w:bCs/>
              </w:rPr>
              <w:t xml:space="preserve">Qualifications: </w:t>
            </w:r>
            <w:r w:rsidRPr="001F4B04">
              <w:rPr>
                <w:rFonts w:eastAsia="Arial"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1733C02" w14:textId="77777777" w:rsidR="0004585A" w:rsidRDefault="233CE29A" w:rsidP="00FF3875">
            <w:pPr>
              <w:ind w:left="360" w:hanging="360"/>
              <w:jc w:val="both"/>
            </w:pPr>
            <w:r w:rsidRPr="001F4B04">
              <w:rPr>
                <w:rFonts w:eastAsia="Arial" w:cs="Arial"/>
              </w:rPr>
              <w:t xml:space="preserve"> </w:t>
            </w:r>
          </w:p>
          <w:p w14:paraId="61733C03" w14:textId="77777777" w:rsidR="0004585A" w:rsidRDefault="233CE29A" w:rsidP="00FF3875">
            <w:pPr>
              <w:ind w:left="360" w:hanging="360"/>
              <w:jc w:val="both"/>
            </w:pPr>
            <w:r w:rsidRPr="001F4B04">
              <w:rPr>
                <w:rFonts w:eastAsia="Arial" w:cs="Arial"/>
              </w:rPr>
              <w:t xml:space="preserve">     Regulated and non-regulated aims must be planned to be delivered within budget.</w:t>
            </w:r>
          </w:p>
          <w:p w14:paraId="61733C04" w14:textId="77777777" w:rsidR="0004585A" w:rsidRDefault="233CE29A" w:rsidP="00FF3875">
            <w:pPr>
              <w:ind w:left="360" w:hanging="360"/>
              <w:jc w:val="both"/>
            </w:pPr>
            <w:r w:rsidRPr="001F4B04">
              <w:rPr>
                <w:rFonts w:eastAsia="Arial" w:cs="Arial"/>
              </w:rPr>
              <w:t xml:space="preserve"> </w:t>
            </w:r>
          </w:p>
          <w:p w14:paraId="61733C05" w14:textId="77777777" w:rsidR="0004585A" w:rsidRDefault="233CE29A" w:rsidP="00FF3875">
            <w:pPr>
              <w:ind w:left="360" w:hanging="360"/>
              <w:jc w:val="both"/>
            </w:pPr>
            <w:r w:rsidRPr="001F4B04">
              <w:rPr>
                <w:rFonts w:eastAsia="Arial" w:cs="Arial"/>
              </w:rPr>
              <w:t xml:space="preserve">     Qualification rates are based on the published LARS rates at the start of the contract.</w:t>
            </w:r>
          </w:p>
          <w:p w14:paraId="61733C06" w14:textId="77777777" w:rsidR="0004585A" w:rsidRDefault="233CE29A" w:rsidP="00FF3875">
            <w:pPr>
              <w:ind w:left="360" w:hanging="360"/>
              <w:jc w:val="both"/>
            </w:pPr>
            <w:r w:rsidRPr="001F4B04">
              <w:rPr>
                <w:rFonts w:eastAsia="Arial" w:cs="Arial"/>
              </w:rPr>
              <w:t xml:space="preserve"> </w:t>
            </w:r>
          </w:p>
          <w:p w14:paraId="61733C07" w14:textId="77777777" w:rsidR="0004585A" w:rsidRDefault="233CE29A" w:rsidP="00FF3875">
            <w:pPr>
              <w:ind w:left="360" w:hanging="360"/>
              <w:jc w:val="both"/>
              <w:rPr>
                <w:rFonts w:eastAsia="Arial" w:cs="Arial"/>
              </w:rPr>
            </w:pPr>
            <w:r w:rsidRPr="001F4B04">
              <w:rPr>
                <w:rFonts w:eastAsia="Arial" w:cs="Arial"/>
                <w:b/>
                <w:bCs/>
              </w:rPr>
              <w:t xml:space="preserve">Services:  </w:t>
            </w:r>
            <w:r w:rsidRPr="001F4B04">
              <w:rPr>
                <w:rFonts w:eastAsia="Arial" w:cs="Arial"/>
              </w:rPr>
              <w:t>The provision of education, training or support delivered to individuals.</w:t>
            </w:r>
          </w:p>
          <w:p w14:paraId="61733C08" w14:textId="77777777" w:rsidR="000F36CA" w:rsidRDefault="000F36CA" w:rsidP="00FF3875">
            <w:pPr>
              <w:ind w:left="360" w:hanging="360"/>
              <w:jc w:val="both"/>
            </w:pPr>
          </w:p>
          <w:p w14:paraId="61733C0A" w14:textId="528CEA06" w:rsidR="000F36CA" w:rsidRDefault="000F36CA" w:rsidP="00E1095C">
            <w:pPr>
              <w:ind w:left="360" w:hanging="360"/>
              <w:jc w:val="both"/>
            </w:pPr>
            <w:r>
              <w:rPr>
                <w:rFonts w:cs="Arial"/>
                <w:b/>
                <w:bCs/>
                <w:color w:val="000000"/>
              </w:rPr>
              <w:t xml:space="preserve">Small and Medium sized Enterprises: </w:t>
            </w:r>
            <w:r>
              <w:rPr>
                <w:rFonts w:cs="Arial"/>
                <w:color w:val="000000"/>
              </w:rPr>
              <w:t>This applies to organisations employing</w:t>
            </w:r>
            <w:r w:rsidR="00E1095C">
              <w:rPr>
                <w:rFonts w:cs="Arial"/>
                <w:color w:val="000000"/>
              </w:rPr>
              <w:t xml:space="preserve"> </w:t>
            </w:r>
            <w:r>
              <w:rPr>
                <w:rFonts w:cs="Arial"/>
                <w:color w:val="000000"/>
              </w:rPr>
              <w:t>less than 250 employees</w:t>
            </w:r>
            <w:r w:rsidRPr="005A1D76">
              <w:t xml:space="preserve"> </w:t>
            </w:r>
          </w:p>
          <w:p w14:paraId="61733C0B" w14:textId="77777777" w:rsidR="0004585A" w:rsidRDefault="0004585A" w:rsidP="00FF3875">
            <w:pPr>
              <w:ind w:left="360" w:hanging="360"/>
              <w:jc w:val="both"/>
            </w:pPr>
          </w:p>
          <w:p w14:paraId="61733C0C" w14:textId="77777777" w:rsidR="0004585A" w:rsidRDefault="233CE29A" w:rsidP="00FF3875">
            <w:pPr>
              <w:ind w:left="360" w:hanging="360"/>
              <w:jc w:val="both"/>
            </w:pPr>
            <w:r w:rsidRPr="001F4B04">
              <w:rPr>
                <w:rFonts w:eastAsia="Arial" w:cs="Arial"/>
                <w:b/>
                <w:bCs/>
              </w:rPr>
              <w:t>Start Date:</w:t>
            </w:r>
            <w:r w:rsidRPr="001F4B04">
              <w:rPr>
                <w:rFonts w:eastAsia="Arial" w:cs="Arial"/>
              </w:rPr>
              <w:t xml:space="preserve"> Employment status and age are determined on the date of starting on the Services.</w:t>
            </w:r>
            <w:r w:rsidRPr="001F4B04">
              <w:rPr>
                <w:rFonts w:eastAsia="Arial" w:cs="Arial"/>
                <w:b/>
                <w:bCs/>
              </w:rPr>
              <w:t xml:space="preserve"> </w:t>
            </w:r>
          </w:p>
          <w:p w14:paraId="61733C0D" w14:textId="77777777" w:rsidR="0004585A" w:rsidRDefault="233CE29A" w:rsidP="00FF3875">
            <w:pPr>
              <w:ind w:left="360" w:hanging="360"/>
              <w:jc w:val="both"/>
            </w:pPr>
            <w:r w:rsidRPr="001F4B04">
              <w:rPr>
                <w:rFonts w:eastAsia="Arial" w:cs="Arial"/>
                <w:color w:val="FF0000"/>
              </w:rPr>
              <w:t xml:space="preserve"> </w:t>
            </w:r>
          </w:p>
          <w:p w14:paraId="61733C0E" w14:textId="77777777" w:rsidR="0004585A" w:rsidRDefault="233CE29A" w:rsidP="00FF3875">
            <w:pPr>
              <w:ind w:left="360" w:hanging="360"/>
              <w:jc w:val="both"/>
            </w:pPr>
            <w:r w:rsidRPr="001F4B04">
              <w:rPr>
                <w:rFonts w:eastAsia="Arial" w:cs="Arial"/>
                <w:b/>
                <w:bCs/>
              </w:rPr>
              <w:t>Survey</w:t>
            </w:r>
            <w:r w:rsidRPr="001F4B04">
              <w:rPr>
                <w:rFonts w:eastAsia="Arial" w:cs="Arial"/>
              </w:rPr>
              <w:t>: Where applicable, long term sustained outcomes over 6 months will be monitored separately.  Some ESF indicators will be collected by survey by the ESF Managing Authority directly from the participants.</w:t>
            </w:r>
          </w:p>
          <w:p w14:paraId="61733C0F" w14:textId="77777777" w:rsidR="0004585A" w:rsidRDefault="233CE29A" w:rsidP="00FF3875">
            <w:pPr>
              <w:ind w:left="360" w:hanging="360"/>
              <w:jc w:val="both"/>
            </w:pPr>
            <w:r w:rsidRPr="001F4B04">
              <w:rPr>
                <w:rFonts w:eastAsia="Arial" w:cs="Arial"/>
                <w:color w:val="FF0000"/>
              </w:rPr>
              <w:t xml:space="preserve"> </w:t>
            </w:r>
          </w:p>
          <w:p w14:paraId="61733C10" w14:textId="77777777" w:rsidR="0004585A" w:rsidRDefault="233CE29A" w:rsidP="00FF3875">
            <w:pPr>
              <w:ind w:left="360" w:hanging="360"/>
              <w:jc w:val="both"/>
            </w:pPr>
            <w:r w:rsidRPr="001F4B04">
              <w:rPr>
                <w:rFonts w:eastAsia="Arial" w:cs="Arial"/>
                <w:b/>
                <w:bCs/>
              </w:rPr>
              <w:t>Unemployed:</w:t>
            </w:r>
            <w:r w:rsidRPr="001F4B04">
              <w:rPr>
                <w:rFonts w:eastAsia="Arial" w:cs="Arial"/>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61733C11" w14:textId="77777777" w:rsidR="00200BC6" w:rsidRPr="00590073" w:rsidRDefault="00200BC6">
            <w:pPr>
              <w:autoSpaceDE w:val="0"/>
              <w:autoSpaceDN w:val="0"/>
              <w:adjustRightInd w:val="0"/>
              <w:ind w:left="360" w:hanging="360"/>
              <w:jc w:val="both"/>
            </w:pPr>
          </w:p>
        </w:tc>
      </w:tr>
      <w:tr w:rsidR="00967429" w:rsidRPr="00544738" w14:paraId="61733C14" w14:textId="77777777" w:rsidTr="00E1095C">
        <w:trPr>
          <w:trHeight w:val="567"/>
        </w:trPr>
        <w:tc>
          <w:tcPr>
            <w:tcW w:w="9088" w:type="dxa"/>
            <w:shd w:val="clear" w:color="auto" w:fill="D9D9D9" w:themeFill="background1" w:themeFillShade="D9"/>
            <w:vAlign w:val="center"/>
          </w:tcPr>
          <w:p w14:paraId="61733C13"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61733CBA" w14:textId="77777777" w:rsidTr="00E0293B">
        <w:tc>
          <w:tcPr>
            <w:tcW w:w="9088" w:type="dxa"/>
          </w:tcPr>
          <w:p w14:paraId="61733C15" w14:textId="77777777" w:rsidR="000D51DE" w:rsidRDefault="000D51DE" w:rsidP="00FF3875">
            <w:pPr>
              <w:jc w:val="both"/>
              <w:rPr>
                <w:rFonts w:cs="Arial"/>
                <w:b/>
              </w:rPr>
            </w:pPr>
          </w:p>
          <w:p w14:paraId="61733C16" w14:textId="77777777" w:rsidR="002E25F4" w:rsidRDefault="002E25F4" w:rsidP="00FF3875">
            <w:pPr>
              <w:jc w:val="both"/>
              <w:rPr>
                <w:rFonts w:cs="Arial"/>
                <w:b/>
              </w:rPr>
            </w:pPr>
            <w:r w:rsidRPr="002833D9">
              <w:rPr>
                <w:rFonts w:cs="Arial"/>
                <w:b/>
              </w:rPr>
              <w:t xml:space="preserve">General </w:t>
            </w:r>
            <w:r w:rsidR="00EA180F">
              <w:rPr>
                <w:rFonts w:cs="Arial"/>
                <w:b/>
              </w:rPr>
              <w:t>Service Requirements</w:t>
            </w:r>
          </w:p>
          <w:p w14:paraId="61733C17" w14:textId="77777777" w:rsidR="00EA180F" w:rsidRPr="001A4B05" w:rsidRDefault="00EA180F" w:rsidP="00FF3875">
            <w:pPr>
              <w:jc w:val="both"/>
              <w:rPr>
                <w:rFonts w:cs="Arial"/>
                <w:b/>
              </w:rPr>
            </w:pPr>
          </w:p>
          <w:p w14:paraId="61733C18" w14:textId="77777777" w:rsidR="002E25F4" w:rsidRPr="00D535E6" w:rsidRDefault="002E25F4" w:rsidP="00FF3875">
            <w:pPr>
              <w:jc w:val="both"/>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61733C19" w14:textId="77777777" w:rsidR="00ED156A" w:rsidRPr="00D535E6" w:rsidRDefault="00ED156A" w:rsidP="00FF3875">
            <w:pPr>
              <w:jc w:val="both"/>
              <w:rPr>
                <w:rFonts w:cs="Arial"/>
              </w:rPr>
            </w:pPr>
          </w:p>
          <w:p w14:paraId="61733C1A" w14:textId="77777777" w:rsidR="0031325C" w:rsidRPr="00D535E6" w:rsidRDefault="00ED156A" w:rsidP="00FF3875">
            <w:pPr>
              <w:jc w:val="both"/>
              <w:rPr>
                <w:rFonts w:cs="Arial"/>
                <w:b/>
                <w:i/>
              </w:rPr>
            </w:pPr>
            <w:r w:rsidRPr="00D535E6">
              <w:rPr>
                <w:rFonts w:cs="Arial"/>
                <w:b/>
                <w:i/>
              </w:rPr>
              <w:lastRenderedPageBreak/>
              <w:t>Capacity and readiness to deliver</w:t>
            </w:r>
          </w:p>
          <w:p w14:paraId="61733C1B" w14:textId="77777777" w:rsidR="00ED156A" w:rsidRDefault="00ED156A" w:rsidP="00FF3875">
            <w:pPr>
              <w:autoSpaceDE w:val="0"/>
              <w:autoSpaceDN w:val="0"/>
              <w:adjustRightInd w:val="0"/>
              <w:jc w:val="both"/>
              <w:rPr>
                <w:rFonts w:cs="Arial"/>
              </w:rPr>
            </w:pPr>
            <w:r w:rsidRPr="00D535E6">
              <w:rPr>
                <w:rFonts w:cs="Arial"/>
              </w:rPr>
              <w:t>Candidates must have:</w:t>
            </w:r>
          </w:p>
          <w:p w14:paraId="682034ED" w14:textId="77777777" w:rsidR="00E1095C" w:rsidRPr="00D535E6" w:rsidRDefault="00E1095C" w:rsidP="00FF3875">
            <w:pPr>
              <w:autoSpaceDE w:val="0"/>
              <w:autoSpaceDN w:val="0"/>
              <w:adjustRightInd w:val="0"/>
              <w:jc w:val="both"/>
              <w:rPr>
                <w:rFonts w:cs="Arial"/>
              </w:rPr>
            </w:pPr>
          </w:p>
          <w:p w14:paraId="61733C1C" w14:textId="77777777" w:rsidR="00ED156A" w:rsidRPr="00D535E6" w:rsidRDefault="00ED156A" w:rsidP="00FF3875">
            <w:pPr>
              <w:pStyle w:val="ListParagraph"/>
              <w:numPr>
                <w:ilvl w:val="0"/>
                <w:numId w:val="8"/>
              </w:numPr>
              <w:autoSpaceDE w:val="0"/>
              <w:autoSpaceDN w:val="0"/>
              <w:adjustRightInd w:val="0"/>
              <w:ind w:left="313"/>
              <w:jc w:val="both"/>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61733C1D" w14:textId="77777777" w:rsidR="00ED156A" w:rsidRPr="00D535E6" w:rsidRDefault="00ED156A" w:rsidP="00FF3875">
            <w:pPr>
              <w:pStyle w:val="ListParagraph"/>
              <w:numPr>
                <w:ilvl w:val="0"/>
                <w:numId w:val="8"/>
              </w:numPr>
              <w:ind w:left="313"/>
              <w:jc w:val="both"/>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61733C1E" w14:textId="77777777" w:rsidR="002F71DB" w:rsidRPr="005A1D76" w:rsidRDefault="002F71DB" w:rsidP="00FF3875">
            <w:pPr>
              <w:pStyle w:val="ListParagraph"/>
              <w:numPr>
                <w:ilvl w:val="0"/>
                <w:numId w:val="8"/>
              </w:numPr>
              <w:jc w:val="both"/>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61733C1F" w14:textId="77777777" w:rsidR="00ED156A" w:rsidRPr="002F4192" w:rsidRDefault="00ED156A" w:rsidP="00FF3875">
            <w:pPr>
              <w:jc w:val="both"/>
              <w:rPr>
                <w:rFonts w:cs="Arial"/>
                <w:lang w:eastAsia="en-GB"/>
              </w:rPr>
            </w:pPr>
          </w:p>
          <w:p w14:paraId="61733C20" w14:textId="77777777" w:rsidR="00ED156A" w:rsidRPr="005A1D76" w:rsidRDefault="00ED156A" w:rsidP="00FF3875">
            <w:pPr>
              <w:jc w:val="both"/>
              <w:rPr>
                <w:rFonts w:cs="Arial"/>
                <w:b/>
                <w:i/>
                <w:lang w:eastAsia="en-GB"/>
              </w:rPr>
            </w:pPr>
            <w:r w:rsidRPr="005A1D76">
              <w:rPr>
                <w:rFonts w:cs="Arial"/>
                <w:b/>
                <w:i/>
                <w:lang w:eastAsia="en-GB"/>
              </w:rPr>
              <w:t>Track record</w:t>
            </w:r>
          </w:p>
          <w:p w14:paraId="61733C21" w14:textId="77777777" w:rsidR="00ED156A" w:rsidRDefault="00812EC6" w:rsidP="00FF3875">
            <w:pPr>
              <w:jc w:val="both"/>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61733C22" w14:textId="77777777" w:rsidR="00E43DDB" w:rsidRPr="005A1D76" w:rsidRDefault="00E43DDB" w:rsidP="00FF3875">
            <w:pPr>
              <w:jc w:val="both"/>
              <w:rPr>
                <w:rFonts w:cs="Arial"/>
                <w:szCs w:val="22"/>
              </w:rPr>
            </w:pPr>
          </w:p>
          <w:p w14:paraId="61733C23" w14:textId="77777777" w:rsidR="00E43DDB" w:rsidRPr="00E43DDB" w:rsidRDefault="00E43DDB" w:rsidP="00FF3875">
            <w:pPr>
              <w:jc w:val="both"/>
              <w:rPr>
                <w:rFonts w:cs="Arial"/>
                <w:b/>
                <w:i/>
                <w:lang w:eastAsia="en-GB"/>
              </w:rPr>
            </w:pPr>
            <w:r w:rsidRPr="00E43DDB">
              <w:rPr>
                <w:rFonts w:cs="Arial"/>
                <w:b/>
                <w:i/>
                <w:lang w:eastAsia="en-GB"/>
              </w:rPr>
              <w:t>Information, Advice and Guidance</w:t>
            </w:r>
          </w:p>
          <w:p w14:paraId="61733C24" w14:textId="77777777" w:rsidR="00E43DDB" w:rsidRPr="00E43DDB" w:rsidRDefault="00E43DDB" w:rsidP="00FF3875">
            <w:pPr>
              <w:jc w:val="both"/>
              <w:rPr>
                <w:rFonts w:cs="Arial"/>
                <w:lang w:eastAsia="en-GB"/>
              </w:rPr>
            </w:pPr>
            <w:r w:rsidRPr="00E43DDB">
              <w:rPr>
                <w:rFonts w:cs="Arial"/>
                <w:lang w:eastAsia="en-GB"/>
              </w:rPr>
              <w:t>Where the activity requires effective Information, Advice and Guidance successful</w:t>
            </w:r>
          </w:p>
          <w:p w14:paraId="61733C25" w14:textId="77777777" w:rsidR="00E43DDB" w:rsidRDefault="00E43DDB" w:rsidP="00FF3875">
            <w:pPr>
              <w:jc w:val="both"/>
              <w:rPr>
                <w:rFonts w:cs="Arial"/>
                <w:lang w:eastAsia="en-GB"/>
              </w:rPr>
            </w:pPr>
            <w:proofErr w:type="gramStart"/>
            <w:r w:rsidRPr="00E43DDB">
              <w:rPr>
                <w:rFonts w:cs="Arial"/>
                <w:lang w:eastAsia="en-GB"/>
              </w:rPr>
              <w:t>applicants</w:t>
            </w:r>
            <w:proofErr w:type="gramEnd"/>
            <w:r w:rsidRPr="00E43DDB">
              <w:rPr>
                <w:rFonts w:cs="Arial"/>
                <w:lang w:eastAsia="en-GB"/>
              </w:rPr>
              <w:t xml:space="preserve"> and/or subcontractors delivering this element will either hold or be</w:t>
            </w:r>
            <w:r w:rsidR="00B773E0">
              <w:rPr>
                <w:rFonts w:cs="Arial"/>
                <w:lang w:eastAsia="en-GB"/>
              </w:rPr>
              <w:t xml:space="preserve"> </w:t>
            </w:r>
            <w:r w:rsidRPr="00E43DDB">
              <w:rPr>
                <w:rFonts w:cs="Arial"/>
                <w:lang w:eastAsia="en-GB"/>
              </w:rPr>
              <w:t>working towards the Matrix standard.</w:t>
            </w:r>
          </w:p>
          <w:p w14:paraId="61733C26" w14:textId="77777777" w:rsidR="00E43DDB" w:rsidRDefault="00E43DDB" w:rsidP="00FF3875">
            <w:pPr>
              <w:jc w:val="both"/>
              <w:rPr>
                <w:rFonts w:cs="Arial"/>
                <w:lang w:eastAsia="en-GB"/>
              </w:rPr>
            </w:pPr>
          </w:p>
          <w:p w14:paraId="61733C27" w14:textId="77777777" w:rsidR="00ED156A" w:rsidRPr="005A1D76" w:rsidRDefault="002E25F4" w:rsidP="00FF3875">
            <w:pPr>
              <w:jc w:val="both"/>
              <w:rPr>
                <w:rFonts w:cs="Arial"/>
              </w:rPr>
            </w:pPr>
            <w:r w:rsidRPr="005A1D76">
              <w:rPr>
                <w:rFonts w:cs="Arial"/>
                <w:b/>
                <w:i/>
              </w:rPr>
              <w:t>Management and quality assurance</w:t>
            </w:r>
          </w:p>
          <w:p w14:paraId="61733C28" w14:textId="77777777" w:rsidR="002E25F4" w:rsidRPr="005A1D76" w:rsidRDefault="002E25F4" w:rsidP="00FF3875">
            <w:pPr>
              <w:jc w:val="both"/>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61733C29" w14:textId="77777777" w:rsidR="00B06A9F" w:rsidRPr="005A1D76" w:rsidRDefault="00B06A9F" w:rsidP="00FF3875">
            <w:pPr>
              <w:jc w:val="both"/>
              <w:rPr>
                <w:rFonts w:cs="Arial"/>
              </w:rPr>
            </w:pPr>
          </w:p>
          <w:p w14:paraId="61733C2A" w14:textId="77777777" w:rsidR="00B06A9F" w:rsidRPr="005A1D76" w:rsidRDefault="00B06A9F" w:rsidP="00FF3875">
            <w:pPr>
              <w:jc w:val="both"/>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61733C2B" w14:textId="77777777" w:rsidR="001A4B05" w:rsidRPr="005A1D76" w:rsidRDefault="001A4B05" w:rsidP="00FF3875">
            <w:pPr>
              <w:jc w:val="both"/>
              <w:rPr>
                <w:rFonts w:cs="Arial"/>
              </w:rPr>
            </w:pPr>
          </w:p>
          <w:p w14:paraId="61733C2C" w14:textId="77777777" w:rsidR="002E25F4" w:rsidRPr="005A1D76" w:rsidRDefault="002E25F4" w:rsidP="00FF3875">
            <w:pPr>
              <w:jc w:val="both"/>
              <w:rPr>
                <w:rFonts w:cs="Arial"/>
              </w:rPr>
            </w:pPr>
            <w:r w:rsidRPr="005A1D76">
              <w:rPr>
                <w:rFonts w:cs="Arial"/>
                <w:b/>
                <w:i/>
              </w:rPr>
              <w:t>Partnership working</w:t>
            </w:r>
          </w:p>
          <w:p w14:paraId="61733C2D" w14:textId="77777777" w:rsidR="002E25F4" w:rsidRPr="005A1D76" w:rsidRDefault="002E25F4" w:rsidP="00FF3875">
            <w:pPr>
              <w:jc w:val="both"/>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61733C2E" w14:textId="77777777" w:rsidR="002E25F4" w:rsidRPr="005A1D76" w:rsidRDefault="002E25F4" w:rsidP="00FF3875">
            <w:pPr>
              <w:jc w:val="both"/>
              <w:rPr>
                <w:rFonts w:cs="Arial"/>
              </w:rPr>
            </w:pPr>
          </w:p>
          <w:p w14:paraId="61733C2F" w14:textId="77777777" w:rsidR="002E25F4" w:rsidRPr="005A1D76" w:rsidRDefault="002E25F4" w:rsidP="00FF3875">
            <w:pPr>
              <w:jc w:val="both"/>
              <w:rPr>
                <w:rFonts w:cs="Arial"/>
              </w:rPr>
            </w:pPr>
            <w:r w:rsidRPr="005A1D76">
              <w:rPr>
                <w:rFonts w:cs="Arial"/>
              </w:rPr>
              <w:t xml:space="preserve">The Service must be able to respond to changing local needs and opportunities, as well as policy changes. </w:t>
            </w:r>
          </w:p>
          <w:p w14:paraId="61733C30" w14:textId="77777777" w:rsidR="00ED156A" w:rsidRPr="006C64F5" w:rsidRDefault="00ED156A" w:rsidP="00FF3875">
            <w:pPr>
              <w:jc w:val="both"/>
              <w:rPr>
                <w:rFonts w:cs="Arial"/>
                <w:highlight w:val="yellow"/>
              </w:rPr>
            </w:pPr>
          </w:p>
          <w:p w14:paraId="61733C31" w14:textId="77777777" w:rsidR="002E25F4" w:rsidRDefault="00ED156A" w:rsidP="00FF3875">
            <w:pPr>
              <w:autoSpaceDE w:val="0"/>
              <w:autoSpaceDN w:val="0"/>
              <w:adjustRightInd w:val="0"/>
              <w:jc w:val="both"/>
              <w:rPr>
                <w:rFonts w:cs="Arial"/>
              </w:rPr>
            </w:pPr>
            <w:r w:rsidRPr="00BC7F87">
              <w:rPr>
                <w:rFonts w:cs="Arial"/>
              </w:rPr>
              <w:t xml:space="preserve">Candidates will be required to establish linkages with and have an understanding of, local stakeholder needs and develop strong links with the key stakeholders. </w:t>
            </w:r>
          </w:p>
          <w:p w14:paraId="61733C32" w14:textId="77777777" w:rsidR="00160E5D" w:rsidRDefault="00160E5D" w:rsidP="00FF3875">
            <w:pPr>
              <w:autoSpaceDE w:val="0"/>
              <w:autoSpaceDN w:val="0"/>
              <w:adjustRightInd w:val="0"/>
              <w:jc w:val="both"/>
              <w:rPr>
                <w:rFonts w:cs="Arial"/>
              </w:rPr>
            </w:pPr>
          </w:p>
          <w:p w14:paraId="61733C33" w14:textId="77777777" w:rsidR="00160E5D" w:rsidRPr="00BC7F87" w:rsidRDefault="00160E5D" w:rsidP="00FF3875">
            <w:pPr>
              <w:autoSpaceDE w:val="0"/>
              <w:autoSpaceDN w:val="0"/>
              <w:adjustRightInd w:val="0"/>
              <w:jc w:val="both"/>
              <w:rPr>
                <w:rFonts w:cs="Arial"/>
              </w:rPr>
            </w:pPr>
            <w:r>
              <w:rPr>
                <w:rFonts w:cs="Arial"/>
              </w:rPr>
              <w:lastRenderedPageBreak/>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sidRPr="00BC7F87">
              <w:rPr>
                <w:rFonts w:cs="Arial"/>
              </w:rPr>
              <w:t xml:space="preserve"> </w:t>
            </w:r>
          </w:p>
          <w:p w14:paraId="61733C34" w14:textId="77777777" w:rsidR="00C0243B" w:rsidRDefault="00C0243B" w:rsidP="00FF3875">
            <w:pPr>
              <w:jc w:val="both"/>
              <w:rPr>
                <w:rFonts w:cs="Arial"/>
              </w:rPr>
            </w:pPr>
          </w:p>
          <w:p w14:paraId="61733C35" w14:textId="77777777" w:rsidR="000E66D3" w:rsidRDefault="00FA5F66" w:rsidP="00FF3875">
            <w:pPr>
              <w:jc w:val="both"/>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1733C36" w14:textId="77777777" w:rsidR="000E66D3" w:rsidRDefault="000E66D3" w:rsidP="00FF3875">
            <w:pPr>
              <w:jc w:val="both"/>
              <w:rPr>
                <w:rFonts w:cs="Arial"/>
              </w:rPr>
            </w:pPr>
          </w:p>
          <w:p w14:paraId="61733C37" w14:textId="77777777" w:rsidR="002E25F4" w:rsidRPr="00BC7F87" w:rsidRDefault="002E25F4" w:rsidP="00FF3875">
            <w:pPr>
              <w:jc w:val="both"/>
              <w:rPr>
                <w:rFonts w:cs="Arial"/>
              </w:rPr>
            </w:pPr>
            <w:r w:rsidRPr="00BC7F87">
              <w:rPr>
                <w:rFonts w:cs="Arial"/>
                <w:b/>
                <w:i/>
              </w:rPr>
              <w:t>Market intelligence and local knowledge</w:t>
            </w:r>
          </w:p>
          <w:p w14:paraId="61733C38" w14:textId="77777777" w:rsidR="002E25F4" w:rsidRPr="00BC7F87" w:rsidRDefault="002E25F4" w:rsidP="00FF3875">
            <w:pPr>
              <w:autoSpaceDE w:val="0"/>
              <w:autoSpaceDN w:val="0"/>
              <w:adjustRightInd w:val="0"/>
              <w:ind w:left="29"/>
              <w:jc w:val="both"/>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61733C39" w14:textId="77777777" w:rsidR="00812EC6" w:rsidRPr="00BC7F87" w:rsidRDefault="00812EC6" w:rsidP="00FF3875">
            <w:pPr>
              <w:jc w:val="both"/>
              <w:rPr>
                <w:rFonts w:cs="Arial"/>
              </w:rPr>
            </w:pPr>
          </w:p>
          <w:p w14:paraId="61733C3A" w14:textId="77777777" w:rsidR="002E25F4" w:rsidRPr="00BC7F87" w:rsidRDefault="002E25F4" w:rsidP="00FF3875">
            <w:pPr>
              <w:pStyle w:val="letteredlist"/>
              <w:numPr>
                <w:ilvl w:val="0"/>
                <w:numId w:val="0"/>
              </w:numPr>
              <w:spacing w:after="0"/>
              <w:ind w:left="29"/>
              <w:jc w:val="both"/>
              <w:rPr>
                <w:b/>
                <w:i/>
              </w:rPr>
            </w:pPr>
            <w:r w:rsidRPr="00BC7F87">
              <w:rPr>
                <w:b/>
                <w:i/>
              </w:rPr>
              <w:t>Management information and reporting</w:t>
            </w:r>
          </w:p>
          <w:p w14:paraId="61733C3B" w14:textId="77777777" w:rsidR="002E25F4" w:rsidRPr="00BC7F87" w:rsidRDefault="002E25F4" w:rsidP="00FF3875">
            <w:pPr>
              <w:jc w:val="both"/>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61733C3C" w14:textId="77777777" w:rsidR="002E25F4" w:rsidRPr="00BC7F87" w:rsidRDefault="002E25F4" w:rsidP="00FF3875">
            <w:pPr>
              <w:jc w:val="both"/>
              <w:rPr>
                <w:rFonts w:cs="Arial"/>
              </w:rPr>
            </w:pPr>
          </w:p>
          <w:p w14:paraId="61733C3D" w14:textId="77777777" w:rsidR="007121E9" w:rsidRDefault="002E25F4" w:rsidP="00FF3875">
            <w:pPr>
              <w:jc w:val="both"/>
              <w:rPr>
                <w:rFonts w:cs="Arial"/>
                <w:szCs w:val="22"/>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B773E0">
              <w:rPr>
                <w:rFonts w:cs="Arial"/>
              </w:rPr>
              <w:t xml:space="preserve">. </w:t>
            </w:r>
          </w:p>
          <w:p w14:paraId="61733C3E" w14:textId="77777777" w:rsidR="00261BD3" w:rsidRDefault="00261BD3" w:rsidP="00FF3875">
            <w:pPr>
              <w:jc w:val="both"/>
              <w:rPr>
                <w:rFonts w:cs="Arial"/>
              </w:rPr>
            </w:pPr>
          </w:p>
          <w:p w14:paraId="61733C3F" w14:textId="77777777" w:rsidR="00B773E0" w:rsidRDefault="00B773E0" w:rsidP="00FF3875">
            <w:pPr>
              <w:jc w:val="both"/>
              <w:rPr>
                <w:rFonts w:cs="Arial"/>
                <w:b/>
              </w:rPr>
            </w:pPr>
            <w:r>
              <w:rPr>
                <w:rFonts w:cs="Arial"/>
                <w:b/>
              </w:rPr>
              <w:t>Specific Service Requirements</w:t>
            </w:r>
          </w:p>
          <w:p w14:paraId="61733C40" w14:textId="77777777" w:rsidR="000F36CA" w:rsidRDefault="000F36CA" w:rsidP="00FF3875">
            <w:pPr>
              <w:jc w:val="both"/>
              <w:rPr>
                <w:rFonts w:cs="Arial"/>
                <w:b/>
              </w:rPr>
            </w:pPr>
          </w:p>
          <w:p w14:paraId="61733C41" w14:textId="77777777" w:rsidR="000F36CA" w:rsidRPr="00426CB3" w:rsidRDefault="000F36CA" w:rsidP="000F36CA">
            <w:pPr>
              <w:jc w:val="both"/>
              <w:rPr>
                <w:rFonts w:cs="Arial"/>
              </w:rPr>
            </w:pPr>
            <w:r w:rsidRPr="00426CB3">
              <w:rPr>
                <w:rFonts w:cs="Arial"/>
              </w:rPr>
              <w:t xml:space="preserve">The Services should provide innovative solutions to the skills issues facing low paid, low skilled employees across Greater Manchester. </w:t>
            </w:r>
          </w:p>
          <w:p w14:paraId="61733C42" w14:textId="77777777" w:rsidR="000F36CA" w:rsidRPr="00426CB3" w:rsidRDefault="000F36CA" w:rsidP="000F36CA">
            <w:pPr>
              <w:jc w:val="both"/>
              <w:rPr>
                <w:rFonts w:cs="Arial"/>
              </w:rPr>
            </w:pPr>
          </w:p>
          <w:p w14:paraId="61733C43" w14:textId="77777777" w:rsidR="000F36CA" w:rsidRDefault="000F36CA" w:rsidP="000F36CA">
            <w:pPr>
              <w:jc w:val="both"/>
              <w:rPr>
                <w:rFonts w:cs="Arial"/>
              </w:rPr>
            </w:pPr>
            <w:r w:rsidRPr="00426CB3">
              <w:rPr>
                <w:rFonts w:cs="Arial"/>
              </w:rPr>
              <w:t>The Services should include at least one of the following activities:</w:t>
            </w:r>
          </w:p>
          <w:p w14:paraId="02FABC8E" w14:textId="77777777" w:rsidR="00E1095C" w:rsidRPr="00426CB3" w:rsidRDefault="00E1095C" w:rsidP="000F36CA">
            <w:pPr>
              <w:jc w:val="both"/>
              <w:rPr>
                <w:rFonts w:cs="Arial"/>
              </w:rPr>
            </w:pPr>
          </w:p>
          <w:p w14:paraId="61733C44" w14:textId="7680C6C6"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rPr>
              <w:t>Provision that increases the skill levels of employed individuals from the existing level to the next level up (and beyond), to encourage in work progression. This can include careers advice and guidance in order to determine the m</w:t>
            </w:r>
            <w:r w:rsidR="00E1095C">
              <w:rPr>
                <w:rFonts w:cs="Arial"/>
              </w:rPr>
              <w:t>ost suitable progression routes</w:t>
            </w:r>
          </w:p>
          <w:p w14:paraId="61733C45" w14:textId="26B73846" w:rsidR="000F36CA" w:rsidRPr="00426CB3" w:rsidRDefault="000F36CA" w:rsidP="00E1095C">
            <w:pPr>
              <w:pStyle w:val="ListParagraph"/>
              <w:numPr>
                <w:ilvl w:val="0"/>
                <w:numId w:val="8"/>
              </w:numPr>
              <w:autoSpaceDE w:val="0"/>
              <w:autoSpaceDN w:val="0"/>
              <w:adjustRightInd w:val="0"/>
              <w:ind w:left="313"/>
              <w:jc w:val="both"/>
              <w:rPr>
                <w:rFonts w:cs="Arial"/>
                <w:szCs w:val="22"/>
              </w:rPr>
            </w:pPr>
            <w:r w:rsidRPr="00426CB3">
              <w:rPr>
                <w:rFonts w:cs="Arial"/>
                <w:szCs w:val="22"/>
              </w:rPr>
              <w:t>Support for part-time workers, including those facing in-work poverty and/or individuals in receipt of in-work Universal Credit, to up-skill in order to access jobs/careers which offer longer working hours (progression from part to full-time) and/or an increase in wages. This can include careers advice and guidance in order to determine the most suitable prog</w:t>
            </w:r>
            <w:r w:rsidR="00E1095C">
              <w:rPr>
                <w:rFonts w:cs="Arial"/>
                <w:szCs w:val="22"/>
              </w:rPr>
              <w:t>ression routes</w:t>
            </w:r>
          </w:p>
          <w:p w14:paraId="61733C46" w14:textId="5AF3E425"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rPr>
              <w:lastRenderedPageBreak/>
              <w:t>Training to support career progression including leadership and management roles, with a particular f</w:t>
            </w:r>
            <w:r w:rsidR="00E1095C">
              <w:rPr>
                <w:rFonts w:cs="Arial"/>
              </w:rPr>
              <w:t>ocus on  those employed by SMEs</w:t>
            </w:r>
          </w:p>
          <w:p w14:paraId="61733C47" w14:textId="406B32C5"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rPr>
              <w:t>Developing skills of individuals to meet future need, for example in relation to the impact of new technol</w:t>
            </w:r>
            <w:r w:rsidR="00E1095C">
              <w:rPr>
                <w:rFonts w:cs="Arial"/>
              </w:rPr>
              <w:t>ogy</w:t>
            </w:r>
          </w:p>
          <w:p w14:paraId="61733C48" w14:textId="4761E6F7"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rPr>
              <w:t>Initiatives to increase/improve the digital skills of all employe</w:t>
            </w:r>
            <w:r w:rsidR="00E1095C">
              <w:rPr>
                <w:rFonts w:cs="Arial"/>
              </w:rPr>
              <w:t>es to support digital inclusion</w:t>
            </w:r>
          </w:p>
          <w:p w14:paraId="61733C49" w14:textId="4FCAD0EF"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rPr>
              <w:t>Support for intermediate, technical and advanced vocational provision for career progression with a particular focus on expanding and enhancing Apprenticeships (where</w:t>
            </w:r>
            <w:r w:rsidR="00E1095C">
              <w:rPr>
                <w:rFonts w:cs="Arial"/>
              </w:rPr>
              <w:t xml:space="preserve"> appropriate to the individual)</w:t>
            </w:r>
          </w:p>
          <w:p w14:paraId="61733C4A" w14:textId="48D746AB"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rPr>
              <w:t>Development and delivery of skills and training packages in response to employee need partic</w:t>
            </w:r>
            <w:r w:rsidR="00E1095C">
              <w:rPr>
                <w:rFonts w:cs="Arial"/>
              </w:rPr>
              <w:t>ularly in GM’s priority sectors</w:t>
            </w:r>
          </w:p>
          <w:p w14:paraId="61733C4B" w14:textId="084E549C"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rPr>
              <w:t>Support individuals at risk of redundancy or those newly unemployed by providing skills and employment support to retain and where appropriate retrain indivi</w:t>
            </w:r>
            <w:r w:rsidR="00E1095C">
              <w:rPr>
                <w:rFonts w:cs="Arial"/>
              </w:rPr>
              <w:t>duals within Greater Manchester</w:t>
            </w:r>
          </w:p>
          <w:p w14:paraId="61733C4C" w14:textId="77777777" w:rsidR="000F36CA" w:rsidRPr="0012360B" w:rsidRDefault="000F36CA" w:rsidP="000F36CA">
            <w:pPr>
              <w:pStyle w:val="ListParagraph"/>
              <w:jc w:val="both"/>
              <w:rPr>
                <w:rFonts w:cs="Arial"/>
                <w:color w:val="0070C0"/>
              </w:rPr>
            </w:pPr>
          </w:p>
          <w:p w14:paraId="61733C4D" w14:textId="77777777" w:rsidR="000F36CA" w:rsidRPr="00426CB3" w:rsidRDefault="000F36CA" w:rsidP="000F36CA">
            <w:pPr>
              <w:pStyle w:val="Default"/>
              <w:jc w:val="both"/>
              <w:rPr>
                <w:color w:val="auto"/>
              </w:rPr>
            </w:pPr>
            <w:r w:rsidRPr="00426CB3">
              <w:rPr>
                <w:color w:val="auto"/>
              </w:rPr>
              <w:t xml:space="preserve">Services should extend programmes which are addressing the need for a more skilled and adaptable workforce.  Services must proactively involve employers in supporting their employees to access skills training in order to increase workforce development and productivity. This should include carrying out Training Needs Analysis with employers to determine skills gaps and in order to assess impact. </w:t>
            </w:r>
          </w:p>
          <w:p w14:paraId="61733C4E" w14:textId="77777777" w:rsidR="000F36CA" w:rsidRPr="00426CB3" w:rsidRDefault="000F36CA" w:rsidP="000F36CA">
            <w:pPr>
              <w:pStyle w:val="Default"/>
              <w:jc w:val="both"/>
              <w:rPr>
                <w:color w:val="auto"/>
              </w:rPr>
            </w:pPr>
          </w:p>
          <w:p w14:paraId="61733C4F" w14:textId="77777777" w:rsidR="000F36CA" w:rsidRDefault="000F36CA" w:rsidP="000F36CA">
            <w:pPr>
              <w:jc w:val="both"/>
              <w:rPr>
                <w:rFonts w:cs="Arial"/>
              </w:rPr>
            </w:pPr>
            <w:r w:rsidRPr="00426CB3">
              <w:rPr>
                <w:rFonts w:cs="Arial"/>
              </w:rPr>
              <w:t>The Services should prioritise employees that fall into (one or more of) the following priority groups:</w:t>
            </w:r>
          </w:p>
          <w:p w14:paraId="4010AA6E" w14:textId="77777777" w:rsidR="00E1095C" w:rsidRPr="00426CB3" w:rsidRDefault="00E1095C" w:rsidP="000F36CA">
            <w:pPr>
              <w:jc w:val="both"/>
              <w:rPr>
                <w:rFonts w:cs="Arial"/>
              </w:rPr>
            </w:pPr>
          </w:p>
          <w:p w14:paraId="61733C50" w14:textId="77777777" w:rsidR="000F36CA" w:rsidRPr="00426CB3" w:rsidRDefault="000F36CA" w:rsidP="00E1095C">
            <w:pPr>
              <w:pStyle w:val="ListParagraph"/>
              <w:numPr>
                <w:ilvl w:val="0"/>
                <w:numId w:val="8"/>
              </w:numPr>
              <w:autoSpaceDE w:val="0"/>
              <w:autoSpaceDN w:val="0"/>
              <w:adjustRightInd w:val="0"/>
              <w:ind w:left="313"/>
              <w:jc w:val="both"/>
              <w:rPr>
                <w:szCs w:val="22"/>
              </w:rPr>
            </w:pPr>
            <w:r w:rsidRPr="00426CB3">
              <w:rPr>
                <w:szCs w:val="22"/>
              </w:rPr>
              <w:t xml:space="preserve">Older workers – aged 50+ </w:t>
            </w:r>
          </w:p>
          <w:p w14:paraId="61733C51" w14:textId="77777777" w:rsidR="000F36CA" w:rsidRPr="00426CB3" w:rsidRDefault="000F36CA" w:rsidP="00E1095C">
            <w:pPr>
              <w:pStyle w:val="ListParagraph"/>
              <w:numPr>
                <w:ilvl w:val="0"/>
                <w:numId w:val="8"/>
              </w:numPr>
              <w:autoSpaceDE w:val="0"/>
              <w:autoSpaceDN w:val="0"/>
              <w:adjustRightInd w:val="0"/>
              <w:ind w:left="313"/>
              <w:jc w:val="both"/>
              <w:rPr>
                <w:szCs w:val="22"/>
              </w:rPr>
            </w:pPr>
            <w:r w:rsidRPr="00426CB3">
              <w:rPr>
                <w:szCs w:val="22"/>
              </w:rPr>
              <w:t xml:space="preserve">Young workforce – aged 19-24 </w:t>
            </w:r>
          </w:p>
          <w:p w14:paraId="61733C52" w14:textId="77777777" w:rsidR="000F36CA" w:rsidRPr="00426CB3" w:rsidRDefault="000F36CA" w:rsidP="00E1095C">
            <w:pPr>
              <w:pStyle w:val="ListParagraph"/>
              <w:numPr>
                <w:ilvl w:val="0"/>
                <w:numId w:val="8"/>
              </w:numPr>
              <w:autoSpaceDE w:val="0"/>
              <w:autoSpaceDN w:val="0"/>
              <w:adjustRightInd w:val="0"/>
              <w:ind w:left="313"/>
              <w:jc w:val="both"/>
              <w:rPr>
                <w:szCs w:val="22"/>
              </w:rPr>
            </w:pPr>
            <w:r w:rsidRPr="00426CB3">
              <w:rPr>
                <w:szCs w:val="22"/>
              </w:rPr>
              <w:t xml:space="preserve">Workers with learning disabilities – including LLDD </w:t>
            </w:r>
          </w:p>
          <w:p w14:paraId="61733C53" w14:textId="77777777" w:rsidR="000F36CA" w:rsidRPr="00426CB3" w:rsidRDefault="000F36CA" w:rsidP="00E1095C">
            <w:pPr>
              <w:pStyle w:val="ListParagraph"/>
              <w:numPr>
                <w:ilvl w:val="0"/>
                <w:numId w:val="8"/>
              </w:numPr>
              <w:autoSpaceDE w:val="0"/>
              <w:autoSpaceDN w:val="0"/>
              <w:adjustRightInd w:val="0"/>
              <w:ind w:left="313"/>
              <w:jc w:val="both"/>
              <w:rPr>
                <w:szCs w:val="22"/>
              </w:rPr>
            </w:pPr>
            <w:r w:rsidRPr="00426CB3">
              <w:rPr>
                <w:szCs w:val="22"/>
              </w:rPr>
              <w:t xml:space="preserve">Women </w:t>
            </w:r>
          </w:p>
          <w:p w14:paraId="61733C54" w14:textId="77777777" w:rsidR="000F36CA" w:rsidRPr="00426CB3" w:rsidRDefault="000F36CA" w:rsidP="00E1095C">
            <w:pPr>
              <w:pStyle w:val="ListParagraph"/>
              <w:numPr>
                <w:ilvl w:val="0"/>
                <w:numId w:val="8"/>
              </w:numPr>
              <w:autoSpaceDE w:val="0"/>
              <w:autoSpaceDN w:val="0"/>
              <w:adjustRightInd w:val="0"/>
              <w:ind w:left="313"/>
              <w:jc w:val="both"/>
              <w:rPr>
                <w:szCs w:val="22"/>
              </w:rPr>
            </w:pPr>
            <w:r w:rsidRPr="00426CB3">
              <w:rPr>
                <w:szCs w:val="22"/>
              </w:rPr>
              <w:t xml:space="preserve">Lone parents </w:t>
            </w:r>
          </w:p>
          <w:p w14:paraId="61733C55" w14:textId="77777777" w:rsidR="000F36CA" w:rsidRPr="00426CB3" w:rsidRDefault="000F36CA" w:rsidP="00E1095C">
            <w:pPr>
              <w:pStyle w:val="ListParagraph"/>
              <w:numPr>
                <w:ilvl w:val="0"/>
                <w:numId w:val="8"/>
              </w:numPr>
              <w:autoSpaceDE w:val="0"/>
              <w:autoSpaceDN w:val="0"/>
              <w:adjustRightInd w:val="0"/>
              <w:ind w:left="313"/>
              <w:jc w:val="both"/>
              <w:rPr>
                <w:szCs w:val="22"/>
              </w:rPr>
            </w:pPr>
            <w:r w:rsidRPr="00426CB3">
              <w:rPr>
                <w:szCs w:val="22"/>
              </w:rPr>
              <w:t xml:space="preserve">Low skilled workers – who do not have a full Level 2 (or equivalent) qualification </w:t>
            </w:r>
          </w:p>
          <w:p w14:paraId="61733C56" w14:textId="77777777" w:rsidR="000F36CA" w:rsidRPr="00426CB3" w:rsidRDefault="000F36CA" w:rsidP="00E1095C">
            <w:pPr>
              <w:pStyle w:val="ListParagraph"/>
              <w:numPr>
                <w:ilvl w:val="0"/>
                <w:numId w:val="8"/>
              </w:numPr>
              <w:autoSpaceDE w:val="0"/>
              <w:autoSpaceDN w:val="0"/>
              <w:adjustRightInd w:val="0"/>
              <w:ind w:left="313"/>
              <w:jc w:val="both"/>
              <w:rPr>
                <w:szCs w:val="22"/>
              </w:rPr>
            </w:pPr>
            <w:r w:rsidRPr="00426CB3">
              <w:rPr>
                <w:szCs w:val="22"/>
              </w:rPr>
              <w:t>Low paid workers, workers on part-time or temporary contracts including individuals in receipt of in-work Universal Credit</w:t>
            </w:r>
          </w:p>
          <w:p w14:paraId="61733C57" w14:textId="77777777"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t xml:space="preserve">Workers at risk of redundancy </w:t>
            </w:r>
          </w:p>
          <w:p w14:paraId="61733C58" w14:textId="77777777" w:rsidR="000F36CA" w:rsidRPr="00426CB3" w:rsidRDefault="000F36CA" w:rsidP="000F36CA">
            <w:pPr>
              <w:rPr>
                <w:rFonts w:cs="Arial"/>
              </w:rPr>
            </w:pPr>
          </w:p>
          <w:p w14:paraId="61733C59" w14:textId="77777777" w:rsidR="000F36CA" w:rsidRDefault="000F36CA" w:rsidP="000F36CA">
            <w:pPr>
              <w:rPr>
                <w:rFonts w:cs="Arial"/>
              </w:rPr>
            </w:pPr>
            <w:r w:rsidRPr="00426CB3">
              <w:rPr>
                <w:rFonts w:cs="Arial"/>
              </w:rPr>
              <w:t xml:space="preserve">The </w:t>
            </w:r>
            <w:r w:rsidR="006C38F0" w:rsidRPr="00426CB3">
              <w:rPr>
                <w:rFonts w:cs="Arial"/>
              </w:rPr>
              <w:t>Services should p</w:t>
            </w:r>
            <w:r w:rsidRPr="00426CB3">
              <w:rPr>
                <w:rFonts w:cs="Arial"/>
              </w:rPr>
              <w:t>riorit</w:t>
            </w:r>
            <w:r w:rsidR="006C38F0" w:rsidRPr="00426CB3">
              <w:rPr>
                <w:rFonts w:cs="Arial"/>
              </w:rPr>
              <w:t>ise</w:t>
            </w:r>
            <w:r w:rsidRPr="00426CB3">
              <w:rPr>
                <w:rFonts w:cs="Arial"/>
              </w:rPr>
              <w:t xml:space="preserve"> employers that are in one of GM’s priority growth sectors which are expected to drive employment and/or GVA growth, or to have significant on-going employment opportunities:</w:t>
            </w:r>
          </w:p>
          <w:p w14:paraId="2CECFEC2" w14:textId="77777777" w:rsidR="00E1095C" w:rsidRPr="00426CB3" w:rsidRDefault="00E1095C" w:rsidP="000F36CA">
            <w:pPr>
              <w:rPr>
                <w:rFonts w:cs="Arial"/>
              </w:rPr>
            </w:pPr>
          </w:p>
          <w:p w14:paraId="61733C5A" w14:textId="77777777"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lang w:eastAsia="en-GB"/>
              </w:rPr>
              <w:t>business, financial &amp; professional services</w:t>
            </w:r>
          </w:p>
          <w:p w14:paraId="61733C5B" w14:textId="77777777"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lang w:eastAsia="en-GB"/>
              </w:rPr>
              <w:t>advanced manufacturing (including advanced materials)</w:t>
            </w:r>
          </w:p>
          <w:p w14:paraId="61733C5C" w14:textId="77777777"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lang w:eastAsia="en-GB"/>
              </w:rPr>
              <w:t>digital and creative</w:t>
            </w:r>
          </w:p>
          <w:p w14:paraId="61733C5D" w14:textId="77777777"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rPr>
                <w:rFonts w:cs="Arial"/>
                <w:lang w:eastAsia="en-GB"/>
              </w:rPr>
              <w:t>constru</w:t>
            </w:r>
            <w:r w:rsidRPr="00426CB3">
              <w:t>ction</w:t>
            </w:r>
          </w:p>
          <w:p w14:paraId="61733C5E" w14:textId="77777777" w:rsidR="000F36CA" w:rsidRPr="00426CB3" w:rsidRDefault="000F36CA" w:rsidP="00E1095C">
            <w:pPr>
              <w:pStyle w:val="ListParagraph"/>
              <w:numPr>
                <w:ilvl w:val="0"/>
                <w:numId w:val="8"/>
              </w:numPr>
              <w:autoSpaceDE w:val="0"/>
              <w:autoSpaceDN w:val="0"/>
              <w:adjustRightInd w:val="0"/>
              <w:ind w:left="313"/>
              <w:jc w:val="both"/>
              <w:rPr>
                <w:rFonts w:cs="Arial"/>
              </w:rPr>
            </w:pPr>
            <w:r w:rsidRPr="00426CB3">
              <w:t xml:space="preserve">logistics </w:t>
            </w:r>
          </w:p>
          <w:p w14:paraId="61733C5F" w14:textId="77777777" w:rsidR="005040CF" w:rsidRDefault="005040CF" w:rsidP="00FF3875">
            <w:pPr>
              <w:jc w:val="both"/>
              <w:rPr>
                <w:rFonts w:cs="Arial"/>
                <w:b/>
              </w:rPr>
            </w:pPr>
          </w:p>
          <w:p w14:paraId="0BF1D726" w14:textId="77777777" w:rsidR="00E1095C" w:rsidRDefault="00E1095C" w:rsidP="00FF3875">
            <w:pPr>
              <w:jc w:val="both"/>
              <w:rPr>
                <w:rFonts w:cs="Arial"/>
                <w:b/>
              </w:rPr>
            </w:pPr>
          </w:p>
          <w:p w14:paraId="57D79017" w14:textId="77777777" w:rsidR="00E1095C" w:rsidRDefault="00E1095C" w:rsidP="00FF3875">
            <w:pPr>
              <w:jc w:val="both"/>
              <w:rPr>
                <w:rFonts w:cs="Arial"/>
                <w:b/>
              </w:rPr>
            </w:pPr>
          </w:p>
          <w:p w14:paraId="61733C60" w14:textId="1B3CFD32" w:rsidR="007D2100" w:rsidRPr="007D2100" w:rsidRDefault="00EB7088" w:rsidP="00FF3875">
            <w:pPr>
              <w:jc w:val="both"/>
              <w:rPr>
                <w:rFonts w:cs="Arial"/>
                <w:b/>
              </w:rPr>
            </w:pPr>
            <w:r>
              <w:rPr>
                <w:rFonts w:cs="Arial"/>
                <w:b/>
              </w:rPr>
              <w:t>Strand 1</w:t>
            </w:r>
            <w:r w:rsidR="005040CF">
              <w:rPr>
                <w:rFonts w:cs="Arial"/>
                <w:b/>
              </w:rPr>
              <w:t xml:space="preserve">: </w:t>
            </w:r>
            <w:r w:rsidR="007D2100">
              <w:rPr>
                <w:rFonts w:cs="Arial"/>
                <w:b/>
              </w:rPr>
              <w:t xml:space="preserve">Skills Support for Workforce, </w:t>
            </w:r>
            <w:r w:rsidR="0012360B">
              <w:rPr>
                <w:rFonts w:cs="Arial"/>
                <w:b/>
              </w:rPr>
              <w:t>b</w:t>
            </w:r>
            <w:r w:rsidR="007D2100">
              <w:rPr>
                <w:rFonts w:cs="Arial"/>
                <w:b/>
              </w:rPr>
              <w:t>asic</w:t>
            </w:r>
            <w:r w:rsidR="00A80ACB">
              <w:rPr>
                <w:rFonts w:cs="Arial"/>
                <w:b/>
              </w:rPr>
              <w:t xml:space="preserve"> skills</w:t>
            </w:r>
            <w:r w:rsidR="0012360B">
              <w:rPr>
                <w:rFonts w:cs="Arial"/>
                <w:b/>
              </w:rPr>
              <w:t xml:space="preserve"> </w:t>
            </w:r>
            <w:r w:rsidR="00A80ACB">
              <w:rPr>
                <w:rFonts w:cs="Arial"/>
                <w:b/>
              </w:rPr>
              <w:t>provision</w:t>
            </w:r>
          </w:p>
          <w:p w14:paraId="61733C61" w14:textId="77777777" w:rsidR="00A80ACB" w:rsidRDefault="00A80ACB" w:rsidP="00FF3875">
            <w:pPr>
              <w:autoSpaceDE w:val="0"/>
              <w:autoSpaceDN w:val="0"/>
              <w:adjustRightInd w:val="0"/>
              <w:jc w:val="both"/>
              <w:rPr>
                <w:rFonts w:cs="Arial"/>
                <w:highlight w:val="yellow"/>
              </w:rPr>
            </w:pPr>
          </w:p>
          <w:p w14:paraId="61733C62" w14:textId="77777777" w:rsidR="0012360B" w:rsidRPr="00E0293B" w:rsidRDefault="0012360B" w:rsidP="00FF3875">
            <w:pPr>
              <w:autoSpaceDE w:val="0"/>
              <w:autoSpaceDN w:val="0"/>
              <w:adjustRightInd w:val="0"/>
              <w:jc w:val="both"/>
              <w:rPr>
                <w:rFonts w:cs="Arial"/>
              </w:rPr>
            </w:pPr>
            <w:r w:rsidRPr="00E0293B">
              <w:rPr>
                <w:rFonts w:cs="Arial"/>
              </w:rPr>
              <w:lastRenderedPageBreak/>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14:paraId="61733C63" w14:textId="77777777" w:rsidR="0012360B" w:rsidRPr="00E0293B" w:rsidRDefault="0012360B" w:rsidP="00FF3875">
            <w:pPr>
              <w:autoSpaceDE w:val="0"/>
              <w:autoSpaceDN w:val="0"/>
              <w:adjustRightInd w:val="0"/>
              <w:jc w:val="both"/>
              <w:rPr>
                <w:rFonts w:cs="Arial"/>
              </w:rPr>
            </w:pPr>
          </w:p>
          <w:p w14:paraId="61733C64" w14:textId="77777777" w:rsidR="0012360B" w:rsidRPr="00E0293B" w:rsidRDefault="0012360B" w:rsidP="00FF3875">
            <w:pPr>
              <w:autoSpaceDE w:val="0"/>
              <w:autoSpaceDN w:val="0"/>
              <w:adjustRightInd w:val="0"/>
              <w:jc w:val="both"/>
              <w:rPr>
                <w:rFonts w:cs="Arial"/>
              </w:rPr>
            </w:pPr>
            <w:r w:rsidRPr="00E0293B">
              <w:rPr>
                <w:rFonts w:cs="Arial"/>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61733C65" w14:textId="77777777" w:rsidR="0012360B" w:rsidRPr="00E0293B" w:rsidRDefault="0012360B" w:rsidP="00FF3875">
            <w:pPr>
              <w:autoSpaceDE w:val="0"/>
              <w:autoSpaceDN w:val="0"/>
              <w:adjustRightInd w:val="0"/>
              <w:jc w:val="both"/>
              <w:rPr>
                <w:rFonts w:cs="Arial"/>
              </w:rPr>
            </w:pPr>
          </w:p>
          <w:p w14:paraId="61733C66" w14:textId="77777777" w:rsidR="0012360B" w:rsidRPr="00E0293B" w:rsidRDefault="0012360B" w:rsidP="00FF3875">
            <w:pPr>
              <w:autoSpaceDE w:val="0"/>
              <w:autoSpaceDN w:val="0"/>
              <w:adjustRightInd w:val="0"/>
              <w:jc w:val="both"/>
              <w:rPr>
                <w:rFonts w:cs="Arial"/>
              </w:rPr>
            </w:pPr>
            <w:r w:rsidRPr="00E0293B">
              <w:rPr>
                <w:rFonts w:cs="Arial"/>
              </w:rPr>
              <w:t xml:space="preserve">The Services must provide locally tailored interventions and innovative approaches to meet the skills and Apprenticeship priorities of employers and Employees within the </w:t>
            </w:r>
            <w:r w:rsidR="004659D5" w:rsidRPr="00E0293B">
              <w:rPr>
                <w:rFonts w:cs="Arial"/>
              </w:rPr>
              <w:t xml:space="preserve">Greater Manchester </w:t>
            </w:r>
            <w:r w:rsidRPr="00E0293B">
              <w:rPr>
                <w:rFonts w:cs="Arial"/>
              </w:rPr>
              <w:t>LEP area.  The Services must deliver skills provision which leads to the onward progression of the individual to a full Apprenticeship or other in-work training.</w:t>
            </w:r>
          </w:p>
          <w:p w14:paraId="61733C67" w14:textId="77777777" w:rsidR="0012360B" w:rsidRPr="00E0293B" w:rsidRDefault="0012360B" w:rsidP="00FF3875">
            <w:pPr>
              <w:autoSpaceDE w:val="0"/>
              <w:autoSpaceDN w:val="0"/>
              <w:adjustRightInd w:val="0"/>
              <w:jc w:val="both"/>
              <w:rPr>
                <w:rFonts w:cs="Arial"/>
              </w:rPr>
            </w:pPr>
          </w:p>
          <w:p w14:paraId="61733C68" w14:textId="77777777" w:rsidR="0012360B" w:rsidRPr="00E0293B" w:rsidRDefault="0012360B" w:rsidP="00FF3875">
            <w:pPr>
              <w:ind w:left="29"/>
              <w:jc w:val="both"/>
              <w:rPr>
                <w:rFonts w:cs="Arial"/>
              </w:rPr>
            </w:pPr>
            <w:r w:rsidRPr="00E0293B">
              <w:rPr>
                <w:rFonts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61733C69" w14:textId="77777777" w:rsidR="0012360B" w:rsidRPr="00E0293B" w:rsidRDefault="0012360B" w:rsidP="00FF3875">
            <w:pPr>
              <w:jc w:val="both"/>
              <w:rPr>
                <w:rFonts w:cs="Arial"/>
                <w:color w:val="000000" w:themeColor="text1"/>
              </w:rPr>
            </w:pPr>
          </w:p>
          <w:p w14:paraId="61733C6A" w14:textId="77777777" w:rsidR="0012360B" w:rsidRPr="00E0293B" w:rsidRDefault="0012360B" w:rsidP="00FF3875">
            <w:pPr>
              <w:jc w:val="both"/>
              <w:rPr>
                <w:rFonts w:cs="Arial"/>
                <w:color w:val="000000" w:themeColor="text1"/>
              </w:rPr>
            </w:pPr>
            <w:r w:rsidRPr="00E0293B">
              <w:rPr>
                <w:rFonts w:cs="Arial"/>
              </w:rPr>
              <w:t xml:space="preserve">There must be assessments of the individual Employees’ </w:t>
            </w:r>
            <w:r w:rsidRPr="00E0293B">
              <w:rPr>
                <w:rFonts w:cs="Arial"/>
                <w:color w:val="000000" w:themeColor="text1"/>
              </w:rPr>
              <w:t xml:space="preserve">current skills profiles </w:t>
            </w:r>
            <w:r w:rsidRPr="00E0293B">
              <w:rPr>
                <w:rFonts w:cs="Arial"/>
              </w:rPr>
              <w:t xml:space="preserve">to </w:t>
            </w:r>
            <w:r w:rsidRPr="00E0293B">
              <w:rPr>
                <w:rFonts w:cs="Arial"/>
                <w:color w:val="000000" w:themeColor="text1"/>
              </w:rPr>
              <w:t xml:space="preserve">produce the development of an appropriate learning pathway.  </w:t>
            </w:r>
          </w:p>
          <w:p w14:paraId="61733C6B" w14:textId="77777777" w:rsidR="0012360B" w:rsidRPr="00E0293B" w:rsidRDefault="0012360B" w:rsidP="00FF3875">
            <w:pPr>
              <w:jc w:val="both"/>
              <w:rPr>
                <w:rFonts w:cs="Arial"/>
                <w:color w:val="000000" w:themeColor="text1"/>
              </w:rPr>
            </w:pPr>
          </w:p>
          <w:p w14:paraId="61733C6C" w14:textId="77777777" w:rsidR="0012360B" w:rsidRPr="00E0293B" w:rsidRDefault="0012360B" w:rsidP="00FF3875">
            <w:pPr>
              <w:jc w:val="both"/>
              <w:rPr>
                <w:rFonts w:cs="Arial"/>
                <w:color w:val="000000" w:themeColor="text1"/>
              </w:rPr>
            </w:pPr>
            <w:r w:rsidRPr="00E0293B">
              <w:rPr>
                <w:rFonts w:cs="Arial"/>
                <w:color w:val="000000" w:themeColor="text1"/>
              </w:rPr>
              <w:t xml:space="preserve">The Services must provide advice and guidance, personal development planning, skills development and learning and mentoring on an individual basis.  </w:t>
            </w:r>
          </w:p>
          <w:p w14:paraId="61733C6D" w14:textId="77777777" w:rsidR="0012360B" w:rsidRPr="00E0293B" w:rsidRDefault="0012360B" w:rsidP="00FF3875">
            <w:pPr>
              <w:jc w:val="both"/>
              <w:rPr>
                <w:rFonts w:cs="Arial"/>
                <w:color w:val="000000" w:themeColor="text1"/>
              </w:rPr>
            </w:pPr>
          </w:p>
          <w:p w14:paraId="61733C6E" w14:textId="77777777" w:rsidR="0012360B" w:rsidRPr="00E0293B" w:rsidRDefault="0012360B" w:rsidP="00FF3875">
            <w:pPr>
              <w:jc w:val="both"/>
              <w:rPr>
                <w:rFonts w:cs="Arial"/>
              </w:rPr>
            </w:pPr>
            <w:r w:rsidRPr="00E0293B">
              <w:rPr>
                <w:rFonts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sidRPr="00E0293B">
              <w:rPr>
                <w:rFonts w:cs="Arial"/>
              </w:rPr>
              <w:t>basic skills, English, Maths or ESOL at entry level, level 1 or level 2.</w:t>
            </w:r>
          </w:p>
          <w:p w14:paraId="61733C6F" w14:textId="77777777" w:rsidR="0012360B" w:rsidRPr="00E0293B" w:rsidRDefault="0012360B" w:rsidP="00FF3875">
            <w:pPr>
              <w:jc w:val="both"/>
              <w:rPr>
                <w:rFonts w:cs="Arial"/>
                <w:color w:val="000000" w:themeColor="text1"/>
              </w:rPr>
            </w:pPr>
          </w:p>
          <w:p w14:paraId="61733C70" w14:textId="77777777" w:rsidR="0012360B" w:rsidRPr="00E0293B" w:rsidRDefault="002F04CB" w:rsidP="00FF3875">
            <w:pPr>
              <w:ind w:left="29"/>
              <w:jc w:val="both"/>
              <w:rPr>
                <w:rFonts w:cs="Arial"/>
                <w:color w:val="000000" w:themeColor="text1"/>
              </w:rPr>
            </w:pPr>
            <w:r w:rsidRPr="00E0293B">
              <w:rPr>
                <w:rFonts w:cs="Arial"/>
                <w:color w:val="000000" w:themeColor="text1"/>
              </w:rPr>
              <w:t>The Services must provide support to sustain individuals in work and to enable them to continue to acquire the skills for progression. This support should include mentoring and follow-up support for individuals in learning and specific vocational short courses and bite sized learning to help individuals to continue to progress.</w:t>
            </w:r>
          </w:p>
          <w:p w14:paraId="61733C71" w14:textId="77777777" w:rsidR="002F04CB" w:rsidRPr="00E0293B" w:rsidRDefault="002F04CB" w:rsidP="00FF3875">
            <w:pPr>
              <w:ind w:left="29"/>
              <w:jc w:val="both"/>
              <w:rPr>
                <w:rFonts w:cs="Arial"/>
                <w:color w:val="000000" w:themeColor="text1"/>
              </w:rPr>
            </w:pPr>
          </w:p>
          <w:p w14:paraId="61733C72" w14:textId="77777777" w:rsidR="0012360B" w:rsidRPr="00E0293B" w:rsidRDefault="0012360B" w:rsidP="00FF3875">
            <w:pPr>
              <w:ind w:left="29"/>
              <w:jc w:val="both"/>
              <w:rPr>
                <w:rFonts w:cs="Arial"/>
                <w:color w:val="000000" w:themeColor="text1"/>
              </w:rPr>
            </w:pPr>
            <w:r w:rsidRPr="00E0293B">
              <w:rPr>
                <w:rFonts w:cs="Arial"/>
                <w:color w:val="000000" w:themeColor="text1"/>
              </w:rPr>
              <w:t>The Services should be delivered in the workplace or at a suitable location with the agreement of the employer and must ensure maximum innovation and flexibility.</w:t>
            </w:r>
          </w:p>
          <w:p w14:paraId="61733C73" w14:textId="77777777" w:rsidR="0012360B" w:rsidRPr="00E0293B" w:rsidRDefault="0012360B" w:rsidP="00FF3875">
            <w:pPr>
              <w:ind w:left="29"/>
              <w:jc w:val="both"/>
              <w:rPr>
                <w:rFonts w:cs="Arial"/>
                <w:color w:val="000000" w:themeColor="text1"/>
              </w:rPr>
            </w:pPr>
          </w:p>
          <w:p w14:paraId="61733C74" w14:textId="77777777" w:rsidR="0012360B" w:rsidRDefault="0012360B" w:rsidP="00FF3875">
            <w:pPr>
              <w:jc w:val="both"/>
              <w:rPr>
                <w:rFonts w:cs="Arial"/>
                <w:color w:val="000000" w:themeColor="text1"/>
              </w:rPr>
            </w:pPr>
            <w:r w:rsidRPr="00E0293B">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61733C75" w14:textId="77777777" w:rsidR="007D2100" w:rsidRDefault="007D2100" w:rsidP="00FF3875">
            <w:pPr>
              <w:jc w:val="both"/>
              <w:rPr>
                <w:rFonts w:cs="Arial"/>
              </w:rPr>
            </w:pPr>
          </w:p>
          <w:p w14:paraId="61733C76" w14:textId="77777777" w:rsidR="00E41EDD" w:rsidRDefault="00E41EDD" w:rsidP="00FF3875">
            <w:pPr>
              <w:jc w:val="both"/>
              <w:rPr>
                <w:rFonts w:cs="Arial"/>
              </w:rPr>
            </w:pPr>
          </w:p>
          <w:p w14:paraId="61733C77" w14:textId="4128EF6C" w:rsidR="00261BD3" w:rsidRPr="00A80ACB" w:rsidRDefault="00EB7088" w:rsidP="00FF3875">
            <w:pPr>
              <w:jc w:val="both"/>
              <w:rPr>
                <w:rFonts w:cs="Arial"/>
                <w:b/>
              </w:rPr>
            </w:pPr>
            <w:r>
              <w:rPr>
                <w:rFonts w:cs="Arial"/>
                <w:b/>
              </w:rPr>
              <w:t xml:space="preserve">Strand </w:t>
            </w:r>
            <w:r w:rsidR="005040CF">
              <w:rPr>
                <w:rFonts w:cs="Arial"/>
                <w:b/>
              </w:rPr>
              <w:t xml:space="preserve">2: </w:t>
            </w:r>
            <w:r w:rsidR="007D2100" w:rsidRPr="00A80ACB">
              <w:rPr>
                <w:rFonts w:cs="Arial"/>
                <w:b/>
              </w:rPr>
              <w:t>Skills Support for Workforce</w:t>
            </w:r>
            <w:r w:rsidR="0012360B" w:rsidRPr="00A80ACB">
              <w:rPr>
                <w:rFonts w:cs="Arial"/>
                <w:b/>
              </w:rPr>
              <w:t>, intermediate/higher s</w:t>
            </w:r>
            <w:r w:rsidR="007D2100" w:rsidRPr="00A80ACB">
              <w:rPr>
                <w:rFonts w:cs="Arial"/>
                <w:b/>
              </w:rPr>
              <w:t xml:space="preserve">kills </w:t>
            </w:r>
            <w:r w:rsidR="0012360B" w:rsidRPr="00A80ACB">
              <w:rPr>
                <w:rFonts w:cs="Arial"/>
                <w:b/>
              </w:rPr>
              <w:t>p</w:t>
            </w:r>
            <w:r w:rsidR="007D2100" w:rsidRPr="00A80ACB">
              <w:rPr>
                <w:rFonts w:cs="Arial"/>
                <w:b/>
              </w:rPr>
              <w:t>rovision</w:t>
            </w:r>
          </w:p>
          <w:p w14:paraId="61733C78" w14:textId="77777777" w:rsidR="00A80ACB" w:rsidRPr="00E0293B" w:rsidRDefault="00A80ACB" w:rsidP="00FF3875">
            <w:pPr>
              <w:jc w:val="both"/>
              <w:rPr>
                <w:rFonts w:cs="Arial"/>
              </w:rPr>
            </w:pPr>
          </w:p>
          <w:p w14:paraId="61733C79" w14:textId="77777777" w:rsidR="00B773E0" w:rsidRPr="00E0293B" w:rsidRDefault="00B773E0" w:rsidP="00FF3875">
            <w:pPr>
              <w:jc w:val="both"/>
              <w:rPr>
                <w:rFonts w:cs="Arial"/>
              </w:rPr>
            </w:pPr>
            <w:r w:rsidRPr="00E0293B">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61733C7A" w14:textId="77777777" w:rsidR="00B773E0" w:rsidRPr="00E0293B" w:rsidRDefault="00B773E0" w:rsidP="00FF3875">
            <w:pPr>
              <w:jc w:val="both"/>
              <w:rPr>
                <w:rFonts w:cs="Arial"/>
                <w:b/>
              </w:rPr>
            </w:pPr>
          </w:p>
          <w:p w14:paraId="61733C7B" w14:textId="77777777" w:rsidR="00B773E0" w:rsidRPr="00E0293B" w:rsidRDefault="00B773E0" w:rsidP="00FF3875">
            <w:pPr>
              <w:jc w:val="both"/>
              <w:rPr>
                <w:lang w:val="en"/>
              </w:rPr>
            </w:pPr>
            <w:r w:rsidRPr="00E0293B">
              <w:rPr>
                <w:lang w:val="en"/>
              </w:rPr>
              <w:t>The Services must take into account State Aid Regulations if the support potentially gives the employer a competitive advantage in the market or could affect trade within the European Union.  Guidance can be found at:</w:t>
            </w:r>
          </w:p>
          <w:p w14:paraId="61733C7C" w14:textId="77777777" w:rsidR="00B773E0" w:rsidRPr="00E0293B" w:rsidRDefault="00A66FDE" w:rsidP="00FF3875">
            <w:pPr>
              <w:jc w:val="both"/>
              <w:rPr>
                <w:rFonts w:cs="Arial"/>
              </w:rPr>
            </w:pPr>
            <w:hyperlink r:id="rId17" w:history="1">
              <w:r w:rsidR="00B773E0" w:rsidRPr="00E0293B">
                <w:rPr>
                  <w:rStyle w:val="Hyperlink"/>
                  <w:rFonts w:cs="Arial"/>
                </w:rPr>
                <w:t>https://www.gov.uk/government/publications/sfa-esf-guidance-for-employers-about-state-aid</w:t>
              </w:r>
            </w:hyperlink>
          </w:p>
          <w:p w14:paraId="61733C7D" w14:textId="77777777" w:rsidR="00B773E0" w:rsidRPr="00E0293B" w:rsidRDefault="00B773E0" w:rsidP="00FF3875">
            <w:pPr>
              <w:jc w:val="both"/>
              <w:rPr>
                <w:rFonts w:cs="Arial"/>
                <w:b/>
              </w:rPr>
            </w:pPr>
          </w:p>
          <w:p w14:paraId="61733C7E" w14:textId="77777777" w:rsidR="00B773E0" w:rsidRPr="00E0293B" w:rsidRDefault="00B773E0" w:rsidP="00FF3875">
            <w:pPr>
              <w:ind w:right="113"/>
              <w:jc w:val="both"/>
              <w:rPr>
                <w:rFonts w:cs="Arial"/>
              </w:rPr>
            </w:pPr>
            <w:r w:rsidRPr="00E0293B">
              <w:rPr>
                <w:rFonts w:cs="Arial"/>
              </w:rPr>
              <w:t>The Services  must deliver a responsive skills programme that is tailored to the needs of the</w:t>
            </w:r>
            <w:r w:rsidR="004659D5" w:rsidRPr="00E0293B">
              <w:rPr>
                <w:rFonts w:cs="Arial"/>
              </w:rPr>
              <w:t xml:space="preserve"> Greater Manchester</w:t>
            </w:r>
            <w:r w:rsidRPr="00E0293B">
              <w:rPr>
                <w:rFonts w:cs="Arial"/>
              </w:rPr>
              <w:t xml:space="preserve">* LEP area in order to stimulate a growth in the skills base for businesses that will give the best opportunity to grow the economy and create more and better jobs.  </w:t>
            </w:r>
          </w:p>
          <w:p w14:paraId="61733C7F" w14:textId="77777777" w:rsidR="00B773E0" w:rsidRPr="00E0293B" w:rsidRDefault="00B773E0" w:rsidP="00FF3875">
            <w:pPr>
              <w:jc w:val="both"/>
              <w:rPr>
                <w:rFonts w:cs="Arial"/>
              </w:rPr>
            </w:pPr>
          </w:p>
          <w:p w14:paraId="61733C80" w14:textId="77777777" w:rsidR="00B773E0" w:rsidRPr="00E0293B" w:rsidRDefault="00B773E0" w:rsidP="00FF3875">
            <w:pPr>
              <w:jc w:val="both"/>
              <w:rPr>
                <w:rFonts w:cs="Arial"/>
              </w:rPr>
            </w:pPr>
            <w:r w:rsidRPr="00E0293B">
              <w:rPr>
                <w:rFonts w:cs="Arial"/>
              </w:rPr>
              <w:t>The Services must deliver highly responsive skills provision to meet business and industry needs.  Employers must be engaged to shape and direct the Services.</w:t>
            </w:r>
          </w:p>
          <w:p w14:paraId="61733C81" w14:textId="77777777" w:rsidR="00B773E0" w:rsidRPr="00E0293B" w:rsidRDefault="00B773E0" w:rsidP="00FF3875">
            <w:pPr>
              <w:jc w:val="both"/>
              <w:rPr>
                <w:rFonts w:cs="Arial"/>
              </w:rPr>
            </w:pPr>
          </w:p>
          <w:p w14:paraId="61733C82" w14:textId="77777777" w:rsidR="00B773E0" w:rsidRPr="00E0293B" w:rsidRDefault="00B773E0" w:rsidP="00FF3875">
            <w:pPr>
              <w:jc w:val="both"/>
              <w:rPr>
                <w:rFonts w:cs="Arial"/>
              </w:rPr>
            </w:pPr>
            <w:r w:rsidRPr="00E0293B">
              <w:rPr>
                <w:rFonts w:cs="Arial"/>
              </w:rPr>
              <w:t>The Services must support individuals to start on higher level skills and apprenticeships by providing taster units of relevant vocational training</w:t>
            </w:r>
          </w:p>
          <w:p w14:paraId="61733C83" w14:textId="77777777" w:rsidR="00B773E0" w:rsidRPr="00E0293B" w:rsidRDefault="00B773E0" w:rsidP="00FF3875">
            <w:pPr>
              <w:jc w:val="both"/>
              <w:rPr>
                <w:rFonts w:cs="Arial"/>
              </w:rPr>
            </w:pPr>
          </w:p>
          <w:p w14:paraId="61733C84" w14:textId="77777777" w:rsidR="00B773E0" w:rsidRPr="00E0293B" w:rsidRDefault="00B773E0" w:rsidP="00FF3875">
            <w:pPr>
              <w:jc w:val="both"/>
              <w:rPr>
                <w:rFonts w:cs="Arial"/>
              </w:rPr>
            </w:pPr>
            <w:r w:rsidRPr="00E0293B">
              <w:rPr>
                <w:rFonts w:cs="Arial"/>
              </w:rPr>
              <w:t xml:space="preserve">The Services must drive up skills levels, focusing on the skills being sought by employers and supporting the </w:t>
            </w:r>
            <w:r w:rsidR="00CA2C74" w:rsidRPr="00E0293B">
              <w:rPr>
                <w:rFonts w:cs="Arial"/>
              </w:rPr>
              <w:t>Greater Manchester</w:t>
            </w:r>
            <w:r w:rsidRPr="00E0293B">
              <w:rPr>
                <w:rFonts w:cs="Arial"/>
              </w:rPr>
              <w:t xml:space="preserve"> LEP’s priority sectors.  The Services must result in an increase the number of businesses (</w:t>
            </w:r>
            <w:r w:rsidR="00CA2C74" w:rsidRPr="00E0293B">
              <w:rPr>
                <w:rFonts w:cs="Arial"/>
              </w:rPr>
              <w:t>SMEs</w:t>
            </w:r>
            <w:r w:rsidRPr="00E0293B">
              <w:rPr>
                <w:rFonts w:cs="Arial"/>
              </w:rPr>
              <w:t>) who are actively planning to address skills issues as a part of their growth.  The Services must encourage employers and/or employees to participate in an apprenticeship.</w:t>
            </w:r>
          </w:p>
          <w:p w14:paraId="61733C85" w14:textId="77777777" w:rsidR="00B773E0" w:rsidRPr="00E0293B" w:rsidRDefault="00B773E0" w:rsidP="00FF3875">
            <w:pPr>
              <w:jc w:val="both"/>
              <w:rPr>
                <w:rFonts w:cs="Arial"/>
              </w:rPr>
            </w:pPr>
          </w:p>
          <w:p w14:paraId="61733C86" w14:textId="77777777" w:rsidR="00B773E0" w:rsidRPr="00E0293B" w:rsidRDefault="00B773E0" w:rsidP="00FF3875">
            <w:pPr>
              <w:jc w:val="both"/>
              <w:rPr>
                <w:rFonts w:cs="Arial"/>
              </w:rPr>
            </w:pPr>
            <w:r w:rsidRPr="00E0293B">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61733C87" w14:textId="77777777" w:rsidR="00B773E0" w:rsidRPr="00E0293B" w:rsidRDefault="00B773E0" w:rsidP="00FF3875">
            <w:pPr>
              <w:jc w:val="both"/>
              <w:rPr>
                <w:rFonts w:cs="Arial"/>
              </w:rPr>
            </w:pPr>
          </w:p>
          <w:p w14:paraId="61733C88" w14:textId="77777777" w:rsidR="00B773E0" w:rsidRPr="00E0293B" w:rsidRDefault="00B773E0" w:rsidP="00FF3875">
            <w:pPr>
              <w:jc w:val="both"/>
              <w:rPr>
                <w:rFonts w:cs="Arial"/>
              </w:rPr>
            </w:pPr>
            <w:r w:rsidRPr="00E0293B">
              <w:rPr>
                <w:rFonts w:cs="Arial"/>
              </w:rPr>
              <w:t xml:space="preserve">The Services must provide advice and guidance, personal development planning, skills development and learning and mentoring on an individual basis.  </w:t>
            </w:r>
          </w:p>
          <w:p w14:paraId="61733C89" w14:textId="77777777" w:rsidR="00B773E0" w:rsidRPr="00E0293B" w:rsidRDefault="00B773E0" w:rsidP="00FF3875">
            <w:pPr>
              <w:jc w:val="both"/>
              <w:rPr>
                <w:rFonts w:cs="Arial"/>
              </w:rPr>
            </w:pPr>
          </w:p>
          <w:p w14:paraId="61733C8A" w14:textId="77777777" w:rsidR="00B773E0" w:rsidRPr="00E0293B" w:rsidRDefault="00B773E0" w:rsidP="00FF3875">
            <w:pPr>
              <w:jc w:val="both"/>
              <w:rPr>
                <w:rFonts w:cs="Arial"/>
              </w:rPr>
            </w:pPr>
            <w:r w:rsidRPr="00E0293B">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61733C8B" w14:textId="77777777" w:rsidR="00B773E0" w:rsidRPr="00E0293B" w:rsidRDefault="00B773E0" w:rsidP="00FF3875">
            <w:pPr>
              <w:jc w:val="both"/>
              <w:rPr>
                <w:rFonts w:cs="Arial"/>
              </w:rPr>
            </w:pPr>
          </w:p>
          <w:p w14:paraId="61733C8C" w14:textId="77777777" w:rsidR="00B773E0" w:rsidRPr="00E0293B" w:rsidRDefault="00B773E0" w:rsidP="00FF3875">
            <w:pPr>
              <w:jc w:val="both"/>
              <w:rPr>
                <w:rFonts w:cs="Arial"/>
              </w:rPr>
            </w:pPr>
            <w:r w:rsidRPr="00E0293B">
              <w:rPr>
                <w:rFonts w:cs="Arial"/>
              </w:rPr>
              <w:t>The skills provision must reflects the needs of the business and should be tailored to fit working practices and demands. It must be delivered on business premises and other appropriate venues.</w:t>
            </w:r>
          </w:p>
          <w:p w14:paraId="61733C8D" w14:textId="77777777" w:rsidR="00B773E0" w:rsidRPr="00E0293B" w:rsidRDefault="00B773E0" w:rsidP="00FF3875">
            <w:pPr>
              <w:jc w:val="both"/>
              <w:rPr>
                <w:rFonts w:cs="Arial"/>
              </w:rPr>
            </w:pPr>
          </w:p>
          <w:p w14:paraId="61733C8E" w14:textId="77777777" w:rsidR="00B773E0" w:rsidRPr="00E0293B" w:rsidRDefault="00B773E0" w:rsidP="00FF3875">
            <w:pPr>
              <w:jc w:val="both"/>
              <w:rPr>
                <w:rFonts w:cs="Arial"/>
              </w:rPr>
            </w:pPr>
            <w:r w:rsidRPr="00E0293B">
              <w:rPr>
                <w:rFonts w:cs="Arial"/>
              </w:rPr>
              <w:t>Where demand requires, the Services should develop and support the delivery of new advanced vocational provision where mainstream provision is not available (not including tuition fees) and where a gap can be demonstrated.</w:t>
            </w:r>
          </w:p>
          <w:p w14:paraId="61733C8F" w14:textId="77777777" w:rsidR="00B773E0" w:rsidRPr="00E0293B" w:rsidRDefault="00B773E0" w:rsidP="00FF3875">
            <w:pPr>
              <w:jc w:val="both"/>
              <w:rPr>
                <w:rFonts w:cs="Arial"/>
              </w:rPr>
            </w:pPr>
          </w:p>
          <w:p w14:paraId="61733C90" w14:textId="77777777" w:rsidR="00B773E0" w:rsidRPr="00E0293B" w:rsidRDefault="00B773E0" w:rsidP="00FF3875">
            <w:pPr>
              <w:jc w:val="both"/>
              <w:rPr>
                <w:rFonts w:cs="Arial"/>
              </w:rPr>
            </w:pPr>
            <w:r w:rsidRPr="00E0293B">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61733C91" w14:textId="77777777" w:rsidR="00B773E0" w:rsidRPr="00E0293B" w:rsidRDefault="00B773E0" w:rsidP="00FF3875">
            <w:pPr>
              <w:jc w:val="both"/>
              <w:rPr>
                <w:rFonts w:cs="Arial"/>
              </w:rPr>
            </w:pPr>
          </w:p>
          <w:p w14:paraId="61733C92" w14:textId="77777777" w:rsidR="00B773E0" w:rsidRPr="00E0293B" w:rsidRDefault="00B773E0" w:rsidP="00FF3875">
            <w:pPr>
              <w:jc w:val="both"/>
              <w:rPr>
                <w:rFonts w:cs="Arial"/>
              </w:rPr>
            </w:pPr>
            <w:r w:rsidRPr="00E0293B">
              <w:rPr>
                <w:rFonts w:cs="Arial"/>
              </w:rPr>
              <w:t>As well as intermediate, technical skills and higher level skills provision the Services should also support individuals to take up Apprenticeships in the key sectors listed below, including Higher Apprenticeships.</w:t>
            </w:r>
          </w:p>
          <w:p w14:paraId="61733C93" w14:textId="77777777" w:rsidR="00B773E0" w:rsidRPr="00E0293B" w:rsidRDefault="00B773E0" w:rsidP="00FF3875">
            <w:pPr>
              <w:jc w:val="both"/>
              <w:rPr>
                <w:rFonts w:cs="Arial"/>
              </w:rPr>
            </w:pPr>
          </w:p>
          <w:p w14:paraId="61733C94" w14:textId="77777777" w:rsidR="00B773E0" w:rsidRPr="00E0293B" w:rsidRDefault="00B773E0" w:rsidP="00FF3875">
            <w:pPr>
              <w:jc w:val="both"/>
              <w:rPr>
                <w:rFonts w:cs="Arial"/>
              </w:rPr>
            </w:pPr>
            <w:r w:rsidRPr="00E0293B">
              <w:rPr>
                <w:rFonts w:cs="Arial"/>
              </w:rPr>
              <w:t>The Services must develop and deliver bridging programmes to enable individuals to progress from Further or Higher Education to Higher Level Apprenticeships.</w:t>
            </w:r>
          </w:p>
          <w:p w14:paraId="61733C95" w14:textId="77777777" w:rsidR="00B773E0" w:rsidRPr="00E0293B" w:rsidRDefault="00B773E0" w:rsidP="00FF3875">
            <w:pPr>
              <w:jc w:val="both"/>
              <w:rPr>
                <w:rFonts w:cs="Arial"/>
              </w:rPr>
            </w:pPr>
          </w:p>
          <w:p w14:paraId="61733C96" w14:textId="77777777" w:rsidR="00B773E0" w:rsidRDefault="00B773E0" w:rsidP="00FF3875">
            <w:pPr>
              <w:ind w:left="29"/>
              <w:jc w:val="both"/>
              <w:rPr>
                <w:rFonts w:cs="Arial"/>
                <w:color w:val="000000" w:themeColor="text1"/>
              </w:rPr>
            </w:pPr>
            <w:r w:rsidRPr="00E0293B">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61733C97" w14:textId="77777777" w:rsidR="00FF3875" w:rsidRDefault="00FF3875" w:rsidP="00FF3875">
            <w:pPr>
              <w:jc w:val="both"/>
              <w:rPr>
                <w:rFonts w:cs="Arial"/>
                <w:b/>
                <w:color w:val="000000" w:themeColor="text1"/>
              </w:rPr>
            </w:pPr>
          </w:p>
          <w:p w14:paraId="61733C98" w14:textId="04FE2772" w:rsidR="0012360B" w:rsidRDefault="00EB7088" w:rsidP="00FF3875">
            <w:pPr>
              <w:jc w:val="both"/>
              <w:rPr>
                <w:rFonts w:cs="Arial"/>
                <w:b/>
                <w:color w:val="000000" w:themeColor="text1"/>
              </w:rPr>
            </w:pPr>
            <w:r>
              <w:rPr>
                <w:rFonts w:cs="Arial"/>
                <w:b/>
                <w:color w:val="000000" w:themeColor="text1"/>
              </w:rPr>
              <w:t xml:space="preserve">Strand </w:t>
            </w:r>
            <w:r w:rsidR="005040CF">
              <w:rPr>
                <w:rFonts w:cs="Arial"/>
                <w:b/>
                <w:color w:val="000000" w:themeColor="text1"/>
              </w:rPr>
              <w:t xml:space="preserve">3: </w:t>
            </w:r>
            <w:r w:rsidR="0012360B">
              <w:rPr>
                <w:rFonts w:cs="Arial"/>
                <w:b/>
                <w:color w:val="000000" w:themeColor="text1"/>
              </w:rPr>
              <w:t xml:space="preserve">Skills Support for Redundancy </w:t>
            </w:r>
          </w:p>
          <w:p w14:paraId="61733C99" w14:textId="77777777" w:rsidR="0012360B" w:rsidRDefault="0012360B" w:rsidP="00FF3875">
            <w:pPr>
              <w:pStyle w:val="ListParagraph"/>
              <w:ind w:left="0" w:right="113"/>
              <w:jc w:val="both"/>
              <w:rPr>
                <w:rFonts w:cs="Arial"/>
                <w:color w:val="000000" w:themeColor="text1"/>
                <w:szCs w:val="22"/>
              </w:rPr>
            </w:pPr>
          </w:p>
          <w:p w14:paraId="61733C9A"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The Services must support businesses which are undergoing industrial restructuring by providing skills and employability support for their employees at risk of redundancy</w:t>
            </w:r>
          </w:p>
          <w:p w14:paraId="61733C9B" w14:textId="77777777" w:rsidR="0012360B" w:rsidRPr="00E0293B" w:rsidRDefault="0012360B" w:rsidP="00FF3875">
            <w:pPr>
              <w:autoSpaceDE w:val="0"/>
              <w:autoSpaceDN w:val="0"/>
              <w:adjustRightInd w:val="0"/>
              <w:jc w:val="both"/>
              <w:rPr>
                <w:rFonts w:cs="Arial"/>
                <w:bCs/>
                <w:lang w:eastAsia="en-GB"/>
              </w:rPr>
            </w:pPr>
          </w:p>
          <w:p w14:paraId="61733C9C" w14:textId="77777777" w:rsidR="0012360B" w:rsidRPr="00E0293B" w:rsidRDefault="002F04CB" w:rsidP="00FF3875">
            <w:pPr>
              <w:autoSpaceDE w:val="0"/>
              <w:autoSpaceDN w:val="0"/>
              <w:adjustRightInd w:val="0"/>
              <w:jc w:val="both"/>
              <w:rPr>
                <w:rFonts w:cs="Arial"/>
                <w:bCs/>
                <w:lang w:eastAsia="en-GB"/>
              </w:rPr>
            </w:pPr>
            <w:r w:rsidRPr="00E0293B">
              <w:rPr>
                <w:rFonts w:cs="Arial"/>
                <w:bCs/>
                <w:lang w:eastAsia="en-GB"/>
              </w:rPr>
              <w:t>The Services must support newly unemployed individuals where initial contact through previous employers has not been possible.</w:t>
            </w:r>
          </w:p>
          <w:p w14:paraId="61733C9D" w14:textId="77777777" w:rsidR="002F04CB" w:rsidRPr="00E0293B" w:rsidRDefault="002F04CB" w:rsidP="00FF3875">
            <w:pPr>
              <w:autoSpaceDE w:val="0"/>
              <w:autoSpaceDN w:val="0"/>
              <w:adjustRightInd w:val="0"/>
              <w:jc w:val="both"/>
              <w:rPr>
                <w:rFonts w:cs="Arial"/>
                <w:bCs/>
                <w:lang w:eastAsia="en-GB"/>
              </w:rPr>
            </w:pPr>
          </w:p>
          <w:p w14:paraId="61733C9E"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The Services should support the retention and retraining of skills workers within the locality particularly within the LEP’s priority sectors.</w:t>
            </w:r>
          </w:p>
          <w:p w14:paraId="61733C9F" w14:textId="77777777" w:rsidR="0012360B" w:rsidRPr="00E0293B" w:rsidRDefault="0012360B" w:rsidP="00FF3875">
            <w:pPr>
              <w:autoSpaceDE w:val="0"/>
              <w:autoSpaceDN w:val="0"/>
              <w:adjustRightInd w:val="0"/>
              <w:jc w:val="both"/>
              <w:rPr>
                <w:rFonts w:cs="Arial"/>
                <w:bCs/>
                <w:lang w:eastAsia="en-GB"/>
              </w:rPr>
            </w:pPr>
          </w:p>
          <w:p w14:paraId="61733CA0"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The Services must support Employees facing redundancy to remain in the labour market by providing them with the enhanced skills to make them competitive.</w:t>
            </w:r>
          </w:p>
          <w:p w14:paraId="61733CA1" w14:textId="77777777" w:rsidR="0012360B" w:rsidRPr="00E0293B" w:rsidRDefault="0012360B" w:rsidP="00FF3875">
            <w:pPr>
              <w:autoSpaceDE w:val="0"/>
              <w:autoSpaceDN w:val="0"/>
              <w:adjustRightInd w:val="0"/>
              <w:jc w:val="both"/>
              <w:rPr>
                <w:rFonts w:cs="Arial"/>
                <w:bCs/>
                <w:lang w:eastAsia="en-GB"/>
              </w:rPr>
            </w:pPr>
          </w:p>
          <w:p w14:paraId="61733CA2" w14:textId="77777777" w:rsidR="002F04CB" w:rsidRPr="00E0293B" w:rsidRDefault="002F04CB" w:rsidP="00FF3875">
            <w:pPr>
              <w:autoSpaceDE w:val="0"/>
              <w:autoSpaceDN w:val="0"/>
              <w:adjustRightInd w:val="0"/>
              <w:jc w:val="both"/>
              <w:rPr>
                <w:rFonts w:cs="Arial"/>
                <w:bCs/>
                <w:lang w:eastAsia="en-GB"/>
              </w:rPr>
            </w:pPr>
            <w:r w:rsidRPr="00E0293B">
              <w:rPr>
                <w:rFonts w:cs="Arial"/>
                <w:bCs/>
                <w:lang w:eastAsia="en-GB"/>
              </w:rPr>
              <w:t>The Services must respond quickly to announcement of redundancies. The successful Candidate will be required to attend meetings, including any arranged by BIS Local, with the relevant employers and/or trade unions to respond to major redundancies. Where required the Services will be expected to support a ‘task force’ to address the major redundancy and define and subsequently support those being made redundant.</w:t>
            </w:r>
          </w:p>
          <w:p w14:paraId="61733CA3" w14:textId="77777777" w:rsidR="002F04CB" w:rsidRPr="00E0293B" w:rsidRDefault="002F04CB" w:rsidP="00FF3875">
            <w:pPr>
              <w:autoSpaceDE w:val="0"/>
              <w:autoSpaceDN w:val="0"/>
              <w:adjustRightInd w:val="0"/>
              <w:jc w:val="both"/>
              <w:rPr>
                <w:rFonts w:cs="Arial"/>
                <w:bCs/>
                <w:lang w:eastAsia="en-GB"/>
              </w:rPr>
            </w:pPr>
          </w:p>
          <w:p w14:paraId="61733CA4"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 xml:space="preserve">There must be an assessment of the generic employability skills which Employees will require to successfully obtain alternative employment within the local labour market.  </w:t>
            </w:r>
          </w:p>
          <w:p w14:paraId="61733CA5" w14:textId="77777777" w:rsidR="0012360B" w:rsidRPr="00E0293B" w:rsidRDefault="0012360B" w:rsidP="00FF3875">
            <w:pPr>
              <w:autoSpaceDE w:val="0"/>
              <w:autoSpaceDN w:val="0"/>
              <w:adjustRightInd w:val="0"/>
              <w:jc w:val="both"/>
              <w:rPr>
                <w:rFonts w:cs="Arial"/>
                <w:bCs/>
                <w:lang w:eastAsia="en-GB"/>
              </w:rPr>
            </w:pPr>
          </w:p>
          <w:p w14:paraId="61733CA6"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The Services must provide targeted information advice and guidance (IAG) to ensure that the training opportunities are targeted at up-skilling or re-skilling individuals to improve their employment opportunities.</w:t>
            </w:r>
          </w:p>
          <w:p w14:paraId="61733CA7" w14:textId="77777777" w:rsidR="0012360B" w:rsidRPr="00E0293B" w:rsidRDefault="0012360B" w:rsidP="00FF3875">
            <w:pPr>
              <w:autoSpaceDE w:val="0"/>
              <w:autoSpaceDN w:val="0"/>
              <w:adjustRightInd w:val="0"/>
              <w:jc w:val="both"/>
              <w:rPr>
                <w:rFonts w:cs="Arial"/>
                <w:bCs/>
                <w:lang w:eastAsia="en-GB"/>
              </w:rPr>
            </w:pPr>
          </w:p>
          <w:p w14:paraId="61733CA8" w14:textId="58824130" w:rsidR="002F04CB" w:rsidRPr="00E0293B" w:rsidRDefault="002F04CB" w:rsidP="00FF3875">
            <w:pPr>
              <w:autoSpaceDE w:val="0"/>
              <w:autoSpaceDN w:val="0"/>
              <w:adjustRightInd w:val="0"/>
              <w:jc w:val="both"/>
              <w:rPr>
                <w:rFonts w:cs="Arial"/>
                <w:bCs/>
                <w:lang w:eastAsia="en-GB"/>
              </w:rPr>
            </w:pPr>
            <w:r w:rsidRPr="00E0293B">
              <w:rPr>
                <w:rFonts w:cs="Arial"/>
                <w:bCs/>
                <w:lang w:eastAsia="en-GB"/>
              </w:rPr>
              <w:t xml:space="preserve">The Services must provide employment and careers coaching, mentoring, job brokerage along with re skilling and up skilling training support. The Services should also provide </w:t>
            </w:r>
            <w:r w:rsidR="00426CB3" w:rsidRPr="00E0293B">
              <w:rPr>
                <w:rFonts w:cs="Arial"/>
                <w:bCs/>
                <w:lang w:eastAsia="en-GB"/>
              </w:rPr>
              <w:t>self-employment</w:t>
            </w:r>
            <w:r w:rsidRPr="00E0293B">
              <w:rPr>
                <w:rFonts w:cs="Arial"/>
                <w:bCs/>
                <w:lang w:eastAsia="en-GB"/>
              </w:rPr>
              <w:t xml:space="preserve"> support that reflects the needs of the employees being supported. </w:t>
            </w:r>
          </w:p>
          <w:p w14:paraId="61733CA9" w14:textId="77777777" w:rsidR="002F04CB" w:rsidRPr="00E0293B" w:rsidRDefault="002F04CB" w:rsidP="00FF3875">
            <w:pPr>
              <w:autoSpaceDE w:val="0"/>
              <w:autoSpaceDN w:val="0"/>
              <w:adjustRightInd w:val="0"/>
              <w:jc w:val="both"/>
              <w:rPr>
                <w:rFonts w:cs="Arial"/>
                <w:bCs/>
                <w:lang w:eastAsia="en-GB"/>
              </w:rPr>
            </w:pPr>
          </w:p>
          <w:p w14:paraId="61733CAA"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61733CAB" w14:textId="77777777" w:rsidR="0012360B" w:rsidRPr="00E0293B" w:rsidRDefault="0012360B" w:rsidP="00FF3875">
            <w:pPr>
              <w:autoSpaceDE w:val="0"/>
              <w:autoSpaceDN w:val="0"/>
              <w:adjustRightInd w:val="0"/>
              <w:jc w:val="both"/>
              <w:rPr>
                <w:rFonts w:cs="Arial"/>
                <w:bCs/>
                <w:lang w:eastAsia="en-GB"/>
              </w:rPr>
            </w:pPr>
          </w:p>
          <w:p w14:paraId="61733CAC"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61733CAD" w14:textId="77777777" w:rsidR="0012360B" w:rsidRPr="00E0293B" w:rsidRDefault="0012360B" w:rsidP="00FF3875">
            <w:pPr>
              <w:autoSpaceDE w:val="0"/>
              <w:autoSpaceDN w:val="0"/>
              <w:adjustRightInd w:val="0"/>
              <w:jc w:val="both"/>
              <w:rPr>
                <w:rFonts w:cs="Arial"/>
                <w:bCs/>
                <w:lang w:eastAsia="en-GB"/>
              </w:rPr>
            </w:pPr>
          </w:p>
          <w:p w14:paraId="61733CAE" w14:textId="1A789F0E" w:rsidR="002F04CB" w:rsidRPr="00E0293B" w:rsidRDefault="002F04CB" w:rsidP="00FF3875">
            <w:pPr>
              <w:autoSpaceDE w:val="0"/>
              <w:autoSpaceDN w:val="0"/>
              <w:adjustRightInd w:val="0"/>
              <w:jc w:val="both"/>
              <w:rPr>
                <w:rFonts w:cs="Arial"/>
                <w:bCs/>
                <w:lang w:eastAsia="en-GB"/>
              </w:rPr>
            </w:pPr>
            <w:r w:rsidRPr="00E0293B">
              <w:rPr>
                <w:rFonts w:cs="Arial"/>
                <w:bCs/>
                <w:lang w:eastAsia="en-GB"/>
              </w:rPr>
              <w:t xml:space="preserve">The Services must support the retention of skills within the Greater Manchester LEP area, particularly </w:t>
            </w:r>
            <w:r w:rsidR="00A4721A" w:rsidRPr="00E0293B">
              <w:rPr>
                <w:rFonts w:cs="Arial"/>
                <w:bCs/>
                <w:lang w:eastAsia="en-GB"/>
              </w:rPr>
              <w:t xml:space="preserve">specialist and high level skills, by providing a skills and vacancy matching facility that matches the transferrable skills of at risk workers to vacancies in other companies or industries </w:t>
            </w:r>
            <w:r w:rsidR="001768E1" w:rsidRPr="00E0293B">
              <w:rPr>
                <w:rFonts w:cs="Arial"/>
                <w:bCs/>
                <w:lang w:eastAsia="en-GB"/>
              </w:rPr>
              <w:t xml:space="preserve">within the locality. The vacancy matching facility will assess and diagnose employees existing skills and skills gaps in relation to employer requirements and/or opportunities for </w:t>
            </w:r>
            <w:r w:rsidR="00426CB3" w:rsidRPr="00E0293B">
              <w:rPr>
                <w:rFonts w:cs="Arial"/>
                <w:bCs/>
                <w:lang w:eastAsia="en-GB"/>
              </w:rPr>
              <w:t>self-employment</w:t>
            </w:r>
            <w:r w:rsidR="001768E1" w:rsidRPr="00E0293B">
              <w:rPr>
                <w:rFonts w:cs="Arial"/>
                <w:bCs/>
                <w:lang w:eastAsia="en-GB"/>
              </w:rPr>
              <w:t>. Individuals supported by the Services must be encouraged to engage with the vacancy matching facility.</w:t>
            </w:r>
          </w:p>
          <w:p w14:paraId="61733CAF" w14:textId="77777777" w:rsidR="002F04CB" w:rsidRPr="00E0293B" w:rsidRDefault="002F04CB" w:rsidP="00FF3875">
            <w:pPr>
              <w:autoSpaceDE w:val="0"/>
              <w:autoSpaceDN w:val="0"/>
              <w:adjustRightInd w:val="0"/>
              <w:jc w:val="both"/>
              <w:rPr>
                <w:rFonts w:cs="Arial"/>
                <w:bCs/>
                <w:lang w:eastAsia="en-GB"/>
              </w:rPr>
            </w:pPr>
          </w:p>
          <w:p w14:paraId="61733CB0"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 xml:space="preserve">The Services must be provided within the pre-redundancy or closure period, where the employer is willing to allow Employees at risk of redundancy to access to this support to help them re-enter employment quickly. </w:t>
            </w:r>
          </w:p>
          <w:p w14:paraId="61733CB1" w14:textId="77777777" w:rsidR="0012360B" w:rsidRPr="00E0293B" w:rsidRDefault="0012360B" w:rsidP="00FF3875">
            <w:pPr>
              <w:autoSpaceDE w:val="0"/>
              <w:autoSpaceDN w:val="0"/>
              <w:adjustRightInd w:val="0"/>
              <w:jc w:val="both"/>
              <w:rPr>
                <w:rFonts w:cs="Arial"/>
                <w:bCs/>
                <w:lang w:eastAsia="en-GB"/>
              </w:rPr>
            </w:pPr>
          </w:p>
          <w:p w14:paraId="61733CB2"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 xml:space="preserve">The Services must be provided flexibly to support individual employability and social mobility including roll on, roll off, year round responsive delivery which accommodates current benefit restrictions/rules where participants are also claimants.  </w:t>
            </w:r>
          </w:p>
          <w:p w14:paraId="61733CB3" w14:textId="77777777" w:rsidR="0012360B" w:rsidRPr="00E0293B" w:rsidRDefault="0012360B" w:rsidP="00FF3875">
            <w:pPr>
              <w:autoSpaceDE w:val="0"/>
              <w:autoSpaceDN w:val="0"/>
              <w:adjustRightInd w:val="0"/>
              <w:jc w:val="both"/>
              <w:rPr>
                <w:rFonts w:cs="Arial"/>
                <w:bCs/>
                <w:lang w:eastAsia="en-GB"/>
              </w:rPr>
            </w:pPr>
          </w:p>
          <w:p w14:paraId="61733CB4"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 xml:space="preserve">The Services must deliver support on employer’s sites at times which suit shift patterns as well as at central locations across the </w:t>
            </w:r>
            <w:r w:rsidR="007975B0" w:rsidRPr="00E0293B">
              <w:rPr>
                <w:rFonts w:cs="Arial"/>
                <w:bCs/>
                <w:lang w:eastAsia="en-GB"/>
              </w:rPr>
              <w:t>Greater Manchester</w:t>
            </w:r>
            <w:r w:rsidRPr="00E0293B">
              <w:rPr>
                <w:rFonts w:cs="Arial"/>
                <w:bCs/>
                <w:lang w:eastAsia="en-GB"/>
              </w:rPr>
              <w:t xml:space="preserve"> LEP area and by phone / web.</w:t>
            </w:r>
          </w:p>
          <w:p w14:paraId="61733CB5" w14:textId="77777777" w:rsidR="0012360B" w:rsidRPr="00E0293B" w:rsidRDefault="0012360B" w:rsidP="00FF3875">
            <w:pPr>
              <w:autoSpaceDE w:val="0"/>
              <w:autoSpaceDN w:val="0"/>
              <w:adjustRightInd w:val="0"/>
              <w:jc w:val="both"/>
              <w:rPr>
                <w:rFonts w:cs="Arial"/>
                <w:bCs/>
                <w:lang w:eastAsia="en-GB"/>
              </w:rPr>
            </w:pPr>
          </w:p>
          <w:p w14:paraId="61733CB6" w14:textId="77777777" w:rsidR="0012360B" w:rsidRPr="00E0293B" w:rsidRDefault="0012360B" w:rsidP="00FF3875">
            <w:pPr>
              <w:autoSpaceDE w:val="0"/>
              <w:autoSpaceDN w:val="0"/>
              <w:adjustRightInd w:val="0"/>
              <w:jc w:val="both"/>
              <w:rPr>
                <w:rFonts w:cs="Arial"/>
                <w:bCs/>
                <w:lang w:eastAsia="en-GB"/>
              </w:rPr>
            </w:pPr>
            <w:r w:rsidRPr="00E0293B">
              <w:rPr>
                <w:rFonts w:cs="Arial"/>
                <w:bCs/>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61733CB7" w14:textId="77777777" w:rsidR="0012360B" w:rsidRPr="00E0293B" w:rsidRDefault="0012360B" w:rsidP="00FF3875">
            <w:pPr>
              <w:autoSpaceDE w:val="0"/>
              <w:autoSpaceDN w:val="0"/>
              <w:adjustRightInd w:val="0"/>
              <w:jc w:val="both"/>
              <w:rPr>
                <w:rFonts w:cs="Arial"/>
                <w:bCs/>
                <w:lang w:eastAsia="en-GB"/>
              </w:rPr>
            </w:pPr>
          </w:p>
          <w:p w14:paraId="61733CB8" w14:textId="77777777" w:rsidR="001768E1" w:rsidRPr="00E0293B" w:rsidRDefault="001768E1" w:rsidP="00FF3875">
            <w:pPr>
              <w:autoSpaceDE w:val="0"/>
              <w:autoSpaceDN w:val="0"/>
              <w:adjustRightInd w:val="0"/>
              <w:jc w:val="both"/>
              <w:rPr>
                <w:rFonts w:cs="Arial"/>
                <w:bCs/>
                <w:lang w:eastAsia="en-GB"/>
              </w:rPr>
            </w:pPr>
            <w:r w:rsidRPr="00E0293B">
              <w:rPr>
                <w:rFonts w:cs="Arial"/>
                <w:bCs/>
                <w:lang w:eastAsia="en-GB"/>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w:t>
            </w:r>
          </w:p>
          <w:p w14:paraId="61733CB9" w14:textId="77777777" w:rsidR="005040CF" w:rsidRPr="007C2B80" w:rsidRDefault="005040CF" w:rsidP="00E0293B">
            <w:pPr>
              <w:rPr>
                <w:rFonts w:cs="Arial"/>
              </w:rPr>
            </w:pPr>
          </w:p>
        </w:tc>
      </w:tr>
      <w:tr w:rsidR="00967429" w:rsidRPr="00544738" w14:paraId="61733CBC" w14:textId="77777777" w:rsidTr="00E1095C">
        <w:trPr>
          <w:trHeight w:val="567"/>
        </w:trPr>
        <w:tc>
          <w:tcPr>
            <w:tcW w:w="9088" w:type="dxa"/>
            <w:shd w:val="clear" w:color="auto" w:fill="D9D9D9" w:themeFill="background1" w:themeFillShade="D9"/>
            <w:vAlign w:val="center"/>
          </w:tcPr>
          <w:p w14:paraId="61733CBB" w14:textId="77777777" w:rsidR="00967429" w:rsidRPr="00544738" w:rsidRDefault="00A005EF" w:rsidP="00FD3B0A">
            <w:pPr>
              <w:pStyle w:val="SpecificationHeading"/>
            </w:pPr>
            <w:r w:rsidRPr="002833D9">
              <w:lastRenderedPageBreak/>
              <w:t>ELIGIBILITY</w:t>
            </w:r>
          </w:p>
        </w:tc>
      </w:tr>
      <w:tr w:rsidR="00967429" w:rsidRPr="00EF4406" w14:paraId="61733CD3" w14:textId="77777777" w:rsidTr="00E0293B">
        <w:tc>
          <w:tcPr>
            <w:tcW w:w="9088" w:type="dxa"/>
          </w:tcPr>
          <w:p w14:paraId="61733CBD" w14:textId="77777777" w:rsidR="001E23AA" w:rsidRDefault="001E23AA" w:rsidP="002F70E9">
            <w:pPr>
              <w:rPr>
                <w:rFonts w:cs="Arial"/>
                <w:b/>
                <w:u w:val="single"/>
              </w:rPr>
            </w:pPr>
          </w:p>
          <w:p w14:paraId="61733CBE" w14:textId="77777777" w:rsidR="00A005EF" w:rsidRPr="00344FA1" w:rsidRDefault="00A005EF" w:rsidP="00A005EF">
            <w:r>
              <w:rPr>
                <w:b/>
              </w:rPr>
              <w:t>General</w:t>
            </w:r>
          </w:p>
          <w:p w14:paraId="61733CBF"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8"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61733CC0" w14:textId="77777777" w:rsidR="00982A89" w:rsidRDefault="00982A89" w:rsidP="001A1695">
            <w:pPr>
              <w:rPr>
                <w:rFonts w:cs="Arial"/>
                <w:b/>
                <w:color w:val="0070C0"/>
              </w:rPr>
            </w:pPr>
          </w:p>
          <w:p w14:paraId="61733CC1" w14:textId="77777777" w:rsidR="001A1695" w:rsidRPr="00426CB3" w:rsidRDefault="001A1695" w:rsidP="001A1695">
            <w:pPr>
              <w:rPr>
                <w:rFonts w:cs="Arial"/>
                <w:b/>
              </w:rPr>
            </w:pPr>
            <w:r w:rsidRPr="00426CB3">
              <w:rPr>
                <w:rFonts w:cs="Arial"/>
                <w:b/>
              </w:rPr>
              <w:t>Greater Manchester Local Enterprise Partnership Specific Eligibility Requirements</w:t>
            </w:r>
          </w:p>
          <w:p w14:paraId="61733CC2" w14:textId="77777777" w:rsidR="001A1695" w:rsidRPr="0012360B" w:rsidRDefault="001A1695" w:rsidP="001A1695">
            <w:pPr>
              <w:rPr>
                <w:rFonts w:cs="Arial"/>
                <w:color w:val="0070C0"/>
              </w:rPr>
            </w:pPr>
          </w:p>
          <w:p w14:paraId="61733CC3" w14:textId="77777777" w:rsidR="001A1695" w:rsidRDefault="001A1695" w:rsidP="001A1695">
            <w:pPr>
              <w:rPr>
                <w:rFonts w:cs="Arial"/>
              </w:rPr>
            </w:pPr>
            <w:r w:rsidRPr="00426CB3">
              <w:rPr>
                <w:rFonts w:cs="Arial"/>
              </w:rPr>
              <w:t>Individuals supported must be:</w:t>
            </w:r>
          </w:p>
          <w:p w14:paraId="3CD917CA" w14:textId="77777777" w:rsidR="00E1095C" w:rsidRPr="00426CB3" w:rsidRDefault="00E1095C" w:rsidP="001A1695">
            <w:pPr>
              <w:rPr>
                <w:rFonts w:cs="Arial"/>
              </w:rPr>
            </w:pPr>
          </w:p>
          <w:p w14:paraId="61733CC4" w14:textId="77777777" w:rsidR="001A1695" w:rsidRPr="00426CB3" w:rsidRDefault="001A1695" w:rsidP="00E1095C">
            <w:pPr>
              <w:pStyle w:val="ListParagraph"/>
              <w:numPr>
                <w:ilvl w:val="0"/>
                <w:numId w:val="8"/>
              </w:numPr>
              <w:autoSpaceDE w:val="0"/>
              <w:autoSpaceDN w:val="0"/>
              <w:adjustRightInd w:val="0"/>
              <w:ind w:left="313"/>
              <w:jc w:val="both"/>
              <w:rPr>
                <w:szCs w:val="22"/>
              </w:rPr>
            </w:pPr>
            <w:r w:rsidRPr="00426CB3">
              <w:rPr>
                <w:szCs w:val="22"/>
              </w:rPr>
              <w:t>aged 1</w:t>
            </w:r>
            <w:r w:rsidR="007A13BE" w:rsidRPr="00426CB3">
              <w:rPr>
                <w:szCs w:val="22"/>
              </w:rPr>
              <w:t>9</w:t>
            </w:r>
            <w:r w:rsidRPr="00426CB3">
              <w:rPr>
                <w:szCs w:val="22"/>
              </w:rPr>
              <w:t xml:space="preserve"> or over</w:t>
            </w:r>
          </w:p>
          <w:p w14:paraId="61733CC5" w14:textId="77777777" w:rsidR="001A1695" w:rsidRPr="00426CB3" w:rsidRDefault="001A1695" w:rsidP="00E1095C">
            <w:pPr>
              <w:pStyle w:val="ListParagraph"/>
              <w:numPr>
                <w:ilvl w:val="0"/>
                <w:numId w:val="8"/>
              </w:numPr>
              <w:autoSpaceDE w:val="0"/>
              <w:autoSpaceDN w:val="0"/>
              <w:adjustRightInd w:val="0"/>
              <w:ind w:left="313"/>
              <w:jc w:val="both"/>
              <w:rPr>
                <w:szCs w:val="22"/>
              </w:rPr>
            </w:pPr>
            <w:r w:rsidRPr="00426CB3">
              <w:rPr>
                <w:szCs w:val="22"/>
              </w:rPr>
              <w:t>employed in GM (based on postcode of workplace)</w:t>
            </w:r>
          </w:p>
          <w:p w14:paraId="61733CC6" w14:textId="77777777" w:rsidR="001A1695" w:rsidRPr="0012360B" w:rsidRDefault="001A1695" w:rsidP="00E1095C">
            <w:pPr>
              <w:pStyle w:val="ListParagraph"/>
              <w:numPr>
                <w:ilvl w:val="0"/>
                <w:numId w:val="8"/>
              </w:numPr>
              <w:autoSpaceDE w:val="0"/>
              <w:autoSpaceDN w:val="0"/>
              <w:adjustRightInd w:val="0"/>
              <w:ind w:left="313"/>
              <w:jc w:val="both"/>
              <w:rPr>
                <w:color w:val="0070C0"/>
                <w:szCs w:val="22"/>
              </w:rPr>
            </w:pPr>
            <w:r w:rsidRPr="00426CB3">
              <w:rPr>
                <w:szCs w:val="22"/>
              </w:rPr>
              <w:t>eligible for ESF funding</w:t>
            </w:r>
          </w:p>
          <w:p w14:paraId="61733CC7" w14:textId="77777777" w:rsidR="001A1695" w:rsidRPr="0012360B" w:rsidRDefault="001A1695" w:rsidP="001A1695">
            <w:pPr>
              <w:rPr>
                <w:rFonts w:cs="Arial"/>
                <w:color w:val="0070C0"/>
              </w:rPr>
            </w:pPr>
          </w:p>
          <w:p w14:paraId="61733CC8" w14:textId="77777777" w:rsidR="00394F36" w:rsidRDefault="00394F36" w:rsidP="00394F36">
            <w:pPr>
              <w:rPr>
                <w:rFonts w:cs="Arial"/>
              </w:rPr>
            </w:pPr>
            <w:r w:rsidRPr="00F67261">
              <w:rPr>
                <w:rFonts w:cs="Arial"/>
              </w:rPr>
              <w:t>Please note LEP Specific requirements are subject to the National Eligibility Rules detailed above.</w:t>
            </w:r>
          </w:p>
          <w:p w14:paraId="61733CC9" w14:textId="77777777" w:rsidR="00540B10" w:rsidRDefault="00540B10" w:rsidP="00394F36">
            <w:pPr>
              <w:rPr>
                <w:rFonts w:cs="Arial"/>
              </w:rPr>
            </w:pPr>
          </w:p>
          <w:p w14:paraId="61733CCA"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61733CCB" w14:textId="77777777" w:rsidR="00E41EDD" w:rsidRDefault="00E41EDD" w:rsidP="00394F36">
            <w:pPr>
              <w:ind w:left="720"/>
              <w:rPr>
                <w:rFonts w:cs="Arial"/>
                <w:iCs/>
              </w:rPr>
            </w:pPr>
          </w:p>
          <w:p w14:paraId="61733CCC" w14:textId="77777777" w:rsidR="00394F36" w:rsidRDefault="00394F36" w:rsidP="00394F36">
            <w:pPr>
              <w:ind w:left="720"/>
              <w:rPr>
                <w:iCs/>
              </w:rPr>
            </w:pPr>
            <w:r>
              <w:rPr>
                <w:rFonts w:cs="Arial"/>
                <w:iCs/>
              </w:rPr>
              <w:t> </w:t>
            </w:r>
          </w:p>
          <w:p w14:paraId="61733CCD" w14:textId="77777777" w:rsidR="00884042" w:rsidRDefault="00884042" w:rsidP="00394F36">
            <w:pPr>
              <w:rPr>
                <w:rFonts w:cs="Arial"/>
                <w:iCs/>
              </w:rPr>
            </w:pPr>
            <w:r>
              <w:rPr>
                <w:rFonts w:cs="Arial"/>
                <w:iCs/>
              </w:rPr>
              <w:t xml:space="preserve">Over 50s                                 min 20% </w:t>
            </w:r>
          </w:p>
          <w:p w14:paraId="61733CCE" w14:textId="77777777" w:rsidR="00394F36" w:rsidRDefault="00394F36" w:rsidP="00394F36">
            <w:pPr>
              <w:rPr>
                <w:iCs/>
              </w:rPr>
            </w:pPr>
            <w:r>
              <w:rPr>
                <w:rFonts w:cs="Arial"/>
                <w:iCs/>
              </w:rPr>
              <w:t xml:space="preserve">Ethnic groups                          min </w:t>
            </w:r>
            <w:r w:rsidR="00884042">
              <w:rPr>
                <w:rFonts w:cs="Arial"/>
                <w:iCs/>
              </w:rPr>
              <w:t>18%</w:t>
            </w:r>
          </w:p>
          <w:p w14:paraId="61733CCF" w14:textId="77777777" w:rsidR="00394F36" w:rsidRDefault="00394F36" w:rsidP="00394F36">
            <w:pPr>
              <w:rPr>
                <w:iCs/>
              </w:rPr>
            </w:pPr>
            <w:r>
              <w:rPr>
                <w:rFonts w:cs="Arial"/>
                <w:iCs/>
              </w:rPr>
              <w:t xml:space="preserve">Female                                    </w:t>
            </w:r>
            <w:r w:rsidR="00884042">
              <w:rPr>
                <w:rFonts w:cs="Arial"/>
                <w:iCs/>
              </w:rPr>
              <w:t>min 49</w:t>
            </w:r>
            <w:r>
              <w:rPr>
                <w:rFonts w:cs="Arial"/>
                <w:iCs/>
              </w:rPr>
              <w:t>%</w:t>
            </w:r>
          </w:p>
          <w:p w14:paraId="61733CD0" w14:textId="77777777" w:rsidR="00394F36" w:rsidRDefault="00394F36" w:rsidP="00394F36">
            <w:pPr>
              <w:rPr>
                <w:iCs/>
              </w:rPr>
            </w:pPr>
            <w:r>
              <w:rPr>
                <w:rFonts w:cs="Arial"/>
                <w:iCs/>
              </w:rPr>
              <w:t xml:space="preserve">Disability/health issues            min </w:t>
            </w:r>
            <w:r w:rsidR="00884042">
              <w:rPr>
                <w:rFonts w:cs="Arial"/>
                <w:iCs/>
              </w:rPr>
              <w:t>8</w:t>
            </w:r>
            <w:r>
              <w:rPr>
                <w:rFonts w:cs="Arial"/>
                <w:iCs/>
              </w:rPr>
              <w:t>%</w:t>
            </w:r>
          </w:p>
          <w:p w14:paraId="61733CD1" w14:textId="77777777" w:rsidR="00394F36" w:rsidRDefault="00394F36" w:rsidP="00394F36">
            <w:pPr>
              <w:rPr>
                <w:iCs/>
              </w:rPr>
            </w:pPr>
            <w:r>
              <w:rPr>
                <w:rFonts w:cs="Arial"/>
                <w:iCs/>
              </w:rPr>
              <w:t>Lone parents                           min 5%</w:t>
            </w:r>
          </w:p>
          <w:p w14:paraId="61733CD2" w14:textId="77777777" w:rsidR="00FD3B0A" w:rsidRPr="001A1695" w:rsidRDefault="00FD3B0A" w:rsidP="001A1695">
            <w:pPr>
              <w:rPr>
                <w:rFonts w:cs="Arial"/>
                <w:color w:val="000000"/>
              </w:rPr>
            </w:pPr>
          </w:p>
        </w:tc>
      </w:tr>
      <w:tr w:rsidR="00967429" w:rsidRPr="00EF4406" w14:paraId="61733CD5" w14:textId="77777777" w:rsidTr="00E1095C">
        <w:trPr>
          <w:trHeight w:val="567"/>
        </w:trPr>
        <w:tc>
          <w:tcPr>
            <w:tcW w:w="9088" w:type="dxa"/>
            <w:shd w:val="clear" w:color="auto" w:fill="D9D9D9" w:themeFill="background1" w:themeFillShade="D9"/>
            <w:vAlign w:val="center"/>
          </w:tcPr>
          <w:p w14:paraId="61733CD4" w14:textId="77777777" w:rsidR="00967429" w:rsidRPr="00A005EF" w:rsidRDefault="00A005EF" w:rsidP="005E37D8">
            <w:pPr>
              <w:spacing w:before="120" w:after="120"/>
              <w:rPr>
                <w:b/>
                <w:bCs/>
              </w:rPr>
            </w:pPr>
            <w:r w:rsidRPr="00A005EF">
              <w:rPr>
                <w:b/>
              </w:rPr>
              <w:t>GEOGRAPHY / AREA OF DELIVERY</w:t>
            </w:r>
          </w:p>
        </w:tc>
      </w:tr>
      <w:tr w:rsidR="00967429" w:rsidRPr="0052695C" w14:paraId="61733CDB" w14:textId="77777777" w:rsidTr="00E0293B">
        <w:trPr>
          <w:trHeight w:val="983"/>
        </w:trPr>
        <w:tc>
          <w:tcPr>
            <w:tcW w:w="9088" w:type="dxa"/>
          </w:tcPr>
          <w:p w14:paraId="61733CD6" w14:textId="77777777" w:rsidR="00A005EF" w:rsidRDefault="00A005EF" w:rsidP="00A005EF"/>
          <w:p w14:paraId="61733CD7" w14:textId="77777777" w:rsidR="007E7731" w:rsidRDefault="007E7731" w:rsidP="00A005EF">
            <w:pPr>
              <w:rPr>
                <w:b/>
              </w:rPr>
            </w:pPr>
            <w:r>
              <w:rPr>
                <w:b/>
              </w:rPr>
              <w:t>LEP Specific</w:t>
            </w:r>
          </w:p>
          <w:p w14:paraId="61733CD8" w14:textId="77777777" w:rsidR="007E7731" w:rsidRPr="00C107CE" w:rsidRDefault="007E7731" w:rsidP="00A005EF">
            <w:pPr>
              <w:rPr>
                <w:b/>
              </w:rPr>
            </w:pPr>
          </w:p>
          <w:p w14:paraId="61733CD9" w14:textId="77777777" w:rsidR="004825CA" w:rsidRDefault="00A005EF" w:rsidP="0053752C">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0012360B">
              <w:rPr>
                <w:rFonts w:cs="Arial"/>
              </w:rPr>
              <w:t xml:space="preserve"> </w:t>
            </w:r>
            <w:r w:rsidR="0053752C">
              <w:rPr>
                <w:rFonts w:cs="Arial"/>
              </w:rPr>
              <w:t xml:space="preserve">Greater Manchester </w:t>
            </w:r>
            <w:r w:rsidR="00105A7C">
              <w:rPr>
                <w:rFonts w:cs="Arial"/>
              </w:rPr>
              <w:t>Local Enterprise Partnership area</w:t>
            </w:r>
            <w:r w:rsidR="00540B10">
              <w:rPr>
                <w:rFonts w:cs="Arial"/>
              </w:rPr>
              <w:t xml:space="preserve">. </w:t>
            </w:r>
            <w:r w:rsidR="005040CF">
              <w:rPr>
                <w:rFonts w:cs="Arial"/>
              </w:rPr>
              <w:t xml:space="preserve">The successful Candidate </w:t>
            </w:r>
            <w:r w:rsidR="00540B10" w:rsidRPr="00426CB3">
              <w:rPr>
                <w:rFonts w:cs="Arial"/>
              </w:rPr>
              <w:t>will be expected to deliver services across all of the ten local authority areas within Greater Manchester.</w:t>
            </w:r>
          </w:p>
          <w:p w14:paraId="61733CDA" w14:textId="77777777" w:rsidR="007C2B80" w:rsidRPr="00FF6CCA" w:rsidRDefault="007C2B80" w:rsidP="00105A7C">
            <w:pPr>
              <w:autoSpaceDE w:val="0"/>
              <w:autoSpaceDN w:val="0"/>
              <w:adjustRightInd w:val="0"/>
            </w:pPr>
          </w:p>
        </w:tc>
      </w:tr>
    </w:tbl>
    <w:p w14:paraId="61733CDC" w14:textId="77777777" w:rsidR="00E0293B" w:rsidRDefault="00E0293B">
      <w:r>
        <w:br w:type="page"/>
      </w:r>
    </w:p>
    <w:tbl>
      <w:tblPr>
        <w:tblStyle w:val="TableGrid"/>
        <w:tblW w:w="5177" w:type="pct"/>
        <w:tblLayout w:type="fixed"/>
        <w:tblLook w:val="04A0" w:firstRow="1" w:lastRow="0" w:firstColumn="1" w:lastColumn="0" w:noHBand="0" w:noVBand="1"/>
      </w:tblPr>
      <w:tblGrid>
        <w:gridCol w:w="9088"/>
      </w:tblGrid>
      <w:tr w:rsidR="00967429" w:rsidRPr="00505117" w14:paraId="61733CDE" w14:textId="77777777" w:rsidTr="00E1095C">
        <w:trPr>
          <w:trHeight w:val="567"/>
        </w:trPr>
        <w:tc>
          <w:tcPr>
            <w:tcW w:w="9088" w:type="dxa"/>
            <w:shd w:val="clear" w:color="auto" w:fill="D9D9D9" w:themeFill="background1" w:themeFillShade="D9"/>
            <w:vAlign w:val="center"/>
          </w:tcPr>
          <w:p w14:paraId="61733CDD"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61733DAF" w14:textId="77777777" w:rsidTr="00E0293B">
        <w:trPr>
          <w:trHeight w:val="1408"/>
        </w:trPr>
        <w:tc>
          <w:tcPr>
            <w:tcW w:w="9088" w:type="dxa"/>
          </w:tcPr>
          <w:p w14:paraId="61733CDF" w14:textId="77777777" w:rsidR="007E7731" w:rsidRDefault="007E7731" w:rsidP="00A005EF">
            <w:pPr>
              <w:rPr>
                <w:rFonts w:cs="Arial"/>
              </w:rPr>
            </w:pPr>
          </w:p>
          <w:p w14:paraId="61733CE0" w14:textId="77777777" w:rsidR="007E7731" w:rsidRPr="00C107CE" w:rsidRDefault="007E7731" w:rsidP="00A005EF">
            <w:pPr>
              <w:rPr>
                <w:rFonts w:cs="Arial"/>
                <w:b/>
              </w:rPr>
            </w:pPr>
            <w:r>
              <w:rPr>
                <w:rFonts w:cs="Arial"/>
                <w:b/>
              </w:rPr>
              <w:t>LEP Specific</w:t>
            </w:r>
          </w:p>
          <w:p w14:paraId="61733CE1" w14:textId="77777777" w:rsidR="007E7731" w:rsidRDefault="007E7731" w:rsidP="00A005EF">
            <w:pPr>
              <w:rPr>
                <w:rFonts w:cs="Arial"/>
              </w:rPr>
            </w:pPr>
          </w:p>
          <w:p w14:paraId="61733CE2" w14:textId="6B7E7408" w:rsidR="00F22934" w:rsidRPr="00426CB3" w:rsidRDefault="00F22934" w:rsidP="00F22934">
            <w:pPr>
              <w:rPr>
                <w:rFonts w:cs="Arial"/>
              </w:rPr>
            </w:pPr>
            <w:r w:rsidRPr="00426CB3">
              <w:rPr>
                <w:rFonts w:cs="Arial"/>
              </w:rPr>
              <w:t xml:space="preserve">Currently up to </w:t>
            </w:r>
            <w:r w:rsidRPr="00426CB3">
              <w:rPr>
                <w:rFonts w:cs="Arial"/>
                <w:b/>
              </w:rPr>
              <w:t>£</w:t>
            </w:r>
            <w:r w:rsidR="00D0739B" w:rsidRPr="00426CB3">
              <w:rPr>
                <w:rFonts w:cs="Arial"/>
                <w:b/>
              </w:rPr>
              <w:t>5,84</w:t>
            </w:r>
            <w:r w:rsidR="004D672B" w:rsidRPr="00426CB3">
              <w:rPr>
                <w:rFonts w:cs="Arial"/>
                <w:b/>
              </w:rPr>
              <w:t>3,250</w:t>
            </w:r>
            <w:r w:rsidR="00072D44" w:rsidRPr="00426CB3">
              <w:rPr>
                <w:rFonts w:cs="Arial"/>
                <w:b/>
              </w:rPr>
              <w:t xml:space="preserve"> </w:t>
            </w:r>
            <w:r w:rsidRPr="00426CB3">
              <w:rPr>
                <w:rFonts w:cs="Arial"/>
              </w:rPr>
              <w:t>will be available for the per</w:t>
            </w:r>
            <w:r w:rsidR="00E1095C">
              <w:rPr>
                <w:rFonts w:cs="Arial"/>
              </w:rPr>
              <w:t>iod from August</w:t>
            </w:r>
            <w:r w:rsidR="00426CB3" w:rsidRPr="00426CB3">
              <w:rPr>
                <w:rFonts w:cs="Arial"/>
              </w:rPr>
              <w:t xml:space="preserve"> 2016 to March 2018.  Th</w:t>
            </w:r>
            <w:r w:rsidRPr="00426CB3">
              <w:rPr>
                <w:rFonts w:cs="Arial"/>
              </w:rPr>
              <w:t>is may be increased if additional funding becomes available.</w:t>
            </w:r>
          </w:p>
          <w:p w14:paraId="61733CE3" w14:textId="77777777" w:rsidR="00905790" w:rsidRPr="00426CB3" w:rsidRDefault="00905790" w:rsidP="00F22934">
            <w:pPr>
              <w:rPr>
                <w:rFonts w:cs="Arial"/>
              </w:rPr>
            </w:pPr>
          </w:p>
          <w:p w14:paraId="61733CE4" w14:textId="6483CABE" w:rsidR="00905790" w:rsidRPr="00426CB3" w:rsidRDefault="00EB7088" w:rsidP="00905790">
            <w:pPr>
              <w:jc w:val="both"/>
              <w:rPr>
                <w:rFonts w:cs="Arial"/>
                <w:b/>
              </w:rPr>
            </w:pPr>
            <w:r>
              <w:rPr>
                <w:rFonts w:cs="Arial"/>
                <w:b/>
              </w:rPr>
              <w:t xml:space="preserve">Strand </w:t>
            </w:r>
            <w:r w:rsidR="00905790" w:rsidRPr="00426CB3">
              <w:rPr>
                <w:rFonts w:cs="Arial"/>
                <w:b/>
              </w:rPr>
              <w:t>1 - Skills Support for Workforce, basic skills provision - £2,678,000</w:t>
            </w:r>
          </w:p>
          <w:p w14:paraId="61733CE5" w14:textId="4BD115FB" w:rsidR="00905790" w:rsidRDefault="00EB7088" w:rsidP="00905790">
            <w:pPr>
              <w:jc w:val="both"/>
              <w:rPr>
                <w:rFonts w:cs="Arial"/>
                <w:b/>
              </w:rPr>
            </w:pPr>
            <w:r>
              <w:rPr>
                <w:rFonts w:cs="Arial"/>
                <w:b/>
              </w:rPr>
              <w:t xml:space="preserve">Strand </w:t>
            </w:r>
            <w:r w:rsidR="00905790" w:rsidRPr="00426CB3">
              <w:rPr>
                <w:rFonts w:cs="Arial"/>
                <w:b/>
              </w:rPr>
              <w:t xml:space="preserve">2 – </w:t>
            </w:r>
            <w:r w:rsidR="00905790">
              <w:rPr>
                <w:rFonts w:cs="Arial"/>
                <w:b/>
              </w:rPr>
              <w:t>Skills Support for the Workforce, intermediate and higher level skills - £2,640,500</w:t>
            </w:r>
          </w:p>
          <w:p w14:paraId="61733CE6" w14:textId="64143FB0" w:rsidR="00905790" w:rsidRPr="007D2100" w:rsidRDefault="00EB7088" w:rsidP="00905790">
            <w:pPr>
              <w:jc w:val="both"/>
              <w:rPr>
                <w:rFonts w:cs="Arial"/>
                <w:b/>
              </w:rPr>
            </w:pPr>
            <w:r>
              <w:rPr>
                <w:rFonts w:cs="Arial"/>
                <w:b/>
              </w:rPr>
              <w:t>Strand 3</w:t>
            </w:r>
            <w:r w:rsidR="00905790">
              <w:rPr>
                <w:rFonts w:cs="Arial"/>
                <w:b/>
              </w:rPr>
              <w:t xml:space="preserve"> – Skills Support for Redundancy - £524,750</w:t>
            </w:r>
          </w:p>
          <w:p w14:paraId="61733CE7" w14:textId="77777777" w:rsidR="00905790" w:rsidRPr="004B051A" w:rsidRDefault="00905790" w:rsidP="00F22934">
            <w:pPr>
              <w:rPr>
                <w:rFonts w:cs="Arial"/>
                <w:color w:val="1F497D" w:themeColor="text2"/>
              </w:rPr>
            </w:pPr>
          </w:p>
          <w:p w14:paraId="61733CE8" w14:textId="77777777" w:rsidR="00F22934" w:rsidRPr="004B051A" w:rsidRDefault="00F22934" w:rsidP="00F22934">
            <w:pPr>
              <w:rPr>
                <w:b/>
                <w:color w:val="1F497D" w:themeColor="text2"/>
              </w:rPr>
            </w:pPr>
          </w:p>
          <w:p w14:paraId="61733CE9" w14:textId="77777777" w:rsidR="00F22934" w:rsidRPr="00426CB3" w:rsidRDefault="00F22934" w:rsidP="00F22934">
            <w:pPr>
              <w:rPr>
                <w:rFonts w:cs="Arial"/>
              </w:rPr>
            </w:pPr>
            <w:r w:rsidRPr="00426CB3">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1733CEA" w14:textId="77777777" w:rsidR="00F22934" w:rsidRPr="00426CB3" w:rsidRDefault="00F22934" w:rsidP="00F22934">
            <w:pPr>
              <w:rPr>
                <w:b/>
              </w:rPr>
            </w:pPr>
          </w:p>
          <w:p w14:paraId="61733CEB" w14:textId="77777777" w:rsidR="00F22934" w:rsidRPr="00426CB3" w:rsidRDefault="00F22934" w:rsidP="00F22934">
            <w:pPr>
              <w:autoSpaceDE w:val="0"/>
              <w:autoSpaceDN w:val="0"/>
              <w:adjustRightInd w:val="0"/>
              <w:rPr>
                <w:rFonts w:cs="Arial"/>
              </w:rPr>
            </w:pPr>
            <w:r w:rsidRPr="00426CB3">
              <w:rPr>
                <w:rFonts w:cs="Arial"/>
              </w:rPr>
              <w:t>The minimum service deliverables, values and volumes for which evidence must be provided are:</w:t>
            </w:r>
          </w:p>
          <w:p w14:paraId="61733CEC" w14:textId="77777777" w:rsidR="00F22934" w:rsidRPr="00426CB3" w:rsidRDefault="00F22934" w:rsidP="00F22934">
            <w:pPr>
              <w:rPr>
                <w:rFonts w:cs="Arial"/>
              </w:rPr>
            </w:pPr>
          </w:p>
          <w:p w14:paraId="61733CED" w14:textId="12AD2BFD" w:rsidR="00F22934" w:rsidRPr="00426CB3" w:rsidRDefault="001A124D" w:rsidP="00F22934">
            <w:pPr>
              <w:rPr>
                <w:rFonts w:cs="Arial"/>
                <w:b/>
              </w:rPr>
            </w:pPr>
            <w:r>
              <w:rPr>
                <w:rFonts w:cs="Arial"/>
                <w:b/>
              </w:rPr>
              <w:t xml:space="preserve">Strand 1: </w:t>
            </w:r>
            <w:r w:rsidR="00F22934" w:rsidRPr="00426CB3">
              <w:rPr>
                <w:rFonts w:cs="Arial"/>
                <w:b/>
              </w:rPr>
              <w:t>Basic Skills:</w:t>
            </w:r>
          </w:p>
          <w:p w14:paraId="61733CEE" w14:textId="77777777" w:rsidR="00F22934" w:rsidRPr="004B051A" w:rsidRDefault="00F22934" w:rsidP="00F22934">
            <w:pPr>
              <w:rPr>
                <w:rFonts w:cs="Arial"/>
                <w:color w:val="1F497D" w:themeColor="text2"/>
              </w:rPr>
            </w:pPr>
          </w:p>
          <w:tbl>
            <w:tblPr>
              <w:tblStyle w:val="TableGrid"/>
              <w:tblW w:w="0" w:type="auto"/>
              <w:tblLayout w:type="fixed"/>
              <w:tblLook w:val="04A0" w:firstRow="1" w:lastRow="0" w:firstColumn="1" w:lastColumn="0" w:noHBand="0" w:noVBand="1"/>
            </w:tblPr>
            <w:tblGrid>
              <w:gridCol w:w="4815"/>
              <w:gridCol w:w="1276"/>
              <w:gridCol w:w="1701"/>
              <w:gridCol w:w="1299"/>
            </w:tblGrid>
            <w:tr w:rsidR="00F22934" w:rsidRPr="004B051A" w14:paraId="61733CF4" w14:textId="77777777" w:rsidTr="00657E32">
              <w:tc>
                <w:tcPr>
                  <w:tcW w:w="4815" w:type="dxa"/>
                  <w:tcBorders>
                    <w:bottom w:val="single" w:sz="4" w:space="0" w:color="auto"/>
                  </w:tcBorders>
                  <w:vAlign w:val="center"/>
                </w:tcPr>
                <w:p w14:paraId="61733CEF" w14:textId="77777777" w:rsidR="00F22934" w:rsidRPr="00426CB3" w:rsidRDefault="00F22934" w:rsidP="00657E32">
                  <w:pPr>
                    <w:jc w:val="center"/>
                    <w:rPr>
                      <w:rFonts w:cs="Arial"/>
                      <w:b/>
                      <w:sz w:val="20"/>
                    </w:rPr>
                  </w:pPr>
                  <w:r w:rsidRPr="00426CB3">
                    <w:rPr>
                      <w:b/>
                      <w:sz w:val="20"/>
                    </w:rPr>
                    <w:t>Description</w:t>
                  </w:r>
                </w:p>
              </w:tc>
              <w:tc>
                <w:tcPr>
                  <w:tcW w:w="1276" w:type="dxa"/>
                  <w:tcBorders>
                    <w:bottom w:val="single" w:sz="4" w:space="0" w:color="auto"/>
                  </w:tcBorders>
                  <w:vAlign w:val="center"/>
                </w:tcPr>
                <w:p w14:paraId="61733CF0" w14:textId="77777777" w:rsidR="00F22934" w:rsidRPr="00426CB3" w:rsidRDefault="00F22934" w:rsidP="00657E32">
                  <w:pPr>
                    <w:jc w:val="center"/>
                    <w:rPr>
                      <w:rFonts w:cs="Arial"/>
                      <w:b/>
                      <w:sz w:val="20"/>
                    </w:rPr>
                  </w:pPr>
                  <w:r w:rsidRPr="00426CB3">
                    <w:rPr>
                      <w:b/>
                      <w:sz w:val="20"/>
                    </w:rPr>
                    <w:t>Volumes</w:t>
                  </w:r>
                </w:p>
              </w:tc>
              <w:tc>
                <w:tcPr>
                  <w:tcW w:w="1701" w:type="dxa"/>
                  <w:tcBorders>
                    <w:bottom w:val="single" w:sz="4" w:space="0" w:color="auto"/>
                  </w:tcBorders>
                  <w:vAlign w:val="center"/>
                </w:tcPr>
                <w:p w14:paraId="61733CF1" w14:textId="77777777" w:rsidR="00F22934" w:rsidRPr="00426CB3" w:rsidRDefault="00F22934" w:rsidP="00657E32">
                  <w:pPr>
                    <w:jc w:val="center"/>
                    <w:rPr>
                      <w:b/>
                      <w:sz w:val="20"/>
                    </w:rPr>
                  </w:pPr>
                  <w:r w:rsidRPr="00426CB3">
                    <w:rPr>
                      <w:b/>
                      <w:sz w:val="20"/>
                    </w:rPr>
                    <w:t>Unit Cost Total</w:t>
                  </w:r>
                </w:p>
                <w:p w14:paraId="61733CF2" w14:textId="77777777" w:rsidR="00F22934" w:rsidRPr="00426CB3" w:rsidRDefault="00F22934" w:rsidP="00657E32">
                  <w:pPr>
                    <w:jc w:val="center"/>
                    <w:rPr>
                      <w:rFonts w:cs="Arial"/>
                      <w:b/>
                      <w:sz w:val="20"/>
                    </w:rPr>
                  </w:pPr>
                  <w:r w:rsidRPr="00426CB3">
                    <w:rPr>
                      <w:b/>
                      <w:sz w:val="20"/>
                    </w:rPr>
                    <w:t>Value Average per Intervention</w:t>
                  </w:r>
                </w:p>
              </w:tc>
              <w:tc>
                <w:tcPr>
                  <w:tcW w:w="1299" w:type="dxa"/>
                  <w:tcBorders>
                    <w:bottom w:val="single" w:sz="4" w:space="0" w:color="auto"/>
                  </w:tcBorders>
                  <w:vAlign w:val="center"/>
                </w:tcPr>
                <w:p w14:paraId="61733CF3" w14:textId="77777777" w:rsidR="00F22934" w:rsidRPr="00426CB3" w:rsidRDefault="00F22934" w:rsidP="00657E32">
                  <w:pPr>
                    <w:jc w:val="center"/>
                    <w:rPr>
                      <w:rFonts w:cs="Arial"/>
                      <w:b/>
                      <w:sz w:val="20"/>
                    </w:rPr>
                  </w:pPr>
                  <w:r w:rsidRPr="00426CB3">
                    <w:rPr>
                      <w:b/>
                      <w:sz w:val="20"/>
                    </w:rPr>
                    <w:t>£</w:t>
                  </w:r>
                </w:p>
              </w:tc>
            </w:tr>
            <w:tr w:rsidR="00F22934" w:rsidRPr="004B051A" w14:paraId="61733CF9" w14:textId="77777777" w:rsidTr="00657E32">
              <w:tc>
                <w:tcPr>
                  <w:tcW w:w="4815" w:type="dxa"/>
                  <w:shd w:val="clear" w:color="auto" w:fill="D9D9D9" w:themeFill="background1" w:themeFillShade="D9"/>
                </w:tcPr>
                <w:p w14:paraId="61733CF5" w14:textId="77777777" w:rsidR="00F22934" w:rsidRPr="00426CB3" w:rsidRDefault="00F22934" w:rsidP="00657E32">
                  <w:pPr>
                    <w:rPr>
                      <w:rFonts w:cs="Arial"/>
                      <w:sz w:val="20"/>
                    </w:rPr>
                  </w:pPr>
                  <w:r w:rsidRPr="00426CB3">
                    <w:rPr>
                      <w:rFonts w:cs="Arial"/>
                      <w:sz w:val="20"/>
                    </w:rPr>
                    <w:t xml:space="preserve">ST01 Learner Assessment and Plan </w:t>
                  </w:r>
                </w:p>
              </w:tc>
              <w:tc>
                <w:tcPr>
                  <w:tcW w:w="1276" w:type="dxa"/>
                  <w:shd w:val="clear" w:color="auto" w:fill="D9D9D9" w:themeFill="background1" w:themeFillShade="D9"/>
                </w:tcPr>
                <w:p w14:paraId="61733CF6" w14:textId="77777777" w:rsidR="00F22934" w:rsidRPr="00426CB3" w:rsidRDefault="00072D44" w:rsidP="00657E32">
                  <w:pPr>
                    <w:jc w:val="center"/>
                    <w:rPr>
                      <w:rFonts w:cs="Arial"/>
                      <w:sz w:val="20"/>
                    </w:rPr>
                  </w:pPr>
                  <w:r w:rsidRPr="00426CB3">
                    <w:rPr>
                      <w:rFonts w:cs="Arial"/>
                      <w:sz w:val="20"/>
                    </w:rPr>
                    <w:t>2800</w:t>
                  </w:r>
                </w:p>
              </w:tc>
              <w:tc>
                <w:tcPr>
                  <w:tcW w:w="1701" w:type="dxa"/>
                  <w:shd w:val="clear" w:color="auto" w:fill="D9D9D9" w:themeFill="background1" w:themeFillShade="D9"/>
                </w:tcPr>
                <w:p w14:paraId="61733CF7" w14:textId="77777777" w:rsidR="00F22934" w:rsidRPr="00426CB3" w:rsidRDefault="00F22934" w:rsidP="00657E32">
                  <w:pPr>
                    <w:jc w:val="center"/>
                    <w:rPr>
                      <w:rFonts w:cs="Arial"/>
                      <w:sz w:val="20"/>
                    </w:rPr>
                  </w:pPr>
                  <w:r w:rsidRPr="00426CB3">
                    <w:rPr>
                      <w:rFonts w:cs="Arial"/>
                      <w:sz w:val="20"/>
                    </w:rPr>
                    <w:t>50</w:t>
                  </w:r>
                </w:p>
              </w:tc>
              <w:tc>
                <w:tcPr>
                  <w:tcW w:w="1299" w:type="dxa"/>
                  <w:shd w:val="clear" w:color="auto" w:fill="D9D9D9" w:themeFill="background1" w:themeFillShade="D9"/>
                </w:tcPr>
                <w:p w14:paraId="61733CF8" w14:textId="77777777" w:rsidR="00F22934" w:rsidRPr="00426CB3" w:rsidRDefault="00072D44" w:rsidP="00657E32">
                  <w:pPr>
                    <w:jc w:val="center"/>
                    <w:rPr>
                      <w:rFonts w:cs="Arial"/>
                      <w:sz w:val="20"/>
                    </w:rPr>
                  </w:pPr>
                  <w:r w:rsidRPr="00426CB3">
                    <w:rPr>
                      <w:rFonts w:cs="Arial"/>
                      <w:sz w:val="20"/>
                    </w:rPr>
                    <w:t>£140,0</w:t>
                  </w:r>
                  <w:r w:rsidR="00F22934" w:rsidRPr="00426CB3">
                    <w:rPr>
                      <w:rFonts w:cs="Arial"/>
                      <w:sz w:val="20"/>
                    </w:rPr>
                    <w:t>00</w:t>
                  </w:r>
                </w:p>
              </w:tc>
            </w:tr>
            <w:tr w:rsidR="00F22934" w:rsidRPr="004B051A" w14:paraId="61733CFE" w14:textId="77777777" w:rsidTr="00657E32">
              <w:tc>
                <w:tcPr>
                  <w:tcW w:w="4815" w:type="dxa"/>
                  <w:tcBorders>
                    <w:bottom w:val="single" w:sz="4" w:space="0" w:color="auto"/>
                  </w:tcBorders>
                </w:tcPr>
                <w:p w14:paraId="61733CFA" w14:textId="77777777" w:rsidR="00F22934" w:rsidRPr="00426CB3" w:rsidRDefault="00F22934" w:rsidP="00657E32">
                  <w:pPr>
                    <w:rPr>
                      <w:rFonts w:cs="Arial"/>
                      <w:sz w:val="20"/>
                    </w:rPr>
                  </w:pPr>
                  <w:r w:rsidRPr="00426CB3">
                    <w:rPr>
                      <w:rFonts w:cs="Arial"/>
                      <w:sz w:val="20"/>
                    </w:rPr>
                    <w:t>RQ01 Regulated Learning</w:t>
                  </w:r>
                </w:p>
              </w:tc>
              <w:tc>
                <w:tcPr>
                  <w:tcW w:w="1276" w:type="dxa"/>
                  <w:tcBorders>
                    <w:bottom w:val="single" w:sz="4" w:space="0" w:color="auto"/>
                  </w:tcBorders>
                </w:tcPr>
                <w:p w14:paraId="61733CFB" w14:textId="3D6E6201" w:rsidR="00F22934" w:rsidRPr="00426CB3" w:rsidRDefault="00F22934" w:rsidP="00657E32">
                  <w:pPr>
                    <w:jc w:val="center"/>
                    <w:rPr>
                      <w:rFonts w:cs="Arial"/>
                      <w:sz w:val="20"/>
                    </w:rPr>
                  </w:pPr>
                </w:p>
              </w:tc>
              <w:tc>
                <w:tcPr>
                  <w:tcW w:w="1701" w:type="dxa"/>
                  <w:tcBorders>
                    <w:bottom w:val="single" w:sz="4" w:space="0" w:color="auto"/>
                  </w:tcBorders>
                </w:tcPr>
                <w:p w14:paraId="61733CFC" w14:textId="3C897129" w:rsidR="00F22934" w:rsidRPr="00426CB3" w:rsidRDefault="00F22934" w:rsidP="00657E32">
                  <w:pPr>
                    <w:jc w:val="center"/>
                    <w:rPr>
                      <w:rFonts w:cs="Arial"/>
                      <w:sz w:val="20"/>
                    </w:rPr>
                  </w:pPr>
                </w:p>
              </w:tc>
              <w:tc>
                <w:tcPr>
                  <w:tcW w:w="1299" w:type="dxa"/>
                  <w:tcBorders>
                    <w:bottom w:val="single" w:sz="4" w:space="0" w:color="auto"/>
                  </w:tcBorders>
                </w:tcPr>
                <w:p w14:paraId="61733CFD" w14:textId="77777777" w:rsidR="00F22934" w:rsidRPr="00426CB3" w:rsidRDefault="00072D44" w:rsidP="00657E32">
                  <w:pPr>
                    <w:jc w:val="center"/>
                    <w:rPr>
                      <w:rFonts w:cs="Arial"/>
                      <w:sz w:val="20"/>
                    </w:rPr>
                  </w:pPr>
                  <w:r w:rsidRPr="00426CB3">
                    <w:rPr>
                      <w:rFonts w:cs="Arial"/>
                      <w:sz w:val="20"/>
                    </w:rPr>
                    <w:t>£680,0</w:t>
                  </w:r>
                  <w:r w:rsidR="00F22934" w:rsidRPr="00426CB3">
                    <w:rPr>
                      <w:rFonts w:cs="Arial"/>
                      <w:sz w:val="20"/>
                    </w:rPr>
                    <w:t>00</w:t>
                  </w:r>
                </w:p>
              </w:tc>
            </w:tr>
            <w:tr w:rsidR="00F22934" w:rsidRPr="004B051A" w14:paraId="61733D03" w14:textId="77777777" w:rsidTr="00657E32">
              <w:tc>
                <w:tcPr>
                  <w:tcW w:w="4815" w:type="dxa"/>
                  <w:shd w:val="clear" w:color="auto" w:fill="D9D9D9" w:themeFill="background1" w:themeFillShade="D9"/>
                </w:tcPr>
                <w:p w14:paraId="61733CFF" w14:textId="77777777" w:rsidR="00F22934" w:rsidRPr="00426CB3" w:rsidRDefault="00F22934" w:rsidP="00657E32">
                  <w:pPr>
                    <w:rPr>
                      <w:rFonts w:cs="Arial"/>
                      <w:sz w:val="20"/>
                    </w:rPr>
                  </w:pPr>
                  <w:r w:rsidRPr="00426CB3">
                    <w:rPr>
                      <w:rFonts w:cs="Arial"/>
                      <w:sz w:val="20"/>
                    </w:rPr>
                    <w:t>NR01 Non Regulated Activity</w:t>
                  </w:r>
                </w:p>
              </w:tc>
              <w:tc>
                <w:tcPr>
                  <w:tcW w:w="1276" w:type="dxa"/>
                  <w:shd w:val="clear" w:color="auto" w:fill="D9D9D9" w:themeFill="background1" w:themeFillShade="D9"/>
                </w:tcPr>
                <w:p w14:paraId="61733D00" w14:textId="5B0EEDD9" w:rsidR="00F22934" w:rsidRPr="00426CB3" w:rsidRDefault="00F22934" w:rsidP="00657E32">
                  <w:pPr>
                    <w:jc w:val="center"/>
                    <w:rPr>
                      <w:rFonts w:cs="Arial"/>
                      <w:sz w:val="20"/>
                    </w:rPr>
                  </w:pPr>
                </w:p>
              </w:tc>
              <w:tc>
                <w:tcPr>
                  <w:tcW w:w="1701" w:type="dxa"/>
                  <w:shd w:val="clear" w:color="auto" w:fill="D9D9D9" w:themeFill="background1" w:themeFillShade="D9"/>
                </w:tcPr>
                <w:p w14:paraId="61733D01" w14:textId="6ACF4131" w:rsidR="00F22934" w:rsidRPr="00426CB3" w:rsidRDefault="00F22934" w:rsidP="00657E32">
                  <w:pPr>
                    <w:jc w:val="center"/>
                    <w:rPr>
                      <w:rFonts w:cs="Arial"/>
                      <w:sz w:val="20"/>
                    </w:rPr>
                  </w:pPr>
                </w:p>
              </w:tc>
              <w:tc>
                <w:tcPr>
                  <w:tcW w:w="1299" w:type="dxa"/>
                  <w:shd w:val="clear" w:color="auto" w:fill="D9D9D9" w:themeFill="background1" w:themeFillShade="D9"/>
                </w:tcPr>
                <w:p w14:paraId="61733D02" w14:textId="77777777" w:rsidR="00F22934" w:rsidRPr="00426CB3" w:rsidRDefault="00F22934" w:rsidP="00072D44">
                  <w:pPr>
                    <w:jc w:val="center"/>
                    <w:rPr>
                      <w:rFonts w:cs="Arial"/>
                      <w:sz w:val="20"/>
                    </w:rPr>
                  </w:pPr>
                  <w:r w:rsidRPr="00426CB3">
                    <w:rPr>
                      <w:rFonts w:cs="Arial"/>
                      <w:sz w:val="20"/>
                    </w:rPr>
                    <w:t>£</w:t>
                  </w:r>
                  <w:r w:rsidR="00072D44" w:rsidRPr="00426CB3">
                    <w:rPr>
                      <w:rFonts w:cs="Arial"/>
                      <w:sz w:val="20"/>
                    </w:rPr>
                    <w:t>1,075,000</w:t>
                  </w:r>
                </w:p>
              </w:tc>
            </w:tr>
            <w:tr w:rsidR="00F22934" w:rsidRPr="004B051A" w14:paraId="61733D08" w14:textId="77777777" w:rsidTr="00657E32">
              <w:tc>
                <w:tcPr>
                  <w:tcW w:w="4815" w:type="dxa"/>
                  <w:tcBorders>
                    <w:bottom w:val="single" w:sz="4" w:space="0" w:color="auto"/>
                  </w:tcBorders>
                </w:tcPr>
                <w:p w14:paraId="61733D04" w14:textId="77777777" w:rsidR="00F22934" w:rsidRPr="00426CB3" w:rsidRDefault="00F22934" w:rsidP="00657E32">
                  <w:pPr>
                    <w:rPr>
                      <w:rFonts w:cs="Arial"/>
                      <w:sz w:val="20"/>
                    </w:rPr>
                  </w:pPr>
                  <w:r w:rsidRPr="00426CB3">
                    <w:rPr>
                      <w:rFonts w:cs="Arial"/>
                      <w:sz w:val="20"/>
                    </w:rPr>
                    <w:t>SD01 SME Engagement &amp; Training Needs Analysis</w:t>
                  </w:r>
                </w:p>
              </w:tc>
              <w:tc>
                <w:tcPr>
                  <w:tcW w:w="1276" w:type="dxa"/>
                  <w:tcBorders>
                    <w:bottom w:val="single" w:sz="4" w:space="0" w:color="auto"/>
                  </w:tcBorders>
                </w:tcPr>
                <w:p w14:paraId="61733D05" w14:textId="77777777" w:rsidR="00F22934" w:rsidRPr="00426CB3" w:rsidRDefault="00072D44" w:rsidP="00657E32">
                  <w:pPr>
                    <w:jc w:val="center"/>
                    <w:rPr>
                      <w:rFonts w:cs="Arial"/>
                      <w:sz w:val="20"/>
                    </w:rPr>
                  </w:pPr>
                  <w:r w:rsidRPr="00426CB3">
                    <w:rPr>
                      <w:rFonts w:cs="Arial"/>
                      <w:sz w:val="20"/>
                    </w:rPr>
                    <w:t>5</w:t>
                  </w:r>
                  <w:r w:rsidR="003D2BC8" w:rsidRPr="00426CB3">
                    <w:rPr>
                      <w:rFonts w:cs="Arial"/>
                      <w:sz w:val="20"/>
                    </w:rPr>
                    <w:t>00</w:t>
                  </w:r>
                </w:p>
              </w:tc>
              <w:tc>
                <w:tcPr>
                  <w:tcW w:w="1701" w:type="dxa"/>
                  <w:tcBorders>
                    <w:bottom w:val="single" w:sz="4" w:space="0" w:color="auto"/>
                  </w:tcBorders>
                </w:tcPr>
                <w:p w14:paraId="61733D06" w14:textId="77777777" w:rsidR="00F22934" w:rsidRPr="00426CB3" w:rsidRDefault="00F22934" w:rsidP="00657E32">
                  <w:pPr>
                    <w:jc w:val="center"/>
                    <w:rPr>
                      <w:rFonts w:cs="Arial"/>
                      <w:sz w:val="20"/>
                    </w:rPr>
                  </w:pPr>
                  <w:r w:rsidRPr="00426CB3">
                    <w:rPr>
                      <w:rFonts w:cs="Arial"/>
                      <w:sz w:val="20"/>
                    </w:rPr>
                    <w:t>100</w:t>
                  </w:r>
                </w:p>
              </w:tc>
              <w:tc>
                <w:tcPr>
                  <w:tcW w:w="1299" w:type="dxa"/>
                  <w:tcBorders>
                    <w:bottom w:val="single" w:sz="4" w:space="0" w:color="auto"/>
                  </w:tcBorders>
                </w:tcPr>
                <w:p w14:paraId="61733D07" w14:textId="77777777" w:rsidR="00F22934" w:rsidRPr="00426CB3" w:rsidRDefault="00F22934" w:rsidP="00657E32">
                  <w:pPr>
                    <w:jc w:val="center"/>
                    <w:rPr>
                      <w:rFonts w:cs="Arial"/>
                      <w:sz w:val="20"/>
                    </w:rPr>
                  </w:pPr>
                  <w:r w:rsidRPr="00426CB3">
                    <w:rPr>
                      <w:rFonts w:cs="Arial"/>
                      <w:sz w:val="20"/>
                    </w:rPr>
                    <w:t>£</w:t>
                  </w:r>
                  <w:r w:rsidR="00072D44" w:rsidRPr="00426CB3">
                    <w:rPr>
                      <w:rFonts w:cs="Arial"/>
                      <w:sz w:val="20"/>
                    </w:rPr>
                    <w:t>5</w:t>
                  </w:r>
                  <w:r w:rsidR="003D2BC8" w:rsidRPr="00426CB3">
                    <w:rPr>
                      <w:rFonts w:cs="Arial"/>
                      <w:sz w:val="20"/>
                    </w:rPr>
                    <w:t>0</w:t>
                  </w:r>
                  <w:r w:rsidRPr="00426CB3">
                    <w:rPr>
                      <w:rFonts w:cs="Arial"/>
                      <w:sz w:val="20"/>
                    </w:rPr>
                    <w:t>,</w:t>
                  </w:r>
                  <w:r w:rsidR="003D2BC8" w:rsidRPr="00426CB3">
                    <w:rPr>
                      <w:rFonts w:cs="Arial"/>
                      <w:sz w:val="20"/>
                    </w:rPr>
                    <w:t>0</w:t>
                  </w:r>
                  <w:r w:rsidRPr="00426CB3">
                    <w:rPr>
                      <w:rFonts w:cs="Arial"/>
                      <w:sz w:val="20"/>
                    </w:rPr>
                    <w:t>00</w:t>
                  </w:r>
                </w:p>
              </w:tc>
            </w:tr>
            <w:tr w:rsidR="00F22934" w:rsidRPr="004B051A" w14:paraId="61733D0D" w14:textId="77777777" w:rsidTr="00657E32">
              <w:tc>
                <w:tcPr>
                  <w:tcW w:w="4815" w:type="dxa"/>
                  <w:shd w:val="clear" w:color="auto" w:fill="D9D9D9" w:themeFill="background1" w:themeFillShade="D9"/>
                </w:tcPr>
                <w:p w14:paraId="61733D09" w14:textId="77777777" w:rsidR="00F22934" w:rsidRPr="00426CB3" w:rsidRDefault="00F22934" w:rsidP="00657E32">
                  <w:pPr>
                    <w:rPr>
                      <w:rFonts w:cs="Arial"/>
                      <w:sz w:val="20"/>
                    </w:rPr>
                  </w:pPr>
                  <w:r w:rsidRPr="00426CB3">
                    <w:rPr>
                      <w:rFonts w:cs="Arial"/>
                      <w:sz w:val="20"/>
                    </w:rPr>
                    <w:t>SD02 Progression within work</w:t>
                  </w:r>
                </w:p>
              </w:tc>
              <w:tc>
                <w:tcPr>
                  <w:tcW w:w="1276" w:type="dxa"/>
                  <w:shd w:val="clear" w:color="auto" w:fill="D9D9D9" w:themeFill="background1" w:themeFillShade="D9"/>
                </w:tcPr>
                <w:p w14:paraId="61733D0A" w14:textId="77777777" w:rsidR="00F22934" w:rsidRPr="00426CB3" w:rsidRDefault="00072D44" w:rsidP="00657E32">
                  <w:pPr>
                    <w:jc w:val="center"/>
                    <w:rPr>
                      <w:rFonts w:cs="Arial"/>
                      <w:sz w:val="20"/>
                    </w:rPr>
                  </w:pPr>
                  <w:r w:rsidRPr="00426CB3">
                    <w:rPr>
                      <w:rFonts w:cs="Arial"/>
                      <w:sz w:val="20"/>
                    </w:rPr>
                    <w:t>60</w:t>
                  </w:r>
                  <w:r w:rsidR="00F22934" w:rsidRPr="00426CB3">
                    <w:rPr>
                      <w:rFonts w:cs="Arial"/>
                      <w:sz w:val="20"/>
                    </w:rPr>
                    <w:t>0</w:t>
                  </w:r>
                </w:p>
              </w:tc>
              <w:tc>
                <w:tcPr>
                  <w:tcW w:w="1701" w:type="dxa"/>
                  <w:shd w:val="clear" w:color="auto" w:fill="D9D9D9" w:themeFill="background1" w:themeFillShade="D9"/>
                </w:tcPr>
                <w:p w14:paraId="61733D0B" w14:textId="77777777" w:rsidR="00F22934" w:rsidRPr="00426CB3" w:rsidRDefault="00F22934" w:rsidP="00657E32">
                  <w:pPr>
                    <w:jc w:val="center"/>
                    <w:rPr>
                      <w:rFonts w:cs="Arial"/>
                      <w:sz w:val="20"/>
                    </w:rPr>
                  </w:pPr>
                  <w:r w:rsidRPr="00426CB3">
                    <w:rPr>
                      <w:rFonts w:cs="Arial"/>
                      <w:sz w:val="20"/>
                    </w:rPr>
                    <w:t>400</w:t>
                  </w:r>
                </w:p>
              </w:tc>
              <w:tc>
                <w:tcPr>
                  <w:tcW w:w="1299" w:type="dxa"/>
                  <w:shd w:val="clear" w:color="auto" w:fill="D9D9D9" w:themeFill="background1" w:themeFillShade="D9"/>
                </w:tcPr>
                <w:p w14:paraId="61733D0C" w14:textId="77777777" w:rsidR="00F22934" w:rsidRPr="00426CB3" w:rsidRDefault="00072D44" w:rsidP="00657E32">
                  <w:pPr>
                    <w:jc w:val="center"/>
                    <w:rPr>
                      <w:rFonts w:cs="Arial"/>
                      <w:sz w:val="20"/>
                    </w:rPr>
                  </w:pPr>
                  <w:r w:rsidRPr="00426CB3">
                    <w:rPr>
                      <w:rFonts w:cs="Arial"/>
                      <w:sz w:val="20"/>
                    </w:rPr>
                    <w:t>£240</w:t>
                  </w:r>
                  <w:r w:rsidR="00F22934" w:rsidRPr="00426CB3">
                    <w:rPr>
                      <w:rFonts w:cs="Arial"/>
                      <w:sz w:val="20"/>
                    </w:rPr>
                    <w:t>,000</w:t>
                  </w:r>
                </w:p>
              </w:tc>
            </w:tr>
            <w:tr w:rsidR="00F22934" w:rsidRPr="004B051A" w14:paraId="61733D12" w14:textId="77777777" w:rsidTr="00657E32">
              <w:tc>
                <w:tcPr>
                  <w:tcW w:w="4815" w:type="dxa"/>
                  <w:tcBorders>
                    <w:bottom w:val="single" w:sz="4" w:space="0" w:color="auto"/>
                  </w:tcBorders>
                </w:tcPr>
                <w:p w14:paraId="61733D0E" w14:textId="77777777" w:rsidR="00F22934" w:rsidRPr="00426CB3" w:rsidRDefault="00F22934" w:rsidP="00657E32">
                  <w:pPr>
                    <w:rPr>
                      <w:rFonts w:cs="Arial"/>
                      <w:sz w:val="20"/>
                    </w:rPr>
                  </w:pPr>
                  <w:r w:rsidRPr="00426CB3">
                    <w:rPr>
                      <w:rFonts w:cs="Arial"/>
                      <w:sz w:val="20"/>
                    </w:rPr>
                    <w:t xml:space="preserve">PG03 Progression Education </w:t>
                  </w:r>
                </w:p>
              </w:tc>
              <w:tc>
                <w:tcPr>
                  <w:tcW w:w="1276" w:type="dxa"/>
                  <w:tcBorders>
                    <w:bottom w:val="single" w:sz="4" w:space="0" w:color="auto"/>
                  </w:tcBorders>
                </w:tcPr>
                <w:p w14:paraId="61733D0F" w14:textId="77777777" w:rsidR="00F22934" w:rsidRPr="00426CB3" w:rsidRDefault="00072D44" w:rsidP="00657E32">
                  <w:pPr>
                    <w:jc w:val="center"/>
                    <w:rPr>
                      <w:rFonts w:cs="Arial"/>
                      <w:sz w:val="20"/>
                    </w:rPr>
                  </w:pPr>
                  <w:r w:rsidRPr="00426CB3">
                    <w:rPr>
                      <w:rFonts w:cs="Arial"/>
                      <w:sz w:val="20"/>
                    </w:rPr>
                    <w:t>600</w:t>
                  </w:r>
                </w:p>
              </w:tc>
              <w:tc>
                <w:tcPr>
                  <w:tcW w:w="1701" w:type="dxa"/>
                  <w:tcBorders>
                    <w:bottom w:val="single" w:sz="4" w:space="0" w:color="auto"/>
                  </w:tcBorders>
                </w:tcPr>
                <w:p w14:paraId="61733D10" w14:textId="77777777" w:rsidR="00F22934" w:rsidRPr="00426CB3" w:rsidRDefault="00F22934" w:rsidP="00657E32">
                  <w:pPr>
                    <w:jc w:val="center"/>
                    <w:rPr>
                      <w:rFonts w:cs="Arial"/>
                      <w:sz w:val="20"/>
                    </w:rPr>
                  </w:pPr>
                  <w:r w:rsidRPr="00426CB3">
                    <w:rPr>
                      <w:rFonts w:cs="Arial"/>
                      <w:sz w:val="20"/>
                    </w:rPr>
                    <w:t>400</w:t>
                  </w:r>
                </w:p>
              </w:tc>
              <w:tc>
                <w:tcPr>
                  <w:tcW w:w="1299" w:type="dxa"/>
                  <w:tcBorders>
                    <w:bottom w:val="single" w:sz="4" w:space="0" w:color="auto"/>
                  </w:tcBorders>
                </w:tcPr>
                <w:p w14:paraId="61733D11" w14:textId="77777777" w:rsidR="00F22934" w:rsidRPr="00426CB3" w:rsidRDefault="00072D44" w:rsidP="00657E32">
                  <w:pPr>
                    <w:jc w:val="center"/>
                    <w:rPr>
                      <w:rFonts w:cs="Arial"/>
                      <w:sz w:val="20"/>
                    </w:rPr>
                  </w:pPr>
                  <w:r w:rsidRPr="00426CB3">
                    <w:rPr>
                      <w:rFonts w:cs="Arial"/>
                      <w:sz w:val="20"/>
                    </w:rPr>
                    <w:t>£240</w:t>
                  </w:r>
                  <w:r w:rsidR="00F22934" w:rsidRPr="00426CB3">
                    <w:rPr>
                      <w:rFonts w:cs="Arial"/>
                      <w:sz w:val="20"/>
                    </w:rPr>
                    <w:t>,000</w:t>
                  </w:r>
                </w:p>
              </w:tc>
            </w:tr>
            <w:tr w:rsidR="00F22934" w:rsidRPr="004B051A" w14:paraId="61733D17" w14:textId="77777777" w:rsidTr="00657E32">
              <w:tc>
                <w:tcPr>
                  <w:tcW w:w="4815" w:type="dxa"/>
                  <w:shd w:val="clear" w:color="auto" w:fill="D9D9D9" w:themeFill="background1" w:themeFillShade="D9"/>
                </w:tcPr>
                <w:p w14:paraId="61733D13" w14:textId="77777777" w:rsidR="00F22934" w:rsidRPr="00426CB3" w:rsidRDefault="00F22934" w:rsidP="00657E32">
                  <w:pPr>
                    <w:rPr>
                      <w:rFonts w:cs="Arial"/>
                      <w:sz w:val="20"/>
                    </w:rPr>
                  </w:pPr>
                  <w:r w:rsidRPr="00426CB3">
                    <w:rPr>
                      <w:rFonts w:cs="Arial"/>
                      <w:sz w:val="20"/>
                    </w:rPr>
                    <w:t>PG04 Progression Apprenticeship</w:t>
                  </w:r>
                </w:p>
              </w:tc>
              <w:tc>
                <w:tcPr>
                  <w:tcW w:w="1276" w:type="dxa"/>
                  <w:shd w:val="clear" w:color="auto" w:fill="D9D9D9" w:themeFill="background1" w:themeFillShade="D9"/>
                </w:tcPr>
                <w:p w14:paraId="61733D14" w14:textId="77777777" w:rsidR="00F22934" w:rsidRPr="00426CB3" w:rsidRDefault="00072D44" w:rsidP="00657E32">
                  <w:pPr>
                    <w:jc w:val="center"/>
                    <w:rPr>
                      <w:rFonts w:cs="Arial"/>
                      <w:sz w:val="20"/>
                    </w:rPr>
                  </w:pPr>
                  <w:r w:rsidRPr="00426CB3">
                    <w:rPr>
                      <w:rFonts w:cs="Arial"/>
                      <w:sz w:val="20"/>
                    </w:rPr>
                    <w:t>280</w:t>
                  </w:r>
                </w:p>
              </w:tc>
              <w:tc>
                <w:tcPr>
                  <w:tcW w:w="1701" w:type="dxa"/>
                  <w:shd w:val="clear" w:color="auto" w:fill="D9D9D9" w:themeFill="background1" w:themeFillShade="D9"/>
                </w:tcPr>
                <w:p w14:paraId="61733D15" w14:textId="77777777" w:rsidR="00F22934" w:rsidRPr="00426CB3" w:rsidRDefault="00F22934" w:rsidP="00657E32">
                  <w:pPr>
                    <w:jc w:val="center"/>
                    <w:rPr>
                      <w:rFonts w:cs="Arial"/>
                      <w:sz w:val="20"/>
                    </w:rPr>
                  </w:pPr>
                  <w:r w:rsidRPr="00426CB3">
                    <w:rPr>
                      <w:rFonts w:cs="Arial"/>
                      <w:sz w:val="20"/>
                    </w:rPr>
                    <w:t>400</w:t>
                  </w:r>
                </w:p>
              </w:tc>
              <w:tc>
                <w:tcPr>
                  <w:tcW w:w="1299" w:type="dxa"/>
                  <w:shd w:val="clear" w:color="auto" w:fill="D9D9D9" w:themeFill="background1" w:themeFillShade="D9"/>
                </w:tcPr>
                <w:p w14:paraId="61733D16" w14:textId="77777777" w:rsidR="00F22934" w:rsidRPr="00426CB3" w:rsidRDefault="00072D44" w:rsidP="00657E32">
                  <w:pPr>
                    <w:jc w:val="center"/>
                    <w:rPr>
                      <w:rFonts w:cs="Arial"/>
                      <w:sz w:val="20"/>
                    </w:rPr>
                  </w:pPr>
                  <w:r w:rsidRPr="00426CB3">
                    <w:rPr>
                      <w:rFonts w:cs="Arial"/>
                      <w:sz w:val="20"/>
                    </w:rPr>
                    <w:t>£112</w:t>
                  </w:r>
                  <w:r w:rsidR="00F22934" w:rsidRPr="00426CB3">
                    <w:rPr>
                      <w:rFonts w:cs="Arial"/>
                      <w:sz w:val="20"/>
                    </w:rPr>
                    <w:t>,000</w:t>
                  </w:r>
                </w:p>
              </w:tc>
            </w:tr>
            <w:tr w:rsidR="00F22934" w:rsidRPr="004B051A" w14:paraId="61733D1C" w14:textId="77777777" w:rsidTr="00657E32">
              <w:tc>
                <w:tcPr>
                  <w:tcW w:w="4815" w:type="dxa"/>
                </w:tcPr>
                <w:p w14:paraId="61733D18" w14:textId="77777777" w:rsidR="00F22934" w:rsidRPr="00426CB3" w:rsidRDefault="00F22934" w:rsidP="00657E32">
                  <w:pPr>
                    <w:rPr>
                      <w:rFonts w:cs="Arial"/>
                      <w:sz w:val="20"/>
                    </w:rPr>
                  </w:pPr>
                  <w:r w:rsidRPr="00426CB3">
                    <w:rPr>
                      <w:rFonts w:cs="Arial"/>
                      <w:sz w:val="20"/>
                    </w:rPr>
                    <w:t>SU03 Sustained Education 3 Months</w:t>
                  </w:r>
                </w:p>
              </w:tc>
              <w:tc>
                <w:tcPr>
                  <w:tcW w:w="1276" w:type="dxa"/>
                </w:tcPr>
                <w:p w14:paraId="61733D19" w14:textId="77777777" w:rsidR="00F22934" w:rsidRPr="00426CB3" w:rsidRDefault="00072D44" w:rsidP="00657E32">
                  <w:pPr>
                    <w:jc w:val="center"/>
                    <w:rPr>
                      <w:rFonts w:cs="Arial"/>
                      <w:sz w:val="20"/>
                    </w:rPr>
                  </w:pPr>
                  <w:r w:rsidRPr="00426CB3">
                    <w:rPr>
                      <w:rFonts w:cs="Arial"/>
                      <w:sz w:val="20"/>
                    </w:rPr>
                    <w:t>480</w:t>
                  </w:r>
                </w:p>
              </w:tc>
              <w:tc>
                <w:tcPr>
                  <w:tcW w:w="1701" w:type="dxa"/>
                </w:tcPr>
                <w:p w14:paraId="61733D1A" w14:textId="77777777" w:rsidR="00F22934" w:rsidRPr="00426CB3" w:rsidRDefault="00F22934" w:rsidP="00657E32">
                  <w:pPr>
                    <w:jc w:val="center"/>
                    <w:rPr>
                      <w:rFonts w:cs="Arial"/>
                      <w:sz w:val="20"/>
                    </w:rPr>
                  </w:pPr>
                  <w:r w:rsidRPr="00426CB3">
                    <w:rPr>
                      <w:rFonts w:cs="Arial"/>
                      <w:sz w:val="20"/>
                    </w:rPr>
                    <w:t>200</w:t>
                  </w:r>
                </w:p>
              </w:tc>
              <w:tc>
                <w:tcPr>
                  <w:tcW w:w="1299" w:type="dxa"/>
                </w:tcPr>
                <w:p w14:paraId="61733D1B" w14:textId="77777777" w:rsidR="00F22934" w:rsidRPr="00426CB3" w:rsidRDefault="00072D44" w:rsidP="00657E32">
                  <w:pPr>
                    <w:jc w:val="center"/>
                    <w:rPr>
                      <w:rFonts w:cs="Arial"/>
                      <w:sz w:val="20"/>
                    </w:rPr>
                  </w:pPr>
                  <w:r w:rsidRPr="00426CB3">
                    <w:rPr>
                      <w:rFonts w:cs="Arial"/>
                      <w:sz w:val="20"/>
                    </w:rPr>
                    <w:t>£96</w:t>
                  </w:r>
                  <w:r w:rsidR="003D2BC8" w:rsidRPr="00426CB3">
                    <w:rPr>
                      <w:rFonts w:cs="Arial"/>
                      <w:sz w:val="20"/>
                    </w:rPr>
                    <w:t>,0</w:t>
                  </w:r>
                  <w:r w:rsidR="00F22934" w:rsidRPr="00426CB3">
                    <w:rPr>
                      <w:rFonts w:cs="Arial"/>
                      <w:sz w:val="20"/>
                    </w:rPr>
                    <w:t>00</w:t>
                  </w:r>
                </w:p>
              </w:tc>
            </w:tr>
            <w:tr w:rsidR="00F22934" w:rsidRPr="004B051A" w14:paraId="61733D21" w14:textId="77777777" w:rsidTr="00657E32">
              <w:tc>
                <w:tcPr>
                  <w:tcW w:w="4815" w:type="dxa"/>
                  <w:shd w:val="clear" w:color="auto" w:fill="D9D9D9" w:themeFill="background1" w:themeFillShade="D9"/>
                </w:tcPr>
                <w:p w14:paraId="61733D1D" w14:textId="77777777" w:rsidR="00F22934" w:rsidRPr="00426CB3" w:rsidRDefault="00F22934" w:rsidP="00657E32">
                  <w:pPr>
                    <w:rPr>
                      <w:rFonts w:cs="Arial"/>
                      <w:sz w:val="20"/>
                    </w:rPr>
                  </w:pPr>
                  <w:r w:rsidRPr="00426CB3">
                    <w:rPr>
                      <w:rFonts w:cs="Arial"/>
                      <w:sz w:val="20"/>
                    </w:rPr>
                    <w:t>SU04 Sustained Apprenticeship 3 Months</w:t>
                  </w:r>
                </w:p>
              </w:tc>
              <w:tc>
                <w:tcPr>
                  <w:tcW w:w="1276" w:type="dxa"/>
                  <w:shd w:val="clear" w:color="auto" w:fill="D9D9D9" w:themeFill="background1" w:themeFillShade="D9"/>
                </w:tcPr>
                <w:p w14:paraId="61733D1E" w14:textId="77777777" w:rsidR="00F22934" w:rsidRPr="00426CB3" w:rsidRDefault="00072D44" w:rsidP="00657E32">
                  <w:pPr>
                    <w:jc w:val="center"/>
                    <w:rPr>
                      <w:rFonts w:cs="Arial"/>
                      <w:sz w:val="20"/>
                    </w:rPr>
                  </w:pPr>
                  <w:r w:rsidRPr="00426CB3">
                    <w:rPr>
                      <w:rFonts w:cs="Arial"/>
                      <w:sz w:val="20"/>
                    </w:rPr>
                    <w:t>225</w:t>
                  </w:r>
                </w:p>
              </w:tc>
              <w:tc>
                <w:tcPr>
                  <w:tcW w:w="1701" w:type="dxa"/>
                  <w:shd w:val="clear" w:color="auto" w:fill="D9D9D9" w:themeFill="background1" w:themeFillShade="D9"/>
                </w:tcPr>
                <w:p w14:paraId="61733D1F" w14:textId="77777777" w:rsidR="00F22934" w:rsidRPr="00426CB3" w:rsidRDefault="00F22934" w:rsidP="00657E32">
                  <w:pPr>
                    <w:jc w:val="center"/>
                    <w:rPr>
                      <w:rFonts w:cs="Arial"/>
                      <w:sz w:val="20"/>
                    </w:rPr>
                  </w:pPr>
                  <w:r w:rsidRPr="00426CB3">
                    <w:rPr>
                      <w:rFonts w:cs="Arial"/>
                      <w:sz w:val="20"/>
                    </w:rPr>
                    <w:t>200</w:t>
                  </w:r>
                </w:p>
              </w:tc>
              <w:tc>
                <w:tcPr>
                  <w:tcW w:w="1299" w:type="dxa"/>
                  <w:shd w:val="clear" w:color="auto" w:fill="D9D9D9" w:themeFill="background1" w:themeFillShade="D9"/>
                </w:tcPr>
                <w:p w14:paraId="61733D20" w14:textId="77777777" w:rsidR="00F22934" w:rsidRPr="00426CB3" w:rsidRDefault="00072D44" w:rsidP="00657E32">
                  <w:pPr>
                    <w:jc w:val="center"/>
                    <w:rPr>
                      <w:rFonts w:cs="Arial"/>
                      <w:sz w:val="20"/>
                    </w:rPr>
                  </w:pPr>
                  <w:r w:rsidRPr="00426CB3">
                    <w:rPr>
                      <w:rFonts w:cs="Arial"/>
                      <w:sz w:val="20"/>
                    </w:rPr>
                    <w:t>£45</w:t>
                  </w:r>
                  <w:r w:rsidR="003D2BC8" w:rsidRPr="00426CB3">
                    <w:rPr>
                      <w:rFonts w:cs="Arial"/>
                      <w:sz w:val="20"/>
                    </w:rPr>
                    <w:t>,0</w:t>
                  </w:r>
                  <w:r w:rsidR="00F22934" w:rsidRPr="00426CB3">
                    <w:rPr>
                      <w:rFonts w:cs="Arial"/>
                      <w:sz w:val="20"/>
                    </w:rPr>
                    <w:t>00</w:t>
                  </w:r>
                </w:p>
              </w:tc>
            </w:tr>
            <w:tr w:rsidR="00F22934" w:rsidRPr="004B051A" w14:paraId="61733D26" w14:textId="77777777" w:rsidTr="00657E32">
              <w:tc>
                <w:tcPr>
                  <w:tcW w:w="4815" w:type="dxa"/>
                  <w:tcBorders>
                    <w:bottom w:val="single" w:sz="4" w:space="0" w:color="auto"/>
                  </w:tcBorders>
                </w:tcPr>
                <w:p w14:paraId="61733D22" w14:textId="77777777" w:rsidR="00F22934" w:rsidRPr="00426CB3" w:rsidRDefault="00F22934" w:rsidP="00657E32">
                  <w:pPr>
                    <w:rPr>
                      <w:rFonts w:cs="Arial"/>
                      <w:sz w:val="20"/>
                    </w:rPr>
                  </w:pPr>
                </w:p>
              </w:tc>
              <w:tc>
                <w:tcPr>
                  <w:tcW w:w="1276" w:type="dxa"/>
                  <w:tcBorders>
                    <w:bottom w:val="single" w:sz="4" w:space="0" w:color="auto"/>
                  </w:tcBorders>
                </w:tcPr>
                <w:p w14:paraId="61733D23" w14:textId="77777777" w:rsidR="00F22934" w:rsidRPr="00426CB3" w:rsidRDefault="00F22934" w:rsidP="00657E32">
                  <w:pPr>
                    <w:rPr>
                      <w:rFonts w:cs="Arial"/>
                      <w:sz w:val="20"/>
                    </w:rPr>
                  </w:pPr>
                </w:p>
              </w:tc>
              <w:tc>
                <w:tcPr>
                  <w:tcW w:w="1701" w:type="dxa"/>
                  <w:tcBorders>
                    <w:bottom w:val="single" w:sz="4" w:space="0" w:color="auto"/>
                  </w:tcBorders>
                </w:tcPr>
                <w:p w14:paraId="61733D24" w14:textId="77777777" w:rsidR="00F22934" w:rsidRPr="00426CB3" w:rsidRDefault="00F22934" w:rsidP="00657E32">
                  <w:pPr>
                    <w:rPr>
                      <w:rFonts w:cs="Arial"/>
                      <w:sz w:val="20"/>
                    </w:rPr>
                  </w:pPr>
                </w:p>
              </w:tc>
              <w:tc>
                <w:tcPr>
                  <w:tcW w:w="1299" w:type="dxa"/>
                  <w:tcBorders>
                    <w:bottom w:val="single" w:sz="4" w:space="0" w:color="auto"/>
                  </w:tcBorders>
                </w:tcPr>
                <w:p w14:paraId="61733D25" w14:textId="77777777" w:rsidR="00F22934" w:rsidRPr="00426CB3" w:rsidRDefault="00F22934" w:rsidP="00657E32">
                  <w:pPr>
                    <w:rPr>
                      <w:rFonts w:cs="Arial"/>
                      <w:sz w:val="20"/>
                    </w:rPr>
                  </w:pPr>
                </w:p>
              </w:tc>
            </w:tr>
            <w:tr w:rsidR="00F22934" w:rsidRPr="004B051A" w14:paraId="61733D2B" w14:textId="77777777" w:rsidTr="00657E32">
              <w:tc>
                <w:tcPr>
                  <w:tcW w:w="4815" w:type="dxa"/>
                  <w:shd w:val="clear" w:color="auto" w:fill="D9D9D9" w:themeFill="background1" w:themeFillShade="D9"/>
                </w:tcPr>
                <w:p w14:paraId="61733D27" w14:textId="77777777" w:rsidR="00F22934" w:rsidRPr="00426CB3" w:rsidRDefault="00F22934" w:rsidP="00657E32">
                  <w:pPr>
                    <w:rPr>
                      <w:rFonts w:cs="Arial"/>
                      <w:sz w:val="20"/>
                    </w:rPr>
                  </w:pPr>
                </w:p>
              </w:tc>
              <w:tc>
                <w:tcPr>
                  <w:tcW w:w="1276" w:type="dxa"/>
                  <w:shd w:val="clear" w:color="auto" w:fill="D9D9D9" w:themeFill="background1" w:themeFillShade="D9"/>
                </w:tcPr>
                <w:p w14:paraId="61733D28" w14:textId="77777777" w:rsidR="00F22934" w:rsidRPr="00426CB3" w:rsidRDefault="00F22934" w:rsidP="00657E32">
                  <w:pPr>
                    <w:rPr>
                      <w:rFonts w:cs="Arial"/>
                      <w:sz w:val="20"/>
                    </w:rPr>
                  </w:pPr>
                </w:p>
              </w:tc>
              <w:tc>
                <w:tcPr>
                  <w:tcW w:w="1701" w:type="dxa"/>
                  <w:shd w:val="clear" w:color="auto" w:fill="D9D9D9" w:themeFill="background1" w:themeFillShade="D9"/>
                </w:tcPr>
                <w:p w14:paraId="61733D29" w14:textId="77777777" w:rsidR="00F22934" w:rsidRPr="00426CB3" w:rsidRDefault="00F22934" w:rsidP="00657E32">
                  <w:pPr>
                    <w:jc w:val="center"/>
                    <w:rPr>
                      <w:rFonts w:cs="Arial"/>
                      <w:b/>
                      <w:sz w:val="20"/>
                    </w:rPr>
                  </w:pPr>
                  <w:r w:rsidRPr="00426CB3">
                    <w:rPr>
                      <w:rFonts w:cs="Arial"/>
                      <w:b/>
                      <w:sz w:val="20"/>
                    </w:rPr>
                    <w:t>TOTAL:</w:t>
                  </w:r>
                </w:p>
              </w:tc>
              <w:tc>
                <w:tcPr>
                  <w:tcW w:w="1299" w:type="dxa"/>
                  <w:shd w:val="clear" w:color="auto" w:fill="D9D9D9" w:themeFill="background1" w:themeFillShade="D9"/>
                </w:tcPr>
                <w:p w14:paraId="61733D2A" w14:textId="77777777" w:rsidR="00F22934" w:rsidRPr="00426CB3" w:rsidRDefault="00072D44" w:rsidP="00657E32">
                  <w:pPr>
                    <w:rPr>
                      <w:rFonts w:cs="Arial"/>
                      <w:b/>
                      <w:sz w:val="20"/>
                    </w:rPr>
                  </w:pPr>
                  <w:r w:rsidRPr="00426CB3">
                    <w:rPr>
                      <w:rFonts w:cs="Arial"/>
                      <w:b/>
                      <w:sz w:val="20"/>
                    </w:rPr>
                    <w:t>£2,678</w:t>
                  </w:r>
                  <w:r w:rsidR="00F22934" w:rsidRPr="00426CB3">
                    <w:rPr>
                      <w:rFonts w:cs="Arial"/>
                      <w:b/>
                      <w:sz w:val="20"/>
                    </w:rPr>
                    <w:t>,</w:t>
                  </w:r>
                  <w:r w:rsidR="003D2BC8" w:rsidRPr="00426CB3">
                    <w:rPr>
                      <w:rFonts w:cs="Arial"/>
                      <w:b/>
                      <w:sz w:val="20"/>
                    </w:rPr>
                    <w:t>0</w:t>
                  </w:r>
                  <w:r w:rsidR="00F22934" w:rsidRPr="00426CB3">
                    <w:rPr>
                      <w:rFonts w:cs="Arial"/>
                      <w:b/>
                      <w:sz w:val="20"/>
                    </w:rPr>
                    <w:t>00</w:t>
                  </w:r>
                </w:p>
              </w:tc>
            </w:tr>
          </w:tbl>
          <w:p w14:paraId="61733D2C" w14:textId="77777777" w:rsidR="00F22934" w:rsidRPr="004B051A" w:rsidRDefault="00F22934" w:rsidP="00F22934">
            <w:pPr>
              <w:rPr>
                <w:rFonts w:cs="Arial"/>
                <w:color w:val="1F497D" w:themeColor="text2"/>
              </w:rPr>
            </w:pPr>
          </w:p>
          <w:p w14:paraId="61733D2D" w14:textId="77777777" w:rsidR="00F22934" w:rsidRDefault="00F22934" w:rsidP="00F22934">
            <w:pPr>
              <w:rPr>
                <w:rFonts w:cs="Arial"/>
                <w:b/>
                <w:color w:val="1F497D" w:themeColor="text2"/>
              </w:rPr>
            </w:pPr>
          </w:p>
          <w:p w14:paraId="61733D2E" w14:textId="77777777" w:rsidR="00717214" w:rsidRDefault="00717214" w:rsidP="00F22934">
            <w:pPr>
              <w:rPr>
                <w:rFonts w:cs="Arial"/>
                <w:b/>
                <w:color w:val="1F497D" w:themeColor="text2"/>
              </w:rPr>
            </w:pPr>
          </w:p>
          <w:p w14:paraId="61733D2F" w14:textId="77777777" w:rsidR="00717214" w:rsidRDefault="00717214" w:rsidP="00F22934">
            <w:pPr>
              <w:rPr>
                <w:rFonts w:cs="Arial"/>
                <w:b/>
                <w:color w:val="1F497D" w:themeColor="text2"/>
              </w:rPr>
            </w:pPr>
          </w:p>
          <w:p w14:paraId="61733D30" w14:textId="77777777" w:rsidR="00E0293B" w:rsidRDefault="00E0293B" w:rsidP="00F22934">
            <w:pPr>
              <w:rPr>
                <w:rFonts w:cs="Arial"/>
                <w:b/>
                <w:color w:val="1F497D" w:themeColor="text2"/>
              </w:rPr>
            </w:pPr>
          </w:p>
          <w:p w14:paraId="61733D31" w14:textId="77777777" w:rsidR="00E0293B" w:rsidRDefault="00E0293B" w:rsidP="00F22934">
            <w:pPr>
              <w:rPr>
                <w:rFonts w:cs="Arial"/>
                <w:b/>
                <w:color w:val="1F497D" w:themeColor="text2"/>
              </w:rPr>
            </w:pPr>
          </w:p>
          <w:p w14:paraId="61733D32" w14:textId="77777777" w:rsidR="00E0293B" w:rsidRDefault="00E0293B" w:rsidP="00F22934">
            <w:pPr>
              <w:rPr>
                <w:rFonts w:cs="Arial"/>
                <w:b/>
                <w:color w:val="1F497D" w:themeColor="text2"/>
              </w:rPr>
            </w:pPr>
          </w:p>
          <w:p w14:paraId="61733D33" w14:textId="77777777" w:rsidR="00E0293B" w:rsidRDefault="00E0293B" w:rsidP="00F22934">
            <w:pPr>
              <w:rPr>
                <w:rFonts w:cs="Arial"/>
                <w:b/>
                <w:color w:val="1F497D" w:themeColor="text2"/>
              </w:rPr>
            </w:pPr>
          </w:p>
          <w:p w14:paraId="61733D34" w14:textId="77777777" w:rsidR="00E0293B" w:rsidRDefault="00E0293B" w:rsidP="00F22934">
            <w:pPr>
              <w:rPr>
                <w:rFonts w:cs="Arial"/>
                <w:b/>
                <w:color w:val="1F497D" w:themeColor="text2"/>
              </w:rPr>
            </w:pPr>
          </w:p>
          <w:p w14:paraId="6181A5CE" w14:textId="77777777" w:rsidR="00426CB3" w:rsidRDefault="00426CB3" w:rsidP="00F22934">
            <w:pPr>
              <w:rPr>
                <w:rFonts w:cs="Arial"/>
                <w:b/>
                <w:color w:val="1F497D" w:themeColor="text2"/>
              </w:rPr>
            </w:pPr>
          </w:p>
          <w:p w14:paraId="61733D35" w14:textId="77777777" w:rsidR="00E0293B" w:rsidRPr="004B051A" w:rsidRDefault="00E0293B" w:rsidP="00F22934">
            <w:pPr>
              <w:rPr>
                <w:rFonts w:cs="Arial"/>
                <w:b/>
                <w:color w:val="1F497D" w:themeColor="text2"/>
              </w:rPr>
            </w:pPr>
          </w:p>
          <w:p w14:paraId="61733D36" w14:textId="0C38C99C" w:rsidR="00F22934" w:rsidRPr="00426CB3" w:rsidRDefault="001A124D" w:rsidP="00F22934">
            <w:pPr>
              <w:rPr>
                <w:rFonts w:cs="Arial"/>
                <w:b/>
              </w:rPr>
            </w:pPr>
            <w:r>
              <w:rPr>
                <w:rFonts w:cs="Arial"/>
                <w:b/>
              </w:rPr>
              <w:lastRenderedPageBreak/>
              <w:t xml:space="preserve">Strand 2: </w:t>
            </w:r>
            <w:r w:rsidR="00F22934" w:rsidRPr="00426CB3">
              <w:rPr>
                <w:rFonts w:cs="Arial"/>
                <w:b/>
              </w:rPr>
              <w:t xml:space="preserve">Intermediate / Higher Skills: </w:t>
            </w:r>
          </w:p>
          <w:p w14:paraId="61733D37" w14:textId="77777777" w:rsidR="00F22934" w:rsidRPr="00426CB3" w:rsidRDefault="00F22934" w:rsidP="00F22934">
            <w:pPr>
              <w:rPr>
                <w:rFonts w:cs="Arial"/>
              </w:rPr>
            </w:pPr>
          </w:p>
          <w:tbl>
            <w:tblPr>
              <w:tblStyle w:val="TableGrid"/>
              <w:tblW w:w="0" w:type="auto"/>
              <w:tblLayout w:type="fixed"/>
              <w:tblLook w:val="04A0" w:firstRow="1" w:lastRow="0" w:firstColumn="1" w:lastColumn="0" w:noHBand="0" w:noVBand="1"/>
            </w:tblPr>
            <w:tblGrid>
              <w:gridCol w:w="4815"/>
              <w:gridCol w:w="1276"/>
              <w:gridCol w:w="1771"/>
              <w:gridCol w:w="1229"/>
            </w:tblGrid>
            <w:tr w:rsidR="00426CB3" w:rsidRPr="00426CB3" w14:paraId="61733D3D" w14:textId="77777777" w:rsidTr="00657E32">
              <w:tc>
                <w:tcPr>
                  <w:tcW w:w="4815" w:type="dxa"/>
                  <w:tcBorders>
                    <w:bottom w:val="single" w:sz="4" w:space="0" w:color="auto"/>
                  </w:tcBorders>
                  <w:vAlign w:val="center"/>
                </w:tcPr>
                <w:p w14:paraId="61733D38" w14:textId="77777777" w:rsidR="00F22934" w:rsidRPr="00426CB3" w:rsidRDefault="00F22934" w:rsidP="00657E32">
                  <w:pPr>
                    <w:jc w:val="center"/>
                    <w:rPr>
                      <w:rFonts w:cs="Arial"/>
                    </w:rPr>
                  </w:pPr>
                  <w:r w:rsidRPr="00426CB3">
                    <w:rPr>
                      <w:b/>
                      <w:sz w:val="20"/>
                    </w:rPr>
                    <w:t>Description</w:t>
                  </w:r>
                </w:p>
              </w:tc>
              <w:tc>
                <w:tcPr>
                  <w:tcW w:w="1276" w:type="dxa"/>
                  <w:tcBorders>
                    <w:bottom w:val="single" w:sz="4" w:space="0" w:color="auto"/>
                  </w:tcBorders>
                  <w:vAlign w:val="center"/>
                </w:tcPr>
                <w:p w14:paraId="61733D39" w14:textId="77777777" w:rsidR="00F22934" w:rsidRPr="00426CB3" w:rsidRDefault="00F22934" w:rsidP="00657E32">
                  <w:pPr>
                    <w:jc w:val="center"/>
                    <w:rPr>
                      <w:rFonts w:cs="Arial"/>
                    </w:rPr>
                  </w:pPr>
                  <w:r w:rsidRPr="00426CB3">
                    <w:rPr>
                      <w:b/>
                      <w:sz w:val="20"/>
                    </w:rPr>
                    <w:t>Volumes</w:t>
                  </w:r>
                </w:p>
              </w:tc>
              <w:tc>
                <w:tcPr>
                  <w:tcW w:w="1771" w:type="dxa"/>
                  <w:tcBorders>
                    <w:bottom w:val="single" w:sz="4" w:space="0" w:color="auto"/>
                  </w:tcBorders>
                  <w:vAlign w:val="center"/>
                </w:tcPr>
                <w:p w14:paraId="61733D3A" w14:textId="77777777" w:rsidR="00F22934" w:rsidRPr="00426CB3" w:rsidRDefault="00F22934" w:rsidP="00657E32">
                  <w:pPr>
                    <w:jc w:val="center"/>
                    <w:rPr>
                      <w:b/>
                      <w:sz w:val="20"/>
                    </w:rPr>
                  </w:pPr>
                  <w:r w:rsidRPr="00426CB3">
                    <w:rPr>
                      <w:b/>
                      <w:sz w:val="20"/>
                    </w:rPr>
                    <w:t>Unit Cost Total</w:t>
                  </w:r>
                </w:p>
                <w:p w14:paraId="61733D3B" w14:textId="77777777" w:rsidR="00F22934" w:rsidRPr="00426CB3" w:rsidRDefault="00F22934" w:rsidP="00657E32">
                  <w:pPr>
                    <w:jc w:val="center"/>
                    <w:rPr>
                      <w:rFonts w:cs="Arial"/>
                    </w:rPr>
                  </w:pPr>
                  <w:r w:rsidRPr="00426CB3">
                    <w:rPr>
                      <w:b/>
                      <w:sz w:val="20"/>
                    </w:rPr>
                    <w:t>Value Average per Intervention</w:t>
                  </w:r>
                </w:p>
              </w:tc>
              <w:tc>
                <w:tcPr>
                  <w:tcW w:w="1229" w:type="dxa"/>
                  <w:tcBorders>
                    <w:bottom w:val="single" w:sz="4" w:space="0" w:color="auto"/>
                  </w:tcBorders>
                  <w:vAlign w:val="center"/>
                </w:tcPr>
                <w:p w14:paraId="61733D3C" w14:textId="77777777" w:rsidR="00F22934" w:rsidRPr="00426CB3" w:rsidRDefault="00F22934" w:rsidP="00657E32">
                  <w:pPr>
                    <w:jc w:val="center"/>
                    <w:rPr>
                      <w:rFonts w:cs="Arial"/>
                    </w:rPr>
                  </w:pPr>
                  <w:r w:rsidRPr="00426CB3">
                    <w:rPr>
                      <w:b/>
                      <w:sz w:val="20"/>
                    </w:rPr>
                    <w:t>£</w:t>
                  </w:r>
                </w:p>
              </w:tc>
            </w:tr>
            <w:tr w:rsidR="00426CB3" w:rsidRPr="00426CB3" w14:paraId="61733D42" w14:textId="77777777" w:rsidTr="00657E32">
              <w:tc>
                <w:tcPr>
                  <w:tcW w:w="4815" w:type="dxa"/>
                  <w:shd w:val="clear" w:color="auto" w:fill="D9D9D9" w:themeFill="background1" w:themeFillShade="D9"/>
                </w:tcPr>
                <w:p w14:paraId="61733D3E" w14:textId="77777777" w:rsidR="00F22934" w:rsidRPr="00426CB3" w:rsidRDefault="00F22934" w:rsidP="00657E32">
                  <w:pPr>
                    <w:rPr>
                      <w:rFonts w:cs="Arial"/>
                    </w:rPr>
                  </w:pPr>
                  <w:r w:rsidRPr="00426CB3">
                    <w:rPr>
                      <w:rFonts w:cs="Arial"/>
                      <w:sz w:val="20"/>
                    </w:rPr>
                    <w:t xml:space="preserve">ST01 Learner Assessment and Plan </w:t>
                  </w:r>
                </w:p>
              </w:tc>
              <w:tc>
                <w:tcPr>
                  <w:tcW w:w="1276" w:type="dxa"/>
                  <w:shd w:val="clear" w:color="auto" w:fill="D9D9D9" w:themeFill="background1" w:themeFillShade="D9"/>
                </w:tcPr>
                <w:p w14:paraId="61733D3F" w14:textId="77777777" w:rsidR="00F22934" w:rsidRPr="00426CB3" w:rsidRDefault="006558FC" w:rsidP="00657E32">
                  <w:pPr>
                    <w:jc w:val="center"/>
                    <w:rPr>
                      <w:rFonts w:cs="Arial"/>
                    </w:rPr>
                  </w:pPr>
                  <w:r w:rsidRPr="00426CB3">
                    <w:rPr>
                      <w:rFonts w:cs="Arial"/>
                      <w:sz w:val="20"/>
                    </w:rPr>
                    <w:t>18</w:t>
                  </w:r>
                  <w:r w:rsidR="00F22934" w:rsidRPr="00426CB3">
                    <w:rPr>
                      <w:rFonts w:cs="Arial"/>
                      <w:sz w:val="20"/>
                    </w:rPr>
                    <w:t>00</w:t>
                  </w:r>
                </w:p>
              </w:tc>
              <w:tc>
                <w:tcPr>
                  <w:tcW w:w="1771" w:type="dxa"/>
                  <w:shd w:val="clear" w:color="auto" w:fill="D9D9D9" w:themeFill="background1" w:themeFillShade="D9"/>
                </w:tcPr>
                <w:p w14:paraId="61733D40" w14:textId="77777777" w:rsidR="00F22934" w:rsidRPr="00426CB3" w:rsidRDefault="00F22934" w:rsidP="00657E32">
                  <w:pPr>
                    <w:jc w:val="center"/>
                    <w:rPr>
                      <w:rFonts w:cs="Arial"/>
                    </w:rPr>
                  </w:pPr>
                  <w:r w:rsidRPr="00426CB3">
                    <w:rPr>
                      <w:rFonts w:cs="Arial"/>
                      <w:sz w:val="20"/>
                    </w:rPr>
                    <w:t>50</w:t>
                  </w:r>
                </w:p>
              </w:tc>
              <w:tc>
                <w:tcPr>
                  <w:tcW w:w="1229" w:type="dxa"/>
                  <w:shd w:val="clear" w:color="auto" w:fill="D9D9D9" w:themeFill="background1" w:themeFillShade="D9"/>
                </w:tcPr>
                <w:p w14:paraId="61733D41" w14:textId="77777777" w:rsidR="00F22934" w:rsidRPr="00426CB3" w:rsidRDefault="006558FC" w:rsidP="00657E32">
                  <w:pPr>
                    <w:jc w:val="center"/>
                    <w:rPr>
                      <w:rFonts w:cs="Arial"/>
                    </w:rPr>
                  </w:pPr>
                  <w:r w:rsidRPr="00426CB3">
                    <w:rPr>
                      <w:rFonts w:cs="Arial"/>
                      <w:sz w:val="20"/>
                    </w:rPr>
                    <w:t>£9</w:t>
                  </w:r>
                  <w:r w:rsidR="00F22934" w:rsidRPr="00426CB3">
                    <w:rPr>
                      <w:rFonts w:cs="Arial"/>
                      <w:sz w:val="20"/>
                    </w:rPr>
                    <w:t>0,000</w:t>
                  </w:r>
                </w:p>
              </w:tc>
            </w:tr>
            <w:tr w:rsidR="00426CB3" w:rsidRPr="00426CB3" w14:paraId="61733D47" w14:textId="77777777" w:rsidTr="00657E32">
              <w:tc>
                <w:tcPr>
                  <w:tcW w:w="4815" w:type="dxa"/>
                  <w:tcBorders>
                    <w:bottom w:val="single" w:sz="4" w:space="0" w:color="auto"/>
                  </w:tcBorders>
                </w:tcPr>
                <w:p w14:paraId="61733D43" w14:textId="77777777" w:rsidR="00F22934" w:rsidRPr="00426CB3" w:rsidRDefault="00F22934" w:rsidP="00657E32">
                  <w:pPr>
                    <w:rPr>
                      <w:rFonts w:cs="Arial"/>
                    </w:rPr>
                  </w:pPr>
                  <w:r w:rsidRPr="00426CB3">
                    <w:rPr>
                      <w:rFonts w:cs="Arial"/>
                      <w:sz w:val="20"/>
                    </w:rPr>
                    <w:t>RQ01 Regulated Learning</w:t>
                  </w:r>
                </w:p>
              </w:tc>
              <w:tc>
                <w:tcPr>
                  <w:tcW w:w="1276" w:type="dxa"/>
                  <w:tcBorders>
                    <w:bottom w:val="single" w:sz="4" w:space="0" w:color="auto"/>
                  </w:tcBorders>
                </w:tcPr>
                <w:p w14:paraId="61733D44" w14:textId="7AA1C917" w:rsidR="00F22934" w:rsidRPr="00426CB3" w:rsidRDefault="00F22934" w:rsidP="00657E32">
                  <w:pPr>
                    <w:jc w:val="center"/>
                    <w:rPr>
                      <w:rFonts w:cs="Arial"/>
                    </w:rPr>
                  </w:pPr>
                </w:p>
              </w:tc>
              <w:tc>
                <w:tcPr>
                  <w:tcW w:w="1771" w:type="dxa"/>
                  <w:tcBorders>
                    <w:bottom w:val="single" w:sz="4" w:space="0" w:color="auto"/>
                  </w:tcBorders>
                </w:tcPr>
                <w:p w14:paraId="61733D45" w14:textId="712DFDFA" w:rsidR="00F22934" w:rsidRPr="00426CB3" w:rsidRDefault="00F22934" w:rsidP="00657E32">
                  <w:pPr>
                    <w:jc w:val="center"/>
                    <w:rPr>
                      <w:rFonts w:cs="Arial"/>
                    </w:rPr>
                  </w:pPr>
                </w:p>
              </w:tc>
              <w:tc>
                <w:tcPr>
                  <w:tcW w:w="1229" w:type="dxa"/>
                  <w:tcBorders>
                    <w:bottom w:val="single" w:sz="4" w:space="0" w:color="auto"/>
                  </w:tcBorders>
                </w:tcPr>
                <w:p w14:paraId="61733D46" w14:textId="77777777" w:rsidR="00F22934" w:rsidRPr="00426CB3" w:rsidRDefault="00D0739B" w:rsidP="00657E32">
                  <w:pPr>
                    <w:jc w:val="center"/>
                    <w:rPr>
                      <w:rFonts w:cs="Arial"/>
                    </w:rPr>
                  </w:pPr>
                  <w:r w:rsidRPr="00426CB3">
                    <w:rPr>
                      <w:rFonts w:cs="Arial"/>
                      <w:sz w:val="20"/>
                    </w:rPr>
                    <w:t>£1,147</w:t>
                  </w:r>
                  <w:r w:rsidR="006558FC" w:rsidRPr="00426CB3">
                    <w:rPr>
                      <w:rFonts w:cs="Arial"/>
                      <w:sz w:val="20"/>
                    </w:rPr>
                    <w:t>,</w:t>
                  </w:r>
                  <w:r w:rsidRPr="00426CB3">
                    <w:rPr>
                      <w:rFonts w:cs="Arial"/>
                      <w:sz w:val="20"/>
                    </w:rPr>
                    <w:t>5</w:t>
                  </w:r>
                  <w:r w:rsidR="00F22934" w:rsidRPr="00426CB3">
                    <w:rPr>
                      <w:rFonts w:cs="Arial"/>
                      <w:sz w:val="20"/>
                    </w:rPr>
                    <w:t>00</w:t>
                  </w:r>
                </w:p>
              </w:tc>
            </w:tr>
            <w:tr w:rsidR="00426CB3" w:rsidRPr="00426CB3" w14:paraId="61733D4C" w14:textId="77777777" w:rsidTr="00657E32">
              <w:tc>
                <w:tcPr>
                  <w:tcW w:w="4815" w:type="dxa"/>
                  <w:shd w:val="clear" w:color="auto" w:fill="D9D9D9" w:themeFill="background1" w:themeFillShade="D9"/>
                </w:tcPr>
                <w:p w14:paraId="61733D48" w14:textId="77777777" w:rsidR="00F22934" w:rsidRPr="00426CB3" w:rsidRDefault="00F22934" w:rsidP="00657E32">
                  <w:pPr>
                    <w:rPr>
                      <w:rFonts w:cs="Arial"/>
                    </w:rPr>
                  </w:pPr>
                  <w:r w:rsidRPr="00426CB3">
                    <w:rPr>
                      <w:rFonts w:cs="Arial"/>
                      <w:sz w:val="20"/>
                    </w:rPr>
                    <w:t>NR01 Non Regulated Activity</w:t>
                  </w:r>
                </w:p>
              </w:tc>
              <w:tc>
                <w:tcPr>
                  <w:tcW w:w="1276" w:type="dxa"/>
                  <w:shd w:val="clear" w:color="auto" w:fill="D9D9D9" w:themeFill="background1" w:themeFillShade="D9"/>
                </w:tcPr>
                <w:p w14:paraId="61733D49" w14:textId="399E1C8D" w:rsidR="00F22934" w:rsidRPr="00426CB3" w:rsidRDefault="00F22934" w:rsidP="00657E32">
                  <w:pPr>
                    <w:jc w:val="center"/>
                    <w:rPr>
                      <w:rFonts w:cs="Arial"/>
                    </w:rPr>
                  </w:pPr>
                </w:p>
              </w:tc>
              <w:tc>
                <w:tcPr>
                  <w:tcW w:w="1771" w:type="dxa"/>
                  <w:shd w:val="clear" w:color="auto" w:fill="D9D9D9" w:themeFill="background1" w:themeFillShade="D9"/>
                </w:tcPr>
                <w:p w14:paraId="61733D4A" w14:textId="15407CDF" w:rsidR="00F22934" w:rsidRPr="00426CB3" w:rsidRDefault="00F22934" w:rsidP="00657E32">
                  <w:pPr>
                    <w:jc w:val="center"/>
                    <w:rPr>
                      <w:rFonts w:cs="Arial"/>
                    </w:rPr>
                  </w:pPr>
                </w:p>
              </w:tc>
              <w:tc>
                <w:tcPr>
                  <w:tcW w:w="1229" w:type="dxa"/>
                  <w:shd w:val="clear" w:color="auto" w:fill="D9D9D9" w:themeFill="background1" w:themeFillShade="D9"/>
                </w:tcPr>
                <w:p w14:paraId="61733D4B" w14:textId="77777777" w:rsidR="00F22934" w:rsidRPr="00426CB3" w:rsidRDefault="00D0739B" w:rsidP="00657E32">
                  <w:pPr>
                    <w:jc w:val="center"/>
                    <w:rPr>
                      <w:rFonts w:cs="Arial"/>
                    </w:rPr>
                  </w:pPr>
                  <w:r w:rsidRPr="00426CB3">
                    <w:rPr>
                      <w:rFonts w:cs="Arial"/>
                      <w:sz w:val="20"/>
                    </w:rPr>
                    <w:t>£8</w:t>
                  </w:r>
                  <w:r w:rsidR="006558FC" w:rsidRPr="00426CB3">
                    <w:rPr>
                      <w:rFonts w:cs="Arial"/>
                      <w:sz w:val="20"/>
                    </w:rPr>
                    <w:t>0</w:t>
                  </w:r>
                  <w:r w:rsidR="00F22934" w:rsidRPr="00426CB3">
                    <w:rPr>
                      <w:rFonts w:cs="Arial"/>
                      <w:sz w:val="20"/>
                    </w:rPr>
                    <w:t>0,000</w:t>
                  </w:r>
                </w:p>
              </w:tc>
            </w:tr>
            <w:tr w:rsidR="00426CB3" w:rsidRPr="00426CB3" w14:paraId="61733D51" w14:textId="77777777" w:rsidTr="00657E32">
              <w:tc>
                <w:tcPr>
                  <w:tcW w:w="4815" w:type="dxa"/>
                  <w:tcBorders>
                    <w:bottom w:val="single" w:sz="4" w:space="0" w:color="auto"/>
                  </w:tcBorders>
                </w:tcPr>
                <w:p w14:paraId="61733D4D" w14:textId="77777777" w:rsidR="00F22934" w:rsidRPr="00426CB3" w:rsidRDefault="00F22934" w:rsidP="00657E32">
                  <w:pPr>
                    <w:rPr>
                      <w:rFonts w:cs="Arial"/>
                    </w:rPr>
                  </w:pPr>
                  <w:r w:rsidRPr="00426CB3">
                    <w:rPr>
                      <w:rFonts w:cs="Arial"/>
                      <w:sz w:val="20"/>
                    </w:rPr>
                    <w:t>SD01 SME Engagement &amp; Training Needs Analysis</w:t>
                  </w:r>
                </w:p>
              </w:tc>
              <w:tc>
                <w:tcPr>
                  <w:tcW w:w="1276" w:type="dxa"/>
                  <w:tcBorders>
                    <w:bottom w:val="single" w:sz="4" w:space="0" w:color="auto"/>
                  </w:tcBorders>
                </w:tcPr>
                <w:p w14:paraId="61733D4E" w14:textId="77777777" w:rsidR="00F22934" w:rsidRPr="00426CB3" w:rsidRDefault="006558FC" w:rsidP="00657E32">
                  <w:pPr>
                    <w:jc w:val="center"/>
                    <w:rPr>
                      <w:rFonts w:cs="Arial"/>
                    </w:rPr>
                  </w:pPr>
                  <w:r w:rsidRPr="00426CB3">
                    <w:rPr>
                      <w:rFonts w:cs="Arial"/>
                      <w:sz w:val="20"/>
                    </w:rPr>
                    <w:t>55</w:t>
                  </w:r>
                  <w:r w:rsidR="00F22934" w:rsidRPr="00426CB3">
                    <w:rPr>
                      <w:rFonts w:cs="Arial"/>
                      <w:sz w:val="20"/>
                    </w:rPr>
                    <w:t>0</w:t>
                  </w:r>
                </w:p>
              </w:tc>
              <w:tc>
                <w:tcPr>
                  <w:tcW w:w="1771" w:type="dxa"/>
                  <w:tcBorders>
                    <w:bottom w:val="single" w:sz="4" w:space="0" w:color="auto"/>
                  </w:tcBorders>
                </w:tcPr>
                <w:p w14:paraId="61733D4F" w14:textId="77777777" w:rsidR="00F22934" w:rsidRPr="00426CB3" w:rsidRDefault="00F22934" w:rsidP="00657E32">
                  <w:pPr>
                    <w:jc w:val="center"/>
                    <w:rPr>
                      <w:rFonts w:cs="Arial"/>
                    </w:rPr>
                  </w:pPr>
                  <w:r w:rsidRPr="00426CB3">
                    <w:rPr>
                      <w:rFonts w:cs="Arial"/>
                      <w:sz w:val="20"/>
                    </w:rPr>
                    <w:t>100</w:t>
                  </w:r>
                </w:p>
              </w:tc>
              <w:tc>
                <w:tcPr>
                  <w:tcW w:w="1229" w:type="dxa"/>
                  <w:tcBorders>
                    <w:bottom w:val="single" w:sz="4" w:space="0" w:color="auto"/>
                  </w:tcBorders>
                </w:tcPr>
                <w:p w14:paraId="61733D50" w14:textId="77777777" w:rsidR="00F22934" w:rsidRPr="00426CB3" w:rsidRDefault="00F22934" w:rsidP="00657E32">
                  <w:pPr>
                    <w:jc w:val="center"/>
                    <w:rPr>
                      <w:rFonts w:cs="Arial"/>
                    </w:rPr>
                  </w:pPr>
                  <w:r w:rsidRPr="00426CB3">
                    <w:rPr>
                      <w:rFonts w:cs="Arial"/>
                      <w:sz w:val="20"/>
                    </w:rPr>
                    <w:t>£</w:t>
                  </w:r>
                  <w:r w:rsidR="006558FC" w:rsidRPr="00426CB3">
                    <w:rPr>
                      <w:rFonts w:cs="Arial"/>
                      <w:sz w:val="20"/>
                    </w:rPr>
                    <w:t>55</w:t>
                  </w:r>
                  <w:r w:rsidRPr="00426CB3">
                    <w:rPr>
                      <w:rFonts w:cs="Arial"/>
                      <w:sz w:val="20"/>
                    </w:rPr>
                    <w:t>,000</w:t>
                  </w:r>
                </w:p>
              </w:tc>
            </w:tr>
            <w:tr w:rsidR="00426CB3" w:rsidRPr="00426CB3" w14:paraId="61733D56" w14:textId="77777777" w:rsidTr="00657E32">
              <w:tc>
                <w:tcPr>
                  <w:tcW w:w="4815" w:type="dxa"/>
                  <w:shd w:val="clear" w:color="auto" w:fill="D9D9D9" w:themeFill="background1" w:themeFillShade="D9"/>
                </w:tcPr>
                <w:p w14:paraId="61733D52" w14:textId="77777777" w:rsidR="00F22934" w:rsidRPr="00426CB3" w:rsidRDefault="00F22934" w:rsidP="00657E32">
                  <w:pPr>
                    <w:rPr>
                      <w:rFonts w:cs="Arial"/>
                    </w:rPr>
                  </w:pPr>
                  <w:r w:rsidRPr="00426CB3">
                    <w:rPr>
                      <w:rFonts w:cs="Arial"/>
                      <w:sz w:val="20"/>
                    </w:rPr>
                    <w:t>SD02 Progression within work</w:t>
                  </w:r>
                </w:p>
              </w:tc>
              <w:tc>
                <w:tcPr>
                  <w:tcW w:w="1276" w:type="dxa"/>
                  <w:shd w:val="clear" w:color="auto" w:fill="D9D9D9" w:themeFill="background1" w:themeFillShade="D9"/>
                </w:tcPr>
                <w:p w14:paraId="61733D53" w14:textId="77777777" w:rsidR="00F22934" w:rsidRPr="00426CB3" w:rsidRDefault="006558FC" w:rsidP="00657E32">
                  <w:pPr>
                    <w:jc w:val="center"/>
                    <w:rPr>
                      <w:rFonts w:cs="Arial"/>
                    </w:rPr>
                  </w:pPr>
                  <w:r w:rsidRPr="00426CB3">
                    <w:rPr>
                      <w:rFonts w:cs="Arial"/>
                      <w:sz w:val="20"/>
                    </w:rPr>
                    <w:t>4</w:t>
                  </w:r>
                  <w:r w:rsidR="00F22934" w:rsidRPr="00426CB3">
                    <w:rPr>
                      <w:rFonts w:cs="Arial"/>
                      <w:sz w:val="20"/>
                    </w:rPr>
                    <w:t>50</w:t>
                  </w:r>
                </w:p>
              </w:tc>
              <w:tc>
                <w:tcPr>
                  <w:tcW w:w="1771" w:type="dxa"/>
                  <w:shd w:val="clear" w:color="auto" w:fill="D9D9D9" w:themeFill="background1" w:themeFillShade="D9"/>
                </w:tcPr>
                <w:p w14:paraId="61733D54" w14:textId="77777777" w:rsidR="00F22934" w:rsidRPr="00426CB3" w:rsidRDefault="00F22934" w:rsidP="00657E32">
                  <w:pPr>
                    <w:jc w:val="center"/>
                    <w:rPr>
                      <w:rFonts w:cs="Arial"/>
                    </w:rPr>
                  </w:pPr>
                  <w:r w:rsidRPr="00426CB3">
                    <w:rPr>
                      <w:rFonts w:cs="Arial"/>
                      <w:sz w:val="20"/>
                    </w:rPr>
                    <w:t>400</w:t>
                  </w:r>
                </w:p>
              </w:tc>
              <w:tc>
                <w:tcPr>
                  <w:tcW w:w="1229" w:type="dxa"/>
                  <w:shd w:val="clear" w:color="auto" w:fill="D9D9D9" w:themeFill="background1" w:themeFillShade="D9"/>
                </w:tcPr>
                <w:p w14:paraId="61733D55" w14:textId="77777777" w:rsidR="00F22934" w:rsidRPr="00426CB3" w:rsidRDefault="006558FC" w:rsidP="00657E32">
                  <w:pPr>
                    <w:jc w:val="center"/>
                    <w:rPr>
                      <w:rFonts w:cs="Arial"/>
                    </w:rPr>
                  </w:pPr>
                  <w:r w:rsidRPr="00426CB3">
                    <w:rPr>
                      <w:rFonts w:cs="Arial"/>
                      <w:sz w:val="20"/>
                    </w:rPr>
                    <w:t>£180</w:t>
                  </w:r>
                  <w:r w:rsidR="00F22934" w:rsidRPr="00426CB3">
                    <w:rPr>
                      <w:rFonts w:cs="Arial"/>
                      <w:sz w:val="20"/>
                    </w:rPr>
                    <w:t>,000</w:t>
                  </w:r>
                </w:p>
              </w:tc>
            </w:tr>
            <w:tr w:rsidR="00426CB3" w:rsidRPr="00426CB3" w14:paraId="61733D5B" w14:textId="77777777" w:rsidTr="00657E32">
              <w:tc>
                <w:tcPr>
                  <w:tcW w:w="4815" w:type="dxa"/>
                </w:tcPr>
                <w:p w14:paraId="61733D57" w14:textId="77777777" w:rsidR="00F22934" w:rsidRPr="00426CB3" w:rsidRDefault="00F22934" w:rsidP="00657E32">
                  <w:pPr>
                    <w:rPr>
                      <w:rFonts w:cs="Arial"/>
                    </w:rPr>
                  </w:pPr>
                  <w:r w:rsidRPr="00426CB3">
                    <w:rPr>
                      <w:rFonts w:cs="Arial"/>
                      <w:sz w:val="20"/>
                    </w:rPr>
                    <w:t>PG03 Progression Education</w:t>
                  </w:r>
                </w:p>
              </w:tc>
              <w:tc>
                <w:tcPr>
                  <w:tcW w:w="1276" w:type="dxa"/>
                </w:tcPr>
                <w:p w14:paraId="61733D58" w14:textId="77777777" w:rsidR="00F22934" w:rsidRPr="00426CB3" w:rsidRDefault="006558FC" w:rsidP="00657E32">
                  <w:pPr>
                    <w:jc w:val="center"/>
                    <w:rPr>
                      <w:rFonts w:cs="Arial"/>
                    </w:rPr>
                  </w:pPr>
                  <w:r w:rsidRPr="00426CB3">
                    <w:rPr>
                      <w:rFonts w:cs="Arial"/>
                      <w:sz w:val="20"/>
                    </w:rPr>
                    <w:t>450</w:t>
                  </w:r>
                </w:p>
              </w:tc>
              <w:tc>
                <w:tcPr>
                  <w:tcW w:w="1771" w:type="dxa"/>
                </w:tcPr>
                <w:p w14:paraId="61733D59" w14:textId="77777777" w:rsidR="00F22934" w:rsidRPr="00426CB3" w:rsidRDefault="00F22934" w:rsidP="00657E32">
                  <w:pPr>
                    <w:jc w:val="center"/>
                    <w:rPr>
                      <w:rFonts w:cs="Arial"/>
                    </w:rPr>
                  </w:pPr>
                  <w:r w:rsidRPr="00426CB3">
                    <w:rPr>
                      <w:rFonts w:cs="Arial"/>
                      <w:sz w:val="20"/>
                    </w:rPr>
                    <w:t>400</w:t>
                  </w:r>
                </w:p>
              </w:tc>
              <w:tc>
                <w:tcPr>
                  <w:tcW w:w="1229" w:type="dxa"/>
                </w:tcPr>
                <w:p w14:paraId="61733D5A" w14:textId="77777777" w:rsidR="00F22934" w:rsidRPr="00426CB3" w:rsidRDefault="006558FC" w:rsidP="00657E32">
                  <w:pPr>
                    <w:jc w:val="center"/>
                    <w:rPr>
                      <w:rFonts w:cs="Arial"/>
                    </w:rPr>
                  </w:pPr>
                  <w:r w:rsidRPr="00426CB3">
                    <w:rPr>
                      <w:rFonts w:cs="Arial"/>
                      <w:sz w:val="20"/>
                    </w:rPr>
                    <w:t>£18</w:t>
                  </w:r>
                  <w:r w:rsidR="00F22934" w:rsidRPr="00426CB3">
                    <w:rPr>
                      <w:rFonts w:cs="Arial"/>
                      <w:sz w:val="20"/>
                    </w:rPr>
                    <w:t>0,000</w:t>
                  </w:r>
                </w:p>
              </w:tc>
            </w:tr>
            <w:tr w:rsidR="00426CB3" w:rsidRPr="00426CB3" w14:paraId="61733D60" w14:textId="77777777" w:rsidTr="00657E32">
              <w:tc>
                <w:tcPr>
                  <w:tcW w:w="4815" w:type="dxa"/>
                  <w:shd w:val="clear" w:color="auto" w:fill="D9D9D9" w:themeFill="background1" w:themeFillShade="D9"/>
                </w:tcPr>
                <w:p w14:paraId="61733D5C" w14:textId="77777777" w:rsidR="00F22934" w:rsidRPr="00426CB3" w:rsidRDefault="00F22934" w:rsidP="00657E32">
                  <w:pPr>
                    <w:rPr>
                      <w:rFonts w:cs="Arial"/>
                      <w:sz w:val="20"/>
                    </w:rPr>
                  </w:pPr>
                  <w:r w:rsidRPr="00426CB3">
                    <w:rPr>
                      <w:rFonts w:cs="Arial"/>
                      <w:sz w:val="20"/>
                    </w:rPr>
                    <w:t>PG04 Progression Apprenticeship</w:t>
                  </w:r>
                </w:p>
              </w:tc>
              <w:tc>
                <w:tcPr>
                  <w:tcW w:w="1276" w:type="dxa"/>
                  <w:shd w:val="clear" w:color="auto" w:fill="D9D9D9" w:themeFill="background1" w:themeFillShade="D9"/>
                </w:tcPr>
                <w:p w14:paraId="61733D5D" w14:textId="77777777" w:rsidR="00F22934" w:rsidRPr="00426CB3" w:rsidRDefault="00BA7086" w:rsidP="00657E32">
                  <w:pPr>
                    <w:jc w:val="center"/>
                    <w:rPr>
                      <w:rFonts w:cs="Arial"/>
                      <w:sz w:val="20"/>
                    </w:rPr>
                  </w:pPr>
                  <w:r w:rsidRPr="00426CB3">
                    <w:rPr>
                      <w:rFonts w:cs="Arial"/>
                      <w:sz w:val="20"/>
                    </w:rPr>
                    <w:t>20</w:t>
                  </w:r>
                  <w:r w:rsidR="00F22934" w:rsidRPr="00426CB3">
                    <w:rPr>
                      <w:rFonts w:cs="Arial"/>
                      <w:sz w:val="20"/>
                    </w:rPr>
                    <w:t>0</w:t>
                  </w:r>
                </w:p>
              </w:tc>
              <w:tc>
                <w:tcPr>
                  <w:tcW w:w="1771" w:type="dxa"/>
                  <w:shd w:val="clear" w:color="auto" w:fill="D9D9D9" w:themeFill="background1" w:themeFillShade="D9"/>
                </w:tcPr>
                <w:p w14:paraId="61733D5E" w14:textId="77777777" w:rsidR="00F22934" w:rsidRPr="00426CB3" w:rsidRDefault="00F22934" w:rsidP="00657E32">
                  <w:pPr>
                    <w:jc w:val="center"/>
                    <w:rPr>
                      <w:rFonts w:cs="Arial"/>
                      <w:sz w:val="20"/>
                    </w:rPr>
                  </w:pPr>
                  <w:r w:rsidRPr="00426CB3">
                    <w:rPr>
                      <w:rFonts w:cs="Arial"/>
                      <w:sz w:val="20"/>
                    </w:rPr>
                    <w:t>400</w:t>
                  </w:r>
                </w:p>
              </w:tc>
              <w:tc>
                <w:tcPr>
                  <w:tcW w:w="1229" w:type="dxa"/>
                  <w:shd w:val="clear" w:color="auto" w:fill="D9D9D9" w:themeFill="background1" w:themeFillShade="D9"/>
                </w:tcPr>
                <w:p w14:paraId="61733D5F" w14:textId="77777777" w:rsidR="00F22934" w:rsidRPr="00426CB3" w:rsidRDefault="00BA7086" w:rsidP="00657E32">
                  <w:pPr>
                    <w:jc w:val="center"/>
                    <w:rPr>
                      <w:rFonts w:cs="Arial"/>
                      <w:sz w:val="20"/>
                    </w:rPr>
                  </w:pPr>
                  <w:r w:rsidRPr="00426CB3">
                    <w:rPr>
                      <w:rFonts w:cs="Arial"/>
                      <w:sz w:val="20"/>
                    </w:rPr>
                    <w:t>£80</w:t>
                  </w:r>
                  <w:r w:rsidR="00F22934" w:rsidRPr="00426CB3">
                    <w:rPr>
                      <w:rFonts w:cs="Arial"/>
                      <w:sz w:val="20"/>
                    </w:rPr>
                    <w:t>,000</w:t>
                  </w:r>
                </w:p>
              </w:tc>
            </w:tr>
            <w:tr w:rsidR="00426CB3" w:rsidRPr="00426CB3" w14:paraId="61733D65" w14:textId="77777777" w:rsidTr="00657E32">
              <w:tc>
                <w:tcPr>
                  <w:tcW w:w="4815" w:type="dxa"/>
                  <w:tcBorders>
                    <w:bottom w:val="single" w:sz="4" w:space="0" w:color="auto"/>
                  </w:tcBorders>
                </w:tcPr>
                <w:p w14:paraId="61733D61" w14:textId="77777777" w:rsidR="00F22934" w:rsidRPr="00426CB3" w:rsidRDefault="00F22934" w:rsidP="00657E32">
                  <w:pPr>
                    <w:rPr>
                      <w:rFonts w:cs="Arial"/>
                      <w:sz w:val="20"/>
                    </w:rPr>
                  </w:pPr>
                  <w:r w:rsidRPr="00426CB3">
                    <w:rPr>
                      <w:rFonts w:cs="Arial"/>
                      <w:sz w:val="20"/>
                    </w:rPr>
                    <w:t>SU03 Sustained Education 3 Months</w:t>
                  </w:r>
                </w:p>
              </w:tc>
              <w:tc>
                <w:tcPr>
                  <w:tcW w:w="1276" w:type="dxa"/>
                  <w:tcBorders>
                    <w:bottom w:val="single" w:sz="4" w:space="0" w:color="auto"/>
                  </w:tcBorders>
                </w:tcPr>
                <w:p w14:paraId="61733D62" w14:textId="77777777" w:rsidR="00F22934" w:rsidRPr="00426CB3" w:rsidRDefault="00BA7086" w:rsidP="00657E32">
                  <w:pPr>
                    <w:jc w:val="center"/>
                    <w:rPr>
                      <w:rFonts w:cs="Arial"/>
                      <w:sz w:val="20"/>
                    </w:rPr>
                  </w:pPr>
                  <w:r w:rsidRPr="00426CB3">
                    <w:rPr>
                      <w:rFonts w:cs="Arial"/>
                      <w:sz w:val="20"/>
                    </w:rPr>
                    <w:t>36</w:t>
                  </w:r>
                  <w:r w:rsidR="00F22934" w:rsidRPr="00426CB3">
                    <w:rPr>
                      <w:rFonts w:cs="Arial"/>
                      <w:sz w:val="20"/>
                    </w:rPr>
                    <w:t>0</w:t>
                  </w:r>
                </w:p>
              </w:tc>
              <w:tc>
                <w:tcPr>
                  <w:tcW w:w="1771" w:type="dxa"/>
                  <w:tcBorders>
                    <w:bottom w:val="single" w:sz="4" w:space="0" w:color="auto"/>
                  </w:tcBorders>
                </w:tcPr>
                <w:p w14:paraId="61733D63" w14:textId="77777777" w:rsidR="00F22934" w:rsidRPr="00426CB3" w:rsidRDefault="00F22934" w:rsidP="00657E32">
                  <w:pPr>
                    <w:jc w:val="center"/>
                    <w:rPr>
                      <w:rFonts w:cs="Arial"/>
                      <w:sz w:val="20"/>
                    </w:rPr>
                  </w:pPr>
                  <w:r w:rsidRPr="00426CB3">
                    <w:rPr>
                      <w:rFonts w:cs="Arial"/>
                      <w:sz w:val="20"/>
                    </w:rPr>
                    <w:t>220</w:t>
                  </w:r>
                </w:p>
              </w:tc>
              <w:tc>
                <w:tcPr>
                  <w:tcW w:w="1229" w:type="dxa"/>
                  <w:tcBorders>
                    <w:bottom w:val="single" w:sz="4" w:space="0" w:color="auto"/>
                  </w:tcBorders>
                </w:tcPr>
                <w:p w14:paraId="61733D64" w14:textId="77777777" w:rsidR="00F22934" w:rsidRPr="00426CB3" w:rsidRDefault="00BA7086" w:rsidP="00657E32">
                  <w:pPr>
                    <w:jc w:val="center"/>
                    <w:rPr>
                      <w:rFonts w:cs="Arial"/>
                      <w:sz w:val="20"/>
                    </w:rPr>
                  </w:pPr>
                  <w:r w:rsidRPr="00426CB3">
                    <w:rPr>
                      <w:rFonts w:cs="Arial"/>
                      <w:sz w:val="20"/>
                    </w:rPr>
                    <w:t>£72</w:t>
                  </w:r>
                  <w:r w:rsidR="00F22934" w:rsidRPr="00426CB3">
                    <w:rPr>
                      <w:rFonts w:cs="Arial"/>
                      <w:sz w:val="20"/>
                    </w:rPr>
                    <w:t>,000</w:t>
                  </w:r>
                </w:p>
              </w:tc>
            </w:tr>
            <w:tr w:rsidR="00426CB3" w:rsidRPr="00426CB3" w14:paraId="61733D6A" w14:textId="77777777" w:rsidTr="00657E32">
              <w:tc>
                <w:tcPr>
                  <w:tcW w:w="4815" w:type="dxa"/>
                  <w:shd w:val="clear" w:color="auto" w:fill="D9D9D9" w:themeFill="background1" w:themeFillShade="D9"/>
                </w:tcPr>
                <w:p w14:paraId="61733D66" w14:textId="77777777" w:rsidR="00F22934" w:rsidRPr="00426CB3" w:rsidRDefault="00F22934" w:rsidP="00657E32">
                  <w:pPr>
                    <w:rPr>
                      <w:rFonts w:cs="Arial"/>
                      <w:sz w:val="20"/>
                    </w:rPr>
                  </w:pPr>
                  <w:r w:rsidRPr="00426CB3">
                    <w:rPr>
                      <w:rFonts w:cs="Arial"/>
                      <w:sz w:val="20"/>
                    </w:rPr>
                    <w:t>SU04 Sustained Apprenticeship 3 Months</w:t>
                  </w:r>
                </w:p>
              </w:tc>
              <w:tc>
                <w:tcPr>
                  <w:tcW w:w="1276" w:type="dxa"/>
                  <w:shd w:val="clear" w:color="auto" w:fill="D9D9D9" w:themeFill="background1" w:themeFillShade="D9"/>
                </w:tcPr>
                <w:p w14:paraId="61733D67" w14:textId="77777777" w:rsidR="00F22934" w:rsidRPr="00426CB3" w:rsidRDefault="00F22934" w:rsidP="00657E32">
                  <w:pPr>
                    <w:jc w:val="center"/>
                    <w:rPr>
                      <w:rFonts w:cs="Arial"/>
                      <w:sz w:val="20"/>
                    </w:rPr>
                  </w:pPr>
                  <w:r w:rsidRPr="00426CB3">
                    <w:rPr>
                      <w:rFonts w:cs="Arial"/>
                      <w:sz w:val="20"/>
                    </w:rPr>
                    <w:t>1</w:t>
                  </w:r>
                  <w:r w:rsidR="003D2BC8" w:rsidRPr="00426CB3">
                    <w:rPr>
                      <w:rFonts w:cs="Arial"/>
                      <w:sz w:val="20"/>
                    </w:rPr>
                    <w:t>80</w:t>
                  </w:r>
                </w:p>
              </w:tc>
              <w:tc>
                <w:tcPr>
                  <w:tcW w:w="1771" w:type="dxa"/>
                  <w:shd w:val="clear" w:color="auto" w:fill="D9D9D9" w:themeFill="background1" w:themeFillShade="D9"/>
                </w:tcPr>
                <w:p w14:paraId="61733D68" w14:textId="77777777" w:rsidR="00F22934" w:rsidRPr="00426CB3" w:rsidRDefault="00F22934" w:rsidP="00657E32">
                  <w:pPr>
                    <w:jc w:val="center"/>
                    <w:rPr>
                      <w:rFonts w:cs="Arial"/>
                      <w:sz w:val="20"/>
                    </w:rPr>
                  </w:pPr>
                  <w:r w:rsidRPr="00426CB3">
                    <w:rPr>
                      <w:rFonts w:cs="Arial"/>
                      <w:sz w:val="20"/>
                    </w:rPr>
                    <w:t>200</w:t>
                  </w:r>
                </w:p>
              </w:tc>
              <w:tc>
                <w:tcPr>
                  <w:tcW w:w="1229" w:type="dxa"/>
                  <w:shd w:val="clear" w:color="auto" w:fill="D9D9D9" w:themeFill="background1" w:themeFillShade="D9"/>
                </w:tcPr>
                <w:p w14:paraId="61733D69" w14:textId="77777777" w:rsidR="00F22934" w:rsidRPr="00426CB3" w:rsidRDefault="003D2BC8" w:rsidP="00657E32">
                  <w:pPr>
                    <w:jc w:val="center"/>
                    <w:rPr>
                      <w:rFonts w:cs="Arial"/>
                      <w:sz w:val="20"/>
                    </w:rPr>
                  </w:pPr>
                  <w:r w:rsidRPr="00426CB3">
                    <w:rPr>
                      <w:rFonts w:cs="Arial"/>
                      <w:sz w:val="20"/>
                    </w:rPr>
                    <w:t>£36</w:t>
                  </w:r>
                  <w:r w:rsidR="00F22934" w:rsidRPr="00426CB3">
                    <w:rPr>
                      <w:rFonts w:cs="Arial"/>
                      <w:sz w:val="20"/>
                    </w:rPr>
                    <w:t>,000</w:t>
                  </w:r>
                </w:p>
              </w:tc>
            </w:tr>
            <w:tr w:rsidR="00426CB3" w:rsidRPr="00426CB3" w14:paraId="61733D6F" w14:textId="77777777" w:rsidTr="00657E32">
              <w:tc>
                <w:tcPr>
                  <w:tcW w:w="4815" w:type="dxa"/>
                  <w:tcBorders>
                    <w:bottom w:val="single" w:sz="4" w:space="0" w:color="auto"/>
                  </w:tcBorders>
                </w:tcPr>
                <w:p w14:paraId="61733D6B" w14:textId="77777777" w:rsidR="00F22934" w:rsidRPr="00426CB3" w:rsidRDefault="00F22934" w:rsidP="00657E32">
                  <w:pPr>
                    <w:rPr>
                      <w:rFonts w:cs="Arial"/>
                      <w:sz w:val="20"/>
                    </w:rPr>
                  </w:pPr>
                </w:p>
              </w:tc>
              <w:tc>
                <w:tcPr>
                  <w:tcW w:w="1276" w:type="dxa"/>
                  <w:tcBorders>
                    <w:bottom w:val="single" w:sz="4" w:space="0" w:color="auto"/>
                  </w:tcBorders>
                </w:tcPr>
                <w:p w14:paraId="61733D6C" w14:textId="77777777" w:rsidR="00F22934" w:rsidRPr="00426CB3" w:rsidRDefault="00F22934" w:rsidP="00657E32">
                  <w:pPr>
                    <w:jc w:val="center"/>
                    <w:rPr>
                      <w:rFonts w:cs="Arial"/>
                      <w:sz w:val="20"/>
                    </w:rPr>
                  </w:pPr>
                </w:p>
              </w:tc>
              <w:tc>
                <w:tcPr>
                  <w:tcW w:w="1771" w:type="dxa"/>
                  <w:tcBorders>
                    <w:bottom w:val="single" w:sz="4" w:space="0" w:color="auto"/>
                  </w:tcBorders>
                </w:tcPr>
                <w:p w14:paraId="61733D6D" w14:textId="77777777" w:rsidR="00F22934" w:rsidRPr="00426CB3" w:rsidRDefault="00F22934" w:rsidP="00657E32">
                  <w:pPr>
                    <w:jc w:val="center"/>
                    <w:rPr>
                      <w:rFonts w:cs="Arial"/>
                      <w:sz w:val="20"/>
                    </w:rPr>
                  </w:pPr>
                </w:p>
              </w:tc>
              <w:tc>
                <w:tcPr>
                  <w:tcW w:w="1229" w:type="dxa"/>
                  <w:tcBorders>
                    <w:bottom w:val="single" w:sz="4" w:space="0" w:color="auto"/>
                  </w:tcBorders>
                </w:tcPr>
                <w:p w14:paraId="61733D6E" w14:textId="77777777" w:rsidR="00F22934" w:rsidRPr="00426CB3" w:rsidRDefault="00F22934" w:rsidP="00657E32">
                  <w:pPr>
                    <w:jc w:val="center"/>
                    <w:rPr>
                      <w:rFonts w:cs="Arial"/>
                      <w:sz w:val="20"/>
                    </w:rPr>
                  </w:pPr>
                </w:p>
              </w:tc>
            </w:tr>
            <w:tr w:rsidR="00426CB3" w:rsidRPr="00426CB3" w14:paraId="61733D74" w14:textId="77777777" w:rsidTr="00657E32">
              <w:tc>
                <w:tcPr>
                  <w:tcW w:w="4815" w:type="dxa"/>
                  <w:shd w:val="clear" w:color="auto" w:fill="D9D9D9" w:themeFill="background1" w:themeFillShade="D9"/>
                </w:tcPr>
                <w:p w14:paraId="61733D70" w14:textId="77777777" w:rsidR="00F22934" w:rsidRPr="00426CB3" w:rsidRDefault="00F22934" w:rsidP="00657E32">
                  <w:pPr>
                    <w:rPr>
                      <w:rFonts w:cs="Arial"/>
                      <w:sz w:val="20"/>
                    </w:rPr>
                  </w:pPr>
                </w:p>
              </w:tc>
              <w:tc>
                <w:tcPr>
                  <w:tcW w:w="1276" w:type="dxa"/>
                  <w:shd w:val="clear" w:color="auto" w:fill="D9D9D9" w:themeFill="background1" w:themeFillShade="D9"/>
                </w:tcPr>
                <w:p w14:paraId="61733D71" w14:textId="77777777" w:rsidR="00F22934" w:rsidRPr="00426CB3" w:rsidRDefault="00F22934" w:rsidP="00657E32">
                  <w:pPr>
                    <w:jc w:val="center"/>
                    <w:rPr>
                      <w:rFonts w:cs="Arial"/>
                      <w:sz w:val="20"/>
                    </w:rPr>
                  </w:pPr>
                </w:p>
              </w:tc>
              <w:tc>
                <w:tcPr>
                  <w:tcW w:w="1771" w:type="dxa"/>
                  <w:shd w:val="clear" w:color="auto" w:fill="D9D9D9" w:themeFill="background1" w:themeFillShade="D9"/>
                </w:tcPr>
                <w:p w14:paraId="61733D72" w14:textId="77777777" w:rsidR="00F22934" w:rsidRPr="00426CB3" w:rsidRDefault="00F22934" w:rsidP="00657E32">
                  <w:pPr>
                    <w:jc w:val="center"/>
                    <w:rPr>
                      <w:rFonts w:cs="Arial"/>
                      <w:b/>
                      <w:sz w:val="20"/>
                    </w:rPr>
                  </w:pPr>
                  <w:r w:rsidRPr="00426CB3">
                    <w:rPr>
                      <w:rFonts w:cs="Arial"/>
                      <w:b/>
                      <w:sz w:val="20"/>
                    </w:rPr>
                    <w:t>TOTAL:</w:t>
                  </w:r>
                </w:p>
              </w:tc>
              <w:tc>
                <w:tcPr>
                  <w:tcW w:w="1229" w:type="dxa"/>
                  <w:shd w:val="clear" w:color="auto" w:fill="D9D9D9" w:themeFill="background1" w:themeFillShade="D9"/>
                </w:tcPr>
                <w:p w14:paraId="61733D73" w14:textId="77777777" w:rsidR="00F22934" w:rsidRPr="00426CB3" w:rsidRDefault="00BA7086" w:rsidP="00657E32">
                  <w:pPr>
                    <w:jc w:val="center"/>
                    <w:rPr>
                      <w:rFonts w:cs="Arial"/>
                      <w:b/>
                      <w:sz w:val="20"/>
                    </w:rPr>
                  </w:pPr>
                  <w:r w:rsidRPr="00426CB3">
                    <w:rPr>
                      <w:rFonts w:cs="Arial"/>
                      <w:b/>
                      <w:sz w:val="20"/>
                    </w:rPr>
                    <w:t>£2,</w:t>
                  </w:r>
                  <w:r w:rsidR="00D0739B" w:rsidRPr="00426CB3">
                    <w:rPr>
                      <w:rFonts w:cs="Arial"/>
                      <w:b/>
                      <w:sz w:val="20"/>
                    </w:rPr>
                    <w:t>640</w:t>
                  </w:r>
                  <w:r w:rsidR="00F22934" w:rsidRPr="00426CB3">
                    <w:rPr>
                      <w:rFonts w:cs="Arial"/>
                      <w:b/>
                      <w:sz w:val="20"/>
                    </w:rPr>
                    <w:t>,</w:t>
                  </w:r>
                  <w:r w:rsidR="00D0739B" w:rsidRPr="00426CB3">
                    <w:rPr>
                      <w:rFonts w:cs="Arial"/>
                      <w:b/>
                      <w:sz w:val="20"/>
                    </w:rPr>
                    <w:t>5</w:t>
                  </w:r>
                  <w:r w:rsidR="00F22934" w:rsidRPr="00426CB3">
                    <w:rPr>
                      <w:rFonts w:cs="Arial"/>
                      <w:b/>
                      <w:sz w:val="20"/>
                    </w:rPr>
                    <w:t>00</w:t>
                  </w:r>
                </w:p>
              </w:tc>
            </w:tr>
          </w:tbl>
          <w:p w14:paraId="61733D75" w14:textId="77777777" w:rsidR="00F22934" w:rsidRPr="004B051A" w:rsidRDefault="00F22934" w:rsidP="00F22934">
            <w:pPr>
              <w:rPr>
                <w:rFonts w:cs="Arial"/>
                <w:color w:val="1F497D" w:themeColor="text2"/>
              </w:rPr>
            </w:pPr>
          </w:p>
          <w:p w14:paraId="61733D76" w14:textId="77777777" w:rsidR="00F22934" w:rsidRPr="004B051A" w:rsidRDefault="00F22934" w:rsidP="00F22934">
            <w:pPr>
              <w:rPr>
                <w:rFonts w:cs="Arial"/>
                <w:color w:val="1F497D" w:themeColor="text2"/>
              </w:rPr>
            </w:pPr>
          </w:p>
          <w:p w14:paraId="61733D77" w14:textId="751EF999" w:rsidR="00F22934" w:rsidRPr="00426CB3" w:rsidRDefault="001A124D" w:rsidP="00F22934">
            <w:pPr>
              <w:rPr>
                <w:rFonts w:cs="Arial"/>
                <w:b/>
              </w:rPr>
            </w:pPr>
            <w:r>
              <w:rPr>
                <w:rFonts w:cs="Arial"/>
                <w:b/>
              </w:rPr>
              <w:t xml:space="preserve">Strand 3: </w:t>
            </w:r>
            <w:r w:rsidR="00F22934" w:rsidRPr="00426CB3">
              <w:rPr>
                <w:rFonts w:cs="Arial"/>
                <w:b/>
              </w:rPr>
              <w:t xml:space="preserve">Redundancy: </w:t>
            </w:r>
          </w:p>
          <w:p w14:paraId="61733D78" w14:textId="77777777" w:rsidR="00F22934" w:rsidRPr="00426CB3" w:rsidRDefault="00F22934" w:rsidP="00F22934">
            <w:pPr>
              <w:rPr>
                <w:rFonts w:cs="Arial"/>
              </w:rPr>
            </w:pPr>
          </w:p>
          <w:tbl>
            <w:tblPr>
              <w:tblStyle w:val="TableGrid"/>
              <w:tblW w:w="0" w:type="auto"/>
              <w:tblLayout w:type="fixed"/>
              <w:tblLook w:val="04A0" w:firstRow="1" w:lastRow="0" w:firstColumn="1" w:lastColumn="0" w:noHBand="0" w:noVBand="1"/>
            </w:tblPr>
            <w:tblGrid>
              <w:gridCol w:w="4815"/>
              <w:gridCol w:w="1276"/>
              <w:gridCol w:w="1771"/>
              <w:gridCol w:w="1229"/>
            </w:tblGrid>
            <w:tr w:rsidR="00426CB3" w:rsidRPr="00426CB3" w14:paraId="61733D7E" w14:textId="77777777" w:rsidTr="00657E32">
              <w:tc>
                <w:tcPr>
                  <w:tcW w:w="4815" w:type="dxa"/>
                  <w:tcBorders>
                    <w:bottom w:val="single" w:sz="4" w:space="0" w:color="auto"/>
                  </w:tcBorders>
                  <w:vAlign w:val="center"/>
                </w:tcPr>
                <w:p w14:paraId="61733D79" w14:textId="77777777" w:rsidR="00F22934" w:rsidRPr="00426CB3" w:rsidRDefault="00F22934" w:rsidP="00657E32">
                  <w:pPr>
                    <w:jc w:val="center"/>
                    <w:rPr>
                      <w:rFonts w:cs="Arial"/>
                    </w:rPr>
                  </w:pPr>
                  <w:r w:rsidRPr="00426CB3">
                    <w:rPr>
                      <w:b/>
                      <w:sz w:val="20"/>
                    </w:rPr>
                    <w:t>Description</w:t>
                  </w:r>
                </w:p>
              </w:tc>
              <w:tc>
                <w:tcPr>
                  <w:tcW w:w="1276" w:type="dxa"/>
                  <w:tcBorders>
                    <w:bottom w:val="single" w:sz="4" w:space="0" w:color="auto"/>
                  </w:tcBorders>
                  <w:vAlign w:val="center"/>
                </w:tcPr>
                <w:p w14:paraId="61733D7A" w14:textId="77777777" w:rsidR="00F22934" w:rsidRPr="00426CB3" w:rsidRDefault="00F22934" w:rsidP="00657E32">
                  <w:pPr>
                    <w:jc w:val="center"/>
                    <w:rPr>
                      <w:rFonts w:cs="Arial"/>
                    </w:rPr>
                  </w:pPr>
                  <w:r w:rsidRPr="00426CB3">
                    <w:rPr>
                      <w:b/>
                      <w:sz w:val="20"/>
                    </w:rPr>
                    <w:t>Volumes</w:t>
                  </w:r>
                </w:p>
              </w:tc>
              <w:tc>
                <w:tcPr>
                  <w:tcW w:w="1771" w:type="dxa"/>
                  <w:tcBorders>
                    <w:bottom w:val="single" w:sz="4" w:space="0" w:color="auto"/>
                  </w:tcBorders>
                  <w:vAlign w:val="center"/>
                </w:tcPr>
                <w:p w14:paraId="61733D7B" w14:textId="77777777" w:rsidR="00F22934" w:rsidRPr="00426CB3" w:rsidRDefault="00F22934" w:rsidP="00657E32">
                  <w:pPr>
                    <w:jc w:val="center"/>
                    <w:rPr>
                      <w:b/>
                      <w:sz w:val="20"/>
                    </w:rPr>
                  </w:pPr>
                  <w:r w:rsidRPr="00426CB3">
                    <w:rPr>
                      <w:b/>
                      <w:sz w:val="20"/>
                    </w:rPr>
                    <w:t>Unit Cost Total</w:t>
                  </w:r>
                </w:p>
                <w:p w14:paraId="61733D7C" w14:textId="77777777" w:rsidR="00F22934" w:rsidRPr="00426CB3" w:rsidRDefault="00F22934" w:rsidP="00657E32">
                  <w:pPr>
                    <w:jc w:val="center"/>
                    <w:rPr>
                      <w:rFonts w:cs="Arial"/>
                    </w:rPr>
                  </w:pPr>
                  <w:r w:rsidRPr="00426CB3">
                    <w:rPr>
                      <w:b/>
                      <w:sz w:val="20"/>
                    </w:rPr>
                    <w:t>Value Average per Intervention</w:t>
                  </w:r>
                </w:p>
              </w:tc>
              <w:tc>
                <w:tcPr>
                  <w:tcW w:w="1229" w:type="dxa"/>
                  <w:tcBorders>
                    <w:bottom w:val="single" w:sz="4" w:space="0" w:color="auto"/>
                  </w:tcBorders>
                  <w:vAlign w:val="center"/>
                </w:tcPr>
                <w:p w14:paraId="61733D7D" w14:textId="77777777" w:rsidR="00F22934" w:rsidRPr="00426CB3" w:rsidRDefault="00F22934" w:rsidP="00657E32">
                  <w:pPr>
                    <w:jc w:val="center"/>
                    <w:rPr>
                      <w:rFonts w:cs="Arial"/>
                    </w:rPr>
                  </w:pPr>
                  <w:r w:rsidRPr="00426CB3">
                    <w:rPr>
                      <w:b/>
                      <w:sz w:val="20"/>
                    </w:rPr>
                    <w:t>£</w:t>
                  </w:r>
                </w:p>
              </w:tc>
            </w:tr>
            <w:tr w:rsidR="00426CB3" w:rsidRPr="00426CB3" w14:paraId="61733D83" w14:textId="77777777" w:rsidTr="00657E32">
              <w:tc>
                <w:tcPr>
                  <w:tcW w:w="4815" w:type="dxa"/>
                  <w:shd w:val="clear" w:color="auto" w:fill="D9D9D9" w:themeFill="background1" w:themeFillShade="D9"/>
                </w:tcPr>
                <w:p w14:paraId="61733D7F" w14:textId="77777777" w:rsidR="00F22934" w:rsidRPr="00426CB3" w:rsidRDefault="00F22934" w:rsidP="00657E32">
                  <w:pPr>
                    <w:rPr>
                      <w:rFonts w:cs="Arial"/>
                    </w:rPr>
                  </w:pPr>
                  <w:r w:rsidRPr="00426CB3">
                    <w:rPr>
                      <w:rFonts w:cs="Arial"/>
                      <w:sz w:val="20"/>
                    </w:rPr>
                    <w:t xml:space="preserve">ST01 Learner Assessment and Plan </w:t>
                  </w:r>
                </w:p>
              </w:tc>
              <w:tc>
                <w:tcPr>
                  <w:tcW w:w="1276" w:type="dxa"/>
                  <w:shd w:val="clear" w:color="auto" w:fill="D9D9D9" w:themeFill="background1" w:themeFillShade="D9"/>
                </w:tcPr>
                <w:p w14:paraId="61733D80" w14:textId="77777777" w:rsidR="00F22934" w:rsidRPr="00426CB3" w:rsidRDefault="00BA7086" w:rsidP="00657E32">
                  <w:pPr>
                    <w:jc w:val="center"/>
                    <w:rPr>
                      <w:rFonts w:cs="Arial"/>
                    </w:rPr>
                  </w:pPr>
                  <w:r w:rsidRPr="00426CB3">
                    <w:rPr>
                      <w:rFonts w:cs="Arial"/>
                      <w:sz w:val="20"/>
                    </w:rPr>
                    <w:t>52</w:t>
                  </w:r>
                  <w:r w:rsidR="00717214" w:rsidRPr="00426CB3">
                    <w:rPr>
                      <w:rFonts w:cs="Arial"/>
                      <w:sz w:val="20"/>
                    </w:rPr>
                    <w:t>5</w:t>
                  </w:r>
                </w:p>
              </w:tc>
              <w:tc>
                <w:tcPr>
                  <w:tcW w:w="1771" w:type="dxa"/>
                  <w:shd w:val="clear" w:color="auto" w:fill="D9D9D9" w:themeFill="background1" w:themeFillShade="D9"/>
                </w:tcPr>
                <w:p w14:paraId="61733D81" w14:textId="77777777" w:rsidR="00F22934" w:rsidRPr="00426CB3" w:rsidRDefault="00F22934" w:rsidP="00657E32">
                  <w:pPr>
                    <w:jc w:val="center"/>
                    <w:rPr>
                      <w:rFonts w:cs="Arial"/>
                    </w:rPr>
                  </w:pPr>
                  <w:r w:rsidRPr="00426CB3">
                    <w:rPr>
                      <w:rFonts w:cs="Arial"/>
                      <w:sz w:val="20"/>
                    </w:rPr>
                    <w:t>50</w:t>
                  </w:r>
                </w:p>
              </w:tc>
              <w:tc>
                <w:tcPr>
                  <w:tcW w:w="1229" w:type="dxa"/>
                  <w:shd w:val="clear" w:color="auto" w:fill="D9D9D9" w:themeFill="background1" w:themeFillShade="D9"/>
                </w:tcPr>
                <w:p w14:paraId="61733D82" w14:textId="77777777" w:rsidR="00F22934" w:rsidRPr="00426CB3" w:rsidRDefault="00717214" w:rsidP="00657E32">
                  <w:pPr>
                    <w:jc w:val="center"/>
                    <w:rPr>
                      <w:rFonts w:cs="Arial"/>
                    </w:rPr>
                  </w:pPr>
                  <w:r w:rsidRPr="00426CB3">
                    <w:rPr>
                      <w:rFonts w:cs="Arial"/>
                      <w:sz w:val="20"/>
                    </w:rPr>
                    <w:t>£2</w:t>
                  </w:r>
                  <w:r w:rsidR="00BA7086" w:rsidRPr="00426CB3">
                    <w:rPr>
                      <w:rFonts w:cs="Arial"/>
                      <w:sz w:val="20"/>
                    </w:rPr>
                    <w:t>6</w:t>
                  </w:r>
                  <w:r w:rsidRPr="00426CB3">
                    <w:rPr>
                      <w:rFonts w:cs="Arial"/>
                      <w:sz w:val="20"/>
                    </w:rPr>
                    <w:t>,25</w:t>
                  </w:r>
                  <w:r w:rsidR="00F22934" w:rsidRPr="00426CB3">
                    <w:rPr>
                      <w:rFonts w:cs="Arial"/>
                      <w:sz w:val="20"/>
                    </w:rPr>
                    <w:t>0</w:t>
                  </w:r>
                </w:p>
              </w:tc>
            </w:tr>
            <w:tr w:rsidR="00426CB3" w:rsidRPr="00426CB3" w14:paraId="61733D88" w14:textId="77777777" w:rsidTr="00657E32">
              <w:tc>
                <w:tcPr>
                  <w:tcW w:w="4815" w:type="dxa"/>
                  <w:tcBorders>
                    <w:bottom w:val="single" w:sz="4" w:space="0" w:color="auto"/>
                  </w:tcBorders>
                </w:tcPr>
                <w:p w14:paraId="61733D84" w14:textId="77777777" w:rsidR="00F22934" w:rsidRPr="00426CB3" w:rsidRDefault="00F22934" w:rsidP="00657E32">
                  <w:pPr>
                    <w:rPr>
                      <w:rFonts w:cs="Arial"/>
                    </w:rPr>
                  </w:pPr>
                  <w:r w:rsidRPr="00426CB3">
                    <w:rPr>
                      <w:rFonts w:cs="Arial"/>
                      <w:sz w:val="20"/>
                    </w:rPr>
                    <w:t>RQ01 Regulated Learning</w:t>
                  </w:r>
                </w:p>
              </w:tc>
              <w:tc>
                <w:tcPr>
                  <w:tcW w:w="1276" w:type="dxa"/>
                  <w:tcBorders>
                    <w:bottom w:val="single" w:sz="4" w:space="0" w:color="auto"/>
                  </w:tcBorders>
                </w:tcPr>
                <w:p w14:paraId="61733D85" w14:textId="7ED6E793" w:rsidR="00F22934" w:rsidRPr="00426CB3" w:rsidRDefault="00F22934" w:rsidP="00657E32">
                  <w:pPr>
                    <w:jc w:val="center"/>
                    <w:rPr>
                      <w:rFonts w:cs="Arial"/>
                    </w:rPr>
                  </w:pPr>
                </w:p>
              </w:tc>
              <w:tc>
                <w:tcPr>
                  <w:tcW w:w="1771" w:type="dxa"/>
                  <w:tcBorders>
                    <w:bottom w:val="single" w:sz="4" w:space="0" w:color="auto"/>
                  </w:tcBorders>
                </w:tcPr>
                <w:p w14:paraId="61733D86" w14:textId="2DEBAE54" w:rsidR="00F22934" w:rsidRPr="00426CB3" w:rsidRDefault="00F22934" w:rsidP="00657E32">
                  <w:pPr>
                    <w:jc w:val="center"/>
                    <w:rPr>
                      <w:rFonts w:cs="Arial"/>
                    </w:rPr>
                  </w:pPr>
                </w:p>
              </w:tc>
              <w:tc>
                <w:tcPr>
                  <w:tcW w:w="1229" w:type="dxa"/>
                  <w:tcBorders>
                    <w:bottom w:val="single" w:sz="4" w:space="0" w:color="auto"/>
                  </w:tcBorders>
                </w:tcPr>
                <w:p w14:paraId="61733D87" w14:textId="77777777" w:rsidR="00F22934" w:rsidRPr="00426CB3" w:rsidRDefault="00717214" w:rsidP="00657E32">
                  <w:pPr>
                    <w:jc w:val="center"/>
                    <w:rPr>
                      <w:rFonts w:cs="Arial"/>
                    </w:rPr>
                  </w:pPr>
                  <w:r w:rsidRPr="00426CB3">
                    <w:rPr>
                      <w:rFonts w:cs="Arial"/>
                      <w:sz w:val="20"/>
                    </w:rPr>
                    <w:t>£2</w:t>
                  </w:r>
                  <w:r w:rsidR="00BA7086" w:rsidRPr="00426CB3">
                    <w:rPr>
                      <w:rFonts w:cs="Arial"/>
                      <w:sz w:val="20"/>
                    </w:rPr>
                    <w:t>52</w:t>
                  </w:r>
                  <w:r w:rsidRPr="00426CB3">
                    <w:rPr>
                      <w:rFonts w:cs="Arial"/>
                      <w:sz w:val="20"/>
                    </w:rPr>
                    <w:t>,0</w:t>
                  </w:r>
                  <w:r w:rsidR="00F22934" w:rsidRPr="00426CB3">
                    <w:rPr>
                      <w:rFonts w:cs="Arial"/>
                      <w:sz w:val="20"/>
                    </w:rPr>
                    <w:t>00</w:t>
                  </w:r>
                </w:p>
              </w:tc>
            </w:tr>
            <w:tr w:rsidR="00426CB3" w:rsidRPr="00426CB3" w14:paraId="61733D8D" w14:textId="77777777" w:rsidTr="00657E32">
              <w:tc>
                <w:tcPr>
                  <w:tcW w:w="4815" w:type="dxa"/>
                  <w:shd w:val="clear" w:color="auto" w:fill="D9D9D9" w:themeFill="background1" w:themeFillShade="D9"/>
                </w:tcPr>
                <w:p w14:paraId="61733D89" w14:textId="77777777" w:rsidR="00F22934" w:rsidRPr="00426CB3" w:rsidRDefault="00F22934" w:rsidP="00657E32">
                  <w:pPr>
                    <w:rPr>
                      <w:rFonts w:cs="Arial"/>
                    </w:rPr>
                  </w:pPr>
                  <w:r w:rsidRPr="00426CB3">
                    <w:rPr>
                      <w:rFonts w:cs="Arial"/>
                      <w:sz w:val="20"/>
                    </w:rPr>
                    <w:t>NR01 Non Regulated Activity</w:t>
                  </w:r>
                </w:p>
              </w:tc>
              <w:tc>
                <w:tcPr>
                  <w:tcW w:w="1276" w:type="dxa"/>
                  <w:shd w:val="clear" w:color="auto" w:fill="D9D9D9" w:themeFill="background1" w:themeFillShade="D9"/>
                </w:tcPr>
                <w:p w14:paraId="61733D8A" w14:textId="5D57A61B" w:rsidR="00F22934" w:rsidRPr="00426CB3" w:rsidRDefault="00F22934" w:rsidP="00717214">
                  <w:pPr>
                    <w:jc w:val="center"/>
                    <w:rPr>
                      <w:rFonts w:cs="Arial"/>
                    </w:rPr>
                  </w:pPr>
                </w:p>
              </w:tc>
              <w:tc>
                <w:tcPr>
                  <w:tcW w:w="1771" w:type="dxa"/>
                  <w:shd w:val="clear" w:color="auto" w:fill="D9D9D9" w:themeFill="background1" w:themeFillShade="D9"/>
                </w:tcPr>
                <w:p w14:paraId="61733D8B" w14:textId="25070B14" w:rsidR="00F22934" w:rsidRPr="00426CB3" w:rsidRDefault="00F22934" w:rsidP="00657E32">
                  <w:pPr>
                    <w:jc w:val="center"/>
                    <w:rPr>
                      <w:rFonts w:cs="Arial"/>
                    </w:rPr>
                  </w:pPr>
                </w:p>
              </w:tc>
              <w:tc>
                <w:tcPr>
                  <w:tcW w:w="1229" w:type="dxa"/>
                  <w:shd w:val="clear" w:color="auto" w:fill="D9D9D9" w:themeFill="background1" w:themeFillShade="D9"/>
                </w:tcPr>
                <w:p w14:paraId="61733D8C" w14:textId="77777777" w:rsidR="00F22934" w:rsidRPr="00426CB3" w:rsidRDefault="00BA7086" w:rsidP="00657E32">
                  <w:pPr>
                    <w:jc w:val="center"/>
                    <w:rPr>
                      <w:rFonts w:cs="Arial"/>
                    </w:rPr>
                  </w:pPr>
                  <w:r w:rsidRPr="00426CB3">
                    <w:rPr>
                      <w:rFonts w:cs="Arial"/>
                      <w:sz w:val="20"/>
                    </w:rPr>
                    <w:t>£121,5</w:t>
                  </w:r>
                  <w:r w:rsidR="00F22934" w:rsidRPr="00426CB3">
                    <w:rPr>
                      <w:rFonts w:cs="Arial"/>
                      <w:sz w:val="20"/>
                    </w:rPr>
                    <w:t>00</w:t>
                  </w:r>
                </w:p>
              </w:tc>
            </w:tr>
            <w:tr w:rsidR="00426CB3" w:rsidRPr="00426CB3" w14:paraId="61733D92" w14:textId="77777777" w:rsidTr="00657E32">
              <w:tc>
                <w:tcPr>
                  <w:tcW w:w="4815" w:type="dxa"/>
                  <w:tcBorders>
                    <w:bottom w:val="single" w:sz="4" w:space="0" w:color="auto"/>
                  </w:tcBorders>
                </w:tcPr>
                <w:p w14:paraId="61733D8E" w14:textId="77777777" w:rsidR="00F22934" w:rsidRPr="00426CB3" w:rsidRDefault="00F22934" w:rsidP="00657E32">
                  <w:pPr>
                    <w:rPr>
                      <w:rFonts w:cs="Arial"/>
                      <w:sz w:val="20"/>
                    </w:rPr>
                  </w:pPr>
                  <w:r w:rsidRPr="00426CB3">
                    <w:rPr>
                      <w:rFonts w:cs="Arial"/>
                      <w:sz w:val="20"/>
                    </w:rPr>
                    <w:t>PG01 Progression Paid Employment</w:t>
                  </w:r>
                </w:p>
              </w:tc>
              <w:tc>
                <w:tcPr>
                  <w:tcW w:w="1276" w:type="dxa"/>
                  <w:tcBorders>
                    <w:bottom w:val="single" w:sz="4" w:space="0" w:color="auto"/>
                  </w:tcBorders>
                </w:tcPr>
                <w:p w14:paraId="61733D8F" w14:textId="77777777" w:rsidR="00F22934" w:rsidRPr="00426CB3" w:rsidRDefault="00F22934" w:rsidP="00657E32">
                  <w:pPr>
                    <w:jc w:val="center"/>
                    <w:rPr>
                      <w:rFonts w:cs="Arial"/>
                    </w:rPr>
                  </w:pPr>
                  <w:r w:rsidRPr="00426CB3">
                    <w:rPr>
                      <w:rFonts w:cs="Arial"/>
                      <w:sz w:val="20"/>
                    </w:rPr>
                    <w:t>1</w:t>
                  </w:r>
                  <w:r w:rsidR="00BA7086" w:rsidRPr="00426CB3">
                    <w:rPr>
                      <w:rFonts w:cs="Arial"/>
                      <w:sz w:val="20"/>
                    </w:rPr>
                    <w:t>40</w:t>
                  </w:r>
                </w:p>
              </w:tc>
              <w:tc>
                <w:tcPr>
                  <w:tcW w:w="1771" w:type="dxa"/>
                  <w:tcBorders>
                    <w:bottom w:val="single" w:sz="4" w:space="0" w:color="auto"/>
                  </w:tcBorders>
                </w:tcPr>
                <w:p w14:paraId="61733D90" w14:textId="77777777" w:rsidR="00F22934" w:rsidRPr="00426CB3" w:rsidRDefault="00F22934" w:rsidP="00657E32">
                  <w:pPr>
                    <w:jc w:val="center"/>
                    <w:rPr>
                      <w:rFonts w:cs="Arial"/>
                    </w:rPr>
                  </w:pPr>
                  <w:r w:rsidRPr="00426CB3">
                    <w:rPr>
                      <w:rFonts w:cs="Arial"/>
                      <w:sz w:val="20"/>
                    </w:rPr>
                    <w:t>500</w:t>
                  </w:r>
                </w:p>
              </w:tc>
              <w:tc>
                <w:tcPr>
                  <w:tcW w:w="1229" w:type="dxa"/>
                  <w:tcBorders>
                    <w:bottom w:val="single" w:sz="4" w:space="0" w:color="auto"/>
                  </w:tcBorders>
                </w:tcPr>
                <w:p w14:paraId="61733D91" w14:textId="77777777" w:rsidR="00F22934" w:rsidRPr="00426CB3" w:rsidRDefault="00717214" w:rsidP="00657E32">
                  <w:pPr>
                    <w:jc w:val="center"/>
                    <w:rPr>
                      <w:rFonts w:cs="Arial"/>
                    </w:rPr>
                  </w:pPr>
                  <w:r w:rsidRPr="00426CB3">
                    <w:rPr>
                      <w:rFonts w:cs="Arial"/>
                      <w:sz w:val="20"/>
                    </w:rPr>
                    <w:t>£</w:t>
                  </w:r>
                  <w:r w:rsidR="00BA7086" w:rsidRPr="00426CB3">
                    <w:rPr>
                      <w:rFonts w:cs="Arial"/>
                      <w:sz w:val="20"/>
                    </w:rPr>
                    <w:t>7</w:t>
                  </w:r>
                  <w:r w:rsidR="00F22934" w:rsidRPr="00426CB3">
                    <w:rPr>
                      <w:rFonts w:cs="Arial"/>
                      <w:sz w:val="20"/>
                    </w:rPr>
                    <w:t>0,000</w:t>
                  </w:r>
                </w:p>
              </w:tc>
            </w:tr>
            <w:tr w:rsidR="00426CB3" w:rsidRPr="00426CB3" w14:paraId="61733D97" w14:textId="77777777" w:rsidTr="00657E32">
              <w:tc>
                <w:tcPr>
                  <w:tcW w:w="4815" w:type="dxa"/>
                  <w:tcBorders>
                    <w:bottom w:val="single" w:sz="4" w:space="0" w:color="auto"/>
                  </w:tcBorders>
                  <w:shd w:val="clear" w:color="auto" w:fill="D9D9D9" w:themeFill="background1" w:themeFillShade="D9"/>
                </w:tcPr>
                <w:p w14:paraId="61733D93" w14:textId="77777777" w:rsidR="00F22934" w:rsidRPr="00426CB3" w:rsidRDefault="00F22934" w:rsidP="00657E32">
                  <w:pPr>
                    <w:rPr>
                      <w:rFonts w:cs="Arial"/>
                      <w:sz w:val="20"/>
                      <w:szCs w:val="20"/>
                    </w:rPr>
                  </w:pPr>
                  <w:r w:rsidRPr="00426CB3">
                    <w:rPr>
                      <w:rFonts w:cs="Arial"/>
                      <w:sz w:val="20"/>
                      <w:szCs w:val="20"/>
                    </w:rPr>
                    <w:t>PG04 Progression Apprenticeship</w:t>
                  </w:r>
                </w:p>
              </w:tc>
              <w:tc>
                <w:tcPr>
                  <w:tcW w:w="1276" w:type="dxa"/>
                  <w:tcBorders>
                    <w:bottom w:val="single" w:sz="4" w:space="0" w:color="auto"/>
                  </w:tcBorders>
                  <w:shd w:val="clear" w:color="auto" w:fill="D9D9D9" w:themeFill="background1" w:themeFillShade="D9"/>
                </w:tcPr>
                <w:p w14:paraId="61733D94" w14:textId="77777777" w:rsidR="00F22934" w:rsidRPr="00426CB3" w:rsidRDefault="00717214" w:rsidP="00657E32">
                  <w:pPr>
                    <w:jc w:val="center"/>
                    <w:rPr>
                      <w:rFonts w:cs="Arial"/>
                      <w:sz w:val="20"/>
                      <w:szCs w:val="20"/>
                    </w:rPr>
                  </w:pPr>
                  <w:r w:rsidRPr="00426CB3">
                    <w:rPr>
                      <w:rFonts w:cs="Arial"/>
                      <w:sz w:val="20"/>
                      <w:szCs w:val="20"/>
                    </w:rPr>
                    <w:t>5</w:t>
                  </w:r>
                  <w:r w:rsidR="00F22934" w:rsidRPr="00426CB3">
                    <w:rPr>
                      <w:rFonts w:cs="Arial"/>
                      <w:sz w:val="20"/>
                      <w:szCs w:val="20"/>
                    </w:rPr>
                    <w:t>0</w:t>
                  </w:r>
                </w:p>
              </w:tc>
              <w:tc>
                <w:tcPr>
                  <w:tcW w:w="1771" w:type="dxa"/>
                  <w:tcBorders>
                    <w:bottom w:val="single" w:sz="4" w:space="0" w:color="auto"/>
                  </w:tcBorders>
                  <w:shd w:val="clear" w:color="auto" w:fill="D9D9D9" w:themeFill="background1" w:themeFillShade="D9"/>
                </w:tcPr>
                <w:p w14:paraId="61733D95" w14:textId="77777777" w:rsidR="00F22934" w:rsidRPr="00426CB3" w:rsidRDefault="00717214" w:rsidP="00657E32">
                  <w:pPr>
                    <w:jc w:val="center"/>
                    <w:rPr>
                      <w:rFonts w:cs="Arial"/>
                      <w:sz w:val="20"/>
                      <w:szCs w:val="20"/>
                    </w:rPr>
                  </w:pPr>
                  <w:r w:rsidRPr="00426CB3">
                    <w:rPr>
                      <w:rFonts w:cs="Arial"/>
                      <w:sz w:val="20"/>
                      <w:szCs w:val="20"/>
                    </w:rPr>
                    <w:t>5</w:t>
                  </w:r>
                  <w:r w:rsidR="00F22934" w:rsidRPr="00426CB3">
                    <w:rPr>
                      <w:rFonts w:cs="Arial"/>
                      <w:sz w:val="20"/>
                      <w:szCs w:val="20"/>
                    </w:rPr>
                    <w:t>00</w:t>
                  </w:r>
                </w:p>
              </w:tc>
              <w:tc>
                <w:tcPr>
                  <w:tcW w:w="1229" w:type="dxa"/>
                  <w:tcBorders>
                    <w:bottom w:val="single" w:sz="4" w:space="0" w:color="auto"/>
                  </w:tcBorders>
                  <w:shd w:val="clear" w:color="auto" w:fill="D9D9D9" w:themeFill="background1" w:themeFillShade="D9"/>
                </w:tcPr>
                <w:p w14:paraId="61733D96" w14:textId="77777777" w:rsidR="00F22934" w:rsidRPr="00426CB3" w:rsidRDefault="003D2BC8" w:rsidP="00657E32">
                  <w:pPr>
                    <w:jc w:val="center"/>
                    <w:rPr>
                      <w:rFonts w:cs="Arial"/>
                      <w:sz w:val="20"/>
                      <w:szCs w:val="20"/>
                    </w:rPr>
                  </w:pPr>
                  <w:r w:rsidRPr="00426CB3">
                    <w:rPr>
                      <w:rFonts w:cs="Arial"/>
                      <w:sz w:val="20"/>
                      <w:szCs w:val="20"/>
                    </w:rPr>
                    <w:t>£</w:t>
                  </w:r>
                  <w:r w:rsidR="00717214" w:rsidRPr="00426CB3">
                    <w:rPr>
                      <w:rFonts w:cs="Arial"/>
                      <w:sz w:val="20"/>
                      <w:szCs w:val="20"/>
                    </w:rPr>
                    <w:t>25</w:t>
                  </w:r>
                  <w:r w:rsidR="00F22934" w:rsidRPr="00426CB3">
                    <w:rPr>
                      <w:rFonts w:cs="Arial"/>
                      <w:sz w:val="20"/>
                      <w:szCs w:val="20"/>
                    </w:rPr>
                    <w:t>,000</w:t>
                  </w:r>
                </w:p>
              </w:tc>
            </w:tr>
            <w:tr w:rsidR="00426CB3" w:rsidRPr="00426CB3" w14:paraId="61733D9C" w14:textId="77777777" w:rsidTr="00657E32">
              <w:tc>
                <w:tcPr>
                  <w:tcW w:w="4815" w:type="dxa"/>
                  <w:shd w:val="clear" w:color="auto" w:fill="FFFFFF" w:themeFill="background1"/>
                </w:tcPr>
                <w:p w14:paraId="61733D98" w14:textId="77777777" w:rsidR="00F22934" w:rsidRPr="00426CB3" w:rsidRDefault="00F22934" w:rsidP="00657E32">
                  <w:pPr>
                    <w:rPr>
                      <w:rFonts w:cs="Arial"/>
                      <w:sz w:val="20"/>
                    </w:rPr>
                  </w:pPr>
                  <w:r w:rsidRPr="00426CB3">
                    <w:rPr>
                      <w:rFonts w:cs="Arial"/>
                      <w:sz w:val="20"/>
                    </w:rPr>
                    <w:t>SU01 Sustained Employment 3 Months</w:t>
                  </w:r>
                </w:p>
              </w:tc>
              <w:tc>
                <w:tcPr>
                  <w:tcW w:w="1276" w:type="dxa"/>
                  <w:shd w:val="clear" w:color="auto" w:fill="FFFFFF" w:themeFill="background1"/>
                </w:tcPr>
                <w:p w14:paraId="61733D99" w14:textId="77777777" w:rsidR="00F22934" w:rsidRPr="00426CB3" w:rsidRDefault="00BA7086" w:rsidP="00657E32">
                  <w:pPr>
                    <w:jc w:val="center"/>
                    <w:rPr>
                      <w:rFonts w:cs="Arial"/>
                      <w:sz w:val="20"/>
                    </w:rPr>
                  </w:pPr>
                  <w:r w:rsidRPr="00426CB3">
                    <w:rPr>
                      <w:rFonts w:cs="Arial"/>
                      <w:sz w:val="20"/>
                    </w:rPr>
                    <w:t>110</w:t>
                  </w:r>
                </w:p>
              </w:tc>
              <w:tc>
                <w:tcPr>
                  <w:tcW w:w="1771" w:type="dxa"/>
                  <w:shd w:val="clear" w:color="auto" w:fill="FFFFFF" w:themeFill="background1"/>
                </w:tcPr>
                <w:p w14:paraId="61733D9A" w14:textId="77777777" w:rsidR="00F22934" w:rsidRPr="00426CB3" w:rsidRDefault="00F22934" w:rsidP="00657E32">
                  <w:pPr>
                    <w:jc w:val="center"/>
                    <w:rPr>
                      <w:rFonts w:cs="Arial"/>
                      <w:sz w:val="20"/>
                    </w:rPr>
                  </w:pPr>
                  <w:r w:rsidRPr="00426CB3">
                    <w:rPr>
                      <w:rFonts w:cs="Arial"/>
                      <w:sz w:val="20"/>
                    </w:rPr>
                    <w:t>200</w:t>
                  </w:r>
                </w:p>
              </w:tc>
              <w:tc>
                <w:tcPr>
                  <w:tcW w:w="1229" w:type="dxa"/>
                  <w:shd w:val="clear" w:color="auto" w:fill="FFFFFF" w:themeFill="background1"/>
                </w:tcPr>
                <w:p w14:paraId="61733D9B" w14:textId="77777777" w:rsidR="00F22934" w:rsidRPr="00426CB3" w:rsidRDefault="00BA7086" w:rsidP="00657E32">
                  <w:pPr>
                    <w:jc w:val="center"/>
                    <w:rPr>
                      <w:rFonts w:cs="Arial"/>
                      <w:sz w:val="20"/>
                    </w:rPr>
                  </w:pPr>
                  <w:r w:rsidRPr="00426CB3">
                    <w:rPr>
                      <w:rFonts w:cs="Arial"/>
                      <w:sz w:val="20"/>
                    </w:rPr>
                    <w:t>£22</w:t>
                  </w:r>
                  <w:r w:rsidR="00717214" w:rsidRPr="00426CB3">
                    <w:rPr>
                      <w:rFonts w:cs="Arial"/>
                      <w:sz w:val="20"/>
                    </w:rPr>
                    <w:t>,</w:t>
                  </w:r>
                  <w:r w:rsidRPr="00426CB3">
                    <w:rPr>
                      <w:rFonts w:cs="Arial"/>
                      <w:sz w:val="20"/>
                    </w:rPr>
                    <w:t>0</w:t>
                  </w:r>
                  <w:r w:rsidR="00F22934" w:rsidRPr="00426CB3">
                    <w:rPr>
                      <w:rFonts w:cs="Arial"/>
                      <w:sz w:val="20"/>
                    </w:rPr>
                    <w:t>00</w:t>
                  </w:r>
                </w:p>
              </w:tc>
            </w:tr>
            <w:tr w:rsidR="00426CB3" w:rsidRPr="00426CB3" w14:paraId="61733DA1" w14:textId="77777777" w:rsidTr="00657E32">
              <w:tc>
                <w:tcPr>
                  <w:tcW w:w="4815" w:type="dxa"/>
                  <w:shd w:val="clear" w:color="auto" w:fill="D9D9D9" w:themeFill="background1" w:themeFillShade="D9"/>
                </w:tcPr>
                <w:p w14:paraId="61733D9D" w14:textId="77777777" w:rsidR="00F22934" w:rsidRPr="00426CB3" w:rsidRDefault="00F22934" w:rsidP="00657E32">
                  <w:pPr>
                    <w:rPr>
                      <w:rFonts w:cs="Arial"/>
                      <w:sz w:val="20"/>
                    </w:rPr>
                  </w:pPr>
                  <w:r w:rsidRPr="00426CB3">
                    <w:rPr>
                      <w:rFonts w:cs="Arial"/>
                      <w:sz w:val="20"/>
                    </w:rPr>
                    <w:t>SU04 Sustained Apprenticeship 3 Months</w:t>
                  </w:r>
                </w:p>
              </w:tc>
              <w:tc>
                <w:tcPr>
                  <w:tcW w:w="1276" w:type="dxa"/>
                  <w:shd w:val="clear" w:color="auto" w:fill="D9D9D9" w:themeFill="background1" w:themeFillShade="D9"/>
                </w:tcPr>
                <w:p w14:paraId="61733D9E" w14:textId="77777777" w:rsidR="00F22934" w:rsidRPr="00426CB3" w:rsidRDefault="00717214" w:rsidP="00657E32">
                  <w:pPr>
                    <w:jc w:val="center"/>
                    <w:rPr>
                      <w:rFonts w:cs="Arial"/>
                      <w:sz w:val="20"/>
                    </w:rPr>
                  </w:pPr>
                  <w:r w:rsidRPr="00426CB3">
                    <w:rPr>
                      <w:rFonts w:cs="Arial"/>
                      <w:sz w:val="20"/>
                    </w:rPr>
                    <w:t>40</w:t>
                  </w:r>
                </w:p>
              </w:tc>
              <w:tc>
                <w:tcPr>
                  <w:tcW w:w="1771" w:type="dxa"/>
                  <w:shd w:val="clear" w:color="auto" w:fill="D9D9D9" w:themeFill="background1" w:themeFillShade="D9"/>
                </w:tcPr>
                <w:p w14:paraId="61733D9F" w14:textId="77777777" w:rsidR="00F22934" w:rsidRPr="00426CB3" w:rsidRDefault="00F22934" w:rsidP="00657E32">
                  <w:pPr>
                    <w:jc w:val="center"/>
                    <w:rPr>
                      <w:rFonts w:cs="Arial"/>
                      <w:sz w:val="20"/>
                    </w:rPr>
                  </w:pPr>
                  <w:r w:rsidRPr="00426CB3">
                    <w:rPr>
                      <w:rFonts w:cs="Arial"/>
                      <w:sz w:val="20"/>
                    </w:rPr>
                    <w:t>200</w:t>
                  </w:r>
                </w:p>
              </w:tc>
              <w:tc>
                <w:tcPr>
                  <w:tcW w:w="1229" w:type="dxa"/>
                  <w:shd w:val="clear" w:color="auto" w:fill="D9D9D9" w:themeFill="background1" w:themeFillShade="D9"/>
                </w:tcPr>
                <w:p w14:paraId="61733DA0" w14:textId="77777777" w:rsidR="00F22934" w:rsidRPr="00426CB3" w:rsidRDefault="00717214" w:rsidP="00657E32">
                  <w:pPr>
                    <w:jc w:val="center"/>
                    <w:rPr>
                      <w:rFonts w:cs="Arial"/>
                      <w:sz w:val="20"/>
                    </w:rPr>
                  </w:pPr>
                  <w:r w:rsidRPr="00426CB3">
                    <w:rPr>
                      <w:rFonts w:cs="Arial"/>
                      <w:sz w:val="20"/>
                    </w:rPr>
                    <w:t>£8,0</w:t>
                  </w:r>
                  <w:r w:rsidR="00F22934" w:rsidRPr="00426CB3">
                    <w:rPr>
                      <w:rFonts w:cs="Arial"/>
                      <w:sz w:val="20"/>
                    </w:rPr>
                    <w:t>00</w:t>
                  </w:r>
                </w:p>
              </w:tc>
            </w:tr>
            <w:tr w:rsidR="00426CB3" w:rsidRPr="00426CB3" w14:paraId="61733DA6" w14:textId="77777777" w:rsidTr="00657E32">
              <w:tc>
                <w:tcPr>
                  <w:tcW w:w="4815" w:type="dxa"/>
                  <w:shd w:val="clear" w:color="auto" w:fill="FFFFFF" w:themeFill="background1"/>
                </w:tcPr>
                <w:p w14:paraId="61733DA2" w14:textId="77777777" w:rsidR="00F22934" w:rsidRPr="00426CB3" w:rsidRDefault="00F22934" w:rsidP="00657E32">
                  <w:pPr>
                    <w:rPr>
                      <w:rFonts w:cs="Arial"/>
                      <w:sz w:val="20"/>
                    </w:rPr>
                  </w:pPr>
                </w:p>
              </w:tc>
              <w:tc>
                <w:tcPr>
                  <w:tcW w:w="1276" w:type="dxa"/>
                  <w:shd w:val="clear" w:color="auto" w:fill="FFFFFF" w:themeFill="background1"/>
                </w:tcPr>
                <w:p w14:paraId="61733DA3" w14:textId="77777777" w:rsidR="00F22934" w:rsidRPr="00426CB3" w:rsidRDefault="00F22934" w:rsidP="00657E32">
                  <w:pPr>
                    <w:jc w:val="center"/>
                    <w:rPr>
                      <w:rFonts w:cs="Arial"/>
                      <w:sz w:val="20"/>
                    </w:rPr>
                  </w:pPr>
                </w:p>
              </w:tc>
              <w:tc>
                <w:tcPr>
                  <w:tcW w:w="1771" w:type="dxa"/>
                  <w:shd w:val="clear" w:color="auto" w:fill="FFFFFF" w:themeFill="background1"/>
                </w:tcPr>
                <w:p w14:paraId="61733DA4" w14:textId="77777777" w:rsidR="00F22934" w:rsidRPr="00426CB3" w:rsidRDefault="00F22934" w:rsidP="00657E32">
                  <w:pPr>
                    <w:jc w:val="center"/>
                    <w:rPr>
                      <w:rFonts w:cs="Arial"/>
                      <w:sz w:val="20"/>
                    </w:rPr>
                  </w:pPr>
                </w:p>
              </w:tc>
              <w:tc>
                <w:tcPr>
                  <w:tcW w:w="1229" w:type="dxa"/>
                  <w:shd w:val="clear" w:color="auto" w:fill="FFFFFF" w:themeFill="background1"/>
                </w:tcPr>
                <w:p w14:paraId="61733DA5" w14:textId="77777777" w:rsidR="00F22934" w:rsidRPr="00426CB3" w:rsidRDefault="00F22934" w:rsidP="00657E32">
                  <w:pPr>
                    <w:jc w:val="center"/>
                    <w:rPr>
                      <w:rFonts w:cs="Arial"/>
                      <w:sz w:val="20"/>
                    </w:rPr>
                  </w:pPr>
                </w:p>
              </w:tc>
            </w:tr>
            <w:tr w:rsidR="00426CB3" w:rsidRPr="00426CB3" w14:paraId="61733DAB" w14:textId="77777777" w:rsidTr="00657E32">
              <w:tc>
                <w:tcPr>
                  <w:tcW w:w="4815" w:type="dxa"/>
                  <w:shd w:val="clear" w:color="auto" w:fill="D9D9D9" w:themeFill="background1" w:themeFillShade="D9"/>
                </w:tcPr>
                <w:p w14:paraId="61733DA7" w14:textId="77777777" w:rsidR="00F22934" w:rsidRPr="00426CB3" w:rsidRDefault="00F22934" w:rsidP="00657E32">
                  <w:pPr>
                    <w:rPr>
                      <w:rFonts w:cs="Arial"/>
                      <w:sz w:val="20"/>
                    </w:rPr>
                  </w:pPr>
                </w:p>
              </w:tc>
              <w:tc>
                <w:tcPr>
                  <w:tcW w:w="1276" w:type="dxa"/>
                  <w:shd w:val="clear" w:color="auto" w:fill="D9D9D9" w:themeFill="background1" w:themeFillShade="D9"/>
                </w:tcPr>
                <w:p w14:paraId="61733DA8" w14:textId="77777777" w:rsidR="00F22934" w:rsidRPr="00426CB3" w:rsidRDefault="00F22934" w:rsidP="00657E32">
                  <w:pPr>
                    <w:jc w:val="center"/>
                    <w:rPr>
                      <w:rFonts w:cs="Arial"/>
                      <w:sz w:val="20"/>
                    </w:rPr>
                  </w:pPr>
                </w:p>
              </w:tc>
              <w:tc>
                <w:tcPr>
                  <w:tcW w:w="1771" w:type="dxa"/>
                  <w:shd w:val="clear" w:color="auto" w:fill="D9D9D9" w:themeFill="background1" w:themeFillShade="D9"/>
                </w:tcPr>
                <w:p w14:paraId="61733DA9" w14:textId="77777777" w:rsidR="00F22934" w:rsidRPr="00426CB3" w:rsidRDefault="00F22934" w:rsidP="00657E32">
                  <w:pPr>
                    <w:jc w:val="center"/>
                    <w:rPr>
                      <w:rFonts w:cs="Arial"/>
                      <w:b/>
                      <w:sz w:val="20"/>
                    </w:rPr>
                  </w:pPr>
                  <w:r w:rsidRPr="00426CB3">
                    <w:rPr>
                      <w:rFonts w:cs="Arial"/>
                      <w:b/>
                      <w:sz w:val="20"/>
                    </w:rPr>
                    <w:t>TOTAL:</w:t>
                  </w:r>
                </w:p>
              </w:tc>
              <w:tc>
                <w:tcPr>
                  <w:tcW w:w="1229" w:type="dxa"/>
                  <w:shd w:val="clear" w:color="auto" w:fill="D9D9D9" w:themeFill="background1" w:themeFillShade="D9"/>
                </w:tcPr>
                <w:p w14:paraId="61733DAA" w14:textId="77777777" w:rsidR="00F22934" w:rsidRPr="00426CB3" w:rsidRDefault="00BA7086" w:rsidP="00657E32">
                  <w:pPr>
                    <w:jc w:val="center"/>
                    <w:rPr>
                      <w:rFonts w:cs="Arial"/>
                      <w:b/>
                      <w:sz w:val="20"/>
                    </w:rPr>
                  </w:pPr>
                  <w:r w:rsidRPr="00426CB3">
                    <w:rPr>
                      <w:rFonts w:cs="Arial"/>
                      <w:b/>
                      <w:sz w:val="20"/>
                    </w:rPr>
                    <w:t>£524,7</w:t>
                  </w:r>
                  <w:r w:rsidR="00717214" w:rsidRPr="00426CB3">
                    <w:rPr>
                      <w:rFonts w:cs="Arial"/>
                      <w:b/>
                      <w:sz w:val="20"/>
                    </w:rPr>
                    <w:t>5</w:t>
                  </w:r>
                  <w:r w:rsidR="00F22934" w:rsidRPr="00426CB3">
                    <w:rPr>
                      <w:rFonts w:cs="Arial"/>
                      <w:b/>
                      <w:sz w:val="20"/>
                    </w:rPr>
                    <w:t>0</w:t>
                  </w:r>
                </w:p>
              </w:tc>
            </w:tr>
          </w:tbl>
          <w:p w14:paraId="61733DAC" w14:textId="77777777" w:rsidR="00F22934" w:rsidRPr="004B051A" w:rsidRDefault="00F22934" w:rsidP="00F22934">
            <w:pPr>
              <w:rPr>
                <w:rFonts w:cs="Arial"/>
                <w:color w:val="1F497D" w:themeColor="text2"/>
              </w:rPr>
            </w:pPr>
          </w:p>
          <w:p w14:paraId="61733DAD" w14:textId="77777777" w:rsidR="00F22934" w:rsidRPr="004B051A" w:rsidRDefault="00F22934" w:rsidP="00F22934">
            <w:pPr>
              <w:rPr>
                <w:rFonts w:cs="Arial"/>
                <w:color w:val="1F497D" w:themeColor="text2"/>
              </w:rPr>
            </w:pPr>
          </w:p>
          <w:p w14:paraId="61733DAE" w14:textId="77777777" w:rsidR="00344FA1" w:rsidRPr="00DB2FA1" w:rsidRDefault="00344FA1" w:rsidP="00F22934">
            <w:pPr>
              <w:rPr>
                <w:rFonts w:cs="Arial"/>
                <w:b/>
              </w:rPr>
            </w:pPr>
          </w:p>
        </w:tc>
      </w:tr>
    </w:tbl>
    <w:p w14:paraId="61733DB0" w14:textId="77777777" w:rsidR="00A005EF" w:rsidRDefault="00A005EF"/>
    <w:p w14:paraId="61733DB1" w14:textId="77777777" w:rsidR="00E072F5" w:rsidRDefault="00E072F5"/>
    <w:p w14:paraId="61733DB2" w14:textId="77777777" w:rsidR="00E072F5" w:rsidRDefault="00E072F5"/>
    <w:p w14:paraId="69E5E508" w14:textId="77777777" w:rsidR="007B59F3" w:rsidRDefault="007B59F3"/>
    <w:p w14:paraId="33905E44" w14:textId="77777777" w:rsidR="007B59F3" w:rsidRDefault="007B59F3"/>
    <w:p w14:paraId="447D21EE" w14:textId="77777777" w:rsidR="007B59F3" w:rsidRDefault="007B59F3"/>
    <w:p w14:paraId="0F8B8F64" w14:textId="77777777" w:rsidR="007B59F3" w:rsidRDefault="007B59F3"/>
    <w:p w14:paraId="7808A054" w14:textId="77777777" w:rsidR="007B59F3" w:rsidRDefault="007B59F3"/>
    <w:p w14:paraId="7DFBAEC6" w14:textId="77777777" w:rsidR="007B59F3" w:rsidRDefault="007B59F3"/>
    <w:p w14:paraId="3B6CD04D" w14:textId="77777777" w:rsidR="007B59F3" w:rsidRDefault="007B59F3"/>
    <w:p w14:paraId="587FE2E0" w14:textId="77777777" w:rsidR="007B59F3" w:rsidRDefault="007B59F3"/>
    <w:p w14:paraId="3D2FA176" w14:textId="77777777" w:rsidR="007B59F3" w:rsidRDefault="007B59F3"/>
    <w:p w14:paraId="67520FE5" w14:textId="77777777" w:rsidR="007B59F3" w:rsidRDefault="007B59F3"/>
    <w:p w14:paraId="5238B0D6" w14:textId="77777777" w:rsidR="007B59F3" w:rsidRDefault="007B59F3"/>
    <w:p w14:paraId="63E4EA1E" w14:textId="77777777" w:rsidR="007B59F3" w:rsidRDefault="007B59F3"/>
    <w:p w14:paraId="5FF65BB6" w14:textId="77777777" w:rsidR="007B59F3" w:rsidRDefault="007B59F3">
      <w:bookmarkStart w:id="0" w:name="_GoBack"/>
      <w:bookmarkEnd w:id="0"/>
    </w:p>
    <w:sectPr w:rsidR="007B59F3" w:rsidSect="009746C4">
      <w:headerReference w:type="default" r:id="rId19"/>
      <w:footerReference w:type="default" r:id="rId20"/>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2DAAD" w14:textId="77777777" w:rsidR="00A66FDE" w:rsidRDefault="00A66FDE">
      <w:r>
        <w:separator/>
      </w:r>
    </w:p>
  </w:endnote>
  <w:endnote w:type="continuationSeparator" w:id="0">
    <w:p w14:paraId="1E15CD4A" w14:textId="77777777" w:rsidR="00A66FDE" w:rsidRDefault="00A6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1733DC4" w14:textId="28B41882" w:rsidR="000F36CA" w:rsidRDefault="007B59F3" w:rsidP="007B59F3">
        <w:pPr>
          <w:pStyle w:val="Footer"/>
          <w:rPr>
            <w:noProof/>
          </w:rPr>
        </w:pPr>
        <w:proofErr w:type="gramStart"/>
        <w:r>
          <w:t>itt_30031_15_002_01</w:t>
        </w:r>
        <w:proofErr w:type="gramEnd"/>
        <w:r>
          <w:t xml:space="preserve"> May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F36CA" w14:paraId="61733DC7" w14:textId="77777777" w:rsidTr="009808AC">
          <w:tc>
            <w:tcPr>
              <w:tcW w:w="4908" w:type="dxa"/>
            </w:tcPr>
            <w:p w14:paraId="61733DC5" w14:textId="3F62272B" w:rsidR="000F36CA" w:rsidRDefault="000F36CA" w:rsidP="009808AC">
              <w:pPr>
                <w:pStyle w:val="Footer"/>
              </w:pPr>
            </w:p>
          </w:tc>
          <w:tc>
            <w:tcPr>
              <w:tcW w:w="3869" w:type="dxa"/>
            </w:tcPr>
            <w:p w14:paraId="61733DC6" w14:textId="77777777" w:rsidR="000F36CA" w:rsidRDefault="000F36CA"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9970AF">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970AF">
                <w:rPr>
                  <w:b/>
                  <w:bCs/>
                  <w:noProof/>
                </w:rPr>
                <w:t>14</w:t>
              </w:r>
              <w:r>
                <w:rPr>
                  <w:b/>
                  <w:bCs/>
                </w:rPr>
                <w:fldChar w:fldCharType="end"/>
              </w:r>
            </w:p>
          </w:tc>
        </w:tr>
      </w:tbl>
      <w:p w14:paraId="61733DC8" w14:textId="77777777" w:rsidR="000F36CA" w:rsidRDefault="00A66FDE">
        <w:pPr>
          <w:pStyle w:val="Footer"/>
          <w:jc w:val="right"/>
        </w:pPr>
      </w:p>
    </w:sdtContent>
  </w:sdt>
  <w:p w14:paraId="61733DC9" w14:textId="77777777" w:rsidR="000F36CA" w:rsidRDefault="000F3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75036" w14:textId="77777777" w:rsidR="00A66FDE" w:rsidRDefault="00A66FDE">
      <w:r>
        <w:separator/>
      </w:r>
    </w:p>
  </w:footnote>
  <w:footnote w:type="continuationSeparator" w:id="0">
    <w:p w14:paraId="725A8AC3" w14:textId="77777777" w:rsidR="00A66FDE" w:rsidRDefault="00A66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1733DC3" w14:textId="77777777" w:rsidR="000F36CA" w:rsidRDefault="00A66FDE">
        <w:pPr>
          <w:pStyle w:val="Header"/>
        </w:pPr>
        <w:r>
          <w:rPr>
            <w:noProof/>
            <w:lang w:val="en-US"/>
          </w:rPr>
          <w:pict w14:anchorId="61733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10D1D"/>
    <w:multiLevelType w:val="hybridMultilevel"/>
    <w:tmpl w:val="AC1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15:restartNumberingAfterBreak="0">
    <w:nsid w:val="5A47149D"/>
    <w:multiLevelType w:val="hybridMultilevel"/>
    <w:tmpl w:val="B8D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10308B"/>
    <w:multiLevelType w:val="hybridMultilevel"/>
    <w:tmpl w:val="1C2AFFE8"/>
    <w:lvl w:ilvl="0" w:tplc="EF36A9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A27FC"/>
    <w:multiLevelType w:val="hybridMultilevel"/>
    <w:tmpl w:val="3446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3"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12"/>
  </w:num>
  <w:num w:numId="4">
    <w:abstractNumId w:val="12"/>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8"/>
  </w:num>
  <w:num w:numId="11">
    <w:abstractNumId w:val="6"/>
  </w:num>
  <w:num w:numId="12">
    <w:abstractNumId w:val="9"/>
  </w:num>
  <w:num w:numId="13">
    <w:abstractNumId w:val="10"/>
  </w:num>
  <w:num w:numId="14">
    <w:abstractNumId w:val="11"/>
  </w:num>
  <w:num w:numId="15">
    <w:abstractNumId w:val="1"/>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5122"/>
    <w:rsid w:val="0000772D"/>
    <w:rsid w:val="00014673"/>
    <w:rsid w:val="00014A96"/>
    <w:rsid w:val="000241A5"/>
    <w:rsid w:val="00025309"/>
    <w:rsid w:val="00025EF8"/>
    <w:rsid w:val="000262AC"/>
    <w:rsid w:val="00027A87"/>
    <w:rsid w:val="000304B2"/>
    <w:rsid w:val="00030CDC"/>
    <w:rsid w:val="00030E15"/>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6B3B"/>
    <w:rsid w:val="0006724D"/>
    <w:rsid w:val="0007093F"/>
    <w:rsid w:val="00072D44"/>
    <w:rsid w:val="000730F1"/>
    <w:rsid w:val="00081CCF"/>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36CA"/>
    <w:rsid w:val="00101C79"/>
    <w:rsid w:val="00103A57"/>
    <w:rsid w:val="00105A7C"/>
    <w:rsid w:val="00110113"/>
    <w:rsid w:val="00111F99"/>
    <w:rsid w:val="0012138E"/>
    <w:rsid w:val="0012360B"/>
    <w:rsid w:val="00123C60"/>
    <w:rsid w:val="00131443"/>
    <w:rsid w:val="0013204A"/>
    <w:rsid w:val="00133A11"/>
    <w:rsid w:val="00136327"/>
    <w:rsid w:val="00137737"/>
    <w:rsid w:val="00143A7D"/>
    <w:rsid w:val="0014799D"/>
    <w:rsid w:val="0015011A"/>
    <w:rsid w:val="001535BC"/>
    <w:rsid w:val="00154523"/>
    <w:rsid w:val="001545B4"/>
    <w:rsid w:val="00160E5D"/>
    <w:rsid w:val="00171CCB"/>
    <w:rsid w:val="0017418C"/>
    <w:rsid w:val="00174E73"/>
    <w:rsid w:val="001768E1"/>
    <w:rsid w:val="001819AA"/>
    <w:rsid w:val="001913DF"/>
    <w:rsid w:val="00191EFE"/>
    <w:rsid w:val="0019279D"/>
    <w:rsid w:val="001931FA"/>
    <w:rsid w:val="00194CEF"/>
    <w:rsid w:val="00195C99"/>
    <w:rsid w:val="001A0525"/>
    <w:rsid w:val="001A1174"/>
    <w:rsid w:val="001A124D"/>
    <w:rsid w:val="001A1695"/>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6B29"/>
    <w:rsid w:val="001E712C"/>
    <w:rsid w:val="001E73E3"/>
    <w:rsid w:val="001F0385"/>
    <w:rsid w:val="001F0D61"/>
    <w:rsid w:val="001F0E6A"/>
    <w:rsid w:val="001F3A28"/>
    <w:rsid w:val="001F4B04"/>
    <w:rsid w:val="001F683C"/>
    <w:rsid w:val="001F687D"/>
    <w:rsid w:val="002007BA"/>
    <w:rsid w:val="00200BC6"/>
    <w:rsid w:val="0020278B"/>
    <w:rsid w:val="00202E09"/>
    <w:rsid w:val="00202EA7"/>
    <w:rsid w:val="0020486E"/>
    <w:rsid w:val="00207E67"/>
    <w:rsid w:val="00210134"/>
    <w:rsid w:val="0021080C"/>
    <w:rsid w:val="00212817"/>
    <w:rsid w:val="00216470"/>
    <w:rsid w:val="00225C7E"/>
    <w:rsid w:val="00226225"/>
    <w:rsid w:val="002262EC"/>
    <w:rsid w:val="00230104"/>
    <w:rsid w:val="002325E4"/>
    <w:rsid w:val="00234B05"/>
    <w:rsid w:val="002369B8"/>
    <w:rsid w:val="00236EB2"/>
    <w:rsid w:val="00244732"/>
    <w:rsid w:val="00246ACC"/>
    <w:rsid w:val="0025417A"/>
    <w:rsid w:val="00254DC6"/>
    <w:rsid w:val="00261A57"/>
    <w:rsid w:val="00261BD3"/>
    <w:rsid w:val="002668C5"/>
    <w:rsid w:val="00272D93"/>
    <w:rsid w:val="00273291"/>
    <w:rsid w:val="00274F72"/>
    <w:rsid w:val="00275DF2"/>
    <w:rsid w:val="00281694"/>
    <w:rsid w:val="0028229D"/>
    <w:rsid w:val="002833D9"/>
    <w:rsid w:val="002839ED"/>
    <w:rsid w:val="002914C4"/>
    <w:rsid w:val="002938AB"/>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04CB"/>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54BF"/>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2BC8"/>
    <w:rsid w:val="003D58B2"/>
    <w:rsid w:val="003D5D97"/>
    <w:rsid w:val="003E3DEA"/>
    <w:rsid w:val="003E657D"/>
    <w:rsid w:val="003F57F0"/>
    <w:rsid w:val="004000AB"/>
    <w:rsid w:val="00404490"/>
    <w:rsid w:val="004050CC"/>
    <w:rsid w:val="00407ED0"/>
    <w:rsid w:val="00412EFF"/>
    <w:rsid w:val="0041542B"/>
    <w:rsid w:val="00415AB1"/>
    <w:rsid w:val="00416BE3"/>
    <w:rsid w:val="004241A1"/>
    <w:rsid w:val="00426CB3"/>
    <w:rsid w:val="00430AA9"/>
    <w:rsid w:val="00436F35"/>
    <w:rsid w:val="004404D5"/>
    <w:rsid w:val="0044066C"/>
    <w:rsid w:val="0044287C"/>
    <w:rsid w:val="00442DA3"/>
    <w:rsid w:val="00444DB8"/>
    <w:rsid w:val="00447E3D"/>
    <w:rsid w:val="00454193"/>
    <w:rsid w:val="00454504"/>
    <w:rsid w:val="00457BC3"/>
    <w:rsid w:val="00464432"/>
    <w:rsid w:val="00464787"/>
    <w:rsid w:val="004659D5"/>
    <w:rsid w:val="00471029"/>
    <w:rsid w:val="00475425"/>
    <w:rsid w:val="00475879"/>
    <w:rsid w:val="00480EEB"/>
    <w:rsid w:val="004815E5"/>
    <w:rsid w:val="004825CA"/>
    <w:rsid w:val="004A2467"/>
    <w:rsid w:val="004A34B5"/>
    <w:rsid w:val="004A5EE0"/>
    <w:rsid w:val="004B051A"/>
    <w:rsid w:val="004B6441"/>
    <w:rsid w:val="004B698A"/>
    <w:rsid w:val="004B701F"/>
    <w:rsid w:val="004B7AFB"/>
    <w:rsid w:val="004B7B72"/>
    <w:rsid w:val="004C5399"/>
    <w:rsid w:val="004C6E5B"/>
    <w:rsid w:val="004C726D"/>
    <w:rsid w:val="004C7C23"/>
    <w:rsid w:val="004D1EA6"/>
    <w:rsid w:val="004D45FA"/>
    <w:rsid w:val="004D5756"/>
    <w:rsid w:val="004D672B"/>
    <w:rsid w:val="004D7820"/>
    <w:rsid w:val="004E16B6"/>
    <w:rsid w:val="004E5C17"/>
    <w:rsid w:val="004F7938"/>
    <w:rsid w:val="005005F6"/>
    <w:rsid w:val="0050287E"/>
    <w:rsid w:val="00503222"/>
    <w:rsid w:val="00503817"/>
    <w:rsid w:val="005040CF"/>
    <w:rsid w:val="0050687A"/>
    <w:rsid w:val="0051414C"/>
    <w:rsid w:val="00515602"/>
    <w:rsid w:val="00517252"/>
    <w:rsid w:val="0052301F"/>
    <w:rsid w:val="005230E0"/>
    <w:rsid w:val="0052417A"/>
    <w:rsid w:val="00524B4A"/>
    <w:rsid w:val="00525050"/>
    <w:rsid w:val="00526F80"/>
    <w:rsid w:val="00527247"/>
    <w:rsid w:val="00532143"/>
    <w:rsid w:val="005325A3"/>
    <w:rsid w:val="00533590"/>
    <w:rsid w:val="0053752C"/>
    <w:rsid w:val="00540B10"/>
    <w:rsid w:val="00546D27"/>
    <w:rsid w:val="00552885"/>
    <w:rsid w:val="005530E1"/>
    <w:rsid w:val="005532B7"/>
    <w:rsid w:val="0055442A"/>
    <w:rsid w:val="005574E2"/>
    <w:rsid w:val="00566647"/>
    <w:rsid w:val="00567FE1"/>
    <w:rsid w:val="00570163"/>
    <w:rsid w:val="0057560E"/>
    <w:rsid w:val="00575A04"/>
    <w:rsid w:val="00576C0F"/>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601F38"/>
    <w:rsid w:val="00607A17"/>
    <w:rsid w:val="006106F1"/>
    <w:rsid w:val="00622E87"/>
    <w:rsid w:val="006254BD"/>
    <w:rsid w:val="006321E9"/>
    <w:rsid w:val="006443B2"/>
    <w:rsid w:val="00651A1C"/>
    <w:rsid w:val="006558FC"/>
    <w:rsid w:val="00655E68"/>
    <w:rsid w:val="00657E32"/>
    <w:rsid w:val="00663C28"/>
    <w:rsid w:val="006701D5"/>
    <w:rsid w:val="00670BF4"/>
    <w:rsid w:val="0067125E"/>
    <w:rsid w:val="00673325"/>
    <w:rsid w:val="00675BB3"/>
    <w:rsid w:val="006769F9"/>
    <w:rsid w:val="00680408"/>
    <w:rsid w:val="00683123"/>
    <w:rsid w:val="00683FE3"/>
    <w:rsid w:val="0068445E"/>
    <w:rsid w:val="00685FB5"/>
    <w:rsid w:val="00692CED"/>
    <w:rsid w:val="00693A74"/>
    <w:rsid w:val="00697265"/>
    <w:rsid w:val="006A2753"/>
    <w:rsid w:val="006A28A1"/>
    <w:rsid w:val="006A4FD3"/>
    <w:rsid w:val="006B0A4D"/>
    <w:rsid w:val="006B2902"/>
    <w:rsid w:val="006B58FF"/>
    <w:rsid w:val="006B627F"/>
    <w:rsid w:val="006B6B87"/>
    <w:rsid w:val="006B7267"/>
    <w:rsid w:val="006C00C2"/>
    <w:rsid w:val="006C38F0"/>
    <w:rsid w:val="006C4B44"/>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17214"/>
    <w:rsid w:val="0072012D"/>
    <w:rsid w:val="00721D14"/>
    <w:rsid w:val="007221B7"/>
    <w:rsid w:val="00722F1E"/>
    <w:rsid w:val="00731311"/>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5B0"/>
    <w:rsid w:val="007977E5"/>
    <w:rsid w:val="00797BD3"/>
    <w:rsid w:val="007A13BE"/>
    <w:rsid w:val="007A1505"/>
    <w:rsid w:val="007A1663"/>
    <w:rsid w:val="007A38DA"/>
    <w:rsid w:val="007A3B66"/>
    <w:rsid w:val="007A4CDA"/>
    <w:rsid w:val="007A63F7"/>
    <w:rsid w:val="007B305F"/>
    <w:rsid w:val="007B33D4"/>
    <w:rsid w:val="007B59F3"/>
    <w:rsid w:val="007C1168"/>
    <w:rsid w:val="007C1C00"/>
    <w:rsid w:val="007C294F"/>
    <w:rsid w:val="007C2B80"/>
    <w:rsid w:val="007D0301"/>
    <w:rsid w:val="007D184B"/>
    <w:rsid w:val="007D2100"/>
    <w:rsid w:val="007D25C3"/>
    <w:rsid w:val="007D4445"/>
    <w:rsid w:val="007E2C13"/>
    <w:rsid w:val="007E2F31"/>
    <w:rsid w:val="007E5629"/>
    <w:rsid w:val="007E7731"/>
    <w:rsid w:val="007F51F2"/>
    <w:rsid w:val="007F575A"/>
    <w:rsid w:val="007F61A6"/>
    <w:rsid w:val="008040A8"/>
    <w:rsid w:val="00806C56"/>
    <w:rsid w:val="00810CA9"/>
    <w:rsid w:val="00812EC6"/>
    <w:rsid w:val="008139C0"/>
    <w:rsid w:val="00816670"/>
    <w:rsid w:val="0081783D"/>
    <w:rsid w:val="008268AA"/>
    <w:rsid w:val="008441FE"/>
    <w:rsid w:val="0086257F"/>
    <w:rsid w:val="00865DD0"/>
    <w:rsid w:val="00865F09"/>
    <w:rsid w:val="00866F8D"/>
    <w:rsid w:val="00871CDC"/>
    <w:rsid w:val="008751AB"/>
    <w:rsid w:val="008755C5"/>
    <w:rsid w:val="00884042"/>
    <w:rsid w:val="00885437"/>
    <w:rsid w:val="00887561"/>
    <w:rsid w:val="00887CC4"/>
    <w:rsid w:val="008914FB"/>
    <w:rsid w:val="00891843"/>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302"/>
    <w:rsid w:val="008E1A0A"/>
    <w:rsid w:val="008E2EBC"/>
    <w:rsid w:val="008E6320"/>
    <w:rsid w:val="008F34BD"/>
    <w:rsid w:val="00900D0A"/>
    <w:rsid w:val="0090511E"/>
    <w:rsid w:val="00905790"/>
    <w:rsid w:val="00906ED1"/>
    <w:rsid w:val="009100F8"/>
    <w:rsid w:val="00911515"/>
    <w:rsid w:val="009116BD"/>
    <w:rsid w:val="00911A56"/>
    <w:rsid w:val="00912377"/>
    <w:rsid w:val="00914BB9"/>
    <w:rsid w:val="00914DF9"/>
    <w:rsid w:val="00920D7A"/>
    <w:rsid w:val="00936137"/>
    <w:rsid w:val="0094091E"/>
    <w:rsid w:val="00945E4C"/>
    <w:rsid w:val="00945ED8"/>
    <w:rsid w:val="00946A67"/>
    <w:rsid w:val="009549AE"/>
    <w:rsid w:val="009552C2"/>
    <w:rsid w:val="009555BC"/>
    <w:rsid w:val="009612F7"/>
    <w:rsid w:val="00965A85"/>
    <w:rsid w:val="00966299"/>
    <w:rsid w:val="00967429"/>
    <w:rsid w:val="009746C4"/>
    <w:rsid w:val="00975D7E"/>
    <w:rsid w:val="009808AC"/>
    <w:rsid w:val="00982A89"/>
    <w:rsid w:val="009840A5"/>
    <w:rsid w:val="009907A3"/>
    <w:rsid w:val="009924E0"/>
    <w:rsid w:val="009945CA"/>
    <w:rsid w:val="009970AF"/>
    <w:rsid w:val="009A48CE"/>
    <w:rsid w:val="009A79E6"/>
    <w:rsid w:val="009B020D"/>
    <w:rsid w:val="009B05DB"/>
    <w:rsid w:val="009B485E"/>
    <w:rsid w:val="009B6412"/>
    <w:rsid w:val="009B666D"/>
    <w:rsid w:val="009B798F"/>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2A42"/>
    <w:rsid w:val="00A040AC"/>
    <w:rsid w:val="00A06583"/>
    <w:rsid w:val="00A077AE"/>
    <w:rsid w:val="00A11AEC"/>
    <w:rsid w:val="00A138B4"/>
    <w:rsid w:val="00A1546F"/>
    <w:rsid w:val="00A1567A"/>
    <w:rsid w:val="00A205A2"/>
    <w:rsid w:val="00A2263A"/>
    <w:rsid w:val="00A228E4"/>
    <w:rsid w:val="00A254AE"/>
    <w:rsid w:val="00A3031B"/>
    <w:rsid w:val="00A31AB9"/>
    <w:rsid w:val="00A402FE"/>
    <w:rsid w:val="00A4045A"/>
    <w:rsid w:val="00A406BC"/>
    <w:rsid w:val="00A4721A"/>
    <w:rsid w:val="00A477D1"/>
    <w:rsid w:val="00A524B5"/>
    <w:rsid w:val="00A60220"/>
    <w:rsid w:val="00A605B5"/>
    <w:rsid w:val="00A62B87"/>
    <w:rsid w:val="00A63E89"/>
    <w:rsid w:val="00A6430E"/>
    <w:rsid w:val="00A668E8"/>
    <w:rsid w:val="00A66FDE"/>
    <w:rsid w:val="00A76A58"/>
    <w:rsid w:val="00A80ACB"/>
    <w:rsid w:val="00A813F8"/>
    <w:rsid w:val="00A818CD"/>
    <w:rsid w:val="00A85142"/>
    <w:rsid w:val="00A857B7"/>
    <w:rsid w:val="00A87E0F"/>
    <w:rsid w:val="00A926B4"/>
    <w:rsid w:val="00A933DA"/>
    <w:rsid w:val="00A93F46"/>
    <w:rsid w:val="00A94B0A"/>
    <w:rsid w:val="00AA0653"/>
    <w:rsid w:val="00AA0B4C"/>
    <w:rsid w:val="00AA35C7"/>
    <w:rsid w:val="00AA3E5C"/>
    <w:rsid w:val="00AA4F49"/>
    <w:rsid w:val="00AA5676"/>
    <w:rsid w:val="00AB276E"/>
    <w:rsid w:val="00AB37C6"/>
    <w:rsid w:val="00AB4EEA"/>
    <w:rsid w:val="00AB5F90"/>
    <w:rsid w:val="00AC1A53"/>
    <w:rsid w:val="00AC384B"/>
    <w:rsid w:val="00AC3AC1"/>
    <w:rsid w:val="00AC6A4A"/>
    <w:rsid w:val="00AD0B65"/>
    <w:rsid w:val="00AD21C9"/>
    <w:rsid w:val="00AD6D2B"/>
    <w:rsid w:val="00AE01E8"/>
    <w:rsid w:val="00AE13CF"/>
    <w:rsid w:val="00AE2E02"/>
    <w:rsid w:val="00AE4437"/>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400E"/>
    <w:rsid w:val="00B505CF"/>
    <w:rsid w:val="00B52D80"/>
    <w:rsid w:val="00B5379B"/>
    <w:rsid w:val="00B5677B"/>
    <w:rsid w:val="00B56C5A"/>
    <w:rsid w:val="00B64855"/>
    <w:rsid w:val="00B650A9"/>
    <w:rsid w:val="00B6696F"/>
    <w:rsid w:val="00B66CC6"/>
    <w:rsid w:val="00B70FB2"/>
    <w:rsid w:val="00B773E0"/>
    <w:rsid w:val="00B87752"/>
    <w:rsid w:val="00B9079A"/>
    <w:rsid w:val="00B93DDE"/>
    <w:rsid w:val="00B97702"/>
    <w:rsid w:val="00BA120C"/>
    <w:rsid w:val="00BA1865"/>
    <w:rsid w:val="00BA2334"/>
    <w:rsid w:val="00BA7086"/>
    <w:rsid w:val="00BB06DA"/>
    <w:rsid w:val="00BC07D7"/>
    <w:rsid w:val="00BC357A"/>
    <w:rsid w:val="00BC3D6D"/>
    <w:rsid w:val="00BC4384"/>
    <w:rsid w:val="00BC7F87"/>
    <w:rsid w:val="00BD16C9"/>
    <w:rsid w:val="00BD40A0"/>
    <w:rsid w:val="00BD660A"/>
    <w:rsid w:val="00BD7FA4"/>
    <w:rsid w:val="00BE4001"/>
    <w:rsid w:val="00BE49F7"/>
    <w:rsid w:val="00BF0EC3"/>
    <w:rsid w:val="00BF6304"/>
    <w:rsid w:val="00BF644B"/>
    <w:rsid w:val="00C00A3A"/>
    <w:rsid w:val="00C0243B"/>
    <w:rsid w:val="00C1049A"/>
    <w:rsid w:val="00C107CE"/>
    <w:rsid w:val="00C13DE3"/>
    <w:rsid w:val="00C14DC6"/>
    <w:rsid w:val="00C20DCE"/>
    <w:rsid w:val="00C3030B"/>
    <w:rsid w:val="00C34EC6"/>
    <w:rsid w:val="00C3711A"/>
    <w:rsid w:val="00C4536B"/>
    <w:rsid w:val="00C47F4E"/>
    <w:rsid w:val="00C5289B"/>
    <w:rsid w:val="00C54995"/>
    <w:rsid w:val="00C6044B"/>
    <w:rsid w:val="00C60796"/>
    <w:rsid w:val="00C6219F"/>
    <w:rsid w:val="00C641E9"/>
    <w:rsid w:val="00C644F5"/>
    <w:rsid w:val="00C7380E"/>
    <w:rsid w:val="00C7641A"/>
    <w:rsid w:val="00C809F3"/>
    <w:rsid w:val="00C80FAC"/>
    <w:rsid w:val="00C8302D"/>
    <w:rsid w:val="00C84DE2"/>
    <w:rsid w:val="00C86B99"/>
    <w:rsid w:val="00C87D58"/>
    <w:rsid w:val="00C87D6D"/>
    <w:rsid w:val="00C92574"/>
    <w:rsid w:val="00C9718A"/>
    <w:rsid w:val="00CA13F9"/>
    <w:rsid w:val="00CA2C74"/>
    <w:rsid w:val="00CA6149"/>
    <w:rsid w:val="00CA6D69"/>
    <w:rsid w:val="00CB241F"/>
    <w:rsid w:val="00CB61CE"/>
    <w:rsid w:val="00CB6BB7"/>
    <w:rsid w:val="00CC1802"/>
    <w:rsid w:val="00CC47B5"/>
    <w:rsid w:val="00CE146F"/>
    <w:rsid w:val="00CE1B6E"/>
    <w:rsid w:val="00CE298D"/>
    <w:rsid w:val="00CE5B13"/>
    <w:rsid w:val="00CE6114"/>
    <w:rsid w:val="00CF0BD1"/>
    <w:rsid w:val="00D01B68"/>
    <w:rsid w:val="00D05732"/>
    <w:rsid w:val="00D0739B"/>
    <w:rsid w:val="00D40CC3"/>
    <w:rsid w:val="00D4509F"/>
    <w:rsid w:val="00D47BED"/>
    <w:rsid w:val="00D501D9"/>
    <w:rsid w:val="00D52ABC"/>
    <w:rsid w:val="00D535E6"/>
    <w:rsid w:val="00D6008C"/>
    <w:rsid w:val="00D6167E"/>
    <w:rsid w:val="00D63995"/>
    <w:rsid w:val="00D67580"/>
    <w:rsid w:val="00D70054"/>
    <w:rsid w:val="00D728E9"/>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01C6"/>
    <w:rsid w:val="00DD44CA"/>
    <w:rsid w:val="00DD47E2"/>
    <w:rsid w:val="00DD595E"/>
    <w:rsid w:val="00DD6338"/>
    <w:rsid w:val="00DE0CAB"/>
    <w:rsid w:val="00DE18A3"/>
    <w:rsid w:val="00DE1B57"/>
    <w:rsid w:val="00DE4672"/>
    <w:rsid w:val="00DF4569"/>
    <w:rsid w:val="00DF61FC"/>
    <w:rsid w:val="00E0293B"/>
    <w:rsid w:val="00E0685C"/>
    <w:rsid w:val="00E072F5"/>
    <w:rsid w:val="00E076C0"/>
    <w:rsid w:val="00E1095C"/>
    <w:rsid w:val="00E11599"/>
    <w:rsid w:val="00E149B3"/>
    <w:rsid w:val="00E21F98"/>
    <w:rsid w:val="00E24CC5"/>
    <w:rsid w:val="00E275C2"/>
    <w:rsid w:val="00E37B6C"/>
    <w:rsid w:val="00E413C6"/>
    <w:rsid w:val="00E41BB7"/>
    <w:rsid w:val="00E41EDD"/>
    <w:rsid w:val="00E43DDB"/>
    <w:rsid w:val="00E44261"/>
    <w:rsid w:val="00E45544"/>
    <w:rsid w:val="00E55D00"/>
    <w:rsid w:val="00E56D8F"/>
    <w:rsid w:val="00E57D32"/>
    <w:rsid w:val="00E627AE"/>
    <w:rsid w:val="00E66D4E"/>
    <w:rsid w:val="00E74099"/>
    <w:rsid w:val="00E751A1"/>
    <w:rsid w:val="00E82E42"/>
    <w:rsid w:val="00E838E3"/>
    <w:rsid w:val="00E84720"/>
    <w:rsid w:val="00E93E97"/>
    <w:rsid w:val="00EA180F"/>
    <w:rsid w:val="00EA3BF7"/>
    <w:rsid w:val="00EA599B"/>
    <w:rsid w:val="00EA61ED"/>
    <w:rsid w:val="00EB0715"/>
    <w:rsid w:val="00EB1337"/>
    <w:rsid w:val="00EB57C4"/>
    <w:rsid w:val="00EB6E31"/>
    <w:rsid w:val="00EB7088"/>
    <w:rsid w:val="00EC0AD0"/>
    <w:rsid w:val="00EC1414"/>
    <w:rsid w:val="00EC2618"/>
    <w:rsid w:val="00EC2AFC"/>
    <w:rsid w:val="00EC2CBB"/>
    <w:rsid w:val="00EC5F1C"/>
    <w:rsid w:val="00ED0DDC"/>
    <w:rsid w:val="00ED0DEE"/>
    <w:rsid w:val="00ED156A"/>
    <w:rsid w:val="00ED31BF"/>
    <w:rsid w:val="00ED5F5C"/>
    <w:rsid w:val="00ED67E0"/>
    <w:rsid w:val="00EE3F01"/>
    <w:rsid w:val="00EE6303"/>
    <w:rsid w:val="00EF2392"/>
    <w:rsid w:val="00F011D0"/>
    <w:rsid w:val="00F04782"/>
    <w:rsid w:val="00F06729"/>
    <w:rsid w:val="00F06766"/>
    <w:rsid w:val="00F06A90"/>
    <w:rsid w:val="00F10244"/>
    <w:rsid w:val="00F118A0"/>
    <w:rsid w:val="00F11CC0"/>
    <w:rsid w:val="00F1618A"/>
    <w:rsid w:val="00F17CE2"/>
    <w:rsid w:val="00F20CFE"/>
    <w:rsid w:val="00F20E79"/>
    <w:rsid w:val="00F2255D"/>
    <w:rsid w:val="00F22934"/>
    <w:rsid w:val="00F22D1A"/>
    <w:rsid w:val="00F24C41"/>
    <w:rsid w:val="00F35014"/>
    <w:rsid w:val="00F351EC"/>
    <w:rsid w:val="00F3689D"/>
    <w:rsid w:val="00F37CFF"/>
    <w:rsid w:val="00F41B74"/>
    <w:rsid w:val="00F43132"/>
    <w:rsid w:val="00F45857"/>
    <w:rsid w:val="00F523D2"/>
    <w:rsid w:val="00F531CC"/>
    <w:rsid w:val="00F5623E"/>
    <w:rsid w:val="00F5711C"/>
    <w:rsid w:val="00F66474"/>
    <w:rsid w:val="00F67FBE"/>
    <w:rsid w:val="00F722BB"/>
    <w:rsid w:val="00F72938"/>
    <w:rsid w:val="00F87D3E"/>
    <w:rsid w:val="00F9192C"/>
    <w:rsid w:val="00F925C5"/>
    <w:rsid w:val="00F97D7D"/>
    <w:rsid w:val="00FA346F"/>
    <w:rsid w:val="00FA5F66"/>
    <w:rsid w:val="00FB5489"/>
    <w:rsid w:val="00FC0576"/>
    <w:rsid w:val="00FC3A08"/>
    <w:rsid w:val="00FC4C10"/>
    <w:rsid w:val="00FD0099"/>
    <w:rsid w:val="00FD05D4"/>
    <w:rsid w:val="00FD3B0A"/>
    <w:rsid w:val="00FD4ABD"/>
    <w:rsid w:val="00FD6B67"/>
    <w:rsid w:val="00FE3BBF"/>
    <w:rsid w:val="00FF0667"/>
    <w:rsid w:val="00FF0769"/>
    <w:rsid w:val="00FF08DF"/>
    <w:rsid w:val="00FF33F2"/>
    <w:rsid w:val="00FF3875"/>
    <w:rsid w:val="00FF6CCA"/>
    <w:rsid w:val="01E80CCA"/>
    <w:rsid w:val="233CE29A"/>
    <w:rsid w:val="31F006EF"/>
    <w:rsid w:val="7EEAE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733BAC"/>
  <w15:docId w15:val="{E0CA3F68-D91B-4BAB-98D0-4F8EE6A2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0E"/>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7B59F3"/>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Strong">
    <w:name w:val="Strong"/>
    <w:basedOn w:val="DefaultParagraphFont"/>
    <w:qFormat/>
    <w:rsid w:val="00B773E0"/>
    <w:rPr>
      <w:b/>
      <w:bC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7B59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fa-esf-guidance-for-employers-about-state-aid" TargetMode="External"/><Relationship Id="rId2" Type="http://schemas.openxmlformats.org/officeDocument/2006/relationships/customXml" Target="../customXml/item2.xml"/><Relationship Id="rId16" Type="http://schemas.openxmlformats.org/officeDocument/2006/relationships/hyperlink" Target="https://www.greatermanchesterca.gov.uk/downloads/download/8/stronger_together_-_greater_manchester_strate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reatermanchester-ca.gov.uk/downloads/download/10/gm_growth_and_reform_pla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308090E0-89D9-4B49-9CB4-1958AF42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EF002A09-F4F1-4F74-9753-2F4E0F42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4406</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2016-04-05T16:38:00Z</cp:lastPrinted>
  <dcterms:created xsi:type="dcterms:W3CDTF">2016-05-05T12:31:00Z</dcterms:created>
  <dcterms:modified xsi:type="dcterms:W3CDTF">2016-05-05T12:44:00Z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