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594"/>
        <w:gridCol w:w="4534"/>
        <w:gridCol w:w="5637"/>
      </w:tblGrid>
      <w:tr w:rsidR="00146922" w:rsidRPr="00CA4FF2" w:rsidTr="00B12622">
        <w:trPr>
          <w:trHeight w:hRule="exact" w:val="340"/>
          <w:jc w:val="center"/>
        </w:trPr>
        <w:tc>
          <w:tcPr>
            <w:tcW w:w="594"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N</w:t>
            </w:r>
            <w:r w:rsidR="00E4470F" w:rsidRPr="00CA4FF2">
              <w:rPr>
                <w:rFonts w:ascii="Open Sans" w:hAnsi="Open Sans" w:cs="Open Sans"/>
                <w:sz w:val="22"/>
                <w:szCs w:val="22"/>
              </w:rPr>
              <w:t>o.</w:t>
            </w:r>
          </w:p>
        </w:tc>
        <w:tc>
          <w:tcPr>
            <w:tcW w:w="4534"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 xml:space="preserve">Question </w:t>
            </w:r>
          </w:p>
        </w:tc>
        <w:tc>
          <w:tcPr>
            <w:tcW w:w="5637"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Answer</w:t>
            </w:r>
          </w:p>
        </w:tc>
      </w:tr>
      <w:tr w:rsidR="00146922" w:rsidRPr="00CA4FF2" w:rsidTr="00B12622">
        <w:trPr>
          <w:trHeight w:val="1268"/>
          <w:jc w:val="center"/>
        </w:trPr>
        <w:tc>
          <w:tcPr>
            <w:tcW w:w="594" w:type="dxa"/>
            <w:vAlign w:val="center"/>
          </w:tcPr>
          <w:p w:rsidR="00146922" w:rsidRPr="00CA4FF2" w:rsidRDefault="00146922" w:rsidP="005A30FB">
            <w:pPr>
              <w:pStyle w:val="Heading1"/>
              <w:numPr>
                <w:ilvl w:val="0"/>
                <w:numId w:val="16"/>
              </w:numPr>
              <w:spacing w:before="0"/>
              <w:ind w:left="397"/>
              <w:jc w:val="right"/>
              <w:outlineLvl w:val="0"/>
              <w:rPr>
                <w:rFonts w:ascii="Open Sans" w:hAnsi="Open Sans" w:cs="Open Sans"/>
                <w:sz w:val="22"/>
                <w:szCs w:val="22"/>
              </w:rPr>
            </w:pPr>
          </w:p>
        </w:tc>
        <w:tc>
          <w:tcPr>
            <w:tcW w:w="4534" w:type="dxa"/>
            <w:vAlign w:val="center"/>
          </w:tcPr>
          <w:p w:rsidR="00594BBA" w:rsidRPr="00CA4FF2" w:rsidRDefault="00651AAF" w:rsidP="005A30FB">
            <w:pPr>
              <w:rPr>
                <w:rFonts w:ascii="Open Sans" w:eastAsia="Times New Roman" w:hAnsi="Open Sans" w:cs="Open Sans"/>
              </w:rPr>
            </w:pPr>
            <w:r w:rsidRPr="00CA4FF2">
              <w:rPr>
                <w:rFonts w:ascii="Open Sans" w:eastAsia="Times New Roman" w:hAnsi="Open Sans" w:cs="Open Sans"/>
              </w:rPr>
              <w:t>Are we able to discuss the requi</w:t>
            </w:r>
            <w:r w:rsidR="00CA4FF2" w:rsidRPr="00CA4FF2">
              <w:rPr>
                <w:rFonts w:ascii="Open Sans" w:eastAsia="Times New Roman" w:hAnsi="Open Sans" w:cs="Open Sans"/>
              </w:rPr>
              <w:t xml:space="preserve">rements of this tender with </w:t>
            </w:r>
            <w:r w:rsidRPr="00CA4FF2">
              <w:rPr>
                <w:rFonts w:ascii="Open Sans" w:eastAsia="Times New Roman" w:hAnsi="Open Sans" w:cs="Open Sans"/>
              </w:rPr>
              <w:t>UKCES prior to submitting our proposal?</w:t>
            </w:r>
          </w:p>
        </w:tc>
        <w:tc>
          <w:tcPr>
            <w:tcW w:w="5637" w:type="dxa"/>
            <w:vAlign w:val="center"/>
          </w:tcPr>
          <w:p w:rsidR="00146922" w:rsidRPr="00CA4FF2" w:rsidRDefault="00CA4FF2" w:rsidP="00651AAF">
            <w:pPr>
              <w:pStyle w:val="Heading1"/>
              <w:spacing w:before="120"/>
              <w:outlineLvl w:val="0"/>
              <w:rPr>
                <w:rFonts w:ascii="Open Sans" w:hAnsi="Open Sans" w:cs="Open Sans"/>
                <w:b w:val="0"/>
                <w:sz w:val="22"/>
                <w:szCs w:val="22"/>
              </w:rPr>
            </w:pPr>
            <w:r w:rsidRPr="00CA4FF2">
              <w:rPr>
                <w:rFonts w:ascii="Open Sans" w:hAnsi="Open Sans" w:cs="Open Sans"/>
                <w:b w:val="0"/>
                <w:bCs w:val="0"/>
                <w:sz w:val="22"/>
                <w:szCs w:val="22"/>
              </w:rPr>
              <w:t>UKCES</w:t>
            </w:r>
            <w:r w:rsidR="004F6155" w:rsidRPr="00CA4FF2">
              <w:rPr>
                <w:rFonts w:ascii="Open Sans" w:hAnsi="Open Sans" w:cs="Open Sans"/>
                <w:b w:val="0"/>
                <w:bCs w:val="0"/>
                <w:sz w:val="22"/>
                <w:szCs w:val="22"/>
              </w:rPr>
              <w:t xml:space="preserve"> will not discuss forthcoming or live ten</w:t>
            </w:r>
            <w:r w:rsidR="006D3717" w:rsidRPr="00CA4FF2">
              <w:rPr>
                <w:rFonts w:ascii="Open Sans" w:hAnsi="Open Sans" w:cs="Open Sans"/>
                <w:b w:val="0"/>
                <w:bCs w:val="0"/>
                <w:sz w:val="22"/>
                <w:szCs w:val="22"/>
              </w:rPr>
              <w:t xml:space="preserve">ders with individual suppliers </w:t>
            </w:r>
            <w:r w:rsidR="004F6155" w:rsidRPr="00CA4FF2">
              <w:rPr>
                <w:rFonts w:ascii="Open Sans" w:hAnsi="Open Sans" w:cs="Open Sans"/>
                <w:b w:val="0"/>
                <w:bCs w:val="0"/>
                <w:sz w:val="22"/>
                <w:szCs w:val="22"/>
              </w:rPr>
              <w:t>as this could result in unintentionally giving them an unfair advantage. We would be pleased to receive, in writing, any questions which you may have.</w:t>
            </w:r>
          </w:p>
        </w:tc>
      </w:tr>
      <w:tr w:rsidR="00AB2377" w:rsidRPr="00CA4FF2" w:rsidTr="00B12622">
        <w:trPr>
          <w:trHeight w:val="1268"/>
          <w:jc w:val="center"/>
        </w:trPr>
        <w:tc>
          <w:tcPr>
            <w:tcW w:w="594" w:type="dxa"/>
            <w:vAlign w:val="center"/>
          </w:tcPr>
          <w:p w:rsidR="00AB2377" w:rsidRPr="00CA4FF2" w:rsidRDefault="00AB2377" w:rsidP="005A30FB">
            <w:pPr>
              <w:pStyle w:val="Heading1"/>
              <w:numPr>
                <w:ilvl w:val="0"/>
                <w:numId w:val="16"/>
              </w:numPr>
              <w:spacing w:before="0"/>
              <w:ind w:left="397"/>
              <w:jc w:val="right"/>
              <w:outlineLvl w:val="0"/>
              <w:rPr>
                <w:rFonts w:ascii="Open Sans" w:hAnsi="Open Sans" w:cs="Open Sans"/>
                <w:sz w:val="22"/>
                <w:szCs w:val="22"/>
              </w:rPr>
            </w:pPr>
          </w:p>
        </w:tc>
        <w:tc>
          <w:tcPr>
            <w:tcW w:w="4534" w:type="dxa"/>
            <w:vAlign w:val="center"/>
          </w:tcPr>
          <w:p w:rsidR="00AB2377" w:rsidRPr="00CA4FF2" w:rsidRDefault="00AB2377" w:rsidP="005A30FB">
            <w:pPr>
              <w:rPr>
                <w:rFonts w:ascii="Open Sans" w:eastAsia="Times New Roman" w:hAnsi="Open Sans" w:cs="Open Sans"/>
              </w:rPr>
            </w:pPr>
            <w:r w:rsidRPr="00CA4FF2">
              <w:rPr>
                <w:rFonts w:ascii="Open Sans" w:eastAsia="Times New Roman" w:hAnsi="Open Sans" w:cs="Open Sans"/>
              </w:rPr>
              <w:t>Can we be placed on a list to be notified of future opportunities of this type?</w:t>
            </w:r>
          </w:p>
        </w:tc>
        <w:tc>
          <w:tcPr>
            <w:tcW w:w="5637" w:type="dxa"/>
            <w:vAlign w:val="center"/>
          </w:tcPr>
          <w:p w:rsidR="00A8648E" w:rsidRPr="00CA4FF2" w:rsidRDefault="00A8648E" w:rsidP="00AB2377">
            <w:pPr>
              <w:pStyle w:val="Heading1"/>
              <w:spacing w:before="120"/>
              <w:outlineLvl w:val="0"/>
              <w:rPr>
                <w:rFonts w:ascii="Open Sans" w:hAnsi="Open Sans" w:cs="Open Sans"/>
                <w:b w:val="0"/>
                <w:bCs w:val="0"/>
                <w:sz w:val="22"/>
                <w:szCs w:val="22"/>
              </w:rPr>
            </w:pPr>
            <w:r w:rsidRPr="00CA4FF2">
              <w:rPr>
                <w:rFonts w:ascii="Open Sans" w:hAnsi="Open Sans" w:cs="Open Sans"/>
                <w:b w:val="0"/>
                <w:bCs w:val="0"/>
                <w:sz w:val="22"/>
                <w:szCs w:val="22"/>
              </w:rPr>
              <w:t>To be notified of new tenders posted please register on Contracts Finder and subscribe to the RSS / data feed.</w:t>
            </w:r>
          </w:p>
          <w:p w:rsidR="00A8648E" w:rsidRPr="00CA4FF2" w:rsidRDefault="00A8648E" w:rsidP="00A8648E">
            <w:pPr>
              <w:rPr>
                <w:rFonts w:ascii="Open Sans" w:hAnsi="Open Sans" w:cs="Open Sans"/>
              </w:rPr>
            </w:pPr>
          </w:p>
          <w:p w:rsidR="00A8648E" w:rsidRPr="00CA4FF2" w:rsidRDefault="00A8648E" w:rsidP="00A8648E">
            <w:pPr>
              <w:rPr>
                <w:rFonts w:ascii="Open Sans" w:hAnsi="Open Sans" w:cs="Open Sans"/>
              </w:rPr>
            </w:pPr>
            <w:r w:rsidRPr="00CA4FF2">
              <w:rPr>
                <w:rFonts w:ascii="Open Sans" w:hAnsi="Open Sans" w:cs="Open Sans"/>
              </w:rPr>
              <w:t>All suppliers are welcome to bid for our work but we do not operate any kind of preferred supplier list.</w:t>
            </w:r>
          </w:p>
          <w:p w:rsidR="00AB2377" w:rsidRPr="00CA4FF2" w:rsidRDefault="00AB2377" w:rsidP="00AB2377">
            <w:pPr>
              <w:pStyle w:val="Heading1"/>
              <w:spacing w:before="120"/>
              <w:outlineLvl w:val="0"/>
              <w:rPr>
                <w:rFonts w:ascii="Open Sans" w:hAnsi="Open Sans" w:cs="Open Sans"/>
                <w:b w:val="0"/>
                <w:bCs w:val="0"/>
                <w:sz w:val="22"/>
                <w:szCs w:val="22"/>
              </w:rPr>
            </w:pPr>
            <w:r w:rsidRPr="00CA4FF2">
              <w:rPr>
                <w:rFonts w:ascii="Open Sans" w:hAnsi="Open Sans" w:cs="Open Sans"/>
                <w:b w:val="0"/>
                <w:bCs w:val="0"/>
                <w:sz w:val="22"/>
                <w:szCs w:val="22"/>
              </w:rPr>
              <w:t xml:space="preserve">Each tender is open to all who can fulfil the requirements; simply read the tender documents for any opportunity and respond with the information requested, details of the evaluation criteria and scoring systems are included with each Invitation to Tender.  </w:t>
            </w:r>
          </w:p>
          <w:p w:rsidR="00AB2377" w:rsidRPr="00CA4FF2" w:rsidRDefault="00AB2377" w:rsidP="00A8648E">
            <w:pPr>
              <w:rPr>
                <w:rFonts w:ascii="Open Sans" w:hAnsi="Open Sans" w:cs="Open Sans"/>
              </w:rPr>
            </w:pPr>
          </w:p>
        </w:tc>
      </w:tr>
      <w:tr w:rsidR="00C63AB5" w:rsidRPr="00CA4FF2" w:rsidTr="00B12622">
        <w:trPr>
          <w:jc w:val="center"/>
        </w:trPr>
        <w:tc>
          <w:tcPr>
            <w:tcW w:w="594" w:type="dxa"/>
            <w:vAlign w:val="center"/>
          </w:tcPr>
          <w:p w:rsidR="00C63AB5" w:rsidRPr="00CA4FF2" w:rsidRDefault="00C63AB5" w:rsidP="005A30FB">
            <w:pPr>
              <w:pStyle w:val="Heading1"/>
              <w:numPr>
                <w:ilvl w:val="0"/>
                <w:numId w:val="16"/>
              </w:numPr>
              <w:spacing w:before="0"/>
              <w:ind w:left="397"/>
              <w:jc w:val="right"/>
              <w:outlineLvl w:val="0"/>
              <w:rPr>
                <w:rFonts w:ascii="Open Sans" w:hAnsi="Open Sans" w:cs="Open Sans"/>
                <w:sz w:val="22"/>
                <w:szCs w:val="22"/>
              </w:rPr>
            </w:pPr>
          </w:p>
        </w:tc>
        <w:tc>
          <w:tcPr>
            <w:tcW w:w="4534" w:type="dxa"/>
            <w:vAlign w:val="center"/>
          </w:tcPr>
          <w:p w:rsidR="00C63AB5" w:rsidRPr="00CA4FF2" w:rsidRDefault="00C63AB5" w:rsidP="00C63AB5">
            <w:pPr>
              <w:rPr>
                <w:rFonts w:ascii="Open Sans" w:eastAsia="Times New Roman" w:hAnsi="Open Sans" w:cs="Open Sans"/>
                <w:color w:val="000000"/>
              </w:rPr>
            </w:pPr>
            <w:r w:rsidRPr="00CA4FF2">
              <w:rPr>
                <w:rFonts w:ascii="Open Sans" w:eastAsia="Times New Roman" w:hAnsi="Open Sans" w:cs="Open Sans"/>
                <w:color w:val="000000"/>
              </w:rPr>
              <w:t>What is the e-mail size limit for submissions?</w:t>
            </w:r>
          </w:p>
          <w:p w:rsidR="00C63AB5" w:rsidRPr="00CA4FF2" w:rsidRDefault="00C63AB5" w:rsidP="00C63AB5">
            <w:pPr>
              <w:rPr>
                <w:rFonts w:ascii="Open Sans" w:eastAsia="Times New Roman" w:hAnsi="Open Sans" w:cs="Open Sans"/>
                <w:color w:val="000000"/>
              </w:rPr>
            </w:pPr>
          </w:p>
        </w:tc>
        <w:tc>
          <w:tcPr>
            <w:tcW w:w="5637" w:type="dxa"/>
            <w:vAlign w:val="center"/>
          </w:tcPr>
          <w:p w:rsidR="00C63AB5" w:rsidRPr="00CA4FF2" w:rsidRDefault="00C63AB5" w:rsidP="00C63AB5">
            <w:pPr>
              <w:rPr>
                <w:rFonts w:ascii="Open Sans" w:hAnsi="Open Sans" w:cs="Open Sans"/>
                <w:bCs/>
              </w:rPr>
            </w:pPr>
            <w:r w:rsidRPr="00CA4FF2">
              <w:rPr>
                <w:rFonts w:ascii="Open Sans" w:hAnsi="Open Sans" w:cs="Open Sans"/>
                <w:bCs/>
              </w:rPr>
              <w:t xml:space="preserve">E-mails should be no greater than 10MB in size. </w:t>
            </w:r>
          </w:p>
          <w:p w:rsidR="00C63AB5" w:rsidRPr="00CA4FF2" w:rsidRDefault="00C63AB5" w:rsidP="00C63AB5">
            <w:pPr>
              <w:rPr>
                <w:rFonts w:ascii="Open Sans" w:hAnsi="Open Sans" w:cs="Open Sans"/>
                <w:bCs/>
              </w:rPr>
            </w:pPr>
          </w:p>
          <w:p w:rsidR="00C63AB5" w:rsidRPr="00CA4FF2" w:rsidRDefault="00C63AB5" w:rsidP="00C63AB5">
            <w:pPr>
              <w:rPr>
                <w:rFonts w:ascii="Open Sans" w:hAnsi="Open Sans" w:cs="Open Sans"/>
                <w:bCs/>
              </w:rPr>
            </w:pPr>
            <w:r w:rsidRPr="00CA4FF2">
              <w:rPr>
                <w:rFonts w:ascii="Open Sans" w:hAnsi="Open Sans" w:cs="Open Sans"/>
                <w:bCs/>
              </w:rPr>
              <w:t>Any emails which are bordering on the 10MB size limit</w:t>
            </w:r>
            <w:r w:rsidR="00A40619" w:rsidRPr="00CA4FF2">
              <w:rPr>
                <w:rFonts w:ascii="Open Sans" w:hAnsi="Open Sans" w:cs="Open Sans"/>
                <w:bCs/>
              </w:rPr>
              <w:t xml:space="preserve"> MAY NOT reach </w:t>
            </w:r>
            <w:hyperlink r:id="rId7" w:history="1">
              <w:r w:rsidR="00A40619" w:rsidRPr="00CA4FF2">
                <w:rPr>
                  <w:rStyle w:val="Hyperlink"/>
                  <w:rFonts w:ascii="Open Sans" w:hAnsi="Open Sans" w:cs="Open Sans"/>
                  <w:bCs/>
                </w:rPr>
                <w:t>tenders@ukces.org.uk</w:t>
              </w:r>
            </w:hyperlink>
            <w:r w:rsidR="00A40619" w:rsidRPr="00CA4FF2">
              <w:rPr>
                <w:rFonts w:ascii="Open Sans" w:hAnsi="Open Sans" w:cs="Open Sans"/>
                <w:bCs/>
              </w:rPr>
              <w:t xml:space="preserve"> </w:t>
            </w:r>
            <w:r w:rsidRPr="00CA4FF2">
              <w:rPr>
                <w:rFonts w:ascii="Open Sans" w:hAnsi="Open Sans" w:cs="Open Sans"/>
                <w:bCs/>
              </w:rPr>
              <w:t>and therefore cannot be considered. All submissions which reach the Tenders inbox will trigger an automated email response confirming receipt. If you do not receive this automated email response your submission has NOT been received and you should contact tenders immediately.</w:t>
            </w:r>
          </w:p>
          <w:p w:rsidR="00C63AB5" w:rsidRPr="00CA4FF2" w:rsidRDefault="00C63AB5" w:rsidP="00C63AB5">
            <w:pPr>
              <w:rPr>
                <w:rFonts w:ascii="Open Sans" w:hAnsi="Open Sans" w:cs="Open Sans"/>
                <w:bCs/>
              </w:rPr>
            </w:pPr>
            <w:r w:rsidRPr="00CA4FF2">
              <w:rPr>
                <w:rFonts w:ascii="Open Sans" w:hAnsi="Open Sans" w:cs="Open Sans"/>
                <w:bCs/>
              </w:rPr>
              <w:t xml:space="preserve"> </w:t>
            </w:r>
          </w:p>
          <w:p w:rsidR="00C63AB5" w:rsidRPr="00CA4FF2" w:rsidRDefault="00C63AB5" w:rsidP="00C63AB5">
            <w:pPr>
              <w:rPr>
                <w:rFonts w:ascii="Open Sans" w:hAnsi="Open Sans" w:cs="Open Sans"/>
                <w:bCs/>
              </w:rPr>
            </w:pPr>
            <w:r w:rsidRPr="00CA4FF2">
              <w:rPr>
                <w:rFonts w:ascii="Open Sans" w:hAnsi="Open Sans" w:cs="Open Sans"/>
                <w:bCs/>
              </w:rPr>
              <w:t>Late submissions will not be considered whatever the cause of the delay.</w:t>
            </w:r>
          </w:p>
        </w:tc>
      </w:tr>
      <w:tr w:rsidR="001E5BDE" w:rsidRPr="00CA4FF2" w:rsidTr="00B12622">
        <w:trPr>
          <w:jc w:val="center"/>
        </w:trPr>
        <w:tc>
          <w:tcPr>
            <w:tcW w:w="594" w:type="dxa"/>
            <w:vAlign w:val="center"/>
          </w:tcPr>
          <w:p w:rsidR="001E5BDE" w:rsidRPr="00CA4FF2" w:rsidRDefault="001E5BDE" w:rsidP="005A30FB">
            <w:pPr>
              <w:pStyle w:val="Heading1"/>
              <w:numPr>
                <w:ilvl w:val="0"/>
                <w:numId w:val="16"/>
              </w:numPr>
              <w:spacing w:before="0"/>
              <w:ind w:left="397"/>
              <w:jc w:val="right"/>
              <w:outlineLvl w:val="0"/>
              <w:rPr>
                <w:rFonts w:ascii="Open Sans" w:hAnsi="Open Sans" w:cs="Open Sans"/>
                <w:sz w:val="22"/>
                <w:szCs w:val="22"/>
              </w:rPr>
            </w:pPr>
          </w:p>
        </w:tc>
        <w:tc>
          <w:tcPr>
            <w:tcW w:w="4534" w:type="dxa"/>
            <w:vAlign w:val="center"/>
          </w:tcPr>
          <w:p w:rsidR="001E5BDE" w:rsidRPr="00CA4FF2" w:rsidRDefault="006D3717" w:rsidP="00CA4FF2">
            <w:pPr>
              <w:rPr>
                <w:rFonts w:ascii="Open Sans" w:eastAsia="Times New Roman" w:hAnsi="Open Sans" w:cs="Open Sans"/>
                <w:color w:val="000000"/>
              </w:rPr>
            </w:pPr>
            <w:r w:rsidRPr="00CA4FF2">
              <w:rPr>
                <w:rFonts w:ascii="Open Sans" w:eastAsia="Times New Roman" w:hAnsi="Open Sans" w:cs="Open Sans"/>
                <w:color w:val="000000"/>
              </w:rPr>
              <w:t xml:space="preserve">Will </w:t>
            </w:r>
            <w:r w:rsidR="00CA4FF2" w:rsidRPr="00CA4FF2">
              <w:rPr>
                <w:rFonts w:ascii="Open Sans" w:eastAsia="Times New Roman" w:hAnsi="Open Sans" w:cs="Open Sans"/>
                <w:color w:val="000000"/>
              </w:rPr>
              <w:t>UKCES</w:t>
            </w:r>
            <w:r w:rsidRPr="00CA4FF2">
              <w:rPr>
                <w:rFonts w:ascii="Open Sans" w:eastAsia="Times New Roman" w:hAnsi="Open Sans" w:cs="Open Sans"/>
                <w:color w:val="000000"/>
              </w:rPr>
              <w:t xml:space="preserve"> pay for the preparation of our proposal and for expenses for attending an interview?</w:t>
            </w:r>
          </w:p>
        </w:tc>
        <w:tc>
          <w:tcPr>
            <w:tcW w:w="5637" w:type="dxa"/>
            <w:vAlign w:val="center"/>
          </w:tcPr>
          <w:p w:rsidR="001E5BDE" w:rsidRPr="00CA4FF2" w:rsidRDefault="006D3717" w:rsidP="00CA4FF2">
            <w:pPr>
              <w:rPr>
                <w:rFonts w:ascii="Open Sans" w:hAnsi="Open Sans" w:cs="Open Sans"/>
                <w:bCs/>
              </w:rPr>
            </w:pPr>
            <w:r w:rsidRPr="00CA4FF2">
              <w:rPr>
                <w:rFonts w:ascii="Open Sans" w:hAnsi="Open Sans" w:cs="Open Sans"/>
                <w:bCs/>
              </w:rPr>
              <w:t>No –</w:t>
            </w:r>
            <w:r w:rsidR="00D249F8" w:rsidRPr="00CA4FF2">
              <w:rPr>
                <w:rFonts w:ascii="Open Sans" w:hAnsi="Open Sans" w:cs="Open Sans"/>
                <w:bCs/>
              </w:rPr>
              <w:t xml:space="preserve"> </w:t>
            </w:r>
            <w:r w:rsidR="00CA4FF2" w:rsidRPr="00CA4FF2">
              <w:rPr>
                <w:rFonts w:ascii="Open Sans" w:hAnsi="Open Sans" w:cs="Open Sans"/>
                <w:bCs/>
              </w:rPr>
              <w:t>UKCES</w:t>
            </w:r>
            <w:r w:rsidR="00AB1241" w:rsidRPr="00CA4FF2">
              <w:rPr>
                <w:rFonts w:ascii="Open Sans" w:hAnsi="Open Sans" w:cs="Open Sans"/>
                <w:bCs/>
              </w:rPr>
              <w:t xml:space="preserve"> will not reimburse </w:t>
            </w:r>
            <w:r w:rsidR="00C74D9B" w:rsidRPr="00CA4FF2">
              <w:rPr>
                <w:rFonts w:ascii="Open Sans" w:hAnsi="Open Sans" w:cs="Open Sans"/>
                <w:bCs/>
              </w:rPr>
              <w:t>any</w:t>
            </w:r>
            <w:r w:rsidRPr="00CA4FF2">
              <w:rPr>
                <w:rFonts w:ascii="Open Sans" w:hAnsi="Open Sans" w:cs="Open Sans"/>
                <w:bCs/>
              </w:rPr>
              <w:t xml:space="preserve"> costs of preparing any application or for attending an interview</w:t>
            </w:r>
            <w:r w:rsidR="00D249F8" w:rsidRPr="00CA4FF2">
              <w:rPr>
                <w:rFonts w:ascii="Open Sans" w:hAnsi="Open Sans" w:cs="Open Sans"/>
                <w:bCs/>
              </w:rPr>
              <w:t>.</w:t>
            </w:r>
          </w:p>
        </w:tc>
      </w:tr>
      <w:tr w:rsidR="00D117EE" w:rsidRPr="00CA4FF2" w:rsidTr="00B12622">
        <w:trPr>
          <w:jc w:val="center"/>
        </w:trPr>
        <w:tc>
          <w:tcPr>
            <w:tcW w:w="594" w:type="dxa"/>
            <w:vAlign w:val="center"/>
          </w:tcPr>
          <w:p w:rsidR="00D117EE" w:rsidRPr="00CA4FF2" w:rsidRDefault="00D117EE" w:rsidP="005A30FB">
            <w:pPr>
              <w:pStyle w:val="Heading1"/>
              <w:numPr>
                <w:ilvl w:val="0"/>
                <w:numId w:val="16"/>
              </w:numPr>
              <w:spacing w:before="0"/>
              <w:ind w:left="397"/>
              <w:jc w:val="right"/>
              <w:outlineLvl w:val="0"/>
              <w:rPr>
                <w:rFonts w:ascii="Open Sans" w:hAnsi="Open Sans" w:cs="Open Sans"/>
                <w:sz w:val="22"/>
                <w:szCs w:val="22"/>
              </w:rPr>
            </w:pPr>
          </w:p>
        </w:tc>
        <w:tc>
          <w:tcPr>
            <w:tcW w:w="4534" w:type="dxa"/>
            <w:vAlign w:val="center"/>
          </w:tcPr>
          <w:p w:rsidR="00D117EE" w:rsidRPr="00CA4FF2" w:rsidRDefault="00121738" w:rsidP="00121738">
            <w:pPr>
              <w:rPr>
                <w:rFonts w:ascii="Open Sans" w:eastAsia="Times New Roman" w:hAnsi="Open Sans" w:cs="Open Sans"/>
                <w:color w:val="000000"/>
              </w:rPr>
            </w:pPr>
            <w:r>
              <w:t>Outputs 7 and 8 are for apprenticeships in digital marketing, but there are no existing NOS. We proposed that the NOS could be developed alongside the apprenticeships that they would be built from. How do we raise that?</w:t>
            </w:r>
          </w:p>
        </w:tc>
        <w:tc>
          <w:tcPr>
            <w:tcW w:w="5637" w:type="dxa"/>
            <w:vAlign w:val="center"/>
          </w:tcPr>
          <w:p w:rsidR="00D117EE" w:rsidRPr="00B12622" w:rsidRDefault="00B12622" w:rsidP="005A30FB">
            <w:pPr>
              <w:rPr>
                <w:rFonts w:ascii="Calibri" w:eastAsiaTheme="minorHAnsi" w:hAnsi="Calibri"/>
                <w:lang w:bidi="ar-SA"/>
              </w:rPr>
            </w:pPr>
            <w:r>
              <w:t xml:space="preserve">This shouldn’t materially change the content of your response. However, you can acknowledge that NOS would need to be developed alongside the apprenticeship in order to fulfil the needs of Outputs 7 &amp; 8. </w:t>
            </w:r>
          </w:p>
        </w:tc>
      </w:tr>
      <w:tr w:rsidR="00F7507C" w:rsidRPr="00CA4FF2" w:rsidTr="00B12622">
        <w:trPr>
          <w:jc w:val="center"/>
        </w:trPr>
        <w:tc>
          <w:tcPr>
            <w:tcW w:w="594" w:type="dxa"/>
            <w:vAlign w:val="center"/>
          </w:tcPr>
          <w:p w:rsidR="00F7507C" w:rsidRPr="00CA4FF2" w:rsidRDefault="00F7507C" w:rsidP="005A30FB">
            <w:pPr>
              <w:pStyle w:val="Heading1"/>
              <w:numPr>
                <w:ilvl w:val="0"/>
                <w:numId w:val="16"/>
              </w:numPr>
              <w:spacing w:before="0"/>
              <w:ind w:left="397"/>
              <w:jc w:val="right"/>
              <w:outlineLvl w:val="0"/>
              <w:rPr>
                <w:rFonts w:ascii="Open Sans" w:hAnsi="Open Sans" w:cs="Open Sans"/>
                <w:sz w:val="22"/>
                <w:szCs w:val="22"/>
              </w:rPr>
            </w:pPr>
            <w:bookmarkStart w:id="0" w:name="_GoBack"/>
            <w:bookmarkEnd w:id="0"/>
          </w:p>
        </w:tc>
        <w:tc>
          <w:tcPr>
            <w:tcW w:w="4534" w:type="dxa"/>
            <w:vAlign w:val="center"/>
          </w:tcPr>
          <w:p w:rsidR="00594BBA" w:rsidRPr="00CA4FF2" w:rsidRDefault="00FA74CD" w:rsidP="00FA74CD">
            <w:pPr>
              <w:rPr>
                <w:rFonts w:ascii="Open Sans" w:hAnsi="Open Sans" w:cs="Open Sans"/>
              </w:rPr>
            </w:pPr>
            <w:r w:rsidRPr="00CA4FF2">
              <w:rPr>
                <w:rFonts w:ascii="Open Sans" w:eastAsia="Times New Roman" w:hAnsi="Open Sans" w:cs="Open Sans"/>
              </w:rPr>
              <w:t>What is the deadline for questions about this tender?</w:t>
            </w:r>
          </w:p>
        </w:tc>
        <w:tc>
          <w:tcPr>
            <w:tcW w:w="5637" w:type="dxa"/>
            <w:vAlign w:val="center"/>
          </w:tcPr>
          <w:p w:rsidR="00F7507C" w:rsidRPr="00CA4FF2" w:rsidRDefault="00FA74CD" w:rsidP="005A30FB">
            <w:pPr>
              <w:rPr>
                <w:rFonts w:ascii="Open Sans" w:hAnsi="Open Sans" w:cs="Open Sans"/>
                <w:bCs/>
              </w:rPr>
            </w:pPr>
            <w:r w:rsidRPr="00CA4FF2">
              <w:rPr>
                <w:rFonts w:ascii="Open Sans" w:hAnsi="Open Sans" w:cs="Open Sans"/>
                <w:bCs/>
              </w:rPr>
              <w:t>The deadline for questions is xxx on xx, once this deadline has passed no further questions will be answered.</w:t>
            </w:r>
          </w:p>
        </w:tc>
      </w:tr>
    </w:tbl>
    <w:p w:rsidR="00C12BFA" w:rsidRPr="00CA4FF2" w:rsidRDefault="00C12BFA" w:rsidP="00115544">
      <w:pPr>
        <w:pStyle w:val="Heading1"/>
        <w:rPr>
          <w:rFonts w:ascii="Open Sans" w:hAnsi="Open Sans" w:cs="Open Sans"/>
          <w:sz w:val="22"/>
          <w:szCs w:val="22"/>
        </w:rPr>
      </w:pPr>
    </w:p>
    <w:sectPr w:rsidR="00C12BFA" w:rsidRPr="00CA4FF2" w:rsidSect="000E42E8">
      <w:headerReference w:type="default" r:id="rId8"/>
      <w:footerReference w:type="default" r:id="rId9"/>
      <w:pgSz w:w="11906" w:h="16838" w:code="9"/>
      <w:pgMar w:top="709" w:right="340"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0A" w:rsidRDefault="0003530A" w:rsidP="00521BFC">
      <w:r>
        <w:separator/>
      </w:r>
    </w:p>
  </w:endnote>
  <w:endnote w:type="continuationSeparator" w:id="0">
    <w:p w:rsidR="0003530A" w:rsidRDefault="0003530A" w:rsidP="005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FC" w:rsidRPr="00F152BB" w:rsidRDefault="00791C53" w:rsidP="00791C53">
    <w:pPr>
      <w:pStyle w:val="Footer"/>
      <w:tabs>
        <w:tab w:val="clear" w:pos="4513"/>
      </w:tabs>
      <w:rPr>
        <w:sz w:val="14"/>
        <w:szCs w:val="14"/>
      </w:rPr>
    </w:pPr>
    <w:r>
      <w:rPr>
        <w:sz w:val="14"/>
        <w:szCs w:val="14"/>
      </w:rPr>
      <w:ptab w:relativeTo="margin" w:alignment="center" w:leader="none"/>
    </w:r>
    <w:r>
      <w:rPr>
        <w:sz w:val="14"/>
        <w:szCs w:val="14"/>
      </w:rPr>
      <w:t xml:space="preserve">Page </w:t>
    </w:r>
    <w:r w:rsidR="00866C64" w:rsidRPr="00791C53">
      <w:rPr>
        <w:sz w:val="14"/>
        <w:szCs w:val="14"/>
      </w:rPr>
      <w:fldChar w:fldCharType="begin"/>
    </w:r>
    <w:r w:rsidRPr="00791C53">
      <w:rPr>
        <w:sz w:val="14"/>
        <w:szCs w:val="14"/>
      </w:rPr>
      <w:instrText xml:space="preserve"> PAGE   \* MERGEFORMAT </w:instrText>
    </w:r>
    <w:r w:rsidR="00866C64" w:rsidRPr="00791C53">
      <w:rPr>
        <w:sz w:val="14"/>
        <w:szCs w:val="14"/>
      </w:rPr>
      <w:fldChar w:fldCharType="separate"/>
    </w:r>
    <w:r w:rsidR="00B12622">
      <w:rPr>
        <w:noProof/>
        <w:sz w:val="14"/>
        <w:szCs w:val="14"/>
      </w:rPr>
      <w:t>1</w:t>
    </w:r>
    <w:r w:rsidR="00866C64" w:rsidRPr="00791C5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0A" w:rsidRDefault="0003530A" w:rsidP="00521BFC">
      <w:r>
        <w:separator/>
      </w:r>
    </w:p>
  </w:footnote>
  <w:footnote w:type="continuationSeparator" w:id="0">
    <w:p w:rsidR="0003530A" w:rsidRDefault="0003530A" w:rsidP="005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4" w:rsidRPr="00CA4FF2" w:rsidRDefault="00363724" w:rsidP="00921F5E">
    <w:pPr>
      <w:pStyle w:val="Header"/>
      <w:jc w:val="center"/>
      <w:rPr>
        <w:rFonts w:ascii="Open Sans" w:hAnsi="Open Sans" w:cs="Open Sans"/>
      </w:rPr>
    </w:pPr>
    <w:r w:rsidRPr="00CA4FF2">
      <w:rPr>
        <w:rFonts w:ascii="Open Sans" w:hAnsi="Open Sans" w:cs="Open Sans"/>
      </w:rPr>
      <w:t>Questions and Answers</w:t>
    </w:r>
  </w:p>
  <w:p w:rsidR="00363724" w:rsidRDefault="00363724" w:rsidP="003637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3EA8"/>
    <w:multiLevelType w:val="hybridMultilevel"/>
    <w:tmpl w:val="FB4E83BA"/>
    <w:lvl w:ilvl="0" w:tplc="2E48D126">
      <w:start w:val="1"/>
      <w:numFmt w:val="bullet"/>
      <w:pStyle w:val="Bullets"/>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263077C"/>
    <w:multiLevelType w:val="hybridMultilevel"/>
    <w:tmpl w:val="5EA6A41E"/>
    <w:lvl w:ilvl="0" w:tplc="B7E8D794">
      <w:start w:val="1"/>
      <w:numFmt w:val="decimal"/>
      <w:pStyle w:v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86FA1"/>
    <w:multiLevelType w:val="multilevel"/>
    <w:tmpl w:val="A7028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C237A7"/>
    <w:multiLevelType w:val="multilevel"/>
    <w:tmpl w:val="7A547C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E11B16"/>
    <w:multiLevelType w:val="hybridMultilevel"/>
    <w:tmpl w:val="A3B846DA"/>
    <w:lvl w:ilvl="0" w:tplc="0B8C7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DE2327"/>
    <w:multiLevelType w:val="hybridMultilevel"/>
    <w:tmpl w:val="7916D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D2FFB"/>
    <w:multiLevelType w:val="multilevel"/>
    <w:tmpl w:val="D2A802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5051DA"/>
    <w:multiLevelType w:val="multilevel"/>
    <w:tmpl w:val="E260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62B2A"/>
    <w:multiLevelType w:val="multilevel"/>
    <w:tmpl w:val="2724F2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27748B"/>
    <w:multiLevelType w:val="hybridMultilevel"/>
    <w:tmpl w:val="7E4CADEE"/>
    <w:lvl w:ilvl="0" w:tplc="EA64C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D5DFA"/>
    <w:multiLevelType w:val="hybridMultilevel"/>
    <w:tmpl w:val="AC2A3860"/>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C6E2828"/>
    <w:multiLevelType w:val="multilevel"/>
    <w:tmpl w:val="6C08CB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920884"/>
    <w:multiLevelType w:val="hybridMultilevel"/>
    <w:tmpl w:val="FAD09F72"/>
    <w:lvl w:ilvl="0" w:tplc="962A3A96">
      <w:start w:val="1"/>
      <w:numFmt w:val="decimal"/>
      <w:pStyle w:val="NumberingSteps"/>
      <w:lvlText w:val="%1."/>
      <w:lvlJc w:val="left"/>
      <w:pPr>
        <w:tabs>
          <w:tab w:val="num" w:pos="680"/>
        </w:tabs>
        <w:ind w:left="680" w:hanging="680"/>
      </w:pPr>
      <w:rPr>
        <w:b w:val="0"/>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1FB0A0C"/>
    <w:multiLevelType w:val="hybridMultilevel"/>
    <w:tmpl w:val="AEB6F3A6"/>
    <w:lvl w:ilvl="0" w:tplc="0809000F">
      <w:start w:val="1"/>
      <w:numFmt w:val="decimal"/>
      <w:lvlText w:val="%1."/>
      <w:lvlJc w:val="left"/>
      <w:pPr>
        <w:tabs>
          <w:tab w:val="num" w:pos="720"/>
        </w:tabs>
        <w:ind w:left="720"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42E6420"/>
    <w:multiLevelType w:val="multilevel"/>
    <w:tmpl w:val="B5E000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9"/>
  </w:num>
  <w:num w:numId="3">
    <w:abstractNumId w:val="1"/>
  </w:num>
  <w:num w:numId="4">
    <w:abstractNumId w:val="0"/>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146922"/>
    <w:rsid w:val="00000A1D"/>
    <w:rsid w:val="00004E0E"/>
    <w:rsid w:val="00013E41"/>
    <w:rsid w:val="0001420A"/>
    <w:rsid w:val="00015A73"/>
    <w:rsid w:val="0003530A"/>
    <w:rsid w:val="00035310"/>
    <w:rsid w:val="0004792D"/>
    <w:rsid w:val="00066CD2"/>
    <w:rsid w:val="00074FC4"/>
    <w:rsid w:val="00084043"/>
    <w:rsid w:val="00093E71"/>
    <w:rsid w:val="00096244"/>
    <w:rsid w:val="00096378"/>
    <w:rsid w:val="000A2920"/>
    <w:rsid w:val="000A3533"/>
    <w:rsid w:val="000A5804"/>
    <w:rsid w:val="000B6D40"/>
    <w:rsid w:val="000E0A1D"/>
    <w:rsid w:val="000E1A7E"/>
    <w:rsid w:val="000E42E8"/>
    <w:rsid w:val="000F4188"/>
    <w:rsid w:val="0010370F"/>
    <w:rsid w:val="00103EF4"/>
    <w:rsid w:val="0010479B"/>
    <w:rsid w:val="00115544"/>
    <w:rsid w:val="00121738"/>
    <w:rsid w:val="00146922"/>
    <w:rsid w:val="0016238F"/>
    <w:rsid w:val="001634E2"/>
    <w:rsid w:val="00181052"/>
    <w:rsid w:val="00185673"/>
    <w:rsid w:val="00194432"/>
    <w:rsid w:val="001A306E"/>
    <w:rsid w:val="001B0BA6"/>
    <w:rsid w:val="001C04B8"/>
    <w:rsid w:val="001D17C9"/>
    <w:rsid w:val="001D5001"/>
    <w:rsid w:val="001E5BDE"/>
    <w:rsid w:val="001E75AC"/>
    <w:rsid w:val="001F55F5"/>
    <w:rsid w:val="00210CE3"/>
    <w:rsid w:val="00212B2D"/>
    <w:rsid w:val="002143B8"/>
    <w:rsid w:val="00224BC7"/>
    <w:rsid w:val="002635E6"/>
    <w:rsid w:val="00270B1B"/>
    <w:rsid w:val="002774F2"/>
    <w:rsid w:val="002B42E5"/>
    <w:rsid w:val="002C069C"/>
    <w:rsid w:val="002C0CDE"/>
    <w:rsid w:val="002C10D9"/>
    <w:rsid w:val="002C5190"/>
    <w:rsid w:val="002F4B2F"/>
    <w:rsid w:val="002F606F"/>
    <w:rsid w:val="002F647D"/>
    <w:rsid w:val="0030003F"/>
    <w:rsid w:val="00303FD8"/>
    <w:rsid w:val="003053CA"/>
    <w:rsid w:val="003227BA"/>
    <w:rsid w:val="003319D1"/>
    <w:rsid w:val="00345B06"/>
    <w:rsid w:val="003521D1"/>
    <w:rsid w:val="003565B6"/>
    <w:rsid w:val="00363724"/>
    <w:rsid w:val="003722CD"/>
    <w:rsid w:val="00380447"/>
    <w:rsid w:val="00387C8A"/>
    <w:rsid w:val="003D3486"/>
    <w:rsid w:val="003D7EF3"/>
    <w:rsid w:val="003E2694"/>
    <w:rsid w:val="003F7686"/>
    <w:rsid w:val="00401539"/>
    <w:rsid w:val="004077AA"/>
    <w:rsid w:val="00414C13"/>
    <w:rsid w:val="00431135"/>
    <w:rsid w:val="0043330B"/>
    <w:rsid w:val="00436586"/>
    <w:rsid w:val="004375BF"/>
    <w:rsid w:val="004456ED"/>
    <w:rsid w:val="00447016"/>
    <w:rsid w:val="00447902"/>
    <w:rsid w:val="00451CC3"/>
    <w:rsid w:val="00474BDB"/>
    <w:rsid w:val="004901D8"/>
    <w:rsid w:val="00491F62"/>
    <w:rsid w:val="004927FB"/>
    <w:rsid w:val="004971C9"/>
    <w:rsid w:val="00497C87"/>
    <w:rsid w:val="004D0EEB"/>
    <w:rsid w:val="004D1F3B"/>
    <w:rsid w:val="004D6960"/>
    <w:rsid w:val="004E4585"/>
    <w:rsid w:val="004F6155"/>
    <w:rsid w:val="00521BFC"/>
    <w:rsid w:val="005251D4"/>
    <w:rsid w:val="00527C38"/>
    <w:rsid w:val="00540315"/>
    <w:rsid w:val="00540609"/>
    <w:rsid w:val="00542938"/>
    <w:rsid w:val="00550971"/>
    <w:rsid w:val="005833E2"/>
    <w:rsid w:val="00594BBA"/>
    <w:rsid w:val="005A30FB"/>
    <w:rsid w:val="005C618B"/>
    <w:rsid w:val="005D0F4F"/>
    <w:rsid w:val="005F58DE"/>
    <w:rsid w:val="005F7445"/>
    <w:rsid w:val="005F7944"/>
    <w:rsid w:val="006043DF"/>
    <w:rsid w:val="00610303"/>
    <w:rsid w:val="0061103A"/>
    <w:rsid w:val="00616539"/>
    <w:rsid w:val="00621F6A"/>
    <w:rsid w:val="006229C7"/>
    <w:rsid w:val="00637642"/>
    <w:rsid w:val="00642FB3"/>
    <w:rsid w:val="006505B2"/>
    <w:rsid w:val="00651AAF"/>
    <w:rsid w:val="0066162E"/>
    <w:rsid w:val="006714C6"/>
    <w:rsid w:val="00673383"/>
    <w:rsid w:val="00685DDB"/>
    <w:rsid w:val="00692FE1"/>
    <w:rsid w:val="00694A3C"/>
    <w:rsid w:val="006A129C"/>
    <w:rsid w:val="006B04B1"/>
    <w:rsid w:val="006B2227"/>
    <w:rsid w:val="006C2574"/>
    <w:rsid w:val="006D3717"/>
    <w:rsid w:val="006E35D0"/>
    <w:rsid w:val="006F1DD4"/>
    <w:rsid w:val="007156AF"/>
    <w:rsid w:val="00715D93"/>
    <w:rsid w:val="00723BAF"/>
    <w:rsid w:val="00724E04"/>
    <w:rsid w:val="00742745"/>
    <w:rsid w:val="007613C5"/>
    <w:rsid w:val="00762E29"/>
    <w:rsid w:val="00780EAB"/>
    <w:rsid w:val="00785D30"/>
    <w:rsid w:val="00791C53"/>
    <w:rsid w:val="007A13ED"/>
    <w:rsid w:val="007A435E"/>
    <w:rsid w:val="007B0672"/>
    <w:rsid w:val="007C7DC5"/>
    <w:rsid w:val="007D386F"/>
    <w:rsid w:val="007D3CB0"/>
    <w:rsid w:val="007D52B7"/>
    <w:rsid w:val="007E7D16"/>
    <w:rsid w:val="008224B8"/>
    <w:rsid w:val="0084302D"/>
    <w:rsid w:val="00847EA7"/>
    <w:rsid w:val="00860755"/>
    <w:rsid w:val="00866606"/>
    <w:rsid w:val="00866C64"/>
    <w:rsid w:val="008829A1"/>
    <w:rsid w:val="00886A13"/>
    <w:rsid w:val="00892883"/>
    <w:rsid w:val="008961DA"/>
    <w:rsid w:val="008A4462"/>
    <w:rsid w:val="008A4E8E"/>
    <w:rsid w:val="008B21FF"/>
    <w:rsid w:val="008B472C"/>
    <w:rsid w:val="008C10C2"/>
    <w:rsid w:val="00901FEF"/>
    <w:rsid w:val="0090729C"/>
    <w:rsid w:val="0091573A"/>
    <w:rsid w:val="00921F5E"/>
    <w:rsid w:val="00931179"/>
    <w:rsid w:val="009413C7"/>
    <w:rsid w:val="009507C1"/>
    <w:rsid w:val="00957D1B"/>
    <w:rsid w:val="009648B9"/>
    <w:rsid w:val="00967459"/>
    <w:rsid w:val="00970FA0"/>
    <w:rsid w:val="009869C4"/>
    <w:rsid w:val="00987F3E"/>
    <w:rsid w:val="009C1646"/>
    <w:rsid w:val="009C3949"/>
    <w:rsid w:val="009D20A6"/>
    <w:rsid w:val="009D3E57"/>
    <w:rsid w:val="009E742F"/>
    <w:rsid w:val="00A10E28"/>
    <w:rsid w:val="00A40619"/>
    <w:rsid w:val="00A42E4E"/>
    <w:rsid w:val="00A664B3"/>
    <w:rsid w:val="00A8648E"/>
    <w:rsid w:val="00A9731F"/>
    <w:rsid w:val="00AA411C"/>
    <w:rsid w:val="00AB1241"/>
    <w:rsid w:val="00AB2377"/>
    <w:rsid w:val="00AB493E"/>
    <w:rsid w:val="00AB7B1B"/>
    <w:rsid w:val="00AC5EE5"/>
    <w:rsid w:val="00AE57EF"/>
    <w:rsid w:val="00B12622"/>
    <w:rsid w:val="00B15A0B"/>
    <w:rsid w:val="00B165CE"/>
    <w:rsid w:val="00B4020E"/>
    <w:rsid w:val="00B51DAF"/>
    <w:rsid w:val="00B652FB"/>
    <w:rsid w:val="00B82F94"/>
    <w:rsid w:val="00B9514C"/>
    <w:rsid w:val="00BA174C"/>
    <w:rsid w:val="00BA2445"/>
    <w:rsid w:val="00BA4D6B"/>
    <w:rsid w:val="00BE436E"/>
    <w:rsid w:val="00BF663F"/>
    <w:rsid w:val="00C077DD"/>
    <w:rsid w:val="00C12BFA"/>
    <w:rsid w:val="00C241A2"/>
    <w:rsid w:val="00C2528F"/>
    <w:rsid w:val="00C327DC"/>
    <w:rsid w:val="00C61177"/>
    <w:rsid w:val="00C617B3"/>
    <w:rsid w:val="00C63AB5"/>
    <w:rsid w:val="00C74D9B"/>
    <w:rsid w:val="00C77C45"/>
    <w:rsid w:val="00C92654"/>
    <w:rsid w:val="00CA0B7E"/>
    <w:rsid w:val="00CA4FF2"/>
    <w:rsid w:val="00CC2785"/>
    <w:rsid w:val="00CC4639"/>
    <w:rsid w:val="00CF15ED"/>
    <w:rsid w:val="00D117EE"/>
    <w:rsid w:val="00D249F8"/>
    <w:rsid w:val="00D31DA1"/>
    <w:rsid w:val="00D50956"/>
    <w:rsid w:val="00D646F9"/>
    <w:rsid w:val="00D945AE"/>
    <w:rsid w:val="00DA0020"/>
    <w:rsid w:val="00DB1A9E"/>
    <w:rsid w:val="00DC2A28"/>
    <w:rsid w:val="00DD3E1C"/>
    <w:rsid w:val="00DD4972"/>
    <w:rsid w:val="00DD6775"/>
    <w:rsid w:val="00DE2894"/>
    <w:rsid w:val="00DE55C1"/>
    <w:rsid w:val="00DF4BC7"/>
    <w:rsid w:val="00E01504"/>
    <w:rsid w:val="00E03914"/>
    <w:rsid w:val="00E1320A"/>
    <w:rsid w:val="00E2189F"/>
    <w:rsid w:val="00E27661"/>
    <w:rsid w:val="00E27719"/>
    <w:rsid w:val="00E30B15"/>
    <w:rsid w:val="00E433F2"/>
    <w:rsid w:val="00E4470F"/>
    <w:rsid w:val="00E569AA"/>
    <w:rsid w:val="00E664BC"/>
    <w:rsid w:val="00EC19B3"/>
    <w:rsid w:val="00EC1AA4"/>
    <w:rsid w:val="00EC71A9"/>
    <w:rsid w:val="00ED4338"/>
    <w:rsid w:val="00EF0D92"/>
    <w:rsid w:val="00F07815"/>
    <w:rsid w:val="00F129CF"/>
    <w:rsid w:val="00F152BB"/>
    <w:rsid w:val="00F2717E"/>
    <w:rsid w:val="00F307E2"/>
    <w:rsid w:val="00F404FC"/>
    <w:rsid w:val="00F4296C"/>
    <w:rsid w:val="00F45010"/>
    <w:rsid w:val="00F64F08"/>
    <w:rsid w:val="00F7507C"/>
    <w:rsid w:val="00F75610"/>
    <w:rsid w:val="00F90C6C"/>
    <w:rsid w:val="00FA164F"/>
    <w:rsid w:val="00FA74CD"/>
    <w:rsid w:val="00FB3A0A"/>
    <w:rsid w:val="00FB6FAF"/>
    <w:rsid w:val="00FB7C0B"/>
    <w:rsid w:val="00FB7E70"/>
    <w:rsid w:val="00FC2345"/>
    <w:rsid w:val="00FC6F60"/>
    <w:rsid w:val="00FD775F"/>
    <w:rsid w:val="00FE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E14012B"/>
  <w15:docId w15:val="{DDBD26F9-4394-4B70-B808-62FD043B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647D"/>
    <w:pPr>
      <w:spacing w:after="0" w:line="240" w:lineRule="auto"/>
    </w:pPr>
    <w:rPr>
      <w:rFonts w:ascii="Arial" w:eastAsiaTheme="minorEastAsia" w:hAnsi="Arial"/>
      <w:lang w:bidi="en-US"/>
    </w:rPr>
  </w:style>
  <w:style w:type="paragraph" w:styleId="Heading1">
    <w:name w:val="heading 1"/>
    <w:basedOn w:val="Normal"/>
    <w:next w:val="Normal"/>
    <w:link w:val="Heading1Char"/>
    <w:uiPriority w:val="9"/>
    <w:qFormat/>
    <w:rsid w:val="00DD4972"/>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15544"/>
    <w:pPr>
      <w:keepNext/>
      <w:keepLines/>
      <w:spacing w:before="2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544"/>
    <w:pPr>
      <w:spacing w:after="0" w:line="240" w:lineRule="auto"/>
    </w:pPr>
    <w:rPr>
      <w:rFonts w:ascii="Arial" w:hAnsi="Arial"/>
    </w:rPr>
  </w:style>
  <w:style w:type="character" w:customStyle="1" w:styleId="Heading1Char">
    <w:name w:val="Heading 1 Char"/>
    <w:basedOn w:val="DefaultParagraphFont"/>
    <w:link w:val="Heading1"/>
    <w:uiPriority w:val="9"/>
    <w:rsid w:val="00DD4972"/>
    <w:rPr>
      <w:rFonts w:ascii="Arial" w:eastAsiaTheme="majorEastAsia" w:hAnsi="Arial" w:cstheme="majorBidi"/>
      <w:b/>
      <w:bCs/>
      <w:sz w:val="28"/>
      <w:szCs w:val="28"/>
      <w:lang w:val="en-US" w:eastAsia="en-US"/>
    </w:rPr>
  </w:style>
  <w:style w:type="character" w:customStyle="1" w:styleId="Heading2Char">
    <w:name w:val="Heading 2 Char"/>
    <w:basedOn w:val="DefaultParagraphFont"/>
    <w:link w:val="Heading2"/>
    <w:uiPriority w:val="9"/>
    <w:semiHidden/>
    <w:rsid w:val="00115544"/>
    <w:rPr>
      <w:rFonts w:ascii="Arial" w:eastAsiaTheme="majorEastAsia" w:hAnsi="Arial" w:cstheme="majorBidi"/>
      <w:b/>
      <w:bCs/>
      <w:szCs w:val="26"/>
    </w:rPr>
  </w:style>
  <w:style w:type="paragraph" w:customStyle="1" w:styleId="Numbered">
    <w:name w:val="Numbered"/>
    <w:basedOn w:val="Normal"/>
    <w:qFormat/>
    <w:rsid w:val="00115544"/>
    <w:pPr>
      <w:numPr>
        <w:numId w:val="3"/>
      </w:numPr>
      <w:ind w:left="567" w:hanging="567"/>
    </w:pPr>
  </w:style>
  <w:style w:type="paragraph" w:customStyle="1" w:styleId="Bullets">
    <w:name w:val="Bullets"/>
    <w:basedOn w:val="Numbered"/>
    <w:qFormat/>
    <w:rsid w:val="00115544"/>
    <w:pPr>
      <w:numPr>
        <w:numId w:val="4"/>
      </w:numPr>
      <w:ind w:left="567" w:hanging="567"/>
    </w:pPr>
  </w:style>
  <w:style w:type="paragraph" w:styleId="Header">
    <w:name w:val="header"/>
    <w:basedOn w:val="Normal"/>
    <w:link w:val="HeaderChar"/>
    <w:uiPriority w:val="99"/>
    <w:unhideWhenUsed/>
    <w:rsid w:val="00521BFC"/>
    <w:pPr>
      <w:tabs>
        <w:tab w:val="center" w:pos="4513"/>
        <w:tab w:val="right" w:pos="9026"/>
      </w:tabs>
    </w:pPr>
  </w:style>
  <w:style w:type="character" w:customStyle="1" w:styleId="HeaderChar">
    <w:name w:val="Header Char"/>
    <w:basedOn w:val="DefaultParagraphFont"/>
    <w:link w:val="Header"/>
    <w:uiPriority w:val="99"/>
    <w:rsid w:val="00521BFC"/>
    <w:rPr>
      <w:rFonts w:ascii="Arial" w:hAnsi="Arial"/>
    </w:rPr>
  </w:style>
  <w:style w:type="paragraph" w:styleId="Footer">
    <w:name w:val="footer"/>
    <w:basedOn w:val="Normal"/>
    <w:link w:val="FooterChar"/>
    <w:uiPriority w:val="99"/>
    <w:unhideWhenUsed/>
    <w:rsid w:val="00521BFC"/>
    <w:pPr>
      <w:tabs>
        <w:tab w:val="center" w:pos="4513"/>
        <w:tab w:val="right" w:pos="9026"/>
      </w:tabs>
    </w:pPr>
  </w:style>
  <w:style w:type="character" w:customStyle="1" w:styleId="FooterChar">
    <w:name w:val="Footer Char"/>
    <w:basedOn w:val="DefaultParagraphFont"/>
    <w:link w:val="Footer"/>
    <w:uiPriority w:val="99"/>
    <w:rsid w:val="00521BFC"/>
    <w:rPr>
      <w:rFonts w:ascii="Arial" w:hAnsi="Arial"/>
    </w:rPr>
  </w:style>
  <w:style w:type="paragraph" w:styleId="BalloonText">
    <w:name w:val="Balloon Text"/>
    <w:basedOn w:val="Normal"/>
    <w:link w:val="BalloonTextChar"/>
    <w:uiPriority w:val="99"/>
    <w:semiHidden/>
    <w:unhideWhenUsed/>
    <w:rsid w:val="00521BFC"/>
    <w:rPr>
      <w:rFonts w:ascii="Tahoma" w:hAnsi="Tahoma" w:cs="Tahoma"/>
      <w:sz w:val="16"/>
      <w:szCs w:val="16"/>
    </w:rPr>
  </w:style>
  <w:style w:type="character" w:customStyle="1" w:styleId="BalloonTextChar">
    <w:name w:val="Balloon Text Char"/>
    <w:basedOn w:val="DefaultParagraphFont"/>
    <w:link w:val="BalloonText"/>
    <w:uiPriority w:val="99"/>
    <w:semiHidden/>
    <w:rsid w:val="00521BFC"/>
    <w:rPr>
      <w:rFonts w:ascii="Tahoma" w:hAnsi="Tahoma" w:cs="Tahoma"/>
      <w:sz w:val="16"/>
      <w:szCs w:val="16"/>
    </w:rPr>
  </w:style>
  <w:style w:type="paragraph" w:customStyle="1" w:styleId="NumberingSteps">
    <w:name w:val="Numbering Steps"/>
    <w:basedOn w:val="Normal"/>
    <w:qFormat/>
    <w:rsid w:val="007A13ED"/>
    <w:pPr>
      <w:numPr>
        <w:numId w:val="5"/>
      </w:numPr>
      <w:spacing w:after="240"/>
      <w:jc w:val="both"/>
    </w:pPr>
    <w:rPr>
      <w:lang w:val="en-US"/>
    </w:rPr>
  </w:style>
  <w:style w:type="paragraph" w:styleId="IntenseQuote">
    <w:name w:val="Intense Quote"/>
    <w:aliases w:val="TopicInfo"/>
    <w:basedOn w:val="Normal"/>
    <w:next w:val="Normal"/>
    <w:link w:val="IntenseQuoteChar"/>
    <w:uiPriority w:val="30"/>
    <w:qFormat/>
    <w:rsid w:val="00451CC3"/>
    <w:pPr>
      <w:spacing w:after="240"/>
    </w:pPr>
    <w:rPr>
      <w:rFonts w:eastAsiaTheme="minorHAnsi"/>
      <w:bCs/>
      <w:iCs/>
      <w:noProof/>
      <w:lang w:eastAsia="en-GB" w:bidi="ar-SA"/>
    </w:rPr>
  </w:style>
  <w:style w:type="character" w:customStyle="1" w:styleId="IntenseQuoteChar">
    <w:name w:val="Intense Quote Char"/>
    <w:aliases w:val="TopicInfo Char"/>
    <w:basedOn w:val="DefaultParagraphFont"/>
    <w:link w:val="IntenseQuote"/>
    <w:uiPriority w:val="30"/>
    <w:rsid w:val="00451CC3"/>
    <w:rPr>
      <w:rFonts w:ascii="Arial" w:hAnsi="Arial"/>
      <w:bCs/>
      <w:iCs/>
      <w:noProof/>
      <w:lang w:val="en-GB" w:eastAsia="en-GB" w:bidi="ar-SA"/>
    </w:rPr>
  </w:style>
  <w:style w:type="table" w:styleId="TableGrid">
    <w:name w:val="Table Grid"/>
    <w:basedOn w:val="TableNormal"/>
    <w:uiPriority w:val="59"/>
    <w:rsid w:val="00146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27FB"/>
    <w:pPr>
      <w:ind w:left="720"/>
    </w:pPr>
    <w:rPr>
      <w:rFonts w:ascii="Calibri" w:eastAsiaTheme="minorHAnsi" w:hAnsi="Calibri" w:cs="Times New Roman"/>
      <w:lang w:eastAsia="en-GB" w:bidi="ar-SA"/>
    </w:rPr>
  </w:style>
  <w:style w:type="paragraph" w:styleId="NormalWeb">
    <w:name w:val="Normal (Web)"/>
    <w:basedOn w:val="Normal"/>
    <w:uiPriority w:val="99"/>
    <w:unhideWhenUsed/>
    <w:rsid w:val="00F07815"/>
    <w:pPr>
      <w:spacing w:before="100" w:beforeAutospacing="1" w:after="100" w:afterAutospacing="1"/>
    </w:pPr>
    <w:rPr>
      <w:rFonts w:ascii="Times New Roman" w:eastAsiaTheme="minorHAnsi" w:hAnsi="Times New Roman" w:cs="Times New Roman"/>
      <w:sz w:val="24"/>
      <w:szCs w:val="24"/>
      <w:lang w:eastAsia="en-GB" w:bidi="ar-SA"/>
    </w:rPr>
  </w:style>
  <w:style w:type="character" w:styleId="Hyperlink">
    <w:name w:val="Hyperlink"/>
    <w:basedOn w:val="DefaultParagraphFont"/>
    <w:uiPriority w:val="99"/>
    <w:unhideWhenUsed/>
    <w:rsid w:val="00651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553">
      <w:bodyDiv w:val="1"/>
      <w:marLeft w:val="0"/>
      <w:marRight w:val="0"/>
      <w:marTop w:val="0"/>
      <w:marBottom w:val="0"/>
      <w:divBdr>
        <w:top w:val="none" w:sz="0" w:space="0" w:color="auto"/>
        <w:left w:val="none" w:sz="0" w:space="0" w:color="auto"/>
        <w:bottom w:val="none" w:sz="0" w:space="0" w:color="auto"/>
        <w:right w:val="none" w:sz="0" w:space="0" w:color="auto"/>
      </w:divBdr>
    </w:div>
    <w:div w:id="102193807">
      <w:bodyDiv w:val="1"/>
      <w:marLeft w:val="0"/>
      <w:marRight w:val="0"/>
      <w:marTop w:val="0"/>
      <w:marBottom w:val="0"/>
      <w:divBdr>
        <w:top w:val="none" w:sz="0" w:space="0" w:color="auto"/>
        <w:left w:val="none" w:sz="0" w:space="0" w:color="auto"/>
        <w:bottom w:val="none" w:sz="0" w:space="0" w:color="auto"/>
        <w:right w:val="none" w:sz="0" w:space="0" w:color="auto"/>
      </w:divBdr>
    </w:div>
    <w:div w:id="395475198">
      <w:bodyDiv w:val="1"/>
      <w:marLeft w:val="0"/>
      <w:marRight w:val="0"/>
      <w:marTop w:val="0"/>
      <w:marBottom w:val="0"/>
      <w:divBdr>
        <w:top w:val="none" w:sz="0" w:space="0" w:color="auto"/>
        <w:left w:val="none" w:sz="0" w:space="0" w:color="auto"/>
        <w:bottom w:val="none" w:sz="0" w:space="0" w:color="auto"/>
        <w:right w:val="none" w:sz="0" w:space="0" w:color="auto"/>
      </w:divBdr>
    </w:div>
    <w:div w:id="488518058">
      <w:bodyDiv w:val="1"/>
      <w:marLeft w:val="0"/>
      <w:marRight w:val="0"/>
      <w:marTop w:val="0"/>
      <w:marBottom w:val="0"/>
      <w:divBdr>
        <w:top w:val="none" w:sz="0" w:space="0" w:color="auto"/>
        <w:left w:val="none" w:sz="0" w:space="0" w:color="auto"/>
        <w:bottom w:val="none" w:sz="0" w:space="0" w:color="auto"/>
        <w:right w:val="none" w:sz="0" w:space="0" w:color="auto"/>
      </w:divBdr>
    </w:div>
    <w:div w:id="786972130">
      <w:bodyDiv w:val="1"/>
      <w:marLeft w:val="0"/>
      <w:marRight w:val="0"/>
      <w:marTop w:val="0"/>
      <w:marBottom w:val="0"/>
      <w:divBdr>
        <w:top w:val="none" w:sz="0" w:space="0" w:color="auto"/>
        <w:left w:val="none" w:sz="0" w:space="0" w:color="auto"/>
        <w:bottom w:val="none" w:sz="0" w:space="0" w:color="auto"/>
        <w:right w:val="none" w:sz="0" w:space="0" w:color="auto"/>
      </w:divBdr>
    </w:div>
    <w:div w:id="802965932">
      <w:bodyDiv w:val="1"/>
      <w:marLeft w:val="0"/>
      <w:marRight w:val="0"/>
      <w:marTop w:val="0"/>
      <w:marBottom w:val="0"/>
      <w:divBdr>
        <w:top w:val="none" w:sz="0" w:space="0" w:color="auto"/>
        <w:left w:val="none" w:sz="0" w:space="0" w:color="auto"/>
        <w:bottom w:val="none" w:sz="0" w:space="0" w:color="auto"/>
        <w:right w:val="none" w:sz="0" w:space="0" w:color="auto"/>
      </w:divBdr>
    </w:div>
    <w:div w:id="893007611">
      <w:bodyDiv w:val="1"/>
      <w:marLeft w:val="0"/>
      <w:marRight w:val="0"/>
      <w:marTop w:val="0"/>
      <w:marBottom w:val="0"/>
      <w:divBdr>
        <w:top w:val="none" w:sz="0" w:space="0" w:color="auto"/>
        <w:left w:val="none" w:sz="0" w:space="0" w:color="auto"/>
        <w:bottom w:val="none" w:sz="0" w:space="0" w:color="auto"/>
        <w:right w:val="none" w:sz="0" w:space="0" w:color="auto"/>
      </w:divBdr>
    </w:div>
    <w:div w:id="893203663">
      <w:bodyDiv w:val="1"/>
      <w:marLeft w:val="0"/>
      <w:marRight w:val="0"/>
      <w:marTop w:val="0"/>
      <w:marBottom w:val="0"/>
      <w:divBdr>
        <w:top w:val="none" w:sz="0" w:space="0" w:color="auto"/>
        <w:left w:val="none" w:sz="0" w:space="0" w:color="auto"/>
        <w:bottom w:val="none" w:sz="0" w:space="0" w:color="auto"/>
        <w:right w:val="none" w:sz="0" w:space="0" w:color="auto"/>
      </w:divBdr>
    </w:div>
    <w:div w:id="1129015677">
      <w:bodyDiv w:val="1"/>
      <w:marLeft w:val="0"/>
      <w:marRight w:val="0"/>
      <w:marTop w:val="0"/>
      <w:marBottom w:val="0"/>
      <w:divBdr>
        <w:top w:val="none" w:sz="0" w:space="0" w:color="auto"/>
        <w:left w:val="none" w:sz="0" w:space="0" w:color="auto"/>
        <w:bottom w:val="none" w:sz="0" w:space="0" w:color="auto"/>
        <w:right w:val="none" w:sz="0" w:space="0" w:color="auto"/>
      </w:divBdr>
    </w:div>
    <w:div w:id="1153108779">
      <w:bodyDiv w:val="1"/>
      <w:marLeft w:val="0"/>
      <w:marRight w:val="0"/>
      <w:marTop w:val="0"/>
      <w:marBottom w:val="0"/>
      <w:divBdr>
        <w:top w:val="none" w:sz="0" w:space="0" w:color="auto"/>
        <w:left w:val="none" w:sz="0" w:space="0" w:color="auto"/>
        <w:bottom w:val="none" w:sz="0" w:space="0" w:color="auto"/>
        <w:right w:val="none" w:sz="0" w:space="0" w:color="auto"/>
      </w:divBdr>
    </w:div>
    <w:div w:id="1303123528">
      <w:bodyDiv w:val="1"/>
      <w:marLeft w:val="0"/>
      <w:marRight w:val="0"/>
      <w:marTop w:val="0"/>
      <w:marBottom w:val="0"/>
      <w:divBdr>
        <w:top w:val="none" w:sz="0" w:space="0" w:color="auto"/>
        <w:left w:val="none" w:sz="0" w:space="0" w:color="auto"/>
        <w:bottom w:val="none" w:sz="0" w:space="0" w:color="auto"/>
        <w:right w:val="none" w:sz="0" w:space="0" w:color="auto"/>
      </w:divBdr>
    </w:div>
    <w:div w:id="1465583710">
      <w:bodyDiv w:val="1"/>
      <w:marLeft w:val="0"/>
      <w:marRight w:val="0"/>
      <w:marTop w:val="0"/>
      <w:marBottom w:val="0"/>
      <w:divBdr>
        <w:top w:val="none" w:sz="0" w:space="0" w:color="auto"/>
        <w:left w:val="none" w:sz="0" w:space="0" w:color="auto"/>
        <w:bottom w:val="none" w:sz="0" w:space="0" w:color="auto"/>
        <w:right w:val="none" w:sz="0" w:space="0" w:color="auto"/>
      </w:divBdr>
    </w:div>
    <w:div w:id="1621376461">
      <w:bodyDiv w:val="1"/>
      <w:marLeft w:val="0"/>
      <w:marRight w:val="0"/>
      <w:marTop w:val="0"/>
      <w:marBottom w:val="0"/>
      <w:divBdr>
        <w:top w:val="none" w:sz="0" w:space="0" w:color="auto"/>
        <w:left w:val="none" w:sz="0" w:space="0" w:color="auto"/>
        <w:bottom w:val="none" w:sz="0" w:space="0" w:color="auto"/>
        <w:right w:val="none" w:sz="0" w:space="0" w:color="auto"/>
      </w:divBdr>
    </w:div>
    <w:div w:id="1633250936">
      <w:bodyDiv w:val="1"/>
      <w:marLeft w:val="0"/>
      <w:marRight w:val="0"/>
      <w:marTop w:val="0"/>
      <w:marBottom w:val="0"/>
      <w:divBdr>
        <w:top w:val="none" w:sz="0" w:space="0" w:color="auto"/>
        <w:left w:val="none" w:sz="0" w:space="0" w:color="auto"/>
        <w:bottom w:val="none" w:sz="0" w:space="0" w:color="auto"/>
        <w:right w:val="none" w:sz="0" w:space="0" w:color="auto"/>
      </w:divBdr>
    </w:div>
    <w:div w:id="1642689836">
      <w:bodyDiv w:val="1"/>
      <w:marLeft w:val="0"/>
      <w:marRight w:val="0"/>
      <w:marTop w:val="0"/>
      <w:marBottom w:val="0"/>
      <w:divBdr>
        <w:top w:val="none" w:sz="0" w:space="0" w:color="auto"/>
        <w:left w:val="none" w:sz="0" w:space="0" w:color="auto"/>
        <w:bottom w:val="none" w:sz="0" w:space="0" w:color="auto"/>
        <w:right w:val="none" w:sz="0" w:space="0" w:color="auto"/>
      </w:divBdr>
    </w:div>
    <w:div w:id="1800564484">
      <w:bodyDiv w:val="1"/>
      <w:marLeft w:val="0"/>
      <w:marRight w:val="0"/>
      <w:marTop w:val="0"/>
      <w:marBottom w:val="0"/>
      <w:divBdr>
        <w:top w:val="none" w:sz="0" w:space="0" w:color="auto"/>
        <w:left w:val="none" w:sz="0" w:space="0" w:color="auto"/>
        <w:bottom w:val="none" w:sz="0" w:space="0" w:color="auto"/>
        <w:right w:val="none" w:sz="0" w:space="0" w:color="auto"/>
      </w:divBdr>
    </w:div>
    <w:div w:id="1834491209">
      <w:bodyDiv w:val="1"/>
      <w:marLeft w:val="0"/>
      <w:marRight w:val="0"/>
      <w:marTop w:val="0"/>
      <w:marBottom w:val="0"/>
      <w:divBdr>
        <w:top w:val="none" w:sz="0" w:space="0" w:color="auto"/>
        <w:left w:val="none" w:sz="0" w:space="0" w:color="auto"/>
        <w:bottom w:val="none" w:sz="0" w:space="0" w:color="auto"/>
        <w:right w:val="none" w:sz="0" w:space="0" w:color="auto"/>
      </w:divBdr>
    </w:div>
    <w:div w:id="1845853183">
      <w:bodyDiv w:val="1"/>
      <w:marLeft w:val="0"/>
      <w:marRight w:val="0"/>
      <w:marTop w:val="0"/>
      <w:marBottom w:val="0"/>
      <w:divBdr>
        <w:top w:val="none" w:sz="0" w:space="0" w:color="auto"/>
        <w:left w:val="none" w:sz="0" w:space="0" w:color="auto"/>
        <w:bottom w:val="none" w:sz="0" w:space="0" w:color="auto"/>
        <w:right w:val="none" w:sz="0" w:space="0" w:color="auto"/>
      </w:divBdr>
    </w:div>
    <w:div w:id="1977491936">
      <w:bodyDiv w:val="1"/>
      <w:marLeft w:val="0"/>
      <w:marRight w:val="0"/>
      <w:marTop w:val="0"/>
      <w:marBottom w:val="0"/>
      <w:divBdr>
        <w:top w:val="none" w:sz="0" w:space="0" w:color="auto"/>
        <w:left w:val="none" w:sz="0" w:space="0" w:color="auto"/>
        <w:bottom w:val="none" w:sz="0" w:space="0" w:color="auto"/>
        <w:right w:val="none" w:sz="0" w:space="0" w:color="auto"/>
      </w:divBdr>
    </w:div>
    <w:div w:id="2027978329">
      <w:bodyDiv w:val="1"/>
      <w:marLeft w:val="0"/>
      <w:marRight w:val="0"/>
      <w:marTop w:val="0"/>
      <w:marBottom w:val="0"/>
      <w:divBdr>
        <w:top w:val="none" w:sz="0" w:space="0" w:color="auto"/>
        <w:left w:val="none" w:sz="0" w:space="0" w:color="auto"/>
        <w:bottom w:val="none" w:sz="0" w:space="0" w:color="auto"/>
        <w:right w:val="none" w:sz="0" w:space="0" w:color="auto"/>
      </w:divBdr>
    </w:div>
    <w:div w:id="20789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ukc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UK Commission for Employment and Skills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Hewitt</dc:creator>
  <cp:lastModifiedBy>Debbie Keogh</cp:lastModifiedBy>
  <cp:revision>35</cp:revision>
  <cp:lastPrinted>2013-07-11T11:26:00Z</cp:lastPrinted>
  <dcterms:created xsi:type="dcterms:W3CDTF">2010-03-15T10:34:00Z</dcterms:created>
  <dcterms:modified xsi:type="dcterms:W3CDTF">2016-07-06T10:13:00Z</dcterms:modified>
</cp:coreProperties>
</file>