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038" w:rsidRDefault="00280038" w:rsidP="001B40C9">
      <w:pPr>
        <w:spacing w:after="0"/>
        <w:jc w:val="center"/>
        <w:rPr>
          <w:sz w:val="28"/>
          <w:szCs w:val="28"/>
        </w:rPr>
      </w:pPr>
      <w:bookmarkStart w:id="0" w:name="_GoBack"/>
      <w:bookmarkEnd w:id="0"/>
      <w:r>
        <w:rPr>
          <w:noProof/>
          <w:sz w:val="28"/>
          <w:szCs w:val="28"/>
          <w:lang w:eastAsia="en-GB"/>
        </w:rPr>
        <w:drawing>
          <wp:anchor distT="0" distB="0" distL="114300" distR="114300" simplePos="0" relativeHeight="251658240" behindDoc="1" locked="0" layoutInCell="1" allowOverlap="1" wp14:anchorId="545FBD49" wp14:editId="77ED75FA">
            <wp:simplePos x="0" y="0"/>
            <wp:positionH relativeFrom="column">
              <wp:posOffset>4207510</wp:posOffset>
            </wp:positionH>
            <wp:positionV relativeFrom="paragraph">
              <wp:posOffset>-397510</wp:posOffset>
            </wp:positionV>
            <wp:extent cx="1734185" cy="829310"/>
            <wp:effectExtent l="0" t="0" r="0" b="8890"/>
            <wp:wrapTight wrapText="bothSides">
              <wp:wrapPolygon edited="0">
                <wp:start x="0" y="0"/>
                <wp:lineTo x="0" y="21335"/>
                <wp:lineTo x="21355" y="21335"/>
                <wp:lineTo x="213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185" cy="829310"/>
                    </a:xfrm>
                    <a:prstGeom prst="rect">
                      <a:avLst/>
                    </a:prstGeom>
                    <a:noFill/>
                  </pic:spPr>
                </pic:pic>
              </a:graphicData>
            </a:graphic>
            <wp14:sizeRelH relativeFrom="page">
              <wp14:pctWidth>0</wp14:pctWidth>
            </wp14:sizeRelH>
            <wp14:sizeRelV relativeFrom="page">
              <wp14:pctHeight>0</wp14:pctHeight>
            </wp14:sizeRelV>
          </wp:anchor>
        </w:drawing>
      </w:r>
    </w:p>
    <w:p w:rsidR="00280038" w:rsidRDefault="00280038" w:rsidP="001B40C9">
      <w:pPr>
        <w:spacing w:after="0"/>
        <w:jc w:val="center"/>
        <w:rPr>
          <w:sz w:val="28"/>
          <w:szCs w:val="28"/>
        </w:rPr>
      </w:pPr>
    </w:p>
    <w:p w:rsidR="00280038" w:rsidRDefault="00280038" w:rsidP="00280038">
      <w:pPr>
        <w:spacing w:after="120"/>
        <w:jc w:val="center"/>
        <w:rPr>
          <w:b/>
          <w:sz w:val="24"/>
          <w:szCs w:val="24"/>
          <w:u w:val="single"/>
        </w:rPr>
      </w:pPr>
    </w:p>
    <w:p w:rsidR="00EC34F3" w:rsidRDefault="00EC34F3" w:rsidP="00280038">
      <w:pPr>
        <w:spacing w:after="120"/>
        <w:jc w:val="center"/>
        <w:rPr>
          <w:b/>
          <w:sz w:val="24"/>
          <w:szCs w:val="24"/>
          <w:u w:val="single"/>
        </w:rPr>
      </w:pPr>
    </w:p>
    <w:p w:rsidR="00280038" w:rsidRPr="008C215F" w:rsidRDefault="001B40C9" w:rsidP="00280038">
      <w:pPr>
        <w:spacing w:after="120"/>
        <w:jc w:val="center"/>
        <w:rPr>
          <w:rFonts w:cs="Arial"/>
          <w:b/>
          <w:sz w:val="24"/>
          <w:szCs w:val="24"/>
          <w:u w:val="single"/>
        </w:rPr>
      </w:pPr>
      <w:r w:rsidRPr="008C215F">
        <w:rPr>
          <w:rFonts w:cs="Arial"/>
          <w:b/>
          <w:sz w:val="24"/>
          <w:szCs w:val="24"/>
          <w:u w:val="single"/>
        </w:rPr>
        <w:t>Invitation to Tender</w:t>
      </w:r>
      <w:r w:rsidR="00280038" w:rsidRPr="008C215F">
        <w:rPr>
          <w:rFonts w:cs="Arial"/>
          <w:b/>
          <w:sz w:val="24"/>
          <w:szCs w:val="24"/>
          <w:u w:val="single"/>
        </w:rPr>
        <w:t xml:space="preserve"> for Research and Consultancy Services</w:t>
      </w:r>
    </w:p>
    <w:p w:rsidR="001B40C9" w:rsidRPr="008C215F" w:rsidRDefault="00386FEC" w:rsidP="001B40C9">
      <w:pPr>
        <w:spacing w:after="0"/>
        <w:jc w:val="center"/>
        <w:rPr>
          <w:rFonts w:cs="Arial"/>
          <w:b/>
          <w:sz w:val="24"/>
          <w:szCs w:val="24"/>
        </w:rPr>
      </w:pPr>
      <w:r>
        <w:rPr>
          <w:rFonts w:cs="Arial"/>
          <w:b/>
          <w:sz w:val="24"/>
          <w:szCs w:val="24"/>
        </w:rPr>
        <w:t>R0217b</w:t>
      </w:r>
      <w:r w:rsidR="0030700B" w:rsidRPr="0030700B">
        <w:rPr>
          <w:rFonts w:cs="Arial"/>
          <w:b/>
          <w:sz w:val="24"/>
          <w:szCs w:val="24"/>
        </w:rPr>
        <w:t xml:space="preserve">: </w:t>
      </w:r>
      <w:r w:rsidR="001B40C9" w:rsidRPr="008C215F">
        <w:rPr>
          <w:rFonts w:cs="Arial"/>
          <w:b/>
          <w:sz w:val="24"/>
          <w:szCs w:val="24"/>
        </w:rPr>
        <w:t xml:space="preserve">Development of </w:t>
      </w:r>
      <w:r w:rsidR="000F5596">
        <w:rPr>
          <w:rFonts w:cs="Arial"/>
          <w:b/>
          <w:sz w:val="24"/>
          <w:szCs w:val="24"/>
        </w:rPr>
        <w:t xml:space="preserve">a </w:t>
      </w:r>
      <w:r w:rsidR="000F5596" w:rsidRPr="000F5596">
        <w:rPr>
          <w:rFonts w:cs="Arial"/>
          <w:b/>
          <w:sz w:val="24"/>
          <w:szCs w:val="24"/>
        </w:rPr>
        <w:t>feasibility study of options for enhancing pan-London collaboration in the procurement of private rented accommodation for homeless households by London boroughs</w:t>
      </w:r>
    </w:p>
    <w:p w:rsidR="001B40C9" w:rsidRPr="00FD7F89" w:rsidRDefault="001B40C9" w:rsidP="001B40C9">
      <w:pPr>
        <w:spacing w:after="0"/>
        <w:rPr>
          <w:rFonts w:cs="Arial"/>
          <w:sz w:val="24"/>
          <w:szCs w:val="24"/>
        </w:rPr>
      </w:pPr>
    </w:p>
    <w:p w:rsidR="00280038" w:rsidRPr="00FD7F89" w:rsidRDefault="00280038" w:rsidP="001B40C9">
      <w:pPr>
        <w:spacing w:after="0"/>
        <w:rPr>
          <w:rFonts w:cs="Arial"/>
          <w:sz w:val="24"/>
          <w:szCs w:val="24"/>
        </w:rPr>
      </w:pPr>
    </w:p>
    <w:p w:rsidR="00280038" w:rsidRPr="00FD7F89" w:rsidRDefault="00280038" w:rsidP="001B40C9">
      <w:pPr>
        <w:spacing w:after="0"/>
        <w:rPr>
          <w:rFonts w:cs="Arial"/>
          <w:sz w:val="24"/>
          <w:szCs w:val="24"/>
        </w:rPr>
      </w:pPr>
    </w:p>
    <w:p w:rsidR="00CC4448" w:rsidRPr="00FD7F89" w:rsidRDefault="00CC4448" w:rsidP="00CC4448">
      <w:pPr>
        <w:spacing w:after="0"/>
        <w:rPr>
          <w:rFonts w:cs="Arial"/>
          <w:sz w:val="24"/>
          <w:szCs w:val="24"/>
        </w:rPr>
      </w:pPr>
      <w:r w:rsidRPr="00FD7F89">
        <w:rPr>
          <w:rFonts w:cs="Arial"/>
          <w:sz w:val="24"/>
          <w:szCs w:val="24"/>
        </w:rPr>
        <w:t>London Councils represents London’s 32 boroughs and the City of London. We are a cross-party organisation that works on behalf of all of our member authorities regardless of political persuasion.</w:t>
      </w:r>
    </w:p>
    <w:p w:rsidR="00280038" w:rsidRPr="00FD7F89" w:rsidRDefault="00280038" w:rsidP="00CC4448">
      <w:pPr>
        <w:spacing w:after="0"/>
        <w:rPr>
          <w:rFonts w:cs="Arial"/>
          <w:sz w:val="24"/>
          <w:szCs w:val="24"/>
        </w:rPr>
      </w:pP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London Councils makes the case to government, the Mayor and others to get the best deal for Londoners and to ensure that our member authorities have the resources, freedoms and powers to do the best possible job for their residents and local businesses.</w:t>
      </w:r>
    </w:p>
    <w:p w:rsidR="00CC4448" w:rsidRPr="00FD7F89" w:rsidRDefault="00CC4448" w:rsidP="00CC4448">
      <w:pPr>
        <w:pStyle w:val="ListParagraph"/>
        <w:numPr>
          <w:ilvl w:val="0"/>
          <w:numId w:val="1"/>
        </w:numPr>
        <w:spacing w:after="0"/>
        <w:rPr>
          <w:rFonts w:cs="Arial"/>
          <w:sz w:val="24"/>
          <w:szCs w:val="24"/>
        </w:rPr>
      </w:pPr>
      <w:r w:rsidRPr="00FD7F89">
        <w:rPr>
          <w:rFonts w:cs="Arial"/>
          <w:sz w:val="24"/>
          <w:szCs w:val="24"/>
        </w:rPr>
        <w:t>London Councils runs a number of direct services for member authorities including the Freedom Pass, Taxicard and Health Emergency Badge. It also runs an independent parking appeals service and a pan-London grants programme for voluntary organisations.</w:t>
      </w:r>
    </w:p>
    <w:p w:rsidR="00B0664F" w:rsidRDefault="00CC4448" w:rsidP="00CC4448">
      <w:pPr>
        <w:pStyle w:val="ListParagraph"/>
        <w:numPr>
          <w:ilvl w:val="0"/>
          <w:numId w:val="1"/>
        </w:numPr>
        <w:spacing w:after="0"/>
        <w:rPr>
          <w:rFonts w:cs="Arial"/>
          <w:sz w:val="24"/>
          <w:szCs w:val="24"/>
        </w:rPr>
      </w:pPr>
      <w:r w:rsidRPr="00FD7F89">
        <w:rPr>
          <w:rFonts w:cs="Arial"/>
          <w:sz w:val="24"/>
          <w:szCs w:val="24"/>
        </w:rPr>
        <w:t>London Councils acts as a catalyst for effective sharing among boroughs – be that ideas, good practice, people, resources, or policies and new approaches.</w:t>
      </w:r>
    </w:p>
    <w:p w:rsidR="00B90D38" w:rsidRDefault="00B90D38" w:rsidP="00B90D38">
      <w:pPr>
        <w:pStyle w:val="ListParagraph"/>
        <w:spacing w:after="0"/>
        <w:rPr>
          <w:rFonts w:cs="Arial"/>
          <w:sz w:val="24"/>
          <w:szCs w:val="24"/>
        </w:rPr>
      </w:pPr>
    </w:p>
    <w:p w:rsidR="004A6D9E" w:rsidRPr="00B90D38" w:rsidRDefault="004A6D9E" w:rsidP="00B90D38">
      <w:pPr>
        <w:spacing w:after="0"/>
        <w:rPr>
          <w:rFonts w:cs="Arial"/>
          <w:sz w:val="24"/>
          <w:szCs w:val="24"/>
        </w:rPr>
      </w:pPr>
      <w:r w:rsidRPr="00B90D38">
        <w:rPr>
          <w:rFonts w:cs="Arial"/>
          <w:sz w:val="24"/>
          <w:szCs w:val="24"/>
        </w:rPr>
        <w:t xml:space="preserve">The Housing and Planning Team within the Policy and Public Affairs Directorate at London Councils </w:t>
      </w:r>
      <w:r w:rsidR="00D34256" w:rsidRPr="00B90D38">
        <w:rPr>
          <w:rFonts w:cs="Arial"/>
          <w:sz w:val="24"/>
          <w:szCs w:val="24"/>
        </w:rPr>
        <w:t>works on pan London housing and planning issues, in particular advocacy and joint working. The team have worked with the GLA and CLG on the design of this project now out to tender.</w:t>
      </w:r>
    </w:p>
    <w:p w:rsidR="00CC4448" w:rsidRPr="00FD7F89" w:rsidRDefault="00CC4448" w:rsidP="00CC4448">
      <w:pPr>
        <w:spacing w:after="0"/>
        <w:rPr>
          <w:rFonts w:cs="Arial"/>
          <w:sz w:val="24"/>
          <w:szCs w:val="24"/>
        </w:rPr>
      </w:pPr>
    </w:p>
    <w:p w:rsidR="00386FEC" w:rsidRDefault="00386FEC">
      <w:pPr>
        <w:rPr>
          <w:rFonts w:cs="Arial"/>
          <w:sz w:val="24"/>
          <w:szCs w:val="24"/>
        </w:rPr>
      </w:pPr>
    </w:p>
    <w:p w:rsidR="00280038" w:rsidRPr="00FD7F89" w:rsidRDefault="00280038">
      <w:pPr>
        <w:rPr>
          <w:rFonts w:cs="Arial"/>
          <w:sz w:val="24"/>
          <w:szCs w:val="24"/>
        </w:rPr>
      </w:pPr>
      <w:r w:rsidRPr="00FD7F89">
        <w:rPr>
          <w:rFonts w:cs="Arial"/>
          <w:sz w:val="24"/>
          <w:szCs w:val="24"/>
        </w:rPr>
        <w:br w:type="page"/>
      </w: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lastRenderedPageBreak/>
        <w:t>Summary</w:t>
      </w:r>
      <w:r w:rsidRPr="00716201">
        <w:rPr>
          <w:rFonts w:eastAsia="Times New Roman" w:cs="Arial"/>
          <w:b/>
          <w:sz w:val="24"/>
          <w:szCs w:val="24"/>
        </w:rPr>
        <w:br/>
      </w: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London’s Housing Directors have agreed to commission an options appraisal and feasibility study for enhanced collaboration in boroughs’ procurement of private rented accommodation for homeless households and those at risk of homelessness. London Councils is procuring this work on their behalf. </w:t>
      </w:r>
      <w:r w:rsidRPr="00716201">
        <w:rPr>
          <w:rFonts w:eastAsia="Times New Roman" w:cs="Arial"/>
          <w:sz w:val="24"/>
          <w:szCs w:val="24"/>
        </w:rPr>
        <w:br/>
      </w: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brief sets out the context and requirements for the work for potential bidders. Details of how to submit </w:t>
      </w:r>
      <w:r w:rsidR="00B90D38">
        <w:rPr>
          <w:rFonts w:eastAsia="Times New Roman" w:cs="Arial"/>
          <w:sz w:val="24"/>
          <w:szCs w:val="24"/>
        </w:rPr>
        <w:t>a tender</w:t>
      </w:r>
      <w:r w:rsidRPr="00716201">
        <w:rPr>
          <w:rFonts w:eastAsia="Times New Roman" w:cs="Arial"/>
          <w:sz w:val="24"/>
          <w:szCs w:val="24"/>
        </w:rPr>
        <w:t xml:space="preserve"> are provided at ‘Details of how to apply’ below.</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Context</w:t>
      </w:r>
    </w:p>
    <w:p w:rsidR="00716201" w:rsidRPr="00716201" w:rsidRDefault="00716201" w:rsidP="00716201">
      <w:pPr>
        <w:spacing w:after="0" w:line="240" w:lineRule="auto"/>
        <w:rPr>
          <w:rFonts w:eastAsia="Times New Roman" w:cs="Arial"/>
          <w:b/>
          <w:sz w:val="24"/>
          <w:szCs w:val="24"/>
        </w:rPr>
      </w:pPr>
    </w:p>
    <w:p w:rsidR="00CC30F3"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The number of homeless households whom London boroughs have accepted a duty to assist rose by 118% between 2010/11 and 2015/16 and levels of homelessness are set to continue rising. The Greater London Authority’s (GLA’s) conservative estimate, based on a continuation of recent trends in the number of households both accommodated in and leaving </w:t>
      </w:r>
      <w:r w:rsidR="00386FEC">
        <w:rPr>
          <w:rFonts w:eastAsia="Times New Roman" w:cs="Arial"/>
          <w:sz w:val="24"/>
          <w:szCs w:val="24"/>
        </w:rPr>
        <w:t>temporary accommodation [</w:t>
      </w:r>
      <w:r w:rsidRPr="00716201">
        <w:rPr>
          <w:rFonts w:eastAsia="Times New Roman" w:cs="Arial"/>
          <w:sz w:val="24"/>
          <w:szCs w:val="24"/>
        </w:rPr>
        <w:t>TA</w:t>
      </w:r>
      <w:r w:rsidR="00386FEC">
        <w:rPr>
          <w:rFonts w:eastAsia="Times New Roman" w:cs="Arial"/>
          <w:sz w:val="24"/>
          <w:szCs w:val="24"/>
        </w:rPr>
        <w:t>]</w:t>
      </w:r>
      <w:r w:rsidRPr="00716201">
        <w:rPr>
          <w:rFonts w:eastAsia="Times New Roman" w:cs="Arial"/>
          <w:sz w:val="24"/>
          <w:szCs w:val="24"/>
        </w:rPr>
        <w:t xml:space="preserve"> and the withdrawal of some existing providers from the market,</w:t>
      </w:r>
      <w:r w:rsidRPr="00716201" w:rsidDel="006926A8">
        <w:rPr>
          <w:rFonts w:eastAsia="Times New Roman" w:cs="Arial"/>
          <w:sz w:val="24"/>
          <w:szCs w:val="24"/>
        </w:rPr>
        <w:t xml:space="preserve"> </w:t>
      </w:r>
      <w:r w:rsidRPr="00716201">
        <w:rPr>
          <w:rFonts w:eastAsia="Times New Roman" w:cs="Arial"/>
          <w:sz w:val="24"/>
          <w:szCs w:val="24"/>
        </w:rPr>
        <w:t xml:space="preserve">suggests that boroughs may need in the region of 50,000 tenancies for homeless households over the next four years. The figure may increase if the Homelessness Reduction Bill is enacted. This level of supply is likely to come at increasing cost to boroughs, whom a London Councils-commissioned study found covered a quarter of the total cost of TA to London boroughs in 2014/15 (£170 million of £663 million) from their General Funds. It is also probable that their use of out-of-borough and out-of-London placement will rise. </w:t>
      </w:r>
    </w:p>
    <w:p w:rsidR="00CC30F3" w:rsidRDefault="00CC30F3"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Despite the past and planned efforts of authorities, both individually and jointly, it is evident that new approaches, of significant scale and impact, are needed to address the challenge. In that context, the Government’s reform of </w:t>
      </w:r>
      <w:r w:rsidR="00386FEC">
        <w:rPr>
          <w:rFonts w:eastAsia="Times New Roman" w:cs="Arial"/>
          <w:sz w:val="24"/>
          <w:szCs w:val="24"/>
        </w:rPr>
        <w:t xml:space="preserve">the </w:t>
      </w:r>
      <w:r w:rsidRPr="00716201">
        <w:rPr>
          <w:rFonts w:eastAsia="Times New Roman" w:cs="Arial"/>
          <w:sz w:val="24"/>
          <w:szCs w:val="24"/>
        </w:rPr>
        <w:t>Temporary Accommodation Management Fee (TAMF) creates an opportunity for greater flexibility on the part of boroughs.</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Purpose</w:t>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br/>
        <w:t>Options for new, more collaborative approaches to boroughs’ procurement of private rented accommodation for homeless households should seek to achieve the following:</w:t>
      </w:r>
    </w:p>
    <w:p w:rsidR="00716201" w:rsidRPr="00716201" w:rsidRDefault="00716201" w:rsidP="00716201">
      <w:pPr>
        <w:spacing w:after="0" w:line="240" w:lineRule="auto"/>
        <w:jc w:val="both"/>
        <w:rPr>
          <w:rFonts w:eastAsia="Times New Roman" w:cs="Arial"/>
          <w:sz w:val="24"/>
          <w:szCs w:val="24"/>
        </w:rPr>
      </w:pPr>
    </w:p>
    <w:p w:rsidR="00716201" w:rsidRPr="00D40378" w:rsidRDefault="00716201" w:rsidP="00D40378">
      <w:pPr>
        <w:numPr>
          <w:ilvl w:val="0"/>
          <w:numId w:val="19"/>
        </w:numPr>
        <w:spacing w:after="0" w:line="240" w:lineRule="auto"/>
        <w:contextualSpacing/>
        <w:jc w:val="both"/>
        <w:rPr>
          <w:rFonts w:eastAsia="Times New Roman" w:cs="Arial"/>
          <w:color w:val="000000"/>
          <w:sz w:val="24"/>
          <w:szCs w:val="24"/>
          <w:shd w:val="clear" w:color="auto" w:fill="FFFFFF"/>
        </w:rPr>
      </w:pPr>
      <w:r w:rsidRPr="00D40378">
        <w:rPr>
          <w:rFonts w:eastAsia="Times New Roman" w:cs="Arial"/>
          <w:color w:val="000000"/>
          <w:sz w:val="24"/>
          <w:szCs w:val="24"/>
          <w:shd w:val="clear" w:color="auto" w:fill="FFFFFF"/>
        </w:rPr>
        <w:t>increase the supply of tenancies available to boroughs to use for homeless households;</w:t>
      </w:r>
      <w:r w:rsidRPr="00D40378">
        <w:rPr>
          <w:rFonts w:eastAsia="Times New Roman" w:cs="Arial"/>
          <w:color w:val="000000"/>
          <w:sz w:val="24"/>
          <w:szCs w:val="24"/>
          <w:shd w:val="clear" w:color="auto" w:fill="FFFFFF"/>
        </w:rPr>
        <w:br/>
        <w:t>help control the cost of supply, to both local authorities and the wider public purse; and</w:t>
      </w:r>
      <w:r w:rsidRPr="00D40378">
        <w:rPr>
          <w:rFonts w:eastAsia="Times New Roman" w:cs="Arial"/>
          <w:color w:val="000000"/>
          <w:sz w:val="24"/>
          <w:szCs w:val="24"/>
          <w:shd w:val="clear" w:color="auto" w:fill="FFFFFF"/>
        </w:rPr>
        <w:br/>
        <w:t>improve outcomes for homeless households, in relation to the location and quality of accommodation.</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Background</w:t>
      </w:r>
    </w:p>
    <w:p w:rsidR="00716201" w:rsidRPr="00716201" w:rsidRDefault="00716201" w:rsidP="00716201">
      <w:pPr>
        <w:spacing w:after="0" w:line="240" w:lineRule="auto"/>
        <w:jc w:val="both"/>
        <w:rPr>
          <w:rFonts w:eastAsia="Times New Roman" w:cs="Arial"/>
          <w:b/>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In May 2016, the London Housing Directors’ Group established a Task and Finish Group to examine how to increase TA or alternative private rented supply, build</w:t>
      </w:r>
      <w:r w:rsidR="00386FEC">
        <w:rPr>
          <w:rFonts w:eastAsia="Times New Roman" w:cs="Arial"/>
          <w:sz w:val="24"/>
          <w:szCs w:val="24"/>
        </w:rPr>
        <w:t xml:space="preserve"> </w:t>
      </w:r>
      <w:r w:rsidRPr="00716201">
        <w:rPr>
          <w:rFonts w:eastAsia="Times New Roman" w:cs="Arial"/>
          <w:sz w:val="24"/>
          <w:szCs w:val="24"/>
        </w:rPr>
        <w:t>on existing collaborative arrangements and control expenditure by councils in London.</w:t>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lastRenderedPageBreak/>
        <w:t>The Mayor of London’s manifesto contained a commitment to “c</w:t>
      </w:r>
      <w:r w:rsidRPr="00716201">
        <w:rPr>
          <w:rFonts w:eastAsia="Times New Roman" w:cs="Arial"/>
          <w:color w:val="000000"/>
          <w:sz w:val="24"/>
          <w:szCs w:val="24"/>
          <w:shd w:val="clear" w:color="auto" w:fill="FFFFFF"/>
        </w:rPr>
        <w:t>o-ordinate councils' efforts to find stable private rented housing for those in need who are not able to move into social housing.”</w:t>
      </w:r>
      <w:r w:rsidRPr="00716201">
        <w:rPr>
          <w:rFonts w:eastAsia="Times New Roman" w:cs="Arial"/>
          <w:sz w:val="24"/>
          <w:szCs w:val="24"/>
        </w:rPr>
        <w:t xml:space="preserve"> Task and Finish Group members met the Deputy Mayor for Housing in summer 2016, when he invited the group to develop a proposal that the Mayor might support. </w:t>
      </w:r>
      <w:r w:rsidR="00386FEC">
        <w:rPr>
          <w:rFonts w:eastAsia="Times New Roman" w:cs="Arial"/>
          <w:sz w:val="24"/>
          <w:szCs w:val="24"/>
        </w:rPr>
        <w:t xml:space="preserve">The </w:t>
      </w:r>
      <w:r w:rsidRPr="00716201">
        <w:rPr>
          <w:rFonts w:eastAsia="Times New Roman" w:cs="Arial"/>
          <w:sz w:val="24"/>
          <w:szCs w:val="24"/>
        </w:rPr>
        <w:t>GLA has consequently been closely involved in the work of the Task and Finish Group.</w:t>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2E1401">
      <w:pPr>
        <w:spacing w:after="0" w:line="240" w:lineRule="auto"/>
        <w:rPr>
          <w:rFonts w:eastAsia="Times New Roman" w:cs="Arial"/>
          <w:sz w:val="24"/>
          <w:szCs w:val="24"/>
        </w:rPr>
      </w:pPr>
      <w:r w:rsidRPr="00716201">
        <w:rPr>
          <w:rFonts w:eastAsia="Times New Roman" w:cs="Arial"/>
          <w:sz w:val="24"/>
          <w:szCs w:val="24"/>
        </w:rPr>
        <w:t xml:space="preserve">The Department for Communities and Local Government (DCLG) also wishes to encourage and support new collaborative efforts by London authorities. </w:t>
      </w:r>
      <w:r w:rsidRPr="00716201">
        <w:rPr>
          <w:rFonts w:eastAsia="Times New Roman" w:cs="Arial"/>
          <w:sz w:val="24"/>
          <w:szCs w:val="24"/>
        </w:rPr>
        <w:br/>
      </w: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rPr>
          <w:rFonts w:eastAsia="Times New Roman" w:cs="Arial"/>
          <w:b/>
          <w:sz w:val="24"/>
          <w:szCs w:val="24"/>
        </w:rPr>
      </w:pPr>
      <w:r w:rsidRPr="00716201">
        <w:rPr>
          <w:rFonts w:eastAsia="Times New Roman" w:cs="Arial"/>
          <w:b/>
          <w:sz w:val="24"/>
          <w:szCs w:val="24"/>
        </w:rPr>
        <w:t>Scope of the Task and Finish Group</w:t>
      </w:r>
      <w:r w:rsidRPr="00716201">
        <w:rPr>
          <w:rFonts w:eastAsia="Times New Roman" w:cs="Arial"/>
          <w:b/>
          <w:sz w:val="24"/>
          <w:szCs w:val="24"/>
        </w:rPr>
        <w:br/>
      </w: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 xml:space="preserve">The Task and Finish Group has given initial consideration to a number of different approaches which, in combination, could perhaps achieve the step-change in supply that is required. </w:t>
      </w:r>
    </w:p>
    <w:p w:rsidR="00716201" w:rsidRPr="00716201" w:rsidRDefault="00716201" w:rsidP="00716201">
      <w:pPr>
        <w:spacing w:after="0" w:line="240" w:lineRule="auto"/>
        <w:ind w:left="720"/>
        <w:contextualSpacing/>
        <w:rPr>
          <w:rFonts w:eastAsia="Times New Roman" w:cs="Arial"/>
          <w:sz w:val="24"/>
          <w:szCs w:val="24"/>
        </w:rPr>
      </w:pPr>
    </w:p>
    <w:p w:rsidR="00716201" w:rsidRPr="00716201" w:rsidRDefault="00716201" w:rsidP="00716201">
      <w:pPr>
        <w:spacing w:after="0" w:line="240" w:lineRule="auto"/>
        <w:jc w:val="both"/>
        <w:rPr>
          <w:rFonts w:eastAsia="Times New Roman" w:cs="Arial"/>
          <w:sz w:val="24"/>
          <w:szCs w:val="24"/>
        </w:rPr>
      </w:pPr>
    </w:p>
    <w:p w:rsidR="00716201" w:rsidRPr="00716201" w:rsidRDefault="00716201" w:rsidP="00716201">
      <w:pPr>
        <w:spacing w:after="0" w:line="240" w:lineRule="auto"/>
        <w:jc w:val="both"/>
        <w:rPr>
          <w:rFonts w:eastAsia="Times New Roman" w:cs="Arial"/>
          <w:b/>
          <w:sz w:val="24"/>
          <w:szCs w:val="24"/>
        </w:rPr>
      </w:pPr>
      <w:r w:rsidRPr="00716201">
        <w:rPr>
          <w:rFonts w:eastAsia="Times New Roman" w:cs="Arial"/>
          <w:b/>
          <w:sz w:val="24"/>
          <w:szCs w:val="24"/>
        </w:rPr>
        <w:t>Options for collaborative procurement identified by the Task and Finish Group</w:t>
      </w:r>
    </w:p>
    <w:p w:rsidR="00716201" w:rsidRPr="00716201" w:rsidRDefault="00716201" w:rsidP="00716201">
      <w:pPr>
        <w:spacing w:after="0" w:line="240" w:lineRule="auto"/>
        <w:jc w:val="both"/>
        <w:rPr>
          <w:rFonts w:eastAsia="Times New Roman" w:cs="Arial"/>
          <w:b/>
          <w:sz w:val="24"/>
          <w:szCs w:val="24"/>
        </w:rPr>
      </w:pPr>
    </w:p>
    <w:p w:rsidR="00716201" w:rsidRPr="00716201" w:rsidRDefault="00716201" w:rsidP="00716201">
      <w:pPr>
        <w:spacing w:after="0" w:line="240" w:lineRule="auto"/>
        <w:jc w:val="both"/>
        <w:rPr>
          <w:rFonts w:eastAsia="Times New Roman" w:cs="Arial"/>
          <w:sz w:val="24"/>
          <w:szCs w:val="24"/>
        </w:rPr>
      </w:pPr>
      <w:r w:rsidRPr="00716201">
        <w:rPr>
          <w:rFonts w:eastAsia="Times New Roman" w:cs="Arial"/>
          <w:sz w:val="24"/>
          <w:szCs w:val="24"/>
        </w:rPr>
        <w:t>The Task and Finish Group has identified and presented to Housing Directors a number of broad options for greater collaboration between boroughs in their efforts to secure private rented accommodation. These vary in the degree of collaboration involved. The option that would entail the greatest collaboration is the creation of a single service to procure accommodation for all boroughs. All options could potentially be underpinned by a system of incentives and there is scope for hybrid and/or gradual approaches. Although the study need not be limited to the options identified by the Task and Finish Group, further information on these is available to potential bidders upon request.</w:t>
      </w: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The Feasibility Study</w:t>
      </w: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Building on the work that the Task and Finish Group has already done to identify the advantages and disadvantages of different options, the feasibility study will examine these options and any others identified as part of the exercise. It should identify a preferred option and develop recommendations around next steps, to be set out in a report that should be presented to Housing Directors, the Deputy Mayor for Housing and DCLG for their consideration. This report should include an </w:t>
      </w:r>
      <w:r w:rsidRPr="00716201">
        <w:rPr>
          <w:rFonts w:eastAsia="Times New Roman" w:cs="Arial"/>
          <w:sz w:val="24"/>
          <w:szCs w:val="24"/>
        </w:rPr>
        <w:t>outline implementation plan, including a risk register, for the preferred option.</w:t>
      </w:r>
    </w:p>
    <w:p w:rsidR="00716201" w:rsidRPr="00716201" w:rsidRDefault="00716201" w:rsidP="00716201">
      <w:pPr>
        <w:spacing w:after="0" w:line="240" w:lineRule="auto"/>
        <w:jc w:val="both"/>
        <w:rPr>
          <w:rFonts w:eastAsia="Times New Roman" w:cs="Arial"/>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 xml:space="preserve">Bidders are asked to propose an approach, as the methodology for this work will be agreed between the selected </w:t>
      </w:r>
      <w:r w:rsidR="00386FEC">
        <w:rPr>
          <w:rFonts w:eastAsia="Times New Roman" w:cs="Arial"/>
          <w:color w:val="000000"/>
          <w:sz w:val="24"/>
          <w:szCs w:val="24"/>
          <w:shd w:val="clear" w:color="auto" w:fill="FFFFFF"/>
        </w:rPr>
        <w:t xml:space="preserve">bidders </w:t>
      </w:r>
      <w:r w:rsidRPr="00716201">
        <w:rPr>
          <w:rFonts w:eastAsia="Times New Roman" w:cs="Arial"/>
          <w:color w:val="000000"/>
          <w:sz w:val="24"/>
          <w:szCs w:val="24"/>
          <w:shd w:val="clear" w:color="auto" w:fill="FFFFFF"/>
        </w:rPr>
        <w:t>and the Steering Group that will oversee this work.</w:t>
      </w:r>
      <w:r w:rsidRPr="00716201">
        <w:rPr>
          <w:rFonts w:eastAsia="Times New Roman" w:cs="Arial"/>
          <w:color w:val="000000"/>
          <w:sz w:val="24"/>
          <w:szCs w:val="24"/>
          <w:shd w:val="clear" w:color="auto" w:fill="FFFFFF"/>
        </w:rPr>
        <w:br/>
      </w:r>
      <w:r w:rsidRPr="00716201">
        <w:rPr>
          <w:rFonts w:eastAsia="Times New Roman" w:cs="Arial"/>
          <w:color w:val="000000"/>
          <w:sz w:val="24"/>
          <w:szCs w:val="24"/>
          <w:shd w:val="clear" w:color="auto" w:fill="FFFFFF"/>
        </w:rPr>
        <w:br/>
        <w:t>It is, however, expected that it will address the following questions in relation to the primary options: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would the option look like if developed?</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resources would be needed to develop the option?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How would the option interact with existing coordination arrangements?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impact would the option have on the level of supply of tenancies available to boroughs to use for homeless households?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lastRenderedPageBreak/>
        <w:t>What impact would the option have on the cost of supply, to both local authorities and the wider public purse?</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impact would the option have in terms of outcomes for homeless households, including</w:t>
      </w:r>
      <w:r w:rsidR="00386FEC">
        <w:rPr>
          <w:rFonts w:eastAsia="Times New Roman" w:cs="Arial"/>
          <w:color w:val="000000"/>
          <w:sz w:val="24"/>
          <w:szCs w:val="24"/>
          <w:shd w:val="clear" w:color="auto" w:fill="FFFFFF"/>
        </w:rPr>
        <w:t>:</w:t>
      </w:r>
    </w:p>
    <w:p w:rsidR="00716201" w:rsidRPr="00716201" w:rsidRDefault="00716201" w:rsidP="00716201">
      <w:pPr>
        <w:numPr>
          <w:ilvl w:val="1"/>
          <w:numId w:val="19"/>
        </w:numPr>
        <w:spacing w:after="0" w:line="240" w:lineRule="auto"/>
        <w:ind w:left="1134" w:hanging="425"/>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the location of accommodation</w:t>
      </w:r>
      <w:r w:rsidR="00386FEC">
        <w:rPr>
          <w:rFonts w:eastAsia="Times New Roman" w:cs="Arial"/>
          <w:color w:val="000000"/>
          <w:sz w:val="24"/>
          <w:szCs w:val="24"/>
          <w:shd w:val="clear" w:color="auto" w:fill="FFFFFF"/>
        </w:rPr>
        <w:t>?</w:t>
      </w:r>
    </w:p>
    <w:p w:rsidR="00716201" w:rsidRPr="00716201" w:rsidRDefault="00716201" w:rsidP="00716201">
      <w:pPr>
        <w:numPr>
          <w:ilvl w:val="1"/>
          <w:numId w:val="19"/>
        </w:numPr>
        <w:spacing w:after="0" w:line="240" w:lineRule="auto"/>
        <w:ind w:left="1134" w:hanging="425"/>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the quality of accommodation?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How would the option be received by accommodation providers?</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Would the option be viable if it operated only for supply within London?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level of borough participation would be required for this option to work? And are there particular (types of) boroughs whose participation would be critical to its feasibility?</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Would there be scope for an incremental roll out of this option?</w:t>
      </w:r>
    </w:p>
    <w:p w:rsidR="00716201" w:rsidRPr="00716201" w:rsidRDefault="00716201" w:rsidP="00716201">
      <w:pPr>
        <w:numPr>
          <w:ilvl w:val="0"/>
          <w:numId w:val="19"/>
        </w:numPr>
        <w:spacing w:after="0" w:line="240" w:lineRule="auto"/>
        <w:contextualSpacing/>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What are the key risks and what steps can be taken to mitigate these?</w:t>
      </w:r>
    </w:p>
    <w:p w:rsidR="00716201" w:rsidRPr="00716201" w:rsidRDefault="00716201" w:rsidP="00716201">
      <w:pPr>
        <w:spacing w:after="0" w:line="240" w:lineRule="auto"/>
        <w:rPr>
          <w:rFonts w:eastAsia="Times New Roman" w:cs="Arial"/>
          <w:sz w:val="24"/>
          <w:szCs w:val="24"/>
        </w:rPr>
      </w:pPr>
      <w:r w:rsidRPr="00716201">
        <w:rPr>
          <w:rFonts w:eastAsia="Times New Roman" w:cs="Arial"/>
          <w:color w:val="000000"/>
          <w:sz w:val="24"/>
          <w:szCs w:val="24"/>
          <w:shd w:val="clear" w:color="auto" w:fill="FFFFFF"/>
        </w:rPr>
        <w:br/>
        <w:t xml:space="preserve">In addressing these questions, the study will need to </w:t>
      </w:r>
      <w:r w:rsidRPr="00716201">
        <w:rPr>
          <w:rFonts w:eastAsia="Times New Roman" w:cs="Arial"/>
          <w:sz w:val="24"/>
          <w:szCs w:val="24"/>
        </w:rPr>
        <w:t xml:space="preserve">take into account the guidelines for appraisal and evaluation of proposals outlined in the Treasury </w:t>
      </w:r>
      <w:hyperlink r:id="rId10" w:history="1">
        <w:r w:rsidRPr="00D40378">
          <w:rPr>
            <w:rStyle w:val="Hyperlink"/>
            <w:rFonts w:eastAsia="Times New Roman" w:cs="Arial"/>
            <w:sz w:val="24"/>
            <w:szCs w:val="24"/>
          </w:rPr>
          <w:t>Green Book</w:t>
        </w:r>
      </w:hyperlink>
      <w:r w:rsidR="00D40378">
        <w:rPr>
          <w:rStyle w:val="FootnoteReference"/>
          <w:rFonts w:eastAsia="Times New Roman" w:cs="Arial"/>
          <w:sz w:val="24"/>
          <w:szCs w:val="24"/>
        </w:rPr>
        <w:footnoteReference w:id="1"/>
      </w:r>
      <w:r w:rsidRPr="00716201">
        <w:rPr>
          <w:rFonts w:eastAsia="Times New Roman" w:cs="Arial"/>
          <w:color w:val="1F497D"/>
          <w:sz w:val="24"/>
          <w:szCs w:val="24"/>
        </w:rPr>
        <w:t xml:space="preserve"> </w:t>
      </w:r>
      <w:r w:rsidRPr="00716201">
        <w:rPr>
          <w:rFonts w:eastAsia="Times New Roman" w:cs="Arial"/>
          <w:sz w:val="24"/>
          <w:szCs w:val="24"/>
        </w:rPr>
        <w:t xml:space="preserve">and DCLG’s  </w:t>
      </w:r>
      <w:hyperlink r:id="rId11" w:history="1">
        <w:r w:rsidRPr="00D40378">
          <w:rPr>
            <w:rStyle w:val="Hyperlink"/>
            <w:rFonts w:eastAsia="Times New Roman" w:cs="Arial"/>
            <w:sz w:val="24"/>
            <w:szCs w:val="24"/>
          </w:rPr>
          <w:t>project appraisal guidance</w:t>
        </w:r>
      </w:hyperlink>
      <w:r w:rsidR="00D40378">
        <w:rPr>
          <w:rStyle w:val="FootnoteReference"/>
          <w:rFonts w:eastAsia="Times New Roman" w:cs="Arial"/>
          <w:sz w:val="24"/>
          <w:szCs w:val="24"/>
        </w:rPr>
        <w:footnoteReference w:id="2"/>
      </w:r>
      <w:r w:rsidRPr="00716201">
        <w:rPr>
          <w:rFonts w:eastAsia="Times New Roman" w:cs="Arial"/>
          <w:sz w:val="24"/>
          <w:szCs w:val="24"/>
        </w:rPr>
        <w:t xml:space="preserve">, paying particular attention to sections one and two of the latter. </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This will ensure that the study is sufficiently robust to inform any future spending decisions relating to implementation. </w:t>
      </w:r>
    </w:p>
    <w:p w:rsidR="00716201" w:rsidRPr="00716201" w:rsidRDefault="00716201" w:rsidP="00716201">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color w:val="000000"/>
          <w:sz w:val="24"/>
          <w:szCs w:val="24"/>
          <w:shd w:val="clear" w:color="auto" w:fill="FFFFFF"/>
        </w:rPr>
      </w:pPr>
      <w:r w:rsidRPr="00716201">
        <w:rPr>
          <w:rFonts w:eastAsia="Times New Roman" w:cs="Arial"/>
          <w:color w:val="000000"/>
          <w:sz w:val="24"/>
          <w:szCs w:val="24"/>
          <w:shd w:val="clear" w:color="auto" w:fill="FFFFFF"/>
        </w:rPr>
        <w:t>The study should be complete by the end of summer 2017.</w:t>
      </w: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ind w:left="567"/>
        <w:jc w:val="both"/>
        <w:rPr>
          <w:rFonts w:eastAsia="Times New Roman" w:cs="Arial"/>
          <w:b/>
          <w:color w:val="000000"/>
          <w:sz w:val="24"/>
          <w:szCs w:val="24"/>
          <w:shd w:val="clear" w:color="auto" w:fill="FFFFFF"/>
        </w:rPr>
      </w:pPr>
    </w:p>
    <w:p w:rsidR="00716201" w:rsidRPr="00716201" w:rsidRDefault="00716201" w:rsidP="00716201">
      <w:pPr>
        <w:spacing w:after="0" w:line="240" w:lineRule="auto"/>
        <w:jc w:val="both"/>
        <w:rPr>
          <w:rFonts w:eastAsia="Times New Roman" w:cs="Arial"/>
          <w:b/>
          <w:color w:val="000000"/>
          <w:sz w:val="24"/>
          <w:szCs w:val="24"/>
          <w:shd w:val="clear" w:color="auto" w:fill="FFFFFF"/>
        </w:rPr>
      </w:pPr>
      <w:r w:rsidRPr="00716201">
        <w:rPr>
          <w:rFonts w:eastAsia="Times New Roman" w:cs="Arial"/>
          <w:b/>
          <w:color w:val="000000"/>
          <w:sz w:val="24"/>
          <w:szCs w:val="24"/>
          <w:shd w:val="clear" w:color="auto" w:fill="FFFFFF"/>
        </w:rPr>
        <w:t>Governance and funding</w:t>
      </w:r>
    </w:p>
    <w:p w:rsidR="00716201" w:rsidRPr="00716201" w:rsidRDefault="00716201" w:rsidP="00716201">
      <w:pPr>
        <w:spacing w:after="0" w:line="240" w:lineRule="auto"/>
        <w:jc w:val="both"/>
        <w:rPr>
          <w:rFonts w:eastAsia="Times New Roman" w:cs="Arial"/>
          <w:b/>
          <w:color w:val="000000"/>
          <w:sz w:val="24"/>
          <w:szCs w:val="24"/>
          <w:shd w:val="clear" w:color="auto" w:fill="FFFFFF"/>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Both </w:t>
      </w:r>
      <w:r w:rsidR="00D40378">
        <w:rPr>
          <w:rFonts w:eastAsia="Times New Roman" w:cs="Arial"/>
          <w:sz w:val="24"/>
          <w:szCs w:val="24"/>
        </w:rPr>
        <w:t xml:space="preserve">the </w:t>
      </w:r>
      <w:r w:rsidRPr="00716201">
        <w:rPr>
          <w:rFonts w:eastAsia="Times New Roman" w:cs="Arial"/>
          <w:sz w:val="24"/>
          <w:szCs w:val="24"/>
        </w:rPr>
        <w:t>GLA and DCLG have provisionally agreed to fund the study. A budget of up to £40,000 is available.</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The study will form part of wider work on the scope for greater coordination of boroughs’ efforts to secure private rented accommodation for homeless households to be managed, from day to day, by an officer appointed to support the Chair of London’s Housing Directors’ Group with policy and project work. It is envisaged that the holder of this post would be primarily responsible for engagement with local authority officers and politicians, relevant Government departments and the GLA around this politically sensitive issue.</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The study will be overseen by a Steering Group, appointed largely from within the existing Task and Finish Group and including London Councils, GLA and DCLG, as well as borough representatives. </w:t>
      </w:r>
    </w:p>
    <w:p w:rsidR="00716201" w:rsidRPr="00716201" w:rsidRDefault="00716201" w:rsidP="00716201">
      <w:pPr>
        <w:spacing w:after="0" w:line="240" w:lineRule="auto"/>
        <w:rPr>
          <w:rFonts w:eastAsia="Times New Roman" w:cs="Arial"/>
          <w:sz w:val="24"/>
          <w:szCs w:val="24"/>
        </w:rPr>
      </w:pPr>
    </w:p>
    <w:p w:rsidR="00716201" w:rsidRPr="00716201" w:rsidRDefault="00716201" w:rsidP="00716201">
      <w:pPr>
        <w:spacing w:after="0" w:line="240" w:lineRule="auto"/>
        <w:rPr>
          <w:rFonts w:eastAsia="Times New Roman" w:cs="Arial"/>
          <w:sz w:val="24"/>
          <w:szCs w:val="24"/>
        </w:rPr>
      </w:pPr>
      <w:r w:rsidRPr="00716201">
        <w:rPr>
          <w:rFonts w:eastAsia="Times New Roman" w:cs="Arial"/>
          <w:sz w:val="24"/>
          <w:szCs w:val="24"/>
        </w:rPr>
        <w:t xml:space="preserve">The </w:t>
      </w:r>
      <w:r w:rsidR="00D40378">
        <w:rPr>
          <w:rFonts w:eastAsia="Times New Roman" w:cs="Arial"/>
          <w:sz w:val="24"/>
          <w:szCs w:val="24"/>
        </w:rPr>
        <w:t xml:space="preserve">successful bidders </w:t>
      </w:r>
      <w:r w:rsidRPr="00716201">
        <w:rPr>
          <w:rFonts w:eastAsia="Times New Roman" w:cs="Arial"/>
          <w:sz w:val="24"/>
          <w:szCs w:val="24"/>
        </w:rPr>
        <w:t>appoin</w:t>
      </w:r>
      <w:r w:rsidR="00CC30F3">
        <w:rPr>
          <w:rFonts w:eastAsia="Times New Roman" w:cs="Arial"/>
          <w:sz w:val="24"/>
          <w:szCs w:val="24"/>
        </w:rPr>
        <w:t xml:space="preserve">ted to complete the study will </w:t>
      </w:r>
      <w:r w:rsidRPr="00716201">
        <w:rPr>
          <w:rFonts w:eastAsia="Times New Roman" w:cs="Arial"/>
          <w:sz w:val="24"/>
          <w:szCs w:val="24"/>
        </w:rPr>
        <w:t xml:space="preserve">need to be able to attend regular Steering Group meetings </w:t>
      </w:r>
      <w:r w:rsidR="00D40378">
        <w:rPr>
          <w:rFonts w:eastAsia="Times New Roman" w:cs="Arial"/>
          <w:sz w:val="24"/>
          <w:szCs w:val="24"/>
        </w:rPr>
        <w:t xml:space="preserve">at </w:t>
      </w:r>
      <w:r w:rsidRPr="00716201">
        <w:rPr>
          <w:rFonts w:eastAsia="Times New Roman" w:cs="Arial"/>
          <w:sz w:val="24"/>
          <w:szCs w:val="24"/>
        </w:rPr>
        <w:t>London Councils’ offices and other meetings as necessary</w:t>
      </w:r>
      <w:r w:rsidR="00D40378">
        <w:rPr>
          <w:rFonts w:eastAsia="Times New Roman" w:cs="Arial"/>
          <w:sz w:val="24"/>
          <w:szCs w:val="24"/>
        </w:rPr>
        <w:t xml:space="preserve"> at the GLA and DCLG</w:t>
      </w:r>
      <w:r w:rsidRPr="00716201">
        <w:rPr>
          <w:rFonts w:eastAsia="Times New Roman" w:cs="Arial"/>
          <w:sz w:val="24"/>
          <w:szCs w:val="24"/>
        </w:rPr>
        <w:t>.</w:t>
      </w:r>
    </w:p>
    <w:p w:rsidR="00716201" w:rsidRDefault="00716201" w:rsidP="00716201">
      <w:pPr>
        <w:spacing w:after="0"/>
        <w:rPr>
          <w:rFonts w:cs="Arial"/>
          <w:sz w:val="24"/>
          <w:szCs w:val="24"/>
        </w:rPr>
      </w:pPr>
    </w:p>
    <w:p w:rsidR="00C3058E" w:rsidRPr="00716201" w:rsidRDefault="00D11B3E" w:rsidP="00716201">
      <w:pPr>
        <w:spacing w:after="0"/>
        <w:rPr>
          <w:rFonts w:cs="Arial"/>
          <w:b/>
          <w:sz w:val="24"/>
          <w:szCs w:val="24"/>
        </w:rPr>
      </w:pPr>
      <w:r w:rsidRPr="00716201">
        <w:rPr>
          <w:rFonts w:cs="Arial"/>
          <w:b/>
          <w:sz w:val="24"/>
          <w:szCs w:val="24"/>
        </w:rPr>
        <w:lastRenderedPageBreak/>
        <w:t>Tender Submission Requirements</w:t>
      </w:r>
    </w:p>
    <w:p w:rsidR="00D11B3E" w:rsidRPr="008C215F" w:rsidRDefault="00D11B3E" w:rsidP="00EC34F3">
      <w:pPr>
        <w:spacing w:after="0"/>
        <w:rPr>
          <w:rFonts w:eastAsia="Times New Roman" w:cs="Arial"/>
          <w:color w:val="000000"/>
          <w:sz w:val="24"/>
          <w:szCs w:val="24"/>
          <w:lang w:eastAsia="en-GB"/>
        </w:rPr>
      </w:pPr>
      <w:r w:rsidRPr="008C215F">
        <w:rPr>
          <w:rFonts w:eastAsia="Times New Roman" w:cs="Arial"/>
          <w:color w:val="000000"/>
          <w:sz w:val="24"/>
          <w:szCs w:val="24"/>
          <w:lang w:eastAsia="en-GB"/>
        </w:rPr>
        <w:t xml:space="preserve">Bidders should provide the following information in their </w:t>
      </w:r>
      <w:r w:rsidR="00315B5B" w:rsidRPr="008C215F">
        <w:rPr>
          <w:rFonts w:eastAsia="Times New Roman" w:cs="Arial"/>
          <w:color w:val="000000"/>
          <w:sz w:val="24"/>
          <w:szCs w:val="24"/>
          <w:lang w:eastAsia="en-GB"/>
        </w:rPr>
        <w:t>tender submission</w:t>
      </w:r>
      <w:r w:rsidRPr="008C215F">
        <w:rPr>
          <w:rFonts w:eastAsia="Times New Roman" w:cs="Arial"/>
          <w:color w:val="000000"/>
          <w:sz w:val="24"/>
          <w:szCs w:val="24"/>
          <w:lang w:eastAsia="en-GB"/>
        </w:rPr>
        <w:t>:</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The size and nature of your organisation (if relevant) and your experience of directly relevant c</w:t>
      </w:r>
      <w:r w:rsidR="00280038" w:rsidRPr="00EC34F3">
        <w:rPr>
          <w:rFonts w:eastAsia="Times New Roman" w:cs="Arial"/>
          <w:color w:val="000000"/>
          <w:sz w:val="24"/>
          <w:szCs w:val="24"/>
          <w:lang w:eastAsia="en-GB"/>
        </w:rPr>
        <w:t>onsultancy work.</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Your understanding of the aims and objectives of the project and how it interacts with the current policy context</w:t>
      </w:r>
      <w:r w:rsidR="00280038" w:rsidRPr="00EC34F3">
        <w:rPr>
          <w:rFonts w:eastAsia="Times New Roman" w:cs="Arial"/>
          <w:color w:val="000000"/>
          <w:sz w:val="24"/>
          <w:szCs w:val="24"/>
          <w:lang w:eastAsia="en-GB"/>
        </w:rPr>
        <w:t>.</w:t>
      </w:r>
    </w:p>
    <w:p w:rsidR="00B668A8"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An outline of your proposed methodology and approach to tasks outlined in this document</w:t>
      </w:r>
      <w:r w:rsidR="00280038" w:rsidRPr="00EC34F3">
        <w:rPr>
          <w:rFonts w:eastAsia="Times New Roman" w:cs="Arial"/>
          <w:color w:val="000000"/>
          <w:sz w:val="24"/>
          <w:szCs w:val="24"/>
          <w:lang w:eastAsia="en-GB"/>
        </w:rPr>
        <w:t>.</w:t>
      </w:r>
    </w:p>
    <w:p w:rsidR="00D11B3E" w:rsidRPr="00EC34F3" w:rsidRDefault="00B668A8" w:rsidP="00EC34F3">
      <w:pPr>
        <w:pStyle w:val="ListParagraph"/>
        <w:numPr>
          <w:ilvl w:val="0"/>
          <w:numId w:val="17"/>
        </w:numPr>
        <w:spacing w:after="0"/>
        <w:rPr>
          <w:rFonts w:eastAsia="Times New Roman" w:cs="Arial"/>
          <w:color w:val="000000"/>
          <w:sz w:val="24"/>
          <w:szCs w:val="24"/>
          <w:lang w:eastAsia="en-GB"/>
        </w:rPr>
      </w:pPr>
      <w:r w:rsidRPr="00B668A8">
        <w:rPr>
          <w:rFonts w:eastAsia="Times New Roman" w:cs="Arial"/>
          <w:color w:val="000000"/>
          <w:sz w:val="24"/>
          <w:szCs w:val="24"/>
          <w:lang w:eastAsia="en-GB"/>
        </w:rPr>
        <w:t>Details of time inputs by individual(s) delivering the tender.</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Experience of the individual(s), including their role on the project and tasks if relevant (CVs should be included separately in an annex, max 2 pages each)</w:t>
      </w:r>
      <w:r w:rsidR="00280038" w:rsidRPr="00EC34F3">
        <w:rPr>
          <w:rFonts w:eastAsia="Times New Roman" w:cs="Arial"/>
          <w:color w:val="000000"/>
          <w:sz w:val="24"/>
          <w:szCs w:val="24"/>
          <w:lang w:eastAsia="en-GB"/>
        </w:rPr>
        <w:t>.</w:t>
      </w:r>
    </w:p>
    <w:p w:rsidR="00D11B3E" w:rsidRPr="00EC34F3" w:rsidRDefault="00D11B3E" w:rsidP="00EC34F3">
      <w:pPr>
        <w:pStyle w:val="ListParagraph"/>
        <w:numPr>
          <w:ilvl w:val="0"/>
          <w:numId w:val="17"/>
        </w:numPr>
        <w:spacing w:after="0"/>
        <w:rPr>
          <w:rFonts w:eastAsia="Times New Roman" w:cs="Arial"/>
          <w:color w:val="000000"/>
          <w:sz w:val="24"/>
          <w:szCs w:val="24"/>
          <w:lang w:eastAsia="en-GB"/>
        </w:rPr>
      </w:pPr>
      <w:r w:rsidRPr="00EC34F3">
        <w:rPr>
          <w:rFonts w:eastAsia="Times New Roman" w:cs="Arial"/>
          <w:color w:val="000000"/>
          <w:sz w:val="24"/>
          <w:szCs w:val="24"/>
          <w:lang w:eastAsia="en-GB"/>
        </w:rPr>
        <w:t>Clear structure of charges including day/hour rates, time spent on tasks, expenses. VAT will be paid at the applicable rate.</w:t>
      </w:r>
    </w:p>
    <w:p w:rsidR="00D11B3E" w:rsidRPr="008C215F" w:rsidRDefault="00D11B3E" w:rsidP="00D11B3E">
      <w:pPr>
        <w:spacing w:after="0"/>
        <w:jc w:val="both"/>
        <w:rPr>
          <w:rFonts w:eastAsia="Times New Roman" w:cs="Arial"/>
          <w:color w:val="000000"/>
          <w:sz w:val="24"/>
          <w:szCs w:val="24"/>
          <w:lang w:eastAsia="en-GB"/>
        </w:rPr>
      </w:pPr>
    </w:p>
    <w:p w:rsidR="005A5694" w:rsidRDefault="00D11B3E" w:rsidP="00D11B3E">
      <w:pPr>
        <w:spacing w:after="0"/>
        <w:jc w:val="both"/>
        <w:rPr>
          <w:rFonts w:eastAsia="Times New Roman" w:cs="Arial"/>
          <w:color w:val="000000"/>
          <w:sz w:val="24"/>
          <w:szCs w:val="24"/>
          <w:lang w:eastAsia="en-GB"/>
        </w:rPr>
      </w:pPr>
      <w:r w:rsidRPr="008C215F">
        <w:rPr>
          <w:rFonts w:eastAsia="Times New Roman" w:cs="Arial"/>
          <w:color w:val="000000"/>
          <w:sz w:val="24"/>
          <w:szCs w:val="24"/>
          <w:lang w:eastAsia="en-GB"/>
        </w:rPr>
        <w:t>We will evaluate your response against the evaluation criteria given below</w:t>
      </w:r>
      <w:r w:rsidR="005A5694">
        <w:rPr>
          <w:rFonts w:eastAsia="Times New Roman" w:cs="Arial"/>
          <w:color w:val="000000"/>
          <w:sz w:val="24"/>
          <w:szCs w:val="24"/>
          <w:lang w:eastAsia="en-GB"/>
        </w:rPr>
        <w:t>:</w:t>
      </w:r>
    </w:p>
    <w:p w:rsidR="005A5694" w:rsidRDefault="005A5694" w:rsidP="00D11B3E">
      <w:pPr>
        <w:spacing w:after="0"/>
        <w:jc w:val="both"/>
        <w:rPr>
          <w:rFonts w:eastAsia="Times New Roman" w:cs="Arial"/>
          <w:color w:val="000000"/>
          <w:sz w:val="24"/>
          <w:szCs w:val="24"/>
          <w:lang w:eastAsia="en-GB"/>
        </w:rPr>
      </w:pPr>
    </w:p>
    <w:p w:rsidR="00D11B3E" w:rsidRPr="008C215F" w:rsidRDefault="005A5694" w:rsidP="00D11B3E">
      <w:pPr>
        <w:spacing w:after="0"/>
        <w:jc w:val="both"/>
        <w:rPr>
          <w:rFonts w:eastAsia="Times New Roman" w:cs="Arial"/>
          <w:color w:val="000000"/>
          <w:sz w:val="24"/>
          <w:szCs w:val="24"/>
          <w:lang w:eastAsia="en-GB"/>
        </w:rPr>
      </w:pPr>
      <w:r w:rsidRPr="002E1401">
        <w:rPr>
          <w:rFonts w:eastAsia="Times New Roman" w:cs="Arial"/>
          <w:b/>
          <w:color w:val="000000"/>
          <w:sz w:val="24"/>
          <w:szCs w:val="24"/>
          <w:lang w:eastAsia="en-GB"/>
        </w:rPr>
        <w:t>80/20</w:t>
      </w:r>
      <w:r w:rsidRPr="005A5694">
        <w:rPr>
          <w:rFonts w:eastAsia="Times New Roman" w:cs="Arial"/>
          <w:color w:val="000000"/>
          <w:sz w:val="24"/>
          <w:szCs w:val="24"/>
          <w:lang w:eastAsia="en-GB"/>
        </w:rPr>
        <w:t>: 80% quality and 20% cost</w:t>
      </w:r>
    </w:p>
    <w:p w:rsidR="00D11B3E" w:rsidRPr="008C215F" w:rsidRDefault="00D11B3E" w:rsidP="00D11B3E">
      <w:pPr>
        <w:spacing w:after="0"/>
        <w:jc w:val="both"/>
        <w:rPr>
          <w:rFonts w:eastAsia="Times New Roman" w:cs="Arial"/>
          <w:color w:val="CC99FF"/>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D11B3E" w:rsidRPr="008C215F" w:rsidTr="00315B5B">
        <w:tc>
          <w:tcPr>
            <w:tcW w:w="6948" w:type="dxa"/>
            <w:shd w:val="clear" w:color="auto" w:fill="CC99FF"/>
          </w:tcPr>
          <w:p w:rsidR="00D11B3E" w:rsidRPr="008C215F" w:rsidRDefault="00D11B3E" w:rsidP="00315B5B">
            <w:pPr>
              <w:spacing w:before="60" w:after="120"/>
              <w:rPr>
                <w:rFonts w:cs="Arial"/>
                <w:b/>
                <w:color w:val="FFFFFF"/>
                <w:sz w:val="24"/>
                <w:szCs w:val="24"/>
              </w:rPr>
            </w:pPr>
            <w:r w:rsidRPr="008C215F">
              <w:rPr>
                <w:rFonts w:cs="Arial"/>
                <w:b/>
                <w:color w:val="FFFFFF"/>
                <w:sz w:val="24"/>
                <w:szCs w:val="24"/>
              </w:rPr>
              <w:t xml:space="preserve">Evaluation criteria </w:t>
            </w:r>
            <w:r w:rsidR="000A4D7A">
              <w:rPr>
                <w:rFonts w:cs="Arial"/>
                <w:b/>
                <w:color w:val="FFFFFF"/>
                <w:sz w:val="24"/>
                <w:szCs w:val="24"/>
              </w:rPr>
              <w:t>[Quality = 80%]</w:t>
            </w:r>
          </w:p>
        </w:tc>
        <w:tc>
          <w:tcPr>
            <w:tcW w:w="1574" w:type="dxa"/>
            <w:shd w:val="clear" w:color="auto" w:fill="CC99FF"/>
          </w:tcPr>
          <w:p w:rsidR="00D11B3E" w:rsidRPr="00FD7F89" w:rsidRDefault="00D11B3E" w:rsidP="00315B5B">
            <w:pPr>
              <w:spacing w:before="60" w:after="120"/>
              <w:rPr>
                <w:rFonts w:cs="Arial"/>
                <w:b/>
                <w:color w:val="FFFFFF"/>
                <w:sz w:val="24"/>
                <w:szCs w:val="24"/>
              </w:rPr>
            </w:pPr>
            <w:r w:rsidRPr="00FD7F89">
              <w:rPr>
                <w:rFonts w:cs="Arial"/>
                <w:b/>
                <w:color w:val="FFFFFF"/>
                <w:sz w:val="24"/>
                <w:szCs w:val="24"/>
              </w:rPr>
              <w:t>Weighting</w:t>
            </w:r>
          </w:p>
        </w:tc>
      </w:tr>
      <w:tr w:rsidR="000A4D7A" w:rsidRPr="008C215F" w:rsidTr="002E1401">
        <w:tc>
          <w:tcPr>
            <w:tcW w:w="6948" w:type="dxa"/>
            <w:shd w:val="clear" w:color="auto" w:fill="auto"/>
            <w:vAlign w:val="center"/>
          </w:tcPr>
          <w:p w:rsidR="000A4D7A" w:rsidRPr="00FD7F89" w:rsidRDefault="000A4D7A" w:rsidP="000A4D7A">
            <w:pPr>
              <w:spacing w:after="120" w:line="240" w:lineRule="auto"/>
              <w:rPr>
                <w:rFonts w:eastAsia="Times New Roman" w:cs="Arial"/>
                <w:sz w:val="24"/>
                <w:szCs w:val="24"/>
                <w:lang w:eastAsia="en-GB"/>
              </w:rPr>
            </w:pPr>
            <w:r w:rsidRPr="008C215F">
              <w:rPr>
                <w:rFonts w:eastAsia="Times New Roman" w:cs="Arial"/>
                <w:sz w:val="24"/>
                <w:szCs w:val="24"/>
                <w:lang w:eastAsia="en-GB"/>
              </w:rPr>
              <w:t>1. Understanding of the</w:t>
            </w:r>
            <w:r>
              <w:rPr>
                <w:rFonts w:eastAsia="Times New Roman" w:cs="Arial"/>
                <w:sz w:val="24"/>
                <w:szCs w:val="24"/>
                <w:lang w:eastAsia="en-GB"/>
              </w:rPr>
              <w:t xml:space="preserve"> policy area</w:t>
            </w:r>
            <w:r w:rsidRPr="008C215F">
              <w:rPr>
                <w:rFonts w:eastAsia="Times New Roman" w:cs="Arial"/>
                <w:sz w:val="24"/>
                <w:szCs w:val="24"/>
                <w:lang w:eastAsia="en-GB"/>
              </w:rPr>
              <w:t xml:space="preserve">, the policy context </w:t>
            </w:r>
            <w:r>
              <w:rPr>
                <w:rFonts w:eastAsia="Times New Roman" w:cs="Arial"/>
                <w:sz w:val="24"/>
                <w:szCs w:val="24"/>
                <w:lang w:eastAsia="en-GB"/>
              </w:rPr>
              <w:t xml:space="preserve">for London </w:t>
            </w:r>
            <w:r w:rsidRPr="008C215F">
              <w:rPr>
                <w:rFonts w:eastAsia="Times New Roman" w:cs="Arial"/>
                <w:sz w:val="24"/>
                <w:szCs w:val="24"/>
                <w:lang w:eastAsia="en-GB"/>
              </w:rPr>
              <w:t>and key issues</w:t>
            </w:r>
            <w:r>
              <w:rPr>
                <w:rFonts w:eastAsia="Times New Roman" w:cs="Arial"/>
                <w:sz w:val="24"/>
                <w:szCs w:val="24"/>
                <w:lang w:eastAsia="en-GB"/>
              </w:rPr>
              <w:t xml:space="preserve"> for </w:t>
            </w:r>
            <w:r w:rsidRPr="000A4D7A">
              <w:rPr>
                <w:rFonts w:eastAsia="Times New Roman" w:cs="Arial"/>
                <w:sz w:val="24"/>
                <w:szCs w:val="24"/>
                <w:lang w:eastAsia="en-GB"/>
              </w:rPr>
              <w:t>London Councils</w:t>
            </w:r>
            <w:r>
              <w:rPr>
                <w:rFonts w:eastAsia="Times New Roman" w:cs="Arial"/>
                <w:sz w:val="24"/>
                <w:szCs w:val="24"/>
                <w:lang w:eastAsia="en-GB"/>
              </w:rPr>
              <w:t xml:space="preserve"> and the GLA</w:t>
            </w:r>
            <w:r w:rsidRPr="00FD7F89">
              <w:rPr>
                <w:rFonts w:eastAsia="Times New Roman" w:cs="Arial"/>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40%</w:t>
            </w:r>
          </w:p>
        </w:tc>
      </w:tr>
      <w:tr w:rsidR="000A4D7A" w:rsidRPr="008C215F" w:rsidTr="002E1401">
        <w:tc>
          <w:tcPr>
            <w:tcW w:w="6948" w:type="dxa"/>
            <w:shd w:val="clear" w:color="auto" w:fill="auto"/>
            <w:vAlign w:val="center"/>
          </w:tcPr>
          <w:p w:rsidR="000A4D7A" w:rsidRPr="008C215F" w:rsidRDefault="000A4D7A" w:rsidP="000A4D7A">
            <w:pPr>
              <w:spacing w:after="120" w:line="240" w:lineRule="auto"/>
              <w:rPr>
                <w:rFonts w:eastAsia="Times New Roman" w:cs="Arial"/>
                <w:sz w:val="24"/>
                <w:szCs w:val="24"/>
                <w:lang w:eastAsia="en-GB"/>
              </w:rPr>
            </w:pPr>
            <w:r w:rsidRPr="000470A3">
              <w:rPr>
                <w:rFonts w:eastAsia="Times New Roman" w:cs="Arial"/>
                <w:sz w:val="24"/>
                <w:szCs w:val="24"/>
                <w:lang w:eastAsia="en-GB"/>
              </w:rPr>
              <w:t>2. The candidate/team’s experience of undertaking similar projects and</w:t>
            </w:r>
            <w:r w:rsidRPr="000470A3">
              <w:rPr>
                <w:sz w:val="24"/>
                <w:szCs w:val="24"/>
                <w:lang w:eastAsia="en-GB"/>
              </w:rPr>
              <w:t xml:space="preserve"> of working closely wi</w:t>
            </w:r>
            <w:r>
              <w:rPr>
                <w:sz w:val="24"/>
                <w:szCs w:val="24"/>
                <w:lang w:eastAsia="en-GB"/>
              </w:rPr>
              <w:t>th local government officers, members and other relevant stakeholders, ideally in a London context</w:t>
            </w:r>
            <w:r w:rsidRPr="000470A3">
              <w:rPr>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30%</w:t>
            </w:r>
          </w:p>
        </w:tc>
      </w:tr>
      <w:tr w:rsidR="000A4D7A" w:rsidRPr="008C215F" w:rsidTr="002E1401">
        <w:tc>
          <w:tcPr>
            <w:tcW w:w="6948" w:type="dxa"/>
            <w:shd w:val="clear" w:color="auto" w:fill="auto"/>
            <w:vAlign w:val="center"/>
          </w:tcPr>
          <w:p w:rsidR="000A4D7A" w:rsidRPr="008C215F" w:rsidRDefault="000A4D7A" w:rsidP="00280038">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3. A clear methodology and approach to analysis that meets the </w:t>
            </w:r>
            <w:r w:rsidRPr="00FD7F89">
              <w:rPr>
                <w:rFonts w:eastAsia="Times New Roman" w:cs="Arial"/>
                <w:sz w:val="24"/>
                <w:szCs w:val="24"/>
                <w:lang w:eastAsia="en-GB"/>
              </w:rPr>
              <w:t>project aims and objectives</w:t>
            </w:r>
            <w:r w:rsidRPr="008C215F">
              <w:rPr>
                <w:rFonts w:eastAsia="Times New Roman" w:cs="Arial"/>
                <w:sz w:val="24"/>
                <w:szCs w:val="24"/>
                <w:lang w:eastAsia="en-GB"/>
              </w:rPr>
              <w:t>.</w:t>
            </w:r>
          </w:p>
        </w:tc>
        <w:tc>
          <w:tcPr>
            <w:tcW w:w="1574" w:type="dxa"/>
            <w:shd w:val="clear" w:color="auto" w:fill="auto"/>
            <w:vAlign w:val="center"/>
          </w:tcPr>
          <w:p w:rsidR="000A4D7A" w:rsidRPr="000A4D7A" w:rsidRDefault="000A4D7A" w:rsidP="000A4D7A">
            <w:pPr>
              <w:spacing w:after="120" w:line="240" w:lineRule="auto"/>
              <w:jc w:val="center"/>
              <w:rPr>
                <w:rFonts w:eastAsia="Times New Roman" w:cs="Arial"/>
                <w:sz w:val="24"/>
                <w:szCs w:val="24"/>
                <w:lang w:eastAsia="en-GB"/>
              </w:rPr>
            </w:pPr>
            <w:r w:rsidRPr="002E1401">
              <w:rPr>
                <w:sz w:val="24"/>
                <w:szCs w:val="24"/>
              </w:rPr>
              <w:t>30%</w:t>
            </w:r>
          </w:p>
        </w:tc>
      </w:tr>
    </w:tbl>
    <w:p w:rsidR="00D11B3E" w:rsidRPr="008C215F" w:rsidRDefault="00D11B3E" w:rsidP="00D11B3E">
      <w:pPr>
        <w:spacing w:after="120" w:line="240" w:lineRule="auto"/>
        <w:rPr>
          <w:rFonts w:eastAsia="Times New Roman" w:cs="Arial"/>
          <w:b/>
          <w:sz w:val="24"/>
          <w:szCs w:val="24"/>
          <w:lang w:eastAsia="en-GB"/>
        </w:rPr>
      </w:pPr>
    </w:p>
    <w:p w:rsidR="00280038" w:rsidRPr="00FD7F89" w:rsidRDefault="00280038" w:rsidP="002E1401">
      <w:pPr>
        <w:rPr>
          <w:rFonts w:cs="Arial"/>
          <w:b/>
          <w:sz w:val="24"/>
          <w:szCs w:val="24"/>
        </w:rPr>
      </w:pPr>
      <w:r w:rsidRPr="00FD7F89">
        <w:rPr>
          <w:rFonts w:cs="Arial"/>
          <w:b/>
          <w:sz w:val="24"/>
          <w:szCs w:val="24"/>
        </w:rPr>
        <w:t>Project Costs and Timetable</w:t>
      </w:r>
    </w:p>
    <w:p w:rsidR="00280038" w:rsidRPr="00B668A8" w:rsidRDefault="00280038" w:rsidP="00280038">
      <w:pPr>
        <w:spacing w:after="120"/>
        <w:rPr>
          <w:rFonts w:cs="Arial"/>
          <w:sz w:val="24"/>
          <w:szCs w:val="24"/>
        </w:rPr>
      </w:pPr>
      <w:r w:rsidRPr="00000B37">
        <w:rPr>
          <w:rFonts w:cs="Arial"/>
          <w:sz w:val="24"/>
          <w:szCs w:val="24"/>
        </w:rPr>
        <w:t>Costs should be clearly presented and be inclusive of all fees, direct and indirect costs, expenses but exclusive of VAT. An example of a clear cost structure is provided in Annex 2</w:t>
      </w:r>
      <w:r w:rsidRPr="00B668A8">
        <w:rPr>
          <w:rFonts w:cs="Arial"/>
          <w:color w:val="CC99FF"/>
          <w:sz w:val="24"/>
          <w:szCs w:val="24"/>
        </w:rPr>
        <w:t xml:space="preserve">. </w:t>
      </w:r>
      <w:r w:rsidRPr="00B668A8">
        <w:rPr>
          <w:rFonts w:cs="Arial"/>
          <w:sz w:val="24"/>
          <w:szCs w:val="24"/>
        </w:rPr>
        <w:t>You should indicate based on the timings below how you would envisage the project progressing based on your suggested methodology.</w:t>
      </w:r>
    </w:p>
    <w:p w:rsidR="000A4D7A" w:rsidRDefault="00280038" w:rsidP="00280038">
      <w:pPr>
        <w:spacing w:after="120"/>
        <w:rPr>
          <w:rFonts w:cs="Arial"/>
          <w:sz w:val="24"/>
          <w:szCs w:val="24"/>
          <w:lang w:val="en"/>
        </w:rPr>
      </w:pPr>
      <w:r w:rsidRPr="00EC34F3">
        <w:rPr>
          <w:rFonts w:cs="Arial"/>
          <w:sz w:val="24"/>
          <w:szCs w:val="24"/>
        </w:rPr>
        <w:t xml:space="preserve">This project is being included in the government’s Contracts Finder database to comply with 2015 changes in national procurement policy which specifies that </w:t>
      </w:r>
      <w:r w:rsidRPr="00EC34F3">
        <w:rPr>
          <w:rFonts w:cs="Arial"/>
          <w:sz w:val="24"/>
          <w:szCs w:val="24"/>
          <w:lang w:val="en"/>
        </w:rPr>
        <w:t xml:space="preserve">any procurement opportunities and contract awards above certain low thresholds (£25,000) are published on </w:t>
      </w:r>
      <w:hyperlink r:id="rId12" w:history="1">
        <w:r w:rsidRPr="008C215F">
          <w:rPr>
            <w:rStyle w:val="Hyperlink"/>
            <w:rFonts w:cs="Arial"/>
            <w:sz w:val="24"/>
            <w:szCs w:val="24"/>
            <w:lang w:val="en"/>
          </w:rPr>
          <w:t>Contracts Finder</w:t>
        </w:r>
      </w:hyperlink>
      <w:r w:rsidRPr="008C215F">
        <w:rPr>
          <w:rFonts w:cs="Arial"/>
          <w:sz w:val="24"/>
          <w:szCs w:val="24"/>
          <w:lang w:val="en"/>
        </w:rPr>
        <w:t>.</w:t>
      </w:r>
    </w:p>
    <w:p w:rsidR="002E1401" w:rsidRDefault="002E1401" w:rsidP="00280038">
      <w:pPr>
        <w:spacing w:after="120"/>
        <w:rPr>
          <w:rFonts w:cs="Arial"/>
          <w:sz w:val="24"/>
          <w:szCs w:val="24"/>
          <w:lang w:val="en"/>
        </w:rPr>
      </w:pPr>
    </w:p>
    <w:p w:rsidR="00CC30F3" w:rsidRDefault="00CC30F3" w:rsidP="00280038">
      <w:pPr>
        <w:spacing w:after="120"/>
        <w:rPr>
          <w:rFonts w:cs="Arial"/>
          <w:sz w:val="24"/>
          <w:szCs w:val="24"/>
          <w:lang w:val="en"/>
        </w:rPr>
      </w:pPr>
    </w:p>
    <w:p w:rsidR="00CC30F3" w:rsidRDefault="00CC30F3" w:rsidP="00280038">
      <w:pPr>
        <w:spacing w:after="120"/>
        <w:rPr>
          <w:rFonts w:cs="Arial"/>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130"/>
      </w:tblGrid>
      <w:tr w:rsidR="00280038" w:rsidRPr="008C215F" w:rsidTr="00315B5B">
        <w:tc>
          <w:tcPr>
            <w:tcW w:w="4644" w:type="dxa"/>
            <w:shd w:val="clear" w:color="auto" w:fill="CC99FF"/>
            <w:vAlign w:val="center"/>
          </w:tcPr>
          <w:p w:rsidR="00280038" w:rsidRPr="008C215F" w:rsidRDefault="00280038" w:rsidP="00280038">
            <w:pPr>
              <w:spacing w:before="60" w:after="120"/>
              <w:rPr>
                <w:rFonts w:cs="Arial"/>
                <w:b/>
                <w:color w:val="FFFFFF"/>
                <w:sz w:val="24"/>
                <w:szCs w:val="24"/>
              </w:rPr>
            </w:pPr>
            <w:r w:rsidRPr="008C215F">
              <w:rPr>
                <w:rFonts w:cs="Arial"/>
                <w:sz w:val="24"/>
                <w:szCs w:val="24"/>
              </w:rPr>
              <w:lastRenderedPageBreak/>
              <w:br w:type="page"/>
            </w:r>
            <w:r w:rsidRPr="008C215F">
              <w:rPr>
                <w:rFonts w:cs="Arial"/>
                <w:b/>
                <w:color w:val="FFFFFF"/>
                <w:sz w:val="24"/>
                <w:szCs w:val="24"/>
              </w:rPr>
              <w:t>Activity</w:t>
            </w:r>
          </w:p>
        </w:tc>
        <w:tc>
          <w:tcPr>
            <w:tcW w:w="4130" w:type="dxa"/>
            <w:shd w:val="clear" w:color="auto" w:fill="CC99FF"/>
          </w:tcPr>
          <w:p w:rsidR="00280038" w:rsidRPr="00FD7F89" w:rsidRDefault="00280038" w:rsidP="00280038">
            <w:pPr>
              <w:spacing w:before="60" w:after="120"/>
              <w:jc w:val="center"/>
              <w:rPr>
                <w:rFonts w:cs="Arial"/>
                <w:b/>
                <w:color w:val="FFFFFF"/>
                <w:sz w:val="24"/>
                <w:szCs w:val="24"/>
              </w:rPr>
            </w:pPr>
            <w:r w:rsidRPr="00FD7F89">
              <w:rPr>
                <w:rFonts w:cs="Arial"/>
                <w:b/>
                <w:color w:val="FFFFFF"/>
                <w:sz w:val="24"/>
                <w:szCs w:val="24"/>
              </w:rPr>
              <w:t>Date</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 xml:space="preserve">Deadline for receiving </w:t>
            </w:r>
            <w:r w:rsidR="00315B5B" w:rsidRPr="008C215F">
              <w:rPr>
                <w:rFonts w:cs="Arial"/>
                <w:sz w:val="24"/>
                <w:szCs w:val="24"/>
              </w:rPr>
              <w:t>tender submission</w:t>
            </w:r>
          </w:p>
        </w:tc>
        <w:tc>
          <w:tcPr>
            <w:tcW w:w="4130" w:type="dxa"/>
            <w:shd w:val="clear" w:color="auto" w:fill="auto"/>
            <w:vAlign w:val="center"/>
          </w:tcPr>
          <w:p w:rsidR="00280038" w:rsidRPr="00FD7F89" w:rsidRDefault="00CC30F3" w:rsidP="00CC30F3">
            <w:pPr>
              <w:spacing w:before="60" w:after="120"/>
              <w:jc w:val="center"/>
              <w:rPr>
                <w:rFonts w:cs="Arial"/>
                <w:sz w:val="24"/>
                <w:szCs w:val="24"/>
              </w:rPr>
            </w:pPr>
            <w:r>
              <w:rPr>
                <w:rFonts w:cs="Arial"/>
                <w:sz w:val="24"/>
                <w:szCs w:val="24"/>
              </w:rPr>
              <w:t>Friday</w:t>
            </w:r>
            <w:r w:rsidR="00CA6B18">
              <w:rPr>
                <w:rFonts w:cs="Arial"/>
                <w:sz w:val="24"/>
                <w:szCs w:val="24"/>
              </w:rPr>
              <w:t xml:space="preserve"> </w:t>
            </w:r>
            <w:r>
              <w:rPr>
                <w:rFonts w:cs="Arial"/>
                <w:sz w:val="24"/>
                <w:szCs w:val="24"/>
              </w:rPr>
              <w:t>3</w:t>
            </w:r>
            <w:r w:rsidRPr="00CC30F3">
              <w:rPr>
                <w:rFonts w:cs="Arial"/>
                <w:sz w:val="24"/>
                <w:szCs w:val="24"/>
                <w:vertAlign w:val="superscript"/>
              </w:rPr>
              <w:t>rd</w:t>
            </w:r>
            <w:r>
              <w:rPr>
                <w:rFonts w:cs="Arial"/>
                <w:sz w:val="24"/>
                <w:szCs w:val="24"/>
              </w:rPr>
              <w:t xml:space="preserve"> </w:t>
            </w:r>
            <w:r w:rsidR="00CA6B18">
              <w:rPr>
                <w:rFonts w:cs="Arial"/>
                <w:sz w:val="24"/>
                <w:szCs w:val="24"/>
              </w:rPr>
              <w:t>March</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Contractors informed of outcome</w:t>
            </w:r>
          </w:p>
        </w:tc>
        <w:tc>
          <w:tcPr>
            <w:tcW w:w="4130" w:type="dxa"/>
            <w:shd w:val="clear" w:color="auto" w:fill="auto"/>
            <w:vAlign w:val="center"/>
          </w:tcPr>
          <w:p w:rsidR="00280038" w:rsidRPr="00FD7F89" w:rsidRDefault="00CA6B18" w:rsidP="00CC30F3">
            <w:pPr>
              <w:spacing w:before="60" w:after="120"/>
              <w:jc w:val="center"/>
              <w:rPr>
                <w:rFonts w:cs="Arial"/>
                <w:sz w:val="24"/>
                <w:szCs w:val="24"/>
              </w:rPr>
            </w:pPr>
            <w:r>
              <w:rPr>
                <w:rFonts w:cs="Arial"/>
                <w:sz w:val="24"/>
                <w:szCs w:val="24"/>
              </w:rPr>
              <w:t>W/c 13</w:t>
            </w:r>
            <w:r w:rsidR="00BA78BA" w:rsidRPr="00BA78BA">
              <w:rPr>
                <w:rFonts w:cs="Arial"/>
                <w:sz w:val="24"/>
                <w:szCs w:val="24"/>
                <w:vertAlign w:val="superscript"/>
              </w:rPr>
              <w:t>th</w:t>
            </w:r>
            <w:r w:rsidR="00BA78BA">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80038" w:rsidP="00280038">
            <w:pPr>
              <w:spacing w:before="60" w:after="120"/>
              <w:rPr>
                <w:rFonts w:cs="Arial"/>
                <w:sz w:val="24"/>
                <w:szCs w:val="24"/>
              </w:rPr>
            </w:pPr>
            <w:r w:rsidRPr="008C215F">
              <w:rPr>
                <w:rFonts w:cs="Arial"/>
                <w:sz w:val="24"/>
                <w:szCs w:val="24"/>
              </w:rPr>
              <w:t>Contract awarded</w:t>
            </w:r>
          </w:p>
        </w:tc>
        <w:tc>
          <w:tcPr>
            <w:tcW w:w="4130" w:type="dxa"/>
            <w:shd w:val="clear" w:color="auto" w:fill="auto"/>
            <w:vAlign w:val="center"/>
          </w:tcPr>
          <w:p w:rsidR="00280038" w:rsidRPr="00B668A8" w:rsidRDefault="00CA6B18" w:rsidP="00CC30F3">
            <w:pPr>
              <w:spacing w:before="60" w:after="120"/>
              <w:jc w:val="center"/>
              <w:rPr>
                <w:rFonts w:cs="Arial"/>
                <w:sz w:val="24"/>
                <w:szCs w:val="24"/>
              </w:rPr>
            </w:pPr>
            <w:r>
              <w:rPr>
                <w:rFonts w:cs="Arial"/>
                <w:sz w:val="24"/>
                <w:szCs w:val="24"/>
              </w:rPr>
              <w:t xml:space="preserve">W/c </w:t>
            </w:r>
            <w:r w:rsidR="00D94541">
              <w:rPr>
                <w:rFonts w:cs="Arial"/>
                <w:sz w:val="24"/>
                <w:szCs w:val="24"/>
              </w:rPr>
              <w:t>1</w:t>
            </w:r>
            <w:r w:rsidR="00CC30F3">
              <w:rPr>
                <w:rFonts w:cs="Arial"/>
                <w:sz w:val="24"/>
                <w:szCs w:val="24"/>
              </w:rPr>
              <w:t>3</w:t>
            </w:r>
            <w:r w:rsidR="00D94541" w:rsidRPr="00D94541">
              <w:rPr>
                <w:rFonts w:cs="Arial"/>
                <w:sz w:val="24"/>
                <w:szCs w:val="24"/>
                <w:vertAlign w:val="superscript"/>
              </w:rPr>
              <w:t>th</w:t>
            </w:r>
            <w:r w:rsidR="00D94541">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55B24" w:rsidP="00280038">
            <w:pPr>
              <w:spacing w:before="60" w:after="120"/>
              <w:rPr>
                <w:rFonts w:cs="Arial"/>
                <w:sz w:val="24"/>
                <w:szCs w:val="24"/>
              </w:rPr>
            </w:pPr>
            <w:r w:rsidRPr="008C215F">
              <w:rPr>
                <w:rFonts w:cs="Arial"/>
                <w:sz w:val="24"/>
                <w:szCs w:val="24"/>
              </w:rPr>
              <w:t>Inception meeting</w:t>
            </w:r>
          </w:p>
        </w:tc>
        <w:tc>
          <w:tcPr>
            <w:tcW w:w="4130" w:type="dxa"/>
            <w:shd w:val="clear" w:color="auto" w:fill="auto"/>
            <w:vAlign w:val="center"/>
          </w:tcPr>
          <w:p w:rsidR="00280038" w:rsidRPr="00FD7F89" w:rsidRDefault="00D94541" w:rsidP="00CA6B18">
            <w:pPr>
              <w:spacing w:before="60" w:after="120"/>
              <w:jc w:val="center"/>
              <w:rPr>
                <w:rFonts w:cs="Arial"/>
                <w:sz w:val="24"/>
                <w:szCs w:val="24"/>
              </w:rPr>
            </w:pPr>
            <w:r>
              <w:rPr>
                <w:rFonts w:cs="Arial"/>
                <w:sz w:val="24"/>
                <w:szCs w:val="24"/>
              </w:rPr>
              <w:t xml:space="preserve">w/c </w:t>
            </w:r>
            <w:r w:rsidR="00CA6B18">
              <w:rPr>
                <w:rFonts w:cs="Arial"/>
                <w:sz w:val="24"/>
                <w:szCs w:val="24"/>
              </w:rPr>
              <w:t>20</w:t>
            </w:r>
            <w:r w:rsidRPr="00D94541">
              <w:rPr>
                <w:rFonts w:cs="Arial"/>
                <w:sz w:val="24"/>
                <w:szCs w:val="24"/>
                <w:vertAlign w:val="superscript"/>
              </w:rPr>
              <w:t>th</w:t>
            </w:r>
            <w:r>
              <w:rPr>
                <w:rFonts w:cs="Arial"/>
                <w:sz w:val="24"/>
                <w:szCs w:val="24"/>
              </w:rPr>
              <w:t xml:space="preserve"> March</w:t>
            </w:r>
          </w:p>
        </w:tc>
      </w:tr>
      <w:tr w:rsidR="00280038" w:rsidRPr="008C215F" w:rsidTr="00315B5B">
        <w:tc>
          <w:tcPr>
            <w:tcW w:w="4644" w:type="dxa"/>
            <w:shd w:val="clear" w:color="auto" w:fill="auto"/>
            <w:vAlign w:val="center"/>
          </w:tcPr>
          <w:p w:rsidR="00280038" w:rsidRPr="008C215F" w:rsidRDefault="00255B24" w:rsidP="00280038">
            <w:pPr>
              <w:spacing w:before="60" w:after="120"/>
              <w:rPr>
                <w:rFonts w:cs="Arial"/>
                <w:sz w:val="24"/>
                <w:szCs w:val="24"/>
              </w:rPr>
            </w:pPr>
            <w:r w:rsidRPr="008C215F">
              <w:rPr>
                <w:rFonts w:cs="Arial"/>
                <w:sz w:val="24"/>
                <w:szCs w:val="24"/>
              </w:rPr>
              <w:t>Bulk of project activity</w:t>
            </w:r>
          </w:p>
        </w:tc>
        <w:tc>
          <w:tcPr>
            <w:tcW w:w="4130" w:type="dxa"/>
            <w:shd w:val="clear" w:color="auto" w:fill="auto"/>
            <w:vAlign w:val="center"/>
          </w:tcPr>
          <w:p w:rsidR="00280038" w:rsidRPr="00FD7F89" w:rsidRDefault="00D94541" w:rsidP="00280038">
            <w:pPr>
              <w:spacing w:before="60" w:after="120"/>
              <w:jc w:val="center"/>
              <w:rPr>
                <w:rFonts w:cs="Arial"/>
                <w:sz w:val="24"/>
                <w:szCs w:val="24"/>
              </w:rPr>
            </w:pPr>
            <w:r>
              <w:rPr>
                <w:rFonts w:cs="Arial"/>
                <w:sz w:val="24"/>
                <w:szCs w:val="24"/>
              </w:rPr>
              <w:t xml:space="preserve">March – June </w:t>
            </w:r>
          </w:p>
        </w:tc>
      </w:tr>
      <w:tr w:rsidR="00280038" w:rsidRPr="008C215F" w:rsidTr="00315B5B">
        <w:tc>
          <w:tcPr>
            <w:tcW w:w="4644" w:type="dxa"/>
            <w:shd w:val="clear" w:color="auto" w:fill="auto"/>
            <w:vAlign w:val="center"/>
          </w:tcPr>
          <w:p w:rsidR="00280038" w:rsidRPr="008C215F" w:rsidRDefault="00280038" w:rsidP="00255B24">
            <w:pPr>
              <w:spacing w:before="60" w:after="120"/>
              <w:rPr>
                <w:rFonts w:cs="Arial"/>
                <w:sz w:val="24"/>
                <w:szCs w:val="24"/>
              </w:rPr>
            </w:pPr>
            <w:r w:rsidRPr="008C215F">
              <w:rPr>
                <w:rFonts w:cs="Arial"/>
                <w:sz w:val="24"/>
                <w:szCs w:val="24"/>
              </w:rPr>
              <w:t xml:space="preserve">Final report </w:t>
            </w:r>
          </w:p>
        </w:tc>
        <w:tc>
          <w:tcPr>
            <w:tcW w:w="4130" w:type="dxa"/>
            <w:shd w:val="clear" w:color="auto" w:fill="auto"/>
            <w:vAlign w:val="center"/>
          </w:tcPr>
          <w:p w:rsidR="00280038" w:rsidRPr="00FD7F89" w:rsidRDefault="00D94541" w:rsidP="00280038">
            <w:pPr>
              <w:spacing w:before="60" w:after="120"/>
              <w:jc w:val="center"/>
              <w:rPr>
                <w:rFonts w:cs="Arial"/>
                <w:sz w:val="24"/>
                <w:szCs w:val="24"/>
              </w:rPr>
            </w:pPr>
            <w:r>
              <w:rPr>
                <w:rFonts w:cs="Arial"/>
                <w:sz w:val="24"/>
                <w:szCs w:val="24"/>
              </w:rPr>
              <w:t>Summer 2017</w:t>
            </w:r>
          </w:p>
        </w:tc>
      </w:tr>
    </w:tbl>
    <w:p w:rsidR="00964ADB" w:rsidRPr="008C215F" w:rsidRDefault="00964ADB" w:rsidP="00D11B3E">
      <w:pPr>
        <w:spacing w:after="120" w:line="240" w:lineRule="auto"/>
        <w:rPr>
          <w:rFonts w:eastAsia="Times New Roman" w:cs="Arial"/>
          <w:b/>
          <w:sz w:val="24"/>
          <w:szCs w:val="24"/>
          <w:lang w:eastAsia="en-GB"/>
        </w:rPr>
      </w:pPr>
    </w:p>
    <w:p w:rsidR="00D11B3E" w:rsidRPr="00FD7F89" w:rsidRDefault="00D11B3E" w:rsidP="00D11B3E">
      <w:pPr>
        <w:spacing w:after="120" w:line="240" w:lineRule="auto"/>
        <w:rPr>
          <w:rFonts w:eastAsia="Times New Roman" w:cs="Arial"/>
          <w:b/>
          <w:sz w:val="24"/>
          <w:szCs w:val="24"/>
          <w:lang w:eastAsia="en-GB"/>
        </w:rPr>
      </w:pPr>
      <w:r w:rsidRPr="00FD7F89">
        <w:rPr>
          <w:rFonts w:eastAsia="Times New Roman" w:cs="Arial"/>
          <w:b/>
          <w:sz w:val="24"/>
          <w:szCs w:val="24"/>
          <w:lang w:eastAsia="en-GB"/>
        </w:rPr>
        <w:t xml:space="preserve">Format of </w:t>
      </w:r>
      <w:r w:rsidR="00315B5B" w:rsidRPr="00FD7F89">
        <w:rPr>
          <w:rFonts w:eastAsia="Times New Roman" w:cs="Arial"/>
          <w:b/>
          <w:sz w:val="24"/>
          <w:szCs w:val="24"/>
          <w:lang w:eastAsia="en-GB"/>
        </w:rPr>
        <w:t>Tender submission</w:t>
      </w:r>
      <w:r w:rsidRPr="00FD7F89">
        <w:rPr>
          <w:rFonts w:eastAsia="Times New Roman" w:cs="Arial"/>
          <w:b/>
          <w:sz w:val="24"/>
          <w:szCs w:val="24"/>
          <w:lang w:eastAsia="en-GB"/>
        </w:rPr>
        <w:t xml:space="preserve"> Response</w:t>
      </w:r>
    </w:p>
    <w:p w:rsidR="00D11B3E"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wish to apply, an electronic copy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response should be sent by email to </w:t>
      </w:r>
      <w:hyperlink r:id="rId13" w:history="1">
        <w:r w:rsidR="000470A3" w:rsidRPr="00F36D4A">
          <w:rPr>
            <w:rStyle w:val="Hyperlink"/>
            <w:rFonts w:eastAsia="Times New Roman" w:cs="Arial"/>
            <w:sz w:val="24"/>
            <w:szCs w:val="24"/>
            <w:lang w:eastAsia="en-GB"/>
          </w:rPr>
          <w:t>tenders@londoncouncils.gov.uk</w:t>
        </w:r>
      </w:hyperlink>
      <w:r w:rsidR="000470A3">
        <w:rPr>
          <w:rFonts w:eastAsia="Times New Roman" w:cs="Arial"/>
          <w:sz w:val="24"/>
          <w:szCs w:val="24"/>
          <w:lang w:eastAsia="en-GB"/>
        </w:rPr>
        <w:t xml:space="preserve">, </w:t>
      </w:r>
      <w:r w:rsidR="00716201">
        <w:rPr>
          <w:rFonts w:eastAsia="Times New Roman" w:cs="Arial"/>
          <w:sz w:val="24"/>
          <w:szCs w:val="24"/>
          <w:lang w:eastAsia="en-GB"/>
        </w:rPr>
        <w:t xml:space="preserve">quoting reference number </w:t>
      </w:r>
      <w:r w:rsidR="000A4D7A">
        <w:rPr>
          <w:rFonts w:eastAsia="Times New Roman" w:cs="Arial"/>
          <w:b/>
          <w:sz w:val="24"/>
          <w:szCs w:val="24"/>
          <w:lang w:eastAsia="en-GB"/>
        </w:rPr>
        <w:t>R0217b</w:t>
      </w:r>
      <w:r w:rsidR="000A4D7A" w:rsidRPr="00FD7F89">
        <w:rPr>
          <w:rFonts w:eastAsia="Times New Roman" w:cs="Arial"/>
          <w:sz w:val="24"/>
          <w:szCs w:val="24"/>
          <w:lang w:eastAsia="en-GB"/>
        </w:rPr>
        <w:t xml:space="preserve"> </w:t>
      </w:r>
      <w:r w:rsidR="000470A3">
        <w:rPr>
          <w:rFonts w:eastAsia="Times New Roman" w:cs="Arial"/>
          <w:sz w:val="24"/>
          <w:szCs w:val="24"/>
          <w:lang w:eastAsia="en-GB"/>
        </w:rPr>
        <w:t xml:space="preserve">to arrive by </w:t>
      </w:r>
      <w:r w:rsidR="008A2E2E" w:rsidRPr="00BA78BA">
        <w:rPr>
          <w:rFonts w:eastAsia="Times New Roman" w:cs="Arial"/>
          <w:b/>
          <w:sz w:val="24"/>
          <w:szCs w:val="24"/>
          <w:lang w:eastAsia="en-GB"/>
        </w:rPr>
        <w:t>3</w:t>
      </w:r>
      <w:r w:rsidRPr="000470A3">
        <w:rPr>
          <w:rFonts w:eastAsia="Times New Roman" w:cs="Arial"/>
          <w:b/>
          <w:sz w:val="24"/>
          <w:szCs w:val="24"/>
          <w:lang w:eastAsia="en-GB"/>
        </w:rPr>
        <w:t xml:space="preserve">pm, </w:t>
      </w:r>
      <w:r w:rsidR="00CC30F3" w:rsidRPr="00CC30F3">
        <w:rPr>
          <w:rFonts w:eastAsia="Times New Roman" w:cs="Arial"/>
          <w:b/>
          <w:sz w:val="24"/>
          <w:szCs w:val="24"/>
          <w:lang w:eastAsia="en-GB"/>
        </w:rPr>
        <w:t>Friday</w:t>
      </w:r>
      <w:r w:rsidR="00BA78BA" w:rsidRPr="00CC30F3">
        <w:rPr>
          <w:rFonts w:eastAsia="Times New Roman" w:cs="Arial"/>
          <w:b/>
          <w:sz w:val="24"/>
          <w:szCs w:val="24"/>
          <w:lang w:eastAsia="en-GB"/>
        </w:rPr>
        <w:t xml:space="preserve"> </w:t>
      </w:r>
      <w:r w:rsidR="00CC30F3" w:rsidRPr="00CC30F3">
        <w:rPr>
          <w:rFonts w:eastAsia="Times New Roman" w:cs="Arial"/>
          <w:b/>
          <w:sz w:val="24"/>
          <w:szCs w:val="24"/>
          <w:lang w:eastAsia="en-GB"/>
        </w:rPr>
        <w:t>3</w:t>
      </w:r>
      <w:r w:rsidR="00CC30F3" w:rsidRPr="00CC30F3">
        <w:rPr>
          <w:rFonts w:eastAsia="Times New Roman" w:cs="Arial"/>
          <w:b/>
          <w:sz w:val="24"/>
          <w:szCs w:val="24"/>
          <w:vertAlign w:val="superscript"/>
          <w:lang w:eastAsia="en-GB"/>
        </w:rPr>
        <w:t xml:space="preserve">rd </w:t>
      </w:r>
      <w:r w:rsidR="00CC30F3" w:rsidRPr="00CC30F3">
        <w:rPr>
          <w:rFonts w:eastAsia="Times New Roman" w:cs="Arial"/>
          <w:sz w:val="24"/>
          <w:szCs w:val="24"/>
          <w:lang w:eastAsia="en-GB"/>
        </w:rPr>
        <w:t>March</w:t>
      </w:r>
      <w:r w:rsidR="00CC30F3">
        <w:rPr>
          <w:rFonts w:eastAsia="Times New Roman" w:cs="Arial"/>
          <w:sz w:val="24"/>
          <w:szCs w:val="24"/>
          <w:lang w:eastAsia="en-GB"/>
        </w:rPr>
        <w:t xml:space="preserve">. </w:t>
      </w:r>
      <w:r w:rsidRPr="008C215F">
        <w:rPr>
          <w:rFonts w:eastAsia="Times New Roman" w:cs="Arial"/>
          <w:sz w:val="24"/>
          <w:szCs w:val="24"/>
          <w:lang w:eastAsia="en-GB"/>
        </w:rPr>
        <w:t xml:space="preserve">Bidders should ensure that they have received a confirmation email of receipt of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by the deadline.</w:t>
      </w:r>
      <w:r w:rsidR="000A4D7A">
        <w:rPr>
          <w:rFonts w:eastAsia="Times New Roman" w:cs="Arial"/>
          <w:sz w:val="24"/>
          <w:szCs w:val="24"/>
          <w:lang w:eastAsia="en-GB"/>
        </w:rPr>
        <w:t xml:space="preserve"> </w:t>
      </w:r>
      <w:r w:rsidR="000A4D7A" w:rsidRPr="002E1401">
        <w:rPr>
          <w:rFonts w:eastAsia="Times New Roman" w:cs="Arial"/>
          <w:b/>
          <w:sz w:val="24"/>
          <w:szCs w:val="24"/>
          <w:lang w:eastAsia="en-GB"/>
        </w:rPr>
        <w:t>All submission documents should be provided in Microsoft Word format.</w:t>
      </w:r>
    </w:p>
    <w:p w:rsidR="000A4D7A" w:rsidRDefault="000A4D7A" w:rsidP="00D11B3E">
      <w:pPr>
        <w:spacing w:after="120" w:line="240" w:lineRule="auto"/>
        <w:rPr>
          <w:rFonts w:eastAsia="Times New Roman" w:cs="Arial"/>
          <w:sz w:val="24"/>
          <w:szCs w:val="24"/>
          <w:lang w:eastAsia="en-GB"/>
        </w:rPr>
      </w:pPr>
      <w:r w:rsidRPr="000A4D7A">
        <w:rPr>
          <w:rFonts w:eastAsia="Times New Roman" w:cs="Arial"/>
          <w:sz w:val="24"/>
          <w:szCs w:val="24"/>
          <w:lang w:eastAsia="en-GB"/>
        </w:rPr>
        <w:t xml:space="preserve">If necessary, you may seek clarification on the procurement process or the specification by contacting Sorcha Rooney via </w:t>
      </w:r>
      <w:hyperlink r:id="rId14" w:history="1">
        <w:r>
          <w:rPr>
            <w:rStyle w:val="Hyperlink"/>
            <w:rFonts w:eastAsia="Times New Roman" w:cs="Arial"/>
            <w:sz w:val="24"/>
            <w:szCs w:val="24"/>
            <w:lang w:eastAsia="en-GB"/>
          </w:rPr>
          <w:t>Sorcha.Rooney@londoncouncils.gov.uk</w:t>
        </w:r>
      </w:hyperlink>
      <w:r w:rsidRPr="000A4D7A">
        <w:rPr>
          <w:rFonts w:eastAsia="Times New Roman" w:cs="Arial"/>
          <w:sz w:val="24"/>
          <w:szCs w:val="24"/>
          <w:lang w:eastAsia="en-GB"/>
        </w:rPr>
        <w:t xml:space="preserve">. </w:t>
      </w:r>
    </w:p>
    <w:p w:rsidR="00D11B3E" w:rsidRPr="00716201"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Enquiries will not be answered if received within </w:t>
      </w:r>
      <w:r w:rsidRPr="00FD7F89">
        <w:rPr>
          <w:rFonts w:eastAsia="Times New Roman" w:cs="Arial"/>
          <w:b/>
          <w:sz w:val="24"/>
          <w:szCs w:val="24"/>
          <w:lang w:eastAsia="en-GB"/>
        </w:rPr>
        <w:t>2</w:t>
      </w:r>
      <w:r w:rsidRPr="00FD7F89">
        <w:rPr>
          <w:rFonts w:eastAsia="Times New Roman" w:cs="Arial"/>
          <w:color w:val="CC99FF"/>
          <w:sz w:val="24"/>
          <w:szCs w:val="24"/>
          <w:lang w:eastAsia="en-GB"/>
        </w:rPr>
        <w:t xml:space="preserve"> </w:t>
      </w:r>
      <w:r w:rsidRPr="00FD7F89">
        <w:rPr>
          <w:rFonts w:eastAsia="Times New Roman" w:cs="Arial"/>
          <w:sz w:val="24"/>
          <w:szCs w:val="24"/>
          <w:lang w:eastAsia="en-GB"/>
        </w:rPr>
        <w:t xml:space="preserve">days of the date for submissions of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Bidders should note that responses to each enquiry will be copied to all organisations bidding (though will not identify the originator of the enquiry) through the </w:t>
      </w:r>
      <w:r w:rsidR="000A4D7A">
        <w:rPr>
          <w:rFonts w:eastAsia="Times New Roman" w:cs="Arial"/>
          <w:sz w:val="24"/>
          <w:szCs w:val="24"/>
          <w:lang w:eastAsia="en-GB"/>
        </w:rPr>
        <w:t xml:space="preserve">Contracts Finder Notice page and on the </w:t>
      </w:r>
      <w:r w:rsidRPr="008C215F">
        <w:rPr>
          <w:rFonts w:eastAsia="Times New Roman" w:cs="Arial"/>
          <w:sz w:val="24"/>
          <w:szCs w:val="24"/>
          <w:lang w:eastAsia="en-GB"/>
        </w:rPr>
        <w:t xml:space="preserve">London Councils website.     </w:t>
      </w:r>
    </w:p>
    <w:p w:rsidR="00D11B3E" w:rsidRPr="008C215F" w:rsidRDefault="00D11B3E" w:rsidP="00D11B3E">
      <w:pPr>
        <w:spacing w:after="120" w:line="240" w:lineRule="auto"/>
        <w:rPr>
          <w:rFonts w:eastAsia="Times New Roman" w:cs="Arial"/>
          <w:sz w:val="24"/>
          <w:szCs w:val="24"/>
          <w:lang w:eastAsia="en-GB"/>
        </w:rPr>
      </w:pPr>
      <w:r w:rsidRPr="008C215F">
        <w:rPr>
          <w:rFonts w:eastAsia="Times New Roman" w:cs="Arial"/>
          <w:sz w:val="24"/>
          <w:szCs w:val="24"/>
          <w:lang w:eastAsia="en-GB"/>
        </w:rPr>
        <w:t xml:space="preserve">If you are aware that the submission of your </w:t>
      </w:r>
      <w:r w:rsidR="00315B5B" w:rsidRPr="008C215F">
        <w:rPr>
          <w:rFonts w:eastAsia="Times New Roman" w:cs="Arial"/>
          <w:sz w:val="24"/>
          <w:szCs w:val="24"/>
          <w:lang w:eastAsia="en-GB"/>
        </w:rPr>
        <w:t>tender submission</w:t>
      </w:r>
      <w:r w:rsidRPr="008C215F">
        <w:rPr>
          <w:rFonts w:eastAsia="Times New Roman" w:cs="Arial"/>
          <w:sz w:val="24"/>
          <w:szCs w:val="24"/>
          <w:lang w:eastAsia="en-GB"/>
        </w:rPr>
        <w:t xml:space="preserve"> may give rise to a potential conflict of interest, please inform the officer to whom you are making the application.</w:t>
      </w:r>
    </w:p>
    <w:p w:rsidR="00D11B3E" w:rsidRPr="008C215F" w:rsidRDefault="00D11B3E" w:rsidP="00D11B3E">
      <w:pPr>
        <w:spacing w:after="120" w:line="240" w:lineRule="auto"/>
        <w:rPr>
          <w:rFonts w:eastAsia="Times New Roman" w:cs="Arial"/>
          <w:b/>
          <w:i/>
          <w:sz w:val="24"/>
          <w:szCs w:val="24"/>
          <w:lang w:eastAsia="en-GB"/>
        </w:rPr>
      </w:pPr>
      <w:r w:rsidRPr="008C215F">
        <w:rPr>
          <w:rFonts w:eastAsia="Times New Roman" w:cs="Arial"/>
          <w:b/>
          <w:i/>
          <w:sz w:val="24"/>
          <w:szCs w:val="24"/>
          <w:lang w:eastAsia="en-GB"/>
        </w:rPr>
        <w:t xml:space="preserve">Full instructions to bidders are also provided in Annex One. Bidders are advised to read all instructions before submitting their </w:t>
      </w:r>
      <w:r w:rsidR="00315B5B" w:rsidRPr="008C215F">
        <w:rPr>
          <w:rFonts w:eastAsia="Times New Roman" w:cs="Arial"/>
          <w:b/>
          <w:i/>
          <w:sz w:val="24"/>
          <w:szCs w:val="24"/>
          <w:lang w:eastAsia="en-GB"/>
        </w:rPr>
        <w:t>tender submission</w:t>
      </w:r>
      <w:r w:rsidRPr="008C215F">
        <w:rPr>
          <w:rFonts w:eastAsia="Times New Roman" w:cs="Arial"/>
          <w:b/>
          <w:i/>
          <w:sz w:val="24"/>
          <w:szCs w:val="24"/>
          <w:lang w:eastAsia="en-GB"/>
        </w:rPr>
        <w:t>.</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Freedom of Information Act</w:t>
      </w:r>
    </w:p>
    <w:p w:rsidR="00D11B3E" w:rsidRPr="008C215F" w:rsidRDefault="00D11B3E" w:rsidP="00D11B3E">
      <w:pPr>
        <w:spacing w:after="120" w:line="240" w:lineRule="auto"/>
        <w:rPr>
          <w:rFonts w:eastAsia="Times New Roman" w:cs="Arial"/>
          <w:b/>
          <w:color w:val="CC99FF"/>
          <w:sz w:val="24"/>
          <w:szCs w:val="24"/>
          <w:lang w:eastAsia="en-GB"/>
        </w:rPr>
      </w:pPr>
      <w:r w:rsidRPr="008C215F">
        <w:rPr>
          <w:rFonts w:eastAsia="Times New Roman" w:cs="Arial"/>
          <w:sz w:val="24"/>
          <w:szCs w:val="24"/>
          <w:lang w:eastAsia="en-GB"/>
        </w:rPr>
        <w:t xml:space="preserve">You should be aware that the information you submit may be subject to a request for information. The provision of any information to external parties by London Councils is determined by statutory conditions provided for in the Freedom of Information Act 2000. </w:t>
      </w:r>
    </w:p>
    <w:p w:rsidR="00D11B3E" w:rsidRPr="008C215F" w:rsidRDefault="00D11B3E" w:rsidP="00D11B3E">
      <w:pPr>
        <w:spacing w:after="120" w:line="240" w:lineRule="auto"/>
        <w:rPr>
          <w:rFonts w:eastAsia="Times New Roman" w:cs="Arial"/>
          <w:b/>
          <w:sz w:val="24"/>
          <w:szCs w:val="24"/>
          <w:lang w:eastAsia="en-GB"/>
        </w:rPr>
      </w:pPr>
      <w:r w:rsidRPr="008C215F">
        <w:rPr>
          <w:rFonts w:eastAsia="Times New Roman" w:cs="Arial"/>
          <w:b/>
          <w:sz w:val="24"/>
          <w:szCs w:val="24"/>
          <w:lang w:eastAsia="en-GB"/>
        </w:rPr>
        <w:t>Equality Opportunities</w:t>
      </w:r>
    </w:p>
    <w:p w:rsidR="00D11B3E" w:rsidRDefault="00D11B3E" w:rsidP="00D11B3E">
      <w:pPr>
        <w:autoSpaceDE w:val="0"/>
        <w:autoSpaceDN w:val="0"/>
        <w:adjustRightInd w:val="0"/>
        <w:spacing w:after="0" w:line="240" w:lineRule="auto"/>
        <w:rPr>
          <w:rFonts w:eastAsia="Times New Roman" w:cs="Arial"/>
          <w:sz w:val="24"/>
          <w:szCs w:val="24"/>
          <w:lang w:eastAsia="en-GB"/>
        </w:rPr>
      </w:pPr>
      <w:bookmarkStart w:id="1" w:name="_Toc215312570"/>
      <w:bookmarkStart w:id="2" w:name="_Toc215485546"/>
      <w:bookmarkStart w:id="3" w:name="_Toc240274331"/>
      <w:bookmarkStart w:id="4" w:name="_Toc240344278"/>
      <w:bookmarkStart w:id="5" w:name="_Toc240344448"/>
      <w:r w:rsidRPr="008C215F">
        <w:rPr>
          <w:rFonts w:eastAsia="Times New Roman" w:cs="Arial"/>
          <w:sz w:val="24"/>
          <w:szCs w:val="24"/>
          <w:lang w:eastAsia="en-GB"/>
        </w:rPr>
        <w:t>The successful contractor will be required to comply with London Councils</w:t>
      </w:r>
      <w:r w:rsidR="000A4D7A">
        <w:rPr>
          <w:rFonts w:eastAsia="Times New Roman" w:cs="Arial"/>
          <w:sz w:val="24"/>
          <w:szCs w:val="24"/>
          <w:lang w:eastAsia="en-GB"/>
        </w:rPr>
        <w:t>’</w:t>
      </w:r>
      <w:r w:rsidRPr="008C215F">
        <w:rPr>
          <w:rFonts w:eastAsia="Times New Roman" w:cs="Arial"/>
          <w:sz w:val="24"/>
          <w:szCs w:val="24"/>
          <w:lang w:eastAsia="en-GB"/>
        </w:rPr>
        <w:t xml:space="preserve"> Equal Opportunity Policy and bidders should complete the Equal Opportunities Questionnaire with their </w:t>
      </w:r>
      <w:r w:rsidR="00315B5B" w:rsidRPr="008C215F">
        <w:rPr>
          <w:rFonts w:eastAsia="Times New Roman" w:cs="Arial"/>
          <w:sz w:val="24"/>
          <w:szCs w:val="24"/>
          <w:lang w:eastAsia="en-GB"/>
        </w:rPr>
        <w:t>tender</w:t>
      </w:r>
      <w:r w:rsidRPr="008C215F">
        <w:rPr>
          <w:rFonts w:eastAsia="Times New Roman" w:cs="Arial"/>
          <w:sz w:val="24"/>
          <w:szCs w:val="24"/>
          <w:lang w:eastAsia="en-GB"/>
        </w:rPr>
        <w:t xml:space="preserve"> submission.</w:t>
      </w:r>
    </w:p>
    <w:p w:rsidR="000A4D7A" w:rsidRDefault="000A4D7A" w:rsidP="000A4D7A">
      <w:pPr>
        <w:autoSpaceDE w:val="0"/>
        <w:autoSpaceDN w:val="0"/>
        <w:adjustRightInd w:val="0"/>
        <w:spacing w:after="0" w:line="240" w:lineRule="auto"/>
        <w:rPr>
          <w:rFonts w:eastAsia="Times New Roman" w:cs="Arial"/>
          <w:sz w:val="24"/>
          <w:szCs w:val="24"/>
          <w:lang w:eastAsia="en-GB"/>
        </w:rPr>
      </w:pPr>
    </w:p>
    <w:p w:rsidR="000A4D7A" w:rsidRPr="002E1401" w:rsidRDefault="000A4D7A" w:rsidP="002E1401">
      <w:pPr>
        <w:spacing w:after="120" w:line="240" w:lineRule="auto"/>
        <w:rPr>
          <w:rFonts w:eastAsia="Times New Roman" w:cs="Arial"/>
          <w:b/>
          <w:sz w:val="24"/>
          <w:szCs w:val="24"/>
          <w:lang w:eastAsia="en-GB"/>
        </w:rPr>
      </w:pPr>
      <w:r w:rsidRPr="002E1401">
        <w:rPr>
          <w:rFonts w:eastAsia="Times New Roman" w:cs="Arial"/>
          <w:b/>
          <w:sz w:val="24"/>
          <w:szCs w:val="24"/>
          <w:lang w:eastAsia="en-GB"/>
        </w:rPr>
        <w:t>Terms and Conditions</w:t>
      </w:r>
    </w:p>
    <w:p w:rsidR="00DA21CA" w:rsidRDefault="000A4D7A" w:rsidP="000A4D7A">
      <w:pPr>
        <w:autoSpaceDE w:val="0"/>
        <w:autoSpaceDN w:val="0"/>
        <w:adjustRightInd w:val="0"/>
        <w:spacing w:after="0" w:line="240" w:lineRule="auto"/>
        <w:rPr>
          <w:rFonts w:eastAsia="Times New Roman" w:cs="Arial"/>
          <w:sz w:val="24"/>
          <w:szCs w:val="24"/>
          <w:lang w:eastAsia="en-GB"/>
        </w:rPr>
      </w:pPr>
      <w:r w:rsidRPr="000A4D7A">
        <w:rPr>
          <w:rFonts w:eastAsia="Times New Roman" w:cs="Arial"/>
          <w:sz w:val="24"/>
          <w:szCs w:val="24"/>
          <w:lang w:eastAsia="en-GB"/>
        </w:rPr>
        <w:t>Please see accompanying terms and conditions and confirm acceptance in your submission.</w:t>
      </w:r>
    </w:p>
    <w:p w:rsidR="00DA21CA" w:rsidRDefault="00DA21CA">
      <w:pPr>
        <w:rPr>
          <w:rFonts w:eastAsia="Times New Roman" w:cs="Arial"/>
          <w:sz w:val="24"/>
          <w:szCs w:val="24"/>
          <w:lang w:eastAsia="en-GB"/>
        </w:rPr>
      </w:pPr>
      <w:r>
        <w:rPr>
          <w:rFonts w:eastAsia="Times New Roman" w:cs="Arial"/>
          <w:sz w:val="24"/>
          <w:szCs w:val="24"/>
          <w:lang w:eastAsia="en-GB"/>
        </w:rPr>
        <w:br w:type="page"/>
      </w: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8C215F" w:rsidRDefault="008C215F" w:rsidP="00DA21CA">
      <w:pPr>
        <w:pStyle w:val="NoSpacing"/>
        <w:jc w:val="center"/>
        <w:rPr>
          <w:rFonts w:cs="Arial"/>
          <w:b/>
          <w:sz w:val="40"/>
          <w:lang w:eastAsia="en-GB"/>
        </w:rPr>
      </w:pPr>
    </w:p>
    <w:p w:rsidR="0030700B" w:rsidRDefault="0030700B" w:rsidP="00DA21CA">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30700B" w:rsidRDefault="0030700B" w:rsidP="008C215F">
      <w:pPr>
        <w:pStyle w:val="NoSpacing"/>
        <w:jc w:val="center"/>
        <w:rPr>
          <w:rFonts w:cs="Arial"/>
          <w:b/>
          <w:sz w:val="40"/>
          <w:lang w:eastAsia="en-GB"/>
        </w:rPr>
      </w:pPr>
    </w:p>
    <w:p w:rsidR="00D11B3E" w:rsidRPr="008C215F" w:rsidRDefault="00D11B3E" w:rsidP="008C215F">
      <w:pPr>
        <w:pStyle w:val="NoSpacing"/>
        <w:jc w:val="center"/>
        <w:rPr>
          <w:rFonts w:cs="Arial"/>
          <w:b/>
          <w:sz w:val="40"/>
          <w:lang w:eastAsia="en-GB"/>
        </w:rPr>
      </w:pPr>
      <w:r w:rsidRPr="008C215F">
        <w:rPr>
          <w:rFonts w:cs="Arial"/>
          <w:b/>
          <w:sz w:val="40"/>
          <w:lang w:eastAsia="en-GB"/>
        </w:rPr>
        <w:t xml:space="preserve">Annex One: </w:t>
      </w:r>
      <w:bookmarkEnd w:id="1"/>
      <w:bookmarkEnd w:id="2"/>
      <w:bookmarkEnd w:id="3"/>
      <w:bookmarkEnd w:id="4"/>
      <w:bookmarkEnd w:id="5"/>
      <w:r w:rsidRPr="008C215F">
        <w:rPr>
          <w:rFonts w:cs="Arial"/>
          <w:b/>
          <w:sz w:val="40"/>
          <w:lang w:eastAsia="en-GB"/>
        </w:rPr>
        <w:t>Instructions to bidders</w:t>
      </w: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D11B3E" w:rsidRDefault="00D11B3E" w:rsidP="00D11B3E">
      <w:pPr>
        <w:spacing w:after="120" w:line="240" w:lineRule="auto"/>
        <w:jc w:val="center"/>
        <w:outlineLvl w:val="1"/>
        <w:rPr>
          <w:rFonts w:eastAsia="Times New Roman" w:cs="Arial"/>
          <w:sz w:val="24"/>
          <w:szCs w:val="24"/>
          <w:lang w:eastAsia="en-GB"/>
        </w:rPr>
      </w:pPr>
    </w:p>
    <w:p w:rsidR="00D11B3E" w:rsidRPr="009E453E" w:rsidRDefault="00315B5B" w:rsidP="00D11B3E">
      <w:pPr>
        <w:numPr>
          <w:ilvl w:val="0"/>
          <w:numId w:val="16"/>
        </w:numPr>
        <w:shd w:val="clear" w:color="auto" w:fill="CC99FF"/>
        <w:tabs>
          <w:tab w:val="left" w:pos="7920"/>
        </w:tabs>
        <w:spacing w:after="120" w:line="240" w:lineRule="auto"/>
        <w:jc w:val="both"/>
        <w:rPr>
          <w:rFonts w:eastAsia="Times New Roman" w:cs="Arial"/>
          <w:b/>
          <w:bCs/>
          <w:color w:val="FFFFFF" w:themeColor="background1"/>
          <w:sz w:val="24"/>
          <w:szCs w:val="24"/>
        </w:rPr>
      </w:pPr>
      <w:bookmarkStart w:id="6" w:name="_Toc78349094"/>
      <w:r>
        <w:rPr>
          <w:rFonts w:eastAsia="Times New Roman" w:cs="Arial"/>
          <w:b/>
          <w:color w:val="FFFFFF" w:themeColor="background1"/>
          <w:sz w:val="24"/>
          <w:szCs w:val="24"/>
          <w:shd w:val="clear" w:color="auto" w:fill="CC99FF"/>
        </w:rPr>
        <w:lastRenderedPageBreak/>
        <w:t>Tender</w:t>
      </w:r>
      <w:r w:rsidR="00D11B3E" w:rsidRPr="009E453E">
        <w:rPr>
          <w:rFonts w:eastAsia="Times New Roman" w:cs="Arial"/>
          <w:b/>
          <w:color w:val="FFFFFF" w:themeColor="background1"/>
          <w:sz w:val="24"/>
          <w:szCs w:val="24"/>
          <w:shd w:val="clear" w:color="auto" w:fill="CC99FF"/>
        </w:rPr>
        <w:t xml:space="preserve"> Submissions</w:t>
      </w:r>
      <w:bookmarkEnd w:id="6"/>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All pages of the bidder’s </w:t>
      </w:r>
      <w:r w:rsidR="00315B5B">
        <w:rPr>
          <w:rFonts w:eastAsia="Times New Roman" w:cs="Arial"/>
          <w:color w:val="000000"/>
          <w:szCs w:val="24"/>
          <w:lang w:eastAsia="en-GB"/>
        </w:rPr>
        <w:t>tender response</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should be sequentially numbered (including any annexes and supporting documents)</w:t>
      </w:r>
      <w:r w:rsidR="000A4D7A">
        <w:rPr>
          <w:rFonts w:eastAsia="Times New Roman" w:cs="Arial"/>
          <w:color w:val="000000"/>
          <w:szCs w:val="24"/>
          <w:lang w:eastAsia="en-GB"/>
        </w:rPr>
        <w:t xml:space="preserve"> and submitted in Microsoft Word format</w:t>
      </w:r>
      <w:r w:rsidRPr="00D11B3E">
        <w:rPr>
          <w:rFonts w:eastAsia="Times New Roman" w:cs="Arial"/>
          <w:color w:val="000000"/>
          <w:szCs w:val="24"/>
          <w:lang w:eastAsia="en-GB"/>
        </w:rPr>
        <w:t xml:space="preserve">. </w:t>
      </w:r>
    </w:p>
    <w:p w:rsidR="00D11B3E" w:rsidRPr="00D11B3E" w:rsidRDefault="00D11B3E" w:rsidP="000470A3">
      <w:pPr>
        <w:numPr>
          <w:ilvl w:val="1"/>
          <w:numId w:val="15"/>
        </w:numPr>
        <w:tabs>
          <w:tab w:val="left" w:pos="7920"/>
        </w:tabs>
        <w:spacing w:after="120" w:line="240" w:lineRule="auto"/>
        <w:rPr>
          <w:rFonts w:eastAsia="Times New Roman" w:cs="Arial"/>
          <w:color w:val="000000"/>
          <w:szCs w:val="24"/>
          <w:lang w:eastAsia="en-GB"/>
        </w:rPr>
      </w:pPr>
      <w:r w:rsidRPr="00D11B3E">
        <w:rPr>
          <w:rFonts w:eastAsia="Times New Roman" w:cs="Arial"/>
          <w:color w:val="000000"/>
          <w:szCs w:val="24"/>
          <w:lang w:eastAsia="en-GB"/>
        </w:rPr>
        <w:t xml:space="preserve">Bidders are advised to submit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by email to </w:t>
      </w:r>
      <w:hyperlink r:id="rId15" w:history="1">
        <w:r w:rsidR="000470A3" w:rsidRPr="00F36D4A">
          <w:rPr>
            <w:rStyle w:val="Hyperlink"/>
          </w:rPr>
          <w:t>tenders@londoncouncils.gov.uk</w:t>
        </w:r>
      </w:hyperlink>
      <w:r w:rsidR="000470A3">
        <w:t xml:space="preserve"> </w:t>
      </w:r>
      <w:r w:rsidRPr="00D11B3E">
        <w:rPr>
          <w:rFonts w:eastAsia="Times New Roman" w:cs="Arial"/>
          <w:color w:val="000000"/>
          <w:szCs w:val="24"/>
          <w:lang w:eastAsia="en-GB"/>
        </w:rPr>
        <w:t>quoting reference</w:t>
      </w:r>
      <w:r w:rsidRPr="00D11B3E">
        <w:rPr>
          <w:rFonts w:eastAsia="Times New Roman" w:cs="Arial"/>
          <w:szCs w:val="24"/>
          <w:lang w:eastAsia="en-GB"/>
        </w:rPr>
        <w:t xml:space="preserve"> </w:t>
      </w:r>
      <w:r w:rsidR="000A4D7A">
        <w:rPr>
          <w:rFonts w:eastAsia="Times New Roman" w:cs="Arial"/>
          <w:b/>
          <w:szCs w:val="24"/>
          <w:lang w:eastAsia="en-GB"/>
        </w:rPr>
        <w:t>R0217b</w:t>
      </w:r>
      <w:r w:rsidR="00EC34F3">
        <w:rPr>
          <w:rFonts w:eastAsia="Times New Roman" w:cs="Arial"/>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must not arrive later than the date and time stipulated.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s received after that time may not be considered unless the bidder can prove that the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was dispatched in sufficient time to meet the deadline.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By submitting a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the bidder agrees to keep that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open for acceptance by London Councils for 90 days following the closing date.</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London Councils do</w:t>
      </w:r>
      <w:r w:rsidR="000470A3">
        <w:rPr>
          <w:rFonts w:eastAsia="Times New Roman" w:cs="Arial"/>
          <w:color w:val="000000"/>
          <w:szCs w:val="24"/>
          <w:lang w:eastAsia="en-GB"/>
        </w:rPr>
        <w:t>es</w:t>
      </w:r>
      <w:r w:rsidRPr="00D11B3E">
        <w:rPr>
          <w:rFonts w:eastAsia="Times New Roman" w:cs="Arial"/>
          <w:color w:val="000000"/>
          <w:szCs w:val="24"/>
          <w:lang w:eastAsia="en-GB"/>
        </w:rPr>
        <w:t xml:space="preserve"> not accept suppliers’ Terms and Conditions.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 xml:space="preserve">Amendments to </w:t>
      </w:r>
      <w:r w:rsidR="00315B5B">
        <w:rPr>
          <w:rFonts w:eastAsia="Times New Roman" w:cs="Arial"/>
          <w:b/>
          <w:color w:val="FFFFFF" w:themeColor="background1"/>
          <w:sz w:val="24"/>
          <w:szCs w:val="24"/>
          <w:shd w:val="clear" w:color="auto" w:fill="CC99FF"/>
        </w:rPr>
        <w:t>Tender</w:t>
      </w:r>
      <w:r w:rsidRPr="009E453E">
        <w:rPr>
          <w:rFonts w:eastAsia="Times New Roman" w:cs="Arial"/>
          <w:b/>
          <w:color w:val="FFFFFF" w:themeColor="background1"/>
          <w:sz w:val="24"/>
          <w:szCs w:val="24"/>
          <w:shd w:val="clear" w:color="auto" w:fill="CC99FF"/>
        </w:rPr>
        <w:t xml:space="preserve"> Documents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Prior to the deadline, London Councils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 xml:space="preserve">documents by amendments in writing. London Councils may extend the deadline for </w:t>
      </w:r>
      <w:r w:rsidR="00315B5B">
        <w:rPr>
          <w:rFonts w:eastAsia="Times New Roman" w:cs="Arial"/>
          <w:color w:val="000000"/>
          <w:szCs w:val="24"/>
          <w:lang w:eastAsia="en-GB"/>
        </w:rPr>
        <w:t>tenders</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to allow for significant amendments to be fully assessed and taken into account.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The bidder may modify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prior to the deadline for receipt by giving notice in writing or by email.</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No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may be modified after the deadline for receipt.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The contractor may not transfer, assign or sublet the contract, or any part thereof, without the prior written consent of London Councils</w:t>
      </w:r>
      <w:r w:rsidR="000A4D7A" w:rsidRPr="00D11B3E">
        <w:rPr>
          <w:rFonts w:eastAsia="Times New Roman" w:cs="Arial"/>
          <w:szCs w:val="24"/>
          <w:lang w:eastAsia="en-GB"/>
        </w:rPr>
        <w:t xml:space="preserve">. </w:t>
      </w:r>
      <w:r w:rsidRPr="00D11B3E">
        <w:rPr>
          <w:rFonts w:eastAsia="Times New Roman" w:cs="Arial"/>
          <w:szCs w:val="24"/>
          <w:lang w:eastAsia="en-GB"/>
        </w:rPr>
        <w:t>If such consent is given the contractor will remain liable for the performance of the contract in its entirely as if such assignment or sublet had not taken place.</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Charges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u w:val="single"/>
        </w:rPr>
      </w:pPr>
      <w:r w:rsidRPr="00D11B3E">
        <w:rPr>
          <w:rFonts w:eastAsia="Times New Roman" w:cs="Arial"/>
          <w:color w:val="000000"/>
          <w:szCs w:val="24"/>
        </w:rPr>
        <w:t xml:space="preserve">Charges must be in pounds sterling </w:t>
      </w:r>
      <w:r w:rsidRPr="00D11B3E">
        <w:rPr>
          <w:rFonts w:eastAsia="Times New Roman" w:cs="Arial"/>
          <w:color w:val="000000"/>
          <w:szCs w:val="24"/>
          <w:u w:val="single"/>
        </w:rPr>
        <w:t>and be inclusive of all costs</w:t>
      </w:r>
      <w:r w:rsidRPr="00D11B3E">
        <w:rPr>
          <w:rFonts w:eastAsia="Times New Roman" w:cs="Arial"/>
          <w:color w:val="000000"/>
          <w:szCs w:val="24"/>
        </w:rPr>
        <w:t xml:space="preserve"> but can be exclusive of VAT.</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Charges shall be fixed for the duration of the Contract and will not be subject to any variation unless detailed in the Contract document. </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color w:val="000000"/>
          <w:szCs w:val="24"/>
          <w:lang w:eastAsia="en-GB"/>
        </w:rPr>
        <w:t xml:space="preserve">London Councils shall not be liable for any costs incurred in the production of the </w:t>
      </w:r>
      <w:r w:rsidR="00315B5B">
        <w:rPr>
          <w:rFonts w:eastAsia="Times New Roman" w:cs="Arial"/>
          <w:color w:val="000000"/>
          <w:szCs w:val="24"/>
          <w:lang w:eastAsia="en-GB"/>
        </w:rPr>
        <w:t>tender</w:t>
      </w:r>
      <w:r w:rsidR="00315B5B" w:rsidRPr="00D11B3E">
        <w:rPr>
          <w:rFonts w:eastAsia="Times New Roman" w:cs="Arial"/>
          <w:color w:val="000000"/>
          <w:szCs w:val="24"/>
          <w:lang w:eastAsia="en-GB"/>
        </w:rPr>
        <w:t xml:space="preserve"> </w:t>
      </w:r>
      <w:r w:rsidRPr="00D11B3E">
        <w:rPr>
          <w:rFonts w:eastAsia="Times New Roman" w:cs="Arial"/>
          <w:color w:val="000000"/>
          <w:szCs w:val="24"/>
          <w:lang w:eastAsia="en-GB"/>
        </w:rPr>
        <w:t>submission.</w:t>
      </w:r>
    </w:p>
    <w:p w:rsidR="00D11B3E" w:rsidRPr="009E453E" w:rsidRDefault="00315B5B"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Pr>
          <w:rFonts w:eastAsia="Times New Roman" w:cs="Arial"/>
          <w:b/>
          <w:color w:val="FFFFFF" w:themeColor="background1"/>
          <w:sz w:val="24"/>
          <w:szCs w:val="24"/>
          <w:shd w:val="clear" w:color="auto" w:fill="CC99FF"/>
        </w:rPr>
        <w:t>Tender</w:t>
      </w:r>
      <w:r w:rsidR="00D11B3E" w:rsidRPr="009E453E">
        <w:rPr>
          <w:rFonts w:eastAsia="Times New Roman" w:cs="Arial"/>
          <w:b/>
          <w:color w:val="FFFFFF" w:themeColor="background1"/>
          <w:sz w:val="24"/>
          <w:szCs w:val="24"/>
          <w:shd w:val="clear" w:color="auto" w:fill="CC99FF"/>
        </w:rPr>
        <w:t xml:space="preserve"> Evaluations</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intends to commission the most economically advantageous </w:t>
      </w:r>
      <w:r w:rsidR="00315B5B">
        <w:rPr>
          <w:rFonts w:eastAsia="Times New Roman" w:cs="Arial"/>
          <w:color w:val="000000"/>
          <w:szCs w:val="24"/>
          <w:lang w:eastAsia="en-GB"/>
        </w:rPr>
        <w:t>tender</w:t>
      </w:r>
      <w:r w:rsidRPr="00D11B3E">
        <w:rPr>
          <w:rFonts w:eastAsia="Times New Roman" w:cs="Arial"/>
          <w:color w:val="000000"/>
          <w:szCs w:val="24"/>
          <w:lang w:eastAsia="en-GB"/>
        </w:rPr>
        <w:t xml:space="preserve"> and reserves the right to accept or reject all or any part of any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eastAsia="en-GB"/>
        </w:rPr>
        <w:t xml:space="preserve">London Councils does not bind itself to accept the lowest charged </w:t>
      </w:r>
      <w:r w:rsidR="00315B5B">
        <w:rPr>
          <w:rFonts w:eastAsia="Times New Roman" w:cs="Arial"/>
          <w:color w:val="000000"/>
          <w:szCs w:val="24"/>
          <w:lang w:eastAsia="en-GB"/>
        </w:rPr>
        <w:t>tender</w:t>
      </w:r>
      <w:r w:rsidRPr="00D11B3E">
        <w:rPr>
          <w:rFonts w:eastAsia="Times New Roman" w:cs="Arial"/>
          <w:color w:val="000000"/>
          <w:szCs w:val="24"/>
          <w:lang w:eastAsia="en-GB"/>
        </w:rPr>
        <w:t>.</w:t>
      </w:r>
    </w:p>
    <w:p w:rsidR="00D11B3E" w:rsidRPr="00D11B3E" w:rsidRDefault="00D11B3E" w:rsidP="00D11B3E">
      <w:pPr>
        <w:numPr>
          <w:ilvl w:val="1"/>
          <w:numId w:val="15"/>
        </w:numPr>
        <w:tabs>
          <w:tab w:val="left" w:pos="7920"/>
        </w:tabs>
        <w:spacing w:after="120" w:line="240" w:lineRule="auto"/>
        <w:jc w:val="both"/>
        <w:rPr>
          <w:rFonts w:eastAsia="Times New Roman" w:cs="Arial"/>
          <w:b/>
          <w:szCs w:val="24"/>
          <w:lang w:eastAsia="en-GB"/>
        </w:rPr>
      </w:pPr>
      <w:r w:rsidRPr="00D11B3E">
        <w:rPr>
          <w:rFonts w:eastAsia="Times New Roman" w:cs="Arial"/>
          <w:color w:val="000000"/>
          <w:szCs w:val="24"/>
          <w:lang w:val="en-US" w:eastAsia="en-GB"/>
        </w:rPr>
        <w:t xml:space="preserve">London Councils reserves the right to change the timing or any other aspect of the procurement process or to cancel the procurement process at any stage without prior notice. </w:t>
      </w:r>
    </w:p>
    <w:p w:rsidR="00D11B3E" w:rsidRPr="009E453E" w:rsidRDefault="00D11B3E" w:rsidP="00D11B3E">
      <w:pPr>
        <w:numPr>
          <w:ilvl w:val="0"/>
          <w:numId w:val="15"/>
        </w:numPr>
        <w:shd w:val="clear" w:color="auto" w:fill="CC99FF"/>
        <w:tabs>
          <w:tab w:val="left" w:pos="7920"/>
        </w:tabs>
        <w:spacing w:before="240" w:after="120" w:line="240" w:lineRule="auto"/>
        <w:jc w:val="both"/>
        <w:rPr>
          <w:rFonts w:eastAsia="Times New Roman" w:cs="Arial"/>
          <w:b/>
          <w:bCs/>
          <w:color w:val="FFFFFF" w:themeColor="background1"/>
          <w:sz w:val="24"/>
          <w:szCs w:val="24"/>
        </w:rPr>
      </w:pPr>
      <w:r w:rsidRPr="009E453E">
        <w:rPr>
          <w:rFonts w:eastAsia="Times New Roman" w:cs="Arial"/>
          <w:b/>
          <w:color w:val="FFFFFF" w:themeColor="background1"/>
          <w:sz w:val="24"/>
          <w:szCs w:val="24"/>
          <w:shd w:val="clear" w:color="auto" w:fill="CC99FF"/>
        </w:rPr>
        <w:t>Intellectual property rights</w:t>
      </w:r>
    </w:p>
    <w:p w:rsidR="00D11B3E" w:rsidRPr="00D11B3E" w:rsidRDefault="00D11B3E" w:rsidP="00D11B3E">
      <w:pPr>
        <w:numPr>
          <w:ilvl w:val="1"/>
          <w:numId w:val="15"/>
        </w:numPr>
        <w:tabs>
          <w:tab w:val="left" w:pos="7920"/>
        </w:tabs>
        <w:spacing w:after="120" w:line="240" w:lineRule="auto"/>
        <w:jc w:val="both"/>
        <w:rPr>
          <w:rFonts w:eastAsia="Times New Roman" w:cs="Arial"/>
          <w:color w:val="000000"/>
          <w:szCs w:val="24"/>
          <w:lang w:eastAsia="en-GB"/>
        </w:rPr>
      </w:pPr>
      <w:r w:rsidRPr="00D11B3E">
        <w:rPr>
          <w:rFonts w:eastAsia="Times New Roman" w:cs="Arial"/>
          <w:szCs w:val="24"/>
          <w:lang w:eastAsia="en-GB"/>
        </w:rPr>
        <w:t>All information provided by London Councils shall be treated by the Contractor as confidential except where prior written consent has been given by London Councils that such information may be disclosed. The dissemination of information within your organisation should be on a need-to-know basis.</w:t>
      </w:r>
    </w:p>
    <w:p w:rsidR="00AD25CD" w:rsidRPr="009E453E" w:rsidRDefault="00D11B3E" w:rsidP="00AD25CD">
      <w:pPr>
        <w:numPr>
          <w:ilvl w:val="1"/>
          <w:numId w:val="15"/>
        </w:numPr>
        <w:tabs>
          <w:tab w:val="left" w:pos="7920"/>
        </w:tabs>
        <w:spacing w:after="0" w:line="240" w:lineRule="auto"/>
        <w:jc w:val="both"/>
      </w:pPr>
      <w:r w:rsidRPr="00D11B3E">
        <w:rPr>
          <w:rFonts w:eastAsia="Times New Roman" w:cs="Arial"/>
          <w:color w:val="000000"/>
          <w:szCs w:val="24"/>
          <w:lang w:eastAsia="en-GB"/>
        </w:rPr>
        <w:t>All</w:t>
      </w:r>
      <w:r w:rsidRPr="00D11B3E">
        <w:rPr>
          <w:rFonts w:eastAsia="Times New Roman" w:cs="Arial"/>
          <w:szCs w:val="24"/>
          <w:lang w:eastAsia="en-GB"/>
        </w:rPr>
        <w:t xml:space="preserve"> intellectual property rights arising from the work will reside with London Councils.</w:t>
      </w:r>
    </w:p>
    <w:p w:rsidR="00964ADB" w:rsidRPr="00C80FAC" w:rsidRDefault="00964ADB" w:rsidP="009E453E">
      <w:pPr>
        <w:pStyle w:val="Subtitle"/>
        <w:spacing w:after="120"/>
      </w:pPr>
    </w:p>
    <w:p w:rsidR="009E453E" w:rsidRPr="00C80FAC" w:rsidRDefault="009E453E" w:rsidP="009E453E">
      <w:pPr>
        <w:pStyle w:val="Subtitle"/>
        <w:spacing w:after="120"/>
      </w:pPr>
    </w:p>
    <w:p w:rsidR="009E453E" w:rsidRDefault="009E453E" w:rsidP="009E453E">
      <w:pPr>
        <w:pStyle w:val="Subtitle"/>
        <w:spacing w:after="120"/>
      </w:pPr>
    </w:p>
    <w:p w:rsidR="00964ADB" w:rsidRDefault="00964ADB" w:rsidP="009E453E">
      <w:pPr>
        <w:pStyle w:val="Subtitle"/>
        <w:spacing w:after="120"/>
      </w:pPr>
    </w:p>
    <w:p w:rsidR="00964ADB" w:rsidRDefault="00964ADB"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DA21CA" w:rsidRDefault="00DA21CA" w:rsidP="009E453E">
      <w:pPr>
        <w:pStyle w:val="Subtitle"/>
        <w:spacing w:after="120"/>
      </w:pPr>
    </w:p>
    <w:p w:rsidR="00964ADB" w:rsidRPr="00C80FAC" w:rsidRDefault="00964ADB"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E453E" w:rsidRPr="00C80FAC" w:rsidRDefault="009E453E" w:rsidP="009E453E">
      <w:pPr>
        <w:pStyle w:val="Subtitle"/>
        <w:spacing w:after="120"/>
      </w:pPr>
    </w:p>
    <w:p w:rsidR="00964ADB" w:rsidRPr="00315B5B" w:rsidRDefault="00964ADB" w:rsidP="00315B5B">
      <w:pPr>
        <w:jc w:val="center"/>
        <w:rPr>
          <w:b/>
          <w:sz w:val="40"/>
          <w:szCs w:val="40"/>
        </w:rPr>
      </w:pPr>
      <w:r w:rsidRPr="00315B5B">
        <w:rPr>
          <w:b/>
          <w:sz w:val="40"/>
          <w:szCs w:val="40"/>
        </w:rPr>
        <w:t>Annex Two: Example of cost structure</w:t>
      </w:r>
    </w:p>
    <w:p w:rsidR="009E453E" w:rsidRDefault="009E453E" w:rsidP="00315B5B">
      <w:pPr>
        <w:pStyle w:val="Subtitle"/>
        <w:spacing w:after="120"/>
      </w:pPr>
    </w:p>
    <w:p w:rsidR="009E453E" w:rsidRPr="00C80FAC" w:rsidRDefault="009E453E" w:rsidP="00315B5B">
      <w:pPr>
        <w:pStyle w:val="Subtitle"/>
        <w:spacing w:after="120"/>
        <w:jc w:val="left"/>
      </w:pPr>
    </w:p>
    <w:p w:rsidR="009E453E" w:rsidRDefault="009E453E" w:rsidP="00315B5B">
      <w:pPr>
        <w:pStyle w:val="Subtitle"/>
        <w:spacing w:after="120"/>
        <w:jc w:val="left"/>
        <w:sectPr w:rsidR="009E453E" w:rsidSect="009E453E">
          <w:headerReference w:type="default" r:id="rId16"/>
          <w:footerReference w:type="even" r:id="rId17"/>
          <w:footerReference w:type="default" r:id="rId18"/>
          <w:pgSz w:w="11906" w:h="16838"/>
          <w:pgMar w:top="1440" w:right="1134" w:bottom="1440" w:left="1134" w:header="709" w:footer="709" w:gutter="0"/>
          <w:cols w:space="708"/>
          <w:docGrid w:linePitch="360"/>
        </w:sectPr>
      </w:pPr>
    </w:p>
    <w:p w:rsidR="009E453E" w:rsidRPr="008F50D0" w:rsidRDefault="009E453E" w:rsidP="00315B5B">
      <w:pPr>
        <w:pStyle w:val="Subtitle"/>
        <w:tabs>
          <w:tab w:val="left" w:pos="7920"/>
        </w:tabs>
        <w:spacing w:after="0"/>
        <w:jc w:val="left"/>
      </w:pPr>
      <w:r w:rsidRPr="00315B5B">
        <w:rPr>
          <w:b/>
          <w:sz w:val="20"/>
        </w:rPr>
        <w:lastRenderedPageBreak/>
        <w:t>Example of cost table</w:t>
      </w:r>
      <w:r w:rsidR="00964ADB" w:rsidRPr="00315B5B">
        <w:rPr>
          <w:b/>
          <w:sz w:val="20"/>
        </w:rPr>
        <w:t>:</w:t>
      </w:r>
      <w:r w:rsidR="00964ADB">
        <w:rPr>
          <w:sz w:val="20"/>
        </w:rPr>
        <w:t xml:space="preserve"> </w:t>
      </w:r>
      <w:r w:rsidRPr="00315B5B">
        <w:rPr>
          <w:sz w:val="20"/>
        </w:rPr>
        <w:t xml:space="preserve">Below is an example of a clear cost structure. Other cost breakdowns will be accepted; however a clear structure that will allow London Councils to easily assess value for money – including cost per stage and/or days/hours per person </w:t>
      </w:r>
      <w:r w:rsidR="00964ADB">
        <w:rPr>
          <w:sz w:val="20"/>
        </w:rPr>
        <w:t>–</w:t>
      </w:r>
      <w:r w:rsidRPr="00315B5B">
        <w:rPr>
          <w:sz w:val="20"/>
        </w:rPr>
        <w:t xml:space="preserve"> should be used.</w:t>
      </w:r>
      <w:r>
        <w:rPr>
          <w:noProof/>
        </w:rPr>
        <w:drawing>
          <wp:inline distT="0" distB="0" distL="0" distR="0" wp14:anchorId="07ADF416" wp14:editId="37799A8D">
            <wp:extent cx="8858250" cy="52292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8250" cy="5229225"/>
                    </a:xfrm>
                    <a:prstGeom prst="rect">
                      <a:avLst/>
                    </a:prstGeom>
                    <a:noFill/>
                    <a:ln w="6350" cmpd="sng">
                      <a:solidFill>
                        <a:srgbClr val="000000"/>
                      </a:solidFill>
                      <a:miter lim="800000"/>
                      <a:headEnd/>
                      <a:tailEnd/>
                    </a:ln>
                    <a:effectLst/>
                  </pic:spPr>
                </pic:pic>
              </a:graphicData>
            </a:graphic>
          </wp:inline>
        </w:drawing>
      </w:r>
    </w:p>
    <w:sectPr w:rsidR="009E453E" w:rsidRPr="008F50D0" w:rsidSect="00315B5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97" w:rsidRDefault="00D30397" w:rsidP="009E453E">
      <w:pPr>
        <w:spacing w:after="0" w:line="240" w:lineRule="auto"/>
      </w:pPr>
      <w:r>
        <w:separator/>
      </w:r>
    </w:p>
  </w:endnote>
  <w:endnote w:type="continuationSeparator" w:id="0">
    <w:p w:rsidR="00D30397" w:rsidRDefault="00D30397" w:rsidP="009E4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Default="002E1401" w:rsidP="009E45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1401" w:rsidRDefault="002E1401" w:rsidP="009E45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Pr="00CD6958" w:rsidRDefault="002E1401" w:rsidP="009E453E">
    <w:pPr>
      <w:pStyle w:val="Footer"/>
      <w:framePr w:wrap="around" w:vAnchor="text" w:hAnchor="margin" w:xAlign="right" w:y="1"/>
      <w:rPr>
        <w:rStyle w:val="PageNumber"/>
        <w:rFonts w:ascii="Arial" w:hAnsi="Arial" w:cs="Arial"/>
      </w:rPr>
    </w:pPr>
    <w:r w:rsidRPr="00CD6958">
      <w:rPr>
        <w:rStyle w:val="PageNumber"/>
        <w:rFonts w:ascii="Arial" w:hAnsi="Arial" w:cs="Arial"/>
      </w:rPr>
      <w:fldChar w:fldCharType="begin"/>
    </w:r>
    <w:r w:rsidRPr="00CD6958">
      <w:rPr>
        <w:rStyle w:val="PageNumber"/>
        <w:rFonts w:ascii="Arial" w:hAnsi="Arial" w:cs="Arial"/>
      </w:rPr>
      <w:instrText xml:space="preserve">PAGE  </w:instrText>
    </w:r>
    <w:r w:rsidRPr="00CD6958">
      <w:rPr>
        <w:rStyle w:val="PageNumber"/>
        <w:rFonts w:ascii="Arial" w:hAnsi="Arial" w:cs="Arial"/>
      </w:rPr>
      <w:fldChar w:fldCharType="separate"/>
    </w:r>
    <w:r w:rsidR="00894EE3">
      <w:rPr>
        <w:rStyle w:val="PageNumber"/>
        <w:rFonts w:ascii="Arial" w:hAnsi="Arial" w:cs="Arial"/>
        <w:noProof/>
      </w:rPr>
      <w:t>1</w:t>
    </w:r>
    <w:r w:rsidRPr="00CD6958">
      <w:rPr>
        <w:rStyle w:val="PageNumber"/>
        <w:rFonts w:ascii="Arial" w:hAnsi="Arial" w:cs="Arial"/>
      </w:rPr>
      <w:fldChar w:fldCharType="end"/>
    </w:r>
  </w:p>
  <w:p w:rsidR="002E1401" w:rsidRDefault="002E1401" w:rsidP="009E45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97" w:rsidRDefault="00D30397" w:rsidP="009E453E">
      <w:pPr>
        <w:spacing w:after="0" w:line="240" w:lineRule="auto"/>
      </w:pPr>
      <w:r>
        <w:separator/>
      </w:r>
    </w:p>
  </w:footnote>
  <w:footnote w:type="continuationSeparator" w:id="0">
    <w:p w:rsidR="00D30397" w:rsidRDefault="00D30397" w:rsidP="009E453E">
      <w:pPr>
        <w:spacing w:after="0" w:line="240" w:lineRule="auto"/>
      </w:pPr>
      <w:r>
        <w:continuationSeparator/>
      </w:r>
    </w:p>
  </w:footnote>
  <w:footnote w:id="1">
    <w:p w:rsidR="002E1401" w:rsidRDefault="002E1401" w:rsidP="00D40378">
      <w:pPr>
        <w:pStyle w:val="FootnoteText"/>
      </w:pPr>
      <w:r>
        <w:rPr>
          <w:rStyle w:val="FootnoteReference"/>
        </w:rPr>
        <w:footnoteRef/>
      </w:r>
      <w:r>
        <w:t xml:space="preserve"> </w:t>
      </w:r>
      <w:r w:rsidRPr="00703D2A">
        <w:t>A</w:t>
      </w:r>
      <w:r w:rsidRPr="00703D2A">
        <w:rPr>
          <w:rFonts w:eastAsia="Times New Roman" w:cs="Arial"/>
        </w:rPr>
        <w:t>vailable at</w:t>
      </w:r>
      <w:r w:rsidRPr="00703D2A">
        <w:rPr>
          <w:rFonts w:eastAsia="Times New Roman" w:cs="Arial"/>
          <w:color w:val="1F497D"/>
        </w:rPr>
        <w:t xml:space="preserve"> </w:t>
      </w:r>
      <w:hyperlink r:id="rId1" w:tooltip="https://www.gov.uk/government/publications/the-green-book-appraisal-and-evaluation-in-central-governent" w:history="1">
        <w:r w:rsidRPr="00703D2A">
          <w:rPr>
            <w:rFonts w:eastAsia="Times New Roman" w:cs="Arial"/>
            <w:color w:val="0000FF" w:themeColor="hyperlink"/>
            <w:u w:val="single"/>
          </w:rPr>
          <w:t>https://www.gov.uk/government/publications/the-green-book-appraisal-and-evaluation-in-central-governent</w:t>
        </w:r>
      </w:hyperlink>
    </w:p>
  </w:footnote>
  <w:footnote w:id="2">
    <w:p w:rsidR="002E1401" w:rsidRDefault="002E1401" w:rsidP="00D40378">
      <w:pPr>
        <w:pStyle w:val="FootnoteText"/>
      </w:pPr>
      <w:r>
        <w:rPr>
          <w:rStyle w:val="FootnoteReference"/>
        </w:rPr>
        <w:footnoteRef/>
      </w:r>
      <w:r>
        <w:t xml:space="preserve"> </w:t>
      </w:r>
      <w:r w:rsidRPr="00EC60D7">
        <w:t>A</w:t>
      </w:r>
      <w:r w:rsidRPr="00EC60D7">
        <w:rPr>
          <w:rFonts w:eastAsia="Times New Roman" w:cs="Arial"/>
        </w:rPr>
        <w:t xml:space="preserve">vailable at </w:t>
      </w:r>
      <w:hyperlink r:id="rId2" w:history="1">
        <w:r w:rsidRPr="00EC60D7">
          <w:rPr>
            <w:rStyle w:val="Hyperlink"/>
            <w:rFonts w:eastAsia="Times New Roman" w:cs="Arial"/>
          </w:rPr>
          <w:t>https://www.gov.uk/government/uploads/system/uploads/attachment_data/file/576427/161129_Appraisal_Guidance.pdf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1" w:rsidRDefault="002E1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EB5"/>
    <w:multiLevelType w:val="hybridMultilevel"/>
    <w:tmpl w:val="BF104F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41BBC"/>
    <w:multiLevelType w:val="hybridMultilevel"/>
    <w:tmpl w:val="405094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F0A3F"/>
    <w:multiLevelType w:val="hybridMultilevel"/>
    <w:tmpl w:val="636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76C6D"/>
    <w:multiLevelType w:val="hybridMultilevel"/>
    <w:tmpl w:val="B5F6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274524"/>
    <w:multiLevelType w:val="hybridMultilevel"/>
    <w:tmpl w:val="62AA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6445E8"/>
    <w:multiLevelType w:val="hybridMultilevel"/>
    <w:tmpl w:val="37F2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541BE5"/>
    <w:multiLevelType w:val="hybridMultilevel"/>
    <w:tmpl w:val="C1BCCCD8"/>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6B2CC6"/>
    <w:multiLevelType w:val="hybridMultilevel"/>
    <w:tmpl w:val="67D85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026C9"/>
    <w:multiLevelType w:val="hybridMultilevel"/>
    <w:tmpl w:val="6F48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1B5543"/>
    <w:multiLevelType w:val="hybridMultilevel"/>
    <w:tmpl w:val="92F68780"/>
    <w:lvl w:ilvl="0" w:tplc="08090001">
      <w:start w:val="1"/>
      <w:numFmt w:val="bullet"/>
      <w:lvlText w:val=""/>
      <w:lvlJc w:val="left"/>
      <w:pPr>
        <w:ind w:left="720" w:hanging="360"/>
      </w:pPr>
      <w:rPr>
        <w:rFonts w:ascii="Symbol" w:hAnsi="Symbol" w:hint="default"/>
      </w:rPr>
    </w:lvl>
    <w:lvl w:ilvl="1" w:tplc="7626327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C4059"/>
    <w:multiLevelType w:val="hybridMultilevel"/>
    <w:tmpl w:val="B75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F42688"/>
    <w:multiLevelType w:val="multilevel"/>
    <w:tmpl w:val="C29EB68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4CD0FEE"/>
    <w:multiLevelType w:val="hybridMultilevel"/>
    <w:tmpl w:val="5F5E2004"/>
    <w:lvl w:ilvl="0" w:tplc="6A4EB94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5265CB3"/>
    <w:multiLevelType w:val="hybridMultilevel"/>
    <w:tmpl w:val="036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A75AA"/>
    <w:multiLevelType w:val="hybridMultilevel"/>
    <w:tmpl w:val="84FE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34226A"/>
    <w:multiLevelType w:val="hybridMultilevel"/>
    <w:tmpl w:val="9EBE818C"/>
    <w:lvl w:ilvl="0" w:tplc="F0767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E5A4417"/>
    <w:multiLevelType w:val="hybridMultilevel"/>
    <w:tmpl w:val="E4A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084C37"/>
    <w:multiLevelType w:val="hybridMultilevel"/>
    <w:tmpl w:val="2A845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D7A78AC"/>
    <w:multiLevelType w:val="multilevel"/>
    <w:tmpl w:val="4FAE3726"/>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3"/>
  </w:num>
  <w:num w:numId="3">
    <w:abstractNumId w:val="0"/>
  </w:num>
  <w:num w:numId="4">
    <w:abstractNumId w:val="8"/>
  </w:num>
  <w:num w:numId="5">
    <w:abstractNumId w:val="5"/>
  </w:num>
  <w:num w:numId="6">
    <w:abstractNumId w:val="17"/>
  </w:num>
  <w:num w:numId="7">
    <w:abstractNumId w:val="6"/>
  </w:num>
  <w:num w:numId="8">
    <w:abstractNumId w:val="12"/>
  </w:num>
  <w:num w:numId="9">
    <w:abstractNumId w:val="15"/>
  </w:num>
  <w:num w:numId="10">
    <w:abstractNumId w:val="14"/>
  </w:num>
  <w:num w:numId="11">
    <w:abstractNumId w:val="16"/>
  </w:num>
  <w:num w:numId="12">
    <w:abstractNumId w:val="13"/>
  </w:num>
  <w:num w:numId="13">
    <w:abstractNumId w:val="4"/>
  </w:num>
  <w:num w:numId="14">
    <w:abstractNumId w:val="2"/>
  </w:num>
  <w:num w:numId="15">
    <w:abstractNumId w:val="11"/>
  </w:num>
  <w:num w:numId="16">
    <w:abstractNumId w:val="18"/>
  </w:num>
  <w:num w:numId="17">
    <w:abstractNumId w:val="1"/>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C9"/>
    <w:rsid w:val="00000B37"/>
    <w:rsid w:val="0004575C"/>
    <w:rsid w:val="000470A3"/>
    <w:rsid w:val="000A4D7A"/>
    <w:rsid w:val="000F5596"/>
    <w:rsid w:val="001B40C9"/>
    <w:rsid w:val="001E3D54"/>
    <w:rsid w:val="00255B24"/>
    <w:rsid w:val="002745F9"/>
    <w:rsid w:val="00280038"/>
    <w:rsid w:val="00283F0F"/>
    <w:rsid w:val="002E1401"/>
    <w:rsid w:val="002F7402"/>
    <w:rsid w:val="0030700B"/>
    <w:rsid w:val="00315B5B"/>
    <w:rsid w:val="00386FEC"/>
    <w:rsid w:val="003B04F6"/>
    <w:rsid w:val="00411D2C"/>
    <w:rsid w:val="004A6D9E"/>
    <w:rsid w:val="00580B56"/>
    <w:rsid w:val="005A5694"/>
    <w:rsid w:val="006B1CAF"/>
    <w:rsid w:val="00716201"/>
    <w:rsid w:val="00730C08"/>
    <w:rsid w:val="00823778"/>
    <w:rsid w:val="008901AE"/>
    <w:rsid w:val="00894EE3"/>
    <w:rsid w:val="008A2E2E"/>
    <w:rsid w:val="008C215F"/>
    <w:rsid w:val="008F50D0"/>
    <w:rsid w:val="00964ADB"/>
    <w:rsid w:val="00975D6E"/>
    <w:rsid w:val="009E453E"/>
    <w:rsid w:val="00A34BB7"/>
    <w:rsid w:val="00A70A9C"/>
    <w:rsid w:val="00AD25CD"/>
    <w:rsid w:val="00B0664F"/>
    <w:rsid w:val="00B668A8"/>
    <w:rsid w:val="00B90D38"/>
    <w:rsid w:val="00BA78BA"/>
    <w:rsid w:val="00BD2788"/>
    <w:rsid w:val="00C3058E"/>
    <w:rsid w:val="00CA6B18"/>
    <w:rsid w:val="00CC30F3"/>
    <w:rsid w:val="00CC4448"/>
    <w:rsid w:val="00CD776A"/>
    <w:rsid w:val="00D11B3E"/>
    <w:rsid w:val="00D30397"/>
    <w:rsid w:val="00D34256"/>
    <w:rsid w:val="00D40378"/>
    <w:rsid w:val="00D94541"/>
    <w:rsid w:val="00DA21CA"/>
    <w:rsid w:val="00EA6945"/>
    <w:rsid w:val="00EC34F3"/>
    <w:rsid w:val="00FD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448"/>
    <w:pPr>
      <w:ind w:left="720"/>
      <w:contextualSpacing/>
    </w:pPr>
  </w:style>
  <w:style w:type="paragraph" w:styleId="BalloonText">
    <w:name w:val="Balloon Text"/>
    <w:basedOn w:val="Normal"/>
    <w:link w:val="BalloonTextChar"/>
    <w:uiPriority w:val="99"/>
    <w:semiHidden/>
    <w:unhideWhenUsed/>
    <w:rsid w:val="00A34BB7"/>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rsid w:val="00A34BB7"/>
    <w:rPr>
      <w:rFonts w:cs="Arial"/>
      <w:sz w:val="16"/>
      <w:szCs w:val="16"/>
    </w:rPr>
  </w:style>
  <w:style w:type="character" w:styleId="Hyperlink">
    <w:name w:val="Hyperlink"/>
    <w:rsid w:val="00280038"/>
    <w:rPr>
      <w:color w:val="0000FF"/>
      <w:u w:val="single"/>
    </w:rPr>
  </w:style>
  <w:style w:type="paragraph" w:styleId="Header">
    <w:name w:val="header"/>
    <w:basedOn w:val="Normal"/>
    <w:link w:val="Head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E453E"/>
    <w:rPr>
      <w:rFonts w:ascii="Times New Roman" w:eastAsia="Times New Roman" w:hAnsi="Times New Roman" w:cs="Times New Roman"/>
      <w:sz w:val="24"/>
      <w:szCs w:val="24"/>
      <w:lang w:eastAsia="en-GB"/>
    </w:rPr>
  </w:style>
  <w:style w:type="paragraph" w:customStyle="1" w:styleId="Annex">
    <w:name w:val="Annex"/>
    <w:basedOn w:val="BodyText"/>
    <w:next w:val="Subtitle"/>
    <w:rsid w:val="009E453E"/>
    <w:pPr>
      <w:pageBreakBefore/>
      <w:spacing w:before="4000" w:after="240" w:line="240" w:lineRule="auto"/>
      <w:ind w:left="3402"/>
    </w:pPr>
    <w:rPr>
      <w:rFonts w:eastAsia="Times New Roman" w:cs="Times New Roman"/>
      <w:b/>
      <w:sz w:val="40"/>
      <w:szCs w:val="40"/>
      <w:lang w:eastAsia="en-GB"/>
    </w:rPr>
  </w:style>
  <w:style w:type="paragraph" w:styleId="Subtitle">
    <w:name w:val="Subtitle"/>
    <w:basedOn w:val="Normal"/>
    <w:link w:val="SubtitleChar"/>
    <w:qFormat/>
    <w:rsid w:val="009E453E"/>
    <w:pPr>
      <w:spacing w:after="60" w:line="240" w:lineRule="auto"/>
      <w:jc w:val="center"/>
      <w:outlineLvl w:val="1"/>
    </w:pPr>
    <w:rPr>
      <w:rFonts w:eastAsia="Times New Roman" w:cs="Arial"/>
      <w:sz w:val="24"/>
      <w:szCs w:val="24"/>
      <w:lang w:eastAsia="en-GB"/>
    </w:rPr>
  </w:style>
  <w:style w:type="character" w:customStyle="1" w:styleId="SubtitleChar">
    <w:name w:val="Subtitle Char"/>
    <w:basedOn w:val="DefaultParagraphFont"/>
    <w:link w:val="Subtitle"/>
    <w:rsid w:val="009E453E"/>
    <w:rPr>
      <w:rFonts w:eastAsia="Times New Roman" w:cs="Arial"/>
      <w:sz w:val="24"/>
      <w:szCs w:val="24"/>
      <w:lang w:eastAsia="en-GB"/>
    </w:rPr>
  </w:style>
  <w:style w:type="paragraph" w:styleId="Footer">
    <w:name w:val="footer"/>
    <w:basedOn w:val="Normal"/>
    <w:link w:val="FooterChar"/>
    <w:rsid w:val="009E453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9E453E"/>
    <w:rPr>
      <w:rFonts w:ascii="Times New Roman" w:eastAsia="Times New Roman" w:hAnsi="Times New Roman" w:cs="Times New Roman"/>
      <w:sz w:val="24"/>
      <w:szCs w:val="24"/>
      <w:lang w:eastAsia="en-GB"/>
    </w:rPr>
  </w:style>
  <w:style w:type="character" w:styleId="PageNumber">
    <w:name w:val="page number"/>
    <w:basedOn w:val="DefaultParagraphFont"/>
    <w:rsid w:val="009E453E"/>
  </w:style>
  <w:style w:type="paragraph" w:styleId="BodyText">
    <w:name w:val="Body Text"/>
    <w:basedOn w:val="Normal"/>
    <w:link w:val="BodyTextChar"/>
    <w:uiPriority w:val="99"/>
    <w:semiHidden/>
    <w:unhideWhenUsed/>
    <w:rsid w:val="009E453E"/>
    <w:pPr>
      <w:spacing w:after="120"/>
    </w:pPr>
  </w:style>
  <w:style w:type="character" w:customStyle="1" w:styleId="BodyTextChar">
    <w:name w:val="Body Text Char"/>
    <w:basedOn w:val="DefaultParagraphFont"/>
    <w:link w:val="BodyText"/>
    <w:uiPriority w:val="99"/>
    <w:semiHidden/>
    <w:rsid w:val="009E453E"/>
  </w:style>
  <w:style w:type="paragraph" w:styleId="NoSpacing">
    <w:name w:val="No Spacing"/>
    <w:uiPriority w:val="1"/>
    <w:qFormat/>
    <w:rsid w:val="008C215F"/>
    <w:pPr>
      <w:spacing w:after="0" w:line="240" w:lineRule="auto"/>
    </w:pPr>
  </w:style>
  <w:style w:type="paragraph" w:styleId="FootnoteText">
    <w:name w:val="footnote text"/>
    <w:basedOn w:val="Normal"/>
    <w:link w:val="FootnoteTextChar"/>
    <w:uiPriority w:val="99"/>
    <w:semiHidden/>
    <w:unhideWhenUsed/>
    <w:rsid w:val="00D40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378"/>
    <w:rPr>
      <w:sz w:val="20"/>
      <w:szCs w:val="20"/>
    </w:rPr>
  </w:style>
  <w:style w:type="character" w:styleId="FootnoteReference">
    <w:name w:val="footnote reference"/>
    <w:basedOn w:val="DefaultParagraphFont"/>
    <w:uiPriority w:val="99"/>
    <w:semiHidden/>
    <w:unhideWhenUsed/>
    <w:rsid w:val="00D40378"/>
    <w:rPr>
      <w:vertAlign w:val="superscript"/>
    </w:rPr>
  </w:style>
  <w:style w:type="character" w:styleId="CommentReference">
    <w:name w:val="annotation reference"/>
    <w:basedOn w:val="DefaultParagraphFont"/>
    <w:uiPriority w:val="99"/>
    <w:semiHidden/>
    <w:unhideWhenUsed/>
    <w:rsid w:val="00D40378"/>
    <w:rPr>
      <w:sz w:val="16"/>
      <w:szCs w:val="16"/>
    </w:rPr>
  </w:style>
  <w:style w:type="paragraph" w:styleId="CommentText">
    <w:name w:val="annotation text"/>
    <w:basedOn w:val="Normal"/>
    <w:link w:val="CommentTextChar"/>
    <w:uiPriority w:val="99"/>
    <w:semiHidden/>
    <w:unhideWhenUsed/>
    <w:rsid w:val="00D40378"/>
    <w:pPr>
      <w:spacing w:line="240" w:lineRule="auto"/>
    </w:pPr>
    <w:rPr>
      <w:sz w:val="20"/>
      <w:szCs w:val="20"/>
    </w:rPr>
  </w:style>
  <w:style w:type="character" w:customStyle="1" w:styleId="CommentTextChar">
    <w:name w:val="Comment Text Char"/>
    <w:basedOn w:val="DefaultParagraphFont"/>
    <w:link w:val="CommentText"/>
    <w:uiPriority w:val="99"/>
    <w:semiHidden/>
    <w:rsid w:val="00D40378"/>
    <w:rPr>
      <w:sz w:val="20"/>
      <w:szCs w:val="20"/>
    </w:rPr>
  </w:style>
  <w:style w:type="paragraph" w:styleId="CommentSubject">
    <w:name w:val="annotation subject"/>
    <w:basedOn w:val="CommentText"/>
    <w:next w:val="CommentText"/>
    <w:link w:val="CommentSubjectChar"/>
    <w:uiPriority w:val="99"/>
    <w:semiHidden/>
    <w:unhideWhenUsed/>
    <w:rsid w:val="00D40378"/>
    <w:rPr>
      <w:b/>
      <w:bCs/>
    </w:rPr>
  </w:style>
  <w:style w:type="character" w:customStyle="1" w:styleId="CommentSubjectChar">
    <w:name w:val="Comment Subject Char"/>
    <w:basedOn w:val="CommentTextChar"/>
    <w:link w:val="CommentSubject"/>
    <w:uiPriority w:val="99"/>
    <w:semiHidden/>
    <w:rsid w:val="00D40378"/>
    <w:rPr>
      <w:b/>
      <w:bCs/>
      <w:sz w:val="20"/>
      <w:szCs w:val="20"/>
    </w:rPr>
  </w:style>
  <w:style w:type="paragraph" w:styleId="Revision">
    <w:name w:val="Revision"/>
    <w:hidden/>
    <w:uiPriority w:val="99"/>
    <w:semiHidden/>
    <w:rsid w:val="00D40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0217b%20TA%20Feasability%20consultan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contracts-find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76427/161129_Appraisal_Guidance.pdf" TargetMode="External"/><Relationship Id="rId5" Type="http://schemas.openxmlformats.org/officeDocument/2006/relationships/settings" Target="settings.xml"/><Relationship Id="rId15" Type="http://schemas.openxmlformats.org/officeDocument/2006/relationships/hyperlink" Target="mailto:tenders@londoncouncils.gov.uk?subject=R0217b%20Tender%20submission-%20TA%20Feasability%20consultancy" TargetMode="External"/><Relationship Id="rId10" Type="http://schemas.openxmlformats.org/officeDocument/2006/relationships/hyperlink" Target="https://www.gov.uk/government/publications/the-green-book-appraisal-and-evaluation-in-central-governent"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orcha.Rooney@londoncouncils.gov.uk?subject=R0217b%20Quer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76427/161129_Appraisal_Guidance.pdf" TargetMode="External"/><Relationship Id="rId1" Type="http://schemas.openxmlformats.org/officeDocument/2006/relationships/hyperlink" Target="https://www.gov.uk/government/publications/the-green-book-appraisal-and-evaluation-in-central-govern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C176-87E5-49AE-A820-01934B94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1759F06A</Template>
  <TotalTime>0</TotalTime>
  <Pages>10</Pages>
  <Words>2481</Words>
  <Characters>14143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Sorabji</dc:creator>
  <cp:lastModifiedBy>Sorcha Rooney</cp:lastModifiedBy>
  <cp:revision>2</cp:revision>
  <cp:lastPrinted>2016-11-18T11:27:00Z</cp:lastPrinted>
  <dcterms:created xsi:type="dcterms:W3CDTF">2017-02-17T16:40:00Z</dcterms:created>
  <dcterms:modified xsi:type="dcterms:W3CDTF">2017-02-17T16:40:00Z</dcterms:modified>
</cp:coreProperties>
</file>