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420BC" w:rsidRPr="00091B0C" w:rsidRDefault="00E420BC" w:rsidP="00E420BC">
      <w:pPr>
        <w:pStyle w:val="GPSSchTitleandNumber"/>
        <w:jc w:val="left"/>
        <w:rPr>
          <w:rFonts w:ascii="Arial" w:hAnsi="Arial" w:cs="Arial"/>
          <w:caps w:val="0"/>
          <w:sz w:val="36"/>
          <w:szCs w:val="36"/>
        </w:rPr>
      </w:pPr>
    </w:p>
    <w:p w14:paraId="79928E61"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32E1BFAF" w14:textId="77777777" w:rsidR="00C57668" w:rsidRPr="00C57668" w:rsidRDefault="00C57668" w:rsidP="00C57668">
      <w:pPr>
        <w:spacing w:after="160" w:line="259" w:lineRule="auto"/>
        <w:ind w:left="720"/>
        <w:rPr>
          <w:rFonts w:ascii="Arial" w:hAnsi="Arial" w:cs="Arial"/>
          <w:b/>
          <w:sz w:val="24"/>
          <w:szCs w:val="24"/>
        </w:rPr>
      </w:pPr>
      <w:r w:rsidRPr="00C57668">
        <w:rPr>
          <w:rFonts w:ascii="Arial" w:hAnsi="Arial" w:cs="Arial"/>
          <w:b/>
          <w:sz w:val="24"/>
          <w:szCs w:val="24"/>
        </w:rPr>
        <w:t>Definitions</w:t>
      </w:r>
    </w:p>
    <w:p w14:paraId="42ADC68D" w14:textId="77777777" w:rsidR="00C57668" w:rsidRPr="00C57668" w:rsidRDefault="00C57668" w:rsidP="00C57668">
      <w:pPr>
        <w:tabs>
          <w:tab w:val="num" w:pos="1440"/>
        </w:tabs>
        <w:spacing w:after="160" w:line="259" w:lineRule="auto"/>
        <w:ind w:left="720"/>
        <w:rPr>
          <w:rFonts w:ascii="Arial" w:hAnsi="Arial" w:cs="Arial"/>
          <w:sz w:val="24"/>
          <w:szCs w:val="24"/>
        </w:rPr>
      </w:pPr>
      <w:r w:rsidRPr="00C57668">
        <w:rPr>
          <w:rFonts w:ascii="Arial" w:hAnsi="Arial" w:cs="Arial"/>
          <w:sz w:val="24"/>
          <w:szCs w:val="24"/>
        </w:rPr>
        <w:t>In this Part Call-Off Schedule 1</w:t>
      </w:r>
      <w:r>
        <w:rPr>
          <w:rFonts w:ascii="Arial" w:hAnsi="Arial" w:cs="Arial"/>
          <w:sz w:val="24"/>
          <w:szCs w:val="24"/>
        </w:rPr>
        <w:t>4</w:t>
      </w:r>
      <w:r w:rsidRPr="00C57668">
        <w:rPr>
          <w:rFonts w:ascii="Arial" w:hAnsi="Arial" w:cs="Arial"/>
          <w:sz w:val="24"/>
          <w:szCs w:val="24"/>
        </w:rPr>
        <w:t>, the following words shall have the following meanings and they shall supplement Joint Schedule 1 (Definitions):</w:t>
      </w:r>
    </w:p>
    <w:p w14:paraId="0A37501D" w14:textId="77777777" w:rsidR="00C57668" w:rsidRPr="00C57668" w:rsidRDefault="00C57668" w:rsidP="00C57668">
      <w:pPr>
        <w:spacing w:after="160" w:line="259" w:lineRule="auto"/>
        <w:ind w:left="720"/>
        <w:rPr>
          <w:rFonts w:ascii="Arial" w:hAnsi="Arial" w:cs="Arial"/>
          <w:sz w:val="24"/>
          <w:szCs w:val="24"/>
        </w:rPr>
      </w:pPr>
      <w:r w:rsidRPr="00C57668">
        <w:rPr>
          <w:rFonts w:ascii="Arial" w:hAnsi="Arial" w:cs="Arial"/>
          <w:b/>
          <w:sz w:val="24"/>
          <w:szCs w:val="24"/>
        </w:rPr>
        <w:tab/>
      </w:r>
      <w:r w:rsidRPr="00C57668">
        <w:rPr>
          <w:rFonts w:ascii="Arial" w:hAnsi="Arial" w:cs="Arial"/>
          <w:b/>
          <w:sz w:val="24"/>
          <w:szCs w:val="24"/>
        </w:rPr>
        <w:tab/>
      </w:r>
    </w:p>
    <w:tbl>
      <w:tblPr>
        <w:tblW w:w="8363" w:type="dxa"/>
        <w:tblInd w:w="959" w:type="dxa"/>
        <w:tblLayout w:type="fixed"/>
        <w:tblLook w:val="04A0" w:firstRow="1" w:lastRow="0" w:firstColumn="1" w:lastColumn="0" w:noHBand="0" w:noVBand="1"/>
      </w:tblPr>
      <w:tblGrid>
        <w:gridCol w:w="2410"/>
        <w:gridCol w:w="5953"/>
      </w:tblGrid>
      <w:tr w:rsidR="00C97680" w:rsidRPr="00C57668" w14:paraId="113B08EB" w14:textId="77777777" w:rsidTr="005350F7">
        <w:tc>
          <w:tcPr>
            <w:tcW w:w="2410" w:type="dxa"/>
            <w:shd w:val="clear" w:color="auto" w:fill="auto"/>
          </w:tcPr>
          <w:p w14:paraId="2DBC87C9" w14:textId="77777777" w:rsidR="00C97680" w:rsidRPr="00C97680" w:rsidRDefault="00C97680"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hAnsi="Arial" w:cs="Arial"/>
                <w:sz w:val="24"/>
                <w:szCs w:val="24"/>
              </w:rPr>
              <w:t>“</w:t>
            </w:r>
            <w:r w:rsidRPr="00C57668">
              <w:rPr>
                <w:rFonts w:ascii="Arial" w:hAnsi="Arial" w:cs="Arial"/>
                <w:b/>
                <w:sz w:val="24"/>
                <w:szCs w:val="24"/>
              </w:rPr>
              <w:t>Critical Service Failure</w:t>
            </w:r>
            <w:r>
              <w:rPr>
                <w:rFonts w:ascii="Arial" w:hAnsi="Arial" w:cs="Arial"/>
                <w:b/>
                <w:sz w:val="24"/>
                <w:szCs w:val="24"/>
              </w:rPr>
              <w:t>”</w:t>
            </w:r>
          </w:p>
        </w:tc>
        <w:tc>
          <w:tcPr>
            <w:tcW w:w="5953" w:type="dxa"/>
            <w:shd w:val="clear" w:color="auto" w:fill="auto"/>
          </w:tcPr>
          <w:p w14:paraId="4EEBF545" w14:textId="77777777" w:rsidR="00C97680" w:rsidRPr="00C97680" w:rsidRDefault="00C97680"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Pr>
                <w:rFonts w:ascii="Arial" w:eastAsia="Times New Roman" w:hAnsi="Arial" w:cs="Arial"/>
                <w:sz w:val="24"/>
                <w:szCs w:val="24"/>
              </w:rPr>
              <w:t>Means a failure to meet a Service Level Threshold in respect of a Service Level</w:t>
            </w:r>
          </w:p>
        </w:tc>
      </w:tr>
      <w:tr w:rsidR="00C97680" w:rsidRPr="00C57668" w14:paraId="31AD437A" w14:textId="77777777" w:rsidTr="005350F7">
        <w:tc>
          <w:tcPr>
            <w:tcW w:w="2410" w:type="dxa"/>
            <w:shd w:val="clear" w:color="auto" w:fill="auto"/>
          </w:tcPr>
          <w:p w14:paraId="29D2B7F5" w14:textId="77777777" w:rsidR="00C97680" w:rsidRPr="00C97680" w:rsidRDefault="00C97680"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97680">
              <w:rPr>
                <w:rFonts w:ascii="Arial" w:eastAsia="Times New Roman" w:hAnsi="Arial" w:cs="Arial"/>
                <w:b/>
                <w:sz w:val="24"/>
                <w:szCs w:val="24"/>
              </w:rPr>
              <w:t>Performance Monitoring Report</w:t>
            </w:r>
          </w:p>
        </w:tc>
        <w:tc>
          <w:tcPr>
            <w:tcW w:w="5953" w:type="dxa"/>
            <w:shd w:val="clear" w:color="auto" w:fill="auto"/>
          </w:tcPr>
          <w:p w14:paraId="5DB80D83" w14:textId="77777777" w:rsidR="00C97680" w:rsidRPr="00C97680" w:rsidRDefault="00C97680"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97680">
              <w:rPr>
                <w:rFonts w:ascii="Arial" w:eastAsia="Times New Roman" w:hAnsi="Arial" w:cs="Arial"/>
                <w:sz w:val="24"/>
                <w:szCs w:val="24"/>
              </w:rPr>
              <w:t>Means a Performance Monitoring Report as specified by Section 3 of this Call-Off Schedule 14</w:t>
            </w:r>
          </w:p>
        </w:tc>
      </w:tr>
      <w:tr w:rsidR="0039724D" w:rsidRPr="00C57668" w14:paraId="3A73958D" w14:textId="77777777" w:rsidTr="005350F7">
        <w:tc>
          <w:tcPr>
            <w:tcW w:w="2410" w:type="dxa"/>
            <w:shd w:val="clear" w:color="auto" w:fill="auto"/>
          </w:tcPr>
          <w:p w14:paraId="38B894BE" w14:textId="77777777" w:rsidR="0039724D" w:rsidRPr="00C57668" w:rsidRDefault="0039724D"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highlight w:val="yellow"/>
              </w:rPr>
            </w:pPr>
            <w:r w:rsidRPr="00C57668">
              <w:rPr>
                <w:rFonts w:ascii="Arial" w:eastAsia="Times New Roman" w:hAnsi="Arial" w:cs="Arial"/>
                <w:b/>
                <w:sz w:val="24"/>
                <w:szCs w:val="24"/>
              </w:rPr>
              <w:t>"Service Level Failure"</w:t>
            </w:r>
          </w:p>
        </w:tc>
        <w:tc>
          <w:tcPr>
            <w:tcW w:w="5953" w:type="dxa"/>
            <w:shd w:val="clear" w:color="auto" w:fill="auto"/>
          </w:tcPr>
          <w:p w14:paraId="7E79908D" w14:textId="77777777" w:rsidR="0039724D" w:rsidRPr="00C57668" w:rsidRDefault="0039724D"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highlight w:val="yellow"/>
              </w:rPr>
            </w:pPr>
            <w:r w:rsidRPr="00C57668">
              <w:rPr>
                <w:rFonts w:ascii="Arial" w:eastAsia="Times New Roman" w:hAnsi="Arial" w:cs="Arial"/>
                <w:sz w:val="24"/>
                <w:szCs w:val="24"/>
              </w:rPr>
              <w:t>means a failure to meet the Service Level Performance Measure in respect of a Service Level;</w:t>
            </w:r>
          </w:p>
        </w:tc>
      </w:tr>
      <w:tr w:rsidR="0039724D" w:rsidRPr="00C57668" w14:paraId="15ACE5C6" w14:textId="77777777" w:rsidTr="005350F7">
        <w:trPr>
          <w:trHeight w:val="359"/>
        </w:trPr>
        <w:tc>
          <w:tcPr>
            <w:tcW w:w="2410" w:type="dxa"/>
            <w:shd w:val="clear" w:color="auto" w:fill="auto"/>
          </w:tcPr>
          <w:p w14:paraId="3813D2A4" w14:textId="77777777" w:rsidR="0039724D" w:rsidRPr="00C57668" w:rsidRDefault="0039724D"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highlight w:val="yellow"/>
              </w:rPr>
            </w:pPr>
            <w:r w:rsidRPr="00C57668">
              <w:rPr>
                <w:rFonts w:ascii="Arial" w:eastAsia="Times New Roman" w:hAnsi="Arial" w:cs="Arial"/>
                <w:b/>
                <w:sz w:val="24"/>
                <w:szCs w:val="24"/>
              </w:rPr>
              <w:t>"Service Level Performance Measure"</w:t>
            </w:r>
          </w:p>
        </w:tc>
        <w:tc>
          <w:tcPr>
            <w:tcW w:w="5953" w:type="dxa"/>
            <w:shd w:val="clear" w:color="auto" w:fill="auto"/>
          </w:tcPr>
          <w:p w14:paraId="7222B70C" w14:textId="77777777" w:rsidR="0039724D" w:rsidRPr="00C57668" w:rsidRDefault="0039724D"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highlight w:val="yellow"/>
              </w:rPr>
            </w:pPr>
            <w:r w:rsidRPr="00C57668">
              <w:rPr>
                <w:rFonts w:ascii="Arial" w:eastAsia="Times New Roman" w:hAnsi="Arial" w:cs="Arial"/>
                <w:sz w:val="24"/>
                <w:szCs w:val="24"/>
              </w:rPr>
              <w:t>shall be as set out against the relevant Service Level in the Annex to Section 2 of this Call-Off Schedule 1</w:t>
            </w:r>
            <w:r>
              <w:rPr>
                <w:rFonts w:ascii="Arial" w:eastAsia="Times New Roman" w:hAnsi="Arial" w:cs="Arial"/>
                <w:sz w:val="24"/>
                <w:szCs w:val="24"/>
              </w:rPr>
              <w:t>4</w:t>
            </w:r>
            <w:r w:rsidRPr="00C57668">
              <w:rPr>
                <w:rFonts w:ascii="Arial" w:eastAsia="Times New Roman" w:hAnsi="Arial" w:cs="Arial"/>
                <w:sz w:val="24"/>
                <w:szCs w:val="24"/>
              </w:rPr>
              <w:t>; and</w:t>
            </w:r>
          </w:p>
        </w:tc>
      </w:tr>
      <w:tr w:rsidR="0039724D" w:rsidRPr="00C57668" w14:paraId="48D9DBD3" w14:textId="77777777" w:rsidTr="005350F7">
        <w:tc>
          <w:tcPr>
            <w:tcW w:w="2410" w:type="dxa"/>
            <w:shd w:val="clear" w:color="auto" w:fill="auto"/>
          </w:tcPr>
          <w:p w14:paraId="1E9780DF" w14:textId="77777777" w:rsidR="0039724D" w:rsidRPr="00C57668" w:rsidRDefault="0039724D"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eastAsia="Times New Roman" w:hAnsi="Arial" w:cs="Arial"/>
                <w:b/>
                <w:sz w:val="24"/>
                <w:szCs w:val="24"/>
              </w:rPr>
              <w:t>"Service Level Threshold"</w:t>
            </w:r>
          </w:p>
        </w:tc>
        <w:tc>
          <w:tcPr>
            <w:tcW w:w="5953" w:type="dxa"/>
            <w:shd w:val="clear" w:color="auto" w:fill="auto"/>
          </w:tcPr>
          <w:p w14:paraId="385E8713" w14:textId="77777777" w:rsidR="0039724D" w:rsidRPr="00C57668" w:rsidRDefault="0039724D" w:rsidP="00C57668">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57668">
              <w:rPr>
                <w:rFonts w:ascii="Arial" w:eastAsia="Times New Roman" w:hAnsi="Arial" w:cs="Arial"/>
                <w:sz w:val="24"/>
                <w:szCs w:val="24"/>
              </w:rPr>
              <w:t>shall be as set out against the relevant Service Level in the Annex to Section 2 to this Call-Off Schedule 1</w:t>
            </w:r>
            <w:r>
              <w:rPr>
                <w:rFonts w:ascii="Arial" w:eastAsia="Times New Roman" w:hAnsi="Arial" w:cs="Arial"/>
                <w:sz w:val="24"/>
                <w:szCs w:val="24"/>
              </w:rPr>
              <w:t>4</w:t>
            </w:r>
          </w:p>
        </w:tc>
      </w:tr>
      <w:tr w:rsidR="0039724D" w:rsidRPr="00C57668" w14:paraId="5DAB6C7B" w14:textId="77777777" w:rsidTr="005350F7">
        <w:tc>
          <w:tcPr>
            <w:tcW w:w="2410" w:type="dxa"/>
            <w:shd w:val="clear" w:color="auto" w:fill="auto"/>
          </w:tcPr>
          <w:p w14:paraId="02EB378F" w14:textId="77777777" w:rsidR="0039724D" w:rsidRPr="00C57668" w:rsidRDefault="0039724D"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p>
        </w:tc>
        <w:tc>
          <w:tcPr>
            <w:tcW w:w="5953" w:type="dxa"/>
            <w:shd w:val="clear" w:color="auto" w:fill="auto"/>
          </w:tcPr>
          <w:p w14:paraId="6A05A809" w14:textId="77777777" w:rsidR="0039724D" w:rsidRPr="00C57668" w:rsidRDefault="0039724D" w:rsidP="00427C6C">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p>
        </w:tc>
      </w:tr>
    </w:tbl>
    <w:p w14:paraId="66FD6347" w14:textId="77777777" w:rsidR="00C57668" w:rsidRPr="00C57668" w:rsidRDefault="00C57668" w:rsidP="00C57668">
      <w:pPr>
        <w:numPr>
          <w:ilvl w:val="0"/>
          <w:numId w:val="1"/>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w:eastAsia="STZhongsong" w:hAnsi="Arial" w:cs="Arial"/>
          <w:b/>
          <w:caps/>
          <w:sz w:val="24"/>
          <w:szCs w:val="24"/>
          <w:lang w:eastAsia="zh-CN"/>
        </w:rPr>
      </w:pPr>
      <w:r w:rsidRPr="00C57668">
        <w:rPr>
          <w:rFonts w:ascii="Arial Bold" w:eastAsia="STZhongsong" w:hAnsi="Arial Bold" w:cs="Arial"/>
          <w:b/>
          <w:sz w:val="24"/>
          <w:szCs w:val="24"/>
          <w:lang w:eastAsia="zh-CN"/>
        </w:rPr>
        <w:t xml:space="preserve">What happens if you don’t meet the Service </w:t>
      </w:r>
      <w:proofErr w:type="gramStart"/>
      <w:r w:rsidRPr="00C57668">
        <w:rPr>
          <w:rFonts w:ascii="Arial Bold" w:eastAsia="STZhongsong" w:hAnsi="Arial Bold" w:cs="Arial"/>
          <w:b/>
          <w:sz w:val="24"/>
          <w:szCs w:val="24"/>
          <w:lang w:eastAsia="zh-CN"/>
        </w:rPr>
        <w:t>Levels</w:t>
      </w:r>
      <w:proofErr w:type="gramEnd"/>
    </w:p>
    <w:p w14:paraId="242D3507"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The Supplier shall </w:t>
      </w:r>
      <w:proofErr w:type="gramStart"/>
      <w:r w:rsidRPr="00C57668">
        <w:rPr>
          <w:rFonts w:ascii="Arial" w:eastAsia="Times New Roman" w:hAnsi="Arial" w:cs="Arial"/>
          <w:sz w:val="24"/>
          <w:szCs w:val="24"/>
          <w:lang w:eastAsia="zh-CN"/>
        </w:rPr>
        <w:t>at all times</w:t>
      </w:r>
      <w:proofErr w:type="gramEnd"/>
      <w:r w:rsidRPr="00C57668">
        <w:rPr>
          <w:rFonts w:ascii="Arial" w:eastAsia="Times New Roman" w:hAnsi="Arial" w:cs="Arial"/>
          <w:sz w:val="24"/>
          <w:szCs w:val="24"/>
          <w:lang w:eastAsia="zh-CN"/>
        </w:rPr>
        <w:t xml:space="preserve"> provide the Deliverables to meet the Service Level Performance Measure for each Service Level.</w:t>
      </w:r>
    </w:p>
    <w:p w14:paraId="0D17263C"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acknowledges that any Service Level Failure shall entitle the Buyer to the rights set out in Section 2 to this Schedule 1</w:t>
      </w:r>
      <w:r w:rsidR="00427C6C">
        <w:rPr>
          <w:rFonts w:ascii="Arial" w:eastAsia="Times New Roman" w:hAnsi="Arial" w:cs="Arial"/>
          <w:sz w:val="24"/>
          <w:szCs w:val="24"/>
          <w:lang w:eastAsia="zh-CN"/>
        </w:rPr>
        <w:t>4</w:t>
      </w:r>
      <w:r w:rsidRPr="00C57668">
        <w:rPr>
          <w:rFonts w:ascii="Arial" w:eastAsia="Times New Roman" w:hAnsi="Arial" w:cs="Arial"/>
          <w:sz w:val="24"/>
          <w:szCs w:val="24"/>
          <w:lang w:eastAsia="zh-CN"/>
        </w:rPr>
        <w:t xml:space="preserve"> </w:t>
      </w:r>
    </w:p>
    <w:p w14:paraId="1FAB25A7"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shall send Performance Monitoring Reports to the Buyer in accordance with the provisions of Section 3 (Performance Monitoring) of this Call-Off Schedule 1</w:t>
      </w:r>
      <w:r w:rsidR="00427C6C">
        <w:rPr>
          <w:rFonts w:ascii="Arial" w:eastAsia="Times New Roman" w:hAnsi="Arial" w:cs="Arial"/>
          <w:sz w:val="24"/>
          <w:szCs w:val="24"/>
          <w:lang w:eastAsia="zh-CN"/>
        </w:rPr>
        <w:t>4</w:t>
      </w:r>
      <w:r w:rsidRPr="00C57668">
        <w:rPr>
          <w:rFonts w:ascii="Arial" w:eastAsia="Times New Roman" w:hAnsi="Arial" w:cs="Arial"/>
          <w:sz w:val="24"/>
          <w:szCs w:val="24"/>
          <w:lang w:eastAsia="zh-CN"/>
        </w:rPr>
        <w:t>.</w:t>
      </w:r>
    </w:p>
    <w:p w14:paraId="57E6AC9C" w14:textId="77777777" w:rsidR="00C57668" w:rsidRPr="00C57668" w:rsidRDefault="00C57668" w:rsidP="00C57668">
      <w:pPr>
        <w:numPr>
          <w:ilvl w:val="0"/>
          <w:numId w:val="1"/>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Bold" w:eastAsia="STZhongsong" w:hAnsi="Arial Bold" w:cs="Arial" w:hint="eastAsia"/>
          <w:b/>
          <w:sz w:val="24"/>
          <w:szCs w:val="24"/>
          <w:lang w:eastAsia="zh-CN"/>
        </w:rPr>
      </w:pPr>
      <w:r w:rsidRPr="00C57668">
        <w:rPr>
          <w:rFonts w:ascii="Arial Bold" w:eastAsia="STZhongsong" w:hAnsi="Arial Bold" w:cs="Arial"/>
          <w:b/>
          <w:sz w:val="24"/>
          <w:szCs w:val="24"/>
          <w:lang w:eastAsia="zh-CN"/>
        </w:rPr>
        <w:t>Critical Service Level Failure</w:t>
      </w:r>
    </w:p>
    <w:p w14:paraId="7170DAF3" w14:textId="77777777" w:rsidR="00C57668" w:rsidRPr="00C57668" w:rsidRDefault="00C57668" w:rsidP="00C57668">
      <w:pPr>
        <w:tabs>
          <w:tab w:val="left" w:pos="1134"/>
        </w:tabs>
        <w:adjustRightInd w:val="0"/>
        <w:spacing w:before="120" w:after="120" w:line="240" w:lineRule="auto"/>
        <w:rPr>
          <w:rFonts w:ascii="Arial" w:eastAsia="Times New Roman" w:hAnsi="Arial" w:cs="Arial"/>
          <w:sz w:val="24"/>
          <w:szCs w:val="24"/>
          <w:lang w:eastAsia="zh-CN"/>
        </w:rPr>
      </w:pPr>
      <w:r w:rsidRPr="00C57668">
        <w:rPr>
          <w:rFonts w:ascii="Arial" w:eastAsia="Times New Roman" w:hAnsi="Arial" w:cs="Arial"/>
          <w:sz w:val="24"/>
          <w:szCs w:val="24"/>
          <w:lang w:eastAsia="zh-CN"/>
        </w:rPr>
        <w:t>On the occurrence of a Critical Service Level Failure:</w:t>
      </w:r>
    </w:p>
    <w:p w14:paraId="68895A67"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Buyer shall be entitled to withhold and retain as compensation a sum equal to any Charges which would otherwise have been due to the Supplier in respect of that Service Period ("Compensation for Critical Service Level Failure"),</w:t>
      </w:r>
    </w:p>
    <w:p w14:paraId="12461FFC" w14:textId="77777777" w:rsidR="00C57668" w:rsidRPr="00C57668" w:rsidRDefault="00C57668" w:rsidP="00C57668">
      <w:pPr>
        <w:tabs>
          <w:tab w:val="left" w:pos="3402"/>
        </w:tabs>
        <w:overflowPunct w:val="0"/>
        <w:autoSpaceDE w:val="0"/>
        <w:autoSpaceDN w:val="0"/>
        <w:adjustRightInd w:val="0"/>
        <w:spacing w:after="220" w:line="240" w:lineRule="auto"/>
        <w:ind w:left="720"/>
        <w:textAlignment w:val="baseline"/>
        <w:rPr>
          <w:rFonts w:ascii="Arial" w:eastAsia="Times New Roman" w:hAnsi="Arial" w:cs="Arial"/>
          <w:sz w:val="24"/>
          <w:szCs w:val="24"/>
        </w:rPr>
      </w:pPr>
      <w:r w:rsidRPr="00C57668">
        <w:rPr>
          <w:rFonts w:ascii="Arial" w:eastAsia="Times New Roman" w:hAnsi="Arial" w:cs="Arial"/>
          <w:sz w:val="24"/>
          <w:szCs w:val="24"/>
        </w:rPr>
        <w:lastRenderedPageBreak/>
        <w:t>provided that the operation of this paragraph 2 shall be without prejudice to the right of the Buyer to terminate this Contract and/or to claim damages from the Supplier for material Default.</w:t>
      </w:r>
    </w:p>
    <w:p w14:paraId="3F0BBE06"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b/>
          <w:sz w:val="36"/>
          <w:szCs w:val="36"/>
        </w:rPr>
      </w:pPr>
      <w:r w:rsidRPr="00C57668">
        <w:rPr>
          <w:rFonts w:ascii="Arial" w:eastAsia="Times New Roman" w:hAnsi="Arial" w:cs="Arial"/>
          <w:b/>
          <w:sz w:val="36"/>
          <w:szCs w:val="36"/>
        </w:rPr>
        <w:br w:type="page"/>
      </w:r>
      <w:r w:rsidRPr="00C57668">
        <w:rPr>
          <w:rFonts w:ascii="Arial" w:eastAsia="Times New Roman" w:hAnsi="Arial" w:cs="Arial"/>
          <w:b/>
          <w:sz w:val="36"/>
          <w:szCs w:val="36"/>
        </w:rPr>
        <w:lastRenderedPageBreak/>
        <w:t xml:space="preserve">Section 2: Service Levels </w:t>
      </w:r>
    </w:p>
    <w:p w14:paraId="189C6207"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b/>
          <w:sz w:val="24"/>
          <w:szCs w:val="24"/>
        </w:rPr>
      </w:pPr>
      <w:r w:rsidRPr="00C57668">
        <w:rPr>
          <w:rFonts w:ascii="Arial" w:eastAsia="Times New Roman" w:hAnsi="Arial" w:cs="Arial"/>
          <w:b/>
          <w:sz w:val="24"/>
          <w:szCs w:val="24"/>
        </w:rPr>
        <w:t>1. Service Levels</w:t>
      </w:r>
    </w:p>
    <w:p w14:paraId="4134911E" w14:textId="77777777" w:rsidR="00C57668" w:rsidRPr="00C57668" w:rsidRDefault="00C57668" w:rsidP="00C57668">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lang w:eastAsia="zh-CN"/>
        </w:rPr>
      </w:pPr>
      <w:r w:rsidRPr="00C57668">
        <w:rPr>
          <w:rFonts w:ascii="Arial" w:eastAsia="Times New Roman" w:hAnsi="Arial" w:cs="Arial"/>
          <w:sz w:val="24"/>
          <w:lang w:eastAsia="zh-CN"/>
        </w:rPr>
        <w:t>If the level of performance of the Supplier is likely to or fails to meet any Service Level Performance Measure the Supplier shall immediately notify the Buyer in writing and the Buyer, in its absolute discretion and without limiting any other of its rights, may:</w:t>
      </w:r>
    </w:p>
    <w:p w14:paraId="67D47510"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1.1.1</w:t>
      </w:r>
      <w:r w:rsidRPr="00C57668">
        <w:rPr>
          <w:rFonts w:ascii="Arial" w:eastAsia="Times New Roman" w:hAnsi="Arial" w:cs="Arial"/>
          <w:sz w:val="24"/>
          <w:szCs w:val="24"/>
        </w:rPr>
        <w:tab/>
        <w:t xml:space="preserve">require the Supplier to immediately take all remedial action that is reasonable to mitigate the impact on the Buyer; </w:t>
      </w:r>
    </w:p>
    <w:p w14:paraId="4F5D5A73"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1.1.2</w:t>
      </w:r>
      <w:r w:rsidRPr="00C57668">
        <w:rPr>
          <w:rFonts w:ascii="Arial" w:eastAsia="Times New Roman" w:hAnsi="Arial" w:cs="Arial"/>
          <w:sz w:val="24"/>
          <w:szCs w:val="24"/>
        </w:rPr>
        <w:tab/>
        <w:t xml:space="preserve">instruct the Supplier to comply with the Rectification Plan Process; </w:t>
      </w:r>
    </w:p>
    <w:p w14:paraId="32F8B0E9" w14:textId="260D7DC8"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1.1.4</w:t>
      </w:r>
      <w:r w:rsidRPr="00C57668">
        <w:rPr>
          <w:rFonts w:ascii="Arial" w:eastAsia="Times New Roman" w:hAnsi="Arial" w:cs="Arial"/>
          <w:sz w:val="24"/>
          <w:szCs w:val="24"/>
        </w:rPr>
        <w:tab/>
        <w:t>if a Critical Service Level Failure has occurred, exercise its right to Compensation for Critical Service Level Failure (including the right to terminate for material Default</w:t>
      </w:r>
      <w:r w:rsidR="000E17A5">
        <w:rPr>
          <w:rFonts w:ascii="Arial" w:eastAsia="Times New Roman" w:hAnsi="Arial" w:cs="Arial"/>
          <w:sz w:val="24"/>
          <w:szCs w:val="24"/>
        </w:rPr>
        <w:t>, given that the Supplier has had 30 days to cure any material default</w:t>
      </w:r>
      <w:bookmarkStart w:id="0" w:name="_GoBack"/>
      <w:bookmarkEnd w:id="0"/>
      <w:r w:rsidRPr="00C57668">
        <w:rPr>
          <w:rFonts w:ascii="Arial" w:eastAsia="Times New Roman" w:hAnsi="Arial" w:cs="Arial"/>
          <w:sz w:val="24"/>
          <w:szCs w:val="24"/>
        </w:rPr>
        <w:t>).</w:t>
      </w:r>
    </w:p>
    <w:p w14:paraId="71C7C7F6" w14:textId="77777777" w:rsidR="00C57668" w:rsidRPr="00C57668" w:rsidRDefault="00C57668" w:rsidP="00C57668">
      <w:pPr>
        <w:keepNext/>
        <w:adjustRightInd w:val="0"/>
        <w:spacing w:after="240" w:line="240" w:lineRule="auto"/>
        <w:outlineLvl w:val="1"/>
        <w:rPr>
          <w:rFonts w:ascii="Arial Bold" w:eastAsia="STZhongsong" w:hAnsi="Arial Bold" w:cs="Arial" w:hint="eastAsia"/>
          <w:b/>
          <w:caps/>
          <w:sz w:val="24"/>
          <w:szCs w:val="24"/>
          <w:lang w:eastAsia="zh-CN"/>
        </w:rPr>
      </w:pPr>
      <w:r w:rsidRPr="00C57668">
        <w:rPr>
          <w:rFonts w:ascii="Arial" w:eastAsia="STZhongsong" w:hAnsi="Arial"/>
          <w:b/>
          <w:caps/>
          <w:sz w:val="24"/>
          <w:lang w:eastAsia="zh-CN"/>
        </w:rPr>
        <w:br w:type="page"/>
      </w:r>
      <w:r w:rsidRPr="00C57668">
        <w:rPr>
          <w:rFonts w:ascii="Arial Bold" w:eastAsia="STZhongsong" w:hAnsi="Arial Bold" w:cs="Arial"/>
          <w:b/>
          <w:caps/>
          <w:sz w:val="36"/>
          <w:szCs w:val="24"/>
          <w:lang w:eastAsia="zh-CN"/>
        </w:rPr>
        <w:lastRenderedPageBreak/>
        <w:t>Annex 1 to Section 2: Services Levels Table</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1866"/>
        <w:gridCol w:w="1756"/>
      </w:tblGrid>
      <w:tr w:rsidR="00CB2E74" w:rsidRPr="00C57668" w14:paraId="09228D1B" w14:textId="77777777" w:rsidTr="5595AB7C">
        <w:trPr>
          <w:trHeight w:val="1288"/>
          <w:tblHeader/>
          <w:jc w:val="center"/>
        </w:trPr>
        <w:tc>
          <w:tcPr>
            <w:tcW w:w="9097" w:type="dxa"/>
            <w:gridSpan w:val="3"/>
            <w:shd w:val="clear" w:color="auto" w:fill="D9D9D9" w:themeFill="background1" w:themeFillShade="D9"/>
          </w:tcPr>
          <w:p w14:paraId="2C0BE278" w14:textId="77777777" w:rsidR="00CB2E74" w:rsidRPr="00C57668" w:rsidRDefault="00CB2E74" w:rsidP="00C57668">
            <w:pPr>
              <w:ind w:left="95"/>
              <w:rPr>
                <w:rFonts w:ascii="Arial" w:hAnsi="Arial" w:cs="Arial"/>
                <w:sz w:val="24"/>
                <w:szCs w:val="24"/>
              </w:rPr>
            </w:pPr>
            <w:r w:rsidRPr="00C57668">
              <w:rPr>
                <w:rFonts w:ascii="Arial" w:hAnsi="Arial" w:cs="Arial"/>
                <w:sz w:val="24"/>
                <w:szCs w:val="24"/>
              </w:rPr>
              <w:t>Service Levels</w:t>
            </w:r>
          </w:p>
        </w:tc>
      </w:tr>
      <w:tr w:rsidR="00CB2E74" w:rsidRPr="00C57668" w14:paraId="6147E49D" w14:textId="77777777" w:rsidTr="5595AB7C">
        <w:trPr>
          <w:trHeight w:val="1288"/>
          <w:tblHeader/>
          <w:jc w:val="center"/>
        </w:trPr>
        <w:tc>
          <w:tcPr>
            <w:tcW w:w="5475" w:type="dxa"/>
            <w:shd w:val="clear" w:color="auto" w:fill="D9D9D9" w:themeFill="background1" w:themeFillShade="D9"/>
            <w:vAlign w:val="center"/>
          </w:tcPr>
          <w:p w14:paraId="75C5F8B9" w14:textId="77777777" w:rsidR="00CB2E74" w:rsidRPr="00C57668" w:rsidRDefault="00CB2E74" w:rsidP="00C57668">
            <w:pPr>
              <w:ind w:left="61"/>
              <w:rPr>
                <w:rFonts w:ascii="Arial" w:hAnsi="Arial" w:cs="Arial"/>
                <w:sz w:val="24"/>
                <w:szCs w:val="24"/>
              </w:rPr>
            </w:pPr>
            <w:r w:rsidRPr="00C57668">
              <w:rPr>
                <w:rFonts w:ascii="Arial" w:hAnsi="Arial" w:cs="Arial"/>
                <w:sz w:val="24"/>
                <w:szCs w:val="24"/>
              </w:rPr>
              <w:t>Service Level Performance Criterion</w:t>
            </w:r>
          </w:p>
        </w:tc>
        <w:tc>
          <w:tcPr>
            <w:tcW w:w="1866" w:type="dxa"/>
            <w:shd w:val="clear" w:color="auto" w:fill="D9D9D9" w:themeFill="background1" w:themeFillShade="D9"/>
            <w:vAlign w:val="center"/>
          </w:tcPr>
          <w:p w14:paraId="1BA96104" w14:textId="77777777" w:rsidR="00CB2E74" w:rsidRPr="00C57668" w:rsidRDefault="00CB2E74" w:rsidP="00C57668">
            <w:pPr>
              <w:ind w:left="95"/>
              <w:rPr>
                <w:rFonts w:ascii="Arial" w:hAnsi="Arial" w:cs="Arial"/>
                <w:sz w:val="24"/>
                <w:szCs w:val="24"/>
              </w:rPr>
            </w:pPr>
            <w:r w:rsidRPr="00C57668">
              <w:rPr>
                <w:rFonts w:ascii="Arial" w:hAnsi="Arial" w:cs="Arial"/>
                <w:sz w:val="24"/>
                <w:szCs w:val="24"/>
              </w:rPr>
              <w:t>Key Indicator</w:t>
            </w:r>
          </w:p>
        </w:tc>
        <w:tc>
          <w:tcPr>
            <w:tcW w:w="1756" w:type="dxa"/>
            <w:shd w:val="clear" w:color="auto" w:fill="D9D9D9" w:themeFill="background1" w:themeFillShade="D9"/>
            <w:vAlign w:val="center"/>
          </w:tcPr>
          <w:p w14:paraId="52B47CC3" w14:textId="77777777" w:rsidR="00CB2E74" w:rsidRPr="00C57668" w:rsidRDefault="00CB2E74" w:rsidP="00C57668">
            <w:pPr>
              <w:rPr>
                <w:rFonts w:ascii="Arial" w:hAnsi="Arial" w:cs="Arial"/>
                <w:sz w:val="24"/>
                <w:szCs w:val="24"/>
              </w:rPr>
            </w:pPr>
            <w:r w:rsidRPr="00C57668">
              <w:rPr>
                <w:rFonts w:ascii="Arial" w:hAnsi="Arial" w:cs="Arial"/>
                <w:sz w:val="24"/>
                <w:szCs w:val="24"/>
              </w:rPr>
              <w:t>Service Level Performance Measure</w:t>
            </w:r>
          </w:p>
        </w:tc>
      </w:tr>
      <w:tr w:rsidR="00CB2E74" w:rsidRPr="00C57668" w14:paraId="4EC294B9" w14:textId="77777777" w:rsidTr="5595AB7C">
        <w:trPr>
          <w:trHeight w:val="990"/>
          <w:jc w:val="center"/>
        </w:trPr>
        <w:tc>
          <w:tcPr>
            <w:tcW w:w="5475" w:type="dxa"/>
          </w:tcPr>
          <w:p w14:paraId="4F167F99" w14:textId="7B7C3FC4" w:rsidR="00CB2E74" w:rsidRPr="00CB2E74" w:rsidRDefault="00CB2E74" w:rsidP="5595AB7C">
            <w:pPr>
              <w:spacing w:after="120"/>
              <w:ind w:left="61"/>
              <w:rPr>
                <w:rFonts w:ascii="Arial" w:hAnsi="Arial" w:cs="Arial"/>
                <w:sz w:val="24"/>
                <w:szCs w:val="24"/>
              </w:rPr>
            </w:pPr>
            <w:r w:rsidRPr="5595AB7C">
              <w:rPr>
                <w:rFonts w:ascii="Arial" w:hAnsi="Arial" w:cs="Arial"/>
                <w:sz w:val="24"/>
                <w:szCs w:val="24"/>
              </w:rPr>
              <w:t xml:space="preserve">All licences product and services to be implemented/renewed in line with the dates listed in </w:t>
            </w:r>
            <w:r w:rsidR="1A6D3005" w:rsidRPr="5595AB7C">
              <w:rPr>
                <w:rFonts w:ascii="Arial" w:hAnsi="Arial" w:cs="Arial"/>
                <w:sz w:val="24"/>
                <w:szCs w:val="24"/>
              </w:rPr>
              <w:t>Call-Off Schedule 20 (Call-Off Specification)</w:t>
            </w:r>
            <w:r w:rsidRPr="5595AB7C">
              <w:rPr>
                <w:rFonts w:ascii="Arial" w:hAnsi="Arial" w:cs="Arial"/>
                <w:sz w:val="24"/>
                <w:szCs w:val="24"/>
              </w:rPr>
              <w:t>;</w:t>
            </w:r>
          </w:p>
        </w:tc>
        <w:tc>
          <w:tcPr>
            <w:tcW w:w="1866" w:type="dxa"/>
          </w:tcPr>
          <w:p w14:paraId="4C52208A" w14:textId="77777777" w:rsidR="00CB2E74" w:rsidRPr="00C57668" w:rsidRDefault="00CB2E74" w:rsidP="00C57668">
            <w:pPr>
              <w:spacing w:after="120"/>
              <w:ind w:left="95"/>
              <w:rPr>
                <w:rFonts w:ascii="Arial" w:hAnsi="Arial" w:cs="Arial"/>
                <w:sz w:val="24"/>
                <w:szCs w:val="24"/>
              </w:rPr>
            </w:pPr>
            <w:r w:rsidRPr="00C57668">
              <w:rPr>
                <w:rFonts w:ascii="Arial" w:hAnsi="Arial" w:cs="Arial"/>
                <w:sz w:val="24"/>
                <w:szCs w:val="24"/>
              </w:rPr>
              <w:t>Accuracy /Timelines</w:t>
            </w:r>
          </w:p>
          <w:p w14:paraId="5A39BBE3" w14:textId="77777777" w:rsidR="00CB2E74" w:rsidRPr="00C57668" w:rsidRDefault="00CB2E74" w:rsidP="00C57668">
            <w:pPr>
              <w:spacing w:after="120"/>
              <w:ind w:left="95"/>
              <w:rPr>
                <w:rFonts w:ascii="Arial" w:hAnsi="Arial" w:cs="Arial"/>
                <w:sz w:val="24"/>
                <w:szCs w:val="24"/>
              </w:rPr>
            </w:pPr>
          </w:p>
        </w:tc>
        <w:tc>
          <w:tcPr>
            <w:tcW w:w="1756" w:type="dxa"/>
          </w:tcPr>
          <w:p w14:paraId="135237C8" w14:textId="77777777" w:rsidR="00CB2E74" w:rsidRPr="00C57668" w:rsidRDefault="00CB2E74" w:rsidP="00C57668">
            <w:pPr>
              <w:spacing w:after="120"/>
              <w:rPr>
                <w:rFonts w:ascii="Arial" w:hAnsi="Arial" w:cs="Arial"/>
                <w:sz w:val="24"/>
                <w:szCs w:val="24"/>
              </w:rPr>
            </w:pPr>
            <w:r>
              <w:rPr>
                <w:rFonts w:ascii="Arial" w:hAnsi="Arial" w:cs="Arial"/>
                <w:sz w:val="24"/>
                <w:szCs w:val="24"/>
              </w:rPr>
              <w:t>100%</w:t>
            </w:r>
          </w:p>
          <w:p w14:paraId="41C8F396" w14:textId="77777777" w:rsidR="00CB2E74" w:rsidRPr="00C57668" w:rsidRDefault="00CB2E74" w:rsidP="00C57668">
            <w:pPr>
              <w:spacing w:after="120"/>
              <w:rPr>
                <w:rFonts w:ascii="Arial" w:hAnsi="Arial" w:cs="Arial"/>
                <w:sz w:val="24"/>
                <w:szCs w:val="24"/>
              </w:rPr>
            </w:pPr>
          </w:p>
        </w:tc>
      </w:tr>
      <w:tr w:rsidR="00CB2E74" w:rsidRPr="00C57668" w14:paraId="04E34DE3" w14:textId="77777777" w:rsidTr="5595AB7C">
        <w:trPr>
          <w:trHeight w:val="1020"/>
          <w:jc w:val="center"/>
        </w:trPr>
        <w:tc>
          <w:tcPr>
            <w:tcW w:w="5475" w:type="dxa"/>
          </w:tcPr>
          <w:p w14:paraId="75721A1F" w14:textId="77777777" w:rsidR="00CB2E74" w:rsidRPr="00C57668" w:rsidRDefault="00CB2E74" w:rsidP="00C57668">
            <w:pPr>
              <w:spacing w:after="120"/>
              <w:ind w:left="61"/>
              <w:rPr>
                <w:rFonts w:ascii="Arial" w:hAnsi="Arial" w:cs="Arial"/>
                <w:sz w:val="24"/>
                <w:szCs w:val="24"/>
              </w:rPr>
            </w:pPr>
            <w:r w:rsidRPr="00CB2E74">
              <w:rPr>
                <w:rFonts w:ascii="Arial" w:hAnsi="Arial" w:cs="Arial"/>
                <w:sz w:val="24"/>
                <w:szCs w:val="24"/>
              </w:rPr>
              <w:t>Potential providers are to adhere to each of the SLA’s offered under the required product and services packages;</w:t>
            </w:r>
          </w:p>
        </w:tc>
        <w:tc>
          <w:tcPr>
            <w:tcW w:w="1866" w:type="dxa"/>
          </w:tcPr>
          <w:p w14:paraId="0E27B00A" w14:textId="31FAF8E1" w:rsidR="00CB2E74" w:rsidRPr="00C57668" w:rsidRDefault="00CB2E74" w:rsidP="00C57668">
            <w:pPr>
              <w:spacing w:after="120"/>
              <w:ind w:left="95"/>
              <w:rPr>
                <w:rFonts w:ascii="Arial" w:hAnsi="Arial" w:cs="Arial"/>
                <w:sz w:val="24"/>
                <w:szCs w:val="24"/>
              </w:rPr>
            </w:pPr>
            <w:r w:rsidRPr="431E4EE8">
              <w:rPr>
                <w:rFonts w:ascii="Arial" w:hAnsi="Arial" w:cs="Arial"/>
                <w:sz w:val="24"/>
                <w:szCs w:val="24"/>
              </w:rPr>
              <w:t>Accuracy/</w:t>
            </w:r>
            <w:r>
              <w:br/>
            </w:r>
            <w:r w:rsidRPr="431E4EE8">
              <w:rPr>
                <w:rFonts w:ascii="Arial" w:hAnsi="Arial" w:cs="Arial"/>
                <w:sz w:val="24"/>
                <w:szCs w:val="24"/>
              </w:rPr>
              <w:t>Availability</w:t>
            </w:r>
          </w:p>
        </w:tc>
        <w:tc>
          <w:tcPr>
            <w:tcW w:w="1756" w:type="dxa"/>
          </w:tcPr>
          <w:p w14:paraId="3F393A7F" w14:textId="77777777" w:rsidR="00CB2E74" w:rsidRPr="00C57668" w:rsidRDefault="00CB2E74" w:rsidP="00C57668">
            <w:pPr>
              <w:spacing w:after="120"/>
              <w:rPr>
                <w:rFonts w:ascii="Arial" w:hAnsi="Arial" w:cs="Arial"/>
                <w:sz w:val="24"/>
                <w:szCs w:val="24"/>
              </w:rPr>
            </w:pPr>
            <w:r>
              <w:rPr>
                <w:rFonts w:ascii="Arial" w:hAnsi="Arial" w:cs="Arial"/>
                <w:sz w:val="24"/>
                <w:szCs w:val="24"/>
              </w:rPr>
              <w:t>100%</w:t>
            </w:r>
          </w:p>
          <w:p w14:paraId="60061E4C" w14:textId="77777777" w:rsidR="00CB2E74" w:rsidRPr="00C57668" w:rsidRDefault="00CB2E74" w:rsidP="00C57668">
            <w:pPr>
              <w:spacing w:after="120"/>
              <w:rPr>
                <w:rFonts w:ascii="Arial" w:hAnsi="Arial" w:cs="Arial"/>
                <w:sz w:val="24"/>
                <w:szCs w:val="24"/>
              </w:rPr>
            </w:pPr>
          </w:p>
        </w:tc>
      </w:tr>
      <w:tr w:rsidR="00CB2E74" w:rsidRPr="00C57668" w14:paraId="7D28EADC" w14:textId="77777777" w:rsidTr="5595AB7C">
        <w:trPr>
          <w:trHeight w:val="900"/>
          <w:jc w:val="center"/>
        </w:trPr>
        <w:tc>
          <w:tcPr>
            <w:tcW w:w="5475" w:type="dxa"/>
          </w:tcPr>
          <w:p w14:paraId="0D657897" w14:textId="77777777" w:rsidR="00CB2E74" w:rsidRPr="00C57668" w:rsidRDefault="00CB2E74" w:rsidP="00C57668">
            <w:pPr>
              <w:spacing w:after="120"/>
              <w:ind w:left="61"/>
              <w:rPr>
                <w:rFonts w:ascii="Arial" w:hAnsi="Arial" w:cs="Arial"/>
                <w:sz w:val="24"/>
                <w:szCs w:val="24"/>
              </w:rPr>
            </w:pPr>
            <w:r w:rsidRPr="00CB2E74">
              <w:rPr>
                <w:rFonts w:ascii="Arial" w:hAnsi="Arial" w:cs="Arial"/>
                <w:sz w:val="24"/>
                <w:szCs w:val="24"/>
              </w:rPr>
              <w:t>Access to 24 x 7 website, phone and email support throughout the duration of the thirty-six (36) month contract term;</w:t>
            </w:r>
          </w:p>
        </w:tc>
        <w:tc>
          <w:tcPr>
            <w:tcW w:w="1866" w:type="dxa"/>
          </w:tcPr>
          <w:p w14:paraId="1E7910A7" w14:textId="77777777" w:rsidR="00CB2E74" w:rsidRPr="00C57668" w:rsidRDefault="00CB2E74" w:rsidP="00C57668">
            <w:pPr>
              <w:spacing w:after="120"/>
              <w:ind w:left="95"/>
              <w:rPr>
                <w:rFonts w:ascii="Arial" w:hAnsi="Arial" w:cs="Arial"/>
                <w:sz w:val="24"/>
                <w:szCs w:val="24"/>
              </w:rPr>
            </w:pPr>
            <w:r>
              <w:rPr>
                <w:rFonts w:ascii="Arial" w:hAnsi="Arial" w:cs="Arial"/>
                <w:sz w:val="24"/>
                <w:szCs w:val="24"/>
              </w:rPr>
              <w:t>Availability</w:t>
            </w:r>
          </w:p>
        </w:tc>
        <w:tc>
          <w:tcPr>
            <w:tcW w:w="1756" w:type="dxa"/>
          </w:tcPr>
          <w:p w14:paraId="0B7AE7F6" w14:textId="77777777" w:rsidR="00CB2E74" w:rsidRPr="00C57668" w:rsidRDefault="00CB2E74" w:rsidP="00C57668">
            <w:pPr>
              <w:spacing w:after="120"/>
              <w:rPr>
                <w:rFonts w:ascii="Arial" w:hAnsi="Arial" w:cs="Arial"/>
                <w:sz w:val="24"/>
                <w:szCs w:val="24"/>
              </w:rPr>
            </w:pPr>
            <w:r>
              <w:rPr>
                <w:rFonts w:ascii="Arial" w:hAnsi="Arial" w:cs="Arial"/>
                <w:sz w:val="24"/>
                <w:szCs w:val="24"/>
              </w:rPr>
              <w:t>100%</w:t>
            </w:r>
          </w:p>
        </w:tc>
      </w:tr>
      <w:tr w:rsidR="00CB2E74" w:rsidRPr="00C57668" w14:paraId="1EB59947" w14:textId="77777777" w:rsidTr="5595AB7C">
        <w:trPr>
          <w:trHeight w:val="1230"/>
          <w:jc w:val="center"/>
        </w:trPr>
        <w:tc>
          <w:tcPr>
            <w:tcW w:w="5475" w:type="dxa"/>
          </w:tcPr>
          <w:p w14:paraId="28042404" w14:textId="77777777" w:rsidR="00CB2E74" w:rsidRPr="00C57668" w:rsidRDefault="00CB2E74" w:rsidP="00C57668">
            <w:pPr>
              <w:spacing w:after="120"/>
              <w:ind w:left="61"/>
              <w:rPr>
                <w:rFonts w:ascii="Arial" w:hAnsi="Arial" w:cs="Arial"/>
                <w:sz w:val="24"/>
                <w:szCs w:val="24"/>
              </w:rPr>
            </w:pPr>
            <w:r w:rsidRPr="00CB2E74">
              <w:rPr>
                <w:rFonts w:ascii="Arial" w:hAnsi="Arial" w:cs="Arial"/>
                <w:sz w:val="24"/>
                <w:szCs w:val="24"/>
              </w:rPr>
              <w:t xml:space="preserve">The Authority to receive all software support, including </w:t>
            </w:r>
            <w:bookmarkStart w:id="1" w:name="_Hlk63369128"/>
            <w:r w:rsidRPr="00CB2E74">
              <w:rPr>
                <w:rFonts w:ascii="Arial" w:hAnsi="Arial" w:cs="Arial"/>
                <w:sz w:val="24"/>
                <w:szCs w:val="24"/>
              </w:rPr>
              <w:t xml:space="preserve">maintenance releases and major upgrades </w:t>
            </w:r>
            <w:bookmarkEnd w:id="1"/>
            <w:r w:rsidRPr="00CB2E74">
              <w:rPr>
                <w:rFonts w:ascii="Arial" w:hAnsi="Arial" w:cs="Arial"/>
                <w:sz w:val="24"/>
                <w:szCs w:val="24"/>
              </w:rPr>
              <w:t>throughout the life span of the thirty-six (36) month contract.</w:t>
            </w:r>
          </w:p>
        </w:tc>
        <w:tc>
          <w:tcPr>
            <w:tcW w:w="1866" w:type="dxa"/>
          </w:tcPr>
          <w:p w14:paraId="0A9D5DF1" w14:textId="77777777" w:rsidR="00CB2E74" w:rsidRPr="00C57668" w:rsidRDefault="00CB2E74" w:rsidP="00C57668">
            <w:pPr>
              <w:spacing w:after="120"/>
              <w:ind w:left="95"/>
              <w:rPr>
                <w:rFonts w:ascii="Arial" w:hAnsi="Arial" w:cs="Arial"/>
                <w:sz w:val="24"/>
                <w:szCs w:val="24"/>
              </w:rPr>
            </w:pPr>
            <w:r>
              <w:rPr>
                <w:rFonts w:ascii="Arial" w:hAnsi="Arial" w:cs="Arial"/>
                <w:sz w:val="24"/>
                <w:szCs w:val="24"/>
              </w:rPr>
              <w:t>Accuracy/ Availability</w:t>
            </w:r>
          </w:p>
        </w:tc>
        <w:tc>
          <w:tcPr>
            <w:tcW w:w="1756" w:type="dxa"/>
          </w:tcPr>
          <w:p w14:paraId="3E2B4EAC" w14:textId="77777777" w:rsidR="00CB2E74" w:rsidRPr="00C57668" w:rsidRDefault="00CB2E74" w:rsidP="00C57668">
            <w:pPr>
              <w:spacing w:after="120"/>
              <w:rPr>
                <w:rFonts w:ascii="Arial" w:hAnsi="Arial" w:cs="Arial"/>
                <w:sz w:val="24"/>
                <w:szCs w:val="24"/>
              </w:rPr>
            </w:pPr>
            <w:r>
              <w:rPr>
                <w:rFonts w:ascii="Arial" w:hAnsi="Arial" w:cs="Arial"/>
                <w:sz w:val="24"/>
                <w:szCs w:val="24"/>
              </w:rPr>
              <w:t>100%</w:t>
            </w:r>
          </w:p>
        </w:tc>
      </w:tr>
    </w:tbl>
    <w:p w14:paraId="3DEEC669"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p>
    <w:p w14:paraId="3656B9AB" w14:textId="77777777" w:rsidR="00C57668" w:rsidRPr="00CB2E74" w:rsidRDefault="00C57668" w:rsidP="00CB2E74">
      <w:pPr>
        <w:overflowPunct w:val="0"/>
        <w:autoSpaceDE w:val="0"/>
        <w:autoSpaceDN w:val="0"/>
        <w:adjustRightInd w:val="0"/>
        <w:spacing w:after="240" w:line="360" w:lineRule="auto"/>
        <w:ind w:left="709"/>
        <w:jc w:val="both"/>
        <w:textAlignment w:val="baseline"/>
        <w:rPr>
          <w:rFonts w:ascii="Arial" w:eastAsia="Times New Roman" w:hAnsi="Arial" w:cs="Arial"/>
          <w:sz w:val="24"/>
          <w:szCs w:val="24"/>
        </w:rPr>
      </w:pPr>
      <w:r w:rsidRPr="00C57668">
        <w:rPr>
          <w:rFonts w:ascii="Times New Roman" w:eastAsia="Times New Roman" w:hAnsi="Times New Roman"/>
          <w:b/>
          <w:sz w:val="36"/>
          <w:szCs w:val="36"/>
        </w:rPr>
        <w:br w:type="page"/>
      </w:r>
    </w:p>
    <w:p w14:paraId="0C96E2FF" w14:textId="77777777" w:rsidR="00C57668" w:rsidRPr="00C57668" w:rsidRDefault="00C57668" w:rsidP="00C57668">
      <w:pPr>
        <w:keepNext/>
        <w:adjustRightInd w:val="0"/>
        <w:spacing w:after="240" w:line="240" w:lineRule="auto"/>
        <w:outlineLvl w:val="1"/>
        <w:rPr>
          <w:rFonts w:ascii="Arial Bold" w:eastAsia="STZhongsong" w:hAnsi="Arial Bold" w:cs="Arial" w:hint="eastAsia"/>
          <w:b/>
          <w:sz w:val="36"/>
          <w:szCs w:val="36"/>
          <w:lang w:eastAsia="zh-CN"/>
        </w:rPr>
      </w:pPr>
      <w:r w:rsidRPr="00C57668">
        <w:rPr>
          <w:rFonts w:ascii="Arial Bold" w:eastAsia="STZhongsong" w:hAnsi="Arial Bold" w:cs="Arial"/>
          <w:b/>
          <w:sz w:val="36"/>
          <w:szCs w:val="36"/>
          <w:lang w:eastAsia="zh-CN"/>
        </w:rPr>
        <w:lastRenderedPageBreak/>
        <w:t xml:space="preserve">Section 3: Performance Monitoring </w:t>
      </w:r>
    </w:p>
    <w:p w14:paraId="353F18C8" w14:textId="77777777" w:rsidR="00C57668" w:rsidRPr="00C57668" w:rsidRDefault="00C57668" w:rsidP="00C57668">
      <w:pPr>
        <w:numPr>
          <w:ilvl w:val="0"/>
          <w:numId w:val="3"/>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Bold" w:eastAsia="STZhongsong" w:hAnsi="Arial Bold" w:cs="Arial" w:hint="eastAsia"/>
          <w:b/>
          <w:sz w:val="24"/>
          <w:szCs w:val="24"/>
          <w:lang w:eastAsia="zh-CN"/>
        </w:rPr>
      </w:pPr>
      <w:r w:rsidRPr="00C57668">
        <w:rPr>
          <w:rFonts w:ascii="Arial Bold" w:eastAsia="STZhongsong" w:hAnsi="Arial Bold" w:cs="Arial"/>
          <w:b/>
          <w:sz w:val="24"/>
          <w:szCs w:val="24"/>
          <w:lang w:eastAsia="zh-CN"/>
        </w:rPr>
        <w:t>Performance Monitoring and Performance Review</w:t>
      </w:r>
    </w:p>
    <w:p w14:paraId="365EA9F2" w14:textId="77777777" w:rsidR="00C57668" w:rsidRPr="00C57668"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Within twenty (20) Working Days of the Start Date the Supplier shall provide the Buyer with details of the proposed process for monitoring and reporting of Service Levels, and the Parties will try to agree the process as soon as reasonably possible.</w:t>
      </w:r>
    </w:p>
    <w:p w14:paraId="01410789" w14:textId="77777777" w:rsidR="00C57668" w:rsidRPr="00C57668"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shall provide the Buyer with performance monitoring reports ("Performance Monitoring Reports") as agreed pursuant to paragraph 1.1 above which shall contain, as a minimum, the following information in respect of the relevant Service Period just ended:</w:t>
      </w:r>
    </w:p>
    <w:p w14:paraId="23D54F36"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for each Service Level, the actual performance achieved over the relevant Service Period;</w:t>
      </w:r>
    </w:p>
    <w:p w14:paraId="34744023"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a summary of all failures to achieve Service Levels;</w:t>
      </w:r>
    </w:p>
    <w:p w14:paraId="360D65CF"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details of any Critical Service Level Failures;</w:t>
      </w:r>
    </w:p>
    <w:p w14:paraId="192DFFFC" w14:textId="77777777" w:rsidR="00C57668" w:rsidRPr="00CB2E74" w:rsidRDefault="00C57668" w:rsidP="00CB2E74">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for any repeat failures, actions taken to resolve the underlying cause and prevent recurrence;</w:t>
      </w:r>
      <w:r w:rsidR="00CB2E74">
        <w:rPr>
          <w:rFonts w:ascii="Arial" w:eastAsia="Times New Roman" w:hAnsi="Arial" w:cs="Arial"/>
          <w:sz w:val="24"/>
          <w:szCs w:val="24"/>
          <w:lang w:eastAsia="zh-CN"/>
        </w:rPr>
        <w:t xml:space="preserve"> </w:t>
      </w:r>
      <w:r w:rsidRPr="00CB2E74">
        <w:rPr>
          <w:rFonts w:ascii="Arial" w:eastAsia="Times New Roman" w:hAnsi="Arial" w:cs="Arial"/>
          <w:sz w:val="24"/>
          <w:szCs w:val="24"/>
          <w:lang w:eastAsia="zh-CN"/>
        </w:rPr>
        <w:t>and</w:t>
      </w:r>
    </w:p>
    <w:p w14:paraId="79D8D2CA"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such other details as the Buyer may reasonably </w:t>
      </w:r>
      <w:proofErr w:type="gramStart"/>
      <w:r w:rsidRPr="00C57668">
        <w:rPr>
          <w:rFonts w:ascii="Arial" w:eastAsia="Times New Roman" w:hAnsi="Arial" w:cs="Arial"/>
          <w:sz w:val="24"/>
          <w:szCs w:val="24"/>
          <w:lang w:eastAsia="zh-CN"/>
        </w:rPr>
        <w:t>require .</w:t>
      </w:r>
      <w:proofErr w:type="gramEnd"/>
    </w:p>
    <w:p w14:paraId="34945859" w14:textId="0C86A310" w:rsidR="00C57668" w:rsidRPr="00C57668" w:rsidRDefault="00C57668" w:rsidP="00C57668">
      <w:pPr>
        <w:keepNext/>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431E4EE8">
        <w:rPr>
          <w:rFonts w:ascii="Arial" w:eastAsia="Times New Roman" w:hAnsi="Arial" w:cs="Arial"/>
          <w:sz w:val="24"/>
          <w:szCs w:val="24"/>
          <w:lang w:eastAsia="zh-CN"/>
        </w:rPr>
        <w:t>The Parties shall attend meetings to discuss Performance Monitoring Reports ("Performance Review Meetings") on a Monthly basis to review by Performance Monitoring Reports.  The Performance Review Meetings shall</w:t>
      </w:r>
      <w:r w:rsidR="28F621AE" w:rsidRPr="431E4EE8">
        <w:rPr>
          <w:rFonts w:ascii="Arial" w:eastAsia="Times New Roman" w:hAnsi="Arial" w:cs="Arial"/>
          <w:sz w:val="24"/>
          <w:szCs w:val="24"/>
          <w:lang w:eastAsia="zh-CN"/>
        </w:rPr>
        <w:t>:</w:t>
      </w:r>
    </w:p>
    <w:p w14:paraId="2363DF66"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take place within one (1) week of the Performance Monitoring Reports being issued at such location and time (within normal business hours) as the Parties may agree;</w:t>
      </w:r>
    </w:p>
    <w:p w14:paraId="0698839F"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be attended by the Supplier's Representative and the Buyer’s Representative; and</w:t>
      </w:r>
    </w:p>
    <w:p w14:paraId="4BEE3396"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be fully </w:t>
      </w:r>
      <w:proofErr w:type="spellStart"/>
      <w:r w:rsidRPr="00C57668">
        <w:rPr>
          <w:rFonts w:ascii="Arial" w:eastAsia="Times New Roman" w:hAnsi="Arial" w:cs="Arial"/>
          <w:sz w:val="24"/>
          <w:szCs w:val="24"/>
          <w:lang w:eastAsia="zh-CN"/>
        </w:rPr>
        <w:t>minuted</w:t>
      </w:r>
      <w:proofErr w:type="spellEnd"/>
      <w:r w:rsidRPr="00C57668">
        <w:rPr>
          <w:rFonts w:ascii="Arial" w:eastAsia="Times New Roman" w:hAnsi="Arial" w:cs="Arial"/>
          <w:sz w:val="24"/>
          <w:szCs w:val="24"/>
          <w:lang w:eastAsia="zh-CN"/>
        </w:rPr>
        <w:t xml:space="preserve"> by the Supplier, with the minutes circulated by to all attendees at the relevant meeting </w:t>
      </w:r>
      <w:proofErr w:type="gramStart"/>
      <w:r w:rsidRPr="00C57668">
        <w:rPr>
          <w:rFonts w:ascii="Arial" w:eastAsia="Times New Roman" w:hAnsi="Arial" w:cs="Arial"/>
          <w:sz w:val="24"/>
          <w:szCs w:val="24"/>
          <w:lang w:eastAsia="zh-CN"/>
        </w:rPr>
        <w:t>and also</w:t>
      </w:r>
      <w:proofErr w:type="gramEnd"/>
      <w:r w:rsidRPr="00C57668">
        <w:rPr>
          <w:rFonts w:ascii="Arial" w:eastAsia="Times New Roman" w:hAnsi="Arial" w:cs="Arial"/>
          <w:sz w:val="24"/>
          <w:szCs w:val="24"/>
          <w:lang w:eastAsia="zh-CN"/>
        </w:rPr>
        <w:t xml:space="preserve"> any other recipients agreed at the relevant meeting.  </w:t>
      </w:r>
    </w:p>
    <w:p w14:paraId="3F61BB46" w14:textId="77777777" w:rsidR="00A10500" w:rsidRPr="00091B0C"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hAnsi="Arial"/>
          <w:sz w:val="24"/>
          <w:szCs w:val="24"/>
        </w:rPr>
      </w:pPr>
      <w:r w:rsidRPr="00C57668">
        <w:rPr>
          <w:rFonts w:ascii="Arial" w:eastAsia="Times New Roman" w:hAnsi="Arial" w:cs="Arial"/>
          <w:sz w:val="24"/>
          <w:szCs w:val="24"/>
          <w:lang w:eastAsia="zh-CN"/>
        </w:rPr>
        <w:t>The Supplier shall provide to the Buyer such documentation as the Buyer may reasonably require in order to verify the level of the performance by the Supplier for any specified Service Period.</w:t>
      </w:r>
    </w:p>
    <w:sectPr w:rsidR="00A10500" w:rsidRPr="00091B0C" w:rsidSect="00E420BC">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6B32" w14:textId="77777777" w:rsidR="000550AF" w:rsidRDefault="000550AF">
      <w:pPr>
        <w:spacing w:after="0" w:line="240" w:lineRule="auto"/>
      </w:pPr>
      <w:r>
        <w:separator/>
      </w:r>
    </w:p>
  </w:endnote>
  <w:endnote w:type="continuationSeparator" w:id="0">
    <w:p w14:paraId="063BEFD2" w14:textId="77777777" w:rsidR="000550AF" w:rsidRDefault="0005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338D3985"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5A2577">
      <w:rPr>
        <w:rFonts w:ascii="Arial" w:hAnsi="Arial" w:cs="Arial"/>
        <w:sz w:val="20"/>
      </w:rPr>
      <w:t>6068</w:t>
    </w:r>
  </w:p>
  <w:p w14:paraId="4DAF8EF3" w14:textId="77777777" w:rsidR="00091B0C" w:rsidRPr="008979D7" w:rsidRDefault="003D59D3"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C97680">
      <w:rPr>
        <w:rFonts w:ascii="Arial" w:hAnsi="Arial" w:cs="Arial"/>
        <w:noProof/>
        <w:sz w:val="20"/>
      </w:rPr>
      <w:t>5</w:t>
    </w:r>
    <w:r w:rsidR="00091B0C" w:rsidRPr="008979D7">
      <w:rPr>
        <w:rFonts w:ascii="Arial" w:hAnsi="Arial" w:cs="Arial"/>
        <w:noProof/>
        <w:sz w:val="20"/>
      </w:rPr>
      <w:fldChar w:fldCharType="end"/>
    </w:r>
  </w:p>
  <w:p w14:paraId="3D5A4080"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56E"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0E021F13"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58309432"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22638B92"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94A9E" w14:textId="77777777" w:rsidR="000550AF" w:rsidRDefault="000550AF">
      <w:pPr>
        <w:spacing w:after="0" w:line="240" w:lineRule="auto"/>
      </w:pPr>
      <w:r>
        <w:separator/>
      </w:r>
    </w:p>
  </w:footnote>
  <w:footnote w:type="continuationSeparator" w:id="0">
    <w:p w14:paraId="20039C46" w14:textId="77777777" w:rsidR="000550AF" w:rsidRDefault="0005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7C4A"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5AF7578D" w14:textId="77777777" w:rsidR="00FF0B0D" w:rsidRDefault="00FF0B0D">
    <w:pPr>
      <w:pStyle w:val="Header"/>
      <w:rPr>
        <w:rFonts w:ascii="Arial" w:hAnsi="Arial" w:cs="Arial"/>
        <w:sz w:val="20"/>
      </w:rPr>
    </w:pPr>
    <w:r>
      <w:rPr>
        <w:rFonts w:ascii="Arial" w:hAnsi="Arial" w:cs="Arial"/>
        <w:sz w:val="20"/>
      </w:rPr>
      <w:t>Call-Off Ref:</w:t>
    </w:r>
  </w:p>
  <w:p w14:paraId="518D642B" w14:textId="77777777" w:rsidR="00A10500" w:rsidRPr="00091B0C" w:rsidRDefault="00FF0B0D">
    <w:pPr>
      <w:pStyle w:val="Header"/>
      <w:rPr>
        <w:rFonts w:ascii="Arial" w:hAnsi="Arial" w:cs="Arial"/>
        <w:sz w:val="20"/>
      </w:rPr>
    </w:pPr>
    <w:r>
      <w:rPr>
        <w:rFonts w:ascii="Arial" w:hAnsi="Arial" w:cs="Arial"/>
        <w:sz w:val="20"/>
      </w:rPr>
      <w:t>Crown Copyright 2018</w:t>
    </w:r>
  </w:p>
  <w:p w14:paraId="45FB0818"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4435DF9"/>
    <w:multiLevelType w:val="multilevel"/>
    <w:tmpl w:val="9AE81C32"/>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4B328A5"/>
    <w:multiLevelType w:val="multilevel"/>
    <w:tmpl w:val="6630C77A"/>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9"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0C626CF8"/>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7"/>
  </w:num>
  <w:num w:numId="45">
    <w:abstractNumId w:val="10"/>
  </w:num>
  <w:num w:numId="46">
    <w:abstractNumId w:val="10"/>
  </w:num>
  <w:num w:numId="47">
    <w:abstractNumId w:val="5"/>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9"/>
  </w:num>
  <w:num w:numId="69">
    <w:abstractNumId w:val="10"/>
  </w:num>
  <w:num w:numId="70">
    <w:abstractNumId w:val="1"/>
  </w:num>
  <w:num w:numId="71">
    <w:abstractNumId w:val="10"/>
  </w:num>
  <w:num w:numId="72">
    <w:abstractNumId w:val="10"/>
  </w:num>
  <w:num w:numId="73">
    <w:abstractNumId w:val="10"/>
  </w:num>
  <w:num w:numId="74">
    <w:abstractNumId w:val="10"/>
  </w:num>
  <w:num w:numId="75">
    <w:abstractNumId w:val="10"/>
  </w:num>
  <w:num w:numId="76">
    <w:abstractNumId w:val="8"/>
  </w:num>
  <w:num w:numId="77">
    <w:abstractNumId w:val="10"/>
  </w:num>
  <w:num w:numId="78">
    <w:abstractNumId w:val="10"/>
  </w:num>
  <w:num w:numId="79">
    <w:abstractNumId w:val="10"/>
  </w:num>
  <w:num w:numId="80">
    <w:abstractNumId w:val="1"/>
  </w:num>
  <w:num w:numId="81">
    <w:abstractNumId w:val="6"/>
  </w:num>
  <w:num w:numId="82">
    <w:abstractNumId w:val="3"/>
  </w:num>
  <w:num w:numId="83">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550AF"/>
    <w:rsid w:val="000654EE"/>
    <w:rsid w:val="00091B0C"/>
    <w:rsid w:val="000D7504"/>
    <w:rsid w:val="000E17A5"/>
    <w:rsid w:val="000E6EDE"/>
    <w:rsid w:val="001509B7"/>
    <w:rsid w:val="001D4B83"/>
    <w:rsid w:val="00275315"/>
    <w:rsid w:val="00326A4A"/>
    <w:rsid w:val="0039724D"/>
    <w:rsid w:val="003D59D3"/>
    <w:rsid w:val="00427C6C"/>
    <w:rsid w:val="00463952"/>
    <w:rsid w:val="00513AA2"/>
    <w:rsid w:val="005A2577"/>
    <w:rsid w:val="005D1C56"/>
    <w:rsid w:val="0060382F"/>
    <w:rsid w:val="006A11C8"/>
    <w:rsid w:val="006D74B7"/>
    <w:rsid w:val="006F25A9"/>
    <w:rsid w:val="0073677E"/>
    <w:rsid w:val="00856D8F"/>
    <w:rsid w:val="009610D6"/>
    <w:rsid w:val="009674CA"/>
    <w:rsid w:val="009E77E6"/>
    <w:rsid w:val="00A10500"/>
    <w:rsid w:val="00AF2064"/>
    <w:rsid w:val="00B415E4"/>
    <w:rsid w:val="00B82633"/>
    <w:rsid w:val="00BC7C20"/>
    <w:rsid w:val="00C20902"/>
    <w:rsid w:val="00C42F87"/>
    <w:rsid w:val="00C57668"/>
    <w:rsid w:val="00C817B2"/>
    <w:rsid w:val="00C97680"/>
    <w:rsid w:val="00CB2E74"/>
    <w:rsid w:val="00CB349E"/>
    <w:rsid w:val="00DA53D7"/>
    <w:rsid w:val="00E420BC"/>
    <w:rsid w:val="00E96923"/>
    <w:rsid w:val="00EF0EA0"/>
    <w:rsid w:val="00EF7368"/>
    <w:rsid w:val="00EF7DA8"/>
    <w:rsid w:val="00F043AA"/>
    <w:rsid w:val="00F101E9"/>
    <w:rsid w:val="00FF0B0D"/>
    <w:rsid w:val="0B4651EB"/>
    <w:rsid w:val="1A6D3005"/>
    <w:rsid w:val="1AB46847"/>
    <w:rsid w:val="28F621AE"/>
    <w:rsid w:val="431E4EE8"/>
    <w:rsid w:val="5595AB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1A130"/>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340043925">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F159-ECA0-40A5-824C-1C696CF58B2F}"/>
</file>

<file path=customXml/itemProps2.xml><?xml version="1.0" encoding="utf-8"?>
<ds:datastoreItem xmlns:ds="http://schemas.openxmlformats.org/officeDocument/2006/customXml" ds:itemID="{3DF7592D-CC90-4C4F-94E1-3BF17A5E63A2}">
  <ds:schemaRefs>
    <ds:schemaRef ds:uri="http://schemas.microsoft.com/sharepoint/v3/contenttype/forms"/>
  </ds:schemaRefs>
</ds:datastoreItem>
</file>

<file path=customXml/itemProps3.xml><?xml version="1.0" encoding="utf-8"?>
<ds:datastoreItem xmlns:ds="http://schemas.openxmlformats.org/officeDocument/2006/customXml" ds:itemID="{5330E438-2B8B-41EA-81ED-4065E2CE5E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6C1E5-E6A4-4A1F-A765-E0354E36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Osgood, Stewart Mr (ISS Comrcl-C2-21)</cp:lastModifiedBy>
  <cp:revision>2</cp:revision>
  <dcterms:created xsi:type="dcterms:W3CDTF">2021-03-12T11:14:00Z</dcterms:created>
  <dcterms:modified xsi:type="dcterms:W3CDTF">2021-03-12T11:14:00Z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0x010100DFC963FEBEAFFD439F1407C2DB1A7594</vt:lpwstr>
  </property>
</Properties>
</file>