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F5" w:rsidRDefault="000F54F5" w:rsidP="0007721A">
      <w:pPr>
        <w:pStyle w:val="AnnexureHeadingSingle"/>
        <w:numPr>
          <w:ilvl w:val="0"/>
          <w:numId w:val="0"/>
        </w:numPr>
        <w:rPr>
          <w:b w:val="0"/>
        </w:rPr>
      </w:pPr>
      <w:r>
        <w:t>INVITATION TO TENDER</w:t>
      </w:r>
    </w:p>
    <w:p w:rsidR="0007721A" w:rsidRDefault="0007721A" w:rsidP="000F54F5">
      <w:pPr>
        <w:jc w:val="center"/>
        <w:rPr>
          <w:b/>
        </w:rPr>
      </w:pPr>
    </w:p>
    <w:p w:rsidR="0007721A" w:rsidRDefault="0007721A" w:rsidP="000F54F5">
      <w:pPr>
        <w:jc w:val="center"/>
        <w:rPr>
          <w:b/>
        </w:rPr>
      </w:pPr>
    </w:p>
    <w:p w:rsidR="000F54F5" w:rsidRDefault="000F54F5" w:rsidP="000F54F5">
      <w:pPr>
        <w:jc w:val="center"/>
        <w:rPr>
          <w:b/>
        </w:rPr>
      </w:pPr>
      <w:r>
        <w:rPr>
          <w:b/>
        </w:rPr>
        <w:t xml:space="preserve">SECTION A: INSTRUCTIONS AND INFORMATION </w:t>
      </w:r>
    </w:p>
    <w:p w:rsidR="00E35A17" w:rsidRDefault="00E35A17" w:rsidP="00EE5EB0">
      <w:pPr>
        <w:jc w:val="center"/>
        <w:rPr>
          <w:b/>
        </w:rPr>
      </w:pPr>
    </w:p>
    <w:p w:rsidR="00200E60" w:rsidRDefault="00200E60" w:rsidP="00200E60">
      <w:pPr>
        <w:pStyle w:val="Heading2"/>
        <w:numPr>
          <w:ilvl w:val="0"/>
          <w:numId w:val="0"/>
        </w:numPr>
        <w:jc w:val="center"/>
      </w:pPr>
    </w:p>
    <w:p w:rsidR="00200E60" w:rsidRPr="007721E5" w:rsidRDefault="00DE6254" w:rsidP="007721E5">
      <w:pPr>
        <w:jc w:val="center"/>
        <w:rPr>
          <w:b/>
          <w:sz w:val="24"/>
        </w:rPr>
      </w:pPr>
      <w:r w:rsidRPr="007721E5">
        <w:rPr>
          <w:b/>
          <w:sz w:val="24"/>
        </w:rPr>
        <w:t>Norfolk and Norwich University Hospital</w:t>
      </w:r>
      <w:r w:rsidR="00B8205B">
        <w:rPr>
          <w:b/>
          <w:sz w:val="24"/>
        </w:rPr>
        <w:t>s NHS Foundation Trust</w:t>
      </w:r>
    </w:p>
    <w:p w:rsidR="00B45130" w:rsidRPr="00DE6254" w:rsidRDefault="00B45130" w:rsidP="007721E5">
      <w:pPr>
        <w:pStyle w:val="Heading2"/>
        <w:numPr>
          <w:ilvl w:val="0"/>
          <w:numId w:val="0"/>
        </w:numPr>
        <w:rPr>
          <w:sz w:val="24"/>
        </w:rPr>
      </w:pPr>
    </w:p>
    <w:p w:rsidR="00200E60" w:rsidRPr="007721E5" w:rsidRDefault="00336D0E" w:rsidP="00200E60">
      <w:pPr>
        <w:pStyle w:val="Heading2"/>
        <w:numPr>
          <w:ilvl w:val="0"/>
          <w:numId w:val="0"/>
        </w:numPr>
        <w:jc w:val="center"/>
        <w:rPr>
          <w:b/>
          <w:sz w:val="24"/>
        </w:rPr>
      </w:pPr>
      <w:r w:rsidRPr="007721E5">
        <w:rPr>
          <w:b/>
          <w:sz w:val="24"/>
        </w:rPr>
        <w:t xml:space="preserve">Invitation to tender for </w:t>
      </w:r>
      <w:r w:rsidR="00200E60" w:rsidRPr="007721E5">
        <w:rPr>
          <w:b/>
          <w:sz w:val="24"/>
        </w:rPr>
        <w:t xml:space="preserve">the provision of </w:t>
      </w:r>
      <w:r w:rsidR="00DE6254" w:rsidRPr="007721E5">
        <w:rPr>
          <w:b/>
          <w:sz w:val="24"/>
        </w:rPr>
        <w:t>taxi services</w:t>
      </w:r>
    </w:p>
    <w:p w:rsidR="00B45130" w:rsidRDefault="00B45130" w:rsidP="00200E60">
      <w:pPr>
        <w:pStyle w:val="Heading2"/>
        <w:numPr>
          <w:ilvl w:val="0"/>
          <w:numId w:val="0"/>
        </w:numPr>
        <w:jc w:val="center"/>
      </w:pPr>
    </w:p>
    <w:p w:rsidR="00AD1F28" w:rsidRDefault="00AD1F28" w:rsidP="00AD1F28">
      <w:pPr>
        <w:pStyle w:val="Heading2"/>
        <w:numPr>
          <w:ilvl w:val="0"/>
          <w:numId w:val="0"/>
        </w:numPr>
        <w:jc w:val="center"/>
        <w:rPr>
          <w:shd w:val="clear" w:color="auto" w:fill="FFFF66"/>
        </w:rPr>
      </w:pPr>
      <w:r>
        <w:t xml:space="preserve">Date of advertisement on Contract Finder: </w:t>
      </w:r>
      <w:r w:rsidR="000C500A">
        <w:t>21</w:t>
      </w:r>
      <w:r w:rsidR="000C500A" w:rsidRPr="000C500A">
        <w:rPr>
          <w:vertAlign w:val="superscript"/>
        </w:rPr>
        <w:t>st</w:t>
      </w:r>
      <w:r w:rsidR="000C500A">
        <w:t xml:space="preserve"> March 2018</w:t>
      </w:r>
      <w:bookmarkStart w:id="0" w:name="_GoBack"/>
      <w:bookmarkEnd w:id="0"/>
    </w:p>
    <w:p w:rsidR="00AD1F28" w:rsidRDefault="00AD1F28" w:rsidP="00AD1F28">
      <w:pPr>
        <w:pStyle w:val="Heading2"/>
        <w:numPr>
          <w:ilvl w:val="0"/>
          <w:numId w:val="0"/>
        </w:numPr>
        <w:jc w:val="center"/>
        <w:rPr>
          <w:shd w:val="clear" w:color="auto" w:fill="FFFF66"/>
        </w:rPr>
      </w:pPr>
    </w:p>
    <w:p w:rsidR="00AD1F28" w:rsidRDefault="00AD1F28" w:rsidP="00AD1F28">
      <w:pPr>
        <w:pStyle w:val="Heading2"/>
        <w:numPr>
          <w:ilvl w:val="0"/>
          <w:numId w:val="0"/>
        </w:numPr>
        <w:jc w:val="center"/>
        <w:rPr>
          <w:shd w:val="clear" w:color="auto" w:fill="FFFF66"/>
        </w:rPr>
      </w:pPr>
    </w:p>
    <w:p w:rsidR="00AD1F28" w:rsidRDefault="00AD1F28" w:rsidP="00AD1F28">
      <w:pPr>
        <w:pStyle w:val="Heading2"/>
        <w:numPr>
          <w:ilvl w:val="0"/>
          <w:numId w:val="0"/>
        </w:numPr>
        <w:jc w:val="center"/>
      </w:pPr>
      <w:r w:rsidRPr="00A04003">
        <w:t xml:space="preserve">Authority's reference number:  </w:t>
      </w:r>
      <w:r w:rsidR="000C500A" w:rsidRPr="00930285">
        <w:t>NNUH.SERCO.TW.7</w:t>
      </w:r>
    </w:p>
    <w:p w:rsidR="00B45130" w:rsidRDefault="00B45130" w:rsidP="00200E60">
      <w:pPr>
        <w:pStyle w:val="Heading2"/>
        <w:numPr>
          <w:ilvl w:val="0"/>
          <w:numId w:val="0"/>
        </w:numPr>
        <w:jc w:val="center"/>
      </w:pPr>
    </w:p>
    <w:p w:rsidR="00AD1F28" w:rsidRDefault="00AD1F28" w:rsidP="00200E60">
      <w:pPr>
        <w:pStyle w:val="Heading2"/>
        <w:numPr>
          <w:ilvl w:val="0"/>
          <w:numId w:val="0"/>
        </w:numPr>
        <w:jc w:val="center"/>
      </w:pPr>
    </w:p>
    <w:p w:rsidR="00200E60" w:rsidRDefault="00200E60" w:rsidP="00200E60">
      <w:pPr>
        <w:pStyle w:val="Heading2"/>
        <w:numPr>
          <w:ilvl w:val="0"/>
          <w:numId w:val="0"/>
        </w:numPr>
        <w:jc w:val="center"/>
      </w:pPr>
      <w:r>
        <w:t xml:space="preserve">Deadline for </w:t>
      </w:r>
      <w:r w:rsidR="005D7098">
        <w:t>Tenders</w:t>
      </w:r>
      <w:r w:rsidR="004E51D1">
        <w:t xml:space="preserve"> to be received:  </w:t>
      </w:r>
      <w:r w:rsidR="000C500A">
        <w:t>16</w:t>
      </w:r>
      <w:r w:rsidR="000C500A" w:rsidRPr="00930285">
        <w:rPr>
          <w:vertAlign w:val="superscript"/>
        </w:rPr>
        <w:t>th</w:t>
      </w:r>
      <w:r w:rsidR="000C500A">
        <w:t xml:space="preserve"> April 2018 – 12:00</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7074AD">
          <w:rPr>
            <w:b w:val="0"/>
            <w:noProof/>
            <w:webHidden/>
          </w:rPr>
          <w:t>1</w:t>
        </w:r>
        <w:r w:rsidRPr="001F110F">
          <w:rPr>
            <w:b w:val="0"/>
            <w:noProof/>
            <w:webHidden/>
          </w:rPr>
          <w:fldChar w:fldCharType="end"/>
        </w:r>
      </w:hyperlink>
    </w:p>
    <w:p w:rsidR="005B59B7" w:rsidRPr="001F110F" w:rsidRDefault="000C500A"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7074AD">
          <w:rPr>
            <w:b w:val="0"/>
            <w:noProof/>
            <w:webHidden/>
          </w:rPr>
          <w:t>3</w:t>
        </w:r>
        <w:r w:rsidR="005B59B7" w:rsidRPr="001F110F">
          <w:rPr>
            <w:b w:val="0"/>
            <w:noProof/>
            <w:webHidden/>
          </w:rPr>
          <w:fldChar w:fldCharType="end"/>
        </w:r>
      </w:hyperlink>
    </w:p>
    <w:p w:rsidR="005B59B7" w:rsidRPr="001F110F" w:rsidRDefault="000C500A"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7074AD">
          <w:rPr>
            <w:b w:val="0"/>
            <w:noProof/>
            <w:webHidden/>
          </w:rPr>
          <w:t>5</w:t>
        </w:r>
        <w:r w:rsidR="005B59B7" w:rsidRPr="001F110F">
          <w:rPr>
            <w:b w:val="0"/>
            <w:noProof/>
            <w:webHidden/>
          </w:rPr>
          <w:fldChar w:fldCharType="end"/>
        </w:r>
      </w:hyperlink>
    </w:p>
    <w:p w:rsidR="005B59B7" w:rsidRPr="001F110F" w:rsidRDefault="000C500A"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7074AD">
          <w:rPr>
            <w:b w:val="0"/>
            <w:noProof/>
            <w:webHidden/>
          </w:rPr>
          <w:t>9</w:t>
        </w:r>
        <w:r w:rsidR="005B59B7" w:rsidRPr="001F110F">
          <w:rPr>
            <w:b w:val="0"/>
            <w:noProof/>
            <w:webHidden/>
          </w:rPr>
          <w:fldChar w:fldCharType="end"/>
        </w:r>
      </w:hyperlink>
    </w:p>
    <w:p w:rsidR="005B59B7" w:rsidRPr="001F110F" w:rsidRDefault="000C500A"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7074AD">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1" w:name="_Toc403556501"/>
      <w:bookmarkStart w:id="2" w:name="_Toc403556506"/>
      <w:r w:rsidRPr="008F3D2C">
        <w:rPr>
          <w:sz w:val="20"/>
          <w:szCs w:val="20"/>
        </w:rPr>
        <w:lastRenderedPageBreak/>
        <w:t>INTRODUCTION AND BACKGROUND</w:t>
      </w:r>
      <w:bookmarkEnd w:id="1"/>
      <w:bookmarkEnd w:id="2"/>
    </w:p>
    <w:p w:rsidR="003E3276" w:rsidRPr="007724D1" w:rsidRDefault="003E3276" w:rsidP="006B54D6">
      <w:pPr>
        <w:pStyle w:val="MRNumberedHeading2"/>
      </w:pPr>
      <w:bookmarkStart w:id="3" w:name="_Toc403555077"/>
      <w:r w:rsidRPr="007724D1">
        <w:t xml:space="preserve">The </w:t>
      </w:r>
      <w:r w:rsidR="00DE6254">
        <w:t>Norfolk</w:t>
      </w:r>
      <w:r w:rsidR="007D2B00">
        <w:t xml:space="preserve"> and Norwich University Hospitals NHS Foundation Trust </w:t>
      </w:r>
      <w:r w:rsidRPr="007724D1">
        <w:t>("</w:t>
      </w:r>
      <w:r w:rsidR="00B012D5" w:rsidRPr="00B012D5">
        <w:rPr>
          <w:b/>
        </w:rPr>
        <w:t>the</w:t>
      </w:r>
      <w:r w:rsidR="00B012D5">
        <w:t xml:space="preserve"> </w:t>
      </w:r>
      <w:r w:rsidRPr="007724D1">
        <w:rPr>
          <w:b/>
        </w:rPr>
        <w:t>Authority</w:t>
      </w:r>
      <w:r w:rsidRPr="007724D1">
        <w:t xml:space="preserve">") is issuing this </w:t>
      </w:r>
      <w:r w:rsidR="00D66E43">
        <w:t>invitation to t</w:t>
      </w:r>
      <w:r w:rsidRPr="007724D1">
        <w:t>ender ("</w:t>
      </w:r>
      <w:r w:rsidRPr="007724D1">
        <w:rPr>
          <w:b/>
        </w:rPr>
        <w:t>ITT</w:t>
      </w:r>
      <w:r w:rsidRPr="007724D1">
        <w:t xml:space="preserve">") in connection with the competitive procurement of </w:t>
      </w:r>
      <w:r w:rsidR="00DE6254">
        <w:t>the supply of taxi services</w:t>
      </w:r>
      <w:r w:rsidRPr="007724D1">
        <w:t xml:space="preserve">.  </w:t>
      </w:r>
      <w:bookmarkEnd w:id="3"/>
    </w:p>
    <w:p w:rsidR="003E3276" w:rsidRPr="007724D1" w:rsidRDefault="003E3276" w:rsidP="006B54D6">
      <w:pPr>
        <w:pStyle w:val="MRNumberedHeading2"/>
      </w:pPr>
      <w:bookmarkStart w:id="4" w:name="_Toc403555078"/>
      <w:r w:rsidRPr="007724D1">
        <w:t xml:space="preserve">This ITT Section A contains further </w:t>
      </w:r>
      <w:r w:rsidRPr="003E3276">
        <w:t>information</w:t>
      </w:r>
      <w:r w:rsidRPr="007724D1">
        <w:t xml:space="preserve"> about the procurement process.</w:t>
      </w:r>
      <w:bookmarkEnd w:id="4"/>
      <w:r w:rsidRPr="007724D1">
        <w:t xml:space="preserve">  </w:t>
      </w:r>
    </w:p>
    <w:p w:rsidR="003E3276" w:rsidRDefault="003E3276" w:rsidP="006B54D6">
      <w:pPr>
        <w:pStyle w:val="MRNumberedHeading2"/>
      </w:pPr>
      <w:bookmarkStart w:id="5"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5"/>
    </w:p>
    <w:p w:rsidR="003E3276" w:rsidRPr="00FB2FE9" w:rsidRDefault="00336D0E" w:rsidP="006B54D6">
      <w:pPr>
        <w:pStyle w:val="MRNumberedHeading2"/>
      </w:pPr>
      <w:bookmarkStart w:id="6"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6"/>
    </w:p>
    <w:p w:rsidR="003E3276" w:rsidRDefault="00DE6254" w:rsidP="007D2B00">
      <w:pPr>
        <w:pStyle w:val="MRNumberedHeading2"/>
      </w:pPr>
      <w:bookmarkStart w:id="7" w:name="_Toc403555081"/>
      <w:bookmarkStart w:id="8" w:name="_Ref406062423"/>
      <w:r>
        <w:t xml:space="preserve">The Authority is using the </w:t>
      </w:r>
      <w:proofErr w:type="spellStart"/>
      <w:r w:rsidRPr="007721E5">
        <w:t>SourceDogg</w:t>
      </w:r>
      <w:proofErr w:type="spellEnd"/>
      <w:r w:rsidR="00D66E43">
        <w:t xml:space="preserve"> e-t</w:t>
      </w:r>
      <w:r w:rsidR="0050545F">
        <w:t>endering</w:t>
      </w:r>
      <w:r w:rsidR="003E3276">
        <w:t xml:space="preserve"> </w:t>
      </w:r>
      <w:r w:rsidR="00D66E43">
        <w:t>p</w:t>
      </w:r>
      <w:r w:rsidR="004230E7">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3E3276">
        <w:t xml:space="preserve"> can be accessed </w:t>
      </w:r>
      <w:hyperlink r:id="rId13" w:history="1">
        <w:r w:rsidR="007D2B00" w:rsidRPr="00FB7BBB">
          <w:rPr>
            <w:rStyle w:val="Hyperlink"/>
          </w:rPr>
          <w:t>https://secure.sourcedogg.com/</w:t>
        </w:r>
      </w:hyperlink>
      <w:r w:rsidR="007D2B00">
        <w:t xml:space="preserve">. </w:t>
      </w:r>
      <w:r w:rsidR="003E3276">
        <w:t>All communica</w:t>
      </w:r>
      <w:r w:rsidR="00336D0E">
        <w:t>tions (including submission of T</w:t>
      </w:r>
      <w:r w:rsidR="003E3276">
        <w:t xml:space="preserve">enders) should be carried out via the </w:t>
      </w:r>
      <w:r w:rsidR="0050545F">
        <w:t xml:space="preserve">e-Tendering </w:t>
      </w:r>
      <w:r w:rsidR="004230E7">
        <w:t>Portal</w:t>
      </w:r>
      <w:r w:rsidR="003E3276">
        <w:t>.</w:t>
      </w:r>
      <w:bookmarkEnd w:id="7"/>
      <w:bookmarkEnd w:id="8"/>
    </w:p>
    <w:p w:rsidR="006111AA" w:rsidRDefault="006111AA" w:rsidP="006B54D6">
      <w:pPr>
        <w:pStyle w:val="MRNumberedHeading2"/>
      </w:pPr>
      <w:r>
        <w:t>This procurement process is not 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9" w:name="_Toc403555082"/>
      <w:r w:rsidRPr="003E3276">
        <w:rPr>
          <w:rFonts w:eastAsiaTheme="minorHAnsi"/>
        </w:rPr>
        <w:t>Contents of the ITT</w:t>
      </w:r>
      <w:bookmarkEnd w:id="9"/>
      <w:r w:rsidRPr="003E3276">
        <w:rPr>
          <w:rFonts w:eastAsiaTheme="minorHAnsi"/>
        </w:rPr>
        <w:t xml:space="preserve"> </w:t>
      </w:r>
    </w:p>
    <w:p w:rsidR="00AD3446" w:rsidRPr="003E3276" w:rsidRDefault="00AD3446" w:rsidP="006B54D6">
      <w:pPr>
        <w:pStyle w:val="MRNumberedHeading2"/>
        <w:rPr>
          <w:b/>
        </w:rPr>
      </w:pPr>
      <w:bookmarkStart w:id="10" w:name="_Toc403555083"/>
      <w:bookmarkStart w:id="11" w:name="_Ref405452631"/>
      <w:r>
        <w:t>This ITT document consists of:</w:t>
      </w:r>
      <w:bookmarkEnd w:id="10"/>
      <w:bookmarkEnd w:id="11"/>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2" w:name="_Ref405453364"/>
            <w:r>
              <w:t xml:space="preserve">Annex </w:t>
            </w:r>
            <w:r w:rsidR="006E3892">
              <w:t>A</w:t>
            </w:r>
            <w:r>
              <w:t>1</w:t>
            </w:r>
            <w:bookmarkEnd w:id="12"/>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3" w:name="handonesix"/>
            <w:bookmarkEnd w:id="13"/>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247F0F" w:rsidRDefault="00247F0F" w:rsidP="00337295">
      <w:pPr>
        <w:pStyle w:val="Heading1"/>
        <w:spacing w:before="240" w:after="0"/>
        <w:ind w:left="709"/>
        <w:rPr>
          <w:b w:val="0"/>
        </w:rPr>
      </w:pPr>
      <w:bookmarkStart w:id="14" w:name="_Toc403555084"/>
      <w:r>
        <w:t xml:space="preserve">Introduction to the </w:t>
      </w:r>
      <w:r w:rsidR="00740C0F">
        <w:t>procurement</w:t>
      </w:r>
      <w:bookmarkEnd w:id="14"/>
      <w:r>
        <w:t xml:space="preserve"> </w:t>
      </w:r>
    </w:p>
    <w:p w:rsidR="00EF1105" w:rsidRDefault="00EF1105" w:rsidP="006B54D6">
      <w:pPr>
        <w:pStyle w:val="MRNumberedHeading2"/>
      </w:pPr>
      <w:bookmarkStart w:id="15" w:name="_Toc403555086"/>
      <w:bookmarkStart w:id="16" w:name="_Ref405452668"/>
      <w:r w:rsidRPr="00EF1105">
        <w:rPr>
          <w:noProof/>
        </w:rPr>
        <w:t xml:space="preserve">Norfolk and Norwich University Hospitals NHS Foundation Trust consists of the Norfolk and Norwich University Hospital and Cromer and District Hospital, with some services available at </w:t>
      </w:r>
      <w:r w:rsidRPr="00EF1105">
        <w:rPr>
          <w:noProof/>
        </w:rPr>
        <w:lastRenderedPageBreak/>
        <w:t>other sites across Norwich.</w:t>
      </w:r>
      <w:r w:rsidR="00FC7E87">
        <w:rPr>
          <w:noProof/>
        </w:rPr>
        <w:t>  The Trust carries out nearly one</w:t>
      </w:r>
      <w:r w:rsidRPr="00EF1105">
        <w:rPr>
          <w:noProof/>
        </w:rPr>
        <w:t xml:space="preserve"> million outpatient appointments, day case procedures and inpatient admissions annually </w:t>
      </w:r>
    </w:p>
    <w:p w:rsidR="00CF3C3F" w:rsidRPr="00F475CB" w:rsidRDefault="00603A0D" w:rsidP="00F475CB">
      <w:pPr>
        <w:pStyle w:val="MRNumberedHeading2"/>
      </w:pPr>
      <w:bookmarkStart w:id="17" w:name="_Toc403555087"/>
      <w:bookmarkEnd w:id="15"/>
      <w:bookmarkEnd w:id="16"/>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5275E6" w:rsidRPr="00EF1105" w:rsidRDefault="00184371" w:rsidP="006B54D6">
      <w:pPr>
        <w:pStyle w:val="MRNumberedHeading2"/>
      </w:pPr>
      <w:bookmarkStart w:id="18" w:name="_Toc403555089"/>
      <w:r w:rsidRPr="00EF1105">
        <w:t>The Authority is committed to supporting the Government’s small and medium-sized</w:t>
      </w:r>
      <w:r w:rsidRPr="00EF1105">
        <w:rPr>
          <w:shd w:val="clear" w:color="auto" w:fill="FFFF66"/>
        </w:rPr>
        <w:t xml:space="preserve"> </w:t>
      </w:r>
      <w:r w:rsidRPr="00EF1105">
        <w:t>enterprise (</w:t>
      </w:r>
      <w:r w:rsidR="00586006" w:rsidRPr="00EF1105">
        <w:t xml:space="preserve">SME) initiative; its aspiration is </w:t>
      </w:r>
      <w:r w:rsidRPr="00EF1105">
        <w:t>that 25% of spend, direct and through the supply chain, g</w:t>
      </w:r>
      <w:r w:rsidR="003B1EDB" w:rsidRPr="00EF1105">
        <w:t xml:space="preserve">oes to SMEs by 2015. </w:t>
      </w:r>
      <w:r w:rsidRPr="00EF1105">
        <w:t xml:space="preserve">Suppliers are </w:t>
      </w:r>
      <w:r w:rsidR="00BA0984" w:rsidRPr="00EF1105">
        <w:t xml:space="preserve">encouraged to work with the Authority </w:t>
      </w:r>
      <w:r w:rsidRPr="00EF1105">
        <w:t>to support the wider SME initiative.</w:t>
      </w:r>
      <w:bookmarkEnd w:id="18"/>
    </w:p>
    <w:p w:rsidR="00603A0D" w:rsidRPr="00EF1105" w:rsidRDefault="00603A0D" w:rsidP="006B54D6">
      <w:pPr>
        <w:pStyle w:val="MRNumberedHeading2"/>
      </w:pPr>
      <w:bookmarkStart w:id="19" w:name="_Toc403555090"/>
      <w:bookmarkStart w:id="20" w:name="_Ref405452851"/>
      <w:r w:rsidRPr="00EF1105">
        <w:t>The link below to the Cabinet Office website provides information on the Government’s Crown Representative for SMEs</w:t>
      </w:r>
      <w:r w:rsidR="00E82493" w:rsidRPr="00EF1105">
        <w:t>,</w:t>
      </w:r>
      <w:r w:rsidRPr="00EF1105">
        <w:t xml:space="preserve"> a link to the definition of an SME and details on the SME initiative:  </w:t>
      </w:r>
      <w:hyperlink r:id="rId14" w:history="1">
        <w:r w:rsidR="00586006" w:rsidRPr="00EF1105">
          <w:t>https://www.gov.uk/government/policies/buying-and-managing-government-goods-and-services-more-efficiently-and-effectively/supporting-pages/making-sure-government-gets-full-value-from-small-and-medium-sized-enterprises</w:t>
        </w:r>
      </w:hyperlink>
      <w:r w:rsidR="004F391B" w:rsidRPr="00EF1105">
        <w:t>.</w:t>
      </w:r>
      <w:bookmarkEnd w:id="19"/>
      <w:bookmarkEnd w:id="20"/>
      <w:r w:rsidR="00FC7E87">
        <w:t xml:space="preserve"> </w:t>
      </w:r>
    </w:p>
    <w:p w:rsidR="006534CF" w:rsidRDefault="00825FC5" w:rsidP="00337295">
      <w:pPr>
        <w:pStyle w:val="Heading1"/>
        <w:spacing w:before="240" w:after="0"/>
        <w:ind w:left="709"/>
        <w:rPr>
          <w:b w:val="0"/>
        </w:rPr>
      </w:pPr>
      <w:bookmarkStart w:id="21" w:name="_Toc403555093"/>
      <w:r w:rsidRPr="00276E1B">
        <w:t>Questions</w:t>
      </w:r>
      <w:r>
        <w:rPr>
          <w:b w:val="0"/>
        </w:rPr>
        <w:t xml:space="preserve"> </w:t>
      </w:r>
      <w:r w:rsidRPr="00276E1B">
        <w:t>about this ITT</w:t>
      </w:r>
      <w:bookmarkEnd w:id="21"/>
    </w:p>
    <w:p w:rsidR="00A4489A" w:rsidRPr="009A3E29" w:rsidRDefault="00825FC5" w:rsidP="006B54D6">
      <w:pPr>
        <w:pStyle w:val="MRNumberedHeading2"/>
      </w:pPr>
      <w:bookmarkStart w:id="22" w:name="_Toc403555094"/>
      <w:bookmarkStart w:id="23" w:name="_Ref405452872"/>
      <w:r>
        <w:t xml:space="preserve">You may submit, by no later than </w:t>
      </w:r>
      <w:r w:rsidR="00E3236B">
        <w:t>4</w:t>
      </w:r>
      <w:r w:rsidR="00E3236B" w:rsidRPr="00E3236B">
        <w:rPr>
          <w:vertAlign w:val="superscript"/>
        </w:rPr>
        <w:t>th</w:t>
      </w:r>
      <w:r w:rsidR="00E3236B">
        <w:t xml:space="preserve"> April</w:t>
      </w:r>
      <w:r w:rsidR="009F0658">
        <w:t xml:space="preserve"> - 09:00</w:t>
      </w:r>
      <w:r w:rsidR="00E3236B">
        <w:t xml:space="preserve"> </w:t>
      </w:r>
      <w:r>
        <w:t xml:space="preserve">any queries that you have relating to this ITT.  Please submit such queries </w:t>
      </w:r>
      <w:r w:rsidR="00CF3C3F">
        <w:t>via the</w:t>
      </w:r>
      <w:r w:rsidR="0050545F">
        <w:t xml:space="preserve"> e-Tendering</w:t>
      </w:r>
      <w:r w:rsidR="00CF3C3F">
        <w:t xml:space="preserve"> </w:t>
      </w:r>
      <w:r w:rsidR="004230E7">
        <w:t>Portal</w:t>
      </w:r>
      <w:r w:rsidR="00CF3C3F">
        <w:t xml:space="preserve">. </w:t>
      </w:r>
      <w:bookmarkEnd w:id="22"/>
      <w:bookmarkEnd w:id="23"/>
    </w:p>
    <w:p w:rsidR="00825FC5" w:rsidRDefault="00825FC5" w:rsidP="006B54D6">
      <w:pPr>
        <w:pStyle w:val="MRNumberedHeading2"/>
      </w:pPr>
      <w:bookmarkStart w:id="24"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4"/>
    </w:p>
    <w:p w:rsidR="004E71FF" w:rsidRPr="005A2E47" w:rsidRDefault="00825FC5" w:rsidP="006B54D6">
      <w:pPr>
        <w:pStyle w:val="MRNumberedHeading2"/>
      </w:pPr>
      <w:bookmarkStart w:id="25"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5"/>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6" w:name="_Toc403556502"/>
      <w:bookmarkStart w:id="27" w:name="_Toc403556507"/>
      <w:r w:rsidRPr="008F3D2C">
        <w:rPr>
          <w:sz w:val="20"/>
          <w:szCs w:val="20"/>
        </w:rPr>
        <w:lastRenderedPageBreak/>
        <w:t>TENDER TIMETABLE</w:t>
      </w:r>
      <w:bookmarkEnd w:id="26"/>
      <w:bookmarkEnd w:id="27"/>
    </w:p>
    <w:p w:rsidR="008D3217" w:rsidRPr="00276E1B" w:rsidRDefault="008D3217" w:rsidP="00337295">
      <w:pPr>
        <w:pStyle w:val="Heading1"/>
        <w:spacing w:before="240" w:after="0"/>
        <w:ind w:left="709"/>
      </w:pPr>
      <w:bookmarkStart w:id="28" w:name="_Toc403555097"/>
      <w:r w:rsidRPr="00276E1B">
        <w:t>Key dates</w:t>
      </w:r>
      <w:bookmarkEnd w:id="28"/>
    </w:p>
    <w:p w:rsidR="008D3217" w:rsidRDefault="008D3217" w:rsidP="006B54D6">
      <w:pPr>
        <w:pStyle w:val="MRNumberedHeading2"/>
      </w:pPr>
      <w:bookmarkStart w:id="29"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29"/>
      <w:r w:rsidR="00B46DA5">
        <w:t xml:space="preserve"> </w:t>
      </w:r>
    </w:p>
    <w:p w:rsidR="00B46DA5" w:rsidRDefault="00FE07BA" w:rsidP="006B54D6">
      <w:pPr>
        <w:pStyle w:val="MRNumberedHeading2"/>
      </w:pPr>
      <w:bookmarkStart w:id="30" w:name="_Toc403555099"/>
      <w:bookmarkStart w:id="31" w:name="_Ref405452883"/>
      <w:bookmarkStart w:id="32" w:name="_Ref406061800"/>
      <w:bookmarkStart w:id="33" w:name="_Ref406062870"/>
      <w:r>
        <w:t>The key dates for this procurement are currently anticipated to be as follows:</w:t>
      </w:r>
      <w:bookmarkEnd w:id="30"/>
      <w:bookmarkEnd w:id="31"/>
      <w:bookmarkEnd w:id="32"/>
      <w:bookmarkEnd w:id="33"/>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4820"/>
        <w:gridCol w:w="3260"/>
      </w:tblGrid>
      <w:tr w:rsidR="00FE07BA" w:rsidTr="00E3236B">
        <w:tc>
          <w:tcPr>
            <w:tcW w:w="4820"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3260"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E3236B">
        <w:trPr>
          <w:trHeight w:val="475"/>
        </w:trPr>
        <w:tc>
          <w:tcPr>
            <w:tcW w:w="4820" w:type="dxa"/>
          </w:tcPr>
          <w:p w:rsidR="00FE07BA" w:rsidRDefault="00FE07BA" w:rsidP="00FE07BA">
            <w:pPr>
              <w:pStyle w:val="Heading2"/>
              <w:numPr>
                <w:ilvl w:val="0"/>
                <w:numId w:val="0"/>
              </w:numPr>
              <w:outlineLvl w:val="1"/>
            </w:pPr>
            <w:r>
              <w:t>ITT issued</w:t>
            </w:r>
          </w:p>
        </w:tc>
        <w:tc>
          <w:tcPr>
            <w:tcW w:w="3260" w:type="dxa"/>
          </w:tcPr>
          <w:p w:rsidR="00FE07BA" w:rsidRPr="002D2E91" w:rsidRDefault="000248BC" w:rsidP="00FE07BA">
            <w:pPr>
              <w:pStyle w:val="Heading2"/>
              <w:numPr>
                <w:ilvl w:val="0"/>
                <w:numId w:val="0"/>
              </w:numPr>
              <w:outlineLvl w:val="1"/>
            </w:pPr>
            <w:r>
              <w:t>26</w:t>
            </w:r>
            <w:r w:rsidRPr="000248BC">
              <w:rPr>
                <w:vertAlign w:val="superscript"/>
              </w:rPr>
              <w:t>th</w:t>
            </w:r>
            <w:r>
              <w:t xml:space="preserve"> March</w:t>
            </w:r>
            <w:r w:rsidR="001C33B9">
              <w:t xml:space="preserve"> 2018</w:t>
            </w:r>
          </w:p>
          <w:p w:rsidR="003273D3" w:rsidRPr="002D2E91" w:rsidRDefault="003273D3" w:rsidP="00FE07BA">
            <w:pPr>
              <w:pStyle w:val="Heading2"/>
              <w:numPr>
                <w:ilvl w:val="0"/>
                <w:numId w:val="0"/>
              </w:numPr>
              <w:outlineLvl w:val="1"/>
            </w:pPr>
          </w:p>
        </w:tc>
      </w:tr>
      <w:tr w:rsidR="00FE07BA" w:rsidTr="00E3236B">
        <w:tc>
          <w:tcPr>
            <w:tcW w:w="4820" w:type="dxa"/>
          </w:tcPr>
          <w:p w:rsidR="00FE07BA" w:rsidRDefault="00FE07BA" w:rsidP="00FE07BA">
            <w:pPr>
              <w:pStyle w:val="Heading2"/>
              <w:numPr>
                <w:ilvl w:val="0"/>
                <w:numId w:val="0"/>
              </w:numPr>
              <w:outlineLvl w:val="1"/>
            </w:pPr>
            <w:r>
              <w:t>Deadline for the receipt of clarification questions</w:t>
            </w:r>
          </w:p>
        </w:tc>
        <w:tc>
          <w:tcPr>
            <w:tcW w:w="3260" w:type="dxa"/>
          </w:tcPr>
          <w:p w:rsidR="001C33B9" w:rsidRDefault="009F0658" w:rsidP="00FE07BA">
            <w:pPr>
              <w:pStyle w:val="Heading2"/>
              <w:numPr>
                <w:ilvl w:val="0"/>
                <w:numId w:val="0"/>
              </w:numPr>
              <w:outlineLvl w:val="1"/>
            </w:pPr>
            <w:r>
              <w:t>4</w:t>
            </w:r>
            <w:r w:rsidRPr="009F0658">
              <w:rPr>
                <w:vertAlign w:val="superscript"/>
              </w:rPr>
              <w:t>th</w:t>
            </w:r>
            <w:r>
              <w:t xml:space="preserve"> </w:t>
            </w:r>
            <w:r w:rsidR="000248BC">
              <w:t xml:space="preserve">April </w:t>
            </w:r>
            <w:r w:rsidR="001C33B9">
              <w:t>2018</w:t>
            </w:r>
          </w:p>
          <w:p w:rsidR="00FE07BA" w:rsidRPr="002D2E91" w:rsidRDefault="001C33B9" w:rsidP="00FE07BA">
            <w:pPr>
              <w:pStyle w:val="Heading2"/>
              <w:numPr>
                <w:ilvl w:val="0"/>
                <w:numId w:val="0"/>
              </w:numPr>
              <w:outlineLvl w:val="1"/>
            </w:pPr>
            <w:r>
              <w:t>09:00</w:t>
            </w:r>
          </w:p>
          <w:p w:rsidR="003273D3" w:rsidRPr="002D2E91" w:rsidRDefault="003273D3" w:rsidP="00FE07BA">
            <w:pPr>
              <w:pStyle w:val="Heading2"/>
              <w:numPr>
                <w:ilvl w:val="0"/>
                <w:numId w:val="0"/>
              </w:numPr>
              <w:outlineLvl w:val="1"/>
            </w:pPr>
          </w:p>
        </w:tc>
      </w:tr>
      <w:tr w:rsidR="00FE07BA" w:rsidTr="00E3236B">
        <w:tc>
          <w:tcPr>
            <w:tcW w:w="4820" w:type="dxa"/>
          </w:tcPr>
          <w:p w:rsidR="00FE07BA" w:rsidRDefault="00FE07BA" w:rsidP="00FE07BA">
            <w:pPr>
              <w:pStyle w:val="Heading2"/>
              <w:numPr>
                <w:ilvl w:val="0"/>
                <w:numId w:val="0"/>
              </w:numPr>
              <w:outlineLvl w:val="1"/>
            </w:pPr>
            <w:r>
              <w:t>Target date for responses to clarification questions</w:t>
            </w:r>
          </w:p>
        </w:tc>
        <w:tc>
          <w:tcPr>
            <w:tcW w:w="3260" w:type="dxa"/>
          </w:tcPr>
          <w:p w:rsidR="001C33B9" w:rsidRDefault="000248BC" w:rsidP="003273D3">
            <w:pPr>
              <w:pStyle w:val="Heading2"/>
              <w:numPr>
                <w:ilvl w:val="0"/>
                <w:numId w:val="0"/>
              </w:numPr>
              <w:tabs>
                <w:tab w:val="left" w:pos="1652"/>
              </w:tabs>
              <w:outlineLvl w:val="1"/>
            </w:pPr>
            <w:r>
              <w:t>5</w:t>
            </w:r>
            <w:r w:rsidRPr="000248BC">
              <w:rPr>
                <w:vertAlign w:val="superscript"/>
              </w:rPr>
              <w:t>th</w:t>
            </w:r>
            <w:r w:rsidR="001C33B9">
              <w:t xml:space="preserve"> April 2018</w:t>
            </w:r>
          </w:p>
          <w:p w:rsidR="00FE07BA" w:rsidRPr="002D2E91" w:rsidRDefault="001C33B9" w:rsidP="003273D3">
            <w:pPr>
              <w:pStyle w:val="Heading2"/>
              <w:numPr>
                <w:ilvl w:val="0"/>
                <w:numId w:val="0"/>
              </w:numPr>
              <w:tabs>
                <w:tab w:val="left" w:pos="1652"/>
              </w:tabs>
              <w:outlineLvl w:val="1"/>
            </w:pPr>
            <w:r>
              <w:t>17:00</w:t>
            </w:r>
          </w:p>
          <w:p w:rsidR="003273D3" w:rsidRPr="002D2E91" w:rsidRDefault="003273D3" w:rsidP="003273D3">
            <w:pPr>
              <w:pStyle w:val="Heading2"/>
              <w:numPr>
                <w:ilvl w:val="0"/>
                <w:numId w:val="0"/>
              </w:numPr>
              <w:tabs>
                <w:tab w:val="left" w:pos="1652"/>
              </w:tabs>
              <w:outlineLvl w:val="1"/>
            </w:pPr>
          </w:p>
        </w:tc>
      </w:tr>
      <w:tr w:rsidR="00FE07BA" w:rsidTr="00E3236B">
        <w:tc>
          <w:tcPr>
            <w:tcW w:w="4820" w:type="dxa"/>
          </w:tcPr>
          <w:p w:rsidR="00FE07BA" w:rsidRDefault="00FE07BA" w:rsidP="00FE07BA">
            <w:pPr>
              <w:pStyle w:val="Heading2"/>
              <w:numPr>
                <w:ilvl w:val="0"/>
                <w:numId w:val="0"/>
              </w:numPr>
              <w:outlineLvl w:val="1"/>
            </w:pPr>
            <w:r>
              <w:t>Deadline for receipt of Tenders</w:t>
            </w:r>
          </w:p>
        </w:tc>
        <w:tc>
          <w:tcPr>
            <w:tcW w:w="3260" w:type="dxa"/>
          </w:tcPr>
          <w:p w:rsidR="001C33B9" w:rsidRDefault="000248BC" w:rsidP="000248BC">
            <w:pPr>
              <w:pStyle w:val="Heading2"/>
              <w:numPr>
                <w:ilvl w:val="0"/>
                <w:numId w:val="0"/>
              </w:numPr>
              <w:outlineLvl w:val="1"/>
            </w:pPr>
            <w:r>
              <w:t>16</w:t>
            </w:r>
            <w:r w:rsidR="00FC7E87" w:rsidRPr="00FC7E87">
              <w:rPr>
                <w:vertAlign w:val="superscript"/>
              </w:rPr>
              <w:t>th</w:t>
            </w:r>
            <w:r w:rsidR="001C33B9">
              <w:t xml:space="preserve"> April 2018</w:t>
            </w:r>
          </w:p>
          <w:p w:rsidR="003273D3" w:rsidRDefault="001C33B9" w:rsidP="000248BC">
            <w:pPr>
              <w:pStyle w:val="Heading2"/>
              <w:numPr>
                <w:ilvl w:val="0"/>
                <w:numId w:val="0"/>
              </w:numPr>
              <w:outlineLvl w:val="1"/>
            </w:pPr>
            <w:r>
              <w:t>12:00</w:t>
            </w:r>
          </w:p>
          <w:p w:rsidR="000248BC" w:rsidRPr="002D2E91" w:rsidRDefault="000248BC" w:rsidP="000248BC">
            <w:pPr>
              <w:pStyle w:val="Heading2"/>
              <w:numPr>
                <w:ilvl w:val="0"/>
                <w:numId w:val="0"/>
              </w:numPr>
              <w:outlineLvl w:val="1"/>
            </w:pPr>
          </w:p>
        </w:tc>
      </w:tr>
      <w:tr w:rsidR="00FE07BA" w:rsidTr="00E3236B">
        <w:tc>
          <w:tcPr>
            <w:tcW w:w="4820" w:type="dxa"/>
          </w:tcPr>
          <w:p w:rsidR="00FE07BA" w:rsidRDefault="00FE07BA" w:rsidP="00FE07BA">
            <w:pPr>
              <w:pStyle w:val="Heading2"/>
              <w:numPr>
                <w:ilvl w:val="0"/>
                <w:numId w:val="0"/>
              </w:numPr>
              <w:outlineLvl w:val="1"/>
            </w:pPr>
            <w:r>
              <w:t>Evaluation of Tenders</w:t>
            </w:r>
          </w:p>
        </w:tc>
        <w:tc>
          <w:tcPr>
            <w:tcW w:w="3260" w:type="dxa"/>
          </w:tcPr>
          <w:p w:rsidR="00FE07BA" w:rsidRPr="002D2E91" w:rsidRDefault="00281B32" w:rsidP="003273D3">
            <w:pPr>
              <w:pStyle w:val="Heading2"/>
              <w:numPr>
                <w:ilvl w:val="0"/>
                <w:numId w:val="0"/>
              </w:numPr>
              <w:outlineLvl w:val="1"/>
            </w:pPr>
            <w:r>
              <w:t>W/C</w:t>
            </w:r>
            <w:r w:rsidR="000248BC">
              <w:t xml:space="preserve"> 16</w:t>
            </w:r>
            <w:r w:rsidR="000248BC" w:rsidRPr="001C33B9">
              <w:rPr>
                <w:vertAlign w:val="superscript"/>
              </w:rPr>
              <w:t>th</w:t>
            </w:r>
            <w:r w:rsidR="001C33B9">
              <w:t xml:space="preserve"> April 2018</w:t>
            </w:r>
          </w:p>
          <w:p w:rsidR="003273D3" w:rsidRPr="002D2E91" w:rsidRDefault="003273D3" w:rsidP="003273D3">
            <w:pPr>
              <w:pStyle w:val="Heading2"/>
              <w:numPr>
                <w:ilvl w:val="0"/>
                <w:numId w:val="0"/>
              </w:numPr>
              <w:outlineLvl w:val="1"/>
            </w:pPr>
          </w:p>
        </w:tc>
      </w:tr>
      <w:tr w:rsidR="00FE07BA" w:rsidTr="00E3236B">
        <w:tc>
          <w:tcPr>
            <w:tcW w:w="4820" w:type="dxa"/>
          </w:tcPr>
          <w:p w:rsidR="00FE07BA" w:rsidRDefault="00FE07BA" w:rsidP="00FE07BA">
            <w:pPr>
              <w:pStyle w:val="Heading2"/>
              <w:numPr>
                <w:ilvl w:val="0"/>
                <w:numId w:val="0"/>
              </w:numPr>
              <w:outlineLvl w:val="1"/>
            </w:pPr>
            <w:r>
              <w:t>Notification of contract award decision</w:t>
            </w:r>
          </w:p>
        </w:tc>
        <w:tc>
          <w:tcPr>
            <w:tcW w:w="3260" w:type="dxa"/>
          </w:tcPr>
          <w:p w:rsidR="00FE07BA" w:rsidRPr="002D2E91" w:rsidRDefault="000248BC" w:rsidP="00FE07BA">
            <w:pPr>
              <w:pStyle w:val="Heading2"/>
              <w:numPr>
                <w:ilvl w:val="0"/>
                <w:numId w:val="0"/>
              </w:numPr>
              <w:outlineLvl w:val="1"/>
            </w:pPr>
            <w:r>
              <w:t>20</w:t>
            </w:r>
            <w:r w:rsidRPr="000248BC">
              <w:rPr>
                <w:vertAlign w:val="superscript"/>
              </w:rPr>
              <w:t>th</w:t>
            </w:r>
            <w:r>
              <w:t xml:space="preserve"> April</w:t>
            </w:r>
            <w:r w:rsidR="001C33B9">
              <w:t xml:space="preserve"> 2018</w:t>
            </w:r>
          </w:p>
          <w:p w:rsidR="003273D3" w:rsidRPr="002D2E91" w:rsidRDefault="003273D3" w:rsidP="00FE07BA">
            <w:pPr>
              <w:pStyle w:val="Heading2"/>
              <w:numPr>
                <w:ilvl w:val="0"/>
                <w:numId w:val="0"/>
              </w:numPr>
              <w:outlineLvl w:val="1"/>
            </w:pPr>
          </w:p>
        </w:tc>
      </w:tr>
      <w:tr w:rsidR="00FE07BA" w:rsidTr="00E3236B">
        <w:tc>
          <w:tcPr>
            <w:tcW w:w="4820" w:type="dxa"/>
          </w:tcPr>
          <w:p w:rsidR="00FE07BA" w:rsidRDefault="000248BC" w:rsidP="00FE07BA">
            <w:pPr>
              <w:pStyle w:val="Heading2"/>
              <w:numPr>
                <w:ilvl w:val="0"/>
                <w:numId w:val="0"/>
              </w:numPr>
              <w:outlineLvl w:val="1"/>
            </w:pPr>
            <w:r>
              <w:t>Mobilisation period</w:t>
            </w:r>
          </w:p>
        </w:tc>
        <w:tc>
          <w:tcPr>
            <w:tcW w:w="3260" w:type="dxa"/>
          </w:tcPr>
          <w:p w:rsidR="00FE07BA" w:rsidRPr="002D2E91" w:rsidRDefault="00281B32" w:rsidP="00FE07BA">
            <w:pPr>
              <w:pStyle w:val="Heading2"/>
              <w:numPr>
                <w:ilvl w:val="0"/>
                <w:numId w:val="0"/>
              </w:numPr>
              <w:outlineLvl w:val="1"/>
            </w:pPr>
            <w:r>
              <w:t>W/C</w:t>
            </w:r>
            <w:r w:rsidR="000248BC">
              <w:t xml:space="preserve"> 23</w:t>
            </w:r>
            <w:r w:rsidR="000248BC" w:rsidRPr="000248BC">
              <w:rPr>
                <w:vertAlign w:val="superscript"/>
              </w:rPr>
              <w:t>rd</w:t>
            </w:r>
            <w:r w:rsidR="000248BC">
              <w:t xml:space="preserve"> April</w:t>
            </w:r>
            <w:r w:rsidR="001C33B9">
              <w:t xml:space="preserve"> 2018</w:t>
            </w:r>
          </w:p>
          <w:p w:rsidR="003273D3" w:rsidRPr="002D2E91" w:rsidRDefault="003273D3" w:rsidP="00FE07BA">
            <w:pPr>
              <w:pStyle w:val="Heading2"/>
              <w:numPr>
                <w:ilvl w:val="0"/>
                <w:numId w:val="0"/>
              </w:numPr>
              <w:outlineLvl w:val="1"/>
            </w:pPr>
          </w:p>
        </w:tc>
      </w:tr>
      <w:tr w:rsidR="00FE07BA" w:rsidTr="00E3236B">
        <w:tc>
          <w:tcPr>
            <w:tcW w:w="4820" w:type="dxa"/>
          </w:tcPr>
          <w:p w:rsidR="00FE07BA" w:rsidRDefault="00FE07BA" w:rsidP="00FE07BA">
            <w:pPr>
              <w:pStyle w:val="Heading2"/>
              <w:numPr>
                <w:ilvl w:val="0"/>
                <w:numId w:val="0"/>
              </w:numPr>
              <w:outlineLvl w:val="1"/>
            </w:pPr>
            <w:r>
              <w:t xml:space="preserve">Contract work starts </w:t>
            </w:r>
          </w:p>
        </w:tc>
        <w:tc>
          <w:tcPr>
            <w:tcW w:w="3260" w:type="dxa"/>
          </w:tcPr>
          <w:p w:rsidR="00FE07BA" w:rsidRPr="002D2E91" w:rsidRDefault="00FC7E87" w:rsidP="00FE07BA">
            <w:pPr>
              <w:pStyle w:val="Heading2"/>
              <w:numPr>
                <w:ilvl w:val="0"/>
                <w:numId w:val="0"/>
              </w:numPr>
              <w:outlineLvl w:val="1"/>
            </w:pPr>
            <w:r>
              <w:t>1</w:t>
            </w:r>
            <w:r w:rsidRPr="00FC7E87">
              <w:rPr>
                <w:vertAlign w:val="superscript"/>
              </w:rPr>
              <w:t>st</w:t>
            </w:r>
            <w:r>
              <w:t xml:space="preserve"> May 2018</w:t>
            </w:r>
          </w:p>
          <w:p w:rsidR="003273D3" w:rsidRPr="002D2E91" w:rsidRDefault="003273D3" w:rsidP="00FE07BA">
            <w:pPr>
              <w:pStyle w:val="Heading2"/>
              <w:numPr>
                <w:ilvl w:val="0"/>
                <w:numId w:val="0"/>
              </w:numPr>
              <w:outlineLvl w:val="1"/>
            </w:pPr>
          </w:p>
        </w:tc>
      </w:tr>
    </w:tbl>
    <w:p w:rsidR="009A3E29" w:rsidRPr="009A3E29" w:rsidRDefault="009A3E29" w:rsidP="009A3E29">
      <w:pPr>
        <w:pStyle w:val="Heading2"/>
        <w:numPr>
          <w:ilvl w:val="0"/>
          <w:numId w:val="0"/>
        </w:numPr>
        <w:ind w:left="851"/>
      </w:pPr>
    </w:p>
    <w:p w:rsidR="00FE07BA" w:rsidRDefault="00FE07BA" w:rsidP="006B54D6">
      <w:pPr>
        <w:pStyle w:val="MRNumberedHeading2"/>
      </w:pPr>
      <w:bookmarkStart w:id="34" w:name="_Toc403555100"/>
      <w:bookmarkStart w:id="35" w:name="_Ref405452899"/>
      <w:r>
        <w:t>Whilst the Authority does not intend to depart from the timetable, it reserves the right to do so at any stage.</w:t>
      </w:r>
      <w:bookmarkEnd w:id="34"/>
      <w:bookmarkEnd w:id="35"/>
      <w:r>
        <w:t xml:space="preserve">  </w:t>
      </w:r>
    </w:p>
    <w:p w:rsidR="000831C0" w:rsidRPr="00276E1B" w:rsidRDefault="000E189B" w:rsidP="00337295">
      <w:pPr>
        <w:pStyle w:val="Heading1"/>
        <w:spacing w:before="240" w:after="0"/>
        <w:ind w:left="709"/>
      </w:pPr>
      <w:bookmarkStart w:id="36" w:name="_Toc403555104"/>
      <w:r w:rsidRPr="00276E1B">
        <w:t>Deadline for receipt of Tenders</w:t>
      </w:r>
      <w:bookmarkEnd w:id="36"/>
      <w:r w:rsidRPr="00276E1B">
        <w:t xml:space="preserve"> </w:t>
      </w:r>
    </w:p>
    <w:p w:rsidR="000831C0" w:rsidRDefault="0083677A" w:rsidP="006B54D6">
      <w:pPr>
        <w:pStyle w:val="MRNumberedHeading2"/>
      </w:pPr>
      <w:bookmarkStart w:id="37"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37"/>
    </w:p>
    <w:p w:rsidR="00E37725" w:rsidRDefault="00807CF7" w:rsidP="006B54D6">
      <w:pPr>
        <w:pStyle w:val="MRNumberedHeading2"/>
      </w:pPr>
      <w:bookmarkStart w:id="38" w:name="_Toc403555106"/>
      <w:bookmarkStart w:id="39"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38"/>
      <w:bookmarkEnd w:id="39"/>
    </w:p>
    <w:p w:rsidR="004E71FF" w:rsidRPr="005A2E47" w:rsidRDefault="004E71FF" w:rsidP="006B54D6">
      <w:pPr>
        <w:pStyle w:val="MRNumberedHeading2"/>
      </w:pPr>
      <w:r>
        <w:br w:type="page"/>
      </w:r>
    </w:p>
    <w:p w:rsidR="008824CC" w:rsidRPr="008F3D2C" w:rsidRDefault="00A57D02" w:rsidP="00E56C05">
      <w:pPr>
        <w:pStyle w:val="MRNumberedHeading1"/>
        <w:numPr>
          <w:ilvl w:val="0"/>
          <w:numId w:val="24"/>
        </w:numPr>
        <w:ind w:hanging="798"/>
        <w:rPr>
          <w:sz w:val="20"/>
          <w:szCs w:val="20"/>
        </w:rPr>
      </w:pPr>
      <w:bookmarkStart w:id="40" w:name="_Toc403556503"/>
      <w:bookmarkStart w:id="41" w:name="_Toc403556508"/>
      <w:r w:rsidRPr="008F3D2C">
        <w:rPr>
          <w:sz w:val="20"/>
          <w:szCs w:val="20"/>
        </w:rPr>
        <w:lastRenderedPageBreak/>
        <w:t xml:space="preserve">INSTRUCTIONS TO </w:t>
      </w:r>
      <w:r w:rsidR="00E7163F" w:rsidRPr="008F3D2C">
        <w:rPr>
          <w:sz w:val="20"/>
          <w:szCs w:val="20"/>
        </w:rPr>
        <w:t>BIDDERS</w:t>
      </w:r>
      <w:bookmarkEnd w:id="40"/>
      <w:bookmarkEnd w:id="41"/>
      <w:r w:rsidRPr="008F3D2C">
        <w:rPr>
          <w:sz w:val="20"/>
          <w:szCs w:val="20"/>
        </w:rPr>
        <w:t xml:space="preserve"> </w:t>
      </w:r>
    </w:p>
    <w:p w:rsidR="006534CF" w:rsidRPr="00276E1B" w:rsidRDefault="00E41C42" w:rsidP="00337295">
      <w:pPr>
        <w:pStyle w:val="Heading1"/>
        <w:spacing w:before="240" w:after="0"/>
        <w:ind w:left="709"/>
      </w:pPr>
      <w:bookmarkStart w:id="42" w:name="_Toc403555122"/>
      <w:r w:rsidRPr="00276E1B">
        <w:t>Formalities for s</w:t>
      </w:r>
      <w:r w:rsidR="003E3EE7" w:rsidRPr="00276E1B">
        <w:t>ubmission of Tender</w:t>
      </w:r>
      <w:bookmarkEnd w:id="42"/>
      <w:r w:rsidR="00226AE3">
        <w:t>s</w:t>
      </w:r>
      <w:r w:rsidR="003E3EE7" w:rsidRPr="00276E1B">
        <w:t xml:space="preserve"> </w:t>
      </w:r>
    </w:p>
    <w:p w:rsidR="00E41C42" w:rsidRPr="00BD090F" w:rsidRDefault="00E7163F" w:rsidP="006B54D6">
      <w:pPr>
        <w:pStyle w:val="MRNumberedHeading2"/>
      </w:pPr>
      <w:bookmarkStart w:id="43" w:name="_Toc403555123"/>
      <w:bookmarkStart w:id="44" w:name="_Ref405452954"/>
      <w:r w:rsidRPr="00BD090F">
        <w:t>Bidders</w:t>
      </w:r>
      <w:r w:rsidR="00CC6A3C" w:rsidRPr="00BD090F">
        <w:t xml:space="preserve"> must submit </w:t>
      </w:r>
      <w:r w:rsidR="002705A5" w:rsidRPr="00BD090F">
        <w:t xml:space="preserve">their Tenders by completing the Annexes to Section B of the ITT.   Completed Tenders must be submitted </w:t>
      </w:r>
      <w:r w:rsidR="006B54D6" w:rsidRPr="00BD090F">
        <w:t xml:space="preserve">using the </w:t>
      </w:r>
      <w:r w:rsidR="0050545F" w:rsidRPr="00BD090F">
        <w:t xml:space="preserve">e-Tendering </w:t>
      </w:r>
      <w:r w:rsidR="006B54D6" w:rsidRPr="00BD090F">
        <w:t>Portal.</w:t>
      </w:r>
      <w:r w:rsidR="00CC6A3C" w:rsidRPr="00BD090F">
        <w:t xml:space="preserve"> </w:t>
      </w:r>
      <w:r w:rsidRPr="00BD090F">
        <w:t>Bidders</w:t>
      </w:r>
      <w:r w:rsidR="00CC6A3C" w:rsidRPr="00BD090F">
        <w:t xml:space="preserve"> </w:t>
      </w:r>
      <w:r w:rsidR="00FC24F6" w:rsidRPr="00BD090F">
        <w:t>should</w:t>
      </w:r>
      <w:r w:rsidR="00CC6A3C" w:rsidRPr="00BD090F">
        <w:t xml:space="preserve"> ensure that they </w:t>
      </w:r>
      <w:r w:rsidR="00162244" w:rsidRPr="00BD090F">
        <w:t>allow</w:t>
      </w:r>
      <w:r w:rsidR="00336D0E" w:rsidRPr="00BD090F">
        <w:t xml:space="preserve"> plenty of time to upload the T</w:t>
      </w:r>
      <w:r w:rsidR="00CC6A3C" w:rsidRPr="00BD090F">
        <w:t xml:space="preserve">ender response, particularly where there are large documents.  If </w:t>
      </w:r>
      <w:r w:rsidRPr="00BD090F">
        <w:t>Bidders</w:t>
      </w:r>
      <w:r w:rsidR="00CC6A3C" w:rsidRPr="00BD090F">
        <w:t xml:space="preserve"> have any problems with </w:t>
      </w:r>
      <w:r w:rsidR="006B54D6" w:rsidRPr="00BD090F">
        <w:t>the</w:t>
      </w:r>
      <w:r w:rsidR="00CC6A3C" w:rsidRPr="00BD090F">
        <w:t xml:space="preserve"> </w:t>
      </w:r>
      <w:r w:rsidR="0050545F" w:rsidRPr="00BD090F">
        <w:t xml:space="preserve">e-Tendering </w:t>
      </w:r>
      <w:r w:rsidR="004230E7" w:rsidRPr="00BD090F">
        <w:t>Portal</w:t>
      </w:r>
      <w:r w:rsidR="00CC6A3C" w:rsidRPr="00BD090F">
        <w:t xml:space="preserve">, they </w:t>
      </w:r>
      <w:r w:rsidR="00162244" w:rsidRPr="00BD090F">
        <w:t>should</w:t>
      </w:r>
      <w:r w:rsidR="00CC6A3C" w:rsidRPr="00BD090F">
        <w:t xml:space="preserve"> contact the helpdesk </w:t>
      </w:r>
      <w:r w:rsidR="00BD090F" w:rsidRPr="00BD090F">
        <w:t xml:space="preserve">or use the ‘click to chat’ function. </w:t>
      </w:r>
      <w:r w:rsidR="00B667F9" w:rsidRPr="00BD090F">
        <w:t>As noted above, any Tender received after the deadline may not be considered.</w:t>
      </w:r>
      <w:bookmarkEnd w:id="43"/>
      <w:bookmarkEnd w:id="44"/>
    </w:p>
    <w:p w:rsidR="007D2B00" w:rsidRDefault="007D2B00" w:rsidP="007D2B00">
      <w:pPr>
        <w:pStyle w:val="MRNumberedHeading1"/>
        <w:numPr>
          <w:ilvl w:val="0"/>
          <w:numId w:val="0"/>
        </w:numPr>
        <w:ind w:left="798"/>
      </w:pPr>
      <w:r>
        <w:t>Poin</w:t>
      </w:r>
      <w:r w:rsidR="00BD090F">
        <w:t>t to contacts pag</w:t>
      </w:r>
      <w:r>
        <w:t>e</w:t>
      </w:r>
    </w:p>
    <w:p w:rsidR="00E41C42" w:rsidRDefault="00E41C42" w:rsidP="006B54D6">
      <w:pPr>
        <w:pStyle w:val="MRNumberedHeading2"/>
      </w:pPr>
      <w:bookmarkStart w:id="45" w:name="_Toc403555124"/>
      <w:r>
        <w:t>The maximum file s</w:t>
      </w:r>
      <w:r w:rsidR="0052179E">
        <w:t>ize for uploading documents is 100MB</w:t>
      </w:r>
      <w:r>
        <w:t>.  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45"/>
    </w:p>
    <w:p w:rsidR="00E62354" w:rsidRPr="00085238" w:rsidRDefault="00FC24F6" w:rsidP="006B54D6">
      <w:pPr>
        <w:pStyle w:val="MRNumberedHeading2"/>
      </w:pPr>
      <w:bookmarkStart w:id="46" w:name="_Toc403555125"/>
      <w:bookmarkStart w:id="47" w:name="_Ref405453188"/>
      <w:r w:rsidRPr="00085238">
        <w:t>Bidders must adhere to the</w:t>
      </w:r>
      <w:r w:rsidR="00C27CC2" w:rsidRPr="00085238">
        <w:t xml:space="preserve"> following</w:t>
      </w:r>
      <w:r w:rsidR="002869D0" w:rsidRPr="00085238">
        <w:t xml:space="preserve"> standard</w:t>
      </w:r>
      <w:r w:rsidR="00C27CC2" w:rsidRPr="00085238">
        <w:t xml:space="preserve"> requirements </w:t>
      </w:r>
      <w:r w:rsidR="00E62354" w:rsidRPr="00085238">
        <w:t xml:space="preserve">when submitting </w:t>
      </w:r>
      <w:r w:rsidRPr="00085238">
        <w:t>their</w:t>
      </w:r>
      <w:r w:rsidR="00E62354" w:rsidRPr="00085238">
        <w:t xml:space="preserve"> </w:t>
      </w:r>
      <w:r w:rsidR="00C27CC2" w:rsidRPr="00085238">
        <w:t>Tenders:</w:t>
      </w:r>
      <w:bookmarkEnd w:id="46"/>
      <w:bookmarkEnd w:id="47"/>
    </w:p>
    <w:p w:rsidR="00E62354" w:rsidRPr="00BD090F" w:rsidRDefault="00FC24F6" w:rsidP="002D6116">
      <w:pPr>
        <w:pStyle w:val="MRNumberedHeading3"/>
        <w:numPr>
          <w:ilvl w:val="2"/>
          <w:numId w:val="23"/>
        </w:numPr>
        <w:tabs>
          <w:tab w:val="clear" w:pos="2214"/>
          <w:tab w:val="num" w:pos="1794"/>
        </w:tabs>
        <w:spacing w:line="240" w:lineRule="auto"/>
        <w:ind w:left="1702" w:hanging="851"/>
        <w:jc w:val="both"/>
      </w:pPr>
      <w:r w:rsidRPr="00BD090F">
        <w:t>Do not embed documents</w:t>
      </w:r>
      <w:r w:rsidR="00C27CC2" w:rsidRPr="00BD090F">
        <w:t xml:space="preserve"> within other documents</w:t>
      </w:r>
      <w:r w:rsidRPr="00BD090F">
        <w:t>.</w:t>
      </w:r>
      <w:r w:rsidR="00C27CC2" w:rsidRPr="00BD090F">
        <w:t xml:space="preserve"> </w:t>
      </w:r>
      <w:r w:rsidRPr="00BD090F">
        <w:t>Instead</w:t>
      </w:r>
      <w:r w:rsidR="00C27CC2" w:rsidRPr="00BD090F">
        <w:t xml:space="preserve"> provide separate electronic copies of the </w:t>
      </w:r>
      <w:r w:rsidRPr="00BD090F">
        <w:t>documents, clearly labelled and referenced if necessary.</w:t>
      </w:r>
    </w:p>
    <w:p w:rsidR="00E62354" w:rsidRPr="00BD090F" w:rsidRDefault="00C27CC2" w:rsidP="002D6116">
      <w:pPr>
        <w:pStyle w:val="MRNumberedHeading3"/>
        <w:numPr>
          <w:ilvl w:val="2"/>
          <w:numId w:val="23"/>
        </w:numPr>
        <w:tabs>
          <w:tab w:val="clear" w:pos="2214"/>
          <w:tab w:val="num" w:pos="1794"/>
        </w:tabs>
        <w:spacing w:line="240" w:lineRule="auto"/>
        <w:ind w:left="1702" w:hanging="851"/>
        <w:jc w:val="both"/>
      </w:pPr>
      <w:r w:rsidRPr="00BD090F">
        <w:t>The Tender must be in English and drafted in accordance with the drafting guidance set out in this ITT.</w:t>
      </w:r>
    </w:p>
    <w:p w:rsidR="00E62354" w:rsidRPr="00BD090F" w:rsidRDefault="00C27CC2" w:rsidP="002D6116">
      <w:pPr>
        <w:pStyle w:val="MRNumberedHeading3"/>
        <w:numPr>
          <w:ilvl w:val="2"/>
          <w:numId w:val="23"/>
        </w:numPr>
        <w:tabs>
          <w:tab w:val="clear" w:pos="2214"/>
          <w:tab w:val="num" w:pos="1794"/>
        </w:tabs>
        <w:spacing w:line="240" w:lineRule="auto"/>
        <w:ind w:left="1702" w:hanging="851"/>
        <w:jc w:val="both"/>
      </w:pPr>
      <w:r w:rsidRPr="00BD090F">
        <w:t>The Tender must be fully cross-referenced</w:t>
      </w:r>
      <w:r w:rsidR="00F36F19" w:rsidRPr="00BD090F">
        <w:t xml:space="preserve"> and include a</w:t>
      </w:r>
      <w:r w:rsidR="007B6206" w:rsidRPr="00BD090F">
        <w:t xml:space="preserve"> table of contents.</w:t>
      </w:r>
    </w:p>
    <w:p w:rsidR="00E62354" w:rsidRPr="00BD090F" w:rsidRDefault="00A60BD1" w:rsidP="002D6116">
      <w:pPr>
        <w:pStyle w:val="MRNumberedHeading3"/>
        <w:numPr>
          <w:ilvl w:val="2"/>
          <w:numId w:val="23"/>
        </w:numPr>
        <w:tabs>
          <w:tab w:val="clear" w:pos="2214"/>
          <w:tab w:val="num" w:pos="1794"/>
        </w:tabs>
        <w:spacing w:line="240" w:lineRule="auto"/>
        <w:ind w:left="1702" w:hanging="851"/>
        <w:jc w:val="both"/>
      </w:pPr>
      <w:r w:rsidRPr="00BD090F">
        <w:t>The Tender must include a l</w:t>
      </w:r>
      <w:r w:rsidR="00C27CC2" w:rsidRPr="00BD090F">
        <w:t xml:space="preserve">ist of </w:t>
      </w:r>
      <w:r w:rsidR="00F36F19" w:rsidRPr="00BD090F">
        <w:t xml:space="preserve">all </w:t>
      </w:r>
      <w:r w:rsidR="00C27CC2" w:rsidRPr="00BD090F">
        <w:t>supporting material.</w:t>
      </w:r>
    </w:p>
    <w:p w:rsidR="007D2B00" w:rsidRPr="00BD090F" w:rsidRDefault="00F36F19" w:rsidP="002D6116">
      <w:pPr>
        <w:pStyle w:val="MRNumberedHeading3"/>
        <w:numPr>
          <w:ilvl w:val="2"/>
          <w:numId w:val="23"/>
        </w:numPr>
        <w:tabs>
          <w:tab w:val="clear" w:pos="2214"/>
          <w:tab w:val="num" w:pos="1794"/>
        </w:tabs>
        <w:spacing w:line="240" w:lineRule="auto"/>
        <w:ind w:left="1702" w:hanging="851"/>
        <w:jc w:val="both"/>
      </w:pPr>
      <w:r w:rsidRPr="00BD090F">
        <w:t>E</w:t>
      </w:r>
      <w:r w:rsidR="00C27CC2" w:rsidRPr="00BD090F">
        <w:t>lectronic c</w:t>
      </w:r>
      <w:r w:rsidR="007D2B00" w:rsidRPr="00BD090F">
        <w:t>opies of the Tender shall be in</w:t>
      </w:r>
      <w:r w:rsidR="00C27CC2" w:rsidRPr="00BD090F">
        <w:t xml:space="preserve"> Microsoft </w:t>
      </w:r>
      <w:r w:rsidRPr="00BD090F">
        <w:t xml:space="preserve">Office </w:t>
      </w:r>
    </w:p>
    <w:p w:rsidR="00E62354" w:rsidRPr="00BD090F" w:rsidRDefault="00E7163F" w:rsidP="002D6116">
      <w:pPr>
        <w:pStyle w:val="MRNumberedHeading3"/>
        <w:numPr>
          <w:ilvl w:val="2"/>
          <w:numId w:val="23"/>
        </w:numPr>
        <w:tabs>
          <w:tab w:val="clear" w:pos="2214"/>
          <w:tab w:val="num" w:pos="1794"/>
        </w:tabs>
        <w:spacing w:line="240" w:lineRule="auto"/>
        <w:ind w:left="1702" w:hanging="851"/>
        <w:jc w:val="both"/>
      </w:pPr>
      <w:r w:rsidRPr="00BD090F">
        <w:t>Bidders</w:t>
      </w:r>
      <w:r w:rsidR="00BD090F" w:rsidRPr="00BD090F">
        <w:t xml:space="preserve"> should use font A</w:t>
      </w:r>
      <w:r w:rsidR="007D2B00" w:rsidRPr="00BD090F">
        <w:t>rial and</w:t>
      </w:r>
      <w:r w:rsidR="00BD090F" w:rsidRPr="00BD090F">
        <w:t xml:space="preserve"> size</w:t>
      </w:r>
      <w:r w:rsidR="007D2B00" w:rsidRPr="00BD090F">
        <w:t xml:space="preserve"> </w:t>
      </w:r>
      <w:r w:rsidR="00BD090F" w:rsidRPr="00BD090F">
        <w:t>11.</w:t>
      </w:r>
    </w:p>
    <w:p w:rsidR="00C27CC2" w:rsidRPr="00BD090F" w:rsidRDefault="00C27CC2" w:rsidP="002D6116">
      <w:pPr>
        <w:pStyle w:val="MRNumberedHeading3"/>
        <w:numPr>
          <w:ilvl w:val="2"/>
          <w:numId w:val="23"/>
        </w:numPr>
        <w:tabs>
          <w:tab w:val="clear" w:pos="2214"/>
          <w:tab w:val="num" w:pos="1794"/>
        </w:tabs>
        <w:spacing w:line="240" w:lineRule="auto"/>
        <w:ind w:left="1702" w:hanging="851"/>
        <w:jc w:val="both"/>
        <w:rPr>
          <w:rFonts w:cs="Arial"/>
        </w:rPr>
      </w:pPr>
      <w:r w:rsidRPr="00BD090F">
        <w:t xml:space="preserve">Line spacing must be </w:t>
      </w:r>
      <w:r w:rsidR="00E20ECE" w:rsidRPr="00BD090F">
        <w:t>1.15.</w:t>
      </w:r>
    </w:p>
    <w:p w:rsidR="007B6206" w:rsidRDefault="007B6206" w:rsidP="006B54D6">
      <w:pPr>
        <w:pStyle w:val="MRNumberedHeading2"/>
      </w:pPr>
      <w:bookmarkStart w:id="48"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48"/>
      <w:r>
        <w:t xml:space="preserve">  </w:t>
      </w:r>
    </w:p>
    <w:p w:rsidR="00601937" w:rsidRDefault="00C27CC2" w:rsidP="006B54D6">
      <w:pPr>
        <w:pStyle w:val="MRNumberedHeading2"/>
      </w:pPr>
      <w:bookmarkStart w:id="49" w:name="_Toc403555127"/>
      <w:bookmarkStart w:id="50"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49"/>
      <w:bookmarkEnd w:id="50"/>
      <w:r w:rsidR="000E5C37">
        <w:t xml:space="preserve"> </w:t>
      </w:r>
    </w:p>
    <w:p w:rsidR="002471B4" w:rsidRDefault="00C27CC2" w:rsidP="006B54D6">
      <w:pPr>
        <w:pStyle w:val="MRNumberedHeading2"/>
      </w:pPr>
      <w:bookmarkStart w:id="51" w:name="_Toc403555128"/>
      <w:bookmarkStart w:id="52" w:name="_Ref413143046"/>
      <w:r>
        <w:t>Tenders will be evaluated on the basis o</w:t>
      </w:r>
      <w:r w:rsidR="00A7044C">
        <w:t>f information submitted by the d</w:t>
      </w:r>
      <w:r>
        <w:t>eadline.</w:t>
      </w:r>
      <w:bookmarkEnd w:id="51"/>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52"/>
      <w:r w:rsidR="008C5577">
        <w:t xml:space="preserve"> </w:t>
      </w:r>
    </w:p>
    <w:p w:rsidR="00C45A8E" w:rsidRDefault="0017043F" w:rsidP="006B54D6">
      <w:pPr>
        <w:pStyle w:val="MRNumberedHeading2"/>
      </w:pPr>
      <w:bookmarkStart w:id="53" w:name="_Toc403555129"/>
      <w:r>
        <w:t>The</w:t>
      </w:r>
      <w:r w:rsidR="00C27CC2">
        <w:t xml:space="preserve"> Tender must be signed by a duly authorised</w:t>
      </w:r>
      <w:r>
        <w:t xml:space="preserve"> representative of the </w:t>
      </w:r>
      <w:r w:rsidR="00637C62">
        <w:t>Bidder.</w:t>
      </w:r>
      <w:bookmarkEnd w:id="53"/>
      <w:r w:rsidR="00637C62">
        <w:t xml:space="preserve">  </w:t>
      </w:r>
    </w:p>
    <w:p w:rsidR="006534CF" w:rsidRPr="00276E1B" w:rsidRDefault="001375C3" w:rsidP="00337295">
      <w:pPr>
        <w:pStyle w:val="Heading1"/>
        <w:spacing w:before="240" w:after="0"/>
        <w:ind w:left="709"/>
      </w:pPr>
      <w:bookmarkStart w:id="54" w:name="_Toc403555130"/>
      <w:r w:rsidRPr="00276E1B">
        <w:t>Modification and withdrawal of Tenders</w:t>
      </w:r>
      <w:bookmarkEnd w:id="54"/>
    </w:p>
    <w:p w:rsidR="004251F8" w:rsidRDefault="00AE400B" w:rsidP="006B54D6">
      <w:pPr>
        <w:pStyle w:val="MRNumberedHeading2"/>
      </w:pPr>
      <w:bookmarkStart w:id="55" w:name="_Toc403555131"/>
      <w:r>
        <w:t xml:space="preserve">Except as set out in paragraph </w:t>
      </w:r>
      <w:r>
        <w:fldChar w:fldCharType="begin"/>
      </w:r>
      <w:r>
        <w:instrText xml:space="preserve"> REF _Ref413143046 \r \h </w:instrText>
      </w:r>
      <w:r>
        <w:fldChar w:fldCharType="separate"/>
      </w:r>
      <w:r w:rsidR="007074AD">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55"/>
    </w:p>
    <w:p w:rsidR="004251F8" w:rsidRDefault="001375C3" w:rsidP="006B54D6">
      <w:pPr>
        <w:pStyle w:val="MRNumberedHeading2"/>
      </w:pPr>
      <w:bookmarkStart w:id="56" w:name="_Toc403555132"/>
      <w:bookmarkStart w:id="57" w:name="_Ref405453207"/>
      <w:r w:rsidRPr="00A24900">
        <w:lastRenderedPageBreak/>
        <w:t>Tenders may be withdrawn at any time before the deadlin</w:t>
      </w:r>
      <w:r w:rsidR="00336D0E">
        <w:t>e for receipt of T</w:t>
      </w:r>
      <w:r w:rsidR="002651E8">
        <w:t>enders.  Revised T</w:t>
      </w:r>
      <w:r w:rsidRPr="00A24900">
        <w:t>enders may be submitted up unt</w:t>
      </w:r>
      <w:r w:rsidR="00336D0E">
        <w:t>il the deadline for receipt of T</w:t>
      </w:r>
      <w:r w:rsidR="00085238">
        <w:t xml:space="preserve">enders, </w:t>
      </w:r>
      <w:r w:rsidR="002651E8" w:rsidRPr="00085238">
        <w:t>provided</w:t>
      </w:r>
      <w:r w:rsidRPr="00085238">
        <w:t xml:space="preserve"> such intention is notified to the Authority</w:t>
      </w:r>
      <w:r w:rsidR="00EB00F8" w:rsidRPr="00085238">
        <w:t xml:space="preserve"> using the </w:t>
      </w:r>
      <w:r w:rsidR="0050545F" w:rsidRPr="00085238">
        <w:t xml:space="preserve">e-Tendering </w:t>
      </w:r>
      <w:r w:rsidR="004230E7" w:rsidRPr="00085238">
        <w:t>Portal</w:t>
      </w:r>
      <w:bookmarkEnd w:id="56"/>
      <w:bookmarkEnd w:id="57"/>
      <w:r w:rsidR="00085238" w:rsidRPr="00085238">
        <w:t>.</w:t>
      </w:r>
    </w:p>
    <w:p w:rsidR="00BA173E" w:rsidRPr="00276E1B" w:rsidRDefault="00430158" w:rsidP="00337295">
      <w:pPr>
        <w:pStyle w:val="Heading1"/>
        <w:spacing w:before="240" w:after="0"/>
        <w:ind w:left="709"/>
      </w:pPr>
      <w:bookmarkStart w:id="58" w:name="_Toc403555134"/>
      <w:r w:rsidRPr="00276E1B">
        <w:rPr>
          <w:bCs/>
        </w:rPr>
        <w:t>Terms and conditions</w:t>
      </w:r>
      <w:bookmarkEnd w:id="58"/>
    </w:p>
    <w:p w:rsidR="00B00C70" w:rsidRPr="00BA173E" w:rsidRDefault="00746CCF" w:rsidP="006B54D6">
      <w:pPr>
        <w:pStyle w:val="MRNumberedHeading2"/>
        <w:rPr>
          <w:rFonts w:cs="Arial"/>
        </w:rPr>
      </w:pPr>
      <w:bookmarkStart w:id="59"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59"/>
    </w:p>
    <w:p w:rsidR="002F23DC" w:rsidRPr="00276E1B" w:rsidRDefault="002F23DC" w:rsidP="00337295">
      <w:pPr>
        <w:pStyle w:val="Heading1"/>
        <w:spacing w:before="240" w:after="0"/>
        <w:ind w:left="709"/>
      </w:pPr>
      <w:bookmarkStart w:id="60" w:name="_Toc403555136"/>
      <w:r w:rsidRPr="00276E1B">
        <w:t>Consortia and subcontractors</w:t>
      </w:r>
      <w:bookmarkEnd w:id="60"/>
      <w:r w:rsidRPr="00276E1B">
        <w:t xml:space="preserve"> </w:t>
      </w:r>
    </w:p>
    <w:p w:rsidR="00BA173E" w:rsidRDefault="00746CCF" w:rsidP="006B54D6">
      <w:pPr>
        <w:pStyle w:val="MRNumberedHeading2"/>
      </w:pPr>
      <w:bookmarkStart w:id="61" w:name="_Toc403555137"/>
      <w:bookmarkStart w:id="62" w:name="_Ref405453227"/>
      <w:r w:rsidRPr="003E3276">
        <w:t>If</w:t>
      </w:r>
      <w:r>
        <w:t xml:space="preserve"> the Bidder is a consortium or will rely on sub-contractors to deliver the contract, it must explain in its Tender precisely which entities will be the supplier.</w:t>
      </w:r>
      <w:bookmarkEnd w:id="61"/>
      <w:bookmarkEnd w:id="62"/>
    </w:p>
    <w:p w:rsidR="00746CCF" w:rsidRPr="008E6BB3" w:rsidRDefault="00746CCF" w:rsidP="006B54D6">
      <w:pPr>
        <w:pStyle w:val="MRNumberedHeading2"/>
      </w:pPr>
      <w:bookmarkStart w:id="63"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63"/>
    </w:p>
    <w:p w:rsidR="002F23DC" w:rsidRPr="00276E1B" w:rsidRDefault="002F23DC" w:rsidP="00337295">
      <w:pPr>
        <w:pStyle w:val="Heading1"/>
        <w:spacing w:before="240" w:after="0"/>
        <w:ind w:left="709"/>
      </w:pPr>
      <w:bookmarkStart w:id="64" w:name="_Toc403555140"/>
      <w:r w:rsidRPr="00276E1B">
        <w:t>Warnings and disclaimers</w:t>
      </w:r>
      <w:bookmarkEnd w:id="64"/>
    </w:p>
    <w:p w:rsidR="001B5F4F" w:rsidRDefault="001B5F4F" w:rsidP="006B54D6">
      <w:pPr>
        <w:pStyle w:val="MRNumberedHeading2"/>
      </w:pPr>
      <w:bookmarkStart w:id="65" w:name="_Toc403555141"/>
      <w:r>
        <w:t>While the information contained in this ITT is believed to be correct at the time of issue, neither the Authority</w:t>
      </w:r>
      <w:r w:rsidR="0079187F">
        <w:t xml:space="preserve"> nor</w:t>
      </w:r>
      <w:r>
        <w:t xml:space="preserve"> its advisors </w:t>
      </w:r>
      <w:proofErr w:type="gramStart"/>
      <w:r>
        <w:t>will accept</w:t>
      </w:r>
      <w:proofErr w:type="gramEnd"/>
      <w:r>
        <w:t xml:space="preserve">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65"/>
    </w:p>
    <w:p w:rsidR="001B5F4F" w:rsidRDefault="001B5F4F" w:rsidP="006B54D6">
      <w:pPr>
        <w:pStyle w:val="MRNumberedHeading2"/>
      </w:pPr>
      <w:bookmarkStart w:id="66"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66"/>
    </w:p>
    <w:p w:rsidR="001B5F4F" w:rsidRDefault="001B5F4F" w:rsidP="006B54D6">
      <w:pPr>
        <w:pStyle w:val="MRNumberedHeading2"/>
      </w:pPr>
      <w:bookmarkStart w:id="67" w:name="_Toc403555143"/>
      <w:r>
        <w:t>Neither the issue of this ITT, nor any of the information presented in it, should be regarded as a commitment or representation on the part of the Authority (or any other person) to enter into a contractual arrangement.</w:t>
      </w:r>
      <w:bookmarkEnd w:id="67"/>
    </w:p>
    <w:p w:rsidR="002F23DC" w:rsidRPr="00276E1B" w:rsidRDefault="001B5F4F" w:rsidP="00337295">
      <w:pPr>
        <w:pStyle w:val="Heading1"/>
        <w:spacing w:before="240" w:after="0"/>
        <w:ind w:left="709"/>
      </w:pPr>
      <w:bookmarkStart w:id="68" w:name="_Toc403555144"/>
      <w:r w:rsidRPr="00276E1B">
        <w:t>Freedom of Information Act 2000</w:t>
      </w:r>
      <w:r w:rsidR="008A56A2" w:rsidRPr="00276E1B">
        <w:t xml:space="preserve"> and Environmental Information Regulations 2004</w:t>
      </w:r>
      <w:bookmarkEnd w:id="68"/>
    </w:p>
    <w:p w:rsidR="001664D9" w:rsidRPr="001375C3" w:rsidRDefault="001664D9" w:rsidP="006B54D6">
      <w:pPr>
        <w:pStyle w:val="MRNumberedHeading2"/>
      </w:pPr>
      <w:bookmarkStart w:id="6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7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69"/>
      <w:r w:rsidRPr="001375C3">
        <w:t xml:space="preserve"> </w:t>
      </w:r>
      <w:bookmarkEnd w:id="70"/>
    </w:p>
    <w:p w:rsidR="001664D9" w:rsidRPr="001375C3" w:rsidRDefault="0079187F" w:rsidP="006B54D6">
      <w:pPr>
        <w:pStyle w:val="MRNumberedHeading2"/>
      </w:pPr>
      <w:bookmarkStart w:id="71"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71"/>
    </w:p>
    <w:p w:rsidR="001664D9" w:rsidRPr="001375C3" w:rsidRDefault="001664D9" w:rsidP="006B54D6">
      <w:pPr>
        <w:pStyle w:val="MRNumberedHeading2"/>
      </w:pPr>
      <w:bookmarkStart w:id="72" w:name="_Ref149547621"/>
      <w:bookmarkStart w:id="73"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72"/>
      <w:r w:rsidR="001C747B">
        <w:t>or otherwise exempt.</w:t>
      </w:r>
      <w:bookmarkEnd w:id="73"/>
    </w:p>
    <w:p w:rsidR="00491808" w:rsidRPr="00276E1B" w:rsidRDefault="00491808" w:rsidP="00337295">
      <w:pPr>
        <w:pStyle w:val="Heading1"/>
        <w:spacing w:before="240" w:after="0"/>
        <w:ind w:left="709"/>
      </w:pPr>
      <w:bookmarkStart w:id="74" w:name="_Toc403555149"/>
      <w:r w:rsidRPr="00276E1B">
        <w:t>Publicity</w:t>
      </w:r>
      <w:bookmarkEnd w:id="74"/>
    </w:p>
    <w:p w:rsidR="00491808" w:rsidRPr="00541CDA" w:rsidRDefault="00645517" w:rsidP="006B54D6">
      <w:pPr>
        <w:pStyle w:val="MRNumberedHeading2"/>
      </w:pPr>
      <w:bookmarkStart w:id="75"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75"/>
    </w:p>
    <w:p w:rsidR="00491808" w:rsidRPr="00276E1B" w:rsidRDefault="00785DDF" w:rsidP="00337295">
      <w:pPr>
        <w:pStyle w:val="Heading1"/>
        <w:spacing w:before="240" w:after="0"/>
        <w:ind w:left="709"/>
      </w:pPr>
      <w:bookmarkStart w:id="76" w:name="a699927"/>
      <w:bookmarkStart w:id="77" w:name="_Toc403555151"/>
      <w:bookmarkEnd w:id="76"/>
      <w:r w:rsidRPr="00276E1B">
        <w:lastRenderedPageBreak/>
        <w:t>Bidder</w:t>
      </w:r>
      <w:r w:rsidR="00491808" w:rsidRPr="00276E1B">
        <w:t xml:space="preserve"> conduct and conflicts of interest</w:t>
      </w:r>
      <w:bookmarkEnd w:id="77"/>
    </w:p>
    <w:p w:rsidR="00491808" w:rsidRPr="00491808" w:rsidRDefault="00491808" w:rsidP="006B54D6">
      <w:pPr>
        <w:pStyle w:val="MRNumberedHeading2"/>
      </w:pPr>
      <w:bookmarkStart w:id="78"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78"/>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proofErr w:type="gramStart"/>
      <w:r w:rsidRPr="007301E9">
        <w:rPr>
          <w:bCs/>
        </w:rPr>
        <w:t>a</w:t>
      </w:r>
      <w:r w:rsidR="00491808"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79"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79"/>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80" w:name="a582432"/>
      <w:bookmarkStart w:id="81" w:name="_Toc403555154"/>
      <w:bookmarkEnd w:id="80"/>
      <w:r w:rsidRPr="00491808">
        <w:t>Authority's rights</w:t>
      </w:r>
      <w:bookmarkEnd w:id="81"/>
    </w:p>
    <w:p w:rsidR="00491808" w:rsidRPr="00491808" w:rsidRDefault="008D2128" w:rsidP="006B54D6">
      <w:pPr>
        <w:pStyle w:val="MRNumberedHeading2"/>
      </w:pPr>
      <w:bookmarkStart w:id="82" w:name="_Toc403555155"/>
      <w:r>
        <w:t>Subject to its obligations to act in a transparent, proportionate and non-discriminatory manner, t</w:t>
      </w:r>
      <w:r w:rsidR="00491808" w:rsidRPr="00491808">
        <w:t>he Authority reserves the right to:</w:t>
      </w:r>
      <w:bookmarkEnd w:id="82"/>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proofErr w:type="gramStart"/>
      <w:r w:rsidRPr="007301E9">
        <w:rPr>
          <w:bCs/>
        </w:rPr>
        <w:t>m</w:t>
      </w:r>
      <w:r w:rsidR="00491808" w:rsidRPr="007301E9">
        <w:rPr>
          <w:bCs/>
        </w:rPr>
        <w:t>ake</w:t>
      </w:r>
      <w:proofErr w:type="gramEnd"/>
      <w:r w:rsidR="00491808" w:rsidRPr="007301E9">
        <w:rPr>
          <w:bCs/>
        </w:rPr>
        <w:t xml:space="preserv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83" w:name="a934916"/>
      <w:bookmarkStart w:id="84" w:name="_Toc403555156"/>
      <w:bookmarkEnd w:id="83"/>
      <w:r w:rsidRPr="00491808">
        <w:t>Bid costs</w:t>
      </w:r>
      <w:bookmarkEnd w:id="84"/>
    </w:p>
    <w:p w:rsidR="0022652F" w:rsidRDefault="00491808" w:rsidP="006B54D6">
      <w:pPr>
        <w:pStyle w:val="MRNumberedHeading2"/>
      </w:pPr>
      <w:bookmarkStart w:id="85"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85"/>
    </w:p>
    <w:p w:rsidR="00491808" w:rsidRPr="00276E1B" w:rsidRDefault="00491808" w:rsidP="00337295">
      <w:pPr>
        <w:pStyle w:val="Heading1"/>
        <w:spacing w:before="240" w:after="0"/>
        <w:ind w:left="709"/>
      </w:pPr>
      <w:bookmarkStart w:id="86" w:name="_Toc403555158"/>
      <w:r w:rsidRPr="00276E1B">
        <w:lastRenderedPageBreak/>
        <w:t>Language</w:t>
      </w:r>
      <w:bookmarkEnd w:id="86"/>
    </w:p>
    <w:p w:rsidR="006534CF" w:rsidRDefault="00491808" w:rsidP="006B54D6">
      <w:pPr>
        <w:pStyle w:val="MRNumberedHeading2"/>
      </w:pPr>
      <w:bookmarkStart w:id="87" w:name="_Toc403555159"/>
      <w:r w:rsidRPr="00A24900">
        <w:t xml:space="preserve">Tenders, all documents and all </w:t>
      </w:r>
      <w:r w:rsidR="003219DA">
        <w:t>correspondence relating to the T</w:t>
      </w:r>
      <w:r w:rsidRPr="00A24900">
        <w:t>ender must be written in English.</w:t>
      </w:r>
      <w:bookmarkEnd w:id="87"/>
    </w:p>
    <w:p w:rsidR="00F35E09" w:rsidRPr="00276E1B" w:rsidRDefault="00F35E09" w:rsidP="00337295">
      <w:pPr>
        <w:pStyle w:val="Heading1"/>
        <w:spacing w:before="240" w:after="0"/>
        <w:ind w:left="709"/>
      </w:pPr>
      <w:bookmarkStart w:id="88" w:name="_Toc403555160"/>
      <w:r w:rsidRPr="00276E1B">
        <w:t>Transparency</w:t>
      </w:r>
      <w:bookmarkEnd w:id="88"/>
      <w:r w:rsidRPr="00276E1B">
        <w:t xml:space="preserve">  </w:t>
      </w:r>
    </w:p>
    <w:p w:rsidR="00F35E09" w:rsidRDefault="00F35E09" w:rsidP="006B54D6">
      <w:pPr>
        <w:pStyle w:val="MRNumberedHeading2"/>
      </w:pPr>
      <w:bookmarkStart w:id="89" w:name="_Toc403555161"/>
      <w:bookmarkStart w:id="90"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89"/>
      <w:bookmarkEnd w:id="90"/>
      <w:r w:rsidR="0050545F">
        <w:t xml:space="preserve">'s Contracts Finder portal. </w:t>
      </w:r>
    </w:p>
    <w:p w:rsidR="00236A55" w:rsidRPr="00276E1B" w:rsidRDefault="00236A55" w:rsidP="00337295">
      <w:pPr>
        <w:pStyle w:val="Heading1"/>
        <w:spacing w:before="240" w:after="0"/>
        <w:ind w:left="709"/>
      </w:pPr>
      <w:bookmarkStart w:id="91" w:name="_Toc403555162"/>
      <w:r w:rsidRPr="00276E1B">
        <w:t>Governing Law and Jurisdiction</w:t>
      </w:r>
      <w:bookmarkEnd w:id="91"/>
      <w:r w:rsidRPr="00276E1B">
        <w:t xml:space="preserve"> </w:t>
      </w:r>
    </w:p>
    <w:p w:rsidR="004E71FF" w:rsidRPr="005A2E47" w:rsidRDefault="00236A55" w:rsidP="006B54D6">
      <w:pPr>
        <w:pStyle w:val="MRNumberedHeading2"/>
      </w:pPr>
      <w:bookmarkStart w:id="92" w:name="_Toc403555163"/>
      <w:r>
        <w:t>This ITT and any dispute concerning it (including non-contractual disputes or claims) shall be governed by English law and subject to the jurisdiction of the English Courts</w:t>
      </w:r>
      <w:bookmarkEnd w:id="92"/>
      <w:r w:rsidR="007A3602">
        <w:t>.</w:t>
      </w:r>
    </w:p>
    <w:p w:rsidR="0079187F" w:rsidRDefault="0079187F">
      <w:pPr>
        <w:spacing w:after="240"/>
        <w:jc w:val="left"/>
        <w:rPr>
          <w:rFonts w:eastAsia="Calibri" w:cs="Arial"/>
          <w:b/>
          <w:lang w:eastAsia="en-GB"/>
        </w:rPr>
      </w:pPr>
      <w:bookmarkStart w:id="93" w:name="_Toc403556504"/>
      <w:bookmarkStart w:id="94"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93"/>
      <w:bookmarkEnd w:id="94"/>
      <w:r w:rsidRPr="008F3D2C">
        <w:rPr>
          <w:sz w:val="20"/>
          <w:szCs w:val="20"/>
        </w:rPr>
        <w:t xml:space="preserve"> </w:t>
      </w:r>
    </w:p>
    <w:p w:rsidR="008824CC" w:rsidRDefault="00277BB6" w:rsidP="00337295">
      <w:pPr>
        <w:pStyle w:val="Heading1"/>
        <w:spacing w:before="240" w:after="0"/>
        <w:ind w:left="709"/>
      </w:pPr>
      <w:bookmarkStart w:id="95" w:name="_Toc403555164"/>
      <w:r>
        <w:t>Overview</w:t>
      </w:r>
      <w:bookmarkEnd w:id="95"/>
    </w:p>
    <w:p w:rsidR="00BF48A1" w:rsidRDefault="00BF48A1" w:rsidP="006B54D6">
      <w:pPr>
        <w:pStyle w:val="MRNumberedHeading2"/>
      </w:pPr>
      <w:bookmarkStart w:id="96" w:name="_Toc403555165"/>
      <w:r>
        <w:t>T</w:t>
      </w:r>
      <w:r w:rsidRPr="003E3276">
        <w:t>h</w:t>
      </w:r>
      <w:r>
        <w:t>is section of the ITT sets out the criteria that the Authority will use to ev</w:t>
      </w:r>
      <w:r w:rsidR="006A3BFB">
        <w:t>aluate Tenders</w:t>
      </w:r>
      <w:r w:rsidR="00FB21E9">
        <w:t>.</w:t>
      </w:r>
      <w:bookmarkEnd w:id="96"/>
    </w:p>
    <w:p w:rsidR="00FB21E9" w:rsidRDefault="00FB21E9" w:rsidP="006B54D6">
      <w:pPr>
        <w:pStyle w:val="MRNumberedHeading2"/>
      </w:pPr>
      <w:bookmarkStart w:id="97"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r w:rsidR="00961561">
        <w:t>it</w:t>
      </w:r>
      <w:r w:rsidR="00F10ACE">
        <w:t xml:space="preserve"> or it may</w:t>
      </w:r>
      <w:r w:rsidR="00B853EE">
        <w:t xml:space="preserve"> treat the Tender as non-complia</w:t>
      </w:r>
      <w:r w:rsidR="00F10ACE">
        <w:t>nt and reject it.</w:t>
      </w:r>
      <w:bookmarkEnd w:id="97"/>
    </w:p>
    <w:p w:rsidR="00C14AA9" w:rsidRDefault="00C14AA9" w:rsidP="006B54D6">
      <w:pPr>
        <w:pStyle w:val="MRNumberedHeading2"/>
      </w:pPr>
      <w:bookmarkStart w:id="98" w:name="_Toc403555167"/>
      <w:r>
        <w:t>The Authority will award the contract to the Tender that scores the highest marks, applying the methodology below. Scoring will be carried out as follows:</w:t>
      </w:r>
      <w:bookmarkEnd w:id="98"/>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99"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7074AD">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7074AD">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7074AD">
        <w:t>4.8</w:t>
      </w:r>
      <w:r w:rsidR="00A77338">
        <w:fldChar w:fldCharType="end"/>
      </w:r>
      <w:r w:rsidR="00A77338">
        <w:t xml:space="preserve"> to </w:t>
      </w:r>
      <w:bookmarkEnd w:id="99"/>
      <w:r w:rsidR="009E1581">
        <w:fldChar w:fldCharType="begin"/>
      </w:r>
      <w:r w:rsidR="009E1581">
        <w:instrText xml:space="preserve"> REF _Ref408579700 \r \h </w:instrText>
      </w:r>
      <w:r w:rsidR="009E1581">
        <w:fldChar w:fldCharType="separate"/>
      </w:r>
      <w:r w:rsidR="007074AD">
        <w:t>4.12</w:t>
      </w:r>
      <w:r w:rsidR="009E1581">
        <w:fldChar w:fldCharType="end"/>
      </w:r>
    </w:p>
    <w:p w:rsidR="00FD70FA" w:rsidRDefault="00FD70FA" w:rsidP="006B54D6">
      <w:pPr>
        <w:pStyle w:val="MRNumberedHeading2"/>
      </w:pPr>
      <w:r>
        <w:t>The Authority will treat any tender with an answer of “NO” to full complianc</w:t>
      </w:r>
      <w:r w:rsidR="00E3236B">
        <w:t>e</w:t>
      </w:r>
      <w:r>
        <w:t xml:space="preserve"> with the specification, as per paragraph 1.2 of ITT part B, as non-compliant and the tender will be eliminated from the process</w:t>
      </w:r>
    </w:p>
    <w:p w:rsidR="00C14AA9" w:rsidRDefault="00C14AA9" w:rsidP="00337295">
      <w:pPr>
        <w:pStyle w:val="Heading1"/>
        <w:spacing w:before="240" w:after="0"/>
        <w:ind w:left="709"/>
      </w:pPr>
      <w:bookmarkStart w:id="100" w:name="_Toc403555169"/>
      <w:r>
        <w:t>Criteria – Eligibility Questions</w:t>
      </w:r>
      <w:bookmarkEnd w:id="100"/>
    </w:p>
    <w:p w:rsidR="00B44E25" w:rsidRDefault="00C14AA9" w:rsidP="006B54D6">
      <w:pPr>
        <w:pStyle w:val="MRNumberedHeading2"/>
      </w:pPr>
      <w:bookmarkStart w:id="101" w:name="_Ref403484377"/>
      <w:bookmarkStart w:id="102" w:name="_Toc403555170"/>
      <w:r>
        <w:t>The Authority will score Eligibility Questions on the following basis:</w:t>
      </w:r>
      <w:bookmarkEnd w:id="101"/>
      <w:bookmarkEnd w:id="102"/>
    </w:p>
    <w:p w:rsidR="00AE400B" w:rsidRPr="00AE400B" w:rsidRDefault="00AE400B" w:rsidP="00AE400B">
      <w:pPr>
        <w:spacing w:before="240"/>
        <w:jc w:val="left"/>
        <w:outlineLvl w:val="1"/>
        <w:rPr>
          <w:rFonts w:eastAsia="Times New Roman" w:cs="Times New Roman"/>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670"/>
      </w:tblGrid>
      <w:tr w:rsidR="00AE400B" w:rsidRPr="00AE400B" w:rsidTr="00DD4504">
        <w:tc>
          <w:tcPr>
            <w:tcW w:w="2693" w:type="dxa"/>
            <w:shd w:val="clear" w:color="auto" w:fill="A6A6A6"/>
          </w:tcPr>
          <w:p w:rsidR="00AE400B" w:rsidRPr="00AE400B" w:rsidRDefault="00AE400B" w:rsidP="00AE400B">
            <w:pPr>
              <w:spacing w:after="240"/>
              <w:outlineLvl w:val="2"/>
              <w:rPr>
                <w:color w:val="000000"/>
              </w:rPr>
            </w:pPr>
            <w:r w:rsidRPr="00AE400B">
              <w:rPr>
                <w:color w:val="000000"/>
              </w:rPr>
              <w:t xml:space="preserve">Eligibility Questions </w:t>
            </w:r>
          </w:p>
        </w:tc>
        <w:tc>
          <w:tcPr>
            <w:tcW w:w="5670" w:type="dxa"/>
            <w:shd w:val="clear" w:color="auto" w:fill="A6A6A6"/>
          </w:tcPr>
          <w:p w:rsidR="00AE400B" w:rsidRPr="00AE400B" w:rsidRDefault="00AE400B" w:rsidP="00AE400B">
            <w:pPr>
              <w:spacing w:after="240"/>
              <w:outlineLvl w:val="2"/>
              <w:rPr>
                <w:color w:val="000000"/>
              </w:rPr>
            </w:pPr>
            <w:r w:rsidRPr="00AE400B">
              <w:rPr>
                <w:color w:val="000000"/>
              </w:rPr>
              <w:t>Selection criteria</w:t>
            </w:r>
          </w:p>
        </w:tc>
      </w:tr>
      <w:tr w:rsidR="00AE400B" w:rsidRPr="00AE400B" w:rsidTr="00DD4504">
        <w:tc>
          <w:tcPr>
            <w:tcW w:w="2693" w:type="dxa"/>
            <w:shd w:val="clear" w:color="auto" w:fill="auto"/>
          </w:tcPr>
          <w:p w:rsidR="00AE400B" w:rsidRPr="00AE400B" w:rsidRDefault="00AE400B" w:rsidP="00AE400B">
            <w:pPr>
              <w:numPr>
                <w:ilvl w:val="0"/>
                <w:numId w:val="42"/>
              </w:numPr>
              <w:spacing w:after="240"/>
              <w:contextualSpacing/>
              <w:outlineLvl w:val="2"/>
              <w:rPr>
                <w:color w:val="000000"/>
              </w:rPr>
            </w:pPr>
            <w:r w:rsidRPr="00AE400B">
              <w:rPr>
                <w:color w:val="000000"/>
              </w:rPr>
              <w:t xml:space="preserve"> Supplier information</w:t>
            </w:r>
          </w:p>
        </w:tc>
        <w:tc>
          <w:tcPr>
            <w:tcW w:w="5670" w:type="dxa"/>
            <w:shd w:val="clear" w:color="auto" w:fill="auto"/>
          </w:tcPr>
          <w:p w:rsidR="00AE400B" w:rsidRPr="00AE400B" w:rsidRDefault="00AE400B" w:rsidP="00AE400B">
            <w:pPr>
              <w:spacing w:after="240"/>
              <w:outlineLvl w:val="2"/>
              <w:rPr>
                <w:color w:val="000000"/>
              </w:rPr>
            </w:pPr>
            <w:r w:rsidRPr="00AE400B">
              <w:rPr>
                <w:color w:val="000000"/>
              </w:rPr>
              <w:t>For information only</w:t>
            </w:r>
          </w:p>
        </w:tc>
      </w:tr>
      <w:tr w:rsidR="00AE400B" w:rsidRPr="00AE400B" w:rsidTr="00DD4504">
        <w:tc>
          <w:tcPr>
            <w:tcW w:w="2693" w:type="dxa"/>
            <w:shd w:val="clear" w:color="auto" w:fill="auto"/>
          </w:tcPr>
          <w:p w:rsidR="00AE400B" w:rsidRPr="00AE400B" w:rsidRDefault="00AE400B" w:rsidP="00AE400B">
            <w:pPr>
              <w:numPr>
                <w:ilvl w:val="0"/>
                <w:numId w:val="42"/>
              </w:numPr>
              <w:tabs>
                <w:tab w:val="left" w:pos="459"/>
              </w:tabs>
              <w:spacing w:after="240"/>
              <w:contextualSpacing/>
              <w:outlineLvl w:val="2"/>
              <w:rPr>
                <w:color w:val="000000"/>
              </w:rPr>
            </w:pPr>
            <w:r w:rsidRPr="00AE400B">
              <w:rPr>
                <w:color w:val="000000"/>
              </w:rPr>
              <w:t>Grounds for mandatory exclusion</w:t>
            </w:r>
          </w:p>
        </w:tc>
        <w:tc>
          <w:tcPr>
            <w:tcW w:w="5670" w:type="dxa"/>
            <w:shd w:val="clear" w:color="auto" w:fill="auto"/>
          </w:tcPr>
          <w:p w:rsidR="00AE400B" w:rsidRPr="00AE400B" w:rsidRDefault="00AE400B" w:rsidP="00AE400B">
            <w:pPr>
              <w:spacing w:after="240"/>
              <w:outlineLvl w:val="2"/>
              <w:rPr>
                <w:color w:val="000000"/>
              </w:rPr>
            </w:pPr>
            <w:r w:rsidRPr="00AE400B">
              <w:rPr>
                <w:color w:val="000000"/>
              </w:rPr>
              <w:t>Pass or Fail</w:t>
            </w:r>
          </w:p>
        </w:tc>
      </w:tr>
      <w:tr w:rsidR="00AE400B" w:rsidRPr="00AE400B" w:rsidTr="00DD4504">
        <w:tc>
          <w:tcPr>
            <w:tcW w:w="2693" w:type="dxa"/>
            <w:shd w:val="clear" w:color="auto" w:fill="auto"/>
          </w:tcPr>
          <w:p w:rsidR="00AE400B" w:rsidRPr="00AE400B" w:rsidRDefault="00AE400B" w:rsidP="008A093C">
            <w:pPr>
              <w:numPr>
                <w:ilvl w:val="0"/>
                <w:numId w:val="42"/>
              </w:numPr>
              <w:spacing w:after="240"/>
              <w:contextualSpacing/>
              <w:outlineLvl w:val="2"/>
              <w:rPr>
                <w:color w:val="000000"/>
              </w:rPr>
            </w:pPr>
            <w:r w:rsidRPr="00AE400B">
              <w:rPr>
                <w:color w:val="000000"/>
              </w:rPr>
              <w:t xml:space="preserve">Grounds for discretionary exclusion </w:t>
            </w:r>
          </w:p>
        </w:tc>
        <w:tc>
          <w:tcPr>
            <w:tcW w:w="5670" w:type="dxa"/>
            <w:shd w:val="clear" w:color="auto" w:fill="auto"/>
          </w:tcPr>
          <w:p w:rsidR="00AE400B" w:rsidRPr="00AE400B" w:rsidRDefault="00AE400B" w:rsidP="00AE400B">
            <w:pPr>
              <w:spacing w:after="240"/>
              <w:outlineLvl w:val="2"/>
              <w:rPr>
                <w:color w:val="000000"/>
              </w:rPr>
            </w:pPr>
            <w:r w:rsidRPr="00AE400B">
              <w:rPr>
                <w:color w:val="000000"/>
              </w:rPr>
              <w:t>Pass or Fail</w:t>
            </w:r>
          </w:p>
        </w:tc>
      </w:tr>
    </w:tbl>
    <w:p w:rsidR="00B44E25" w:rsidRDefault="00B44E25" w:rsidP="00AE400B">
      <w:pPr>
        <w:rPr>
          <w:rFonts w:cs="Arial"/>
          <w:b/>
          <w:szCs w:val="22"/>
        </w:rPr>
      </w:pPr>
    </w:p>
    <w:p w:rsidR="007C2F2F" w:rsidRPr="007C2F2F" w:rsidRDefault="007C2F2F" w:rsidP="006B54D6">
      <w:pPr>
        <w:pStyle w:val="MRNumberedHeading2"/>
        <w:rPr>
          <w:i/>
        </w:rPr>
      </w:pPr>
      <w:bookmarkStart w:id="103"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03"/>
    </w:p>
    <w:p w:rsidR="00B44E25" w:rsidRPr="00B44E25" w:rsidRDefault="00B44E25" w:rsidP="006B54D6">
      <w:pPr>
        <w:pStyle w:val="MRNumberedHeading2"/>
        <w:rPr>
          <w:i/>
        </w:rPr>
      </w:pPr>
      <w:bookmarkStart w:id="104" w:name="_Ref403484379"/>
      <w:bookmarkStart w:id="105" w:name="_Toc403555172"/>
      <w:r w:rsidRPr="00B44E25">
        <w:t xml:space="preserve">Where a Bidder scores a "fail" for any question, </w:t>
      </w:r>
      <w:r w:rsidR="00C14AA9">
        <w:t>the Authority will treat the Tender as non-compliant and it will not award a mark for the Scored Questions.</w:t>
      </w:r>
      <w:bookmarkEnd w:id="104"/>
      <w:bookmarkEnd w:id="105"/>
      <w:r w:rsidR="00C14AA9">
        <w:t xml:space="preserve"> </w:t>
      </w:r>
    </w:p>
    <w:p w:rsidR="00EF71DD" w:rsidRDefault="007C2F2F" w:rsidP="00FD70FA">
      <w:pPr>
        <w:pStyle w:val="MRNumberedHeading2"/>
      </w:pPr>
      <w:bookmarkStart w:id="106" w:name="_Toc403555173"/>
      <w:r w:rsidRPr="007C2F2F">
        <w:t>C</w:t>
      </w:r>
      <w:r w:rsidR="000B1075" w:rsidRPr="007C2F2F">
        <w:t xml:space="preserve">riteria </w:t>
      </w:r>
      <w:r w:rsidRPr="007C2F2F">
        <w:t>– Scored Questions</w:t>
      </w:r>
      <w:bookmarkEnd w:id="106"/>
    </w:p>
    <w:p w:rsidR="003E3276" w:rsidRDefault="003E3276" w:rsidP="006B54D6">
      <w:pPr>
        <w:pStyle w:val="MRNumberedHeading2"/>
        <w:numPr>
          <w:ilvl w:val="0"/>
          <w:numId w:val="0"/>
        </w:numPr>
        <w:ind w:left="720"/>
      </w:pPr>
    </w:p>
    <w:tbl>
      <w:tblPr>
        <w:tblStyle w:val="TableGrid"/>
        <w:tblW w:w="0" w:type="auto"/>
        <w:tblInd w:w="817" w:type="dxa"/>
        <w:tblLayout w:type="fixed"/>
        <w:tblLook w:val="04A0" w:firstRow="1" w:lastRow="0" w:firstColumn="1" w:lastColumn="0" w:noHBand="0" w:noVBand="1"/>
      </w:tblPr>
      <w:tblGrid>
        <w:gridCol w:w="5245"/>
        <w:gridCol w:w="1417"/>
      </w:tblGrid>
      <w:tr w:rsidR="00576482" w:rsidTr="00E3236B">
        <w:tc>
          <w:tcPr>
            <w:tcW w:w="5245" w:type="dxa"/>
            <w:shd w:val="clear" w:color="auto" w:fill="BFBFBF" w:themeFill="background1" w:themeFillShade="BF"/>
          </w:tcPr>
          <w:p w:rsidR="00576482" w:rsidRPr="00EF71DD" w:rsidRDefault="00576482" w:rsidP="003318CA">
            <w:pPr>
              <w:pStyle w:val="Heading2"/>
              <w:numPr>
                <w:ilvl w:val="0"/>
                <w:numId w:val="0"/>
              </w:numPr>
              <w:outlineLvl w:val="1"/>
              <w:rPr>
                <w:b/>
              </w:rPr>
            </w:pPr>
            <w:r w:rsidRPr="00EF71DD">
              <w:rPr>
                <w:b/>
              </w:rPr>
              <w:t>Evaluation criteria</w:t>
            </w:r>
          </w:p>
        </w:tc>
        <w:tc>
          <w:tcPr>
            <w:tcW w:w="1417" w:type="dxa"/>
            <w:shd w:val="clear" w:color="auto" w:fill="BFBFBF" w:themeFill="background1" w:themeFillShade="BF"/>
          </w:tcPr>
          <w:p w:rsidR="00576482" w:rsidRPr="00EF71DD" w:rsidRDefault="00576482" w:rsidP="00C9108B">
            <w:pPr>
              <w:pStyle w:val="Heading2"/>
              <w:numPr>
                <w:ilvl w:val="0"/>
                <w:numId w:val="0"/>
              </w:numPr>
              <w:outlineLvl w:val="1"/>
              <w:rPr>
                <w:b/>
              </w:rPr>
            </w:pPr>
            <w:r w:rsidRPr="00EF71DD">
              <w:rPr>
                <w:b/>
              </w:rPr>
              <w:t>Weighting</w:t>
            </w:r>
          </w:p>
        </w:tc>
      </w:tr>
      <w:tr w:rsidR="0078532F" w:rsidTr="00E3236B">
        <w:tc>
          <w:tcPr>
            <w:tcW w:w="5245" w:type="dxa"/>
          </w:tcPr>
          <w:p w:rsidR="0078532F" w:rsidRDefault="0078532F" w:rsidP="00961561">
            <w:pPr>
              <w:pStyle w:val="Heading2"/>
              <w:numPr>
                <w:ilvl w:val="0"/>
                <w:numId w:val="0"/>
              </w:numPr>
              <w:outlineLvl w:val="1"/>
            </w:pPr>
            <w:r>
              <w:t>Capacity and Capability to meet the requirements</w:t>
            </w:r>
          </w:p>
        </w:tc>
        <w:tc>
          <w:tcPr>
            <w:tcW w:w="1417" w:type="dxa"/>
          </w:tcPr>
          <w:p w:rsidR="0078532F" w:rsidRDefault="0078532F" w:rsidP="00BF48A1">
            <w:pPr>
              <w:pStyle w:val="Heading2"/>
              <w:numPr>
                <w:ilvl w:val="0"/>
                <w:numId w:val="0"/>
              </w:numPr>
              <w:outlineLvl w:val="1"/>
            </w:pPr>
            <w:r>
              <w:t>Pass or Fail</w:t>
            </w:r>
          </w:p>
        </w:tc>
      </w:tr>
      <w:tr w:rsidR="00576482" w:rsidTr="00E3236B">
        <w:tc>
          <w:tcPr>
            <w:tcW w:w="5245" w:type="dxa"/>
          </w:tcPr>
          <w:p w:rsidR="00576482" w:rsidRDefault="00961561" w:rsidP="00961561">
            <w:pPr>
              <w:pStyle w:val="Heading2"/>
              <w:numPr>
                <w:ilvl w:val="0"/>
                <w:numId w:val="0"/>
              </w:numPr>
              <w:outlineLvl w:val="1"/>
            </w:pPr>
            <w:r>
              <w:t>Complaints</w:t>
            </w:r>
          </w:p>
        </w:tc>
        <w:tc>
          <w:tcPr>
            <w:tcW w:w="1417" w:type="dxa"/>
          </w:tcPr>
          <w:p w:rsidR="00576482" w:rsidRDefault="00576482" w:rsidP="001D4A3F">
            <w:pPr>
              <w:pStyle w:val="Heading2"/>
              <w:numPr>
                <w:ilvl w:val="0"/>
                <w:numId w:val="0"/>
              </w:numPr>
              <w:jc w:val="right"/>
              <w:outlineLvl w:val="1"/>
            </w:pPr>
            <w:r>
              <w:t>10%</w:t>
            </w:r>
          </w:p>
        </w:tc>
      </w:tr>
      <w:tr w:rsidR="00576482" w:rsidTr="00E3236B">
        <w:tc>
          <w:tcPr>
            <w:tcW w:w="5245" w:type="dxa"/>
          </w:tcPr>
          <w:p w:rsidR="00576482" w:rsidRDefault="00961561" w:rsidP="00BF48A1">
            <w:pPr>
              <w:pStyle w:val="Heading2"/>
              <w:numPr>
                <w:ilvl w:val="0"/>
                <w:numId w:val="0"/>
              </w:numPr>
              <w:outlineLvl w:val="1"/>
            </w:pPr>
            <w:r>
              <w:t>C</w:t>
            </w:r>
            <w:r w:rsidR="00576482">
              <w:t>ourtesy</w:t>
            </w:r>
          </w:p>
        </w:tc>
        <w:tc>
          <w:tcPr>
            <w:tcW w:w="1417" w:type="dxa"/>
          </w:tcPr>
          <w:p w:rsidR="00576482" w:rsidRDefault="00576482" w:rsidP="001D4A3F">
            <w:pPr>
              <w:pStyle w:val="Heading2"/>
              <w:numPr>
                <w:ilvl w:val="0"/>
                <w:numId w:val="0"/>
              </w:numPr>
              <w:jc w:val="right"/>
              <w:outlineLvl w:val="1"/>
            </w:pPr>
            <w:r>
              <w:t>10%</w:t>
            </w:r>
          </w:p>
        </w:tc>
      </w:tr>
      <w:tr w:rsidR="00576482" w:rsidTr="00E3236B">
        <w:tc>
          <w:tcPr>
            <w:tcW w:w="5245" w:type="dxa"/>
          </w:tcPr>
          <w:p w:rsidR="001D4A3F" w:rsidRDefault="001D4A3F" w:rsidP="00BF48A1">
            <w:pPr>
              <w:pStyle w:val="Heading2"/>
              <w:numPr>
                <w:ilvl w:val="0"/>
                <w:numId w:val="0"/>
              </w:numPr>
              <w:outlineLvl w:val="1"/>
            </w:pPr>
            <w:r>
              <w:lastRenderedPageBreak/>
              <w:t>Pricing:</w:t>
            </w:r>
          </w:p>
          <w:p w:rsidR="001D4A3F" w:rsidRDefault="0078532F" w:rsidP="00BF48A1">
            <w:pPr>
              <w:pStyle w:val="Heading2"/>
              <w:numPr>
                <w:ilvl w:val="0"/>
                <w:numId w:val="0"/>
              </w:numPr>
              <w:outlineLvl w:val="1"/>
            </w:pPr>
            <w:r>
              <w:t>a</w:t>
            </w:r>
            <w:r w:rsidR="001D4A3F">
              <w:t>)</w:t>
            </w:r>
            <w:r>
              <w:t xml:space="preserve"> Starting charge and first mile</w:t>
            </w:r>
          </w:p>
          <w:p w:rsidR="001D4A3F" w:rsidRDefault="001D4A3F" w:rsidP="00BF48A1">
            <w:pPr>
              <w:pStyle w:val="Heading2"/>
              <w:numPr>
                <w:ilvl w:val="0"/>
                <w:numId w:val="0"/>
              </w:numPr>
              <w:outlineLvl w:val="1"/>
            </w:pPr>
            <w:r>
              <w:t>b) Price per mile thereafter</w:t>
            </w:r>
          </w:p>
          <w:p w:rsidR="001D4A3F" w:rsidRDefault="001D4A3F" w:rsidP="00BF48A1">
            <w:pPr>
              <w:pStyle w:val="Heading2"/>
              <w:numPr>
                <w:ilvl w:val="0"/>
                <w:numId w:val="0"/>
              </w:numPr>
              <w:outlineLvl w:val="1"/>
            </w:pPr>
            <w:r>
              <w:t>c) Waiting charge – per hour</w:t>
            </w:r>
          </w:p>
          <w:p w:rsidR="001D4A3F" w:rsidRDefault="001D4A3F" w:rsidP="00BF48A1">
            <w:pPr>
              <w:pStyle w:val="Heading2"/>
              <w:numPr>
                <w:ilvl w:val="0"/>
                <w:numId w:val="0"/>
              </w:numPr>
              <w:outlineLvl w:val="1"/>
            </w:pPr>
            <w:r>
              <w:t xml:space="preserve">a) </w:t>
            </w:r>
            <w:r w:rsidRPr="001D4A3F">
              <w:t>% uplift for Bank Holiday journeys</w:t>
            </w:r>
          </w:p>
          <w:p w:rsidR="001D4A3F" w:rsidRDefault="001D4A3F" w:rsidP="00BF48A1">
            <w:pPr>
              <w:pStyle w:val="Heading2"/>
              <w:numPr>
                <w:ilvl w:val="0"/>
                <w:numId w:val="0"/>
              </w:numPr>
              <w:outlineLvl w:val="1"/>
            </w:pPr>
            <w:r>
              <w:t xml:space="preserve">b) </w:t>
            </w:r>
            <w:r w:rsidR="00E3236B">
              <w:t>% uplift for provision of wheelchair/disabled access</w:t>
            </w:r>
            <w:r>
              <w:t xml:space="preserve"> </w:t>
            </w:r>
          </w:p>
        </w:tc>
        <w:tc>
          <w:tcPr>
            <w:tcW w:w="1417" w:type="dxa"/>
          </w:tcPr>
          <w:p w:rsidR="00576482" w:rsidRDefault="00576482" w:rsidP="001D4A3F">
            <w:pPr>
              <w:pStyle w:val="Heading2"/>
              <w:numPr>
                <w:ilvl w:val="0"/>
                <w:numId w:val="0"/>
              </w:numPr>
              <w:jc w:val="right"/>
              <w:outlineLvl w:val="1"/>
            </w:pPr>
          </w:p>
          <w:p w:rsidR="001D4A3F" w:rsidRDefault="001D4A3F" w:rsidP="001D4A3F">
            <w:pPr>
              <w:pStyle w:val="Heading2"/>
              <w:numPr>
                <w:ilvl w:val="0"/>
                <w:numId w:val="0"/>
              </w:numPr>
              <w:jc w:val="right"/>
              <w:outlineLvl w:val="1"/>
            </w:pPr>
            <w:r>
              <w:t>30%</w:t>
            </w:r>
          </w:p>
          <w:p w:rsidR="001D4A3F" w:rsidRDefault="001D4A3F" w:rsidP="001D4A3F">
            <w:pPr>
              <w:pStyle w:val="Heading2"/>
              <w:numPr>
                <w:ilvl w:val="0"/>
                <w:numId w:val="0"/>
              </w:numPr>
              <w:jc w:val="right"/>
              <w:outlineLvl w:val="1"/>
            </w:pPr>
            <w:r>
              <w:t>30%</w:t>
            </w:r>
          </w:p>
          <w:p w:rsidR="001D4A3F" w:rsidRDefault="001D4A3F" w:rsidP="001D4A3F">
            <w:pPr>
              <w:pStyle w:val="Heading2"/>
              <w:numPr>
                <w:ilvl w:val="0"/>
                <w:numId w:val="0"/>
              </w:numPr>
              <w:jc w:val="right"/>
              <w:outlineLvl w:val="1"/>
            </w:pPr>
            <w:r>
              <w:t>5%</w:t>
            </w:r>
          </w:p>
          <w:p w:rsidR="001D4A3F" w:rsidRDefault="001D4A3F" w:rsidP="001D4A3F">
            <w:pPr>
              <w:pStyle w:val="Heading2"/>
              <w:numPr>
                <w:ilvl w:val="0"/>
                <w:numId w:val="0"/>
              </w:numPr>
              <w:jc w:val="right"/>
              <w:outlineLvl w:val="1"/>
            </w:pPr>
            <w:r>
              <w:t>5%</w:t>
            </w:r>
          </w:p>
          <w:p w:rsidR="001D4A3F" w:rsidRDefault="001D4A3F" w:rsidP="001D4A3F">
            <w:pPr>
              <w:pStyle w:val="Heading2"/>
              <w:numPr>
                <w:ilvl w:val="0"/>
                <w:numId w:val="0"/>
              </w:numPr>
              <w:jc w:val="right"/>
              <w:outlineLvl w:val="1"/>
            </w:pPr>
            <w:r>
              <w:t>10%</w:t>
            </w:r>
          </w:p>
        </w:tc>
      </w:tr>
      <w:tr w:rsidR="00576482" w:rsidTr="00E3236B">
        <w:tc>
          <w:tcPr>
            <w:tcW w:w="5245" w:type="dxa"/>
          </w:tcPr>
          <w:p w:rsidR="00576482" w:rsidRPr="003318CA" w:rsidRDefault="00576482" w:rsidP="00BF48A1">
            <w:pPr>
              <w:pStyle w:val="Heading2"/>
              <w:numPr>
                <w:ilvl w:val="0"/>
                <w:numId w:val="0"/>
              </w:numPr>
              <w:outlineLvl w:val="1"/>
              <w:rPr>
                <w:b/>
              </w:rPr>
            </w:pPr>
            <w:r w:rsidRPr="003318CA">
              <w:rPr>
                <w:b/>
              </w:rPr>
              <w:t>Total</w:t>
            </w:r>
          </w:p>
        </w:tc>
        <w:tc>
          <w:tcPr>
            <w:tcW w:w="1417" w:type="dxa"/>
          </w:tcPr>
          <w:p w:rsidR="00576482" w:rsidRDefault="00576482" w:rsidP="00E3236B">
            <w:pPr>
              <w:pStyle w:val="Heading2"/>
              <w:numPr>
                <w:ilvl w:val="0"/>
                <w:numId w:val="0"/>
              </w:numPr>
              <w:jc w:val="right"/>
              <w:outlineLvl w:val="1"/>
            </w:pPr>
            <w:r>
              <w:t>100%</w:t>
            </w:r>
          </w:p>
        </w:tc>
      </w:tr>
    </w:tbl>
    <w:p w:rsidR="00362AE0" w:rsidRDefault="00362AE0" w:rsidP="0025200C">
      <w:pPr>
        <w:pStyle w:val="Heading2"/>
        <w:numPr>
          <w:ilvl w:val="0"/>
          <w:numId w:val="0"/>
        </w:numPr>
        <w:ind w:firstLine="850"/>
        <w:rPr>
          <w:b/>
        </w:rPr>
      </w:pPr>
    </w:p>
    <w:p w:rsidR="007C2F2F" w:rsidRPr="007C2F2F" w:rsidRDefault="007C2F2F" w:rsidP="00DD4504">
      <w:pPr>
        <w:pStyle w:val="Heading1"/>
        <w:spacing w:before="240" w:after="0"/>
        <w:ind w:left="709"/>
      </w:pPr>
      <w:bookmarkStart w:id="107" w:name="_Toc403555175"/>
      <w:r w:rsidRPr="007C2F2F">
        <w:t>Criteria – Scored Questions</w:t>
      </w:r>
      <w:r>
        <w:t>:  pricing evaluation</w:t>
      </w:r>
      <w:bookmarkEnd w:id="107"/>
    </w:p>
    <w:p w:rsidR="007C364A" w:rsidRPr="00E3236B" w:rsidRDefault="001D4A3F" w:rsidP="006B54D6">
      <w:pPr>
        <w:pStyle w:val="MRNumberedHeading2"/>
        <w:rPr>
          <w:shd w:val="clear" w:color="auto" w:fill="FFFF66"/>
        </w:rPr>
      </w:pPr>
      <w:bookmarkStart w:id="108" w:name="_Toc403555176"/>
      <w:bookmarkStart w:id="109" w:name="_Ref405453282"/>
      <w:r>
        <w:t xml:space="preserve">Each component of the pricing evaluation will be </w:t>
      </w:r>
      <w:r w:rsidR="00B30006" w:rsidRPr="00E3236B">
        <w:t>scored on a comparative basis, with the lowest</w:t>
      </w:r>
      <w:r w:rsidR="00982C42" w:rsidRPr="00E3236B">
        <w:t xml:space="preserve"> compliant</w:t>
      </w:r>
      <w:r w:rsidR="00B30006" w:rsidRPr="00E3236B">
        <w:t xml:space="preserve"> </w:t>
      </w:r>
      <w:r w:rsidRPr="00E3236B">
        <w:t>submission</w:t>
      </w:r>
      <w:r w:rsidR="006C1E7E" w:rsidRPr="00E3236B">
        <w:t xml:space="preserve"> </w:t>
      </w:r>
      <w:r w:rsidR="00982C42" w:rsidRPr="00E3236B">
        <w:t>(excluding any Tenders that the Authority rejects as being abnormally low</w:t>
      </w:r>
      <w:r w:rsidR="008E7F55" w:rsidRPr="00E3236B">
        <w:t xml:space="preserve"> or non-compliant</w:t>
      </w:r>
      <w:r w:rsidR="00982C42" w:rsidRPr="00E3236B">
        <w:t xml:space="preserve">) </w:t>
      </w:r>
      <w:r w:rsidR="006C1E7E" w:rsidRPr="00E3236B">
        <w:t xml:space="preserve">receiving 100% of the available marks.  All other </w:t>
      </w:r>
      <w:r w:rsidRPr="00E3236B">
        <w:t>submissions</w:t>
      </w:r>
      <w:r w:rsidR="006C1E7E" w:rsidRPr="00E3236B">
        <w:t xml:space="preserve"> will be co</w:t>
      </w:r>
      <w:r w:rsidR="00D27579" w:rsidRPr="00E3236B">
        <w:t xml:space="preserve">mpared against that lowest </w:t>
      </w:r>
      <w:r w:rsidRPr="00E3236B">
        <w:t xml:space="preserve">submission </w:t>
      </w:r>
      <w:r w:rsidR="007C364A" w:rsidRPr="00E3236B">
        <w:t>using the formula:</w:t>
      </w:r>
      <w:bookmarkEnd w:id="108"/>
      <w:bookmarkEnd w:id="109"/>
      <w:r w:rsidR="007C364A" w:rsidRPr="00E3236B">
        <w:rPr>
          <w:shd w:val="clear" w:color="auto" w:fill="FFFF66"/>
        </w:rPr>
        <w:t xml:space="preserve"> </w:t>
      </w:r>
    </w:p>
    <w:p w:rsidR="00202FD5" w:rsidRPr="00E3236B" w:rsidRDefault="00202FD5" w:rsidP="007C364A">
      <w:pPr>
        <w:pStyle w:val="Heading2"/>
        <w:numPr>
          <w:ilvl w:val="0"/>
          <w:numId w:val="0"/>
        </w:numPr>
        <w:ind w:left="851" w:firstLine="849"/>
        <w:rPr>
          <w:i/>
          <w:color w:val="auto"/>
          <w:szCs w:val="24"/>
          <w:shd w:val="clear" w:color="auto" w:fill="FFFF66"/>
        </w:rPr>
      </w:pPr>
    </w:p>
    <w:p w:rsidR="007C364A" w:rsidRPr="00E3236B" w:rsidRDefault="007C364A" w:rsidP="00E72C07">
      <w:pPr>
        <w:pStyle w:val="Heading2"/>
        <w:numPr>
          <w:ilvl w:val="0"/>
          <w:numId w:val="0"/>
        </w:numPr>
        <w:spacing w:after="120"/>
        <w:ind w:left="851" w:firstLine="851"/>
        <w:rPr>
          <w:i/>
          <w:color w:val="auto"/>
          <w:szCs w:val="24"/>
          <w:shd w:val="clear" w:color="auto" w:fill="FFFF66"/>
        </w:rPr>
      </w:pPr>
      <w:r w:rsidRPr="00E3236B">
        <w:rPr>
          <w:i/>
          <w:color w:val="auto"/>
          <w:szCs w:val="24"/>
        </w:rPr>
        <w:t>(A / B) x</w:t>
      </w:r>
      <w:r w:rsidR="00E72C07" w:rsidRPr="00E3236B">
        <w:rPr>
          <w:i/>
          <w:color w:val="auto"/>
          <w:szCs w:val="24"/>
        </w:rPr>
        <w:t xml:space="preserve"> (percentage for relevant part)</w:t>
      </w:r>
      <w:r w:rsidRPr="00E3236B">
        <w:rPr>
          <w:i/>
          <w:color w:val="auto"/>
          <w:szCs w:val="24"/>
          <w:shd w:val="clear" w:color="auto" w:fill="FFFF66"/>
        </w:rPr>
        <w:t xml:space="preserve"> </w:t>
      </w:r>
    </w:p>
    <w:p w:rsidR="007C364A" w:rsidRPr="00E3236B" w:rsidRDefault="007C364A" w:rsidP="00E72C07">
      <w:pPr>
        <w:pStyle w:val="Heading2"/>
        <w:numPr>
          <w:ilvl w:val="0"/>
          <w:numId w:val="0"/>
        </w:numPr>
        <w:spacing w:after="120"/>
        <w:ind w:left="851" w:firstLine="851"/>
        <w:rPr>
          <w:i/>
          <w:color w:val="auto"/>
          <w:szCs w:val="24"/>
          <w:shd w:val="clear" w:color="auto" w:fill="FFFF66"/>
        </w:rPr>
      </w:pPr>
      <w:r w:rsidRPr="00E3236B">
        <w:rPr>
          <w:i/>
          <w:color w:val="auto"/>
          <w:szCs w:val="24"/>
        </w:rPr>
        <w:t xml:space="preserve">A = </w:t>
      </w:r>
      <w:r w:rsidR="008E7F55" w:rsidRPr="00E3236B">
        <w:rPr>
          <w:i/>
          <w:color w:val="auto"/>
          <w:szCs w:val="24"/>
        </w:rPr>
        <w:t xml:space="preserve">price of </w:t>
      </w:r>
      <w:r w:rsidRPr="00E3236B">
        <w:rPr>
          <w:i/>
          <w:color w:val="auto"/>
          <w:szCs w:val="24"/>
        </w:rPr>
        <w:t xml:space="preserve">lowest compliant </w:t>
      </w:r>
      <w:r w:rsidR="00336D0E" w:rsidRPr="00E3236B">
        <w:rPr>
          <w:i/>
          <w:color w:val="auto"/>
          <w:szCs w:val="24"/>
        </w:rPr>
        <w:t>T</w:t>
      </w:r>
      <w:r w:rsidR="008E7F55" w:rsidRPr="00E3236B">
        <w:rPr>
          <w:i/>
          <w:color w:val="auto"/>
          <w:szCs w:val="24"/>
        </w:rPr>
        <w:t>ender</w:t>
      </w:r>
    </w:p>
    <w:p w:rsidR="007C364A" w:rsidRDefault="007B6206" w:rsidP="00E72C07">
      <w:pPr>
        <w:pStyle w:val="Heading2"/>
        <w:numPr>
          <w:ilvl w:val="0"/>
          <w:numId w:val="0"/>
        </w:numPr>
        <w:spacing w:after="120"/>
        <w:ind w:left="851" w:firstLine="851"/>
      </w:pPr>
      <w:r w:rsidRPr="00E3236B">
        <w:rPr>
          <w:i/>
          <w:color w:val="auto"/>
          <w:szCs w:val="24"/>
        </w:rPr>
        <w:t xml:space="preserve">B = </w:t>
      </w:r>
      <w:r w:rsidR="007C364A" w:rsidRPr="00E3236B">
        <w:rPr>
          <w:i/>
          <w:color w:val="auto"/>
          <w:szCs w:val="24"/>
        </w:rPr>
        <w:t xml:space="preserve">price of the </w:t>
      </w:r>
      <w:r w:rsidR="008E7F55" w:rsidRPr="00E3236B">
        <w:rPr>
          <w:i/>
          <w:color w:val="auto"/>
          <w:szCs w:val="24"/>
        </w:rPr>
        <w:t>Tender</w:t>
      </w:r>
      <w:r w:rsidR="007C364A" w:rsidRPr="00E3236B">
        <w:rPr>
          <w:i/>
          <w:color w:val="auto"/>
          <w:szCs w:val="24"/>
        </w:rPr>
        <w:t xml:space="preserve"> being scored</w:t>
      </w:r>
      <w:r w:rsidR="007C364A">
        <w:t xml:space="preserve">  </w:t>
      </w:r>
      <w:r w:rsidR="00D27579">
        <w:t xml:space="preserve"> </w:t>
      </w:r>
    </w:p>
    <w:p w:rsidR="00E72C07" w:rsidRPr="00E72C07" w:rsidRDefault="00E72C07" w:rsidP="00E72C07">
      <w:pPr>
        <w:pStyle w:val="Heading2"/>
        <w:numPr>
          <w:ilvl w:val="0"/>
          <w:numId w:val="0"/>
        </w:numPr>
        <w:spacing w:after="120"/>
        <w:ind w:left="851" w:firstLine="851"/>
        <w:rPr>
          <w:b/>
          <w:i/>
        </w:rPr>
      </w:pPr>
      <w:r w:rsidRPr="00E72C07">
        <w:rPr>
          <w:b/>
          <w:i/>
        </w:rPr>
        <w:t>For example;</w:t>
      </w:r>
    </w:p>
    <w:p w:rsidR="00E72C07" w:rsidRPr="00E72C07" w:rsidRDefault="00E72C07" w:rsidP="00E72C07">
      <w:pPr>
        <w:pStyle w:val="Heading2"/>
        <w:numPr>
          <w:ilvl w:val="0"/>
          <w:numId w:val="0"/>
        </w:numPr>
        <w:spacing w:after="120"/>
        <w:ind w:left="851" w:firstLine="851"/>
        <w:rPr>
          <w:i/>
        </w:rPr>
      </w:pPr>
      <w:r w:rsidRPr="00E72C07">
        <w:rPr>
          <w:i/>
        </w:rPr>
        <w:t>Part a)</w:t>
      </w:r>
    </w:p>
    <w:p w:rsidR="00E72C07" w:rsidRPr="00E72C07" w:rsidRDefault="00E72C07" w:rsidP="00E72C07">
      <w:pPr>
        <w:pStyle w:val="Heading2"/>
        <w:numPr>
          <w:ilvl w:val="0"/>
          <w:numId w:val="0"/>
        </w:numPr>
        <w:spacing w:after="120"/>
        <w:ind w:left="851" w:firstLine="851"/>
        <w:rPr>
          <w:i/>
        </w:rPr>
      </w:pPr>
      <w:r w:rsidRPr="00E72C07">
        <w:rPr>
          <w:i/>
        </w:rPr>
        <w:t>Weighting for Part a) is 30%</w:t>
      </w:r>
    </w:p>
    <w:p w:rsidR="00E72C07" w:rsidRPr="00E72C07" w:rsidRDefault="00E72C07" w:rsidP="00E72C07">
      <w:pPr>
        <w:pStyle w:val="Heading2"/>
        <w:numPr>
          <w:ilvl w:val="0"/>
          <w:numId w:val="0"/>
        </w:numPr>
        <w:spacing w:after="120"/>
        <w:ind w:left="851" w:firstLine="851"/>
        <w:rPr>
          <w:i/>
        </w:rPr>
      </w:pPr>
      <w:r w:rsidRPr="00E72C07">
        <w:rPr>
          <w:i/>
        </w:rPr>
        <w:t>Bidder A submits a price of £2.50 for starting charge and first mile.</w:t>
      </w:r>
    </w:p>
    <w:p w:rsidR="00E72C07" w:rsidRPr="00E72C07" w:rsidRDefault="00E72C07" w:rsidP="00E72C07">
      <w:pPr>
        <w:pStyle w:val="Heading2"/>
        <w:numPr>
          <w:ilvl w:val="0"/>
          <w:numId w:val="0"/>
        </w:numPr>
        <w:spacing w:after="120"/>
        <w:ind w:left="851" w:firstLine="851"/>
        <w:rPr>
          <w:i/>
        </w:rPr>
      </w:pPr>
      <w:r w:rsidRPr="00E72C07">
        <w:rPr>
          <w:i/>
        </w:rPr>
        <w:t>Bidder B submits a price of £3.00 for starting charge and first mile</w:t>
      </w:r>
    </w:p>
    <w:p w:rsidR="00E72C07" w:rsidRPr="00E72C07" w:rsidRDefault="00E72C07" w:rsidP="00E72C07">
      <w:pPr>
        <w:pStyle w:val="Heading2"/>
        <w:numPr>
          <w:ilvl w:val="0"/>
          <w:numId w:val="0"/>
        </w:numPr>
        <w:spacing w:after="120"/>
        <w:ind w:left="851" w:firstLine="851"/>
        <w:rPr>
          <w:i/>
        </w:rPr>
      </w:pPr>
      <w:r w:rsidRPr="00E72C07">
        <w:rPr>
          <w:i/>
        </w:rPr>
        <w:t>A = £2.50</w:t>
      </w:r>
    </w:p>
    <w:p w:rsidR="00E72C07" w:rsidRPr="00E72C07" w:rsidRDefault="00E72C07" w:rsidP="00E72C07">
      <w:pPr>
        <w:pStyle w:val="Heading2"/>
        <w:numPr>
          <w:ilvl w:val="0"/>
          <w:numId w:val="0"/>
        </w:numPr>
        <w:spacing w:after="120"/>
        <w:ind w:left="851" w:firstLine="851"/>
        <w:rPr>
          <w:i/>
        </w:rPr>
      </w:pPr>
      <w:r w:rsidRPr="00E72C07">
        <w:rPr>
          <w:i/>
        </w:rPr>
        <w:t>B = £3.00</w:t>
      </w:r>
    </w:p>
    <w:p w:rsidR="00E3236B" w:rsidRDefault="00E3236B" w:rsidP="00E72C07">
      <w:pPr>
        <w:pStyle w:val="Heading2"/>
        <w:numPr>
          <w:ilvl w:val="0"/>
          <w:numId w:val="0"/>
        </w:numPr>
        <w:spacing w:after="120"/>
        <w:ind w:left="851" w:firstLine="851"/>
        <w:rPr>
          <w:i/>
        </w:rPr>
      </w:pPr>
      <w:r>
        <w:rPr>
          <w:i/>
        </w:rPr>
        <w:t xml:space="preserve">Calculation for Bidder A score: (£2.50/£2.50) x 30 = </w:t>
      </w:r>
      <w:r w:rsidRPr="00E3236B">
        <w:rPr>
          <w:b/>
          <w:i/>
        </w:rPr>
        <w:t>30</w:t>
      </w:r>
    </w:p>
    <w:p w:rsidR="00E72C07" w:rsidRPr="00E72C07" w:rsidRDefault="00E72C07" w:rsidP="00E72C07">
      <w:pPr>
        <w:pStyle w:val="Heading2"/>
        <w:numPr>
          <w:ilvl w:val="0"/>
          <w:numId w:val="0"/>
        </w:numPr>
        <w:spacing w:after="120"/>
        <w:ind w:left="851" w:firstLine="851"/>
        <w:rPr>
          <w:i/>
        </w:rPr>
      </w:pPr>
      <w:r w:rsidRPr="00E72C07">
        <w:rPr>
          <w:i/>
        </w:rPr>
        <w:t xml:space="preserve">Calculation for Bidder B score: (£2.50/£3.00) x 30 = </w:t>
      </w:r>
      <w:r w:rsidRPr="00E72C07">
        <w:rPr>
          <w:b/>
          <w:i/>
        </w:rPr>
        <w:t>25</w:t>
      </w:r>
    </w:p>
    <w:p w:rsidR="00E72C07" w:rsidRDefault="00E72C07" w:rsidP="00E72C07">
      <w:pPr>
        <w:pStyle w:val="Heading2"/>
        <w:numPr>
          <w:ilvl w:val="0"/>
          <w:numId w:val="0"/>
        </w:numPr>
        <w:ind w:left="851" w:hanging="851"/>
      </w:pPr>
      <w:r>
        <w:tab/>
      </w:r>
    </w:p>
    <w:p w:rsidR="007C2F2F" w:rsidRPr="0025200C" w:rsidRDefault="007C2F2F" w:rsidP="006B54D6">
      <w:pPr>
        <w:pStyle w:val="MRNumberedHeading2"/>
      </w:pPr>
      <w:bookmarkStart w:id="110"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10"/>
    </w:p>
    <w:p w:rsidR="00A77338" w:rsidRPr="007C2F2F" w:rsidRDefault="00A77338" w:rsidP="00DD4504">
      <w:pPr>
        <w:pStyle w:val="Heading1"/>
        <w:spacing w:before="240" w:after="0"/>
        <w:ind w:left="709"/>
      </w:pPr>
      <w:bookmarkStart w:id="111" w:name="_Toc403555179"/>
      <w:r w:rsidRPr="007C2F2F">
        <w:t>Criteria – Scored Questions</w:t>
      </w:r>
      <w:r>
        <w:t>:  technical and quality evaluation</w:t>
      </w:r>
      <w:bookmarkEnd w:id="111"/>
    </w:p>
    <w:p w:rsidR="006C1E7E" w:rsidRDefault="006C1E7E" w:rsidP="006B54D6">
      <w:pPr>
        <w:pStyle w:val="MRNumberedHeading2"/>
      </w:pPr>
      <w:bookmarkStart w:id="112" w:name="_Toc403555180"/>
      <w:bookmarkStart w:id="113" w:name="_Ref405453301"/>
      <w:bookmarkStart w:id="114" w:name="_Ref408579700"/>
      <w:r>
        <w:t xml:space="preserve">The </w:t>
      </w:r>
      <w:r w:rsidR="006A7F8F">
        <w:t>technical evaluation will be scored in accordance with the table below:</w:t>
      </w:r>
      <w:bookmarkEnd w:id="112"/>
      <w:bookmarkEnd w:id="113"/>
      <w:bookmarkEnd w:id="114"/>
      <w:r w:rsidR="006A7F8F">
        <w:t xml:space="preserve"> </w:t>
      </w:r>
    </w:p>
    <w:p w:rsidR="003E3276" w:rsidRDefault="003E3276" w:rsidP="006B54D6">
      <w:pPr>
        <w:pStyle w:val="MRNumberedHeading2"/>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5387"/>
      </w:tblGrid>
      <w:tr w:rsidR="006A7F8F" w:rsidRPr="00A24900" w:rsidTr="00DD4504">
        <w:trPr>
          <w:cantSplit/>
          <w:trHeight w:val="538"/>
        </w:trPr>
        <w:tc>
          <w:tcPr>
            <w:tcW w:w="1843" w:type="dxa"/>
            <w:shd w:val="clear" w:color="auto" w:fill="BFBFBF" w:themeFill="background1" w:themeFillShade="BF"/>
            <w:vAlign w:val="center"/>
          </w:tcPr>
          <w:p w:rsidR="006A7F8F" w:rsidRPr="0005222A" w:rsidRDefault="0005222A" w:rsidP="001D5911">
            <w:pPr>
              <w:pStyle w:val="Table"/>
              <w:keepNext/>
              <w:rPr>
                <w:b/>
              </w:rPr>
            </w:pPr>
            <w:r w:rsidRPr="0005222A">
              <w:rPr>
                <w:b/>
              </w:rPr>
              <w:lastRenderedPageBreak/>
              <w:t>Grade label</w:t>
            </w:r>
          </w:p>
        </w:tc>
        <w:tc>
          <w:tcPr>
            <w:tcW w:w="992" w:type="dxa"/>
            <w:shd w:val="clear" w:color="auto" w:fill="BFBFBF" w:themeFill="background1" w:themeFillShade="BF"/>
            <w:vAlign w:val="center"/>
          </w:tcPr>
          <w:p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rsidR="006A7F8F" w:rsidRPr="0005222A" w:rsidRDefault="0005222A" w:rsidP="001D5911">
            <w:pPr>
              <w:pStyle w:val="Table"/>
              <w:keepNext/>
              <w:rPr>
                <w:b/>
              </w:rPr>
            </w:pPr>
            <w:r w:rsidRPr="0005222A">
              <w:rPr>
                <w:b/>
              </w:rPr>
              <w:t>Definition of Grade</w:t>
            </w:r>
          </w:p>
        </w:tc>
      </w:tr>
      <w:tr w:rsidR="0005222A" w:rsidRPr="00A24900" w:rsidTr="00DD4504">
        <w:trPr>
          <w:cantSplit/>
          <w:trHeight w:val="860"/>
        </w:trPr>
        <w:tc>
          <w:tcPr>
            <w:tcW w:w="1843" w:type="dxa"/>
            <w:shd w:val="clear" w:color="auto" w:fill="auto"/>
            <w:vAlign w:val="center"/>
          </w:tcPr>
          <w:p w:rsidR="0005222A" w:rsidRPr="00A24900" w:rsidRDefault="0005222A" w:rsidP="008E2B30">
            <w:pPr>
              <w:pStyle w:val="Table"/>
              <w:keepNext/>
            </w:pPr>
            <w:r w:rsidRPr="00A24900">
              <w:t>Unacceptable</w:t>
            </w:r>
          </w:p>
        </w:tc>
        <w:tc>
          <w:tcPr>
            <w:tcW w:w="992" w:type="dxa"/>
            <w:shd w:val="clear" w:color="auto" w:fill="auto"/>
            <w:vAlign w:val="center"/>
          </w:tcPr>
          <w:p w:rsidR="0005222A" w:rsidRPr="00A24900" w:rsidRDefault="0005222A" w:rsidP="008E2B30">
            <w:pPr>
              <w:pStyle w:val="Table"/>
              <w:keepNext/>
              <w:jc w:val="center"/>
            </w:pPr>
            <w:r w:rsidRPr="00A24900">
              <w:t>0</w:t>
            </w:r>
          </w:p>
        </w:tc>
        <w:tc>
          <w:tcPr>
            <w:tcW w:w="5387" w:type="dxa"/>
            <w:shd w:val="clear" w:color="auto" w:fill="auto"/>
            <w:vAlign w:val="center"/>
          </w:tcPr>
          <w:p w:rsidR="0005222A" w:rsidRPr="00A24900" w:rsidRDefault="000226A1" w:rsidP="00287834">
            <w:pPr>
              <w:pStyle w:val="Table"/>
              <w:keepNext/>
              <w:jc w:val="both"/>
            </w:pPr>
            <w:r>
              <w:t>The proposal c</w:t>
            </w:r>
            <w:r w:rsidR="00287834">
              <w:t xml:space="preserve">ompletely fails to meet </w:t>
            </w:r>
            <w:r w:rsidR="00202FD5">
              <w:t xml:space="preserve">the </w:t>
            </w:r>
            <w:r w:rsidR="00287834">
              <w:t>required standard or does not provide an answer</w:t>
            </w:r>
          </w:p>
        </w:tc>
      </w:tr>
      <w:tr w:rsidR="0005222A" w:rsidRPr="00A24900" w:rsidTr="00DD4504">
        <w:trPr>
          <w:cantSplit/>
          <w:trHeight w:val="861"/>
        </w:trPr>
        <w:tc>
          <w:tcPr>
            <w:tcW w:w="1843" w:type="dxa"/>
            <w:shd w:val="clear" w:color="auto" w:fill="auto"/>
            <w:vAlign w:val="center"/>
          </w:tcPr>
          <w:p w:rsidR="0005222A" w:rsidRPr="00A24900" w:rsidRDefault="0005222A" w:rsidP="001D5911">
            <w:pPr>
              <w:pStyle w:val="Table"/>
              <w:keepNext/>
            </w:pPr>
            <w:r w:rsidRPr="00A24900">
              <w:t>Weak</w:t>
            </w:r>
          </w:p>
        </w:tc>
        <w:tc>
          <w:tcPr>
            <w:tcW w:w="992" w:type="dxa"/>
            <w:shd w:val="clear" w:color="auto" w:fill="auto"/>
            <w:vAlign w:val="center"/>
          </w:tcPr>
          <w:p w:rsidR="0005222A" w:rsidRPr="00A24900" w:rsidRDefault="0005222A" w:rsidP="001D5911">
            <w:pPr>
              <w:pStyle w:val="Table"/>
              <w:keepNext/>
              <w:jc w:val="center"/>
            </w:pPr>
            <w:r w:rsidRPr="00A24900">
              <w:t>1</w:t>
            </w:r>
          </w:p>
        </w:tc>
        <w:tc>
          <w:tcPr>
            <w:tcW w:w="5387" w:type="dxa"/>
            <w:shd w:val="clear" w:color="auto" w:fill="auto"/>
            <w:vAlign w:val="center"/>
          </w:tcPr>
          <w:p w:rsidR="0005222A" w:rsidRPr="00A24900" w:rsidRDefault="000226A1" w:rsidP="00202FD5">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rsidTr="00DD4504">
        <w:trPr>
          <w:cantSplit/>
          <w:trHeight w:val="860"/>
        </w:trPr>
        <w:tc>
          <w:tcPr>
            <w:tcW w:w="1843" w:type="dxa"/>
            <w:shd w:val="clear" w:color="auto" w:fill="auto"/>
            <w:vAlign w:val="center"/>
          </w:tcPr>
          <w:p w:rsidR="0005222A" w:rsidRPr="00A24900" w:rsidRDefault="0005222A" w:rsidP="001D5911">
            <w:pPr>
              <w:pStyle w:val="Table"/>
              <w:keepNext/>
            </w:pPr>
            <w:r w:rsidRPr="00A24900">
              <w:t>Satisfactory</w:t>
            </w:r>
          </w:p>
        </w:tc>
        <w:tc>
          <w:tcPr>
            <w:tcW w:w="992" w:type="dxa"/>
            <w:shd w:val="clear" w:color="auto" w:fill="auto"/>
            <w:vAlign w:val="center"/>
          </w:tcPr>
          <w:p w:rsidR="0005222A" w:rsidRPr="00A24900" w:rsidRDefault="0005222A" w:rsidP="001D5911">
            <w:pPr>
              <w:pStyle w:val="Table"/>
              <w:keepNext/>
              <w:jc w:val="center"/>
            </w:pPr>
            <w:r w:rsidRPr="00A24900">
              <w:t>2</w:t>
            </w:r>
          </w:p>
        </w:tc>
        <w:tc>
          <w:tcPr>
            <w:tcW w:w="5387" w:type="dxa"/>
            <w:shd w:val="clear" w:color="auto" w:fill="auto"/>
            <w:vAlign w:val="center"/>
          </w:tcPr>
          <w:p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rsidTr="00DD4504">
        <w:trPr>
          <w:cantSplit/>
          <w:trHeight w:val="861"/>
        </w:trPr>
        <w:tc>
          <w:tcPr>
            <w:tcW w:w="1843" w:type="dxa"/>
            <w:shd w:val="clear" w:color="auto" w:fill="auto"/>
            <w:vAlign w:val="center"/>
          </w:tcPr>
          <w:p w:rsidR="0005222A" w:rsidRPr="00A24900" w:rsidRDefault="0005222A" w:rsidP="001D5911">
            <w:pPr>
              <w:pStyle w:val="Table"/>
              <w:keepNext/>
            </w:pPr>
            <w:r w:rsidRPr="00A24900">
              <w:t>Good</w:t>
            </w:r>
          </w:p>
        </w:tc>
        <w:tc>
          <w:tcPr>
            <w:tcW w:w="992" w:type="dxa"/>
            <w:shd w:val="clear" w:color="auto" w:fill="auto"/>
            <w:vAlign w:val="center"/>
          </w:tcPr>
          <w:p w:rsidR="0005222A" w:rsidRPr="00A24900" w:rsidRDefault="0005222A" w:rsidP="001D5911">
            <w:pPr>
              <w:pStyle w:val="Table"/>
              <w:keepNext/>
              <w:jc w:val="center"/>
            </w:pPr>
            <w:r w:rsidRPr="00A24900">
              <w:t>3</w:t>
            </w:r>
          </w:p>
        </w:tc>
        <w:tc>
          <w:tcPr>
            <w:tcW w:w="5387" w:type="dxa"/>
            <w:shd w:val="clear" w:color="auto" w:fill="auto"/>
            <w:vAlign w:val="center"/>
          </w:tcPr>
          <w:p w:rsidR="0005222A" w:rsidRPr="00A24900" w:rsidRDefault="000226A1" w:rsidP="0005222A">
            <w:pPr>
              <w:pStyle w:val="Table"/>
              <w:keepNext/>
              <w:jc w:val="both"/>
            </w:pPr>
            <w:r>
              <w:t>The proposal m</w:t>
            </w:r>
            <w:r w:rsidR="00287834">
              <w:t>eets the required standard in all material respects</w:t>
            </w:r>
          </w:p>
        </w:tc>
      </w:tr>
      <w:tr w:rsidR="0005222A" w:rsidRPr="00A24900" w:rsidTr="00DD4504">
        <w:trPr>
          <w:cantSplit/>
          <w:trHeight w:val="861"/>
        </w:trPr>
        <w:tc>
          <w:tcPr>
            <w:tcW w:w="1843" w:type="dxa"/>
            <w:shd w:val="clear" w:color="auto" w:fill="auto"/>
            <w:vAlign w:val="center"/>
          </w:tcPr>
          <w:p w:rsidR="0005222A" w:rsidRPr="00A24900" w:rsidRDefault="0005222A" w:rsidP="001D5911">
            <w:pPr>
              <w:pStyle w:val="Table"/>
              <w:keepNext/>
            </w:pPr>
            <w:r w:rsidRPr="00A24900">
              <w:t>Excellent</w:t>
            </w:r>
          </w:p>
        </w:tc>
        <w:tc>
          <w:tcPr>
            <w:tcW w:w="992" w:type="dxa"/>
            <w:shd w:val="clear" w:color="auto" w:fill="auto"/>
            <w:vAlign w:val="center"/>
          </w:tcPr>
          <w:p w:rsidR="0005222A" w:rsidRPr="00A24900" w:rsidRDefault="0005222A" w:rsidP="001D5911">
            <w:pPr>
              <w:pStyle w:val="Table"/>
              <w:keepNext/>
              <w:jc w:val="center"/>
            </w:pPr>
            <w:r w:rsidRPr="00A24900">
              <w:t>4</w:t>
            </w:r>
          </w:p>
        </w:tc>
        <w:tc>
          <w:tcPr>
            <w:tcW w:w="5387" w:type="dxa"/>
            <w:shd w:val="clear" w:color="auto" w:fill="auto"/>
            <w:vAlign w:val="center"/>
          </w:tcPr>
          <w:p w:rsidR="0005222A" w:rsidRPr="00A24900" w:rsidRDefault="00547486" w:rsidP="00287834">
            <w:pPr>
              <w:pStyle w:val="Table"/>
              <w:keepNext/>
              <w:jc w:val="both"/>
            </w:pPr>
            <w:r>
              <w:t>The proposal m</w:t>
            </w:r>
            <w:r w:rsidR="00287834">
              <w:t xml:space="preserve">eets the required standard in all material respects and exceeds some or all of the major requirements </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15" w:name="_Ref403489615"/>
      <w:r>
        <w:br w:type="page"/>
      </w:r>
    </w:p>
    <w:p w:rsidR="005E4E9D" w:rsidRPr="005B59B7" w:rsidRDefault="005E4E9D" w:rsidP="00401FF0">
      <w:pPr>
        <w:pStyle w:val="MainHeading"/>
        <w:spacing w:line="480" w:lineRule="auto"/>
        <w:ind w:left="0"/>
        <w:jc w:val="center"/>
        <w:rPr>
          <w:b/>
        </w:rPr>
      </w:pPr>
      <w:bookmarkStart w:id="116" w:name="_Toc403556511"/>
      <w:bookmarkEnd w:id="115"/>
      <w:r w:rsidRPr="005B59B7">
        <w:rPr>
          <w:b/>
        </w:rPr>
        <w:lastRenderedPageBreak/>
        <w:t>ANNEX A1</w:t>
      </w:r>
      <w:r w:rsidR="00E84532" w:rsidRPr="005B59B7">
        <w:rPr>
          <w:b/>
        </w:rPr>
        <w:br/>
      </w:r>
      <w:r w:rsidRPr="005B59B7">
        <w:rPr>
          <w:b/>
        </w:rPr>
        <w:t>NHS TERMS AND CONDITIONS</w:t>
      </w:r>
      <w:bookmarkEnd w:id="116"/>
    </w:p>
    <w:p w:rsidR="005E4E9D" w:rsidRDefault="005E4E9D" w:rsidP="005E4E9D">
      <w:pPr>
        <w:pStyle w:val="Body1"/>
        <w:ind w:left="0"/>
      </w:pPr>
      <w:r w:rsidRPr="00EE57C8">
        <w:t xml:space="preserve">The Authority intends to enter into a contract with the successful Bidder on the NHS </w:t>
      </w:r>
      <w:r w:rsidR="00586006">
        <w:t>T</w:t>
      </w:r>
      <w:r w:rsidRPr="00EE57C8">
        <w:t xml:space="preserve">erms and </w:t>
      </w:r>
      <w:r w:rsidR="00586006">
        <w:t>C</w:t>
      </w:r>
      <w:r w:rsidR="00E20ECE">
        <w:t xml:space="preserve">onditions </w:t>
      </w:r>
      <w:r w:rsidR="00A3093F" w:rsidRPr="00085238">
        <w:t>for the Provision of S</w:t>
      </w:r>
      <w:r w:rsidRPr="00085238">
        <w:t>ervices (</w:t>
      </w:r>
      <w:r w:rsidR="00A3093F" w:rsidRPr="00085238">
        <w:t>Purchase O</w:t>
      </w:r>
      <w:r w:rsidR="006829A2" w:rsidRPr="00085238">
        <w:t>rder</w:t>
      </w:r>
      <w:r w:rsidR="00A3093F" w:rsidRPr="00085238">
        <w:t xml:space="preserve"> V</w:t>
      </w:r>
      <w:r w:rsidRPr="00085238">
        <w:t>ersion)</w:t>
      </w:r>
      <w:r w:rsidR="00085238" w:rsidRPr="00085238">
        <w:t>.</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7074AD" w:rsidRPr="00AF2EA9" w:rsidRDefault="00AF2EA9" w:rsidP="000B4ABD">
      <w:pPr>
        <w:spacing w:after="240"/>
        <w:jc w:val="left"/>
        <w:rPr>
          <w:rFonts w:eastAsia="Times New Roman" w:cs="Times New Roman"/>
          <w:color w:val="000000" w:themeColor="text1"/>
          <w:lang w:eastAsia="en-GB"/>
        </w:rPr>
      </w:pPr>
      <w:r>
        <w:rPr>
          <w:rFonts w:eastAsia="Times New Roman" w:cs="Times New Roman"/>
          <w:color w:val="000000" w:themeColor="text1"/>
          <w:lang w:eastAsia="en-GB"/>
        </w:rPr>
        <w:t xml:space="preserve">The NHS Terms and Conditions will be enclosed in a separate document. </w:t>
      </w:r>
    </w:p>
    <w:sectPr w:rsidR="007074AD" w:rsidRPr="00AF2EA9" w:rsidSect="00B02442">
      <w:footerReference w:type="default" r:id="rId15"/>
      <w:footerReference w:type="first" r:id="rId16"/>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7A" w:rsidRDefault="00B63E7A" w:rsidP="00C82318">
      <w:r>
        <w:separator/>
      </w:r>
    </w:p>
  </w:endnote>
  <w:endnote w:type="continuationSeparator" w:id="0">
    <w:p w:rsidR="00B63E7A" w:rsidRDefault="00B63E7A"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87" w:rsidRPr="00100953" w:rsidRDefault="00FC7E87"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FC7E87" w:rsidRDefault="00FC7E87">
    <w:pPr>
      <w:pStyle w:val="Footer"/>
      <w:jc w:val="center"/>
    </w:pPr>
  </w:p>
  <w:p w:rsidR="00FC7E87" w:rsidRDefault="00FC7E87"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87" w:rsidRDefault="00FC7E87">
    <w:pPr>
      <w:pStyle w:val="Footer"/>
      <w:jc w:val="center"/>
    </w:pPr>
  </w:p>
  <w:p w:rsidR="00FC7E87" w:rsidRDefault="00FC7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FC7E87" w:rsidRPr="00100953" w:rsidRDefault="00FC7E87" w:rsidP="00D635F5">
        <w:pPr>
          <w:pStyle w:val="Footer"/>
          <w:rPr>
            <w:color w:val="808080" w:themeColor="background1" w:themeShade="80"/>
          </w:rPr>
        </w:pPr>
        <w:r>
          <w:rPr>
            <w:color w:val="808080" w:themeColor="background1" w:themeShade="80"/>
          </w:rPr>
          <w:t>ITT section A – below-threshold (February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FC7E87" w:rsidRDefault="00FC7E87">
        <w:pPr>
          <w:pStyle w:val="Footer"/>
          <w:jc w:val="center"/>
        </w:pPr>
        <w:r>
          <w:fldChar w:fldCharType="begin"/>
        </w:r>
        <w:r>
          <w:instrText xml:space="preserve"> PAGE   \* MERGEFORMAT </w:instrText>
        </w:r>
        <w:r>
          <w:fldChar w:fldCharType="separate"/>
        </w:r>
        <w:r w:rsidR="000C500A">
          <w:rPr>
            <w:noProof/>
          </w:rPr>
          <w:t>11</w:t>
        </w:r>
        <w:r>
          <w:rPr>
            <w:noProof/>
          </w:rPr>
          <w:fldChar w:fldCharType="end"/>
        </w:r>
      </w:p>
    </w:sdtContent>
  </w:sdt>
  <w:p w:rsidR="00FC7E87" w:rsidRDefault="00FC7E87"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FC7E87" w:rsidRPr="00100953" w:rsidRDefault="00FC7E87"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FC7E87" w:rsidRDefault="00FC7E87">
        <w:pPr>
          <w:pStyle w:val="Footer"/>
          <w:jc w:val="center"/>
        </w:pPr>
        <w:r>
          <w:fldChar w:fldCharType="begin"/>
        </w:r>
        <w:r>
          <w:instrText xml:space="preserve"> PAGE   \* MERGEFORMAT </w:instrText>
        </w:r>
        <w:r>
          <w:fldChar w:fldCharType="separate"/>
        </w:r>
        <w:r w:rsidR="000C500A">
          <w:rPr>
            <w:noProof/>
          </w:rPr>
          <w:t>1</w:t>
        </w:r>
        <w:r>
          <w:rPr>
            <w:noProof/>
          </w:rPr>
          <w:fldChar w:fldCharType="end"/>
        </w:r>
      </w:p>
    </w:sdtContent>
  </w:sdt>
  <w:p w:rsidR="00FC7E87" w:rsidRDefault="00F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7A" w:rsidRDefault="00B63E7A" w:rsidP="00C82318">
      <w:r>
        <w:separator/>
      </w:r>
    </w:p>
  </w:footnote>
  <w:footnote w:type="continuationSeparator" w:id="0">
    <w:p w:rsidR="00B63E7A" w:rsidRDefault="00B63E7A"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87" w:rsidRPr="001A0E3F" w:rsidRDefault="00FC7E87">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A604E3"/>
    <w:multiLevelType w:val="multilevel"/>
    <w:tmpl w:val="7CF408AE"/>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5">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3">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5">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6"/>
  </w:num>
  <w:num w:numId="2">
    <w:abstractNumId w:val="4"/>
  </w:num>
  <w:num w:numId="3">
    <w:abstractNumId w:val="15"/>
  </w:num>
  <w:num w:numId="4">
    <w:abstractNumId w:val="16"/>
  </w:num>
  <w:num w:numId="5">
    <w:abstractNumId w:val="16"/>
  </w:num>
  <w:num w:numId="6">
    <w:abstractNumId w:val="2"/>
  </w:num>
  <w:num w:numId="7">
    <w:abstractNumId w:val="8"/>
  </w:num>
  <w:num w:numId="8">
    <w:abstractNumId w:val="20"/>
  </w:num>
  <w:num w:numId="9">
    <w:abstractNumId w:val="0"/>
  </w:num>
  <w:num w:numId="10">
    <w:abstractNumId w:val="23"/>
  </w:num>
  <w:num w:numId="11">
    <w:abstractNumId w:val="17"/>
  </w:num>
  <w:num w:numId="12">
    <w:abstractNumId w:val="18"/>
  </w:num>
  <w:num w:numId="13">
    <w:abstractNumId w:val="22"/>
  </w:num>
  <w:num w:numId="14">
    <w:abstractNumId w:val="7"/>
  </w:num>
  <w:num w:numId="15">
    <w:abstractNumId w:val="9"/>
  </w:num>
  <w:num w:numId="16">
    <w:abstractNumId w:val="24"/>
  </w:num>
  <w:num w:numId="17">
    <w:abstractNumId w:val="12"/>
  </w:num>
  <w:num w:numId="18">
    <w:abstractNumId w:val="21"/>
  </w:num>
  <w:num w:numId="19">
    <w:abstractNumId w:val="1"/>
  </w:num>
  <w:num w:numId="20">
    <w:abstractNumId w:val="3"/>
  </w:num>
  <w:num w:numId="21">
    <w:abstractNumId w:val="13"/>
  </w:num>
  <w:num w:numId="22">
    <w:abstractNumId w:val="19"/>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1"/>
  </w:num>
  <w:num w:numId="27">
    <w:abstractNumId w:val="11"/>
  </w:num>
  <w:num w:numId="28">
    <w:abstractNumId w:val="16"/>
  </w:num>
  <w:num w:numId="29">
    <w:abstractNumId w:val="16"/>
  </w:num>
  <w:num w:numId="30">
    <w:abstractNumId w:val="11"/>
  </w:num>
  <w:num w:numId="31">
    <w:abstractNumId w:val="5"/>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1"/>
  </w:num>
  <w:num w:numId="39">
    <w:abstractNumId w:val="16"/>
  </w:num>
  <w:num w:numId="40">
    <w:abstractNumId w:val="11"/>
  </w:num>
  <w:num w:numId="41">
    <w:abstractNumId w:val="14"/>
  </w:num>
  <w:num w:numId="4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248BC"/>
    <w:rsid w:val="00026420"/>
    <w:rsid w:val="000272DF"/>
    <w:rsid w:val="00030477"/>
    <w:rsid w:val="00030FC3"/>
    <w:rsid w:val="000354F5"/>
    <w:rsid w:val="00036C7D"/>
    <w:rsid w:val="00037D38"/>
    <w:rsid w:val="00040181"/>
    <w:rsid w:val="00041C11"/>
    <w:rsid w:val="0005222A"/>
    <w:rsid w:val="00053672"/>
    <w:rsid w:val="00060F58"/>
    <w:rsid w:val="000627AD"/>
    <w:rsid w:val="00065291"/>
    <w:rsid w:val="00070790"/>
    <w:rsid w:val="00076883"/>
    <w:rsid w:val="0007721A"/>
    <w:rsid w:val="000800FA"/>
    <w:rsid w:val="00081B88"/>
    <w:rsid w:val="000831C0"/>
    <w:rsid w:val="000849EC"/>
    <w:rsid w:val="00085238"/>
    <w:rsid w:val="000927EE"/>
    <w:rsid w:val="00094EC7"/>
    <w:rsid w:val="00097408"/>
    <w:rsid w:val="000974B1"/>
    <w:rsid w:val="000A0DF7"/>
    <w:rsid w:val="000A1883"/>
    <w:rsid w:val="000A4844"/>
    <w:rsid w:val="000B1075"/>
    <w:rsid w:val="000B31A2"/>
    <w:rsid w:val="000B4ABD"/>
    <w:rsid w:val="000C500A"/>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5D48"/>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33B9"/>
    <w:rsid w:val="001C4CA0"/>
    <w:rsid w:val="001C747B"/>
    <w:rsid w:val="001D1FC8"/>
    <w:rsid w:val="001D268B"/>
    <w:rsid w:val="001D4A3F"/>
    <w:rsid w:val="001D5911"/>
    <w:rsid w:val="001E1DE2"/>
    <w:rsid w:val="001E27EC"/>
    <w:rsid w:val="001E5F7F"/>
    <w:rsid w:val="001E7C74"/>
    <w:rsid w:val="001E7D3C"/>
    <w:rsid w:val="001F110F"/>
    <w:rsid w:val="001F3352"/>
    <w:rsid w:val="001F37D7"/>
    <w:rsid w:val="00200E60"/>
    <w:rsid w:val="00201732"/>
    <w:rsid w:val="00202FD5"/>
    <w:rsid w:val="00203270"/>
    <w:rsid w:val="0020513D"/>
    <w:rsid w:val="00205552"/>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41B5"/>
    <w:rsid w:val="0027505F"/>
    <w:rsid w:val="00276E1B"/>
    <w:rsid w:val="00277BB6"/>
    <w:rsid w:val="00281B32"/>
    <w:rsid w:val="002820AF"/>
    <w:rsid w:val="0028393A"/>
    <w:rsid w:val="002869D0"/>
    <w:rsid w:val="00287298"/>
    <w:rsid w:val="00287614"/>
    <w:rsid w:val="00287834"/>
    <w:rsid w:val="00296E12"/>
    <w:rsid w:val="002A718A"/>
    <w:rsid w:val="002A73DD"/>
    <w:rsid w:val="002B3866"/>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53A99"/>
    <w:rsid w:val="00456FE6"/>
    <w:rsid w:val="00457D9A"/>
    <w:rsid w:val="00461A05"/>
    <w:rsid w:val="00465EF9"/>
    <w:rsid w:val="00477CAE"/>
    <w:rsid w:val="004834F5"/>
    <w:rsid w:val="00486F32"/>
    <w:rsid w:val="004900DB"/>
    <w:rsid w:val="00490706"/>
    <w:rsid w:val="00491808"/>
    <w:rsid w:val="00496B53"/>
    <w:rsid w:val="004A129B"/>
    <w:rsid w:val="004B1A24"/>
    <w:rsid w:val="004B6544"/>
    <w:rsid w:val="004C3605"/>
    <w:rsid w:val="004C3B98"/>
    <w:rsid w:val="004C58D8"/>
    <w:rsid w:val="004D1477"/>
    <w:rsid w:val="004D33A7"/>
    <w:rsid w:val="004E1ABD"/>
    <w:rsid w:val="004E51D1"/>
    <w:rsid w:val="004E71FF"/>
    <w:rsid w:val="004E775C"/>
    <w:rsid w:val="004F391B"/>
    <w:rsid w:val="00503BB6"/>
    <w:rsid w:val="00504FA1"/>
    <w:rsid w:val="0050545F"/>
    <w:rsid w:val="005207B7"/>
    <w:rsid w:val="0052179E"/>
    <w:rsid w:val="00523CAB"/>
    <w:rsid w:val="005275E6"/>
    <w:rsid w:val="005308BB"/>
    <w:rsid w:val="00533CB2"/>
    <w:rsid w:val="0053546C"/>
    <w:rsid w:val="00541CDA"/>
    <w:rsid w:val="00547486"/>
    <w:rsid w:val="00550EFF"/>
    <w:rsid w:val="00556A0A"/>
    <w:rsid w:val="00557DBA"/>
    <w:rsid w:val="00561F1C"/>
    <w:rsid w:val="00562B64"/>
    <w:rsid w:val="005717F4"/>
    <w:rsid w:val="00576482"/>
    <w:rsid w:val="00581A29"/>
    <w:rsid w:val="00585FA5"/>
    <w:rsid w:val="00586006"/>
    <w:rsid w:val="0058683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676B9"/>
    <w:rsid w:val="006705FE"/>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074AD"/>
    <w:rsid w:val="0071468F"/>
    <w:rsid w:val="00721F4F"/>
    <w:rsid w:val="00727643"/>
    <w:rsid w:val="007301E9"/>
    <w:rsid w:val="00730C14"/>
    <w:rsid w:val="0073556F"/>
    <w:rsid w:val="00740C0F"/>
    <w:rsid w:val="00742A8D"/>
    <w:rsid w:val="00746CCF"/>
    <w:rsid w:val="00750F40"/>
    <w:rsid w:val="0075474E"/>
    <w:rsid w:val="0075483B"/>
    <w:rsid w:val="007721E5"/>
    <w:rsid w:val="007724D1"/>
    <w:rsid w:val="007768B0"/>
    <w:rsid w:val="007829E9"/>
    <w:rsid w:val="0078532F"/>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2B00"/>
    <w:rsid w:val="007D3D17"/>
    <w:rsid w:val="007D7562"/>
    <w:rsid w:val="007E1147"/>
    <w:rsid w:val="007E124C"/>
    <w:rsid w:val="007E269D"/>
    <w:rsid w:val="007E379F"/>
    <w:rsid w:val="007F4BED"/>
    <w:rsid w:val="007F5F02"/>
    <w:rsid w:val="00807CF7"/>
    <w:rsid w:val="00811FA0"/>
    <w:rsid w:val="00814588"/>
    <w:rsid w:val="00815813"/>
    <w:rsid w:val="00816028"/>
    <w:rsid w:val="00824E99"/>
    <w:rsid w:val="00825FC5"/>
    <w:rsid w:val="008306CC"/>
    <w:rsid w:val="00830FE1"/>
    <w:rsid w:val="00831204"/>
    <w:rsid w:val="00831521"/>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C5577"/>
    <w:rsid w:val="008C7D14"/>
    <w:rsid w:val="008D1E0E"/>
    <w:rsid w:val="008D2128"/>
    <w:rsid w:val="008D3217"/>
    <w:rsid w:val="008D4F8F"/>
    <w:rsid w:val="008E1517"/>
    <w:rsid w:val="008E2B30"/>
    <w:rsid w:val="008E363A"/>
    <w:rsid w:val="008E6BB3"/>
    <w:rsid w:val="008E6EC7"/>
    <w:rsid w:val="008E7E5A"/>
    <w:rsid w:val="008E7F55"/>
    <w:rsid w:val="008F25B4"/>
    <w:rsid w:val="008F3D2C"/>
    <w:rsid w:val="008F6885"/>
    <w:rsid w:val="008F79E8"/>
    <w:rsid w:val="00901017"/>
    <w:rsid w:val="00911444"/>
    <w:rsid w:val="00912243"/>
    <w:rsid w:val="00914926"/>
    <w:rsid w:val="009158CB"/>
    <w:rsid w:val="0092538F"/>
    <w:rsid w:val="0092698E"/>
    <w:rsid w:val="009349DC"/>
    <w:rsid w:val="00935045"/>
    <w:rsid w:val="009464EA"/>
    <w:rsid w:val="00951656"/>
    <w:rsid w:val="00951B7E"/>
    <w:rsid w:val="00953B6C"/>
    <w:rsid w:val="00955E7B"/>
    <w:rsid w:val="009570B6"/>
    <w:rsid w:val="0095789C"/>
    <w:rsid w:val="00961561"/>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0658"/>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2EA9"/>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3E7A"/>
    <w:rsid w:val="00B667F9"/>
    <w:rsid w:val="00B80A50"/>
    <w:rsid w:val="00B8205B"/>
    <w:rsid w:val="00B853EE"/>
    <w:rsid w:val="00B90510"/>
    <w:rsid w:val="00B97D75"/>
    <w:rsid w:val="00BA0984"/>
    <w:rsid w:val="00BA09A1"/>
    <w:rsid w:val="00BA0AB7"/>
    <w:rsid w:val="00BA173E"/>
    <w:rsid w:val="00BA1850"/>
    <w:rsid w:val="00BB03F9"/>
    <w:rsid w:val="00BB233A"/>
    <w:rsid w:val="00BC2A7C"/>
    <w:rsid w:val="00BC5E86"/>
    <w:rsid w:val="00BD090F"/>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61F"/>
    <w:rsid w:val="00C2319B"/>
    <w:rsid w:val="00C23B02"/>
    <w:rsid w:val="00C259A7"/>
    <w:rsid w:val="00C261A8"/>
    <w:rsid w:val="00C26BAF"/>
    <w:rsid w:val="00C27CC2"/>
    <w:rsid w:val="00C34D42"/>
    <w:rsid w:val="00C4191F"/>
    <w:rsid w:val="00C41E96"/>
    <w:rsid w:val="00C42543"/>
    <w:rsid w:val="00C45A8E"/>
    <w:rsid w:val="00C45B3B"/>
    <w:rsid w:val="00C50E44"/>
    <w:rsid w:val="00C52D6B"/>
    <w:rsid w:val="00C571B3"/>
    <w:rsid w:val="00C573A4"/>
    <w:rsid w:val="00C57433"/>
    <w:rsid w:val="00C577E6"/>
    <w:rsid w:val="00C66EE9"/>
    <w:rsid w:val="00C7276F"/>
    <w:rsid w:val="00C76F69"/>
    <w:rsid w:val="00C77F13"/>
    <w:rsid w:val="00C80692"/>
    <w:rsid w:val="00C81A31"/>
    <w:rsid w:val="00C82318"/>
    <w:rsid w:val="00C863F5"/>
    <w:rsid w:val="00C9108B"/>
    <w:rsid w:val="00C92F81"/>
    <w:rsid w:val="00C93342"/>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72AD5"/>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254"/>
    <w:rsid w:val="00DE6938"/>
    <w:rsid w:val="00DE7630"/>
    <w:rsid w:val="00DE7A8C"/>
    <w:rsid w:val="00DF2836"/>
    <w:rsid w:val="00DF5E45"/>
    <w:rsid w:val="00DF6087"/>
    <w:rsid w:val="00E015A3"/>
    <w:rsid w:val="00E02618"/>
    <w:rsid w:val="00E0408F"/>
    <w:rsid w:val="00E17A66"/>
    <w:rsid w:val="00E20603"/>
    <w:rsid w:val="00E20ECE"/>
    <w:rsid w:val="00E2328D"/>
    <w:rsid w:val="00E23574"/>
    <w:rsid w:val="00E271B9"/>
    <w:rsid w:val="00E27AC2"/>
    <w:rsid w:val="00E30C8C"/>
    <w:rsid w:val="00E3236B"/>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72C07"/>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E1D9C"/>
    <w:rsid w:val="00EE2543"/>
    <w:rsid w:val="00EE3A88"/>
    <w:rsid w:val="00EE3E27"/>
    <w:rsid w:val="00EE5E83"/>
    <w:rsid w:val="00EE5EB0"/>
    <w:rsid w:val="00EF1105"/>
    <w:rsid w:val="00EF19F5"/>
    <w:rsid w:val="00EF3357"/>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475CB"/>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C7E87"/>
    <w:rsid w:val="00FD597F"/>
    <w:rsid w:val="00FD6702"/>
    <w:rsid w:val="00FD70FA"/>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4059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sourcedogg.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64FC-2F4E-4148-81BA-7A506AB7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3091</Words>
  <Characters>17623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st187</cp:lastModifiedBy>
  <cp:revision>2</cp:revision>
  <cp:lastPrinted>2018-03-07T09:39:00Z</cp:lastPrinted>
  <dcterms:created xsi:type="dcterms:W3CDTF">2018-03-21T16:33:00Z</dcterms:created>
  <dcterms:modified xsi:type="dcterms:W3CDTF">2018-03-21T16:33:00Z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