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7B6" w:rsidRDefault="009F27B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F27B6" w:rsidRDefault="009F27B6" w:rsidP="00014683"/>
                          <w:p w:rsidR="009F27B6" w:rsidRDefault="009F27B6" w:rsidP="00014683"/>
                          <w:p w:rsidR="009F27B6" w:rsidRDefault="009F27B6" w:rsidP="00014683"/>
                          <w:p w:rsidR="009F27B6" w:rsidRDefault="009F27B6" w:rsidP="00014683"/>
                          <w:p w:rsidR="009F27B6" w:rsidRDefault="009F27B6" w:rsidP="00014683"/>
                          <w:p w:rsidR="009F27B6" w:rsidRDefault="009F27B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F27B6" w:rsidRDefault="009F27B6" w:rsidP="00014683"/>
                          <w:p w:rsidR="009F27B6" w:rsidRDefault="009F27B6" w:rsidP="00014683">
                            <w:pPr>
                              <w:rPr>
                                <w:sz w:val="12"/>
                                <w:szCs w:val="12"/>
                              </w:rPr>
                            </w:pPr>
                          </w:p>
                          <w:p w:rsidR="009F27B6" w:rsidRDefault="009F27B6" w:rsidP="00014683">
                            <w:pPr>
                              <w:rPr>
                                <w:sz w:val="12"/>
                                <w:szCs w:val="12"/>
                              </w:rPr>
                            </w:pPr>
                          </w:p>
                          <w:p w:rsidR="009F27B6" w:rsidRPr="00CF0E13" w:rsidRDefault="009F27B6" w:rsidP="00014683">
                            <w:pPr>
                              <w:rPr>
                                <w:sz w:val="12"/>
                                <w:szCs w:val="12"/>
                              </w:rPr>
                            </w:pPr>
                          </w:p>
                          <w:p w:rsidR="009F27B6" w:rsidRDefault="009F27B6" w:rsidP="00014683">
                            <w:pPr>
                              <w:rPr>
                                <w:sz w:val="16"/>
                                <w:szCs w:val="16"/>
                              </w:rPr>
                            </w:pPr>
                          </w:p>
                          <w:p w:rsidR="009F27B6" w:rsidRPr="00CF0E13" w:rsidRDefault="009F27B6" w:rsidP="00014683">
                            <w:pPr>
                              <w:rPr>
                                <w:sz w:val="12"/>
                                <w:szCs w:val="12"/>
                              </w:rPr>
                            </w:pPr>
                          </w:p>
                          <w:p w:rsidR="009F27B6" w:rsidRDefault="009F27B6" w:rsidP="00014683"/>
                          <w:p w:rsidR="009F27B6" w:rsidRPr="00613154" w:rsidRDefault="009F27B6" w:rsidP="00014683">
                            <w:pPr>
                              <w:rPr>
                                <w:sz w:val="16"/>
                                <w:szCs w:val="16"/>
                              </w:rPr>
                            </w:pPr>
                          </w:p>
                          <w:p w:rsidR="009F27B6" w:rsidRDefault="009F27B6" w:rsidP="00014683"/>
                          <w:p w:rsidR="009F27B6" w:rsidRDefault="009F27B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9F27B6" w:rsidRDefault="009F27B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F27B6" w:rsidRDefault="009F27B6" w:rsidP="00014683"/>
                    <w:p w:rsidR="009F27B6" w:rsidRDefault="009F27B6" w:rsidP="00014683"/>
                    <w:p w:rsidR="009F27B6" w:rsidRDefault="009F27B6" w:rsidP="00014683"/>
                    <w:p w:rsidR="009F27B6" w:rsidRDefault="009F27B6" w:rsidP="00014683"/>
                    <w:p w:rsidR="009F27B6" w:rsidRDefault="009F27B6" w:rsidP="00014683"/>
                    <w:p w:rsidR="009F27B6" w:rsidRDefault="009F27B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F27B6" w:rsidRDefault="009F27B6" w:rsidP="00014683"/>
                    <w:p w:rsidR="009F27B6" w:rsidRDefault="009F27B6" w:rsidP="00014683">
                      <w:pPr>
                        <w:rPr>
                          <w:sz w:val="12"/>
                          <w:szCs w:val="12"/>
                        </w:rPr>
                      </w:pPr>
                    </w:p>
                    <w:p w:rsidR="009F27B6" w:rsidRDefault="009F27B6" w:rsidP="00014683">
                      <w:pPr>
                        <w:rPr>
                          <w:sz w:val="12"/>
                          <w:szCs w:val="12"/>
                        </w:rPr>
                      </w:pPr>
                    </w:p>
                    <w:p w:rsidR="009F27B6" w:rsidRPr="00CF0E13" w:rsidRDefault="009F27B6" w:rsidP="00014683">
                      <w:pPr>
                        <w:rPr>
                          <w:sz w:val="12"/>
                          <w:szCs w:val="12"/>
                        </w:rPr>
                      </w:pPr>
                    </w:p>
                    <w:p w:rsidR="009F27B6" w:rsidRDefault="009F27B6" w:rsidP="00014683">
                      <w:pPr>
                        <w:rPr>
                          <w:sz w:val="16"/>
                          <w:szCs w:val="16"/>
                        </w:rPr>
                      </w:pPr>
                    </w:p>
                    <w:p w:rsidR="009F27B6" w:rsidRPr="00CF0E13" w:rsidRDefault="009F27B6" w:rsidP="00014683">
                      <w:pPr>
                        <w:rPr>
                          <w:sz w:val="12"/>
                          <w:szCs w:val="12"/>
                        </w:rPr>
                      </w:pPr>
                    </w:p>
                    <w:p w:rsidR="009F27B6" w:rsidRDefault="009F27B6" w:rsidP="00014683"/>
                    <w:p w:rsidR="009F27B6" w:rsidRPr="00613154" w:rsidRDefault="009F27B6" w:rsidP="00014683">
                      <w:pPr>
                        <w:rPr>
                          <w:sz w:val="16"/>
                          <w:szCs w:val="16"/>
                        </w:rPr>
                      </w:pPr>
                    </w:p>
                    <w:p w:rsidR="009F27B6" w:rsidRDefault="009F27B6" w:rsidP="00014683"/>
                    <w:p w:rsidR="009F27B6" w:rsidRDefault="009F27B6"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F1379E" w:rsidRDefault="00B63F50" w:rsidP="00535C01">
      <w:pPr>
        <w:tabs>
          <w:tab w:val="left" w:pos="3969"/>
          <w:tab w:val="left" w:pos="6946"/>
        </w:tabs>
        <w:ind w:left="3969" w:right="1319"/>
        <w:jc w:val="left"/>
        <w:rPr>
          <w:rFonts w:cs="Arial"/>
          <w:color w:val="000000" w:themeColor="text1"/>
          <w:sz w:val="22"/>
          <w:szCs w:val="22"/>
        </w:rPr>
      </w:pPr>
      <w:r w:rsidRPr="00F1379E">
        <w:rPr>
          <w:rFonts w:cs="Arial"/>
          <w:color w:val="000000" w:themeColor="text1"/>
          <w:sz w:val="22"/>
          <w:szCs w:val="22"/>
        </w:rPr>
        <w:t>NML Terr</w:t>
      </w:r>
      <w:r w:rsidR="0073554C">
        <w:rPr>
          <w:rFonts w:cs="Arial"/>
          <w:color w:val="000000" w:themeColor="text1"/>
          <w:sz w:val="22"/>
          <w:szCs w:val="22"/>
        </w:rPr>
        <w:t xml:space="preserve">acotta Warriors Exhibition </w:t>
      </w:r>
      <w:proofErr w:type="spellStart"/>
      <w:r w:rsidR="0073554C">
        <w:rPr>
          <w:rFonts w:cs="Arial"/>
          <w:color w:val="000000" w:themeColor="text1"/>
          <w:sz w:val="22"/>
          <w:szCs w:val="22"/>
        </w:rPr>
        <w:t>Setw</w:t>
      </w:r>
      <w:r w:rsidRPr="00F1379E">
        <w:rPr>
          <w:rFonts w:cs="Arial"/>
          <w:color w:val="000000" w:themeColor="text1"/>
          <w:sz w:val="22"/>
          <w:szCs w:val="22"/>
        </w:rPr>
        <w:t>orks</w:t>
      </w:r>
      <w:proofErr w:type="spellEnd"/>
      <w:r w:rsidRPr="00F1379E">
        <w:rPr>
          <w:rFonts w:cs="Arial"/>
          <w:color w:val="000000" w:themeColor="text1"/>
          <w:sz w:val="22"/>
          <w:szCs w:val="22"/>
        </w:rPr>
        <w:t xml:space="preserve"> </w:t>
      </w:r>
    </w:p>
    <w:p w:rsidR="00F309AD" w:rsidRPr="00F1379E" w:rsidRDefault="00F309AD" w:rsidP="005B2B0D">
      <w:pPr>
        <w:pStyle w:val="Appendixtext"/>
        <w:spacing w:after="0" w:line="288" w:lineRule="auto"/>
        <w:rPr>
          <w:rFonts w:cs="Arial"/>
          <w:color w:val="000000" w:themeColor="text1"/>
          <w:sz w:val="22"/>
          <w:szCs w:val="22"/>
        </w:rPr>
      </w:pPr>
    </w:p>
    <w:p w:rsidR="00012C91" w:rsidRPr="00F1379E" w:rsidRDefault="00012C91" w:rsidP="003F7D70">
      <w:pPr>
        <w:spacing w:line="288" w:lineRule="auto"/>
        <w:rPr>
          <w:rFonts w:cs="Arial"/>
          <w:color w:val="000000" w:themeColor="text1"/>
          <w:sz w:val="22"/>
          <w:szCs w:val="22"/>
        </w:rPr>
      </w:pPr>
    </w:p>
    <w:p w:rsidR="00012C91" w:rsidRPr="00F1379E" w:rsidRDefault="00E746AC" w:rsidP="005B2B0D">
      <w:pPr>
        <w:spacing w:before="120" w:line="288" w:lineRule="auto"/>
        <w:ind w:left="3969"/>
        <w:rPr>
          <w:rFonts w:cs="Arial"/>
          <w:color w:val="000000" w:themeColor="text1"/>
          <w:sz w:val="22"/>
          <w:szCs w:val="22"/>
        </w:rPr>
      </w:pPr>
      <w:r w:rsidRPr="00F1379E">
        <w:rPr>
          <w:rFonts w:cs="Arial"/>
          <w:b/>
          <w:color w:val="000000" w:themeColor="text1"/>
          <w:sz w:val="22"/>
          <w:szCs w:val="22"/>
        </w:rPr>
        <w:t>Author:</w:t>
      </w:r>
      <w:r w:rsidRPr="00F1379E">
        <w:rPr>
          <w:rFonts w:cs="Arial"/>
          <w:color w:val="000000" w:themeColor="text1"/>
          <w:sz w:val="22"/>
          <w:szCs w:val="22"/>
        </w:rPr>
        <w:t xml:space="preserve"> </w:t>
      </w:r>
      <w:r w:rsidR="00B63F50" w:rsidRPr="00F1379E">
        <w:rPr>
          <w:rFonts w:cs="Arial"/>
          <w:color w:val="000000" w:themeColor="text1"/>
          <w:sz w:val="22"/>
          <w:szCs w:val="22"/>
        </w:rPr>
        <w:t>Lucy Johnson</w:t>
      </w:r>
    </w:p>
    <w:p w:rsidR="00012C91" w:rsidRPr="00F1379E" w:rsidRDefault="00E746AC" w:rsidP="005B2B0D">
      <w:pPr>
        <w:spacing w:before="120" w:line="288" w:lineRule="auto"/>
        <w:ind w:left="3969"/>
        <w:rPr>
          <w:rFonts w:cs="Arial"/>
          <w:color w:val="000000" w:themeColor="text1"/>
          <w:sz w:val="22"/>
          <w:szCs w:val="22"/>
        </w:rPr>
      </w:pPr>
      <w:r w:rsidRPr="00F1379E">
        <w:rPr>
          <w:rFonts w:cs="Arial"/>
          <w:b/>
          <w:color w:val="000000" w:themeColor="text1"/>
          <w:sz w:val="22"/>
          <w:szCs w:val="22"/>
        </w:rPr>
        <w:t>Date:</w:t>
      </w:r>
      <w:r w:rsidR="00FD44F8" w:rsidRPr="00F1379E">
        <w:rPr>
          <w:rFonts w:cs="Arial"/>
          <w:color w:val="000000" w:themeColor="text1"/>
          <w:sz w:val="22"/>
          <w:szCs w:val="22"/>
        </w:rPr>
        <w:t xml:space="preserve"> </w:t>
      </w:r>
      <w:r w:rsidR="00C42D06" w:rsidRPr="00F1379E">
        <w:rPr>
          <w:rFonts w:cs="Arial"/>
          <w:color w:val="000000" w:themeColor="text1"/>
          <w:sz w:val="22"/>
          <w:szCs w:val="22"/>
        </w:rPr>
        <w:t>06/09</w:t>
      </w:r>
      <w:r w:rsidR="00B63F50" w:rsidRPr="00F1379E">
        <w:rPr>
          <w:rFonts w:cs="Arial"/>
          <w:color w:val="000000" w:themeColor="text1"/>
          <w:sz w:val="22"/>
          <w:szCs w:val="22"/>
        </w:rPr>
        <w:t>/2017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446AD6">
        <w:t>quirements</w:t>
      </w:r>
      <w:r w:rsidR="00446AD6">
        <w:tab/>
      </w:r>
      <w:r w:rsidR="00446AD6">
        <w:tab/>
      </w:r>
      <w:r w:rsidR="00446AD6">
        <w:tab/>
        <w:t>5</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446AD6">
        <w:t>6</w:t>
      </w:r>
    </w:p>
    <w:p w:rsidR="008048E0" w:rsidRDefault="008048E0" w:rsidP="008048E0">
      <w:pPr>
        <w:pStyle w:val="ListParagraph"/>
      </w:pPr>
      <w:r>
        <w:t>2.1</w:t>
      </w:r>
      <w:r>
        <w:tab/>
        <w:t>Introduction</w:t>
      </w:r>
      <w:r>
        <w:tab/>
      </w:r>
      <w:r>
        <w:tab/>
      </w:r>
      <w:r>
        <w:tab/>
      </w:r>
      <w:r>
        <w:tab/>
      </w:r>
      <w:r>
        <w:tab/>
      </w:r>
      <w:r>
        <w:tab/>
      </w:r>
      <w:r w:rsidR="00446AD6">
        <w:t>6</w:t>
      </w:r>
    </w:p>
    <w:p w:rsidR="009F4167" w:rsidRDefault="00446AD6" w:rsidP="009F4167">
      <w:pPr>
        <w:pStyle w:val="ListParagraph"/>
      </w:pPr>
      <w:r>
        <w:t>2.2</w:t>
      </w:r>
      <w:r>
        <w:tab/>
        <w:t>General</w:t>
      </w:r>
      <w:r>
        <w:tab/>
      </w:r>
      <w:r>
        <w:tab/>
      </w:r>
      <w:r>
        <w:tab/>
      </w:r>
      <w:r>
        <w:tab/>
      </w:r>
      <w:r>
        <w:tab/>
      </w:r>
      <w:r>
        <w:tab/>
      </w:r>
      <w:r>
        <w:tab/>
        <w:t>6</w:t>
      </w:r>
    </w:p>
    <w:p w:rsidR="00822A95" w:rsidRDefault="008048E0" w:rsidP="008048E0">
      <w:pPr>
        <w:pStyle w:val="ListParagraph"/>
      </w:pPr>
      <w:r>
        <w:t>2.</w:t>
      </w:r>
      <w:r w:rsidR="009F4167">
        <w:t>3</w:t>
      </w:r>
      <w:r>
        <w:tab/>
        <w:t>Confidentiality and Non-Disclosure</w:t>
      </w:r>
      <w:r>
        <w:tab/>
      </w:r>
      <w:r>
        <w:tab/>
      </w:r>
      <w:r>
        <w:tab/>
      </w:r>
      <w:r>
        <w:tab/>
      </w:r>
      <w:r w:rsidR="00446AD6">
        <w:t>7</w:t>
      </w:r>
    </w:p>
    <w:p w:rsidR="008048E0" w:rsidRDefault="008048E0" w:rsidP="008048E0">
      <w:pPr>
        <w:pStyle w:val="ListParagraph"/>
      </w:pPr>
      <w:r>
        <w:t>2.</w:t>
      </w:r>
      <w:r w:rsidR="009F4167">
        <w:t>4</w:t>
      </w:r>
      <w:r>
        <w:tab/>
        <w:t>Accuracy of Information and Liability of NML</w:t>
      </w:r>
      <w:r>
        <w:tab/>
      </w:r>
      <w:r>
        <w:tab/>
      </w:r>
      <w:r>
        <w:tab/>
      </w:r>
      <w:r w:rsidR="00446AD6">
        <w:t>7</w:t>
      </w:r>
    </w:p>
    <w:p w:rsidR="008048E0" w:rsidRDefault="008048E0" w:rsidP="008048E0">
      <w:pPr>
        <w:pStyle w:val="ListParagraph"/>
      </w:pPr>
      <w:r>
        <w:t>2.</w:t>
      </w:r>
      <w:r w:rsidR="009F4167">
        <w:t>5</w:t>
      </w:r>
      <w:r>
        <w:tab/>
      </w:r>
      <w:r w:rsidR="00EB7FAE">
        <w:t>Cost of Preparation</w:t>
      </w:r>
      <w:r>
        <w:tab/>
      </w:r>
      <w:r>
        <w:tab/>
      </w:r>
      <w:r>
        <w:tab/>
      </w:r>
      <w:r>
        <w:tab/>
      </w:r>
      <w:r>
        <w:tab/>
      </w:r>
      <w:r w:rsidR="00446AD6">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446AD6">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446AD6">
        <w:t>8</w:t>
      </w:r>
    </w:p>
    <w:p w:rsidR="00EB7FAE" w:rsidRDefault="00EB7FAE" w:rsidP="00EB7FAE">
      <w:pPr>
        <w:pStyle w:val="ListParagraph"/>
      </w:pPr>
      <w:r>
        <w:t>2.</w:t>
      </w:r>
      <w:r w:rsidR="009F4167">
        <w:t>8</w:t>
      </w:r>
      <w:r>
        <w:tab/>
        <w:t>Payments Against a Contract Award</w:t>
      </w:r>
      <w:r>
        <w:tab/>
      </w:r>
      <w:r>
        <w:tab/>
      </w:r>
      <w:r>
        <w:tab/>
      </w:r>
      <w:r>
        <w:tab/>
      </w:r>
      <w:r w:rsidR="00446AD6">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446AD6">
        <w:t>8</w:t>
      </w:r>
    </w:p>
    <w:p w:rsidR="00EB7FAE" w:rsidRDefault="00EB7FAE" w:rsidP="00EB7FAE">
      <w:pPr>
        <w:pStyle w:val="ListParagraph"/>
      </w:pPr>
      <w:r>
        <w:t>2.</w:t>
      </w:r>
      <w:r w:rsidR="009F4167">
        <w:t>10</w:t>
      </w:r>
      <w:r>
        <w:tab/>
        <w:t>Amendments to the Tender</w:t>
      </w:r>
      <w:r>
        <w:tab/>
      </w:r>
      <w:r>
        <w:tab/>
      </w:r>
      <w:r>
        <w:tab/>
      </w:r>
      <w:r>
        <w:tab/>
      </w:r>
      <w:r>
        <w:tab/>
      </w:r>
      <w:r w:rsidR="00446AD6">
        <w:t>8</w:t>
      </w:r>
    </w:p>
    <w:p w:rsidR="009F4167" w:rsidRDefault="009F4167" w:rsidP="009F4167">
      <w:pPr>
        <w:pStyle w:val="ListParagraph"/>
      </w:pPr>
      <w:r>
        <w:t>2.11</w:t>
      </w:r>
      <w:r>
        <w:tab/>
        <w:t>Responding to the Tender</w:t>
      </w:r>
      <w:r>
        <w:tab/>
      </w:r>
      <w:r>
        <w:tab/>
      </w:r>
      <w:r>
        <w:tab/>
      </w:r>
      <w:r>
        <w:tab/>
      </w:r>
      <w:r>
        <w:tab/>
      </w:r>
      <w:r w:rsidR="00446AD6">
        <w:t>8</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446AD6">
        <w:t>10</w:t>
      </w:r>
    </w:p>
    <w:p w:rsidR="00535C01" w:rsidRDefault="00535C01" w:rsidP="00535C01">
      <w:pPr>
        <w:pStyle w:val="ListParagraph"/>
      </w:pPr>
      <w:r>
        <w:t>3.1</w:t>
      </w:r>
      <w:r w:rsidR="006F0DF0">
        <w:tab/>
        <w:t xml:space="preserve">Questions and Additional </w:t>
      </w:r>
      <w:proofErr w:type="spellStart"/>
      <w:r w:rsidR="006F0DF0">
        <w:t>Informations</w:t>
      </w:r>
      <w:proofErr w:type="spellEnd"/>
      <w:r w:rsidR="006F0DF0">
        <w:tab/>
      </w:r>
      <w:r w:rsidR="006F0DF0">
        <w:tab/>
      </w:r>
      <w:r w:rsidR="006F0DF0">
        <w:tab/>
      </w:r>
      <w:r w:rsidR="00446AD6">
        <w:t>10</w:t>
      </w:r>
    </w:p>
    <w:p w:rsidR="00535C01" w:rsidRDefault="001633F4" w:rsidP="00535C01">
      <w:pPr>
        <w:pStyle w:val="ListParagraph"/>
      </w:pPr>
      <w:r>
        <w:t>3.2</w:t>
      </w:r>
      <w:r>
        <w:tab/>
        <w:t>Site Visits</w:t>
      </w:r>
      <w:r>
        <w:tab/>
      </w:r>
      <w:r>
        <w:tab/>
      </w:r>
      <w:r>
        <w:tab/>
      </w:r>
      <w:r>
        <w:tab/>
      </w:r>
      <w:r>
        <w:tab/>
      </w:r>
      <w:r>
        <w:tab/>
      </w:r>
      <w:r w:rsidR="00446AD6">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446AD6">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446AD6">
        <w:t>10</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446AD6">
        <w:t>11</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446AD6">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446AD6">
        <w:t>12</w:t>
      </w:r>
    </w:p>
    <w:p w:rsidR="00084C2C" w:rsidRDefault="001633F4" w:rsidP="00EB7FAE">
      <w:pPr>
        <w:pStyle w:val="ListParagraph"/>
      </w:pPr>
      <w:r>
        <w:t>4.1</w:t>
      </w:r>
      <w:r>
        <w:tab/>
        <w:t>Introduction</w:t>
      </w:r>
      <w:r>
        <w:tab/>
      </w:r>
      <w:r>
        <w:tab/>
      </w:r>
      <w:r>
        <w:tab/>
      </w:r>
      <w:r>
        <w:tab/>
      </w:r>
      <w:r>
        <w:tab/>
      </w:r>
      <w:r>
        <w:tab/>
      </w:r>
      <w:r w:rsidR="00446AD6">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446AD6">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446AD6">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446AD6">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446AD6">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446AD6">
        <w:t>3</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446AD6">
        <w:t>3</w:t>
      </w:r>
    </w:p>
    <w:p w:rsidR="00EB7FAE" w:rsidRDefault="001633F4" w:rsidP="001633F4">
      <w:pPr>
        <w:ind w:firstLine="709"/>
      </w:pPr>
      <w:r>
        <w:t>4.4</w:t>
      </w:r>
      <w:r w:rsidR="00EB7FAE">
        <w:tab/>
        <w:t>NML Security and Health &amp; Safety Requirements</w:t>
      </w:r>
      <w:r w:rsidR="00EB7FAE">
        <w:tab/>
      </w:r>
      <w:r>
        <w:tab/>
        <w:t>1</w:t>
      </w:r>
      <w:r w:rsidR="00446AD6">
        <w:t>3</w:t>
      </w:r>
    </w:p>
    <w:p w:rsidR="009C597D" w:rsidRDefault="009C597D" w:rsidP="009C597D">
      <w:pPr>
        <w:ind w:firstLine="709"/>
      </w:pPr>
      <w:r>
        <w:t>4.5</w:t>
      </w:r>
      <w:r>
        <w:tab/>
        <w:t>NML Procurement P</w:t>
      </w:r>
      <w:r w:rsidR="00E36462">
        <w:t>rotocol</w:t>
      </w:r>
      <w:r w:rsidR="00446AD6">
        <w:tab/>
      </w:r>
      <w:r w:rsidR="00446AD6">
        <w:tab/>
      </w:r>
      <w:r w:rsidR="00446AD6">
        <w:tab/>
      </w:r>
      <w:r w:rsidR="00446AD6">
        <w:tab/>
      </w:r>
      <w:r w:rsidR="00446AD6">
        <w:tab/>
        <w:t>14</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446AD6">
        <w:t>4</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446AD6">
        <w:t>4</w:t>
      </w:r>
    </w:p>
    <w:p w:rsidR="00446AD6" w:rsidRDefault="00446AD6" w:rsidP="00084C2C">
      <w:pPr>
        <w:ind w:firstLine="709"/>
      </w:pPr>
      <w:r>
        <w:t>4.8</w:t>
      </w:r>
      <w:r>
        <w:tab/>
        <w:t>Form of Agreement</w:t>
      </w:r>
      <w:r>
        <w:tab/>
      </w:r>
      <w:r>
        <w:tab/>
      </w:r>
      <w:r>
        <w:tab/>
      </w:r>
      <w:r>
        <w:tab/>
      </w:r>
      <w:r>
        <w:tab/>
        <w:t>14</w:t>
      </w:r>
    </w:p>
    <w:p w:rsidR="001633F4" w:rsidRDefault="001633F4" w:rsidP="00084C2C">
      <w:pPr>
        <w:ind w:firstLine="709"/>
      </w:pPr>
      <w:r>
        <w:t>4.</w:t>
      </w:r>
      <w:r w:rsidR="00446AD6">
        <w:t>9</w:t>
      </w:r>
      <w:r>
        <w:tab/>
        <w:t>Costs</w:t>
      </w:r>
      <w:r>
        <w:tab/>
      </w:r>
      <w:r>
        <w:tab/>
      </w:r>
      <w:r>
        <w:tab/>
      </w:r>
      <w:r>
        <w:tab/>
      </w:r>
      <w:r>
        <w:tab/>
      </w:r>
      <w:r>
        <w:tab/>
      </w:r>
      <w:r>
        <w:tab/>
        <w:t>1</w:t>
      </w:r>
      <w:r w:rsidR="00446AD6">
        <w:t>4</w:t>
      </w:r>
    </w:p>
    <w:p w:rsidR="00446AD6" w:rsidRPr="00446AD6" w:rsidRDefault="00446AD6" w:rsidP="00084C2C">
      <w:pPr>
        <w:ind w:firstLine="709"/>
        <w:rPr>
          <w:szCs w:val="18"/>
        </w:rPr>
      </w:pPr>
      <w:r>
        <w:t>4.10</w:t>
      </w:r>
      <w:r>
        <w:tab/>
      </w:r>
      <w:r w:rsidRPr="00446AD6">
        <w:rPr>
          <w:rFonts w:cs="Arial"/>
          <w:szCs w:val="18"/>
        </w:rPr>
        <w:t>Attachments included as part of tender documentation</w:t>
      </w:r>
      <w:r>
        <w:rPr>
          <w:rFonts w:cs="Arial"/>
          <w:szCs w:val="18"/>
        </w:rPr>
        <w:tab/>
      </w:r>
      <w:r>
        <w:rPr>
          <w:rFonts w:cs="Arial"/>
          <w:szCs w:val="18"/>
        </w:rPr>
        <w:tab/>
        <w:t>14</w:t>
      </w:r>
    </w:p>
    <w:p w:rsidR="00841D15" w:rsidRDefault="00841D15" w:rsidP="00084C2C">
      <w:pPr>
        <w:ind w:firstLine="709"/>
      </w:pPr>
      <w:r>
        <w:t>4.</w:t>
      </w:r>
      <w:r w:rsidR="00446AD6">
        <w:t>11</w:t>
      </w:r>
      <w:r>
        <w:tab/>
      </w:r>
      <w:r w:rsidRPr="00841D15">
        <w:rPr>
          <w:rFonts w:cs="Arial"/>
          <w:szCs w:val="18"/>
        </w:rPr>
        <w:t>Summary of Documents to be returned as part of Submission</w:t>
      </w:r>
      <w:r w:rsidR="00446AD6">
        <w:rPr>
          <w:rFonts w:cs="Arial"/>
          <w:szCs w:val="18"/>
        </w:rPr>
        <w:tab/>
        <w:t>15</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446AD6">
        <w:t>6</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446AD6">
        <w:t>6</w:t>
      </w:r>
    </w:p>
    <w:p w:rsidR="00EB7FAE" w:rsidRDefault="001633F4" w:rsidP="00EB7FAE">
      <w:pPr>
        <w:pStyle w:val="ListParagraph"/>
      </w:pPr>
      <w:r>
        <w:t>5</w:t>
      </w:r>
      <w:r w:rsidR="00446AD6">
        <w:t>.2</w:t>
      </w:r>
      <w:r w:rsidR="00EB7FAE">
        <w:tab/>
      </w:r>
      <w:r w:rsidR="00AB54B5">
        <w:t xml:space="preserve">Implementation / Installation </w:t>
      </w:r>
      <w:r>
        <w:tab/>
      </w:r>
      <w:r w:rsidR="00EB7FAE">
        <w:t xml:space="preserve"> </w:t>
      </w:r>
      <w:r w:rsidR="00EB7FAE">
        <w:tab/>
      </w:r>
      <w:r w:rsidR="00EB7FAE">
        <w:tab/>
      </w:r>
      <w:r w:rsidR="00EB7FAE">
        <w:tab/>
      </w:r>
      <w:r>
        <w:t>1</w:t>
      </w:r>
      <w:r w:rsidR="00446AD6">
        <w:t>6</w:t>
      </w:r>
    </w:p>
    <w:p w:rsidR="00084C2C" w:rsidRDefault="00084C2C"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Default="00DD3F9D" w:rsidP="00084C2C">
      <w:pPr>
        <w:spacing w:line="240" w:lineRule="auto"/>
        <w:rPr>
          <w:rFonts w:cs="Arial"/>
          <w:szCs w:val="18"/>
        </w:rPr>
      </w:pPr>
      <w:r w:rsidRPr="00084C2C">
        <w:rPr>
          <w:rFonts w:cs="Arial"/>
          <w:szCs w:val="18"/>
        </w:rPr>
        <w:t xml:space="preserve">Appendix  </w:t>
      </w:r>
      <w:r w:rsidR="00352811">
        <w:rPr>
          <w:rFonts w:cs="Arial"/>
          <w:szCs w:val="18"/>
        </w:rPr>
        <w:t>F</w:t>
      </w:r>
      <w:r w:rsidRPr="00084C2C">
        <w:rPr>
          <w:rFonts w:cs="Arial"/>
          <w:szCs w:val="18"/>
        </w:rPr>
        <w:tab/>
        <w:t>–</w:t>
      </w:r>
      <w:r w:rsidRPr="00084C2C">
        <w:rPr>
          <w:rFonts w:cs="Arial"/>
          <w:szCs w:val="18"/>
        </w:rPr>
        <w:tab/>
        <w:t>Contract</w:t>
      </w:r>
      <w:r w:rsidR="00352811">
        <w:rPr>
          <w:rFonts w:cs="Arial"/>
          <w:szCs w:val="18"/>
        </w:rPr>
        <w:t xml:space="preserve"> (to follow)</w:t>
      </w:r>
    </w:p>
    <w:p w:rsidR="00352811" w:rsidRDefault="00352811" w:rsidP="00352811">
      <w:pPr>
        <w:pStyle w:val="ListParagraph"/>
        <w:spacing w:line="240" w:lineRule="auto"/>
        <w:ind w:left="0"/>
        <w:rPr>
          <w:rFonts w:cs="Arial"/>
          <w:szCs w:val="18"/>
        </w:rPr>
      </w:pPr>
      <w:r w:rsidRPr="00084C2C">
        <w:rPr>
          <w:rFonts w:cs="Arial"/>
          <w:szCs w:val="18"/>
        </w:rPr>
        <w:t xml:space="preserve">Appendix </w:t>
      </w:r>
      <w:r>
        <w:rPr>
          <w:rFonts w:cs="Arial"/>
          <w:szCs w:val="18"/>
        </w:rPr>
        <w:t>G</w:t>
      </w:r>
      <w:r w:rsidRPr="00084C2C">
        <w:rPr>
          <w:rFonts w:cs="Arial"/>
          <w:szCs w:val="18"/>
        </w:rPr>
        <w:tab/>
        <w:t xml:space="preserve">– </w:t>
      </w:r>
      <w:r w:rsidRPr="00084C2C">
        <w:rPr>
          <w:rFonts w:cs="Arial"/>
          <w:szCs w:val="18"/>
        </w:rPr>
        <w:tab/>
      </w:r>
      <w:r>
        <w:rPr>
          <w:rFonts w:cs="Arial"/>
          <w:szCs w:val="18"/>
        </w:rPr>
        <w:t>Change control process</w:t>
      </w:r>
    </w:p>
    <w:p w:rsidR="00DD3F9D" w:rsidRDefault="00352811" w:rsidP="00352811">
      <w:pPr>
        <w:pStyle w:val="ListParagraph"/>
        <w:spacing w:line="240" w:lineRule="auto"/>
        <w:ind w:left="0"/>
        <w:rPr>
          <w:rFonts w:cs="Arial"/>
          <w:szCs w:val="18"/>
        </w:rPr>
      </w:pPr>
      <w:r w:rsidRPr="00084C2C">
        <w:rPr>
          <w:rFonts w:cs="Arial"/>
          <w:szCs w:val="18"/>
        </w:rPr>
        <w:lastRenderedPageBreak/>
        <w:t xml:space="preserve">Appendix  </w:t>
      </w:r>
      <w:r>
        <w:rPr>
          <w:rFonts w:cs="Arial"/>
          <w:szCs w:val="18"/>
        </w:rPr>
        <w:t>H</w:t>
      </w:r>
      <w:r w:rsidRPr="00084C2C">
        <w:rPr>
          <w:rFonts w:cs="Arial"/>
          <w:szCs w:val="18"/>
        </w:rPr>
        <w:tab/>
        <w:t>–</w:t>
      </w:r>
      <w:r w:rsidRPr="00084C2C">
        <w:rPr>
          <w:rFonts w:cs="Arial"/>
          <w:szCs w:val="18"/>
        </w:rPr>
        <w:tab/>
      </w:r>
      <w:r>
        <w:rPr>
          <w:rFonts w:cs="Arial"/>
          <w:szCs w:val="18"/>
        </w:rPr>
        <w:t>Preliminaries</w:t>
      </w:r>
    </w:p>
    <w:p w:rsidR="00352811" w:rsidRDefault="00352811" w:rsidP="00352811">
      <w:pPr>
        <w:pStyle w:val="ListParagraph"/>
        <w:spacing w:line="240" w:lineRule="auto"/>
        <w:ind w:left="0"/>
        <w:rPr>
          <w:rFonts w:cs="Arial"/>
          <w:szCs w:val="18"/>
        </w:rPr>
      </w:pPr>
      <w:r>
        <w:rPr>
          <w:rFonts w:cs="Arial"/>
          <w:szCs w:val="18"/>
        </w:rPr>
        <w:t xml:space="preserve">Appendix  I           </w:t>
      </w:r>
      <w:r w:rsidRPr="00084C2C">
        <w:rPr>
          <w:rFonts w:cs="Arial"/>
          <w:szCs w:val="18"/>
        </w:rPr>
        <w:t>–</w:t>
      </w:r>
      <w:r>
        <w:rPr>
          <w:rFonts w:cs="Arial"/>
          <w:szCs w:val="18"/>
        </w:rPr>
        <w:t xml:space="preserve">              Pre Construction Information</w:t>
      </w:r>
    </w:p>
    <w:p w:rsidR="00352811" w:rsidRDefault="00352811" w:rsidP="00352811">
      <w:pPr>
        <w:pStyle w:val="ListParagraph"/>
        <w:spacing w:line="240" w:lineRule="auto"/>
        <w:ind w:left="0"/>
        <w:rPr>
          <w:rFonts w:cs="Arial"/>
          <w:szCs w:val="18"/>
        </w:rPr>
      </w:pPr>
      <w:r>
        <w:rPr>
          <w:rFonts w:cs="Arial"/>
          <w:szCs w:val="18"/>
        </w:rPr>
        <w:t xml:space="preserve">Appendix J           </w:t>
      </w:r>
      <w:r w:rsidRPr="00084C2C">
        <w:rPr>
          <w:rFonts w:cs="Arial"/>
          <w:szCs w:val="18"/>
        </w:rPr>
        <w:t>–</w:t>
      </w:r>
      <w:r>
        <w:rPr>
          <w:rFonts w:cs="Arial"/>
          <w:szCs w:val="18"/>
        </w:rPr>
        <w:t xml:space="preserve">              Drawing Register/ issue sheet</w:t>
      </w:r>
      <w:bookmarkStart w:id="2" w:name="_GoBack"/>
      <w:bookmarkEnd w:id="2"/>
    </w:p>
    <w:p w:rsidR="00352811" w:rsidRDefault="00352811" w:rsidP="00352811">
      <w:pPr>
        <w:pStyle w:val="ListParagraph"/>
        <w:spacing w:line="240" w:lineRule="auto"/>
        <w:ind w:left="0"/>
        <w:rPr>
          <w:rFonts w:cs="Arial"/>
          <w:szCs w:val="18"/>
        </w:rPr>
      </w:pPr>
      <w:r>
        <w:rPr>
          <w:rFonts w:cs="Arial"/>
          <w:szCs w:val="18"/>
        </w:rPr>
        <w:t xml:space="preserve">Appendix K          </w:t>
      </w:r>
      <w:r w:rsidRPr="00084C2C">
        <w:rPr>
          <w:rFonts w:cs="Arial"/>
          <w:szCs w:val="18"/>
        </w:rPr>
        <w:t>–</w:t>
      </w:r>
      <w:r>
        <w:rPr>
          <w:rFonts w:cs="Arial"/>
          <w:szCs w:val="18"/>
        </w:rPr>
        <w:t xml:space="preserve">              Schedule</w:t>
      </w:r>
      <w:r w:rsidR="00FB1B8C">
        <w:rPr>
          <w:rFonts w:cs="Arial"/>
          <w:szCs w:val="18"/>
        </w:rPr>
        <w:t xml:space="preserve"> of Works</w:t>
      </w:r>
      <w:r>
        <w:rPr>
          <w:rFonts w:cs="Arial"/>
          <w:szCs w:val="18"/>
        </w:rPr>
        <w:t>/ Pricing Sheet</w:t>
      </w:r>
    </w:p>
    <w:p w:rsidR="00352811" w:rsidRPr="00352811" w:rsidRDefault="00352811" w:rsidP="00352811">
      <w:pPr>
        <w:pStyle w:val="ListParagraph"/>
        <w:spacing w:line="240" w:lineRule="auto"/>
        <w:ind w:left="0"/>
        <w:rPr>
          <w:rFonts w:cs="Arial"/>
          <w:szCs w:val="18"/>
        </w:rPr>
      </w:pPr>
      <w:r>
        <w:rPr>
          <w:rFonts w:cs="Arial"/>
          <w:szCs w:val="18"/>
        </w:rPr>
        <w:t xml:space="preserve">Appendix L          </w:t>
      </w:r>
      <w:r w:rsidRPr="00084C2C">
        <w:rPr>
          <w:rFonts w:cs="Arial"/>
          <w:szCs w:val="18"/>
        </w:rPr>
        <w:t>–</w:t>
      </w:r>
      <w:r>
        <w:rPr>
          <w:rFonts w:cs="Arial"/>
          <w:szCs w:val="18"/>
        </w:rPr>
        <w:t xml:space="preserve">               Brief (drawings)</w:t>
      </w:r>
    </w:p>
    <w:p w:rsidR="00084C2C" w:rsidRDefault="00084C2C">
      <w:bookmarkStart w:id="3"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B63F50" w:rsidRPr="008115D7" w:rsidRDefault="00B63F50" w:rsidP="00B63F50">
      <w:pPr>
        <w:spacing w:line="240" w:lineRule="auto"/>
        <w:rPr>
          <w:rFonts w:cs="Arial"/>
          <w:sz w:val="22"/>
          <w:szCs w:val="22"/>
          <w:lang w:val="en" w:eastAsia="en-GB"/>
        </w:rPr>
      </w:pPr>
      <w:r w:rsidRPr="008115D7">
        <w:rPr>
          <w:rFonts w:cs="Arial"/>
          <w:sz w:val="22"/>
          <w:szCs w:val="22"/>
          <w:lang w:val="en" w:eastAsia="en-GB"/>
        </w:rPr>
        <w:t xml:space="preserve">We are staging a major exhibition at World Museum from February to October 2018 which will showcase national treasures from the tomb of China’s First Emperor,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This is the first time in more than 30 years that such an exhibition has been brought to a museum in the UK outside London.</w:t>
      </w:r>
    </w:p>
    <w:p w:rsidR="00B63F50" w:rsidRDefault="00B63F50" w:rsidP="00B63F50">
      <w:pPr>
        <w:spacing w:line="240" w:lineRule="auto"/>
        <w:rPr>
          <w:rFonts w:cs="Arial"/>
          <w:sz w:val="22"/>
          <w:szCs w:val="22"/>
          <w:lang w:val="en" w:eastAsia="en-GB"/>
        </w:rPr>
      </w:pPr>
    </w:p>
    <w:p w:rsidR="00B63F50" w:rsidRPr="008115D7" w:rsidRDefault="00B63F50" w:rsidP="00B63F50">
      <w:pPr>
        <w:spacing w:line="240" w:lineRule="auto"/>
        <w:rPr>
          <w:rFonts w:cs="Arial"/>
          <w:sz w:val="22"/>
          <w:szCs w:val="22"/>
          <w:lang w:val="en" w:eastAsia="en-GB"/>
        </w:rPr>
      </w:pPr>
      <w:r w:rsidRPr="008115D7">
        <w:rPr>
          <w:rFonts w:cs="Arial"/>
          <w:sz w:val="22"/>
          <w:szCs w:val="22"/>
          <w:lang w:val="en" w:eastAsia="en-GB"/>
        </w:rPr>
        <w:t xml:space="preserve">Visitors will be given a glimpse into the extraordinary story of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8115D7">
        <w:rPr>
          <w:rFonts w:cs="Arial"/>
          <w:sz w:val="22"/>
          <w:szCs w:val="22"/>
          <w:vertAlign w:val="superscript"/>
          <w:lang w:val="en" w:eastAsia="en-GB"/>
        </w:rPr>
        <w:t>th</w:t>
      </w:r>
      <w:r w:rsidRPr="008115D7">
        <w:rPr>
          <w:rFonts w:cs="Arial"/>
          <w:sz w:val="22"/>
          <w:szCs w:val="22"/>
          <w:lang w:val="en" w:eastAsia="en-GB"/>
        </w:rPr>
        <w:t xml:space="preserve"> century BC to the 3</w:t>
      </w:r>
      <w:r w:rsidRPr="008115D7">
        <w:rPr>
          <w:rFonts w:cs="Arial"/>
          <w:sz w:val="22"/>
          <w:szCs w:val="22"/>
          <w:vertAlign w:val="superscript"/>
          <w:lang w:val="en" w:eastAsia="en-GB"/>
        </w:rPr>
        <w:t>nd</w:t>
      </w:r>
      <w:r w:rsidRPr="008115D7">
        <w:rPr>
          <w:rFonts w:cs="Arial"/>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B63F50" w:rsidRDefault="00B63F50" w:rsidP="00B63F50">
      <w:pPr>
        <w:spacing w:line="240" w:lineRule="auto"/>
        <w:rPr>
          <w:rFonts w:cs="Arial"/>
          <w:sz w:val="22"/>
          <w:szCs w:val="22"/>
          <w:lang w:val="en" w:eastAsia="en-GB"/>
        </w:rPr>
      </w:pPr>
    </w:p>
    <w:p w:rsidR="00B63F50" w:rsidRDefault="00B63F50" w:rsidP="00B63F50">
      <w:pPr>
        <w:spacing w:line="240" w:lineRule="auto"/>
        <w:rPr>
          <w:rFonts w:cs="Arial"/>
          <w:sz w:val="22"/>
          <w:szCs w:val="22"/>
          <w:lang w:val="en" w:eastAsia="en-GB"/>
        </w:rPr>
      </w:pPr>
      <w:r w:rsidRPr="008115D7">
        <w:rPr>
          <w:rFonts w:cs="Arial"/>
          <w:sz w:val="22"/>
          <w:szCs w:val="22"/>
          <w:lang w:val="en" w:eastAsia="en-GB"/>
        </w:rPr>
        <w:t xml:space="preserve">The exhibition will be a major tourist attraction during Liverpool’s 2018 celebrations, marking 10 years since the city held the title of European Capital of Culture in 2008. </w:t>
      </w: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5" w:name="_Toc246913813"/>
      <w:r w:rsidRPr="00B23806">
        <w:rPr>
          <w:rFonts w:cs="Arial"/>
          <w:sz w:val="22"/>
          <w:szCs w:val="22"/>
        </w:rPr>
        <w:lastRenderedPageBreak/>
        <w:t xml:space="preserve">High Level Overview of </w:t>
      </w:r>
      <w:bookmarkEnd w:id="5"/>
      <w:r w:rsidR="00392E27" w:rsidRPr="00B23806">
        <w:rPr>
          <w:rFonts w:cs="Arial"/>
          <w:sz w:val="22"/>
          <w:szCs w:val="22"/>
        </w:rPr>
        <w:t>Requirements</w:t>
      </w:r>
    </w:p>
    <w:p w:rsidR="000A5E08" w:rsidRDefault="003D2508" w:rsidP="00B63F50">
      <w:pPr>
        <w:spacing w:line="240" w:lineRule="auto"/>
        <w:rPr>
          <w:rFonts w:cs="Arial"/>
          <w:color w:val="000000" w:themeColor="text1"/>
          <w:sz w:val="22"/>
          <w:szCs w:val="22"/>
        </w:rPr>
      </w:pPr>
      <w:r w:rsidRPr="00B63F50">
        <w:rPr>
          <w:rFonts w:cs="Arial"/>
          <w:color w:val="000000" w:themeColor="text1"/>
          <w:sz w:val="22"/>
          <w:szCs w:val="22"/>
        </w:rPr>
        <w:t>Bidder</w:t>
      </w:r>
      <w:r w:rsidR="007D2610" w:rsidRPr="00B63F50">
        <w:rPr>
          <w:rFonts w:cs="Arial"/>
          <w:color w:val="000000" w:themeColor="text1"/>
          <w:sz w:val="22"/>
          <w:szCs w:val="22"/>
        </w:rPr>
        <w:t>s are asked to submit a formal tender for the “</w:t>
      </w:r>
      <w:r w:rsidR="0073554C">
        <w:rPr>
          <w:rFonts w:cs="Arial"/>
          <w:color w:val="000000" w:themeColor="text1"/>
          <w:sz w:val="22"/>
          <w:szCs w:val="22"/>
        </w:rPr>
        <w:t>NML Terracotta Warriors Set W</w:t>
      </w:r>
      <w:r w:rsidR="00B63F50" w:rsidRPr="00B63F50">
        <w:rPr>
          <w:rFonts w:cs="Arial"/>
          <w:color w:val="000000" w:themeColor="text1"/>
          <w:sz w:val="22"/>
          <w:szCs w:val="22"/>
        </w:rPr>
        <w:t>orks”</w:t>
      </w:r>
    </w:p>
    <w:p w:rsidR="00B63F50" w:rsidRDefault="00B63F50" w:rsidP="00B63F50">
      <w:pPr>
        <w:spacing w:line="240" w:lineRule="auto"/>
        <w:rPr>
          <w:rFonts w:cs="Arial"/>
          <w:color w:val="000000" w:themeColor="text1"/>
          <w:sz w:val="22"/>
          <w:szCs w:val="22"/>
        </w:rPr>
      </w:pPr>
    </w:p>
    <w:p w:rsidR="0073554C" w:rsidRDefault="00B63F50" w:rsidP="009F27B6">
      <w:pPr>
        <w:spacing w:line="240" w:lineRule="auto"/>
        <w:rPr>
          <w:rFonts w:cs="Arial"/>
          <w:color w:val="000000" w:themeColor="text1"/>
          <w:sz w:val="22"/>
          <w:szCs w:val="22"/>
        </w:rPr>
      </w:pPr>
      <w:r>
        <w:rPr>
          <w:rFonts w:cs="Arial"/>
          <w:color w:val="000000" w:themeColor="text1"/>
          <w:sz w:val="22"/>
          <w:szCs w:val="22"/>
        </w:rPr>
        <w:t>The exhibition will be held in the</w:t>
      </w:r>
      <w:r w:rsidR="009F27B6">
        <w:rPr>
          <w:rFonts w:cs="Arial"/>
          <w:color w:val="000000" w:themeColor="text1"/>
          <w:sz w:val="22"/>
          <w:szCs w:val="22"/>
        </w:rPr>
        <w:t xml:space="preserve"> William Brown Room and the</w:t>
      </w:r>
      <w:r>
        <w:rPr>
          <w:rFonts w:cs="Arial"/>
          <w:color w:val="000000" w:themeColor="text1"/>
          <w:sz w:val="22"/>
          <w:szCs w:val="22"/>
        </w:rPr>
        <w:t xml:space="preserve"> Lower Horse Shoe Gallery at World Museum in Liverpool. The gallery</w:t>
      </w:r>
      <w:r w:rsidR="009F27B6">
        <w:rPr>
          <w:rFonts w:cs="Arial"/>
          <w:color w:val="000000" w:themeColor="text1"/>
          <w:sz w:val="22"/>
          <w:szCs w:val="22"/>
        </w:rPr>
        <w:t xml:space="preserve"> space is approximately</w:t>
      </w:r>
      <w:r>
        <w:rPr>
          <w:rFonts w:cs="Arial"/>
          <w:color w:val="000000" w:themeColor="text1"/>
          <w:sz w:val="22"/>
          <w:szCs w:val="22"/>
        </w:rPr>
        <w:t xml:space="preserve"> 1000sqm. </w:t>
      </w:r>
    </w:p>
    <w:p w:rsidR="0073554C" w:rsidRDefault="0073554C" w:rsidP="009F27B6">
      <w:pPr>
        <w:spacing w:line="240" w:lineRule="auto"/>
        <w:rPr>
          <w:rFonts w:cs="Arial"/>
          <w:color w:val="000000" w:themeColor="text1"/>
          <w:sz w:val="22"/>
          <w:szCs w:val="22"/>
        </w:rPr>
      </w:pPr>
    </w:p>
    <w:p w:rsidR="005B43E3" w:rsidRDefault="005B43E3" w:rsidP="005B43E3">
      <w:pPr>
        <w:spacing w:line="240" w:lineRule="auto"/>
        <w:rPr>
          <w:rFonts w:cs="Arial"/>
          <w:color w:val="000000" w:themeColor="text1"/>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Pr>
          <w:rFonts w:cs="Arial"/>
          <w:color w:val="000000" w:themeColor="text1"/>
          <w:sz w:val="22"/>
          <w:szCs w:val="22"/>
        </w:rPr>
        <w:t xml:space="preserve">We require </w:t>
      </w:r>
      <w:r w:rsidR="00EA1304">
        <w:rPr>
          <w:rFonts w:cs="Arial"/>
          <w:color w:val="000000" w:themeColor="text1"/>
          <w:sz w:val="22"/>
          <w:szCs w:val="22"/>
        </w:rPr>
        <w:t xml:space="preserve">joinery </w:t>
      </w:r>
      <w:r>
        <w:rPr>
          <w:rFonts w:cs="Arial"/>
          <w:color w:val="000000" w:themeColor="text1"/>
          <w:sz w:val="22"/>
          <w:szCs w:val="22"/>
        </w:rPr>
        <w:t>set works to be constructed and installed throughout the exhibition space including wall and ceiling structures, dividing screens and plinths. The walling will house display cases and air ventilation units provided by different contractors.</w:t>
      </w:r>
    </w:p>
    <w:p w:rsidR="006146AE" w:rsidRPr="00B23806" w:rsidRDefault="002D5594" w:rsidP="00822A95">
      <w:pPr>
        <w:pStyle w:val="Heading1"/>
        <w:numPr>
          <w:ilvl w:val="0"/>
          <w:numId w:val="0"/>
        </w:numPr>
        <w:spacing w:after="0" w:line="240" w:lineRule="auto"/>
        <w:rPr>
          <w:rFonts w:cs="Arial"/>
          <w:sz w:val="22"/>
          <w:szCs w:val="22"/>
        </w:rPr>
      </w:pPr>
      <w:r w:rsidRPr="00B23806">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202C78" w:rsidRDefault="006F0DF0" w:rsidP="006F0DF0">
      <w:pPr>
        <w:pStyle w:val="ReportText2Char"/>
        <w:spacing w:after="0" w:line="240" w:lineRule="auto"/>
        <w:ind w:left="0"/>
        <w:rPr>
          <w:rFonts w:cs="Arial"/>
          <w:color w:val="000000" w:themeColor="text1"/>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0A02F3" w:rsidRPr="00202C78">
        <w:rPr>
          <w:rFonts w:cs="Arial"/>
          <w:color w:val="000000" w:themeColor="text1"/>
          <w:sz w:val="22"/>
          <w:szCs w:val="22"/>
        </w:rPr>
        <w:t>NML Terracotta Warrior Exhibition Set Works</w:t>
      </w:r>
      <w:r w:rsidRPr="00202C78">
        <w:rPr>
          <w:rFonts w:cs="Arial"/>
          <w:color w:val="000000" w:themeColor="text1"/>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w:t>
      </w:r>
      <w:r w:rsidR="00C42D06">
        <w:rPr>
          <w:rFonts w:cs="Arial"/>
          <w:bCs/>
          <w:color w:val="000000"/>
          <w:sz w:val="22"/>
          <w:szCs w:val="22"/>
        </w:rPr>
        <w:t>20</w:t>
      </w:r>
      <w:r w:rsidR="008E0930">
        <w:rPr>
          <w:rFonts w:cs="Arial"/>
          <w:bCs/>
          <w:color w:val="000000"/>
          <w:sz w:val="22"/>
          <w:szCs w:val="22"/>
        </w:rPr>
        <w:t xml:space="preserve"> or 21</w:t>
      </w:r>
      <w:r w:rsidR="00C42D06">
        <w:rPr>
          <w:rFonts w:cs="Arial"/>
          <w:bCs/>
          <w:color w:val="000000"/>
          <w:sz w:val="22"/>
          <w:szCs w:val="22"/>
        </w:rPr>
        <w:t xml:space="preserve"> September 2017.</w:t>
      </w:r>
      <w:r w:rsidRPr="00B23806">
        <w:rPr>
          <w:rFonts w:cs="Arial"/>
          <w:bCs/>
          <w:color w:val="00B050"/>
          <w:sz w:val="22"/>
          <w:szCs w:val="22"/>
        </w:rPr>
        <w:t xml:space="preserve"> </w:t>
      </w:r>
      <w:r w:rsidRPr="00B23806">
        <w:rPr>
          <w:rFonts w:cs="Arial"/>
          <w:bCs/>
          <w:color w:val="000000"/>
          <w:sz w:val="22"/>
          <w:szCs w:val="22"/>
        </w:rPr>
        <w:t xml:space="preserve">Please contact </w:t>
      </w:r>
      <w:hyperlink r:id="rId16" w:history="1">
        <w:r w:rsidR="000A02F3" w:rsidRPr="007D4ABD">
          <w:rPr>
            <w:rStyle w:val="Hyperlink"/>
            <w:rFonts w:cs="Arial"/>
            <w:bCs/>
            <w:sz w:val="22"/>
            <w:szCs w:val="22"/>
          </w:rPr>
          <w:t>lucy.johnson@liverpoolmuseums.org.uk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202C78" w:rsidRDefault="00434506" w:rsidP="004E5800">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11</w:t>
            </w:r>
            <w:r w:rsidR="000A02F3" w:rsidRPr="00202C78">
              <w:rPr>
                <w:rFonts w:eastAsiaTheme="minorHAnsi" w:cs="Arial"/>
                <w:b/>
                <w:bCs/>
                <w:color w:val="000000" w:themeColor="text1"/>
                <w:sz w:val="22"/>
                <w:szCs w:val="22"/>
              </w:rPr>
              <w:t>/09/2017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02C78" w:rsidRDefault="00C42D06" w:rsidP="00C42D06">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20</w:t>
            </w:r>
            <w:r w:rsidR="008E0930">
              <w:rPr>
                <w:rFonts w:eastAsiaTheme="minorHAnsi" w:cs="Arial"/>
                <w:b/>
                <w:bCs/>
                <w:color w:val="000000" w:themeColor="text1"/>
                <w:sz w:val="22"/>
                <w:szCs w:val="22"/>
              </w:rPr>
              <w:t xml:space="preserve"> or 21</w:t>
            </w:r>
            <w:r>
              <w:rPr>
                <w:rFonts w:eastAsiaTheme="minorHAnsi" w:cs="Arial"/>
                <w:b/>
                <w:bCs/>
                <w:color w:val="000000" w:themeColor="text1"/>
                <w:sz w:val="22"/>
                <w:szCs w:val="22"/>
              </w:rPr>
              <w:t xml:space="preserve">/09/2017 </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202C78" w:rsidRDefault="00C42D06">
            <w:pPr>
              <w:rPr>
                <w:rFonts w:cs="Arial"/>
                <w:b/>
                <w:color w:val="000000" w:themeColor="text1"/>
                <w:sz w:val="22"/>
                <w:szCs w:val="22"/>
              </w:rPr>
            </w:pPr>
            <w:r>
              <w:rPr>
                <w:rFonts w:cs="Arial"/>
                <w:b/>
                <w:color w:val="000000" w:themeColor="text1"/>
                <w:sz w:val="22"/>
                <w:szCs w:val="22"/>
              </w:rPr>
              <w:t>22/09/2017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24564C" w:rsidP="00B70373">
            <w:pPr>
              <w:rPr>
                <w:rFonts w:eastAsiaTheme="minorHAnsi" w:cs="Arial"/>
                <w:b/>
                <w:bCs/>
                <w:color w:val="000000" w:themeColor="text1"/>
                <w:sz w:val="22"/>
                <w:szCs w:val="22"/>
              </w:rPr>
            </w:pPr>
            <w:r w:rsidRPr="00202C78">
              <w:rPr>
                <w:rFonts w:eastAsiaTheme="minorHAnsi" w:cs="Arial"/>
                <w:b/>
                <w:bCs/>
                <w:color w:val="000000" w:themeColor="text1"/>
                <w:sz w:val="22"/>
                <w:szCs w:val="22"/>
              </w:rPr>
              <w:t>25/09/2017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1633F4" w:rsidRDefault="0024564C"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24564C">
            <w:pPr>
              <w:rPr>
                <w:rFonts w:cs="Arial"/>
                <w:b/>
                <w:color w:val="000000" w:themeColor="text1"/>
                <w:sz w:val="22"/>
                <w:szCs w:val="22"/>
              </w:rPr>
            </w:pPr>
            <w:r>
              <w:rPr>
                <w:rFonts w:cs="Arial"/>
                <w:b/>
                <w:color w:val="000000" w:themeColor="text1"/>
                <w:sz w:val="22"/>
                <w:szCs w:val="22"/>
              </w:rPr>
              <w:t>26/09/2017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470187" w:rsidRDefault="0024564C"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24564C">
            <w:pPr>
              <w:rPr>
                <w:rFonts w:eastAsiaTheme="minorHAnsi" w:cs="Arial"/>
                <w:b/>
                <w:bCs/>
                <w:color w:val="000000" w:themeColor="text1"/>
                <w:sz w:val="22"/>
                <w:szCs w:val="22"/>
              </w:rPr>
            </w:pPr>
            <w:r>
              <w:rPr>
                <w:rFonts w:eastAsiaTheme="minorHAnsi" w:cs="Arial"/>
                <w:b/>
                <w:bCs/>
                <w:color w:val="000000" w:themeColor="text1"/>
                <w:sz w:val="22"/>
                <w:szCs w:val="22"/>
              </w:rPr>
              <w:t>26/09/2017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470187" w:rsidRDefault="00347664" w:rsidP="00532569">
            <w:r>
              <w:rPr>
                <w:sz w:val="22"/>
                <w:szCs w:val="22"/>
              </w:rPr>
              <w:t>Interviews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8E0930">
            <w:pPr>
              <w:rPr>
                <w:rFonts w:eastAsiaTheme="minorHAnsi" w:cs="Arial"/>
                <w:b/>
                <w:bCs/>
                <w:color w:val="000000" w:themeColor="text1"/>
                <w:sz w:val="22"/>
                <w:szCs w:val="22"/>
              </w:rPr>
            </w:pPr>
            <w:r>
              <w:rPr>
                <w:rFonts w:eastAsiaTheme="minorHAnsi" w:cs="Arial"/>
                <w:b/>
                <w:bCs/>
                <w:color w:val="000000" w:themeColor="text1"/>
                <w:sz w:val="22"/>
                <w:szCs w:val="22"/>
              </w:rPr>
              <w:t xml:space="preserve">28/09/2017 to </w:t>
            </w:r>
            <w:r w:rsidR="00347664">
              <w:rPr>
                <w:rFonts w:eastAsiaTheme="minorHAnsi" w:cs="Arial"/>
                <w:b/>
                <w:bCs/>
                <w:color w:val="000000" w:themeColor="text1"/>
                <w:sz w:val="22"/>
                <w:szCs w:val="22"/>
              </w:rPr>
              <w:t>02/10/2017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347664">
            <w:pPr>
              <w:rPr>
                <w:rFonts w:cs="Arial"/>
                <w:b/>
                <w:color w:val="000000" w:themeColor="text1"/>
                <w:sz w:val="22"/>
                <w:szCs w:val="22"/>
              </w:rPr>
            </w:pPr>
            <w:r>
              <w:rPr>
                <w:rFonts w:cs="Arial"/>
                <w:b/>
                <w:color w:val="000000" w:themeColor="text1"/>
                <w:sz w:val="22"/>
                <w:szCs w:val="22"/>
              </w:rPr>
              <w:t>03/10/2017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347664">
            <w:pPr>
              <w:rPr>
                <w:rFonts w:cs="Arial"/>
                <w:b/>
                <w:color w:val="000000" w:themeColor="text1"/>
                <w:sz w:val="22"/>
                <w:szCs w:val="22"/>
              </w:rPr>
            </w:pPr>
            <w:r>
              <w:rPr>
                <w:rFonts w:cs="Arial"/>
                <w:b/>
                <w:color w:val="000000" w:themeColor="text1"/>
                <w:sz w:val="22"/>
                <w:szCs w:val="22"/>
              </w:rPr>
              <w:t>03/10/2017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347664">
            <w:pPr>
              <w:rPr>
                <w:rFonts w:cs="Arial"/>
                <w:b/>
                <w:color w:val="000000" w:themeColor="text1"/>
                <w:sz w:val="22"/>
                <w:szCs w:val="22"/>
              </w:rPr>
            </w:pPr>
            <w:r>
              <w:rPr>
                <w:rFonts w:cs="Arial"/>
                <w:b/>
                <w:color w:val="000000" w:themeColor="text1"/>
                <w:sz w:val="22"/>
                <w:szCs w:val="22"/>
              </w:rPr>
              <w:t>13</w:t>
            </w:r>
            <w:r w:rsidR="0024564C" w:rsidRPr="00202C78">
              <w:rPr>
                <w:rFonts w:cs="Arial"/>
                <w:b/>
                <w:color w:val="000000" w:themeColor="text1"/>
                <w:sz w:val="22"/>
                <w:szCs w:val="22"/>
              </w:rPr>
              <w:t>/10/2017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9822E2">
            <w:pPr>
              <w:spacing w:line="240" w:lineRule="auto"/>
              <w:rPr>
                <w:rFonts w:cs="Arial"/>
                <w:sz w:val="22"/>
                <w:szCs w:val="22"/>
              </w:rPr>
            </w:pPr>
            <w:r>
              <w:rPr>
                <w:rFonts w:cs="Arial"/>
                <w:sz w:val="22"/>
                <w:szCs w:val="22"/>
              </w:rPr>
              <w:t>11</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B23806" w:rsidRDefault="0024564C"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24564C" w:rsidP="00521A37">
            <w:pPr>
              <w:spacing w:line="240" w:lineRule="auto"/>
              <w:rPr>
                <w:rFonts w:eastAsiaTheme="minorHAnsi" w:cs="Arial"/>
                <w:b/>
                <w:bCs/>
                <w:color w:val="000000" w:themeColor="text1"/>
                <w:sz w:val="22"/>
                <w:szCs w:val="22"/>
              </w:rPr>
            </w:pPr>
            <w:r w:rsidRPr="00202C78">
              <w:rPr>
                <w:rFonts w:eastAsiaTheme="minorHAnsi" w:cs="Arial"/>
                <w:b/>
                <w:bCs/>
                <w:color w:val="000000" w:themeColor="text1"/>
                <w:sz w:val="22"/>
                <w:szCs w:val="22"/>
              </w:rPr>
              <w:t>12/01/201</w:t>
            </w:r>
            <w:r w:rsidR="00A64DD9">
              <w:rPr>
                <w:rFonts w:eastAsiaTheme="minorHAnsi" w:cs="Arial"/>
                <w:b/>
                <w:bCs/>
                <w:color w:val="000000" w:themeColor="text1"/>
                <w:sz w:val="22"/>
                <w:szCs w:val="22"/>
              </w:rPr>
              <w:t>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202C78"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0A02F3" w:rsidRPr="00202C78">
        <w:rPr>
          <w:rFonts w:cs="Arial"/>
          <w:color w:val="000000" w:themeColor="text1"/>
          <w:sz w:val="22"/>
          <w:szCs w:val="22"/>
        </w:rPr>
        <w:t>NML Terracotta Warriors Exhibition Set Works</w:t>
      </w:r>
      <w:r w:rsidRPr="00202C78">
        <w:rPr>
          <w:rFonts w:cs="Arial"/>
          <w:color w:val="000000" w:themeColor="text1"/>
          <w:sz w:val="22"/>
          <w:szCs w:val="22"/>
        </w:rPr>
        <w:t>”. If multiple emails are sent the header should indicate they are “Part x of xx”.</w:t>
      </w:r>
    </w:p>
    <w:p w:rsidR="00083F40" w:rsidRPr="00202C78" w:rsidRDefault="00083F40" w:rsidP="00521A37">
      <w:pPr>
        <w:pStyle w:val="ReportText1"/>
        <w:spacing w:after="0" w:line="240" w:lineRule="auto"/>
        <w:ind w:left="0"/>
        <w:rPr>
          <w:rFonts w:cs="Arial"/>
          <w:color w:val="000000" w:themeColor="text1"/>
          <w:sz w:val="22"/>
          <w:szCs w:val="22"/>
        </w:rPr>
      </w:pPr>
    </w:p>
    <w:p w:rsidR="00665EC7" w:rsidRPr="00202C78" w:rsidRDefault="00083F40" w:rsidP="00521A37">
      <w:pPr>
        <w:pStyle w:val="ReportText1"/>
        <w:spacing w:after="0" w:line="240" w:lineRule="auto"/>
        <w:ind w:left="0"/>
        <w:rPr>
          <w:rFonts w:cs="Arial"/>
          <w:color w:val="000000" w:themeColor="text1"/>
          <w:sz w:val="22"/>
          <w:szCs w:val="22"/>
        </w:rPr>
      </w:pPr>
      <w:r w:rsidRPr="00202C78">
        <w:rPr>
          <w:rFonts w:cs="Arial"/>
          <w:color w:val="000000" w:themeColor="text1"/>
          <w:sz w:val="22"/>
          <w:szCs w:val="22"/>
        </w:rPr>
        <w:t>Bid submission</w:t>
      </w:r>
      <w:r w:rsidR="00665EC7" w:rsidRPr="00202C78">
        <w:rPr>
          <w:rFonts w:cs="Arial"/>
          <w:color w:val="000000" w:themeColor="text1"/>
          <w:sz w:val="22"/>
          <w:szCs w:val="22"/>
        </w:rPr>
        <w:t xml:space="preserve">s must be received no later than </w:t>
      </w:r>
      <w:r w:rsidR="00665EC7" w:rsidRPr="00202C78">
        <w:rPr>
          <w:rFonts w:cs="Arial"/>
          <w:b/>
          <w:color w:val="000000" w:themeColor="text1"/>
          <w:sz w:val="22"/>
          <w:szCs w:val="22"/>
        </w:rPr>
        <w:t xml:space="preserve">Noon on </w:t>
      </w:r>
      <w:r w:rsidR="001E4712">
        <w:rPr>
          <w:rFonts w:cs="Arial"/>
          <w:b/>
          <w:color w:val="000000" w:themeColor="text1"/>
          <w:sz w:val="22"/>
          <w:szCs w:val="22"/>
        </w:rPr>
        <w:t>26</w:t>
      </w:r>
      <w:r w:rsidR="001E4712">
        <w:rPr>
          <w:rFonts w:cs="Arial"/>
          <w:b/>
          <w:color w:val="000000" w:themeColor="text1"/>
          <w:sz w:val="22"/>
          <w:szCs w:val="22"/>
          <w:vertAlign w:val="superscript"/>
        </w:rPr>
        <w:t>th</w:t>
      </w:r>
      <w:r w:rsidR="00503748" w:rsidRPr="00202C78">
        <w:rPr>
          <w:rFonts w:cs="Arial"/>
          <w:b/>
          <w:color w:val="000000" w:themeColor="text1"/>
          <w:sz w:val="22"/>
          <w:szCs w:val="22"/>
        </w:rPr>
        <w:t xml:space="preserve"> </w:t>
      </w:r>
      <w:r w:rsidR="000A02F3" w:rsidRPr="00202C78">
        <w:rPr>
          <w:rFonts w:cs="Arial"/>
          <w:b/>
          <w:color w:val="000000" w:themeColor="text1"/>
          <w:sz w:val="22"/>
          <w:szCs w:val="22"/>
        </w:rPr>
        <w:t>September 2017</w:t>
      </w:r>
      <w:r w:rsidR="00665EC7" w:rsidRPr="00202C78">
        <w:rPr>
          <w:rFonts w:cs="Arial"/>
          <w:b/>
          <w:color w:val="000000" w:themeColor="text1"/>
          <w:sz w:val="22"/>
          <w:szCs w:val="22"/>
        </w:rPr>
        <w:t>.</w:t>
      </w:r>
      <w:r w:rsidR="00665EC7" w:rsidRPr="00202C78">
        <w:rPr>
          <w:rFonts w:cs="Arial"/>
          <w:color w:val="000000" w:themeColor="text1"/>
          <w:sz w:val="22"/>
          <w:szCs w:val="22"/>
        </w:rPr>
        <w:t xml:space="preserve"> Any response received after this date and time may be discounted from further consideration. Any requirement that the </w:t>
      </w:r>
      <w:r w:rsidR="003D2508" w:rsidRPr="00202C78">
        <w:rPr>
          <w:rFonts w:cs="Arial"/>
          <w:color w:val="000000" w:themeColor="text1"/>
          <w:sz w:val="22"/>
          <w:szCs w:val="22"/>
        </w:rPr>
        <w:t>bidder</w:t>
      </w:r>
      <w:r w:rsidR="00665EC7" w:rsidRPr="00202C78">
        <w:rPr>
          <w:rFonts w:cs="Arial"/>
          <w:color w:val="000000" w:themeColor="text1"/>
          <w:sz w:val="22"/>
          <w:szCs w:val="22"/>
        </w:rPr>
        <w:t xml:space="preserve"> might have for proof of delivery is at the </w:t>
      </w:r>
      <w:r w:rsidR="003D2508" w:rsidRPr="00202C78">
        <w:rPr>
          <w:rFonts w:cs="Arial"/>
          <w:color w:val="000000" w:themeColor="text1"/>
          <w:sz w:val="22"/>
          <w:szCs w:val="22"/>
        </w:rPr>
        <w:t>bidder</w:t>
      </w:r>
      <w:r w:rsidR="00665EC7" w:rsidRPr="00202C78">
        <w:rPr>
          <w:rFonts w:cs="Arial"/>
          <w:color w:val="000000" w:themeColor="text1"/>
          <w:sz w:val="22"/>
          <w:szCs w:val="22"/>
        </w:rPr>
        <w:t>’s discretion and cost.</w:t>
      </w:r>
    </w:p>
    <w:p w:rsidR="00083F40" w:rsidRPr="00202C78" w:rsidRDefault="00083F40" w:rsidP="00521A37">
      <w:pPr>
        <w:pStyle w:val="ReportText1"/>
        <w:spacing w:after="0" w:line="240" w:lineRule="auto"/>
        <w:ind w:left="0"/>
        <w:rPr>
          <w:rFonts w:cs="Arial"/>
          <w:color w:val="000000" w:themeColor="text1"/>
          <w:sz w:val="22"/>
          <w:szCs w:val="22"/>
        </w:rPr>
      </w:pPr>
    </w:p>
    <w:p w:rsidR="00665EC7" w:rsidRPr="00202C78" w:rsidRDefault="00665EC7" w:rsidP="00521A37">
      <w:pPr>
        <w:pStyle w:val="ReportText1"/>
        <w:spacing w:after="0" w:line="240" w:lineRule="auto"/>
        <w:ind w:left="0"/>
        <w:rPr>
          <w:rFonts w:cs="Arial"/>
          <w:color w:val="000000" w:themeColor="text1"/>
          <w:sz w:val="22"/>
          <w:szCs w:val="22"/>
        </w:rPr>
      </w:pPr>
      <w:r w:rsidRPr="00202C78">
        <w:rPr>
          <w:rFonts w:cs="Arial"/>
          <w:color w:val="000000" w:themeColor="text1"/>
          <w:sz w:val="22"/>
          <w:szCs w:val="22"/>
        </w:rPr>
        <w:t xml:space="preserve">No </w:t>
      </w:r>
      <w:r w:rsidR="00083F40" w:rsidRPr="00202C78">
        <w:rPr>
          <w:rFonts w:cs="Arial"/>
          <w:color w:val="000000" w:themeColor="text1"/>
          <w:sz w:val="22"/>
          <w:szCs w:val="22"/>
        </w:rPr>
        <w:t>bid submission</w:t>
      </w:r>
      <w:r w:rsidRPr="00202C78">
        <w:rPr>
          <w:rFonts w:cs="Arial"/>
          <w:color w:val="000000" w:themeColor="text1"/>
          <w:sz w:val="22"/>
          <w:szCs w:val="22"/>
        </w:rPr>
        <w:t xml:space="preserve"> will be opened until the deadline of </w:t>
      </w:r>
      <w:r w:rsidRPr="00202C78">
        <w:rPr>
          <w:rFonts w:cs="Arial"/>
          <w:b/>
          <w:color w:val="000000" w:themeColor="text1"/>
          <w:sz w:val="22"/>
          <w:szCs w:val="22"/>
        </w:rPr>
        <w:t xml:space="preserve">Noon on </w:t>
      </w:r>
      <w:r w:rsidR="001E4712">
        <w:rPr>
          <w:rFonts w:cs="Arial"/>
          <w:b/>
          <w:color w:val="000000" w:themeColor="text1"/>
          <w:sz w:val="22"/>
          <w:szCs w:val="22"/>
        </w:rPr>
        <w:t>26th</w:t>
      </w:r>
      <w:r w:rsidR="00503748" w:rsidRPr="00202C78">
        <w:rPr>
          <w:rFonts w:cs="Arial"/>
          <w:b/>
          <w:color w:val="000000" w:themeColor="text1"/>
          <w:sz w:val="22"/>
          <w:szCs w:val="22"/>
        </w:rPr>
        <w:t xml:space="preserve"> </w:t>
      </w:r>
      <w:r w:rsidR="000A02F3" w:rsidRPr="00202C78">
        <w:rPr>
          <w:rFonts w:cs="Arial"/>
          <w:b/>
          <w:color w:val="000000" w:themeColor="text1"/>
          <w:sz w:val="22"/>
          <w:szCs w:val="22"/>
        </w:rPr>
        <w:t>September 2017</w:t>
      </w:r>
      <w:r w:rsidRPr="00202C78">
        <w:rPr>
          <w:rFonts w:cs="Arial"/>
          <w:b/>
          <w:color w:val="000000" w:themeColor="text1"/>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0A02F3" w:rsidP="00521A37">
      <w:pPr>
        <w:pStyle w:val="ReportText1"/>
        <w:spacing w:after="0" w:line="240" w:lineRule="auto"/>
        <w:ind w:left="0"/>
        <w:rPr>
          <w:rFonts w:cs="Arial"/>
          <w:b/>
          <w:sz w:val="22"/>
          <w:szCs w:val="22"/>
        </w:rPr>
      </w:pPr>
      <w:r>
        <w:rPr>
          <w:rFonts w:cs="Arial"/>
          <w:b/>
          <w:sz w:val="22"/>
          <w:szCs w:val="22"/>
        </w:rPr>
        <w:t>3.5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916AAB" w:rsidRDefault="00F15003" w:rsidP="00521A37">
            <w:pPr>
              <w:pStyle w:val="ReportText2"/>
              <w:spacing w:after="0" w:line="240" w:lineRule="auto"/>
              <w:ind w:left="0"/>
              <w:jc w:val="left"/>
              <w:rPr>
                <w:rFonts w:cs="Arial"/>
                <w:b/>
                <w:sz w:val="22"/>
                <w:szCs w:val="22"/>
              </w:rPr>
            </w:pPr>
            <w:r w:rsidRPr="00916AAB">
              <w:rPr>
                <w:rFonts w:cs="Arial"/>
                <w:b/>
                <w:sz w:val="22"/>
                <w:szCs w:val="22"/>
              </w:rPr>
              <w:t>Element of Evaluation</w:t>
            </w:r>
          </w:p>
        </w:tc>
        <w:tc>
          <w:tcPr>
            <w:tcW w:w="4078" w:type="dxa"/>
          </w:tcPr>
          <w:p w:rsidR="00F15003" w:rsidRPr="00916AAB" w:rsidRDefault="00F15003" w:rsidP="00521A37">
            <w:pPr>
              <w:pStyle w:val="ReportText2"/>
              <w:spacing w:after="0" w:line="240" w:lineRule="auto"/>
              <w:ind w:left="0"/>
              <w:jc w:val="left"/>
              <w:rPr>
                <w:rFonts w:cs="Arial"/>
                <w:b/>
                <w:sz w:val="22"/>
                <w:szCs w:val="22"/>
              </w:rPr>
            </w:pPr>
            <w:r w:rsidRPr="00916AAB">
              <w:rPr>
                <w:rFonts w:cs="Arial"/>
                <w:b/>
                <w:sz w:val="22"/>
                <w:szCs w:val="22"/>
              </w:rPr>
              <w:t>Max Score Available</w:t>
            </w:r>
          </w:p>
        </w:tc>
      </w:tr>
      <w:tr w:rsidR="009C41C5" w:rsidRPr="00B23806" w:rsidTr="00D277C4">
        <w:tc>
          <w:tcPr>
            <w:tcW w:w="4166" w:type="dxa"/>
          </w:tcPr>
          <w:p w:rsidR="009C41C5" w:rsidRPr="00916AAB" w:rsidRDefault="009C41C5" w:rsidP="00BD0490">
            <w:pPr>
              <w:spacing w:line="240" w:lineRule="auto"/>
              <w:rPr>
                <w:rFonts w:cs="Arial"/>
                <w:color w:val="000000" w:themeColor="text1"/>
                <w:sz w:val="22"/>
                <w:szCs w:val="22"/>
              </w:rPr>
            </w:pPr>
            <w:r w:rsidRPr="00916AAB">
              <w:rPr>
                <w:rFonts w:cs="Arial"/>
                <w:color w:val="000000" w:themeColor="text1"/>
                <w:sz w:val="22"/>
                <w:szCs w:val="22"/>
              </w:rPr>
              <w:t>Installation to Timescale</w:t>
            </w:r>
          </w:p>
        </w:tc>
        <w:tc>
          <w:tcPr>
            <w:tcW w:w="4078" w:type="dxa"/>
          </w:tcPr>
          <w:p w:rsidR="009C41C5" w:rsidRPr="00916AAB" w:rsidRDefault="009C41C5" w:rsidP="00BD0490">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5</w:t>
            </w:r>
          </w:p>
        </w:tc>
      </w:tr>
      <w:tr w:rsidR="009C41C5" w:rsidRPr="00B23806" w:rsidTr="00D277C4">
        <w:tc>
          <w:tcPr>
            <w:tcW w:w="4166" w:type="dxa"/>
          </w:tcPr>
          <w:p w:rsidR="009C41C5" w:rsidRPr="00916AAB" w:rsidRDefault="00202C78" w:rsidP="00202C78">
            <w:pPr>
              <w:spacing w:line="240" w:lineRule="auto"/>
              <w:rPr>
                <w:rFonts w:cs="Arial"/>
                <w:color w:val="000000" w:themeColor="text1"/>
                <w:sz w:val="22"/>
                <w:szCs w:val="22"/>
              </w:rPr>
            </w:pPr>
            <w:r w:rsidRPr="00916AAB">
              <w:rPr>
                <w:rFonts w:cs="Arial"/>
                <w:color w:val="000000" w:themeColor="text1"/>
                <w:sz w:val="22"/>
                <w:szCs w:val="22"/>
              </w:rPr>
              <w:t>Response to the specifications and drawings</w:t>
            </w:r>
          </w:p>
        </w:tc>
        <w:tc>
          <w:tcPr>
            <w:tcW w:w="4078" w:type="dxa"/>
          </w:tcPr>
          <w:p w:rsidR="009C41C5" w:rsidRPr="00916AAB" w:rsidRDefault="00202C78"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30</w:t>
            </w:r>
          </w:p>
        </w:tc>
      </w:tr>
      <w:tr w:rsidR="009C41C5" w:rsidRPr="00B23806" w:rsidTr="00D277C4">
        <w:tc>
          <w:tcPr>
            <w:tcW w:w="4166" w:type="dxa"/>
          </w:tcPr>
          <w:p w:rsidR="009C41C5" w:rsidRPr="00916AAB" w:rsidRDefault="009C41C5" w:rsidP="00521A37">
            <w:pPr>
              <w:spacing w:line="240" w:lineRule="auto"/>
              <w:rPr>
                <w:rFonts w:cs="Arial"/>
                <w:color w:val="000000" w:themeColor="text1"/>
                <w:sz w:val="22"/>
                <w:szCs w:val="22"/>
              </w:rPr>
            </w:pPr>
            <w:r w:rsidRPr="00916AAB">
              <w:rPr>
                <w:rFonts w:cs="Arial"/>
                <w:color w:val="000000" w:themeColor="text1"/>
                <w:sz w:val="22"/>
                <w:szCs w:val="22"/>
              </w:rPr>
              <w:t>References – evidence of supply and installation of a similar solution within the last 12 months</w:t>
            </w:r>
          </w:p>
        </w:tc>
        <w:tc>
          <w:tcPr>
            <w:tcW w:w="4078"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10</w:t>
            </w:r>
          </w:p>
        </w:tc>
      </w:tr>
      <w:tr w:rsidR="009C41C5" w:rsidRPr="00B23806" w:rsidTr="00D277C4">
        <w:tc>
          <w:tcPr>
            <w:tcW w:w="4166" w:type="dxa"/>
          </w:tcPr>
          <w:p w:rsidR="009C41C5" w:rsidRPr="00916AAB" w:rsidRDefault="009C41C5" w:rsidP="009F27B6">
            <w:pPr>
              <w:pStyle w:val="ReportText2"/>
              <w:tabs>
                <w:tab w:val="num" w:pos="1287"/>
              </w:tabs>
              <w:spacing w:after="0" w:line="240" w:lineRule="auto"/>
              <w:ind w:left="0"/>
              <w:jc w:val="left"/>
              <w:rPr>
                <w:rFonts w:cs="Arial"/>
                <w:color w:val="000000" w:themeColor="text1"/>
                <w:sz w:val="22"/>
                <w:szCs w:val="22"/>
              </w:rPr>
            </w:pPr>
            <w:r w:rsidRPr="00916AAB">
              <w:rPr>
                <w:rFonts w:cs="Arial"/>
                <w:color w:val="000000" w:themeColor="text1"/>
                <w:sz w:val="22"/>
                <w:szCs w:val="22"/>
              </w:rPr>
              <w:t>Total cost to NML over the contract</w:t>
            </w:r>
          </w:p>
        </w:tc>
        <w:tc>
          <w:tcPr>
            <w:tcW w:w="4078" w:type="dxa"/>
          </w:tcPr>
          <w:p w:rsidR="009C41C5" w:rsidRPr="00916AAB" w:rsidRDefault="009C41C5" w:rsidP="00763F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55</w:t>
            </w:r>
          </w:p>
        </w:tc>
      </w:tr>
      <w:tr w:rsidR="009C41C5" w:rsidRPr="00B23806" w:rsidTr="00D277C4">
        <w:tc>
          <w:tcPr>
            <w:tcW w:w="4166"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Total</w:t>
            </w:r>
          </w:p>
        </w:tc>
        <w:tc>
          <w:tcPr>
            <w:tcW w:w="4078"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C430C9" w:rsidRDefault="00C430C9" w:rsidP="00763F37">
      <w:pPr>
        <w:pStyle w:val="ReportText1"/>
        <w:spacing w:after="0" w:line="240" w:lineRule="auto"/>
        <w:ind w:left="0"/>
        <w:rPr>
          <w:rFonts w:cs="Arial"/>
          <w:sz w:val="22"/>
          <w:szCs w:val="22"/>
        </w:rPr>
      </w:pPr>
    </w:p>
    <w:p w:rsidR="00C430C9" w:rsidRPr="00763F37" w:rsidRDefault="00C430C9" w:rsidP="00763F37">
      <w:pPr>
        <w:pStyle w:val="ReportText1"/>
        <w:spacing w:after="0" w:line="240" w:lineRule="auto"/>
        <w:ind w:left="0"/>
        <w:rPr>
          <w:rFonts w:cs="Arial"/>
          <w:sz w:val="22"/>
          <w:szCs w:val="22"/>
        </w:rPr>
      </w:pPr>
      <w:r>
        <w:rPr>
          <w:rFonts w:cs="Arial"/>
          <w:sz w:val="22"/>
          <w:szCs w:val="22"/>
        </w:rPr>
        <w:t xml:space="preserve">Following the tender evaluation, bidders will in invited to interview. Interviews will take place week </w:t>
      </w:r>
      <w:r w:rsidR="008E0930">
        <w:rPr>
          <w:rFonts w:cs="Arial"/>
          <w:sz w:val="22"/>
          <w:szCs w:val="22"/>
        </w:rPr>
        <w:t>between 28 September 2017 to 2 October 2017.</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921E38"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Pr="00687E32"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202C78" w:rsidRDefault="004E0330" w:rsidP="00521A37">
      <w:pPr>
        <w:pStyle w:val="Heading3"/>
        <w:numPr>
          <w:ilvl w:val="0"/>
          <w:numId w:val="0"/>
        </w:numPr>
        <w:spacing w:after="0" w:line="240" w:lineRule="auto"/>
        <w:rPr>
          <w:rFonts w:cs="Arial"/>
          <w:color w:val="000000" w:themeColor="text1"/>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430C9" w:rsidRDefault="00C430C9" w:rsidP="00521A37">
      <w:pPr>
        <w:spacing w:line="240" w:lineRule="auto"/>
        <w:rPr>
          <w:rFonts w:cs="Arial"/>
          <w:color w:val="000000" w:themeColor="text1"/>
          <w:sz w:val="22"/>
          <w:szCs w:val="22"/>
        </w:rPr>
      </w:pPr>
      <w:r>
        <w:rPr>
          <w:rFonts w:cs="Arial"/>
          <w:color w:val="000000" w:themeColor="text1"/>
          <w:sz w:val="22"/>
          <w:szCs w:val="22"/>
        </w:rPr>
        <w:t>Construction of the build will commence from 16</w:t>
      </w:r>
      <w:r w:rsidRPr="00C430C9">
        <w:rPr>
          <w:rFonts w:cs="Arial"/>
          <w:color w:val="000000" w:themeColor="text1"/>
          <w:sz w:val="22"/>
          <w:szCs w:val="22"/>
          <w:vertAlign w:val="superscript"/>
        </w:rPr>
        <w:t>th</w:t>
      </w:r>
      <w:r>
        <w:rPr>
          <w:rFonts w:cs="Arial"/>
          <w:color w:val="000000" w:themeColor="text1"/>
          <w:sz w:val="22"/>
          <w:szCs w:val="22"/>
        </w:rPr>
        <w:t xml:space="preserve"> October 2017. Work on site will commence on 6</w:t>
      </w:r>
      <w:r w:rsidRPr="00C430C9">
        <w:rPr>
          <w:rFonts w:cs="Arial"/>
          <w:color w:val="000000" w:themeColor="text1"/>
          <w:sz w:val="22"/>
          <w:szCs w:val="22"/>
          <w:vertAlign w:val="superscript"/>
        </w:rPr>
        <w:t>th</w:t>
      </w:r>
      <w:r>
        <w:rPr>
          <w:rFonts w:cs="Arial"/>
          <w:color w:val="000000" w:themeColor="text1"/>
          <w:sz w:val="22"/>
          <w:szCs w:val="22"/>
        </w:rPr>
        <w:t xml:space="preserve"> November 2017</w:t>
      </w:r>
    </w:p>
    <w:p w:rsidR="00C430C9" w:rsidRDefault="00C430C9" w:rsidP="00521A37">
      <w:pPr>
        <w:spacing w:line="240" w:lineRule="auto"/>
        <w:rPr>
          <w:rFonts w:cs="Arial"/>
          <w:color w:val="000000" w:themeColor="text1"/>
          <w:sz w:val="22"/>
          <w:szCs w:val="22"/>
        </w:rPr>
      </w:pPr>
    </w:p>
    <w:p w:rsidR="004E0330" w:rsidRPr="00202C78" w:rsidRDefault="0080253D" w:rsidP="00521A37">
      <w:pPr>
        <w:spacing w:line="240" w:lineRule="auto"/>
        <w:rPr>
          <w:rFonts w:cs="Arial"/>
          <w:color w:val="000000" w:themeColor="text1"/>
          <w:sz w:val="22"/>
          <w:szCs w:val="22"/>
        </w:rPr>
      </w:pPr>
      <w:r w:rsidRPr="00202C78">
        <w:rPr>
          <w:rFonts w:cs="Arial"/>
          <w:color w:val="000000" w:themeColor="text1"/>
          <w:sz w:val="22"/>
          <w:szCs w:val="22"/>
        </w:rPr>
        <w:t xml:space="preserve">Please note that the project must be completed by </w:t>
      </w:r>
      <w:r w:rsidR="000A02F3" w:rsidRPr="00202C78">
        <w:rPr>
          <w:rFonts w:cs="Arial"/>
          <w:color w:val="000000" w:themeColor="text1"/>
          <w:sz w:val="22"/>
          <w:szCs w:val="22"/>
        </w:rPr>
        <w:t>12</w:t>
      </w:r>
      <w:r w:rsidR="004E0330" w:rsidRPr="00202C78">
        <w:rPr>
          <w:rFonts w:cs="Arial"/>
          <w:color w:val="000000" w:themeColor="text1"/>
          <w:sz w:val="22"/>
          <w:szCs w:val="22"/>
          <w:vertAlign w:val="superscript"/>
        </w:rPr>
        <w:t>th</w:t>
      </w:r>
      <w:r w:rsidR="004E0330" w:rsidRPr="00202C78">
        <w:rPr>
          <w:rFonts w:cs="Arial"/>
          <w:color w:val="000000" w:themeColor="text1"/>
          <w:sz w:val="22"/>
          <w:szCs w:val="22"/>
        </w:rPr>
        <w:t xml:space="preserve"> </w:t>
      </w:r>
      <w:r w:rsidR="000A02F3" w:rsidRPr="00202C78">
        <w:rPr>
          <w:rFonts w:cs="Arial"/>
          <w:color w:val="000000" w:themeColor="text1"/>
          <w:sz w:val="22"/>
          <w:szCs w:val="22"/>
        </w:rPr>
        <w:t>January 2017</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E90F3A" w:rsidRPr="00202C78" w:rsidRDefault="009F27B6" w:rsidP="009F4167">
      <w:pPr>
        <w:pStyle w:val="Heading2"/>
        <w:numPr>
          <w:ilvl w:val="0"/>
          <w:numId w:val="0"/>
        </w:numPr>
        <w:spacing w:after="0" w:line="240" w:lineRule="auto"/>
        <w:rPr>
          <w:rFonts w:cs="Arial"/>
          <w:color w:val="000000" w:themeColor="text1"/>
          <w:sz w:val="22"/>
          <w:szCs w:val="22"/>
        </w:rPr>
      </w:pPr>
      <w:r w:rsidRPr="00202C78">
        <w:rPr>
          <w:rFonts w:cs="Arial"/>
          <w:color w:val="000000" w:themeColor="text1"/>
          <w:sz w:val="22"/>
          <w:szCs w:val="22"/>
        </w:rPr>
        <w:t>4.8</w:t>
      </w:r>
      <w:r w:rsidR="009F4167" w:rsidRPr="00202C78">
        <w:rPr>
          <w:rFonts w:cs="Arial"/>
          <w:color w:val="000000" w:themeColor="text1"/>
          <w:sz w:val="22"/>
          <w:szCs w:val="22"/>
        </w:rPr>
        <w:tab/>
      </w:r>
      <w:r w:rsidR="00E90F3A" w:rsidRPr="00202C78">
        <w:rPr>
          <w:rFonts w:cs="Arial"/>
          <w:color w:val="000000" w:themeColor="text1"/>
          <w:sz w:val="22"/>
          <w:szCs w:val="22"/>
        </w:rPr>
        <w:t>Form of Agreement</w:t>
      </w:r>
    </w:p>
    <w:p w:rsidR="0077289D" w:rsidRDefault="0077289D" w:rsidP="00521A37">
      <w:pPr>
        <w:pStyle w:val="ReportText3"/>
        <w:spacing w:after="0" w:line="240" w:lineRule="auto"/>
        <w:ind w:left="0"/>
        <w:rPr>
          <w:rFonts w:cs="Arial"/>
          <w:sz w:val="22"/>
          <w:szCs w:val="22"/>
        </w:rPr>
      </w:pPr>
      <w:r w:rsidRPr="00966864">
        <w:rPr>
          <w:rFonts w:cs="Arial"/>
          <w:sz w:val="22"/>
          <w:szCs w:val="22"/>
        </w:rPr>
        <w:t xml:space="preserve">The Exhibition Set Works supplier shall be appointed using the </w:t>
      </w:r>
      <w:r w:rsidR="00966864" w:rsidRPr="00966864">
        <w:rPr>
          <w:rFonts w:cs="Arial"/>
          <w:sz w:val="22"/>
          <w:szCs w:val="22"/>
        </w:rPr>
        <w:t>JCT Intermediate Build Contract.</w:t>
      </w:r>
      <w:r w:rsidR="00580B46">
        <w:rPr>
          <w:rFonts w:cs="Arial"/>
          <w:sz w:val="22"/>
          <w:szCs w:val="22"/>
        </w:rPr>
        <w:t xml:space="preserve"> </w:t>
      </w:r>
      <w:r w:rsidRPr="00966864">
        <w:rPr>
          <w:rFonts w:cs="Arial"/>
          <w:sz w:val="22"/>
          <w:szCs w:val="22"/>
        </w:rPr>
        <w:t>This will</w:t>
      </w:r>
      <w:r w:rsidRPr="001658AB">
        <w:rPr>
          <w:rFonts w:cs="Arial"/>
          <w:sz w:val="22"/>
          <w:szCs w:val="22"/>
        </w:rPr>
        <w:t xml:space="preserve"> be issued u</w:t>
      </w:r>
      <w:r>
        <w:rPr>
          <w:rFonts w:cs="Arial"/>
          <w:sz w:val="22"/>
          <w:szCs w:val="22"/>
        </w:rPr>
        <w:t>nder separate cover. (Appendix F to follow</w:t>
      </w:r>
      <w:r w:rsidRPr="001658AB">
        <w:rPr>
          <w:rFonts w:cs="Arial"/>
          <w:sz w:val="22"/>
          <w:szCs w:val="22"/>
        </w:rPr>
        <w:t>.)</w:t>
      </w:r>
    </w:p>
    <w:p w:rsidR="0077289D" w:rsidRDefault="0077289D"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9F27B6">
        <w:rPr>
          <w:rFonts w:cs="Arial"/>
          <w:b/>
          <w:sz w:val="22"/>
          <w:szCs w:val="22"/>
        </w:rPr>
        <w:t>9</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966864" w:rsidRPr="00966864" w:rsidRDefault="00966864" w:rsidP="00966864">
      <w:pPr>
        <w:pStyle w:val="ReportText3"/>
        <w:spacing w:after="0" w:line="240" w:lineRule="auto"/>
        <w:ind w:left="0"/>
        <w:rPr>
          <w:rFonts w:cs="Arial"/>
          <w:b/>
          <w:sz w:val="22"/>
          <w:szCs w:val="22"/>
        </w:rPr>
      </w:pPr>
      <w:r w:rsidRPr="00966864">
        <w:rPr>
          <w:rFonts w:cs="Arial"/>
          <w:b/>
          <w:color w:val="000000"/>
          <w:sz w:val="22"/>
          <w:szCs w:val="22"/>
        </w:rPr>
        <w:t>4.10</w:t>
      </w:r>
      <w:r>
        <w:rPr>
          <w:rFonts w:cs="Arial"/>
          <w:b/>
          <w:color w:val="000000"/>
          <w:sz w:val="22"/>
          <w:szCs w:val="22"/>
        </w:rPr>
        <w:t xml:space="preserve"> </w:t>
      </w:r>
      <w:r>
        <w:rPr>
          <w:rFonts w:cs="Arial"/>
          <w:b/>
          <w:sz w:val="22"/>
          <w:szCs w:val="22"/>
        </w:rPr>
        <w:t>Attachments included as part of tender documentation</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 xml:space="preserve">Appendix A </w:t>
      </w:r>
      <w:r w:rsidRPr="00966864">
        <w:rPr>
          <w:rFonts w:cs="Arial"/>
          <w:sz w:val="22"/>
          <w:szCs w:val="22"/>
        </w:rPr>
        <w:tab/>
        <w:t xml:space="preserve">– </w:t>
      </w:r>
      <w:r w:rsidRPr="00966864">
        <w:rPr>
          <w:rFonts w:cs="Arial"/>
          <w:sz w:val="22"/>
          <w:szCs w:val="22"/>
        </w:rPr>
        <w:tab/>
        <w:t>Form of Tender</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B</w:t>
      </w:r>
      <w:r w:rsidRPr="00966864">
        <w:rPr>
          <w:rFonts w:cs="Arial"/>
          <w:sz w:val="22"/>
          <w:szCs w:val="22"/>
        </w:rPr>
        <w:tab/>
        <w:t xml:space="preserve">– </w:t>
      </w:r>
      <w:r w:rsidRPr="00966864">
        <w:rPr>
          <w:rFonts w:cs="Arial"/>
          <w:sz w:val="22"/>
          <w:szCs w:val="22"/>
        </w:rPr>
        <w:tab/>
        <w:t xml:space="preserve">NML Supplemental conditions </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C</w:t>
      </w:r>
      <w:r w:rsidRPr="00966864">
        <w:rPr>
          <w:rFonts w:cs="Arial"/>
          <w:sz w:val="22"/>
          <w:szCs w:val="22"/>
        </w:rPr>
        <w:tab/>
        <w:t xml:space="preserve">– </w:t>
      </w:r>
      <w:r w:rsidRPr="00966864">
        <w:rPr>
          <w:rFonts w:cs="Arial"/>
          <w:sz w:val="22"/>
          <w:szCs w:val="22"/>
        </w:rPr>
        <w:tab/>
        <w:t xml:space="preserve">NML Safety Guidelines for Contractors </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D</w:t>
      </w:r>
      <w:r w:rsidRPr="00966864">
        <w:rPr>
          <w:rFonts w:cs="Arial"/>
          <w:sz w:val="22"/>
          <w:szCs w:val="22"/>
        </w:rPr>
        <w:tab/>
        <w:t xml:space="preserve">– </w:t>
      </w:r>
      <w:r w:rsidRPr="00966864">
        <w:rPr>
          <w:rFonts w:cs="Arial"/>
          <w:sz w:val="22"/>
          <w:szCs w:val="22"/>
        </w:rPr>
        <w:tab/>
        <w:t>NML H&amp;S Questionnaire</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E</w:t>
      </w:r>
      <w:r w:rsidRPr="00966864">
        <w:rPr>
          <w:rFonts w:cs="Arial"/>
          <w:sz w:val="22"/>
          <w:szCs w:val="22"/>
        </w:rPr>
        <w:tab/>
        <w:t xml:space="preserve">– </w:t>
      </w:r>
      <w:r w:rsidRPr="00966864">
        <w:rPr>
          <w:rFonts w:cs="Arial"/>
          <w:sz w:val="22"/>
          <w:szCs w:val="22"/>
        </w:rPr>
        <w:tab/>
        <w:t>NML Procurement Protocol</w:t>
      </w:r>
    </w:p>
    <w:p w:rsidR="00966864" w:rsidRPr="00966864" w:rsidRDefault="00966864" w:rsidP="00966864">
      <w:pPr>
        <w:spacing w:line="240" w:lineRule="auto"/>
        <w:rPr>
          <w:rFonts w:cs="Arial"/>
          <w:sz w:val="22"/>
          <w:szCs w:val="22"/>
        </w:rPr>
      </w:pPr>
      <w:r w:rsidRPr="00966864">
        <w:rPr>
          <w:rFonts w:cs="Arial"/>
          <w:sz w:val="22"/>
          <w:szCs w:val="22"/>
        </w:rPr>
        <w:t>Appendix  F</w:t>
      </w:r>
      <w:r w:rsidRPr="00966864">
        <w:rPr>
          <w:rFonts w:cs="Arial"/>
          <w:sz w:val="22"/>
          <w:szCs w:val="22"/>
        </w:rPr>
        <w:tab/>
        <w:t>–</w:t>
      </w:r>
      <w:r w:rsidRPr="00966864">
        <w:rPr>
          <w:rFonts w:cs="Arial"/>
          <w:sz w:val="22"/>
          <w:szCs w:val="22"/>
        </w:rPr>
        <w:tab/>
        <w:t>Contract (to follow)</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G</w:t>
      </w:r>
      <w:r w:rsidRPr="00966864">
        <w:rPr>
          <w:rFonts w:cs="Arial"/>
          <w:sz w:val="22"/>
          <w:szCs w:val="22"/>
        </w:rPr>
        <w:tab/>
        <w:t xml:space="preserve">– </w:t>
      </w:r>
      <w:r w:rsidRPr="00966864">
        <w:rPr>
          <w:rFonts w:cs="Arial"/>
          <w:sz w:val="22"/>
          <w:szCs w:val="22"/>
        </w:rPr>
        <w:tab/>
        <w:t>Change control process</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H</w:t>
      </w:r>
      <w:r w:rsidRPr="00966864">
        <w:rPr>
          <w:rFonts w:cs="Arial"/>
          <w:sz w:val="22"/>
          <w:szCs w:val="22"/>
        </w:rPr>
        <w:tab/>
        <w:t>–</w:t>
      </w:r>
      <w:r w:rsidRPr="00966864">
        <w:rPr>
          <w:rFonts w:cs="Arial"/>
          <w:sz w:val="22"/>
          <w:szCs w:val="22"/>
        </w:rPr>
        <w:tab/>
        <w:t>Preliminaries</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I     </w:t>
      </w:r>
      <w:r w:rsidRPr="00966864">
        <w:rPr>
          <w:rFonts w:cs="Arial"/>
          <w:sz w:val="22"/>
          <w:szCs w:val="22"/>
        </w:rPr>
        <w:t xml:space="preserve"> –</w:t>
      </w:r>
      <w:r>
        <w:rPr>
          <w:rFonts w:cs="Arial"/>
          <w:sz w:val="22"/>
          <w:szCs w:val="22"/>
        </w:rPr>
        <w:t xml:space="preserve">          </w:t>
      </w:r>
      <w:r w:rsidRPr="00966864">
        <w:rPr>
          <w:rFonts w:cs="Arial"/>
          <w:sz w:val="22"/>
          <w:szCs w:val="22"/>
        </w:rPr>
        <w:t>Pre Construction Information</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J     </w:t>
      </w:r>
      <w:r w:rsidRPr="00966864">
        <w:rPr>
          <w:rFonts w:cs="Arial"/>
          <w:sz w:val="22"/>
          <w:szCs w:val="22"/>
        </w:rPr>
        <w:t>–</w:t>
      </w:r>
      <w:r>
        <w:rPr>
          <w:rFonts w:cs="Arial"/>
          <w:sz w:val="22"/>
          <w:szCs w:val="22"/>
        </w:rPr>
        <w:t xml:space="preserve">           </w:t>
      </w:r>
      <w:r w:rsidRPr="00966864">
        <w:rPr>
          <w:rFonts w:cs="Arial"/>
          <w:sz w:val="22"/>
          <w:szCs w:val="22"/>
        </w:rPr>
        <w:t>Drawing Register/ issue sheet</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K     </w:t>
      </w:r>
      <w:r w:rsidRPr="00966864">
        <w:rPr>
          <w:rFonts w:cs="Arial"/>
          <w:sz w:val="22"/>
          <w:szCs w:val="22"/>
        </w:rPr>
        <w:t>–</w:t>
      </w:r>
      <w:r>
        <w:rPr>
          <w:rFonts w:cs="Arial"/>
          <w:sz w:val="22"/>
          <w:szCs w:val="22"/>
        </w:rPr>
        <w:t xml:space="preserve">          </w:t>
      </w:r>
      <w:r w:rsidRPr="00966864">
        <w:rPr>
          <w:rFonts w:cs="Arial"/>
          <w:sz w:val="22"/>
          <w:szCs w:val="22"/>
        </w:rPr>
        <w:t>Schedule of Works/ Pricing Sheet</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L</w:t>
      </w:r>
      <w:r>
        <w:rPr>
          <w:rFonts w:cs="Arial"/>
          <w:sz w:val="22"/>
          <w:szCs w:val="22"/>
        </w:rPr>
        <w:t xml:space="preserve">    </w:t>
      </w:r>
      <w:r w:rsidRPr="00966864">
        <w:rPr>
          <w:rFonts w:cs="Arial"/>
          <w:sz w:val="22"/>
          <w:szCs w:val="22"/>
        </w:rPr>
        <w:t xml:space="preserve">  –</w:t>
      </w:r>
      <w:r>
        <w:rPr>
          <w:rFonts w:cs="Arial"/>
          <w:sz w:val="22"/>
          <w:szCs w:val="22"/>
        </w:rPr>
        <w:t xml:space="preserve">          Detailed specification </w:t>
      </w:r>
      <w:r w:rsidRPr="00966864">
        <w:rPr>
          <w:rFonts w:cs="Arial"/>
          <w:sz w:val="22"/>
          <w:szCs w:val="22"/>
        </w:rPr>
        <w:t>(drawings)</w:t>
      </w:r>
    </w:p>
    <w:p w:rsidR="00966864" w:rsidRPr="00966864" w:rsidRDefault="00966864" w:rsidP="00966864">
      <w:pPr>
        <w:rPr>
          <w:sz w:val="22"/>
          <w:szCs w:val="22"/>
        </w:rPr>
      </w:pPr>
      <w:r w:rsidRPr="00966864">
        <w:rPr>
          <w:b/>
          <w:bCs/>
          <w:sz w:val="22"/>
          <w:szCs w:val="22"/>
        </w:rPr>
        <w:br w:type="page"/>
      </w:r>
    </w:p>
    <w:p w:rsidR="00966864" w:rsidRDefault="00966864" w:rsidP="00532569">
      <w:pPr>
        <w:suppressAutoHyphens/>
        <w:autoSpaceDE w:val="0"/>
        <w:autoSpaceDN w:val="0"/>
        <w:adjustRightInd w:val="0"/>
        <w:spacing w:line="240" w:lineRule="auto"/>
        <w:rPr>
          <w:rFonts w:cs="Arial"/>
          <w:color w:val="000000"/>
          <w:sz w:val="22"/>
          <w:szCs w:val="22"/>
        </w:rPr>
      </w:pPr>
    </w:p>
    <w:p w:rsidR="00966864" w:rsidRDefault="00966864" w:rsidP="00532569">
      <w:pPr>
        <w:suppressAutoHyphens/>
        <w:autoSpaceDE w:val="0"/>
        <w:autoSpaceDN w:val="0"/>
        <w:adjustRightInd w:val="0"/>
        <w:spacing w:line="240" w:lineRule="auto"/>
        <w:rPr>
          <w:rFonts w:cs="Arial"/>
          <w:color w:val="000000"/>
          <w:sz w:val="22"/>
          <w:szCs w:val="22"/>
        </w:rPr>
      </w:pPr>
    </w:p>
    <w:p w:rsidR="00841D15" w:rsidRPr="001F05A4" w:rsidRDefault="00966864" w:rsidP="001F05A4">
      <w:pPr>
        <w:spacing w:line="240" w:lineRule="auto"/>
        <w:contextualSpacing/>
        <w:rPr>
          <w:rFonts w:cs="Arial"/>
          <w:b/>
          <w:sz w:val="22"/>
          <w:szCs w:val="22"/>
        </w:rPr>
      </w:pPr>
      <w:r>
        <w:rPr>
          <w:rFonts w:cs="Arial"/>
          <w:b/>
          <w:sz w:val="22"/>
          <w:szCs w:val="22"/>
        </w:rPr>
        <w:t>4.11</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4C7CA8">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4C7CA8">
        <w:rPr>
          <w:rFonts w:cs="Arial"/>
          <w:sz w:val="22"/>
          <w:szCs w:val="22"/>
        </w:rPr>
        <w:t xml:space="preserve"> (Appendix A)</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 xml:space="preserve">Pricing </w:t>
      </w:r>
      <w:r w:rsidR="003B1E38">
        <w:rPr>
          <w:rFonts w:cs="Arial"/>
          <w:sz w:val="22"/>
          <w:szCs w:val="22"/>
        </w:rPr>
        <w:t>Sheet – Full c</w:t>
      </w:r>
      <w:r w:rsidRPr="00841D15">
        <w:rPr>
          <w:rFonts w:cs="Arial"/>
          <w:sz w:val="22"/>
          <w:szCs w:val="22"/>
        </w:rPr>
        <w:t>ost breakdown</w:t>
      </w:r>
      <w:r w:rsidR="004C7CA8">
        <w:rPr>
          <w:rFonts w:cs="Arial"/>
          <w:sz w:val="22"/>
          <w:szCs w:val="22"/>
        </w:rPr>
        <w:t xml:space="preserve"> (Appendix K)</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r w:rsidR="003B1E38">
        <w:rPr>
          <w:rFonts w:cs="Arial"/>
          <w:sz w:val="22"/>
          <w:szCs w:val="22"/>
        </w:rPr>
        <w:t xml:space="preserve"> (response to drawings – Appendix L)</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FA6120" w:rsidP="00A93915">
      <w:pPr>
        <w:pStyle w:val="ListParagraph"/>
        <w:numPr>
          <w:ilvl w:val="2"/>
          <w:numId w:val="21"/>
        </w:numPr>
        <w:spacing w:line="240" w:lineRule="auto"/>
        <w:jc w:val="left"/>
        <w:rPr>
          <w:rFonts w:cs="Arial"/>
          <w:sz w:val="22"/>
          <w:szCs w:val="22"/>
        </w:rPr>
      </w:pPr>
      <w:r>
        <w:rPr>
          <w:rFonts w:cs="Arial"/>
          <w:sz w:val="22"/>
          <w:szCs w:val="22"/>
        </w:rPr>
        <w:t>Acknowl</w:t>
      </w:r>
      <w:r w:rsidR="009F27B6">
        <w:rPr>
          <w:rFonts w:cs="Arial"/>
          <w:sz w:val="22"/>
          <w:szCs w:val="22"/>
        </w:rPr>
        <w:t>ed</w:t>
      </w:r>
      <w:r>
        <w:rPr>
          <w:rFonts w:cs="Arial"/>
          <w:sz w:val="22"/>
          <w:szCs w:val="22"/>
        </w:rPr>
        <w:t xml:space="preserve">gement of </w:t>
      </w:r>
      <w:r w:rsidR="00532569" w:rsidRPr="00532569">
        <w:rPr>
          <w:rFonts w:cs="Arial"/>
          <w:sz w:val="22"/>
          <w:szCs w:val="22"/>
        </w:rPr>
        <w:t>NML Procurement P</w:t>
      </w:r>
      <w:r>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0A02F3" w:rsidRDefault="00532569" w:rsidP="00521A37">
      <w:pPr>
        <w:pStyle w:val="ListParagraph"/>
        <w:numPr>
          <w:ilvl w:val="2"/>
          <w:numId w:val="21"/>
        </w:numPr>
        <w:spacing w:line="240" w:lineRule="auto"/>
        <w:jc w:val="left"/>
        <w:rPr>
          <w:rFonts w:cs="Arial"/>
          <w:sz w:val="22"/>
          <w:szCs w:val="22"/>
        </w:rPr>
      </w:pPr>
      <w:r w:rsidRPr="00532569">
        <w:rPr>
          <w:rFonts w:cs="Arial"/>
          <w:sz w:val="22"/>
          <w:szCs w:val="22"/>
        </w:rPr>
        <w:t>Responses to Appendix B – Requirements Detail</w:t>
      </w:r>
      <w:r w:rsidR="00A02348" w:rsidRPr="000A02F3">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446AD6">
        <w:rPr>
          <w:rFonts w:cs="Arial"/>
          <w:b/>
          <w:sz w:val="22"/>
          <w:szCs w:val="22"/>
        </w:rPr>
        <w:t xml:space="preserve">Requirements </w:t>
      </w:r>
      <w:r w:rsidR="00446AD6" w:rsidRPr="00687E32">
        <w:rPr>
          <w:rFonts w:cs="Arial"/>
          <w:b/>
          <w:sz w:val="22"/>
          <w:szCs w:val="22"/>
        </w:rPr>
        <w:t>De</w:t>
      </w:r>
      <w:r w:rsidR="00446AD6">
        <w:rPr>
          <w:rFonts w:cs="Arial"/>
          <w:b/>
          <w:sz w:val="22"/>
          <w:szCs w:val="22"/>
        </w:rPr>
        <w:t>scription</w:t>
      </w:r>
    </w:p>
    <w:bookmarkEnd w:id="59"/>
    <w:p w:rsidR="005B43E3" w:rsidRDefault="007C38BD" w:rsidP="00521A37">
      <w:pPr>
        <w:spacing w:line="240" w:lineRule="auto"/>
        <w:rPr>
          <w:rFonts w:cs="Arial"/>
          <w:color w:val="000000" w:themeColor="text1"/>
          <w:sz w:val="22"/>
          <w:szCs w:val="22"/>
        </w:rPr>
      </w:pPr>
      <w:r>
        <w:rPr>
          <w:rFonts w:cs="Arial"/>
          <w:color w:val="000000" w:themeColor="text1"/>
          <w:sz w:val="22"/>
          <w:szCs w:val="22"/>
        </w:rPr>
        <w:t xml:space="preserve">We require </w:t>
      </w:r>
      <w:proofErr w:type="spellStart"/>
      <w:r w:rsidR="008E0930">
        <w:rPr>
          <w:rFonts w:cs="Arial"/>
          <w:color w:val="000000" w:themeColor="text1"/>
          <w:sz w:val="22"/>
          <w:szCs w:val="22"/>
        </w:rPr>
        <w:t>set</w:t>
      </w:r>
      <w:r w:rsidR="00A212EF">
        <w:rPr>
          <w:rFonts w:cs="Arial"/>
          <w:color w:val="000000" w:themeColor="text1"/>
          <w:sz w:val="22"/>
          <w:szCs w:val="22"/>
        </w:rPr>
        <w:t>works</w:t>
      </w:r>
      <w:proofErr w:type="spellEnd"/>
      <w:r>
        <w:rPr>
          <w:rFonts w:cs="Arial"/>
          <w:color w:val="000000" w:themeColor="text1"/>
          <w:sz w:val="22"/>
          <w:szCs w:val="22"/>
        </w:rPr>
        <w:t xml:space="preserve"> to be </w:t>
      </w:r>
      <w:r w:rsidR="003B1E38">
        <w:rPr>
          <w:rFonts w:cs="Arial"/>
          <w:color w:val="000000" w:themeColor="text1"/>
          <w:sz w:val="22"/>
          <w:szCs w:val="22"/>
        </w:rPr>
        <w:t>constructed and installed</w:t>
      </w:r>
      <w:r>
        <w:rPr>
          <w:rFonts w:cs="Arial"/>
          <w:color w:val="000000" w:themeColor="text1"/>
          <w:sz w:val="22"/>
          <w:szCs w:val="22"/>
        </w:rPr>
        <w:t xml:space="preserve"> throughout the exhibition space </w:t>
      </w:r>
      <w:r w:rsidR="005B43E3">
        <w:rPr>
          <w:rFonts w:cs="Arial"/>
          <w:color w:val="000000" w:themeColor="text1"/>
          <w:sz w:val="22"/>
          <w:szCs w:val="22"/>
        </w:rPr>
        <w:t xml:space="preserve">including </w:t>
      </w:r>
      <w:r w:rsidR="008E0930">
        <w:rPr>
          <w:rFonts w:cs="Arial"/>
          <w:color w:val="000000" w:themeColor="text1"/>
          <w:sz w:val="22"/>
          <w:szCs w:val="22"/>
        </w:rPr>
        <w:t>walling,</w:t>
      </w:r>
      <w:r w:rsidR="005B43E3">
        <w:rPr>
          <w:rFonts w:cs="Arial"/>
          <w:color w:val="000000" w:themeColor="text1"/>
          <w:sz w:val="22"/>
          <w:szCs w:val="22"/>
        </w:rPr>
        <w:t xml:space="preserve"> structures</w:t>
      </w:r>
      <w:r w:rsidR="00A212EF">
        <w:rPr>
          <w:rFonts w:cs="Arial"/>
          <w:color w:val="000000" w:themeColor="text1"/>
          <w:sz w:val="22"/>
          <w:szCs w:val="22"/>
        </w:rPr>
        <w:t>,</w:t>
      </w:r>
      <w:r w:rsidR="005B43E3">
        <w:rPr>
          <w:rFonts w:cs="Arial"/>
          <w:color w:val="000000" w:themeColor="text1"/>
          <w:sz w:val="22"/>
          <w:szCs w:val="22"/>
        </w:rPr>
        <w:t xml:space="preserve"> dividing screens and plinths</w:t>
      </w:r>
      <w:r w:rsidR="003B1E38">
        <w:rPr>
          <w:rFonts w:cs="Arial"/>
          <w:color w:val="000000" w:themeColor="text1"/>
          <w:sz w:val="22"/>
          <w:szCs w:val="22"/>
        </w:rPr>
        <w:t xml:space="preserve">. </w:t>
      </w:r>
    </w:p>
    <w:p w:rsidR="005B43E3" w:rsidRDefault="005B43E3" w:rsidP="00521A37">
      <w:pPr>
        <w:spacing w:line="240" w:lineRule="auto"/>
        <w:rPr>
          <w:rFonts w:cs="Arial"/>
          <w:color w:val="000000" w:themeColor="text1"/>
          <w:sz w:val="22"/>
          <w:szCs w:val="22"/>
        </w:rPr>
      </w:pPr>
    </w:p>
    <w:p w:rsidR="00DE38F2" w:rsidRDefault="003B1E38" w:rsidP="00521A37">
      <w:pPr>
        <w:spacing w:line="240" w:lineRule="auto"/>
        <w:rPr>
          <w:rFonts w:cs="Arial"/>
          <w:color w:val="000000" w:themeColor="text1"/>
          <w:sz w:val="22"/>
          <w:szCs w:val="22"/>
        </w:rPr>
      </w:pPr>
      <w:r>
        <w:rPr>
          <w:rFonts w:cs="Arial"/>
          <w:color w:val="000000" w:themeColor="text1"/>
          <w:sz w:val="22"/>
          <w:szCs w:val="22"/>
        </w:rPr>
        <w:t>The walling will house display cases and air ventilation units provided by different contractors</w:t>
      </w:r>
      <w:r w:rsidR="005B43E3">
        <w:rPr>
          <w:rFonts w:cs="Arial"/>
          <w:color w:val="000000" w:themeColor="text1"/>
          <w:sz w:val="22"/>
          <w:szCs w:val="22"/>
        </w:rPr>
        <w:t>.</w:t>
      </w:r>
    </w:p>
    <w:p w:rsidR="00446AD6" w:rsidRDefault="00446AD6" w:rsidP="00A93915">
      <w:pPr>
        <w:pStyle w:val="ReportText2"/>
        <w:tabs>
          <w:tab w:val="num" w:pos="0"/>
        </w:tabs>
        <w:spacing w:after="0" w:line="240" w:lineRule="auto"/>
        <w:ind w:left="0"/>
        <w:rPr>
          <w:rFonts w:cs="Arial"/>
          <w:bCs/>
          <w:color w:val="000000" w:themeColor="text1"/>
          <w:sz w:val="22"/>
          <w:szCs w:val="22"/>
        </w:rPr>
      </w:pPr>
    </w:p>
    <w:p w:rsidR="00FA6120" w:rsidRPr="007C38BD" w:rsidRDefault="00A93915" w:rsidP="00A93915">
      <w:pPr>
        <w:pStyle w:val="ReportText2"/>
        <w:tabs>
          <w:tab w:val="num" w:pos="0"/>
        </w:tabs>
        <w:spacing w:after="0" w:line="240" w:lineRule="auto"/>
        <w:ind w:left="0"/>
        <w:rPr>
          <w:rFonts w:cs="Arial"/>
          <w:bCs/>
          <w:color w:val="000000" w:themeColor="text1"/>
          <w:sz w:val="22"/>
          <w:szCs w:val="22"/>
        </w:rPr>
      </w:pPr>
      <w:r w:rsidRPr="007C38BD">
        <w:rPr>
          <w:rFonts w:cs="Arial"/>
          <w:bCs/>
          <w:color w:val="000000" w:themeColor="text1"/>
          <w:sz w:val="22"/>
          <w:szCs w:val="22"/>
        </w:rPr>
        <w:t xml:space="preserve">NML requires the tender submission to detail a solution to </w:t>
      </w:r>
      <w:r w:rsidR="007C38BD" w:rsidRPr="007C38BD">
        <w:rPr>
          <w:rFonts w:cs="Arial"/>
          <w:bCs/>
          <w:color w:val="000000" w:themeColor="text1"/>
          <w:sz w:val="22"/>
          <w:szCs w:val="22"/>
        </w:rPr>
        <w:t>the drawings supplied in Appendix L.</w:t>
      </w:r>
    </w:p>
    <w:p w:rsidR="00A93915" w:rsidRPr="007C38BD" w:rsidRDefault="00FA6120" w:rsidP="00A93915">
      <w:pPr>
        <w:pStyle w:val="ReportText2"/>
        <w:tabs>
          <w:tab w:val="num" w:pos="0"/>
        </w:tabs>
        <w:spacing w:after="0" w:line="240" w:lineRule="auto"/>
        <w:ind w:left="0"/>
        <w:rPr>
          <w:rFonts w:cs="Arial"/>
          <w:bCs/>
          <w:color w:val="000000" w:themeColor="text1"/>
          <w:sz w:val="22"/>
          <w:szCs w:val="22"/>
        </w:rPr>
      </w:pPr>
      <w:r w:rsidRPr="007C38BD">
        <w:rPr>
          <w:rFonts w:cs="Arial"/>
          <w:bCs/>
          <w:color w:val="000000" w:themeColor="text1"/>
          <w:sz w:val="22"/>
          <w:szCs w:val="22"/>
        </w:rPr>
        <w:t xml:space="preserve"> </w:t>
      </w:r>
    </w:p>
    <w:p w:rsidR="00A93915" w:rsidRPr="007C38BD" w:rsidRDefault="00A93915" w:rsidP="00A93915">
      <w:pPr>
        <w:spacing w:line="240" w:lineRule="auto"/>
        <w:contextualSpacing/>
        <w:rPr>
          <w:rFonts w:cs="Arial"/>
          <w:color w:val="000000" w:themeColor="text1"/>
          <w:sz w:val="22"/>
          <w:szCs w:val="22"/>
        </w:rPr>
      </w:pPr>
      <w:r w:rsidRPr="007C38BD">
        <w:rPr>
          <w:rFonts w:cs="Arial"/>
          <w:color w:val="000000" w:themeColor="text1"/>
          <w:sz w:val="22"/>
          <w:szCs w:val="22"/>
        </w:rPr>
        <w:t>NML will require any s</w:t>
      </w:r>
      <w:r w:rsidR="009C41C5" w:rsidRPr="007C38BD">
        <w:rPr>
          <w:rFonts w:cs="Arial"/>
          <w:color w:val="000000" w:themeColor="text1"/>
          <w:sz w:val="22"/>
          <w:szCs w:val="22"/>
        </w:rPr>
        <w:t>olution</w:t>
      </w:r>
      <w:r w:rsidRPr="007C38BD">
        <w:rPr>
          <w:rFonts w:cs="Arial"/>
          <w:color w:val="000000" w:themeColor="text1"/>
          <w:sz w:val="22"/>
          <w:szCs w:val="22"/>
        </w:rPr>
        <w:t xml:space="preserve"> to have a degree of flexibility and be adaptable in accordance</w:t>
      </w:r>
      <w:r w:rsidR="005B43E3">
        <w:rPr>
          <w:rFonts w:cs="Arial"/>
          <w:color w:val="000000" w:themeColor="text1"/>
          <w:sz w:val="22"/>
          <w:szCs w:val="22"/>
        </w:rPr>
        <w:t xml:space="preserve"> with our changing environment</w:t>
      </w:r>
      <w:r w:rsidRPr="007C38BD">
        <w:rPr>
          <w:rFonts w:cs="Arial"/>
          <w:color w:val="000000" w:themeColor="text1"/>
          <w:sz w:val="22"/>
          <w:szCs w:val="22"/>
        </w:rPr>
        <w:t xml:space="preserve"> </w:t>
      </w:r>
    </w:p>
    <w:p w:rsidR="00A93915" w:rsidRPr="008939C1" w:rsidRDefault="00A93915" w:rsidP="00A93915">
      <w:pPr>
        <w:pStyle w:val="ListParagraph"/>
        <w:spacing w:line="240" w:lineRule="auto"/>
        <w:rPr>
          <w:rFonts w:cs="Arial"/>
          <w:sz w:val="22"/>
          <w:szCs w:val="22"/>
        </w:rPr>
      </w:pPr>
    </w:p>
    <w:p w:rsidR="00A93915" w:rsidRPr="008939C1" w:rsidRDefault="00A93915" w:rsidP="00A93915">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097D5A" w:rsidRPr="00687E32" w:rsidRDefault="00097D5A" w:rsidP="00521A37">
      <w:pPr>
        <w:spacing w:line="240" w:lineRule="auto"/>
        <w:jc w:val="left"/>
        <w:rPr>
          <w:rFonts w:cs="Arial"/>
          <w:sz w:val="22"/>
          <w:szCs w:val="22"/>
        </w:rPr>
      </w:pPr>
    </w:p>
    <w:p w:rsidR="00D50B25" w:rsidRPr="00687E32" w:rsidRDefault="00446AD6" w:rsidP="00521A37">
      <w:pPr>
        <w:spacing w:line="240" w:lineRule="auto"/>
        <w:contextualSpacing/>
        <w:rPr>
          <w:rFonts w:cs="Arial"/>
          <w:b/>
          <w:sz w:val="22"/>
          <w:szCs w:val="22"/>
        </w:rPr>
      </w:pPr>
      <w:r>
        <w:rPr>
          <w:rFonts w:cs="Arial"/>
          <w:b/>
          <w:sz w:val="22"/>
          <w:szCs w:val="22"/>
        </w:rPr>
        <w:t>5.2</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D50B25" w:rsidRPr="00503748" w:rsidRDefault="00D50B25" w:rsidP="00921E38">
      <w:pPr>
        <w:spacing w:line="240" w:lineRule="auto"/>
        <w:contextualSpacing/>
        <w:rPr>
          <w:rFonts w:cs="Arial"/>
          <w:color w:val="000000" w:themeColor="text1"/>
          <w:sz w:val="22"/>
          <w:szCs w:val="22"/>
        </w:rPr>
      </w:pPr>
      <w:r w:rsidRPr="00503748">
        <w:rPr>
          <w:rFonts w:cs="Arial"/>
          <w:color w:val="000000" w:themeColor="text1"/>
          <w:sz w:val="22"/>
          <w:szCs w:val="22"/>
        </w:rPr>
        <w:t xml:space="preserve">NML expects the installation of the </w:t>
      </w:r>
      <w:r w:rsidR="00202C78">
        <w:rPr>
          <w:rFonts w:cs="Arial"/>
          <w:color w:val="000000" w:themeColor="text1"/>
          <w:sz w:val="22"/>
          <w:szCs w:val="22"/>
        </w:rPr>
        <w:t>set works</w:t>
      </w:r>
      <w:r w:rsidRPr="00503748">
        <w:rPr>
          <w:rFonts w:cs="Arial"/>
          <w:color w:val="000000" w:themeColor="text1"/>
          <w:sz w:val="22"/>
          <w:szCs w:val="22"/>
        </w:rPr>
        <w:t xml:space="preserve"> to cause minimum disruption or disturbance in the venues. NML would expect the system to be fully installed, tested and operational in order to minimise the disruption. </w:t>
      </w:r>
    </w:p>
    <w:p w:rsidR="00D50B25" w:rsidRPr="00503748" w:rsidRDefault="00D50B25" w:rsidP="00921E38">
      <w:pPr>
        <w:spacing w:line="240" w:lineRule="auto"/>
        <w:contextualSpacing/>
        <w:rPr>
          <w:rFonts w:cs="Arial"/>
          <w:color w:val="000000" w:themeColor="text1"/>
          <w:sz w:val="22"/>
          <w:szCs w:val="22"/>
        </w:rPr>
      </w:pPr>
    </w:p>
    <w:p w:rsidR="00532569" w:rsidRPr="00503748" w:rsidRDefault="00532569" w:rsidP="00532569">
      <w:pPr>
        <w:spacing w:line="240" w:lineRule="auto"/>
        <w:contextualSpacing/>
        <w:rPr>
          <w:rFonts w:cs="Arial"/>
          <w:color w:val="000000" w:themeColor="text1"/>
          <w:sz w:val="22"/>
          <w:szCs w:val="22"/>
        </w:rPr>
      </w:pPr>
      <w:r w:rsidRPr="00503748">
        <w:rPr>
          <w:rFonts w:cs="Arial"/>
          <w:color w:val="000000" w:themeColor="text1"/>
          <w:sz w:val="22"/>
          <w:szCs w:val="22"/>
        </w:rPr>
        <w:t>NML expects the implementation of the solution to be fully project managed, ensuring that the required delivery dates are met.</w:t>
      </w:r>
    </w:p>
    <w:p w:rsidR="00532569" w:rsidRPr="00503748" w:rsidRDefault="00532569" w:rsidP="00532569">
      <w:pPr>
        <w:spacing w:line="240" w:lineRule="auto"/>
        <w:contextualSpacing/>
        <w:rPr>
          <w:rFonts w:cs="Arial"/>
          <w:color w:val="000000" w:themeColor="text1"/>
          <w:sz w:val="22"/>
          <w:szCs w:val="22"/>
        </w:rPr>
      </w:pPr>
    </w:p>
    <w:p w:rsidR="00532569" w:rsidRPr="00503748" w:rsidRDefault="00532569" w:rsidP="00532569">
      <w:pPr>
        <w:spacing w:line="240" w:lineRule="auto"/>
        <w:contextualSpacing/>
        <w:rPr>
          <w:rFonts w:cs="Arial"/>
          <w:color w:val="000000" w:themeColor="text1"/>
          <w:sz w:val="22"/>
          <w:szCs w:val="22"/>
        </w:rPr>
      </w:pPr>
      <w:r w:rsidRPr="00503748">
        <w:rPr>
          <w:rFonts w:cs="Arial"/>
          <w:color w:val="000000" w:themeColor="text1"/>
          <w:sz w:val="22"/>
          <w:szCs w:val="22"/>
        </w:rPr>
        <w:t xml:space="preserve">NML also expect the implementation to include the appropriate levels of on-site presence to ensure smooth delivery of key stages, specifically go-live. </w:t>
      </w: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bookmarkEnd w:id="60"/>
    <w:p w:rsidR="009F4167" w:rsidRPr="00503748" w:rsidRDefault="009F4167" w:rsidP="00503748"/>
    <w:sectPr w:rsidR="009F4167" w:rsidRPr="00503748"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B6" w:rsidRDefault="009F27B6">
      <w:r>
        <w:separator/>
      </w:r>
    </w:p>
  </w:endnote>
  <w:endnote w:type="continuationSeparator" w:id="0">
    <w:p w:rsidR="009F27B6" w:rsidRDefault="009F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9F27B6" w:rsidTr="00BE66F7">
      <w:trPr>
        <w:trHeight w:val="1279"/>
      </w:trPr>
      <w:tc>
        <w:tcPr>
          <w:tcW w:w="250" w:type="dxa"/>
        </w:tcPr>
        <w:p w:rsidR="009F27B6" w:rsidRDefault="009F27B6">
          <w:pPr>
            <w:tabs>
              <w:tab w:val="left" w:pos="5792"/>
            </w:tabs>
            <w:spacing w:line="240" w:lineRule="auto"/>
            <w:rPr>
              <w:rFonts w:cs="Arial"/>
              <w:sz w:val="16"/>
            </w:rPr>
          </w:pPr>
        </w:p>
      </w:tc>
      <w:tc>
        <w:tcPr>
          <w:tcW w:w="8363" w:type="dxa"/>
        </w:tcPr>
        <w:p w:rsidR="009F27B6" w:rsidRPr="008669A6" w:rsidRDefault="009F27B6" w:rsidP="008669A6">
          <w:pPr>
            <w:tabs>
              <w:tab w:val="left" w:pos="5792"/>
            </w:tabs>
            <w:spacing w:line="240" w:lineRule="auto"/>
            <w:rPr>
              <w:rFonts w:cs="Arial"/>
              <w:b/>
              <w:bCs/>
              <w:color w:val="00001C"/>
              <w:sz w:val="15"/>
            </w:rPr>
          </w:pPr>
        </w:p>
      </w:tc>
    </w:tr>
  </w:tbl>
  <w:p w:rsidR="009F27B6" w:rsidRDefault="009F27B6">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9F27B6">
      <w:trPr>
        <w:cantSplit/>
      </w:trPr>
      <w:tc>
        <w:tcPr>
          <w:tcW w:w="4644" w:type="dxa"/>
          <w:vAlign w:val="center"/>
        </w:tcPr>
        <w:p w:rsidR="009F27B6" w:rsidRDefault="009F27B6">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9F27B6" w:rsidRDefault="009F27B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446AD6">
            <w:rPr>
              <w:rStyle w:val="PageNumber"/>
              <w:noProof/>
            </w:rPr>
            <w:t>5</w:t>
          </w:r>
          <w:r>
            <w:rPr>
              <w:rStyle w:val="PageNumber"/>
            </w:rPr>
            <w:fldChar w:fldCharType="end"/>
          </w:r>
        </w:p>
      </w:tc>
    </w:tr>
  </w:tbl>
  <w:p w:rsidR="009F27B6" w:rsidRDefault="009F2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B6" w:rsidRDefault="009F27B6">
      <w:r>
        <w:separator/>
      </w:r>
    </w:p>
  </w:footnote>
  <w:footnote w:type="continuationSeparator" w:id="0">
    <w:p w:rsidR="009F27B6" w:rsidRDefault="009F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9F27B6">
      <w:tc>
        <w:tcPr>
          <w:tcW w:w="8472" w:type="dxa"/>
          <w:tcMar>
            <w:right w:w="28" w:type="dxa"/>
          </w:tcMar>
        </w:tcPr>
        <w:p w:rsidR="009F27B6" w:rsidRDefault="009F27B6">
          <w:pPr>
            <w:tabs>
              <w:tab w:val="left" w:pos="828"/>
              <w:tab w:val="right" w:pos="9152"/>
            </w:tabs>
            <w:rPr>
              <w:rFonts w:cs="Arial"/>
              <w:sz w:val="12"/>
            </w:rPr>
          </w:pPr>
        </w:p>
      </w:tc>
    </w:tr>
  </w:tbl>
  <w:p w:rsidR="009F27B6" w:rsidRDefault="009F27B6">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30"/>
  </w:num>
  <w:num w:numId="3">
    <w:abstractNumId w:val="34"/>
  </w:num>
  <w:num w:numId="4">
    <w:abstractNumId w:val="36"/>
  </w:num>
  <w:num w:numId="5">
    <w:abstractNumId w:val="7"/>
  </w:num>
  <w:num w:numId="6">
    <w:abstractNumId w:val="31"/>
  </w:num>
  <w:num w:numId="7">
    <w:abstractNumId w:val="29"/>
  </w:num>
  <w:num w:numId="8">
    <w:abstractNumId w:val="18"/>
  </w:num>
  <w:num w:numId="9">
    <w:abstractNumId w:val="35"/>
  </w:num>
  <w:num w:numId="10">
    <w:abstractNumId w:val="21"/>
  </w:num>
  <w:num w:numId="11">
    <w:abstractNumId w:val="15"/>
  </w:num>
  <w:num w:numId="12">
    <w:abstractNumId w:val="13"/>
  </w:num>
  <w:num w:numId="13">
    <w:abstractNumId w:val="20"/>
  </w:num>
  <w:num w:numId="14">
    <w:abstractNumId w:val="0"/>
  </w:num>
  <w:num w:numId="15">
    <w:abstractNumId w:val="26"/>
  </w:num>
  <w:num w:numId="16">
    <w:abstractNumId w:val="23"/>
  </w:num>
  <w:num w:numId="17">
    <w:abstractNumId w:val="17"/>
  </w:num>
  <w:num w:numId="18">
    <w:abstractNumId w:val="33"/>
  </w:num>
  <w:num w:numId="19">
    <w:abstractNumId w:val="32"/>
  </w:num>
  <w:num w:numId="20">
    <w:abstractNumId w:val="8"/>
  </w:num>
  <w:num w:numId="21">
    <w:abstractNumId w:val="22"/>
  </w:num>
  <w:num w:numId="22">
    <w:abstractNumId w:val="3"/>
  </w:num>
  <w:num w:numId="23">
    <w:abstractNumId w:val="2"/>
  </w:num>
  <w:num w:numId="24">
    <w:abstractNumId w:val="9"/>
  </w:num>
  <w:num w:numId="25">
    <w:abstractNumId w:val="28"/>
  </w:num>
  <w:num w:numId="26">
    <w:abstractNumId w:val="6"/>
  </w:num>
  <w:num w:numId="27">
    <w:abstractNumId w:val="11"/>
  </w:num>
  <w:num w:numId="28">
    <w:abstractNumId w:val="16"/>
  </w:num>
  <w:num w:numId="29">
    <w:abstractNumId w:val="10"/>
  </w:num>
  <w:num w:numId="30">
    <w:abstractNumId w:val="14"/>
  </w:num>
  <w:num w:numId="31">
    <w:abstractNumId w:val="25"/>
  </w:num>
  <w:num w:numId="32">
    <w:abstractNumId w:val="4"/>
  </w:num>
  <w:num w:numId="33">
    <w:abstractNumId w:val="5"/>
  </w:num>
  <w:num w:numId="34">
    <w:abstractNumId w:val="24"/>
  </w:num>
  <w:num w:numId="35">
    <w:abstractNumId w:val="27"/>
  </w:num>
  <w:num w:numId="3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88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02F3"/>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712"/>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2C78"/>
    <w:rsid w:val="00205647"/>
    <w:rsid w:val="00205EE1"/>
    <w:rsid w:val="0022572B"/>
    <w:rsid w:val="002259E4"/>
    <w:rsid w:val="00226DB5"/>
    <w:rsid w:val="00227502"/>
    <w:rsid w:val="00230353"/>
    <w:rsid w:val="002310CD"/>
    <w:rsid w:val="00231B1F"/>
    <w:rsid w:val="00235F5B"/>
    <w:rsid w:val="002412CC"/>
    <w:rsid w:val="0024561A"/>
    <w:rsid w:val="0024564C"/>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664"/>
    <w:rsid w:val="003477D2"/>
    <w:rsid w:val="00352811"/>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1E38"/>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4506"/>
    <w:rsid w:val="004403E2"/>
    <w:rsid w:val="00441883"/>
    <w:rsid w:val="00443DB0"/>
    <w:rsid w:val="00443FA2"/>
    <w:rsid w:val="00444C39"/>
    <w:rsid w:val="00446AD6"/>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759D8"/>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CA8"/>
    <w:rsid w:val="004C7FF0"/>
    <w:rsid w:val="004D1D9E"/>
    <w:rsid w:val="004D67CA"/>
    <w:rsid w:val="004D7061"/>
    <w:rsid w:val="004D7A8D"/>
    <w:rsid w:val="004E0330"/>
    <w:rsid w:val="004E0580"/>
    <w:rsid w:val="004E121E"/>
    <w:rsid w:val="004E5800"/>
    <w:rsid w:val="004E5C69"/>
    <w:rsid w:val="004E6B53"/>
    <w:rsid w:val="004E6FB6"/>
    <w:rsid w:val="004F3875"/>
    <w:rsid w:val="004F7E85"/>
    <w:rsid w:val="0050005A"/>
    <w:rsid w:val="00500B8B"/>
    <w:rsid w:val="00501CD2"/>
    <w:rsid w:val="00503748"/>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0B46"/>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3E3"/>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54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289D"/>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38BD"/>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2730D"/>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687B"/>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930"/>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16AAB"/>
    <w:rsid w:val="00921E38"/>
    <w:rsid w:val="00932098"/>
    <w:rsid w:val="009337C7"/>
    <w:rsid w:val="0093544D"/>
    <w:rsid w:val="009367CA"/>
    <w:rsid w:val="00940E00"/>
    <w:rsid w:val="00944136"/>
    <w:rsid w:val="00944960"/>
    <w:rsid w:val="00945493"/>
    <w:rsid w:val="00955446"/>
    <w:rsid w:val="0095609D"/>
    <w:rsid w:val="00956CA3"/>
    <w:rsid w:val="00966864"/>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27B6"/>
    <w:rsid w:val="009F36CD"/>
    <w:rsid w:val="009F4167"/>
    <w:rsid w:val="009F4CA5"/>
    <w:rsid w:val="00A00E49"/>
    <w:rsid w:val="00A02348"/>
    <w:rsid w:val="00A0751F"/>
    <w:rsid w:val="00A107F0"/>
    <w:rsid w:val="00A13A86"/>
    <w:rsid w:val="00A1640C"/>
    <w:rsid w:val="00A204DD"/>
    <w:rsid w:val="00A212EF"/>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4DD9"/>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3F50"/>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0490"/>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2D06"/>
    <w:rsid w:val="00C430C9"/>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5C7E"/>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2BCA"/>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304"/>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79E"/>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1B8C"/>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lucy.johnson@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E0AD4-F392-4D08-9B5B-8123E217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16</Pages>
  <Words>4846</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30963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29</cp:revision>
  <cp:lastPrinted>2017-09-06T12:43:00Z</cp:lastPrinted>
  <dcterms:created xsi:type="dcterms:W3CDTF">2017-08-30T12:41:00Z</dcterms:created>
  <dcterms:modified xsi:type="dcterms:W3CDTF">2017-09-14T07:51:00Z</dcterms:modified>
</cp:coreProperties>
</file>