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rsidR="00BA1C0D" w:rsidRDefault="00BA1C0D" w:rsidP="00D71D71">
      <w:pPr>
        <w:rPr>
          <w:rFonts w:ascii="Arial" w:hAnsi="Arial" w:cs="Arial"/>
          <w:b/>
          <w:sz w:val="28"/>
          <w:szCs w:val="28"/>
        </w:rPr>
      </w:pPr>
    </w:p>
    <w:p w:rsidR="00D71D71" w:rsidRDefault="00D71D71" w:rsidP="00D71D71">
      <w:pPr>
        <w:jc w:val="center"/>
        <w:rPr>
          <w:rFonts w:ascii="Arial" w:hAnsi="Arial" w:cs="Arial"/>
          <w:b/>
          <w:sz w:val="28"/>
          <w:szCs w:val="28"/>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rsidR="00D71D71" w:rsidRDefault="00D71D71" w:rsidP="00D71D71">
      <w:pPr>
        <w:pStyle w:val="Bodycopy"/>
        <w:rPr>
          <w:b/>
          <w:color w:val="8F23B3"/>
          <w:sz w:val="22"/>
          <w:szCs w:val="22"/>
        </w:rPr>
      </w:pPr>
    </w:p>
    <w:p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Definition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Border Force (Part of the Home Office)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Control and Restraint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Closed-Circuit Television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Child(ren)</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Chief 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Criminal Records Bureau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Those languages as directed by the Secretary of State for the translation of specified information provided to Detainees.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DfT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Department for Transport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Detention Services Order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Staff provided by the Service Provider and/or Home Office for the purposes of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Her Majesty’s Revenue &amp; Customs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Independent Monitoring Board, which is the committee appointed by the Secretary of State in accordance with Section 152 of the Immigration and Asylum Act 1999</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Low Voltage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Written document produced by the Authority instructing the Service Provider to carry out a specific Escort requirement.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Authority, in accordance with the criteria set out in incident reporting DSOs.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Any visitor so notified as such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Authority, or notified as such by the Authority.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Physical Control in Care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When the Service Provider has failed to provide the Escorting Services to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TSFNP</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Time-Served Foreign National Prisoner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United Kingdom Border Agency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Crown servant or servants appointed by the Authority as a Contract Monitor in accordance with section 149(4) of the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Notification to the Service Provider’s Operational Control Centre that the Service is unavailable when required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rsidR="00D71D71" w:rsidRDefault="00D71D71" w:rsidP="00D71D71">
      <w:pPr>
        <w:pStyle w:val="Bodycopy"/>
        <w:rPr>
          <w:color w:val="000000"/>
          <w:sz w:val="22"/>
          <w:szCs w:val="22"/>
        </w:rPr>
      </w:pPr>
    </w:p>
    <w:p w:rsidR="00D71D71" w:rsidRDefault="00D71D71" w:rsidP="00D71D71">
      <w:pPr>
        <w:pStyle w:val="Subheading1"/>
        <w:ind w:left="1418"/>
        <w:rPr>
          <w:sz w:val="22"/>
          <w:szCs w:val="22"/>
        </w:rPr>
      </w:pPr>
    </w:p>
    <w:p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rsidR="00D71D71" w:rsidRDefault="00D71D71" w:rsidP="00D71D71">
      <w:pPr>
        <w:pStyle w:val="Bodycopy"/>
        <w:rPr>
          <w:sz w:val="22"/>
          <w:szCs w:val="22"/>
        </w:rPr>
      </w:pPr>
    </w:p>
    <w:p w:rsidR="00D71D71" w:rsidRDefault="00D71D71" w:rsidP="00D71D71">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 xml:space="preserve">Border Force is a professional law enforcement command within the Home Office. </w:t>
      </w:r>
    </w:p>
    <w:p w:rsidR="00D71D71" w:rsidRDefault="00D71D71" w:rsidP="00D71D71">
      <w:pPr>
        <w:pStyle w:val="NormalWeb"/>
        <w:shd w:val="clear" w:color="auto" w:fill="FFFFFF"/>
        <w:spacing w:line="264" w:lineRule="atLeast"/>
        <w:ind w:left="1418"/>
        <w:rPr>
          <w:rFonts w:ascii="Arial" w:hAnsi="Arial" w:cs="Arial"/>
          <w:color w:val="000000"/>
          <w:sz w:val="22"/>
          <w:szCs w:val="22"/>
        </w:rPr>
      </w:pPr>
      <w:r>
        <w:rPr>
          <w:rFonts w:ascii="Arial" w:hAnsi="Arial" w:cs="Arial"/>
          <w:color w:val="000000"/>
          <w:sz w:val="22"/>
          <w:szCs w:val="22"/>
        </w:rPr>
        <w:t>It has approximately 8,000 officers, responsible for securing the UK border and   controlling migration at 138 ports and airports across the UK and overseas.</w:t>
      </w:r>
    </w:p>
    <w:p w:rsidR="00D71D71" w:rsidRDefault="00D71D71" w:rsidP="00D71D71">
      <w:pPr>
        <w:pStyle w:val="NormalWeb"/>
        <w:shd w:val="clear" w:color="auto" w:fill="FFFFFF"/>
        <w:tabs>
          <w:tab w:val="left" w:pos="1134"/>
        </w:tabs>
        <w:spacing w:line="264" w:lineRule="atLeast"/>
        <w:ind w:left="1418" w:hanging="851"/>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 contributes to all three of the Home Office strategic objectives:</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cut crime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reduce immigration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prevent terrorism </w:t>
      </w:r>
    </w:p>
    <w:p w:rsidR="00D71D71" w:rsidRDefault="00D71D71" w:rsidP="00D71D71">
      <w:pPr>
        <w:shd w:val="clear" w:color="auto" w:fill="FFFFFF"/>
        <w:spacing w:line="264" w:lineRule="atLeast"/>
        <w:ind w:left="375"/>
        <w:rPr>
          <w:rFonts w:ascii="Arial" w:hAnsi="Arial" w:cs="Arial"/>
          <w:color w:val="000000"/>
          <w:sz w:val="22"/>
          <w:szCs w:val="22"/>
        </w:rPr>
      </w:pPr>
    </w:p>
    <w:p w:rsidR="00D71D71" w:rsidRDefault="00D71D71" w:rsidP="00D71D71">
      <w:pPr>
        <w:pStyle w:val="NormalWeb"/>
        <w:shd w:val="clear" w:color="auto" w:fill="FFFFFF"/>
        <w:tabs>
          <w:tab w:val="left" w:pos="1418"/>
        </w:tabs>
        <w:spacing w:line="264" w:lineRule="atLeast"/>
        <w:ind w:firstLine="72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Force's strategic aim is:</w:t>
      </w:r>
    </w:p>
    <w:p w:rsidR="00D71D71" w:rsidRDefault="00D71D71" w:rsidP="00D71D71">
      <w:pPr>
        <w:pStyle w:val="NormalWeb"/>
        <w:numPr>
          <w:ilvl w:val="0"/>
          <w:numId w:val="6"/>
        </w:numPr>
        <w:shd w:val="clear" w:color="auto" w:fill="FFFFFF"/>
        <w:spacing w:line="264" w:lineRule="atLeast"/>
        <w:ind w:left="1985" w:hanging="284"/>
        <w:rPr>
          <w:rFonts w:ascii="Arial" w:hAnsi="Arial" w:cs="Arial"/>
          <w:color w:val="000000"/>
          <w:sz w:val="22"/>
          <w:szCs w:val="22"/>
        </w:rPr>
      </w:pPr>
      <w:r>
        <w:rPr>
          <w:rFonts w:ascii="Arial" w:hAnsi="Arial" w:cs="Arial"/>
          <w:color w:val="000000"/>
          <w:sz w:val="22"/>
          <w:szCs w:val="22"/>
        </w:rPr>
        <w:t xml:space="preserve">To secure the United Kingdom's border and promote national prosperity. </w:t>
      </w:r>
    </w:p>
    <w:p w:rsidR="00D71D71" w:rsidRDefault="00D71D71" w:rsidP="00D71D71">
      <w:pPr>
        <w:pStyle w:val="NormalWeb"/>
        <w:shd w:val="clear" w:color="auto" w:fill="FFFFFF"/>
        <w:spacing w:line="264" w:lineRule="atLeast"/>
        <w:ind w:left="1134"/>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Border Force's strategic objectives are:</w:t>
      </w:r>
    </w:p>
    <w:p w:rsidR="00D71D71" w:rsidRDefault="00D71D71" w:rsidP="00D71D71">
      <w:pPr>
        <w:pStyle w:val="Default"/>
        <w:numPr>
          <w:ilvl w:val="0"/>
          <w:numId w:val="6"/>
        </w:numPr>
        <w:tabs>
          <w:tab w:val="left" w:pos="567"/>
        </w:tabs>
        <w:ind w:left="1985" w:hanging="284"/>
        <w:rPr>
          <w:sz w:val="22"/>
          <w:szCs w:val="22"/>
        </w:rPr>
      </w:pPr>
      <w:r>
        <w:rPr>
          <w:sz w:val="22"/>
          <w:szCs w:val="22"/>
        </w:rPr>
        <w:t>To deter and prevent individuals and goods that would harm the national interest from entering the UK.</w:t>
      </w:r>
    </w:p>
    <w:p w:rsidR="00D71D71" w:rsidRDefault="00D71D71" w:rsidP="00D71D71">
      <w:pPr>
        <w:pStyle w:val="Default"/>
        <w:numPr>
          <w:ilvl w:val="0"/>
          <w:numId w:val="6"/>
        </w:numPr>
        <w:tabs>
          <w:tab w:val="left" w:pos="567"/>
        </w:tabs>
        <w:ind w:left="1985" w:hanging="284"/>
        <w:rPr>
          <w:sz w:val="22"/>
          <w:szCs w:val="22"/>
        </w:rPr>
      </w:pPr>
      <w:r>
        <w:rPr>
          <w:sz w:val="22"/>
          <w:szCs w:val="22"/>
        </w:rPr>
        <w:t>To facilitate the legitimate movement of individuals and trade to and from the UK.</w:t>
      </w:r>
    </w:p>
    <w:p w:rsidR="00D71D71" w:rsidRDefault="00D71D71" w:rsidP="00D71D71">
      <w:pPr>
        <w:pStyle w:val="Default"/>
        <w:numPr>
          <w:ilvl w:val="0"/>
          <w:numId w:val="6"/>
        </w:numPr>
        <w:tabs>
          <w:tab w:val="left" w:pos="567"/>
        </w:tabs>
        <w:ind w:left="1985" w:hanging="284"/>
        <w:rPr>
          <w:sz w:val="22"/>
          <w:szCs w:val="22"/>
        </w:rPr>
      </w:pPr>
      <w:r>
        <w:rPr>
          <w:sz w:val="22"/>
          <w:szCs w:val="22"/>
        </w:rPr>
        <w:t xml:space="preserve">To protect and collect customs revenues from trade crossing the border. </w:t>
      </w:r>
    </w:p>
    <w:p w:rsidR="00D71D71" w:rsidRDefault="00D71D71" w:rsidP="00D71D71">
      <w:pPr>
        <w:pStyle w:val="Default"/>
        <w:numPr>
          <w:ilvl w:val="0"/>
          <w:numId w:val="6"/>
        </w:numPr>
        <w:tabs>
          <w:tab w:val="left" w:pos="567"/>
        </w:tabs>
        <w:ind w:left="1985" w:hanging="284"/>
        <w:rPr>
          <w:sz w:val="22"/>
          <w:szCs w:val="22"/>
        </w:rPr>
      </w:pPr>
      <w:r>
        <w:rPr>
          <w:sz w:val="22"/>
          <w:szCs w:val="22"/>
        </w:rPr>
        <w:t>To provide excellent service to customers.</w:t>
      </w:r>
    </w:p>
    <w:p w:rsidR="00D71D71" w:rsidRDefault="00D71D71" w:rsidP="00D71D71">
      <w:pPr>
        <w:pStyle w:val="Default"/>
        <w:numPr>
          <w:ilvl w:val="0"/>
          <w:numId w:val="6"/>
        </w:numPr>
        <w:tabs>
          <w:tab w:val="left" w:pos="567"/>
        </w:tabs>
        <w:ind w:left="1985" w:hanging="284"/>
        <w:rPr>
          <w:sz w:val="22"/>
          <w:szCs w:val="22"/>
        </w:rPr>
      </w:pPr>
      <w:r>
        <w:rPr>
          <w:sz w:val="22"/>
          <w:szCs w:val="22"/>
        </w:rPr>
        <w:t>To provide demonstrable effectiveness, efficiency and value for money.</w:t>
      </w:r>
    </w:p>
    <w:p w:rsidR="00CF43C7" w:rsidRDefault="00CF43C7">
      <w:pPr>
        <w:rPr>
          <w:rFonts w:ascii="Arial" w:hAnsi="Arial" w:cs="Arial"/>
          <w:b/>
          <w:color w:val="8F23B3"/>
          <w:sz w:val="22"/>
          <w:szCs w:val="22"/>
        </w:rPr>
      </w:pPr>
      <w:r>
        <w:rPr>
          <w:sz w:val="22"/>
          <w:szCs w:val="22"/>
        </w:rPr>
        <w:br w:type="page"/>
      </w:r>
    </w:p>
    <w:p w:rsidR="00D71D71" w:rsidRDefault="00D71D71" w:rsidP="00D71D71">
      <w:pPr>
        <w:pStyle w:val="Subheading1"/>
        <w:ind w:left="1418" w:hanging="851"/>
        <w:rPr>
          <w:sz w:val="22"/>
          <w:szCs w:val="22"/>
        </w:rPr>
      </w:pPr>
    </w:p>
    <w:p w:rsidR="00D71D71" w:rsidRDefault="00D71D71" w:rsidP="00D71D71">
      <w:pPr>
        <w:pStyle w:val="Subheading1"/>
        <w:numPr>
          <w:ilvl w:val="0"/>
          <w:numId w:val="2"/>
        </w:numPr>
        <w:ind w:left="1418" w:hanging="851"/>
        <w:rPr>
          <w:sz w:val="22"/>
          <w:szCs w:val="22"/>
        </w:rPr>
      </w:pPr>
      <w:r>
        <w:rPr>
          <w:sz w:val="22"/>
          <w:szCs w:val="22"/>
        </w:rPr>
        <w:t>Purpose</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Coverage must be on an ‘as required’ basis, with a 30 minute response time, 7 days a week, 365/366 days a year covering a 24 hour period. This will include the requirement to provide suitably trained staff for detention, escorting and removal onto ferries</w:t>
      </w:r>
      <w:r w:rsidR="00213C30">
        <w:rPr>
          <w:sz w:val="22"/>
          <w:szCs w:val="22"/>
        </w:rPr>
        <w:t>.</w:t>
      </w:r>
    </w:p>
    <w:p w:rsidR="00213C30" w:rsidRDefault="00213C30" w:rsidP="00213C30">
      <w:pPr>
        <w:pStyle w:val="ListParagraph"/>
        <w:rPr>
          <w:sz w:val="22"/>
          <w:szCs w:val="22"/>
        </w:rPr>
      </w:pPr>
    </w:p>
    <w:p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June 2018 to 31</w:t>
      </w:r>
      <w:r w:rsidRPr="00213C30">
        <w:rPr>
          <w:sz w:val="22"/>
          <w:szCs w:val="22"/>
          <w:vertAlign w:val="superscript"/>
        </w:rPr>
        <w:t>st</w:t>
      </w:r>
      <w:r>
        <w:rPr>
          <w:sz w:val="22"/>
          <w:szCs w:val="22"/>
        </w:rPr>
        <w:t xml:space="preserve"> May 2021.</w:t>
      </w:r>
    </w:p>
    <w:p w:rsidR="00D71D71" w:rsidRDefault="00D71D71" w:rsidP="00D71D71">
      <w:pPr>
        <w:pStyle w:val="Default"/>
        <w:ind w:left="1418" w:hanging="851"/>
        <w:rPr>
          <w:sz w:val="22"/>
          <w:szCs w:val="22"/>
        </w:rPr>
      </w:pPr>
    </w:p>
    <w:p w:rsidR="00D71D71" w:rsidRDefault="00D71D71" w:rsidP="00D71D71">
      <w:pPr>
        <w:pStyle w:val="Default"/>
        <w:ind w:left="1418" w:hanging="851"/>
        <w:rPr>
          <w:b/>
          <w:bCs/>
          <w:sz w:val="22"/>
          <w:szCs w:val="22"/>
        </w:rPr>
      </w:pPr>
    </w:p>
    <w:p w:rsidR="00D71D71" w:rsidRDefault="00D71D71" w:rsidP="00D71D71">
      <w:pPr>
        <w:pStyle w:val="Subheading1"/>
        <w:numPr>
          <w:ilvl w:val="0"/>
          <w:numId w:val="2"/>
        </w:numPr>
        <w:ind w:left="1418" w:hanging="851"/>
        <w:rPr>
          <w:sz w:val="22"/>
          <w:szCs w:val="22"/>
        </w:rPr>
      </w:pPr>
      <w:r>
        <w:rPr>
          <w:sz w:val="22"/>
          <w:szCs w:val="22"/>
        </w:rPr>
        <w:t>Background to the Authority</w:t>
      </w:r>
    </w:p>
    <w:p w:rsidR="00D71D71" w:rsidRDefault="00D71D71" w:rsidP="00D71D71">
      <w:pPr>
        <w:pStyle w:val="Bodycopy"/>
        <w:ind w:left="1418" w:hanging="851"/>
        <w:rPr>
          <w:sz w:val="22"/>
          <w:szCs w:val="22"/>
        </w:rPr>
      </w:pPr>
    </w:p>
    <w:p w:rsidR="00D71D71" w:rsidRDefault="00D71D71" w:rsidP="00C45A5B">
      <w:pPr>
        <w:pStyle w:val="Default"/>
        <w:numPr>
          <w:ilvl w:val="1"/>
          <w:numId w:val="2"/>
        </w:numPr>
        <w:ind w:left="1418" w:hanging="851"/>
        <w:jc w:val="both"/>
        <w:rPr>
          <w:sz w:val="22"/>
          <w:szCs w:val="22"/>
        </w:rPr>
      </w:pPr>
      <w:r>
        <w:rPr>
          <w:bCs/>
          <w:sz w:val="22"/>
          <w:szCs w:val="22"/>
        </w:rPr>
        <w:t>The Home Office</w:t>
      </w:r>
      <w:r>
        <w:rPr>
          <w:sz w:val="22"/>
          <w:szCs w:val="22"/>
        </w:rPr>
        <w:t xml:space="preserve"> is a ministerial department of the Government of the United Kingdom responsible for immigration, security and law </w:t>
      </w:r>
      <w:r w:rsidR="008D2A02">
        <w:rPr>
          <w:sz w:val="22"/>
          <w:szCs w:val="22"/>
        </w:rPr>
        <w:t>&amp;</w:t>
      </w:r>
      <w:r>
        <w:rPr>
          <w:sz w:val="22"/>
          <w:szCs w:val="22"/>
        </w:rPr>
        <w:t xml:space="preserve"> order.</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rsidR="00D71D71" w:rsidRDefault="00D71D71" w:rsidP="00D71D71">
      <w:pPr>
        <w:pStyle w:val="Default"/>
        <w:ind w:left="1418" w:hanging="851"/>
        <w:rPr>
          <w:sz w:val="22"/>
          <w:szCs w:val="22"/>
        </w:rPr>
      </w:pPr>
      <w:r>
        <w:rPr>
          <w:sz w:val="22"/>
          <w:szCs w:val="22"/>
        </w:rPr>
        <w:t>.</w:t>
      </w:r>
    </w:p>
    <w:p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office on a national basis are responsible for the removal of detained persons from the Harwich short term holding facility to another detention facility; Police Station; or location as deemed necessary. </w:t>
      </w:r>
    </w:p>
    <w:p w:rsidR="00D71D71" w:rsidRDefault="00D71D71" w:rsidP="00D71D71">
      <w:pPr>
        <w:pStyle w:val="Default"/>
        <w:rPr>
          <w:sz w:val="22"/>
          <w:szCs w:val="22"/>
        </w:rPr>
      </w:pPr>
    </w:p>
    <w:p w:rsidR="00CF43C7" w:rsidRDefault="00CF43C7" w:rsidP="00D71D71">
      <w:pPr>
        <w:pStyle w:val="Default"/>
        <w:rPr>
          <w:sz w:val="22"/>
          <w:szCs w:val="22"/>
        </w:rPr>
      </w:pPr>
    </w:p>
    <w:p w:rsidR="00D71D71" w:rsidRDefault="00D71D71" w:rsidP="00D71D71">
      <w:pPr>
        <w:pStyle w:val="Subheading1"/>
        <w:numPr>
          <w:ilvl w:val="0"/>
          <w:numId w:val="2"/>
        </w:numPr>
        <w:ind w:left="1418" w:hanging="851"/>
        <w:rPr>
          <w:sz w:val="22"/>
          <w:szCs w:val="22"/>
        </w:rPr>
      </w:pPr>
      <w:r>
        <w:rPr>
          <w:sz w:val="22"/>
          <w:szCs w:val="22"/>
        </w:rPr>
        <w:t>Location</w:t>
      </w:r>
    </w:p>
    <w:p w:rsidR="00D71D71" w:rsidRDefault="00D71D71" w:rsidP="00D71D71">
      <w:pPr>
        <w:pStyle w:val="Bodycopy"/>
        <w:ind w:left="1418" w:hanging="851"/>
        <w:rPr>
          <w:sz w:val="22"/>
          <w:szCs w:val="22"/>
        </w:rPr>
      </w:pPr>
    </w:p>
    <w:p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rsidR="00D71D71" w:rsidRDefault="00D71D71" w:rsidP="00D71D71">
      <w:pPr>
        <w:pStyle w:val="Subheading1"/>
        <w:ind w:left="1418" w:hanging="851"/>
        <w:rPr>
          <w:b w:val="0"/>
          <w:color w:val="000000"/>
          <w:sz w:val="22"/>
          <w:szCs w:val="22"/>
        </w:rPr>
      </w:pPr>
    </w:p>
    <w:p w:rsidR="00D71D71" w:rsidRDefault="00D71D71" w:rsidP="00D71D71">
      <w:pPr>
        <w:pStyle w:val="Bodycopy"/>
        <w:ind w:left="1418" w:hanging="851"/>
        <w:rPr>
          <w:sz w:val="22"/>
          <w:szCs w:val="22"/>
        </w:rPr>
      </w:pPr>
    </w:p>
    <w:p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rsidR="00D71D71" w:rsidRDefault="00D71D71" w:rsidP="00D71D71">
      <w:pPr>
        <w:pStyle w:val="Bodycopy"/>
        <w:ind w:left="1418" w:hanging="851"/>
        <w:rPr>
          <w:sz w:val="22"/>
          <w:szCs w:val="22"/>
        </w:rPr>
      </w:pPr>
    </w:p>
    <w:p w:rsidR="00D71D71" w:rsidRDefault="00D71D71" w:rsidP="00C45A5B">
      <w:pPr>
        <w:pStyle w:val="Bodycopy"/>
        <w:numPr>
          <w:ilvl w:val="2"/>
          <w:numId w:val="2"/>
        </w:numPr>
        <w:ind w:left="1418" w:hanging="851"/>
        <w:jc w:val="both"/>
        <w:rPr>
          <w:sz w:val="22"/>
          <w:szCs w:val="22"/>
        </w:rPr>
      </w:pPr>
      <w:r>
        <w:rPr>
          <w:sz w:val="22"/>
          <w:szCs w:val="22"/>
        </w:rPr>
        <w:lastRenderedPageBreak/>
        <w:t>The Service Provider shall ensure the following requirements are in place:</w:t>
      </w:r>
    </w:p>
    <w:p w:rsidR="00D71D71" w:rsidRDefault="00D71D71" w:rsidP="00D71D71">
      <w:pPr>
        <w:pStyle w:val="Default"/>
        <w:rPr>
          <w:sz w:val="22"/>
          <w:szCs w:val="22"/>
        </w:rPr>
      </w:pPr>
    </w:p>
    <w:p w:rsidR="00D71D71" w:rsidRDefault="00D71D71" w:rsidP="00D71D71">
      <w:pPr>
        <w:pStyle w:val="ListedText"/>
        <w:numPr>
          <w:ilvl w:val="2"/>
          <w:numId w:val="8"/>
        </w:numPr>
        <w:rPr>
          <w:rFonts w:cs="Arial"/>
          <w:szCs w:val="22"/>
        </w:rPr>
      </w:pPr>
      <w:r>
        <w:rPr>
          <w:rFonts w:cs="Arial"/>
          <w:szCs w:val="22"/>
        </w:rPr>
        <w:t>The role of the Independent Monitoring Board</w:t>
      </w:r>
    </w:p>
    <w:p w:rsidR="00D71D71" w:rsidRDefault="00D71D71" w:rsidP="00D71D71">
      <w:pPr>
        <w:pStyle w:val="ListedText"/>
        <w:numPr>
          <w:ilvl w:val="2"/>
          <w:numId w:val="8"/>
        </w:numPr>
        <w:rPr>
          <w:rFonts w:cs="Arial"/>
          <w:szCs w:val="22"/>
        </w:rPr>
      </w:pPr>
      <w:r>
        <w:rPr>
          <w:rFonts w:cs="Arial"/>
          <w:szCs w:val="22"/>
        </w:rPr>
        <w:t>Welfare</w:t>
      </w:r>
    </w:p>
    <w:p w:rsidR="00D71D71" w:rsidRDefault="00D71D71" w:rsidP="00D71D71">
      <w:pPr>
        <w:pStyle w:val="ListedText"/>
        <w:numPr>
          <w:ilvl w:val="2"/>
          <w:numId w:val="8"/>
        </w:numPr>
        <w:rPr>
          <w:rFonts w:cs="Arial"/>
          <w:szCs w:val="22"/>
        </w:rPr>
      </w:pPr>
      <w:r>
        <w:rPr>
          <w:rFonts w:cs="Arial"/>
          <w:szCs w:val="22"/>
        </w:rPr>
        <w:t>Healthcare</w:t>
      </w:r>
    </w:p>
    <w:p w:rsidR="00D71D71" w:rsidRDefault="00D71D71" w:rsidP="00D71D71">
      <w:pPr>
        <w:pStyle w:val="ListedText"/>
        <w:numPr>
          <w:ilvl w:val="2"/>
          <w:numId w:val="8"/>
        </w:numPr>
        <w:rPr>
          <w:rFonts w:cs="Arial"/>
          <w:szCs w:val="22"/>
        </w:rPr>
      </w:pPr>
      <w:r>
        <w:rPr>
          <w:rFonts w:cs="Arial"/>
          <w:szCs w:val="22"/>
        </w:rPr>
        <w:t xml:space="preserve">Detainees at risk </w:t>
      </w:r>
    </w:p>
    <w:p w:rsidR="00D71D71" w:rsidRDefault="00D71D71" w:rsidP="00D71D71">
      <w:pPr>
        <w:pStyle w:val="ListedText"/>
        <w:numPr>
          <w:ilvl w:val="2"/>
          <w:numId w:val="8"/>
        </w:numPr>
        <w:rPr>
          <w:rFonts w:cs="Arial"/>
          <w:szCs w:val="22"/>
        </w:rPr>
      </w:pPr>
      <w:r>
        <w:rPr>
          <w:rFonts w:cs="Arial"/>
          <w:szCs w:val="22"/>
        </w:rPr>
        <w:t>Children and Unaccompanied Minors</w:t>
      </w:r>
    </w:p>
    <w:p w:rsidR="00D71D71" w:rsidRDefault="00D71D71" w:rsidP="00D71D71">
      <w:pPr>
        <w:pStyle w:val="ListedText"/>
        <w:numPr>
          <w:ilvl w:val="2"/>
          <w:numId w:val="8"/>
        </w:numPr>
        <w:rPr>
          <w:rFonts w:cs="Arial"/>
          <w:szCs w:val="22"/>
        </w:rPr>
      </w:pPr>
      <w:r>
        <w:rPr>
          <w:rFonts w:cs="Arial"/>
          <w:szCs w:val="22"/>
        </w:rPr>
        <w:t>Race relations and religion</w:t>
      </w:r>
    </w:p>
    <w:p w:rsidR="00D71D71" w:rsidRDefault="00D71D71" w:rsidP="00D71D71">
      <w:pPr>
        <w:pStyle w:val="ListedText"/>
        <w:numPr>
          <w:ilvl w:val="2"/>
          <w:numId w:val="8"/>
        </w:numPr>
        <w:rPr>
          <w:rFonts w:cs="Arial"/>
          <w:szCs w:val="22"/>
        </w:rPr>
      </w:pPr>
      <w:r>
        <w:rPr>
          <w:rFonts w:cs="Arial"/>
          <w:szCs w:val="22"/>
        </w:rPr>
        <w:t>Safety and security</w:t>
      </w:r>
    </w:p>
    <w:p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rsidR="00D71D71" w:rsidRDefault="00D71D71" w:rsidP="00D71D71">
      <w:pPr>
        <w:pStyle w:val="ListedText"/>
        <w:numPr>
          <w:ilvl w:val="2"/>
          <w:numId w:val="8"/>
        </w:numPr>
        <w:rPr>
          <w:rFonts w:cs="Arial"/>
          <w:szCs w:val="22"/>
        </w:rPr>
      </w:pPr>
      <w:r>
        <w:rPr>
          <w:rFonts w:cs="Arial"/>
          <w:szCs w:val="22"/>
        </w:rPr>
        <w:t xml:space="preserve">         Use of force</w:t>
      </w:r>
    </w:p>
    <w:p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rsidR="00D71D71" w:rsidRDefault="00D71D71" w:rsidP="00D71D71">
      <w:pPr>
        <w:pStyle w:val="ListedText"/>
        <w:numPr>
          <w:ilvl w:val="2"/>
          <w:numId w:val="8"/>
        </w:numPr>
        <w:rPr>
          <w:rFonts w:cs="Arial"/>
          <w:szCs w:val="22"/>
        </w:rPr>
      </w:pPr>
      <w:r>
        <w:rPr>
          <w:rFonts w:cs="Arial"/>
          <w:szCs w:val="22"/>
        </w:rPr>
        <w:t>Admission and discharge</w:t>
      </w:r>
    </w:p>
    <w:p w:rsidR="00D71D71" w:rsidRDefault="00D71D71" w:rsidP="00D71D71">
      <w:pPr>
        <w:pStyle w:val="ListedText"/>
        <w:numPr>
          <w:ilvl w:val="2"/>
          <w:numId w:val="8"/>
        </w:numPr>
        <w:rPr>
          <w:rFonts w:cs="Arial"/>
          <w:szCs w:val="22"/>
        </w:rPr>
      </w:pPr>
      <w:r>
        <w:rPr>
          <w:rFonts w:cs="Arial"/>
          <w:szCs w:val="22"/>
        </w:rPr>
        <w:t>Communication</w:t>
      </w:r>
    </w:p>
    <w:p w:rsidR="00D71D71" w:rsidRDefault="00D71D71" w:rsidP="00D71D71">
      <w:pPr>
        <w:pStyle w:val="ListedText"/>
        <w:numPr>
          <w:ilvl w:val="2"/>
          <w:numId w:val="8"/>
        </w:numPr>
        <w:rPr>
          <w:rFonts w:cs="Arial"/>
          <w:szCs w:val="22"/>
        </w:rPr>
      </w:pPr>
      <w:r>
        <w:rPr>
          <w:rFonts w:cs="Arial"/>
          <w:szCs w:val="22"/>
        </w:rPr>
        <w:t>Staffing and personnel</w:t>
      </w:r>
    </w:p>
    <w:p w:rsidR="00D71D71" w:rsidRDefault="00D71D71" w:rsidP="00D71D71">
      <w:pPr>
        <w:pStyle w:val="ListedText"/>
        <w:numPr>
          <w:ilvl w:val="2"/>
          <w:numId w:val="8"/>
        </w:numPr>
        <w:rPr>
          <w:rFonts w:cs="Arial"/>
          <w:szCs w:val="22"/>
        </w:rPr>
      </w:pPr>
      <w:r>
        <w:rPr>
          <w:rFonts w:cs="Arial"/>
          <w:szCs w:val="22"/>
        </w:rPr>
        <w:t>Training</w:t>
      </w:r>
    </w:p>
    <w:p w:rsidR="00D71D71" w:rsidRDefault="00D71D71" w:rsidP="00D71D71">
      <w:pPr>
        <w:pStyle w:val="ListedText"/>
        <w:numPr>
          <w:ilvl w:val="2"/>
          <w:numId w:val="8"/>
        </w:numPr>
        <w:rPr>
          <w:rFonts w:cs="Arial"/>
          <w:szCs w:val="22"/>
        </w:rPr>
      </w:pPr>
      <w:r>
        <w:rPr>
          <w:rFonts w:cs="Arial"/>
          <w:szCs w:val="22"/>
        </w:rPr>
        <w:t>Health and Safety</w:t>
      </w:r>
    </w:p>
    <w:p w:rsidR="00D71D71" w:rsidRDefault="00D71D71" w:rsidP="00D71D71">
      <w:pPr>
        <w:pStyle w:val="Bodycopy"/>
        <w:numPr>
          <w:ilvl w:val="2"/>
          <w:numId w:val="8"/>
        </w:numPr>
        <w:rPr>
          <w:sz w:val="22"/>
          <w:szCs w:val="22"/>
        </w:rPr>
      </w:pPr>
      <w:r>
        <w:rPr>
          <w:sz w:val="22"/>
          <w:szCs w:val="22"/>
        </w:rPr>
        <w:t>Fire Prevention</w:t>
      </w:r>
    </w:p>
    <w:p w:rsidR="00D71D71" w:rsidRDefault="00D71D71" w:rsidP="00D71D71">
      <w:pPr>
        <w:pStyle w:val="Subheading1"/>
        <w:rPr>
          <w:sz w:val="22"/>
          <w:szCs w:val="22"/>
        </w:rPr>
      </w:pP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6.3.1</w:t>
      </w:r>
      <w:r>
        <w:rPr>
          <w:sz w:val="22"/>
          <w:szCs w:val="22"/>
        </w:rPr>
        <w:tab/>
        <w:t xml:space="preserve">The Service Provider agrees and acknowledges that Detainees being placed into detention or being removed from the United Kingdom must </w:t>
      </w:r>
      <w:r>
        <w:rPr>
          <w:sz w:val="22"/>
          <w:szCs w:val="22"/>
        </w:rPr>
        <w:lastRenderedPageBreak/>
        <w:t>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Authority with annual reports prior to each anniversary of the Commencement Date outlining the improvements made, and its proposals for future improvements under consideration.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rsidR="00D71D71" w:rsidRDefault="00D71D71" w:rsidP="00D71D71">
      <w:pPr>
        <w:pStyle w:val="Bodycopy"/>
        <w:ind w:left="1418" w:hanging="851"/>
        <w:rPr>
          <w:b/>
          <w:sz w:val="22"/>
          <w:szCs w:val="22"/>
        </w:rPr>
      </w:pPr>
    </w:p>
    <w:p w:rsidR="00D71D71" w:rsidRDefault="00D71D71" w:rsidP="00C45A5B">
      <w:pPr>
        <w:pStyle w:val="Bodycopy"/>
        <w:ind w:left="1418" w:hanging="851"/>
        <w:jc w:val="both"/>
        <w:rPr>
          <w:sz w:val="22"/>
          <w:szCs w:val="22"/>
        </w:rPr>
      </w:pPr>
      <w:r>
        <w:rPr>
          <w:sz w:val="22"/>
          <w:szCs w:val="22"/>
        </w:rPr>
        <w:t>6.3.5</w:t>
      </w:r>
      <w:r>
        <w:rPr>
          <w:sz w:val="22"/>
          <w:szCs w:val="22"/>
        </w:rPr>
        <w:tab/>
        <w:t>The Service Provider shall, in agreement with the Authority, operate and manage an anti-bullying strategy that includes an anti-bullying policy, provides support to victims and, where appropriate and practicable.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rsidR="005E5FA7" w:rsidRDefault="005E5FA7">
      <w:pPr>
        <w:rPr>
          <w:rFonts w:ascii="Arial" w:hAnsi="Arial" w:cs="Arial"/>
          <w:sz w:val="22"/>
          <w:szCs w:val="22"/>
        </w:rPr>
      </w:pPr>
    </w:p>
    <w:p w:rsidR="00D71D71" w:rsidRDefault="00D71D71" w:rsidP="00D71D71">
      <w:pPr>
        <w:pStyle w:val="Bodycopy"/>
        <w:ind w:left="1134" w:hanging="567"/>
        <w:rPr>
          <w:sz w:val="22"/>
          <w:szCs w:val="22"/>
        </w:rPr>
      </w:pPr>
    </w:p>
    <w:p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Authority staff, where an event that requires first aid treatment occurs in an area that lies within the Service Provider’s responsibility. </w:t>
      </w:r>
      <w:r>
        <w:rPr>
          <w:sz w:val="22"/>
          <w:szCs w:val="22"/>
        </w:rPr>
        <w:tab/>
      </w:r>
      <w:r>
        <w:rPr>
          <w:sz w:val="22"/>
          <w:szCs w:val="22"/>
        </w:rPr>
        <w:tab/>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6.4.4</w:t>
      </w:r>
      <w:r>
        <w:rPr>
          <w:sz w:val="22"/>
          <w:szCs w:val="22"/>
        </w:rPr>
        <w:tab/>
        <w:t xml:space="preserve">The Service Provider shall ensure that a Detainee, or in the case of a Child and/or Unaccompanied Minor, the parent or the Detainee Custody Officer (DCO) nominated as the Responsible Adult, receives prescribed medication in accordance with instructions given by a healthcare professional. </w:t>
      </w:r>
      <w:r>
        <w:rPr>
          <w:sz w:val="22"/>
          <w:szCs w:val="22"/>
        </w:rPr>
        <w:tab/>
      </w:r>
    </w:p>
    <w:p w:rsidR="00D71D71" w:rsidRDefault="00D71D71" w:rsidP="00D71D71">
      <w:pPr>
        <w:pStyle w:val="Bodycopy"/>
        <w:tabs>
          <w:tab w:val="left" w:pos="1418"/>
        </w:tabs>
        <w:ind w:left="1418" w:hanging="851"/>
        <w:rPr>
          <w:sz w:val="22"/>
          <w:szCs w:val="22"/>
        </w:rPr>
      </w:pPr>
      <w:r>
        <w:rPr>
          <w:sz w:val="22"/>
          <w:szCs w:val="22"/>
        </w:rPr>
        <w:lastRenderedPageBreak/>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6.4.5</w:t>
      </w:r>
      <w:r>
        <w:rPr>
          <w:sz w:val="22"/>
          <w:szCs w:val="22"/>
        </w:rPr>
        <w:tab/>
        <w:t>The Service Provider shall have in place policies and procedures for handling Detainees with medical needs and medication in the possession of a Detainee.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6.4.6</w:t>
      </w:r>
      <w:r>
        <w:rPr>
          <w:sz w:val="22"/>
          <w:szCs w:val="22"/>
        </w:rPr>
        <w:tab/>
        <w:t>The Service Provider shall have access to medical advice 24 hours per day, 365/6 days per year, which shall include but not be limited to:</w:t>
      </w:r>
    </w:p>
    <w:p w:rsidR="00D71D71" w:rsidRDefault="00D71D71" w:rsidP="00D71D71">
      <w:pPr>
        <w:pStyle w:val="Bodycopy"/>
        <w:ind w:left="1134" w:hanging="567"/>
        <w:rPr>
          <w:sz w:val="22"/>
          <w:szCs w:val="22"/>
        </w:rPr>
      </w:pPr>
    </w:p>
    <w:p w:rsidR="00D71D71" w:rsidRDefault="00D71D71" w:rsidP="00D71D71">
      <w:pPr>
        <w:pStyle w:val="Bodycopy"/>
        <w:ind w:left="1701" w:hanging="283"/>
        <w:rPr>
          <w:sz w:val="22"/>
          <w:szCs w:val="22"/>
        </w:rPr>
      </w:pPr>
      <w:r>
        <w:rPr>
          <w:sz w:val="22"/>
          <w:szCs w:val="22"/>
        </w:rPr>
        <w:t>a)</w:t>
      </w:r>
      <w:r>
        <w:rPr>
          <w:sz w:val="22"/>
          <w:szCs w:val="22"/>
        </w:rPr>
        <w:tab/>
        <w:t>Advice and guidance for developing medical risk assessments;</w:t>
      </w:r>
    </w:p>
    <w:p w:rsidR="00D71D71" w:rsidRDefault="00D71D71" w:rsidP="00C45A5B">
      <w:pPr>
        <w:pStyle w:val="Bodycopy"/>
        <w:ind w:left="1701" w:hanging="283"/>
        <w:jc w:val="both"/>
        <w:rPr>
          <w:sz w:val="22"/>
          <w:szCs w:val="22"/>
        </w:rPr>
      </w:pPr>
      <w:r>
        <w:rPr>
          <w:sz w:val="22"/>
          <w:szCs w:val="22"/>
        </w:rPr>
        <w:t>b)</w:t>
      </w:r>
      <w:r>
        <w:rPr>
          <w:sz w:val="22"/>
          <w:szCs w:val="22"/>
        </w:rPr>
        <w:tab/>
        <w:t>Advice and guidance for dealing with a Detainee with medical needs; and</w:t>
      </w:r>
    </w:p>
    <w:p w:rsidR="00D71D71" w:rsidRDefault="00D71D71" w:rsidP="00D71D71">
      <w:pPr>
        <w:pStyle w:val="Bodycopy"/>
        <w:ind w:left="1701" w:hanging="283"/>
        <w:rPr>
          <w:sz w:val="22"/>
          <w:szCs w:val="22"/>
        </w:rPr>
      </w:pPr>
      <w:r>
        <w:rPr>
          <w:sz w:val="22"/>
          <w:szCs w:val="22"/>
        </w:rPr>
        <w:t>c)</w:t>
      </w:r>
      <w:r>
        <w:rPr>
          <w:sz w:val="22"/>
          <w:szCs w:val="22"/>
        </w:rPr>
        <w:tab/>
        <w:t>The appropriateness of medication in the possession of a Detainee.</w:t>
      </w:r>
    </w:p>
    <w:p w:rsidR="00D71D71" w:rsidRDefault="00D71D71" w:rsidP="00D71D71">
      <w:pPr>
        <w:pStyle w:val="Bodycopy"/>
        <w:ind w:left="1134" w:hanging="567"/>
        <w:rPr>
          <w:sz w:val="22"/>
          <w:szCs w:val="22"/>
        </w:rPr>
      </w:pPr>
    </w:p>
    <w:p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rsidR="00D71D71" w:rsidRDefault="00D71D71" w:rsidP="00D71D71">
      <w:pPr>
        <w:pStyle w:val="Bodycopy"/>
        <w:ind w:left="1134" w:hanging="567"/>
        <w:rPr>
          <w:sz w:val="22"/>
          <w:szCs w:val="22"/>
        </w:rPr>
      </w:pPr>
    </w:p>
    <w:p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harm strategy, which shall be submitted to the Authority for comment and approval.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6.5.7</w:t>
      </w:r>
      <w:r>
        <w:rPr>
          <w:sz w:val="22"/>
          <w:szCs w:val="22"/>
        </w:rPr>
        <w:tab/>
        <w:t>The Service Provider shall ensure that as part of managing those identified as “at risk”, arrangements are in place to maintain the well-being of, and minimise the risk to, other Detainees, Staff and Authority staff.</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w:t>
      </w:r>
      <w:r>
        <w:rPr>
          <w:sz w:val="22"/>
          <w:szCs w:val="22"/>
        </w:rPr>
        <w:lastRenderedPageBreak/>
        <w:t xml:space="preserve">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6.6.2</w:t>
      </w:r>
      <w:r>
        <w:rPr>
          <w:sz w:val="22"/>
          <w:szCs w:val="22"/>
        </w:rPr>
        <w:tab/>
        <w:t xml:space="preserve">The Service Provider shall review its Children and Unaccompanied Minors arrangements and policies annually one month prior to each anniversary of the Commencement Date and provide the Authority with the findings of its review within two (2) weeks of its completion. Where the Service Provider proposes changing its arrangements and/or policies as the result of its review, the Service Provider shall consult with the Authority before implementing any of its proposed changes.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a Children’s Services Manager who will be responsible for managing all the arrangements for safeguarding the welfare of Children and Unaccompanied Minors.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Authority. </w:t>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w:t>
      </w:r>
      <w:r>
        <w:rPr>
          <w:sz w:val="22"/>
          <w:szCs w:val="22"/>
        </w:rPr>
        <w:lastRenderedPageBreak/>
        <w:t xml:space="preserve">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6.6.12</w:t>
      </w:r>
      <w:r>
        <w:rPr>
          <w:sz w:val="22"/>
          <w:szCs w:val="22"/>
        </w:rPr>
        <w:tab/>
        <w:t>The Service Provider shall ensure that for any incident where a Child or Unaccompanied Minor is present, their presence is identified and recorded, the incident reported to the Authority, and where appropriate the receiving custodian is advised.</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6.7.1</w:t>
      </w:r>
      <w:r>
        <w:rPr>
          <w:sz w:val="22"/>
          <w:szCs w:val="22"/>
        </w:rPr>
        <w:tab/>
        <w:t>The Service Provider shall appoint a Race Relations Manager whose role will be to investigate and assist in the monitoring of all complaints of alleged racial discrimination and their outcomes</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a Race Relations Policy in respect of Detainees, obtain the Authority’s approval for it, and implement it, ensuring it is updated annually prior to each anniversary of the Commencement Date, or as required by changes in Legislation or other factors as agreed with the Authority.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Authority for the gathering of security information and for passing security information to the Authority’s Intelligence Team. </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6.8.12</w:t>
      </w:r>
      <w:r>
        <w:rPr>
          <w:sz w:val="22"/>
          <w:szCs w:val="22"/>
        </w:rPr>
        <w:tab/>
        <w:t>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6.8.13</w:t>
      </w:r>
      <w:r>
        <w:rPr>
          <w:sz w:val="22"/>
          <w:szCs w:val="22"/>
        </w:rPr>
        <w:tab/>
        <w:t>The Service Provider shall put in place arrangements to search any places or vehicles under its control prior to occupation and/or re-occupation, and conduct additional searches as required, or as directed by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Authority staff, Visitors.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6.8.16</w:t>
      </w:r>
      <w:r>
        <w:rPr>
          <w:sz w:val="22"/>
          <w:szCs w:val="22"/>
        </w:rPr>
        <w:tab/>
        <w:t>Where during the provision of the Services, the Service Provider identifies a Detainee subject to MAPPA, the Service Provider shall immediately advise the Authority and the BORDER FORCE Monitor.</w:t>
      </w:r>
    </w:p>
    <w:p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6.8.17</w:t>
      </w:r>
      <w:r>
        <w:rPr>
          <w:sz w:val="22"/>
          <w:szCs w:val="22"/>
        </w:rPr>
        <w:tab/>
        <w:t>The Service Provider shall ensure that all equipment used in performing the Services is tested and maintained regularly to ensure that it is adequate for the purpose.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6.9.1</w:t>
      </w:r>
      <w:r>
        <w:rPr>
          <w:sz w:val="22"/>
          <w:szCs w:val="22"/>
        </w:rPr>
        <w:tab/>
        <w:t>The Service Provider shall hold, maintain and update risk assessment procedures which shall be implemented immediately once agreed by the Authority. These should be produced to the Agency for a review annually, prior to each anniversary of the Commencement Date.</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6.9.3</w:t>
      </w:r>
      <w:r>
        <w:rPr>
          <w:sz w:val="22"/>
          <w:szCs w:val="22"/>
        </w:rPr>
        <w:tab/>
        <w:t>The Service Provider shall ensure that all the information received on a Detainee is sufficient and accurate for the efficient delivery of the Services, seeking clarification from the Authority where required.</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6.9.6</w:t>
      </w:r>
      <w:r>
        <w:rPr>
          <w:sz w:val="22"/>
          <w:szCs w:val="22"/>
        </w:rPr>
        <w:tab/>
        <w:t>In the event of indiscipline of a Detainee and/or third party, the Service Provider shall deal with the indiscipline as appropriate, record the details of the incident and advise the Authority and the custodian with subsequent responsibility for the Detainee.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rsidR="00D71D71" w:rsidRDefault="00D71D71" w:rsidP="00C45A5B">
      <w:pPr>
        <w:pStyle w:val="Bodycopy"/>
        <w:numPr>
          <w:ilvl w:val="0"/>
          <w:numId w:val="10"/>
        </w:numPr>
        <w:tabs>
          <w:tab w:val="left" w:pos="1843"/>
        </w:tabs>
        <w:ind w:left="1843" w:hanging="425"/>
        <w:jc w:val="both"/>
        <w:rPr>
          <w:sz w:val="22"/>
          <w:szCs w:val="22"/>
        </w:rPr>
      </w:pPr>
      <w:r>
        <w:rPr>
          <w:sz w:val="22"/>
          <w:szCs w:val="22"/>
        </w:rPr>
        <w:t>to prevent destruction of the property of the Service Provider or of      others; and</w:t>
      </w:r>
    </w:p>
    <w:p w:rsidR="00D71D71" w:rsidRDefault="00D71D71" w:rsidP="00C45A5B">
      <w:pPr>
        <w:pStyle w:val="Bodycopy"/>
        <w:numPr>
          <w:ilvl w:val="0"/>
          <w:numId w:val="10"/>
        </w:numPr>
        <w:ind w:left="1843" w:hanging="425"/>
        <w:jc w:val="both"/>
        <w:rPr>
          <w:sz w:val="22"/>
          <w:szCs w:val="22"/>
        </w:rPr>
      </w:pPr>
      <w:r>
        <w:rPr>
          <w:sz w:val="22"/>
          <w:szCs w:val="22"/>
        </w:rPr>
        <w:lastRenderedPageBreak/>
        <w:t>to prevent Detainees from seeking to prevent their own Removal physically or physically interfering with the lawful Removal of another Detainee.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an Authority named representative or where it is required to protect from harm the individual, a member of the public or property.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rsidR="00D71D71" w:rsidRDefault="00D71D71" w:rsidP="00D71D71">
      <w:pPr>
        <w:pStyle w:val="Bodycopy"/>
        <w:ind w:left="1418" w:hanging="851"/>
        <w:rPr>
          <w:sz w:val="22"/>
          <w:szCs w:val="22"/>
        </w:rPr>
      </w:pPr>
    </w:p>
    <w:p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rsidR="00D71D71" w:rsidRDefault="00D71D71" w:rsidP="00D71D71">
      <w:pPr>
        <w:pStyle w:val="Bodycopy"/>
        <w:ind w:left="1418" w:hanging="851"/>
        <w:rPr>
          <w:sz w:val="22"/>
          <w:szCs w:val="22"/>
        </w:rPr>
      </w:pPr>
      <w:r>
        <w:rPr>
          <w:sz w:val="22"/>
          <w:szCs w:val="22"/>
        </w:rPr>
        <w:tab/>
      </w:r>
    </w:p>
    <w:p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6.12.3</w:t>
      </w:r>
      <w:r>
        <w:rPr>
          <w:sz w:val="22"/>
          <w:szCs w:val="22"/>
        </w:rPr>
        <w:tab/>
        <w:t xml:space="preserve">The Service Provider shall ensure that the admission and discharge system details the Staff member who admitted or discharged the Detainee into or from the Service Provider’s custody.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6.12.4</w:t>
      </w:r>
      <w:r>
        <w:rPr>
          <w:sz w:val="22"/>
          <w:szCs w:val="22"/>
        </w:rPr>
        <w:tab/>
        <w:t>The Service Provider shall co-operate with, without limitation, the Authority, IRC service providers, Detention and Removal Centre contractors, the Police, the Prison Service and foreign Governments and their Agencies in order to ensure the safe admission and discharge of a Detainee into and out of Service Provider custody.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rsidR="00D71D71" w:rsidRDefault="00D71D71" w:rsidP="00D71D71">
      <w:pPr>
        <w:pStyle w:val="Bodycopy"/>
        <w:ind w:left="1440" w:hanging="720"/>
        <w:rPr>
          <w:sz w:val="22"/>
          <w:szCs w:val="22"/>
        </w:rPr>
      </w:pPr>
    </w:p>
    <w:p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rsidR="00D71D71" w:rsidRDefault="00D71D71" w:rsidP="00D71D71">
      <w:pPr>
        <w:pStyle w:val="Bodycopy"/>
        <w:ind w:left="1985" w:hanging="567"/>
        <w:rPr>
          <w:sz w:val="22"/>
          <w:szCs w:val="22"/>
        </w:rPr>
      </w:pPr>
      <w:r>
        <w:rPr>
          <w:sz w:val="22"/>
          <w:szCs w:val="22"/>
        </w:rPr>
        <w:t>b)</w:t>
      </w:r>
      <w:r>
        <w:rPr>
          <w:sz w:val="22"/>
          <w:szCs w:val="22"/>
        </w:rPr>
        <w:tab/>
        <w:t>Movement Order;</w:t>
      </w:r>
    </w:p>
    <w:p w:rsidR="00D71D71" w:rsidRDefault="00D71D71" w:rsidP="00D71D71">
      <w:pPr>
        <w:pStyle w:val="Bodycopy"/>
        <w:ind w:left="1985" w:hanging="567"/>
        <w:rPr>
          <w:sz w:val="22"/>
          <w:szCs w:val="22"/>
        </w:rPr>
      </w:pPr>
      <w:r>
        <w:rPr>
          <w:sz w:val="22"/>
          <w:szCs w:val="22"/>
        </w:rPr>
        <w:t>c)</w:t>
      </w:r>
      <w:r>
        <w:rPr>
          <w:sz w:val="22"/>
          <w:szCs w:val="22"/>
        </w:rPr>
        <w:tab/>
        <w:t>Deportation order;</w:t>
      </w:r>
    </w:p>
    <w:p w:rsidR="00D71D71" w:rsidRDefault="00D71D71" w:rsidP="00D71D71">
      <w:pPr>
        <w:pStyle w:val="Bodycopy"/>
        <w:ind w:left="1985" w:hanging="567"/>
        <w:rPr>
          <w:sz w:val="22"/>
          <w:szCs w:val="22"/>
        </w:rPr>
      </w:pPr>
      <w:r>
        <w:rPr>
          <w:sz w:val="22"/>
          <w:szCs w:val="22"/>
        </w:rPr>
        <w:t>d)</w:t>
      </w:r>
      <w:r>
        <w:rPr>
          <w:sz w:val="22"/>
          <w:szCs w:val="22"/>
        </w:rPr>
        <w:tab/>
        <w:t>DTD;</w:t>
      </w:r>
    </w:p>
    <w:p w:rsidR="00D71D71" w:rsidRDefault="00D71D71" w:rsidP="00D71D71">
      <w:pPr>
        <w:pStyle w:val="Bodycopy"/>
        <w:ind w:left="1985" w:hanging="567"/>
        <w:rPr>
          <w:sz w:val="22"/>
          <w:szCs w:val="22"/>
        </w:rPr>
      </w:pPr>
      <w:r>
        <w:rPr>
          <w:sz w:val="22"/>
          <w:szCs w:val="22"/>
        </w:rPr>
        <w:t>e)</w:t>
      </w:r>
      <w:r>
        <w:rPr>
          <w:sz w:val="22"/>
          <w:szCs w:val="22"/>
        </w:rPr>
        <w:tab/>
        <w:t>PER; and</w:t>
      </w:r>
    </w:p>
    <w:p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rsidR="00D71D71" w:rsidRDefault="00D71D71" w:rsidP="00D71D71">
      <w:pPr>
        <w:pStyle w:val="Bodycopy"/>
        <w:rPr>
          <w:sz w:val="22"/>
          <w:szCs w:val="22"/>
        </w:rPr>
      </w:pPr>
    </w:p>
    <w:p w:rsidR="00D71D71" w:rsidRDefault="00D71D71" w:rsidP="00C45A5B">
      <w:pPr>
        <w:pStyle w:val="Bodycopy"/>
        <w:ind w:left="1418" w:hanging="851"/>
        <w:jc w:val="both"/>
        <w:rPr>
          <w:sz w:val="22"/>
          <w:szCs w:val="22"/>
        </w:rPr>
      </w:pPr>
      <w:r>
        <w:rPr>
          <w:sz w:val="22"/>
          <w:szCs w:val="22"/>
        </w:rPr>
        <w:t>6.12.8</w:t>
      </w:r>
      <w:r>
        <w:rPr>
          <w:sz w:val="22"/>
          <w:szCs w:val="22"/>
        </w:rPr>
        <w:tab/>
        <w:t>In the event that the transfer documents are found not to be in order the Service Provider shall consult with the Authority to seek advice on the necessary remedial arrangements.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Authority. The search procedures shall include, but are not limited to, searching a Detainee and a search of a Detainee’s property. </w:t>
      </w:r>
      <w:r>
        <w:rPr>
          <w:sz w:val="22"/>
          <w:szCs w:val="22"/>
        </w:rPr>
        <w:tab/>
      </w:r>
    </w:p>
    <w:p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lastRenderedPageBreak/>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6.12.17 When directed by the Authority 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6.12.18 Where directed by the Authority 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6.12.19 When directed by the Authority to release a Detainee, the Service Provider shall immediately release the Detainee from Service Provider custody as soon as it is practical. The release arrangements shall include returning to the Detainee his property and relevant personal documents as advised by the Authority.</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6.12.20 After a Detainee has left the Service Provider’s custody the Service Provider shall make arrangements to deal with Detainee records and other related documents as agreed with the Authority, which may include sending documents to nominated locations and/or secure storage of documents pending agreement on where they will be sent.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6.12.21 The Service Provider shall within three (3) days of the Removal of a Detainee from the United Kingdom or the release of a Detainee submit all charges and Detention form (IS91) to the Border Force Admin section Harwich International Port who will process and forward onto the Authority’s Detention Cost Recovery Unit (DCRU) in Croydon, the Authority’s “Authority to Detain Form (IS91)”.</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6.13</w:t>
      </w:r>
      <w:r>
        <w:rPr>
          <w:sz w:val="22"/>
          <w:szCs w:val="22"/>
        </w:rPr>
        <w:tab/>
      </w:r>
      <w:r>
        <w:rPr>
          <w:sz w:val="22"/>
          <w:szCs w:val="22"/>
          <w:u w:val="single"/>
        </w:rPr>
        <w:t>Communication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6.13.2</w:t>
      </w:r>
      <w:r>
        <w:rPr>
          <w:sz w:val="22"/>
          <w:szCs w:val="22"/>
        </w:rPr>
        <w:tab/>
        <w:t>The Service Provider shall ensure that any information relating to the provision of the Services or advice by the Service Provider that will be supplied to or viewed by a Detainee is agreed with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rsidR="00D71D71" w:rsidRDefault="00D71D71" w:rsidP="00D71D71">
      <w:pPr>
        <w:pStyle w:val="Bodycopy"/>
        <w:rPr>
          <w:sz w:val="22"/>
          <w:szCs w:val="22"/>
        </w:rPr>
      </w:pPr>
    </w:p>
    <w:p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Pr>
          <w:sz w:val="22"/>
          <w:szCs w:val="22"/>
        </w:rPr>
        <w:t xml:space="preserve">Home Office and </w:t>
      </w:r>
      <w:r w:rsidR="00CD422C">
        <w:rPr>
          <w:sz w:val="22"/>
          <w:szCs w:val="22"/>
        </w:rPr>
        <w:t xml:space="preserve">the </w:t>
      </w:r>
      <w:r>
        <w:rPr>
          <w:sz w:val="22"/>
          <w:szCs w:val="22"/>
        </w:rPr>
        <w:t>B</w:t>
      </w:r>
      <w:r w:rsidR="00CD422C">
        <w:rPr>
          <w:sz w:val="22"/>
          <w:szCs w:val="22"/>
        </w:rPr>
        <w:t xml:space="preserve">order </w:t>
      </w:r>
      <w:r>
        <w:rPr>
          <w:sz w:val="22"/>
          <w:szCs w:val="22"/>
        </w:rPr>
        <w:t>F</w:t>
      </w:r>
      <w:r w:rsidR="00CD422C">
        <w:rPr>
          <w:sz w:val="22"/>
          <w:szCs w:val="22"/>
        </w:rPr>
        <w:t>orce</w:t>
      </w:r>
      <w:r>
        <w:rPr>
          <w:sz w:val="22"/>
          <w:szCs w:val="22"/>
        </w:rPr>
        <w:t xml:space="preserve"> corporate values.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6.14.2</w:t>
      </w:r>
      <w:r>
        <w:rPr>
          <w:sz w:val="22"/>
          <w:szCs w:val="22"/>
        </w:rPr>
        <w:tab/>
        <w:t>The Service Provider shall ensure that all Staff (or persons under their control) are made aware of and implement all relevant standards, legislation, policies and requirements of the Authority, including any subsequent changes thereto.</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rsidR="00D71D71" w:rsidRDefault="00D71D71" w:rsidP="00D71D71">
      <w:pPr>
        <w:pStyle w:val="Bodycopy"/>
        <w:ind w:left="1418" w:hanging="851"/>
        <w:rPr>
          <w:sz w:val="22"/>
          <w:szCs w:val="22"/>
        </w:rPr>
      </w:pPr>
    </w:p>
    <w:p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Authority with overall responsibility for the Services. This point of contact shall be available to the Authority 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a diverse workforce.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6.14.8</w:t>
      </w:r>
      <w:r>
        <w:rPr>
          <w:sz w:val="22"/>
          <w:szCs w:val="22"/>
        </w:rPr>
        <w:tab/>
        <w:t>The Service Provider shall provide details of Staff salary packages, including any receipt of work associated benefits, when requested by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Date or prior to undertaking the Services for Staff engaged after the Commencement Date. </w:t>
      </w:r>
    </w:p>
    <w:p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lastRenderedPageBreak/>
        <w:t>6.14.11 The Service Provider shall ensure that all Staff is in receipt of CRB clearance, which shall include enhanced clearance where Staff may come into contact with any Detainee as part of their duties.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6.14.12 The Service Provider shall ensure that all Staff who handle personal data relating to a Detainee and/or the Authority’s staff and/or its agents, are in possession of the requisite security clearance in accordance with the Authority’s security policy.</w:t>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6.14.13 The Service Provider shall develop and agree with the Authority, a code of conduct for its Staff, which shall include ensuring its Staff behaves in an appropriate and professional manner at all times and no member of Staff shall act deliberately in a manner calculated to provoke a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6.14.15 The Service Provider shall ensure its Staff complies with all site rules and regulations when on Authority premises and/or other locations when delivering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Authority. In most cases the wearing of a uniform is required.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Authority.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6.14.18 The Service Provider shall ensure that the wearing of agreed clothing includes for the DCOs when on duty the display of the Authority’s Accreditation Team badges, which shall be visible and identifiable at all times.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6.14.21 The Service Provider shall inform the Authority of any senior management changes that relate to the running of the Short term holding facility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6.14.22 The Service Provider shall not seek to induce Authority staff into its employ.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6.14.23</w:t>
      </w:r>
      <w:r w:rsidR="00D83149">
        <w:rPr>
          <w:sz w:val="22"/>
          <w:szCs w:val="22"/>
        </w:rPr>
        <w:t xml:space="preserve"> </w:t>
      </w:r>
      <w:r>
        <w:rPr>
          <w:sz w:val="22"/>
          <w:szCs w:val="22"/>
        </w:rPr>
        <w:t>The Service Provider shall advise the Authority of all weekly management duty rosters no less than two (2) weeks before the commencement of the first duty detailed on the weekly duty roster, including details of the senior responsible manager.</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6.15</w:t>
      </w:r>
      <w:r>
        <w:rPr>
          <w:sz w:val="22"/>
          <w:szCs w:val="22"/>
        </w:rPr>
        <w:tab/>
      </w:r>
      <w:r>
        <w:rPr>
          <w:sz w:val="22"/>
          <w:szCs w:val="22"/>
          <w:u w:val="single"/>
        </w:rPr>
        <w:t>Training</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6.15.1</w:t>
      </w:r>
      <w:r>
        <w:rPr>
          <w:sz w:val="22"/>
          <w:szCs w:val="22"/>
        </w:rPr>
        <w:tab/>
        <w:t>The Service Provider shall ensure that its Staff and those employed by their Sub-contractors are suitably qualified, trained and experienced and receive or are in receipt of the necessary training in order to satisfy the Authority’s requirements by the award of contract. The training shall include, but is not limited to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ACDT training;</w:t>
      </w:r>
    </w:p>
    <w:p w:rsidR="00D71D71" w:rsidRDefault="00D71D71" w:rsidP="00D71D71">
      <w:pPr>
        <w:pStyle w:val="Bodycopy"/>
        <w:ind w:left="851" w:firstLine="567"/>
        <w:rPr>
          <w:sz w:val="22"/>
          <w:szCs w:val="22"/>
        </w:rPr>
      </w:pPr>
      <w:r>
        <w:rPr>
          <w:sz w:val="22"/>
          <w:szCs w:val="22"/>
        </w:rPr>
        <w:t>b)</w:t>
      </w:r>
      <w:r>
        <w:rPr>
          <w:sz w:val="22"/>
          <w:szCs w:val="22"/>
        </w:rPr>
        <w:tab/>
        <w:t>Control and restraint training.</w:t>
      </w:r>
    </w:p>
    <w:p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rsidR="00D71D71" w:rsidRDefault="00D71D71" w:rsidP="00D71D71">
      <w:pPr>
        <w:pStyle w:val="Bodycopy"/>
        <w:ind w:left="1418"/>
        <w:rPr>
          <w:sz w:val="22"/>
          <w:szCs w:val="22"/>
        </w:rPr>
      </w:pPr>
      <w:r>
        <w:rPr>
          <w:sz w:val="22"/>
          <w:szCs w:val="22"/>
        </w:rPr>
        <w:t>d)</w:t>
      </w:r>
      <w:r>
        <w:rPr>
          <w:sz w:val="22"/>
          <w:szCs w:val="22"/>
        </w:rPr>
        <w:tab/>
        <w:t>Child protection and safeguarding children;</w:t>
      </w:r>
    </w:p>
    <w:p w:rsidR="00D71D71" w:rsidRDefault="00D71D71" w:rsidP="00D71D71">
      <w:pPr>
        <w:pStyle w:val="Bodycopy"/>
        <w:ind w:left="1418"/>
        <w:rPr>
          <w:sz w:val="22"/>
          <w:szCs w:val="22"/>
        </w:rPr>
      </w:pPr>
      <w:r>
        <w:rPr>
          <w:sz w:val="22"/>
          <w:szCs w:val="22"/>
        </w:rPr>
        <w:t>e)</w:t>
      </w:r>
      <w:r>
        <w:rPr>
          <w:sz w:val="22"/>
          <w:szCs w:val="22"/>
        </w:rPr>
        <w:tab/>
        <w:t>Anti-bullying;</w:t>
      </w:r>
    </w:p>
    <w:p w:rsidR="00D71D71" w:rsidRDefault="00D71D71" w:rsidP="00D71D71">
      <w:pPr>
        <w:pStyle w:val="Bodycopy"/>
        <w:ind w:left="1418"/>
        <w:rPr>
          <w:sz w:val="22"/>
          <w:szCs w:val="22"/>
        </w:rPr>
      </w:pPr>
      <w:r>
        <w:rPr>
          <w:sz w:val="22"/>
          <w:szCs w:val="22"/>
        </w:rPr>
        <w:t>f)</w:t>
      </w:r>
      <w:r>
        <w:rPr>
          <w:sz w:val="22"/>
          <w:szCs w:val="22"/>
        </w:rPr>
        <w:tab/>
        <w:t>First aid;</w:t>
      </w:r>
    </w:p>
    <w:p w:rsidR="00D71D71" w:rsidRDefault="00D71D71" w:rsidP="00D71D71">
      <w:pPr>
        <w:pStyle w:val="Bodycopy"/>
        <w:ind w:left="1418"/>
        <w:rPr>
          <w:sz w:val="22"/>
          <w:szCs w:val="22"/>
        </w:rPr>
      </w:pPr>
      <w:r>
        <w:rPr>
          <w:sz w:val="22"/>
          <w:szCs w:val="22"/>
        </w:rPr>
        <w:t>g)</w:t>
      </w:r>
      <w:r>
        <w:rPr>
          <w:sz w:val="22"/>
          <w:szCs w:val="22"/>
        </w:rPr>
        <w:tab/>
        <w:t>PCC;</w:t>
      </w:r>
    </w:p>
    <w:p w:rsidR="00D71D71" w:rsidRDefault="00D71D71" w:rsidP="00D71D71">
      <w:pPr>
        <w:pStyle w:val="Bodycopy"/>
        <w:ind w:left="1418"/>
        <w:rPr>
          <w:sz w:val="22"/>
          <w:szCs w:val="22"/>
        </w:rPr>
      </w:pPr>
      <w:r>
        <w:rPr>
          <w:sz w:val="22"/>
          <w:szCs w:val="22"/>
        </w:rPr>
        <w:t>h)</w:t>
      </w:r>
      <w:r>
        <w:rPr>
          <w:sz w:val="22"/>
          <w:szCs w:val="22"/>
        </w:rPr>
        <w:tab/>
        <w:t>Data protection and information management;</w:t>
      </w:r>
    </w:p>
    <w:p w:rsidR="00D71D71" w:rsidRDefault="00D71D71" w:rsidP="00D71D71">
      <w:pPr>
        <w:pStyle w:val="Bodycopy"/>
        <w:ind w:left="1418"/>
        <w:rPr>
          <w:sz w:val="22"/>
          <w:szCs w:val="22"/>
        </w:rPr>
      </w:pPr>
      <w:r>
        <w:rPr>
          <w:sz w:val="22"/>
          <w:szCs w:val="22"/>
        </w:rPr>
        <w:t>i)</w:t>
      </w:r>
      <w:r>
        <w:rPr>
          <w:sz w:val="22"/>
          <w:szCs w:val="22"/>
        </w:rPr>
        <w:tab/>
        <w:t>Cultural awareness, diversity and race relations;</w:t>
      </w:r>
    </w:p>
    <w:p w:rsidR="00D71D71" w:rsidRDefault="00D71D71" w:rsidP="00D71D71">
      <w:pPr>
        <w:pStyle w:val="Bodycopy"/>
        <w:ind w:left="1418"/>
        <w:rPr>
          <w:sz w:val="22"/>
          <w:szCs w:val="22"/>
        </w:rPr>
      </w:pPr>
      <w:r>
        <w:rPr>
          <w:sz w:val="22"/>
          <w:szCs w:val="22"/>
        </w:rPr>
        <w:t>j)</w:t>
      </w:r>
      <w:r>
        <w:rPr>
          <w:sz w:val="22"/>
          <w:szCs w:val="22"/>
        </w:rPr>
        <w:tab/>
        <w:t>Pro-active Detainee engagement;</w:t>
      </w:r>
    </w:p>
    <w:p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rsidR="00D71D71" w:rsidRDefault="00D71D71" w:rsidP="00D71D71">
      <w:pPr>
        <w:pStyle w:val="Bodycopy"/>
        <w:ind w:left="1418"/>
        <w:rPr>
          <w:sz w:val="22"/>
          <w:szCs w:val="22"/>
        </w:rPr>
      </w:pPr>
      <w:r>
        <w:rPr>
          <w:sz w:val="22"/>
          <w:szCs w:val="22"/>
        </w:rPr>
        <w:t>l)</w:t>
      </w:r>
      <w:r>
        <w:rPr>
          <w:sz w:val="22"/>
          <w:szCs w:val="22"/>
        </w:rPr>
        <w:tab/>
        <w:t>The use of the DTD, PER and Movement Orders;</w:t>
      </w:r>
    </w:p>
    <w:p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rsidR="00D71D71" w:rsidRDefault="00D71D71" w:rsidP="00D71D71">
      <w:pPr>
        <w:pStyle w:val="Bodycopy"/>
        <w:ind w:left="1418"/>
        <w:rPr>
          <w:sz w:val="22"/>
          <w:szCs w:val="22"/>
        </w:rPr>
      </w:pPr>
      <w:r>
        <w:rPr>
          <w:sz w:val="22"/>
          <w:szCs w:val="22"/>
        </w:rPr>
        <w:t>p)</w:t>
      </w:r>
      <w:r>
        <w:rPr>
          <w:sz w:val="22"/>
          <w:szCs w:val="22"/>
        </w:rPr>
        <w:tab/>
        <w:t>Fire and evacuation procedures;</w:t>
      </w:r>
    </w:p>
    <w:p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rsidR="00D71D71" w:rsidRDefault="00D71D71" w:rsidP="00D71D71">
      <w:pPr>
        <w:pStyle w:val="Bodycopy"/>
        <w:ind w:left="1418"/>
        <w:rPr>
          <w:sz w:val="22"/>
          <w:szCs w:val="22"/>
        </w:rPr>
      </w:pPr>
      <w:r>
        <w:rPr>
          <w:sz w:val="22"/>
          <w:szCs w:val="22"/>
        </w:rPr>
        <w:t>r)</w:t>
      </w:r>
      <w:r>
        <w:rPr>
          <w:sz w:val="22"/>
          <w:szCs w:val="22"/>
        </w:rPr>
        <w:tab/>
        <w:t>Health and safety; and</w:t>
      </w:r>
    </w:p>
    <w:p w:rsidR="00D71D71" w:rsidRDefault="00D71D71" w:rsidP="00D71D71">
      <w:pPr>
        <w:pStyle w:val="Bodycopy"/>
        <w:ind w:left="1418"/>
        <w:rPr>
          <w:sz w:val="22"/>
          <w:szCs w:val="22"/>
        </w:rPr>
      </w:pPr>
      <w:r>
        <w:rPr>
          <w:sz w:val="22"/>
          <w:szCs w:val="22"/>
        </w:rPr>
        <w:t>s)</w:t>
      </w:r>
      <w:r>
        <w:rPr>
          <w:sz w:val="22"/>
          <w:szCs w:val="22"/>
        </w:rPr>
        <w:tab/>
        <w:t>Report writing.</w:t>
      </w:r>
    </w:p>
    <w:p w:rsidR="00D71D71" w:rsidRDefault="00D71D71" w:rsidP="00D71D71">
      <w:pPr>
        <w:pStyle w:val="Bodycopy"/>
        <w:ind w:left="1440" w:hanging="1309"/>
        <w:rPr>
          <w:sz w:val="22"/>
          <w:szCs w:val="22"/>
        </w:rPr>
      </w:pPr>
    </w:p>
    <w:p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6.15.4</w:t>
      </w:r>
      <w:r>
        <w:rPr>
          <w:sz w:val="22"/>
          <w:szCs w:val="22"/>
        </w:rPr>
        <w:tab/>
        <w:t>The Service Provider shall, ensure that all its senior and operational management Staff are familiar with the principles of the Authority’s incident control arrangements and structures.</w:t>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Control and restraint;</w:t>
      </w:r>
    </w:p>
    <w:p w:rsidR="00D71D71" w:rsidRDefault="00D71D71" w:rsidP="00D71D71">
      <w:pPr>
        <w:pStyle w:val="Bodycopy"/>
        <w:ind w:left="1418"/>
        <w:rPr>
          <w:sz w:val="22"/>
          <w:szCs w:val="22"/>
        </w:rPr>
      </w:pPr>
      <w:r>
        <w:rPr>
          <w:sz w:val="22"/>
          <w:szCs w:val="22"/>
        </w:rPr>
        <w:t>b)</w:t>
      </w:r>
      <w:r>
        <w:rPr>
          <w:sz w:val="22"/>
          <w:szCs w:val="22"/>
        </w:rPr>
        <w:tab/>
        <w:t>Anti-bullying;</w:t>
      </w:r>
    </w:p>
    <w:p w:rsidR="00D71D71" w:rsidRDefault="00D71D71" w:rsidP="00D71D71">
      <w:pPr>
        <w:pStyle w:val="Bodycopy"/>
        <w:ind w:left="1418"/>
        <w:rPr>
          <w:sz w:val="22"/>
          <w:szCs w:val="22"/>
        </w:rPr>
      </w:pPr>
      <w:r>
        <w:rPr>
          <w:sz w:val="22"/>
          <w:szCs w:val="22"/>
        </w:rPr>
        <w:t>c)</w:t>
      </w:r>
      <w:r>
        <w:rPr>
          <w:sz w:val="22"/>
          <w:szCs w:val="22"/>
        </w:rPr>
        <w:tab/>
        <w:t>Child protection and safeguarding children;</w:t>
      </w:r>
    </w:p>
    <w:p w:rsidR="00D71D71" w:rsidRDefault="00D71D71" w:rsidP="00D71D71">
      <w:pPr>
        <w:pStyle w:val="Bodycopy"/>
        <w:ind w:left="1418"/>
        <w:rPr>
          <w:sz w:val="22"/>
          <w:szCs w:val="22"/>
        </w:rPr>
      </w:pPr>
      <w:r>
        <w:rPr>
          <w:sz w:val="22"/>
          <w:szCs w:val="22"/>
        </w:rPr>
        <w:t>d)</w:t>
      </w:r>
      <w:r>
        <w:rPr>
          <w:sz w:val="22"/>
          <w:szCs w:val="22"/>
        </w:rPr>
        <w:tab/>
        <w:t>Cultural awareness;</w:t>
      </w:r>
    </w:p>
    <w:p w:rsidR="00D71D71" w:rsidRDefault="00D71D71" w:rsidP="00D71D71">
      <w:pPr>
        <w:pStyle w:val="Bodycopy"/>
        <w:ind w:left="1418"/>
        <w:rPr>
          <w:sz w:val="22"/>
          <w:szCs w:val="22"/>
        </w:rPr>
      </w:pPr>
      <w:r>
        <w:rPr>
          <w:sz w:val="22"/>
          <w:szCs w:val="22"/>
        </w:rPr>
        <w:lastRenderedPageBreak/>
        <w:t>e)</w:t>
      </w:r>
      <w:r>
        <w:rPr>
          <w:sz w:val="22"/>
          <w:szCs w:val="22"/>
        </w:rPr>
        <w:tab/>
        <w:t>First aid; and</w:t>
      </w:r>
    </w:p>
    <w:p w:rsidR="00D71D71" w:rsidRDefault="00D71D71" w:rsidP="00D71D71">
      <w:pPr>
        <w:pStyle w:val="Bodycopy"/>
        <w:ind w:left="1418"/>
        <w:rPr>
          <w:sz w:val="22"/>
          <w:szCs w:val="22"/>
        </w:rPr>
      </w:pPr>
      <w:r>
        <w:rPr>
          <w:sz w:val="22"/>
          <w:szCs w:val="22"/>
        </w:rPr>
        <w:t>f)</w:t>
      </w:r>
      <w:r>
        <w:rPr>
          <w:sz w:val="22"/>
          <w:szCs w:val="22"/>
        </w:rPr>
        <w:tab/>
        <w:t>PCC.</w:t>
      </w:r>
    </w:p>
    <w:p w:rsidR="00D71D71" w:rsidRDefault="00D71D71" w:rsidP="00D71D71">
      <w:pPr>
        <w:pStyle w:val="Bodycopy"/>
        <w:ind w:left="1440" w:hanging="720"/>
        <w:rPr>
          <w:sz w:val="22"/>
          <w:szCs w:val="22"/>
        </w:rPr>
      </w:pPr>
    </w:p>
    <w:p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6.15.7</w:t>
      </w:r>
      <w:r>
        <w:rPr>
          <w:sz w:val="22"/>
          <w:szCs w:val="22"/>
        </w:rPr>
        <w:tab/>
        <w:t>The Service Provider shall make available to the Authority all training records which shall identify the names of Staff having undertaken training, the date of training, the level of standard achieved, qualification obtained, length of qualification and planned training.</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6.16.3</w:t>
      </w:r>
      <w:r>
        <w:rPr>
          <w:sz w:val="22"/>
          <w:szCs w:val="22"/>
        </w:rPr>
        <w:tab/>
        <w:t>The Service Provider shall establish a Health and Safety Committee with sufficient representatives to cover all Services and locations.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rsidR="00D71D71" w:rsidRDefault="00D71D71" w:rsidP="00D71D71">
      <w:pPr>
        <w:pStyle w:val="Bodycopy"/>
        <w:ind w:left="1440" w:hanging="720"/>
        <w:rPr>
          <w:sz w:val="22"/>
          <w:szCs w:val="22"/>
        </w:rPr>
      </w:pPr>
    </w:p>
    <w:p w:rsidR="00D71D71" w:rsidRDefault="00D71D71" w:rsidP="00D71D71">
      <w:pPr>
        <w:pStyle w:val="Bodycopy"/>
        <w:numPr>
          <w:ilvl w:val="0"/>
          <w:numId w:val="12"/>
        </w:numPr>
        <w:ind w:left="1701" w:hanging="283"/>
        <w:rPr>
          <w:sz w:val="22"/>
          <w:szCs w:val="22"/>
        </w:rPr>
      </w:pPr>
      <w:r>
        <w:rPr>
          <w:sz w:val="22"/>
          <w:szCs w:val="22"/>
        </w:rPr>
        <w:t>Risk assessment procedures;</w:t>
      </w:r>
    </w:p>
    <w:p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rsidR="00D71D71" w:rsidRDefault="00D71D71" w:rsidP="00D71D71">
      <w:pPr>
        <w:pStyle w:val="Bodycopy"/>
        <w:ind w:left="2160" w:hanging="720"/>
        <w:rPr>
          <w:sz w:val="22"/>
          <w:szCs w:val="22"/>
        </w:rPr>
      </w:pPr>
    </w:p>
    <w:p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rsidR="00D71D71" w:rsidRDefault="00D71D71" w:rsidP="00D71D71">
      <w:pPr>
        <w:pStyle w:val="Bodycopy"/>
        <w:ind w:left="1440" w:hanging="720"/>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lastRenderedPageBreak/>
        <w:t>6.17</w:t>
      </w:r>
      <w:r>
        <w:rPr>
          <w:sz w:val="22"/>
          <w:szCs w:val="22"/>
        </w:rPr>
        <w:tab/>
      </w:r>
      <w:r>
        <w:rPr>
          <w:sz w:val="22"/>
          <w:szCs w:val="22"/>
          <w:u w:val="single"/>
        </w:rPr>
        <w:t>Fire Prevention</w:t>
      </w:r>
    </w:p>
    <w:p w:rsidR="00D71D71" w:rsidRDefault="00D71D71" w:rsidP="00D71D71">
      <w:pPr>
        <w:pStyle w:val="Bodycopy"/>
        <w:ind w:left="1418" w:hanging="851"/>
        <w:rPr>
          <w:sz w:val="22"/>
          <w:szCs w:val="22"/>
          <w:u w:val="single"/>
        </w:rPr>
      </w:pPr>
    </w:p>
    <w:p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rsidR="00D71D71" w:rsidRDefault="00D71D71" w:rsidP="00D71D71">
      <w:pPr>
        <w:pStyle w:val="Bodycopy"/>
        <w:rPr>
          <w:sz w:val="22"/>
          <w:szCs w:val="22"/>
        </w:rPr>
      </w:pPr>
    </w:p>
    <w:p w:rsidR="00885735" w:rsidRDefault="00885735" w:rsidP="00D71D71">
      <w:pPr>
        <w:pStyle w:val="Bodycopy"/>
        <w:rPr>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rsidR="00D71D71" w:rsidRDefault="00D71D71" w:rsidP="00D71D71">
      <w:pPr>
        <w:pStyle w:val="Bodycopy"/>
        <w:rPr>
          <w:color w:val="000000"/>
          <w:sz w:val="22"/>
          <w:szCs w:val="22"/>
        </w:rPr>
      </w:pPr>
    </w:p>
    <w:p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rsidR="00D71D71" w:rsidRDefault="00D71D71" w:rsidP="00D71D71">
      <w:pPr>
        <w:pStyle w:val="Bodycopy"/>
        <w:ind w:left="1418" w:hanging="851"/>
        <w:rPr>
          <w:color w:val="000000"/>
          <w:sz w:val="22"/>
          <w:szCs w:val="22"/>
          <w:u w:val="single"/>
        </w:rPr>
      </w:pPr>
    </w:p>
    <w:p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Authority as appropriate where the Holding Rooms facilities do not meet agreed standards, are unsafe or present a risk to health and safety. Where the matter remains unresolved the Service Provider will be expected to liaise with the Authority and Port Authority where appropriate to seek resolution.</w:t>
      </w:r>
    </w:p>
    <w:p w:rsidR="00D71D71" w:rsidRDefault="00D71D71" w:rsidP="00D71D71">
      <w:pPr>
        <w:pStyle w:val="Bodycopy"/>
        <w:tabs>
          <w:tab w:val="left" w:pos="851"/>
        </w:tabs>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rsidR="00D71D71" w:rsidRDefault="00D71D71" w:rsidP="00D71D71">
      <w:pPr>
        <w:pStyle w:val="Bodycopy"/>
        <w:ind w:left="1418" w:hanging="851"/>
        <w:rPr>
          <w:color w:val="000000"/>
          <w:sz w:val="22"/>
          <w:szCs w:val="22"/>
        </w:rPr>
      </w:pPr>
    </w:p>
    <w:p w:rsidR="00CD422C" w:rsidRDefault="00CD422C" w:rsidP="00D71D71">
      <w:pPr>
        <w:pStyle w:val="Bodycopy"/>
        <w:ind w:left="1418" w:hanging="851"/>
        <w:rPr>
          <w:color w:val="000000"/>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OPERATIONAL REQUIREMENTS</w:t>
      </w:r>
    </w:p>
    <w:p w:rsidR="00D71D71" w:rsidRDefault="00D71D71" w:rsidP="00D71D71">
      <w:pPr>
        <w:pStyle w:val="Bodycopy"/>
        <w:ind w:left="1418" w:hanging="851"/>
        <w:rPr>
          <w:b/>
          <w:color w:val="8F23B3"/>
          <w:sz w:val="22"/>
          <w:szCs w:val="22"/>
        </w:rPr>
      </w:pPr>
    </w:p>
    <w:p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rsidR="00D71D71" w:rsidRDefault="00D71D71" w:rsidP="00D71D71">
      <w:pPr>
        <w:pStyle w:val="Bodycopy"/>
        <w:ind w:left="1418" w:hanging="851"/>
        <w:rPr>
          <w:color w:val="000000"/>
          <w:sz w:val="22"/>
          <w:szCs w:val="22"/>
          <w:u w:val="single"/>
        </w:rPr>
      </w:pPr>
    </w:p>
    <w:p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 xml:space="preserve">The Service Provider shall regularly check, as a minimum every hour (and fifteen minutes for Children and Unaccompanied Minors), the </w:t>
      </w:r>
      <w:r>
        <w:rPr>
          <w:color w:val="000000"/>
          <w:sz w:val="22"/>
          <w:szCs w:val="22"/>
        </w:rPr>
        <w:lastRenderedPageBreak/>
        <w:t>presence and wellbeing of each Detainee in the Holding Rooms, take action to resolve or mitigate any issues or concerns and record the issues, concerns and action taken.</w:t>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rsidR="00D71D71" w:rsidRDefault="00D71D71" w:rsidP="00D71D71">
      <w:pPr>
        <w:pStyle w:val="Bodycopy"/>
        <w:ind w:left="1418" w:hanging="851"/>
        <w:rPr>
          <w:color w:val="000000"/>
          <w:sz w:val="22"/>
          <w:szCs w:val="22"/>
        </w:rPr>
      </w:pPr>
    </w:p>
    <w:p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rsidR="00D71D71" w:rsidRDefault="00D71D71" w:rsidP="00D71D71">
      <w:pPr>
        <w:pStyle w:val="Bodycopy"/>
        <w:ind w:left="1440"/>
        <w:rPr>
          <w:color w:val="000000"/>
          <w:sz w:val="22"/>
          <w:szCs w:val="22"/>
        </w:rPr>
      </w:pPr>
    </w:p>
    <w:p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rsidR="00D71D71" w:rsidRDefault="00D71D71" w:rsidP="00D71D71">
      <w:pPr>
        <w:pStyle w:val="Bodycopy"/>
        <w:ind w:left="1440" w:hanging="720"/>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rsidR="00D71D71" w:rsidRDefault="00D71D71" w:rsidP="00D71D71">
      <w:pPr>
        <w:pStyle w:val="Bodycopy"/>
        <w:ind w:left="1440" w:hanging="720"/>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rsidR="00D71D71" w:rsidRDefault="00D71D71" w:rsidP="00D71D71">
      <w:pPr>
        <w:pStyle w:val="Bodycopy"/>
        <w:ind w:left="2160" w:hanging="720"/>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8.2.4</w:t>
      </w:r>
      <w:r>
        <w:rPr>
          <w:color w:val="000000"/>
          <w:sz w:val="22"/>
          <w:szCs w:val="22"/>
        </w:rPr>
        <w:tab/>
        <w:t xml:space="preserve">The Service Provider shall ensure that there is full compliance with relevant DfT requirements and those of the relevant Port Operator with regards to working and operating dockside.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Authority and accommodation provider are immediately notified of any matters of concern regarding the integrity of physical security systems and arrangements.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8.4.2</w:t>
      </w:r>
      <w:r>
        <w:rPr>
          <w:color w:val="000000"/>
          <w:sz w:val="22"/>
          <w:szCs w:val="22"/>
        </w:rPr>
        <w:tab/>
        <w:t>Where CCTV is provided in a Holding Room, the Service Provider shall ensure that any fault with the system is immediately reported to the Authority, the Port Operator or other accommodation provider as appropriate.</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The Service Provider may in the case of a medical emergency remove a Detainee from a Holding Room without the written instructions of the Authority, but the Service Provider shall immediately notify the Authority verbally, and in writing within 24 hours of the incident.</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Authority of all such incidents within one (1) hour of the incident. The Service Provider shall always endeavour to maintain custody of the Detainee provided it does not endanger the Detainee.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Authority.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The Service Provider, wherever possible, shall ensure that any Detainee being escorted is at all times accompanied by at least two (2) DCOs, at least one (1) of whom shall be of the same gender as the Detainee</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w:t>
      </w:r>
      <w:r>
        <w:rPr>
          <w:color w:val="000000"/>
          <w:sz w:val="22"/>
          <w:szCs w:val="22"/>
        </w:rPr>
        <w:lastRenderedPageBreak/>
        <w:t xml:space="preserve">determined by a risk assessment and agreed with the Authority, are maintained during all required operating hours. </w:t>
      </w:r>
    </w:p>
    <w:p w:rsidR="00D71D71" w:rsidRDefault="00D71D71" w:rsidP="00D71D71">
      <w:pPr>
        <w:pStyle w:val="Bodycopy"/>
        <w:ind w:left="1418" w:hanging="851"/>
        <w:rPr>
          <w:color w:val="000000"/>
          <w:sz w:val="22"/>
          <w:szCs w:val="22"/>
        </w:rPr>
      </w:pPr>
    </w:p>
    <w:p w:rsidR="00D71D71" w:rsidRDefault="00D71D71" w:rsidP="00D71D71">
      <w:pPr>
        <w:pStyle w:val="Bodycopy"/>
        <w:ind w:firstLine="567"/>
        <w:rPr>
          <w:color w:val="000000"/>
          <w:sz w:val="22"/>
          <w:szCs w:val="22"/>
        </w:rPr>
      </w:pPr>
      <w:r>
        <w:rPr>
          <w:color w:val="000000"/>
          <w:sz w:val="22"/>
          <w:szCs w:val="22"/>
        </w:rPr>
        <w:t>8.6.2</w:t>
      </w:r>
      <w:r>
        <w:rPr>
          <w:color w:val="000000"/>
          <w:sz w:val="22"/>
          <w:szCs w:val="22"/>
        </w:rPr>
        <w:tab/>
        <w:t>Services shall be provided as detailed below.</w:t>
      </w:r>
    </w:p>
    <w:p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The holding room will be manned on an ad-hoc basis, upon the request of the Authority, for the hours specified by the Authority for the specific request.</w:t>
            </w:r>
          </w:p>
        </w:tc>
      </w:tr>
      <w:tr w:rsidR="00D71D71"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or other time period as specified by the Authority, where a response time in excess of 30 minutes is requested by the Authority.</w:t>
            </w:r>
          </w:p>
        </w:tc>
      </w:tr>
      <w:tr w:rsidR="00D71D71"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Hours provided to be suitably evidenced (namely times shown on the IS91) for invoicing purposes and submitted to the Authority for assurance purposes.</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rsidR="00D71D71" w:rsidRDefault="00D71D71"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Authority requirements.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Authority in the event of Holding Room capacity being reached or nearing being reached and shall assist the Authority with contingency actions that result. </w:t>
      </w:r>
    </w:p>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Authority to waive this requirement for that Detainee, or the Service Provider’s risk assessment indicates that to do so would present too great a risk for a female DCO.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Border Force Duty Officer is immediately notified of the presence of a Child or </w:t>
      </w:r>
      <w:r>
        <w:rPr>
          <w:color w:val="000000"/>
          <w:sz w:val="22"/>
          <w:szCs w:val="22"/>
        </w:rPr>
        <w:lastRenderedPageBreak/>
        <w:t>Unaccompanied Minor in the Holding Room and thereafter every two (2) hours.</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Authority, and thereafter every three (3) hours, of the Detainee’s continued detention.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Where the quality standards of a Holding Room fall below the National Standards for Holding Rooms and where the Service Provider does not have the authority to rectify the failure, the Service Provider shall immediately notify the Authority and/or Port Operator (if appropriate).</w:t>
      </w:r>
    </w:p>
    <w:p w:rsidR="00D71D71" w:rsidRDefault="00D71D71" w:rsidP="00D71D71">
      <w:pPr>
        <w:pStyle w:val="Bodycopy"/>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Authority’s or the Port Operator’s obligation to provide cleaning services, the Service Provider shall ensure that the Holding Rooms are kept generally clean and tidy at all times.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The Service Provider shall advise the Authority, the Port Operator or other accommodation provider as appropriate where the standard of cleaning carried out by others falls below advised standards.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rsidR="005E5FA7" w:rsidRDefault="005E5FA7"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 xml:space="preserve">The Service Provider shall ensure that the supply, transport and storage arrangements for food and all associated food facilities, </w:t>
      </w:r>
      <w:r>
        <w:rPr>
          <w:color w:val="000000"/>
          <w:sz w:val="22"/>
          <w:szCs w:val="22"/>
        </w:rPr>
        <w:lastRenderedPageBreak/>
        <w:t>processes and practices comply with all relevant food safety legislation, which shall include the training of Staff in appropriate food handling procedures.</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rsidR="00D71D71" w:rsidRDefault="00D71D71" w:rsidP="00D71D71">
      <w:pPr>
        <w:pStyle w:val="Bodycopy"/>
        <w:ind w:left="1418" w:hanging="851"/>
        <w:rPr>
          <w:color w:val="000000"/>
          <w:sz w:val="22"/>
          <w:szCs w:val="22"/>
        </w:rPr>
      </w:pPr>
    </w:p>
    <w:p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rsidR="00D71D71" w:rsidRDefault="00D71D71" w:rsidP="00D71D71">
      <w:pPr>
        <w:pStyle w:val="Bodycopy"/>
        <w:ind w:left="1418" w:hanging="851"/>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the procedures for accessing and obtaining legal advice unless advised otherwise by the Authority;</w:t>
      </w:r>
    </w:p>
    <w:p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rsidR="00D71D71" w:rsidRDefault="00D71D71" w:rsidP="00D71D71">
      <w:pPr>
        <w:pStyle w:val="Bodycopy"/>
        <w:ind w:left="1701" w:hanging="283"/>
        <w:rPr>
          <w:color w:val="000000"/>
          <w:sz w:val="22"/>
          <w:szCs w:val="22"/>
        </w:rPr>
      </w:pPr>
      <w:r>
        <w:rPr>
          <w:color w:val="000000"/>
          <w:sz w:val="22"/>
          <w:szCs w:val="22"/>
        </w:rPr>
        <w:t>h)</w:t>
      </w:r>
      <w:r>
        <w:rPr>
          <w:color w:val="000000"/>
          <w:sz w:val="22"/>
          <w:szCs w:val="22"/>
        </w:rPr>
        <w:tab/>
        <w:t>Diversity Policy.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Authority, </w:t>
      </w:r>
      <w:r>
        <w:rPr>
          <w:color w:val="000000"/>
          <w:sz w:val="22"/>
          <w:szCs w:val="22"/>
        </w:rPr>
        <w:lastRenderedPageBreak/>
        <w:t xml:space="preserve">including where such direction is at very short notice and ensure the Detainee is ready for transfer or release at the correct time.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Authority.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The Service Provider shall ensure that only Official Visitors, which may include but are not limited to ministers of religion and social workers, and have been authorised by the Authority, are permitted to visit a Detainee who is detained in a Holding Room.</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Authority or where a risk assessment justifies access being denied on the grounds of a threat to the safety and security of the Detainee, Staff or any other person.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The Service Provider shall in cooperation with the Authority develop a Fire Strategy for each Holding Room location, to include but not be limited to fire and evacuation plans and procedures for Staff and Detainees in their custody that relate to an analysis of local risks, comply with local evacuation and fire procedures, and maintain custody of Detainees where it is safe to do so.</w:t>
      </w: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Authority.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Authority maintain and update the Fire Strategies annually prior to each anniversary of the Commencement Date, or as may be needed by changing circumstances, such as changes in Authority policies, new technology and changes in legislation etc, to ensure continued compliance with the Service requirement and any Authority strategies. Any change to </w:t>
      </w:r>
      <w:r>
        <w:rPr>
          <w:color w:val="000000"/>
          <w:sz w:val="22"/>
          <w:szCs w:val="22"/>
        </w:rPr>
        <w:lastRenderedPageBreak/>
        <w:t xml:space="preserve">the Fire Strategy shall follow the change control procedure described in the Contract.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rsidR="00D71D71" w:rsidRDefault="00D71D71" w:rsidP="00D71D71">
      <w:pPr>
        <w:spacing w:line="480" w:lineRule="auto"/>
        <w:jc w:val="center"/>
        <w:rPr>
          <w:rFonts w:ascii="Arial" w:hAnsi="Arial"/>
          <w:sz w:val="20"/>
          <w:szCs w:val="20"/>
        </w:rPr>
      </w:pPr>
    </w:p>
    <w:p w:rsidR="009715AD" w:rsidRDefault="000B0A24" w:rsidP="009715AD">
      <w:pPr>
        <w:pStyle w:val="Subheading1"/>
        <w:numPr>
          <w:ilvl w:val="0"/>
          <w:numId w:val="2"/>
        </w:numPr>
        <w:tabs>
          <w:tab w:val="left" w:pos="993"/>
          <w:tab w:val="left" w:pos="1418"/>
        </w:tabs>
        <w:rPr>
          <w:sz w:val="22"/>
          <w:szCs w:val="22"/>
        </w:rPr>
      </w:pPr>
      <w:r>
        <w:rPr>
          <w:sz w:val="22"/>
          <w:szCs w:val="22"/>
        </w:rPr>
        <w:t xml:space="preserve">           </w:t>
      </w:r>
      <w:r w:rsidR="00894702">
        <w:rPr>
          <w:sz w:val="22"/>
          <w:szCs w:val="22"/>
        </w:rPr>
        <w:t xml:space="preserve"> </w:t>
      </w:r>
      <w:r w:rsidR="003F192B">
        <w:rPr>
          <w:sz w:val="22"/>
          <w:szCs w:val="22"/>
        </w:rPr>
        <w:t>Pricing</w:t>
      </w:r>
    </w:p>
    <w:p w:rsidR="009715AD" w:rsidRDefault="009715AD" w:rsidP="009715AD">
      <w:pPr>
        <w:pStyle w:val="Bodycopy"/>
        <w:rPr>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rsidR="003F192B" w:rsidRDefault="003F192B" w:rsidP="003F192B">
      <w:pPr>
        <w:jc w:val="both"/>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Table 1 below Sets out the proposed charges including a charge rate for Bank Holidays for providing the Services set out in the Service Description for provision of Detention and Escorting Service at Harwich International Port.</w:t>
      </w:r>
    </w:p>
    <w:p w:rsidR="003F192B" w:rsidRDefault="003F192B" w:rsidP="003F192B">
      <w:pPr>
        <w:jc w:val="both"/>
        <w:rPr>
          <w:rFonts w:ascii="Arial" w:hAnsi="Arial" w:cs="Arial"/>
          <w:sz w:val="22"/>
          <w:szCs w:val="22"/>
        </w:rPr>
      </w:pPr>
    </w:p>
    <w:p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701"/>
        <w:gridCol w:w="2033"/>
        <w:gridCol w:w="1919"/>
      </w:tblGrid>
      <w:tr w:rsidR="003F192B" w:rsidTr="00894702">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Charge Rate per officer or detainee</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rsidTr="00894702">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rsidR="003F192B" w:rsidRDefault="003F192B" w:rsidP="003F192B">
            <w:pPr>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581"/>
          <w:jc w:val="right"/>
        </w:trPr>
        <w:tc>
          <w:tcPr>
            <w:tcW w:w="5609" w:type="dxa"/>
            <w:gridSpan w:val="3"/>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p>
          <w:p w:rsidR="003F192B" w:rsidRDefault="003F192B" w:rsidP="003F192B">
            <w:pPr>
              <w:suppressAutoHyphens/>
              <w:jc w:val="right"/>
              <w:rPr>
                <w:rFonts w:ascii="Arial" w:hAnsi="Arial" w:cs="Arial"/>
                <w:b/>
                <w:sz w:val="22"/>
                <w:szCs w:val="22"/>
              </w:rPr>
            </w:pP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b/>
                <w:sz w:val="22"/>
                <w:szCs w:val="22"/>
              </w:rPr>
            </w:pPr>
          </w:p>
        </w:tc>
      </w:tr>
      <w:tr w:rsidR="003F192B" w:rsidTr="00894702">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Custody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rPr>
                <w:rFonts w:ascii="Arial" w:hAnsi="Arial" w:cs="Arial"/>
                <w:b/>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bl>
    <w:p w:rsidR="003F192B" w:rsidRDefault="003F192B" w:rsidP="003F192B">
      <w:pPr>
        <w:spacing w:line="480" w:lineRule="auto"/>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b/>
          <w:sz w:val="22"/>
          <w:szCs w:val="22"/>
        </w:rPr>
      </w:pPr>
      <w:r w:rsidRPr="000B0A24">
        <w:rPr>
          <w:rFonts w:ascii="Arial" w:hAnsi="Arial" w:cs="Arial"/>
          <w:sz w:val="22"/>
          <w:szCs w:val="22"/>
        </w:rPr>
        <w:t xml:space="preserve">The </w:t>
      </w:r>
      <w:r w:rsidR="000B0A24">
        <w:rPr>
          <w:rFonts w:ascii="Arial" w:hAnsi="Arial" w:cs="Arial"/>
          <w:sz w:val="22"/>
          <w:szCs w:val="22"/>
        </w:rPr>
        <w:t>p</w:t>
      </w:r>
      <w:r w:rsidRPr="000B0A24">
        <w:rPr>
          <w:rFonts w:ascii="Arial" w:hAnsi="Arial" w:cs="Arial"/>
          <w:sz w:val="22"/>
          <w:szCs w:val="22"/>
        </w:rPr>
        <w:t xml:space="preserve">rices </w:t>
      </w:r>
      <w:r w:rsidR="000B0A24">
        <w:rPr>
          <w:rFonts w:ascii="Arial" w:hAnsi="Arial" w:cs="Arial"/>
          <w:sz w:val="22"/>
          <w:szCs w:val="22"/>
        </w:rPr>
        <w:t xml:space="preserve">offered </w:t>
      </w:r>
      <w:r w:rsidRPr="000B0A24">
        <w:rPr>
          <w:rFonts w:ascii="Arial" w:hAnsi="Arial" w:cs="Arial"/>
          <w:sz w:val="22"/>
          <w:szCs w:val="22"/>
        </w:rPr>
        <w:t xml:space="preserve">shall be firm and fixed from the Contract award date, and apply to </w:t>
      </w:r>
      <w:r w:rsidR="00847CB4" w:rsidRPr="000B0A24">
        <w:rPr>
          <w:rFonts w:ascii="Arial" w:hAnsi="Arial" w:cs="Arial"/>
          <w:sz w:val="22"/>
          <w:szCs w:val="22"/>
        </w:rPr>
        <w:t xml:space="preserve">all orders placed during </w:t>
      </w:r>
      <w:r w:rsidRPr="000B0A24">
        <w:rPr>
          <w:rFonts w:ascii="Arial" w:hAnsi="Arial" w:cs="Arial"/>
          <w:sz w:val="22"/>
          <w:szCs w:val="22"/>
        </w:rPr>
        <w:t xml:space="preserve">the </w:t>
      </w:r>
      <w:r w:rsidR="00847CB4" w:rsidRPr="000B0A24">
        <w:rPr>
          <w:rFonts w:ascii="Arial" w:hAnsi="Arial" w:cs="Arial"/>
          <w:sz w:val="22"/>
          <w:szCs w:val="22"/>
        </w:rPr>
        <w:t xml:space="preserve">entire </w:t>
      </w:r>
      <w:r w:rsidRPr="000B0A24">
        <w:rPr>
          <w:rFonts w:ascii="Arial" w:hAnsi="Arial" w:cs="Arial"/>
          <w:sz w:val="22"/>
          <w:szCs w:val="22"/>
        </w:rPr>
        <w:t>duration of the Contract</w:t>
      </w:r>
      <w:r w:rsidR="00213C30">
        <w:rPr>
          <w:rFonts w:ascii="Arial" w:hAnsi="Arial" w:cs="Arial"/>
          <w:sz w:val="22"/>
          <w:szCs w:val="22"/>
        </w:rPr>
        <w:t xml:space="preserve"> (from 1</w:t>
      </w:r>
      <w:r w:rsidR="00213C30" w:rsidRPr="00213C30">
        <w:rPr>
          <w:rFonts w:ascii="Arial" w:hAnsi="Arial" w:cs="Arial"/>
          <w:sz w:val="22"/>
          <w:szCs w:val="22"/>
          <w:vertAlign w:val="superscript"/>
        </w:rPr>
        <w:t>st</w:t>
      </w:r>
      <w:r w:rsidR="00213C30">
        <w:rPr>
          <w:rFonts w:ascii="Arial" w:hAnsi="Arial" w:cs="Arial"/>
          <w:sz w:val="22"/>
          <w:szCs w:val="22"/>
        </w:rPr>
        <w:t xml:space="preserve"> June 2018 to 31</w:t>
      </w:r>
      <w:r w:rsidR="00213C30" w:rsidRPr="00213C30">
        <w:rPr>
          <w:rFonts w:ascii="Arial" w:hAnsi="Arial" w:cs="Arial"/>
          <w:sz w:val="22"/>
          <w:szCs w:val="22"/>
          <w:vertAlign w:val="superscript"/>
        </w:rPr>
        <w:t>st</w:t>
      </w:r>
      <w:r w:rsidR="00213C30">
        <w:rPr>
          <w:rFonts w:ascii="Arial" w:hAnsi="Arial" w:cs="Arial"/>
          <w:sz w:val="22"/>
          <w:szCs w:val="22"/>
        </w:rPr>
        <w:t xml:space="preserve"> May 2021</w:t>
      </w:r>
      <w:r w:rsidRPr="000B0A24">
        <w:rPr>
          <w:rFonts w:ascii="Arial" w:hAnsi="Arial" w:cs="Arial"/>
          <w:sz w:val="22"/>
          <w:szCs w:val="22"/>
        </w:rPr>
        <w:t>.</w:t>
      </w:r>
      <w:r w:rsidR="00213C30">
        <w:rPr>
          <w:rFonts w:ascii="Arial" w:hAnsi="Arial" w:cs="Arial"/>
          <w:sz w:val="22"/>
          <w:szCs w:val="22"/>
        </w:rPr>
        <w:t>)</w:t>
      </w:r>
      <w:bookmarkStart w:id="2" w:name="_GoBack"/>
      <w:bookmarkEnd w:id="2"/>
    </w:p>
    <w:p w:rsidR="003F192B" w:rsidRDefault="003F192B" w:rsidP="009715AD">
      <w:pPr>
        <w:jc w:val="both"/>
        <w:rPr>
          <w:rFonts w:ascii="Arial" w:hAnsi="Arial" w:cs="Arial"/>
          <w:sz w:val="22"/>
          <w:szCs w:val="22"/>
        </w:rPr>
      </w:pPr>
    </w:p>
    <w:p w:rsidR="003F192B" w:rsidRDefault="003F192B" w:rsidP="009715AD">
      <w:pPr>
        <w:jc w:val="both"/>
        <w:rPr>
          <w:rFonts w:ascii="Arial" w:hAnsi="Arial" w:cs="Arial"/>
          <w:sz w:val="22"/>
          <w:szCs w:val="22"/>
        </w:rPr>
      </w:pPr>
    </w:p>
    <w:p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rsidR="003F192B" w:rsidRDefault="003F192B" w:rsidP="009715AD">
      <w:pPr>
        <w:jc w:val="both"/>
        <w:rPr>
          <w:rFonts w:ascii="Arial" w:hAnsi="Arial" w:cs="Arial"/>
          <w:sz w:val="22"/>
          <w:szCs w:val="22"/>
        </w:rPr>
      </w:pPr>
    </w:p>
    <w:p w:rsidR="000B0A24" w:rsidRDefault="000B0A24" w:rsidP="000B0A24">
      <w:pPr>
        <w:pStyle w:val="ListParagraph"/>
        <w:numPr>
          <w:ilvl w:val="1"/>
          <w:numId w:val="2"/>
        </w:numPr>
        <w:jc w:val="both"/>
        <w:rPr>
          <w:rFonts w:ascii="Arial" w:hAnsi="Arial" w:cs="Arial"/>
          <w:sz w:val="22"/>
          <w:szCs w:val="22"/>
        </w:rPr>
      </w:pPr>
      <w:r>
        <w:rPr>
          <w:rFonts w:ascii="Arial" w:hAnsi="Arial" w:cs="Arial"/>
          <w:sz w:val="22"/>
          <w:szCs w:val="22"/>
        </w:rPr>
        <w:t xml:space="preserve">Any queries should be made in writing and sent to e-mail address </w:t>
      </w:r>
      <w:r w:rsidRPr="000B0A24">
        <w:rPr>
          <w:rFonts w:ascii="Arial" w:hAnsi="Arial" w:cs="Arial"/>
          <w:color w:val="00B050"/>
          <w:sz w:val="22"/>
          <w:szCs w:val="22"/>
        </w:rPr>
        <w:t>Paul.Tooke@homeoffice.gsi.gov.uk</w:t>
      </w:r>
      <w:r>
        <w:rPr>
          <w:rFonts w:ascii="Arial" w:hAnsi="Arial" w:cs="Arial"/>
          <w:sz w:val="22"/>
          <w:szCs w:val="22"/>
        </w:rPr>
        <w:t xml:space="preserve"> on or before </w:t>
      </w:r>
      <w:r w:rsidR="008D2A02">
        <w:rPr>
          <w:rFonts w:ascii="Arial" w:hAnsi="Arial" w:cs="Arial"/>
          <w:sz w:val="22"/>
          <w:szCs w:val="22"/>
        </w:rPr>
        <w:t>16.00 hours o</w:t>
      </w:r>
      <w:r>
        <w:rPr>
          <w:rFonts w:ascii="Arial" w:hAnsi="Arial" w:cs="Arial"/>
          <w:sz w:val="22"/>
          <w:szCs w:val="22"/>
        </w:rPr>
        <w:t xml:space="preserve">n </w:t>
      </w:r>
      <w:r w:rsidR="008D2A02">
        <w:rPr>
          <w:rFonts w:ascii="Arial" w:hAnsi="Arial" w:cs="Arial"/>
          <w:sz w:val="22"/>
          <w:szCs w:val="22"/>
        </w:rPr>
        <w:t>Wednesday 11</w:t>
      </w:r>
      <w:r w:rsidR="008D2A02" w:rsidRPr="008D2A02">
        <w:rPr>
          <w:rFonts w:ascii="Arial" w:hAnsi="Arial" w:cs="Arial"/>
          <w:sz w:val="22"/>
          <w:szCs w:val="22"/>
          <w:vertAlign w:val="superscript"/>
        </w:rPr>
        <w:t>th</w:t>
      </w:r>
      <w:r w:rsidR="008D2A02">
        <w:rPr>
          <w:rFonts w:ascii="Arial" w:hAnsi="Arial" w:cs="Arial"/>
          <w:sz w:val="22"/>
          <w:szCs w:val="22"/>
        </w:rPr>
        <w:t xml:space="preserve"> May </w:t>
      </w:r>
      <w:r>
        <w:rPr>
          <w:rFonts w:ascii="Arial" w:hAnsi="Arial" w:cs="Arial"/>
          <w:sz w:val="22"/>
          <w:szCs w:val="22"/>
        </w:rPr>
        <w:t xml:space="preserve">to allow for replies prior to the below submission deadline. </w:t>
      </w:r>
    </w:p>
    <w:p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rsidR="009715AD"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0B0A24">
        <w:rPr>
          <w:rFonts w:ascii="Arial" w:hAnsi="Arial" w:cs="Arial"/>
          <w:sz w:val="22"/>
          <w:szCs w:val="22"/>
        </w:rPr>
        <w:t xml:space="preserve">written </w:t>
      </w:r>
      <w:r w:rsidRPr="000B0A24">
        <w:rPr>
          <w:rFonts w:ascii="Arial" w:hAnsi="Arial" w:cs="Arial"/>
          <w:sz w:val="22"/>
          <w:szCs w:val="22"/>
        </w:rPr>
        <w:t>submissions should be</w:t>
      </w:r>
      <w:r w:rsidR="000B0A24">
        <w:rPr>
          <w:rFonts w:ascii="Arial" w:hAnsi="Arial" w:cs="Arial"/>
          <w:sz w:val="22"/>
          <w:szCs w:val="22"/>
        </w:rPr>
        <w:t xml:space="preserve"> sent to </w:t>
      </w:r>
      <w:r w:rsidRPr="000B0A24">
        <w:rPr>
          <w:rFonts w:ascii="Arial" w:hAnsi="Arial" w:cs="Arial"/>
          <w:sz w:val="22"/>
          <w:szCs w:val="22"/>
        </w:rPr>
        <w:t>e-mail</w:t>
      </w:r>
      <w:r w:rsidR="000B0A24">
        <w:rPr>
          <w:rFonts w:ascii="Arial" w:hAnsi="Arial" w:cs="Arial"/>
          <w:sz w:val="22"/>
          <w:szCs w:val="22"/>
        </w:rPr>
        <w:t xml:space="preserve"> address </w:t>
      </w:r>
      <w:r w:rsidRPr="000B0A24">
        <w:rPr>
          <w:rFonts w:ascii="Arial" w:hAnsi="Arial" w:cs="Arial"/>
          <w:color w:val="00B050"/>
          <w:sz w:val="22"/>
          <w:szCs w:val="22"/>
        </w:rPr>
        <w:t>Paul.Tooke@homeoffice.gsi.gov.uk</w:t>
      </w:r>
      <w:r w:rsidRPr="000B0A24">
        <w:rPr>
          <w:rFonts w:ascii="Arial" w:hAnsi="Arial" w:cs="Arial"/>
          <w:sz w:val="22"/>
          <w:szCs w:val="22"/>
        </w:rPr>
        <w:t xml:space="preserve"> by 12 noon on Friday 11</w:t>
      </w:r>
      <w:r w:rsidRPr="000B0A24">
        <w:rPr>
          <w:rFonts w:ascii="Arial" w:hAnsi="Arial" w:cs="Arial"/>
          <w:sz w:val="22"/>
          <w:szCs w:val="22"/>
          <w:vertAlign w:val="superscript"/>
        </w:rPr>
        <w:t>th</w:t>
      </w:r>
      <w:r w:rsidRPr="000B0A24">
        <w:rPr>
          <w:rFonts w:ascii="Arial" w:hAnsi="Arial" w:cs="Arial"/>
          <w:sz w:val="22"/>
          <w:szCs w:val="22"/>
        </w:rPr>
        <w:t xml:space="preserve"> May 2018.</w:t>
      </w:r>
    </w:p>
    <w:p w:rsidR="009715AD" w:rsidRDefault="009715AD" w:rsidP="009715AD">
      <w:pPr>
        <w:jc w:val="both"/>
        <w:rPr>
          <w:rFonts w:ascii="Arial" w:hAnsi="Arial" w:cs="Arial"/>
          <w:sz w:val="22"/>
          <w:szCs w:val="22"/>
        </w:rPr>
      </w:pPr>
    </w:p>
    <w:p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below Table 1 populating the 10 x boxes with the pricing information. </w:t>
      </w:r>
    </w:p>
    <w:p w:rsidR="003F192B" w:rsidRDefault="003F192B" w:rsidP="009715AD">
      <w:pPr>
        <w:jc w:val="both"/>
        <w:rPr>
          <w:rFonts w:ascii="Arial" w:hAnsi="Arial" w:cs="Arial"/>
          <w:sz w:val="22"/>
          <w:szCs w:val="22"/>
        </w:rPr>
      </w:pPr>
    </w:p>
    <w:p w:rsidR="009715AD"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comply with points 6 to 8 will be financially evaluated. This evaluation will be the total of the 5 x Total Minimum Charges. The bidder offering the lowest of the total of 5 x Total Minimum Charges will be awarded the tender.     </w:t>
      </w:r>
    </w:p>
    <w:p w:rsidR="003F192B" w:rsidRDefault="003F192B" w:rsidP="00D71D71">
      <w:pPr>
        <w:jc w:val="both"/>
        <w:rPr>
          <w:rFonts w:ascii="Arial" w:hAnsi="Arial" w:cs="Arial"/>
          <w:sz w:val="22"/>
          <w:szCs w:val="22"/>
        </w:rPr>
      </w:pPr>
    </w:p>
    <w:p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rsidR="003F192B" w:rsidRPr="00847CB4" w:rsidRDefault="003F192B" w:rsidP="00D71D71">
      <w:pPr>
        <w:jc w:val="both"/>
        <w:rPr>
          <w:rFonts w:ascii="Arial" w:hAnsi="Arial" w:cs="Arial"/>
          <w:sz w:val="22"/>
          <w:szCs w:val="22"/>
        </w:rPr>
      </w:pPr>
    </w:p>
    <w:sectPr w:rsidR="003F192B" w:rsidRPr="00847CB4" w:rsidSect="0003326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24" w:rsidRDefault="000B0A24" w:rsidP="00D71D71">
      <w:r>
        <w:separator/>
      </w:r>
    </w:p>
  </w:endnote>
  <w:endnote w:type="continuationSeparator" w:id="0">
    <w:p w:rsidR="000B0A24" w:rsidRDefault="000B0A24"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0B0A24" w:rsidRPr="00D71D71" w:rsidRDefault="000B0A24">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sidR="00213C30">
              <w:rPr>
                <w:rFonts w:ascii="Arial" w:hAnsi="Arial" w:cs="Arial"/>
                <w:bCs/>
                <w:noProof/>
                <w:sz w:val="20"/>
                <w:szCs w:val="20"/>
              </w:rPr>
              <w:t>26</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sidR="00213C30">
              <w:rPr>
                <w:rFonts w:ascii="Arial" w:hAnsi="Arial" w:cs="Arial"/>
                <w:bCs/>
                <w:noProof/>
                <w:sz w:val="20"/>
                <w:szCs w:val="20"/>
              </w:rPr>
              <w:t>27</w:t>
            </w:r>
            <w:r w:rsidRPr="00D71D71">
              <w:rPr>
                <w:rFonts w:ascii="Arial" w:hAnsi="Arial" w:cs="Arial"/>
                <w:bCs/>
                <w:sz w:val="20"/>
                <w:szCs w:val="20"/>
              </w:rPr>
              <w:fldChar w:fldCharType="end"/>
            </w:r>
          </w:p>
        </w:sdtContent>
      </w:sdt>
    </w:sdtContent>
  </w:sdt>
  <w:p w:rsidR="000B0A24" w:rsidRDefault="000B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24" w:rsidRDefault="000B0A24" w:rsidP="00D71D71">
      <w:r>
        <w:separator/>
      </w:r>
    </w:p>
  </w:footnote>
  <w:footnote w:type="continuationSeparator" w:id="0">
    <w:p w:rsidR="000B0A24" w:rsidRDefault="000B0A24" w:rsidP="00D7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6"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9"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1"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11"/>
  </w:num>
  <w:num w:numId="5">
    <w:abstractNumId w:val="4"/>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5"/>
  </w:num>
  <w:num w:numId="16">
    <w:abstractNumId w:val="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1C0D"/>
    <w:rsid w:val="00002C15"/>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B6C0A"/>
    <w:rsid w:val="003C752F"/>
    <w:rsid w:val="003D013A"/>
    <w:rsid w:val="003E2497"/>
    <w:rsid w:val="003E7222"/>
    <w:rsid w:val="003F192B"/>
    <w:rsid w:val="00405143"/>
    <w:rsid w:val="00425FB1"/>
    <w:rsid w:val="004305AA"/>
    <w:rsid w:val="00457DB3"/>
    <w:rsid w:val="00457EB2"/>
    <w:rsid w:val="00485008"/>
    <w:rsid w:val="004A2E82"/>
    <w:rsid w:val="004A6EEE"/>
    <w:rsid w:val="004B7354"/>
    <w:rsid w:val="004C025A"/>
    <w:rsid w:val="004C389E"/>
    <w:rsid w:val="004E183D"/>
    <w:rsid w:val="004F4038"/>
    <w:rsid w:val="00502F3D"/>
    <w:rsid w:val="0050418B"/>
    <w:rsid w:val="00513CE0"/>
    <w:rsid w:val="00550B62"/>
    <w:rsid w:val="0055164A"/>
    <w:rsid w:val="005903DF"/>
    <w:rsid w:val="005B65B9"/>
    <w:rsid w:val="005C7FDA"/>
    <w:rsid w:val="005D7108"/>
    <w:rsid w:val="005E2A37"/>
    <w:rsid w:val="005E5FA7"/>
    <w:rsid w:val="005F4788"/>
    <w:rsid w:val="005F4FC8"/>
    <w:rsid w:val="00600C35"/>
    <w:rsid w:val="00602DBF"/>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2790B"/>
    <w:rsid w:val="00833491"/>
    <w:rsid w:val="00847CB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70E22"/>
    <w:rsid w:val="009715AD"/>
    <w:rsid w:val="00986E19"/>
    <w:rsid w:val="00991B59"/>
    <w:rsid w:val="00992447"/>
    <w:rsid w:val="009C2556"/>
    <w:rsid w:val="009D7244"/>
    <w:rsid w:val="009F16C2"/>
    <w:rsid w:val="00A305DB"/>
    <w:rsid w:val="00A44971"/>
    <w:rsid w:val="00A47B76"/>
    <w:rsid w:val="00A53EF7"/>
    <w:rsid w:val="00AD3EB6"/>
    <w:rsid w:val="00AD4515"/>
    <w:rsid w:val="00AD6997"/>
    <w:rsid w:val="00AE2ECB"/>
    <w:rsid w:val="00AE49BF"/>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C369F3"/>
    <w:rsid w:val="00C45A5B"/>
    <w:rsid w:val="00C52AB0"/>
    <w:rsid w:val="00C542E0"/>
    <w:rsid w:val="00C6358B"/>
    <w:rsid w:val="00C74E78"/>
    <w:rsid w:val="00C85F02"/>
    <w:rsid w:val="00C9422D"/>
    <w:rsid w:val="00C95B09"/>
    <w:rsid w:val="00C9619C"/>
    <w:rsid w:val="00CA539B"/>
    <w:rsid w:val="00CB2C65"/>
    <w:rsid w:val="00CD422C"/>
    <w:rsid w:val="00CD439C"/>
    <w:rsid w:val="00CF43C7"/>
    <w:rsid w:val="00D04AFE"/>
    <w:rsid w:val="00D2217F"/>
    <w:rsid w:val="00D254C3"/>
    <w:rsid w:val="00D32DF2"/>
    <w:rsid w:val="00D37274"/>
    <w:rsid w:val="00D4625D"/>
    <w:rsid w:val="00D473AB"/>
    <w:rsid w:val="00D6010C"/>
    <w:rsid w:val="00D621CA"/>
    <w:rsid w:val="00D71D71"/>
    <w:rsid w:val="00D83149"/>
    <w:rsid w:val="00DA4D48"/>
    <w:rsid w:val="00DA6ADF"/>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D0C7C"/>
    <w:rsid w:val="00EE3BBA"/>
    <w:rsid w:val="00EF2C45"/>
    <w:rsid w:val="00F34D0C"/>
    <w:rsid w:val="00F41805"/>
    <w:rsid w:val="00F54760"/>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5D294DC"/>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semiHidden/>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C16AEBDA</Template>
  <TotalTime>107</TotalTime>
  <Pages>27</Pages>
  <Words>9604</Words>
  <Characters>54748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17</cp:revision>
  <dcterms:created xsi:type="dcterms:W3CDTF">2018-04-30T11:35:00Z</dcterms:created>
  <dcterms:modified xsi:type="dcterms:W3CDTF">2018-05-01T09:26:00Z</dcterms:modified>
</cp:coreProperties>
</file>