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111C44" w14:textId="77777777" w:rsidR="00FE18AC" w:rsidRDefault="00FE18AC" w:rsidP="00FE18AC">
      <w:pPr>
        <w:pStyle w:val="bodystrongcentred"/>
      </w:pPr>
      <w:r>
        <w:t>CONTENTS</w:t>
      </w:r>
    </w:p>
    <w:p w14:paraId="757634AA" w14:textId="77777777" w:rsidR="00FE18AC" w:rsidRDefault="00FE18AC" w:rsidP="00FE18AC"/>
    <w:p w14:paraId="6E254269" w14:textId="5D9C915B" w:rsidR="00DF0696" w:rsidRDefault="00E10E97">
      <w:pPr>
        <w:pStyle w:val="TOC1"/>
        <w:rPr>
          <w:rFonts w:asciiTheme="minorHAnsi" w:eastAsiaTheme="minorEastAsia" w:hAnsiTheme="minorHAnsi" w:cstheme="minorBidi"/>
          <w:caps w:val="0"/>
          <w:noProof/>
          <w:szCs w:val="22"/>
          <w:lang w:eastAsia="en-GB"/>
        </w:rPr>
      </w:pPr>
      <w:r w:rsidRPr="00FA5229">
        <w:rPr>
          <w:rFonts w:cs="Arial"/>
          <w:caps w:val="0"/>
        </w:rPr>
        <w:fldChar w:fldCharType="begin"/>
      </w:r>
      <w:r w:rsidR="00FE18AC" w:rsidRPr="00FA5229">
        <w:rPr>
          <w:rFonts w:cs="Arial"/>
          <w:caps w:val="0"/>
        </w:rPr>
        <w:instrText xml:space="preserve"> TOC \o "1-1" \h \z \u </w:instrText>
      </w:r>
      <w:r w:rsidRPr="00FA5229">
        <w:rPr>
          <w:rFonts w:cs="Arial"/>
          <w:caps w:val="0"/>
        </w:rPr>
        <w:fldChar w:fldCharType="separate"/>
      </w:r>
      <w:hyperlink w:anchor="_Toc113641440" w:history="1">
        <w:r w:rsidR="00DF0696" w:rsidRPr="0010346A">
          <w:rPr>
            <w:rStyle w:val="Hyperlink"/>
            <w:noProof/>
          </w:rPr>
          <w:t>1.</w:t>
        </w:r>
        <w:r w:rsidR="00DF0696">
          <w:rPr>
            <w:rFonts w:asciiTheme="minorHAnsi" w:eastAsiaTheme="minorEastAsia" w:hAnsiTheme="minorHAnsi" w:cstheme="minorBidi"/>
            <w:caps w:val="0"/>
            <w:noProof/>
            <w:szCs w:val="22"/>
            <w:lang w:eastAsia="en-GB"/>
          </w:rPr>
          <w:tab/>
        </w:r>
        <w:r w:rsidR="00DF0696" w:rsidRPr="0010346A">
          <w:rPr>
            <w:rStyle w:val="Hyperlink"/>
            <w:noProof/>
          </w:rPr>
          <w:t>PURPOSE</w:t>
        </w:r>
        <w:r w:rsidR="00DF0696">
          <w:rPr>
            <w:noProof/>
            <w:webHidden/>
          </w:rPr>
          <w:tab/>
        </w:r>
        <w:r w:rsidR="00DF0696">
          <w:rPr>
            <w:noProof/>
            <w:webHidden/>
          </w:rPr>
          <w:fldChar w:fldCharType="begin"/>
        </w:r>
        <w:r w:rsidR="00DF0696">
          <w:rPr>
            <w:noProof/>
            <w:webHidden/>
          </w:rPr>
          <w:instrText xml:space="preserve"> PAGEREF _Toc113641440 \h </w:instrText>
        </w:r>
        <w:r w:rsidR="00DF0696">
          <w:rPr>
            <w:noProof/>
            <w:webHidden/>
          </w:rPr>
        </w:r>
        <w:r w:rsidR="00DF0696">
          <w:rPr>
            <w:noProof/>
            <w:webHidden/>
          </w:rPr>
          <w:fldChar w:fldCharType="separate"/>
        </w:r>
        <w:r w:rsidR="0029244E">
          <w:rPr>
            <w:noProof/>
            <w:webHidden/>
          </w:rPr>
          <w:t>2</w:t>
        </w:r>
        <w:r w:rsidR="00DF0696">
          <w:rPr>
            <w:noProof/>
            <w:webHidden/>
          </w:rPr>
          <w:fldChar w:fldCharType="end"/>
        </w:r>
      </w:hyperlink>
    </w:p>
    <w:p w14:paraId="2671A291" w14:textId="3E7075F0" w:rsidR="00DF0696" w:rsidRDefault="0029244E">
      <w:pPr>
        <w:pStyle w:val="TOC1"/>
        <w:rPr>
          <w:rFonts w:asciiTheme="minorHAnsi" w:eastAsiaTheme="minorEastAsia" w:hAnsiTheme="minorHAnsi" w:cstheme="minorBidi"/>
          <w:caps w:val="0"/>
          <w:noProof/>
          <w:szCs w:val="22"/>
          <w:lang w:eastAsia="en-GB"/>
        </w:rPr>
      </w:pPr>
      <w:hyperlink w:anchor="_Toc113641441" w:history="1">
        <w:r w:rsidR="00DF0696" w:rsidRPr="0010346A">
          <w:rPr>
            <w:rStyle w:val="Hyperlink"/>
            <w:noProof/>
          </w:rPr>
          <w:t>2.</w:t>
        </w:r>
        <w:r w:rsidR="00DF0696">
          <w:rPr>
            <w:rFonts w:asciiTheme="minorHAnsi" w:eastAsiaTheme="minorEastAsia" w:hAnsiTheme="minorHAnsi" w:cstheme="minorBidi"/>
            <w:caps w:val="0"/>
            <w:noProof/>
            <w:szCs w:val="22"/>
            <w:lang w:eastAsia="en-GB"/>
          </w:rPr>
          <w:tab/>
        </w:r>
        <w:r w:rsidR="00DF0696" w:rsidRPr="0010346A">
          <w:rPr>
            <w:rStyle w:val="Hyperlink"/>
            <w:noProof/>
          </w:rPr>
          <w:t>BACKGROUND TO THE CONTRACTING aUTHORITY</w:t>
        </w:r>
        <w:r w:rsidR="00DF0696">
          <w:rPr>
            <w:noProof/>
            <w:webHidden/>
          </w:rPr>
          <w:tab/>
        </w:r>
        <w:r w:rsidR="00DF0696">
          <w:rPr>
            <w:noProof/>
            <w:webHidden/>
          </w:rPr>
          <w:fldChar w:fldCharType="begin"/>
        </w:r>
        <w:r w:rsidR="00DF0696">
          <w:rPr>
            <w:noProof/>
            <w:webHidden/>
          </w:rPr>
          <w:instrText xml:space="preserve"> PAGEREF _Toc113641441 \h </w:instrText>
        </w:r>
        <w:r w:rsidR="00DF0696">
          <w:rPr>
            <w:noProof/>
            <w:webHidden/>
          </w:rPr>
        </w:r>
        <w:r w:rsidR="00DF0696">
          <w:rPr>
            <w:noProof/>
            <w:webHidden/>
          </w:rPr>
          <w:fldChar w:fldCharType="separate"/>
        </w:r>
        <w:r>
          <w:rPr>
            <w:noProof/>
            <w:webHidden/>
          </w:rPr>
          <w:t>2</w:t>
        </w:r>
        <w:r w:rsidR="00DF0696">
          <w:rPr>
            <w:noProof/>
            <w:webHidden/>
          </w:rPr>
          <w:fldChar w:fldCharType="end"/>
        </w:r>
      </w:hyperlink>
    </w:p>
    <w:p w14:paraId="70766838" w14:textId="24527DBD" w:rsidR="00DF0696" w:rsidRDefault="0029244E">
      <w:pPr>
        <w:pStyle w:val="TOC1"/>
        <w:rPr>
          <w:rFonts w:asciiTheme="minorHAnsi" w:eastAsiaTheme="minorEastAsia" w:hAnsiTheme="minorHAnsi" w:cstheme="minorBidi"/>
          <w:caps w:val="0"/>
          <w:noProof/>
          <w:szCs w:val="22"/>
          <w:lang w:eastAsia="en-GB"/>
        </w:rPr>
      </w:pPr>
      <w:hyperlink w:anchor="_Toc113641442" w:history="1">
        <w:r w:rsidR="00DF0696" w:rsidRPr="0010346A">
          <w:rPr>
            <w:rStyle w:val="Hyperlink"/>
            <w:noProof/>
          </w:rPr>
          <w:t>3.</w:t>
        </w:r>
        <w:r w:rsidR="00DF0696">
          <w:rPr>
            <w:rFonts w:asciiTheme="minorHAnsi" w:eastAsiaTheme="minorEastAsia" w:hAnsiTheme="minorHAnsi" w:cstheme="minorBidi"/>
            <w:caps w:val="0"/>
            <w:noProof/>
            <w:szCs w:val="22"/>
            <w:lang w:eastAsia="en-GB"/>
          </w:rPr>
          <w:tab/>
        </w:r>
        <w:r w:rsidR="00DF0696" w:rsidRPr="0010346A">
          <w:rPr>
            <w:rStyle w:val="Hyperlink"/>
            <w:noProof/>
          </w:rPr>
          <w:t>Background to requirement/OVERVIEW of requirement</w:t>
        </w:r>
        <w:r w:rsidR="00DF0696">
          <w:rPr>
            <w:noProof/>
            <w:webHidden/>
          </w:rPr>
          <w:tab/>
        </w:r>
        <w:r w:rsidR="00DF0696">
          <w:rPr>
            <w:noProof/>
            <w:webHidden/>
          </w:rPr>
          <w:fldChar w:fldCharType="begin"/>
        </w:r>
        <w:r w:rsidR="00DF0696">
          <w:rPr>
            <w:noProof/>
            <w:webHidden/>
          </w:rPr>
          <w:instrText xml:space="preserve"> PAGEREF _Toc113641442 \h </w:instrText>
        </w:r>
        <w:r w:rsidR="00DF0696">
          <w:rPr>
            <w:noProof/>
            <w:webHidden/>
          </w:rPr>
        </w:r>
        <w:r w:rsidR="00DF0696">
          <w:rPr>
            <w:noProof/>
            <w:webHidden/>
          </w:rPr>
          <w:fldChar w:fldCharType="separate"/>
        </w:r>
        <w:r>
          <w:rPr>
            <w:noProof/>
            <w:webHidden/>
          </w:rPr>
          <w:t>2</w:t>
        </w:r>
        <w:r w:rsidR="00DF0696">
          <w:rPr>
            <w:noProof/>
            <w:webHidden/>
          </w:rPr>
          <w:fldChar w:fldCharType="end"/>
        </w:r>
      </w:hyperlink>
    </w:p>
    <w:p w14:paraId="09891A7E" w14:textId="5DA368A0" w:rsidR="00DF0696" w:rsidRDefault="0029244E">
      <w:pPr>
        <w:pStyle w:val="TOC1"/>
        <w:rPr>
          <w:rFonts w:asciiTheme="minorHAnsi" w:eastAsiaTheme="minorEastAsia" w:hAnsiTheme="minorHAnsi" w:cstheme="minorBidi"/>
          <w:caps w:val="0"/>
          <w:noProof/>
          <w:szCs w:val="22"/>
          <w:lang w:eastAsia="en-GB"/>
        </w:rPr>
      </w:pPr>
      <w:hyperlink w:anchor="_Toc113641443" w:history="1">
        <w:r w:rsidR="00DF0696" w:rsidRPr="0010346A">
          <w:rPr>
            <w:rStyle w:val="Hyperlink"/>
            <w:noProof/>
          </w:rPr>
          <w:t>4.</w:t>
        </w:r>
        <w:r w:rsidR="00DF0696">
          <w:rPr>
            <w:rFonts w:asciiTheme="minorHAnsi" w:eastAsiaTheme="minorEastAsia" w:hAnsiTheme="minorHAnsi" w:cstheme="minorBidi"/>
            <w:caps w:val="0"/>
            <w:noProof/>
            <w:szCs w:val="22"/>
            <w:lang w:eastAsia="en-GB"/>
          </w:rPr>
          <w:tab/>
        </w:r>
        <w:r w:rsidR="00DF0696" w:rsidRPr="0010346A">
          <w:rPr>
            <w:rStyle w:val="Hyperlink"/>
            <w:noProof/>
          </w:rPr>
          <w:t>definitions</w:t>
        </w:r>
        <w:r w:rsidR="00DF0696">
          <w:rPr>
            <w:noProof/>
            <w:webHidden/>
          </w:rPr>
          <w:tab/>
        </w:r>
        <w:r w:rsidR="00DF0696">
          <w:rPr>
            <w:noProof/>
            <w:webHidden/>
          </w:rPr>
          <w:fldChar w:fldCharType="begin"/>
        </w:r>
        <w:r w:rsidR="00DF0696">
          <w:rPr>
            <w:noProof/>
            <w:webHidden/>
          </w:rPr>
          <w:instrText xml:space="preserve"> PAGEREF _Toc113641443 \h </w:instrText>
        </w:r>
        <w:r w:rsidR="00DF0696">
          <w:rPr>
            <w:noProof/>
            <w:webHidden/>
          </w:rPr>
        </w:r>
        <w:r w:rsidR="00DF0696">
          <w:rPr>
            <w:noProof/>
            <w:webHidden/>
          </w:rPr>
          <w:fldChar w:fldCharType="separate"/>
        </w:r>
        <w:r>
          <w:rPr>
            <w:noProof/>
            <w:webHidden/>
          </w:rPr>
          <w:t>4</w:t>
        </w:r>
        <w:r w:rsidR="00DF0696">
          <w:rPr>
            <w:noProof/>
            <w:webHidden/>
          </w:rPr>
          <w:fldChar w:fldCharType="end"/>
        </w:r>
      </w:hyperlink>
    </w:p>
    <w:p w14:paraId="6BCA07D9" w14:textId="12EF431C" w:rsidR="00DF0696" w:rsidRDefault="0029244E">
      <w:pPr>
        <w:pStyle w:val="TOC1"/>
        <w:rPr>
          <w:rFonts w:asciiTheme="minorHAnsi" w:eastAsiaTheme="minorEastAsia" w:hAnsiTheme="minorHAnsi" w:cstheme="minorBidi"/>
          <w:caps w:val="0"/>
          <w:noProof/>
          <w:szCs w:val="22"/>
          <w:lang w:eastAsia="en-GB"/>
        </w:rPr>
      </w:pPr>
      <w:hyperlink w:anchor="_Toc113641444" w:history="1">
        <w:r w:rsidR="00DF0696" w:rsidRPr="0010346A">
          <w:rPr>
            <w:rStyle w:val="Hyperlink"/>
            <w:noProof/>
          </w:rPr>
          <w:t>5.</w:t>
        </w:r>
        <w:r w:rsidR="00DF0696">
          <w:rPr>
            <w:rFonts w:asciiTheme="minorHAnsi" w:eastAsiaTheme="minorEastAsia" w:hAnsiTheme="minorHAnsi" w:cstheme="minorBidi"/>
            <w:caps w:val="0"/>
            <w:noProof/>
            <w:szCs w:val="22"/>
            <w:lang w:eastAsia="en-GB"/>
          </w:rPr>
          <w:tab/>
        </w:r>
        <w:r w:rsidR="00DF0696" w:rsidRPr="0010346A">
          <w:rPr>
            <w:rStyle w:val="Hyperlink"/>
            <w:noProof/>
          </w:rPr>
          <w:t>scope of requirement</w:t>
        </w:r>
        <w:r w:rsidR="00DF0696">
          <w:rPr>
            <w:noProof/>
            <w:webHidden/>
          </w:rPr>
          <w:tab/>
        </w:r>
        <w:r w:rsidR="00DF0696">
          <w:rPr>
            <w:noProof/>
            <w:webHidden/>
          </w:rPr>
          <w:fldChar w:fldCharType="begin"/>
        </w:r>
        <w:r w:rsidR="00DF0696">
          <w:rPr>
            <w:noProof/>
            <w:webHidden/>
          </w:rPr>
          <w:instrText xml:space="preserve"> PAGEREF _Toc113641444 \h </w:instrText>
        </w:r>
        <w:r w:rsidR="00DF0696">
          <w:rPr>
            <w:noProof/>
            <w:webHidden/>
          </w:rPr>
        </w:r>
        <w:r w:rsidR="00DF0696">
          <w:rPr>
            <w:noProof/>
            <w:webHidden/>
          </w:rPr>
          <w:fldChar w:fldCharType="separate"/>
        </w:r>
        <w:r>
          <w:rPr>
            <w:noProof/>
            <w:webHidden/>
          </w:rPr>
          <w:t>4</w:t>
        </w:r>
        <w:r w:rsidR="00DF0696">
          <w:rPr>
            <w:noProof/>
            <w:webHidden/>
          </w:rPr>
          <w:fldChar w:fldCharType="end"/>
        </w:r>
      </w:hyperlink>
    </w:p>
    <w:p w14:paraId="409BF2E3" w14:textId="7B6DFBA3" w:rsidR="00DF0696" w:rsidRDefault="0029244E">
      <w:pPr>
        <w:pStyle w:val="TOC1"/>
        <w:rPr>
          <w:rFonts w:asciiTheme="minorHAnsi" w:eastAsiaTheme="minorEastAsia" w:hAnsiTheme="minorHAnsi" w:cstheme="minorBidi"/>
          <w:caps w:val="0"/>
          <w:noProof/>
          <w:szCs w:val="22"/>
          <w:lang w:eastAsia="en-GB"/>
        </w:rPr>
      </w:pPr>
      <w:hyperlink w:anchor="_Toc113641445" w:history="1">
        <w:r w:rsidR="00DF0696" w:rsidRPr="0010346A">
          <w:rPr>
            <w:rStyle w:val="Hyperlink"/>
            <w:noProof/>
          </w:rPr>
          <w:t>6.</w:t>
        </w:r>
        <w:r w:rsidR="00DF0696">
          <w:rPr>
            <w:rFonts w:asciiTheme="minorHAnsi" w:eastAsiaTheme="minorEastAsia" w:hAnsiTheme="minorHAnsi" w:cstheme="minorBidi"/>
            <w:caps w:val="0"/>
            <w:noProof/>
            <w:szCs w:val="22"/>
            <w:lang w:eastAsia="en-GB"/>
          </w:rPr>
          <w:tab/>
        </w:r>
        <w:r w:rsidR="00DF0696" w:rsidRPr="0010346A">
          <w:rPr>
            <w:rStyle w:val="Hyperlink"/>
            <w:noProof/>
          </w:rPr>
          <w:t>The requirement</w:t>
        </w:r>
        <w:r w:rsidR="00DF0696">
          <w:rPr>
            <w:noProof/>
            <w:webHidden/>
          </w:rPr>
          <w:tab/>
        </w:r>
        <w:r w:rsidR="00DF0696">
          <w:rPr>
            <w:noProof/>
            <w:webHidden/>
          </w:rPr>
          <w:fldChar w:fldCharType="begin"/>
        </w:r>
        <w:r w:rsidR="00DF0696">
          <w:rPr>
            <w:noProof/>
            <w:webHidden/>
          </w:rPr>
          <w:instrText xml:space="preserve"> PAGEREF _Toc113641445 \h </w:instrText>
        </w:r>
        <w:r w:rsidR="00DF0696">
          <w:rPr>
            <w:noProof/>
            <w:webHidden/>
          </w:rPr>
        </w:r>
        <w:r w:rsidR="00DF0696">
          <w:rPr>
            <w:noProof/>
            <w:webHidden/>
          </w:rPr>
          <w:fldChar w:fldCharType="separate"/>
        </w:r>
        <w:r>
          <w:rPr>
            <w:noProof/>
            <w:webHidden/>
          </w:rPr>
          <w:t>5</w:t>
        </w:r>
        <w:r w:rsidR="00DF0696">
          <w:rPr>
            <w:noProof/>
            <w:webHidden/>
          </w:rPr>
          <w:fldChar w:fldCharType="end"/>
        </w:r>
      </w:hyperlink>
    </w:p>
    <w:p w14:paraId="39C1CD66" w14:textId="1CBA1439" w:rsidR="00DF0696" w:rsidRDefault="0029244E">
      <w:pPr>
        <w:pStyle w:val="TOC1"/>
        <w:rPr>
          <w:rFonts w:asciiTheme="minorHAnsi" w:eastAsiaTheme="minorEastAsia" w:hAnsiTheme="minorHAnsi" w:cstheme="minorBidi"/>
          <w:caps w:val="0"/>
          <w:noProof/>
          <w:szCs w:val="22"/>
          <w:lang w:eastAsia="en-GB"/>
        </w:rPr>
      </w:pPr>
      <w:hyperlink w:anchor="_Toc113641446" w:history="1">
        <w:r w:rsidR="00DF0696" w:rsidRPr="0010346A">
          <w:rPr>
            <w:rStyle w:val="Hyperlink"/>
            <w:noProof/>
          </w:rPr>
          <w:t>7.</w:t>
        </w:r>
        <w:r w:rsidR="00DF0696">
          <w:rPr>
            <w:rFonts w:asciiTheme="minorHAnsi" w:eastAsiaTheme="minorEastAsia" w:hAnsiTheme="minorHAnsi" w:cstheme="minorBidi"/>
            <w:caps w:val="0"/>
            <w:noProof/>
            <w:szCs w:val="22"/>
            <w:lang w:eastAsia="en-GB"/>
          </w:rPr>
          <w:tab/>
        </w:r>
        <w:r w:rsidR="00DF0696" w:rsidRPr="0010346A">
          <w:rPr>
            <w:rStyle w:val="Hyperlink"/>
            <w:noProof/>
          </w:rPr>
          <w:t>key milestones and Deliverables</w:t>
        </w:r>
        <w:r w:rsidR="00DF0696">
          <w:rPr>
            <w:noProof/>
            <w:webHidden/>
          </w:rPr>
          <w:tab/>
        </w:r>
        <w:r w:rsidR="00DF0696">
          <w:rPr>
            <w:noProof/>
            <w:webHidden/>
          </w:rPr>
          <w:fldChar w:fldCharType="begin"/>
        </w:r>
        <w:r w:rsidR="00DF0696">
          <w:rPr>
            <w:noProof/>
            <w:webHidden/>
          </w:rPr>
          <w:instrText xml:space="preserve"> PAGEREF _Toc113641446 \h </w:instrText>
        </w:r>
        <w:r w:rsidR="00DF0696">
          <w:rPr>
            <w:noProof/>
            <w:webHidden/>
          </w:rPr>
        </w:r>
        <w:r w:rsidR="00DF0696">
          <w:rPr>
            <w:noProof/>
            <w:webHidden/>
          </w:rPr>
          <w:fldChar w:fldCharType="separate"/>
        </w:r>
        <w:r>
          <w:rPr>
            <w:noProof/>
            <w:webHidden/>
          </w:rPr>
          <w:t>6</w:t>
        </w:r>
        <w:r w:rsidR="00DF0696">
          <w:rPr>
            <w:noProof/>
            <w:webHidden/>
          </w:rPr>
          <w:fldChar w:fldCharType="end"/>
        </w:r>
      </w:hyperlink>
    </w:p>
    <w:p w14:paraId="5AF1A136" w14:textId="1EDB641A" w:rsidR="00DF0696" w:rsidRDefault="0029244E">
      <w:pPr>
        <w:pStyle w:val="TOC1"/>
        <w:rPr>
          <w:rFonts w:asciiTheme="minorHAnsi" w:eastAsiaTheme="minorEastAsia" w:hAnsiTheme="minorHAnsi" w:cstheme="minorBidi"/>
          <w:caps w:val="0"/>
          <w:noProof/>
          <w:szCs w:val="22"/>
          <w:lang w:eastAsia="en-GB"/>
        </w:rPr>
      </w:pPr>
      <w:hyperlink w:anchor="_Toc113641447" w:history="1">
        <w:r w:rsidR="00DF0696" w:rsidRPr="0010346A">
          <w:rPr>
            <w:rStyle w:val="Hyperlink"/>
            <w:rFonts w:cs="Arial"/>
            <w:noProof/>
          </w:rPr>
          <w:t>8.</w:t>
        </w:r>
        <w:r w:rsidR="00DF0696">
          <w:rPr>
            <w:rFonts w:asciiTheme="minorHAnsi" w:eastAsiaTheme="minorEastAsia" w:hAnsiTheme="minorHAnsi" w:cstheme="minorBidi"/>
            <w:caps w:val="0"/>
            <w:noProof/>
            <w:szCs w:val="22"/>
            <w:lang w:eastAsia="en-GB"/>
          </w:rPr>
          <w:tab/>
        </w:r>
        <w:r w:rsidR="00DF0696" w:rsidRPr="0010346A">
          <w:rPr>
            <w:rStyle w:val="Hyperlink"/>
            <w:rFonts w:cs="Arial"/>
            <w:noProof/>
          </w:rPr>
          <w:t>MANAGEMENT INFORMATION/reporting</w:t>
        </w:r>
        <w:r w:rsidR="00DF0696">
          <w:rPr>
            <w:noProof/>
            <w:webHidden/>
          </w:rPr>
          <w:tab/>
        </w:r>
        <w:r w:rsidR="00DF0696">
          <w:rPr>
            <w:noProof/>
            <w:webHidden/>
          </w:rPr>
          <w:fldChar w:fldCharType="begin"/>
        </w:r>
        <w:r w:rsidR="00DF0696">
          <w:rPr>
            <w:noProof/>
            <w:webHidden/>
          </w:rPr>
          <w:instrText xml:space="preserve"> PAGEREF _Toc113641447 \h </w:instrText>
        </w:r>
        <w:r w:rsidR="00DF0696">
          <w:rPr>
            <w:noProof/>
            <w:webHidden/>
          </w:rPr>
        </w:r>
        <w:r w:rsidR="00DF0696">
          <w:rPr>
            <w:noProof/>
            <w:webHidden/>
          </w:rPr>
          <w:fldChar w:fldCharType="separate"/>
        </w:r>
        <w:r>
          <w:rPr>
            <w:noProof/>
            <w:webHidden/>
          </w:rPr>
          <w:t>8</w:t>
        </w:r>
        <w:r w:rsidR="00DF0696">
          <w:rPr>
            <w:noProof/>
            <w:webHidden/>
          </w:rPr>
          <w:fldChar w:fldCharType="end"/>
        </w:r>
      </w:hyperlink>
    </w:p>
    <w:p w14:paraId="02C288AF" w14:textId="0ECD2D95" w:rsidR="00DF0696" w:rsidRDefault="0029244E">
      <w:pPr>
        <w:pStyle w:val="TOC1"/>
        <w:rPr>
          <w:rFonts w:asciiTheme="minorHAnsi" w:eastAsiaTheme="minorEastAsia" w:hAnsiTheme="minorHAnsi" w:cstheme="minorBidi"/>
          <w:caps w:val="0"/>
          <w:noProof/>
          <w:szCs w:val="22"/>
          <w:lang w:eastAsia="en-GB"/>
        </w:rPr>
      </w:pPr>
      <w:hyperlink w:anchor="_Toc113641448" w:history="1">
        <w:r w:rsidR="00DF0696" w:rsidRPr="0010346A">
          <w:rPr>
            <w:rStyle w:val="Hyperlink"/>
            <w:rFonts w:cs="Arial"/>
            <w:noProof/>
          </w:rPr>
          <w:t>9.</w:t>
        </w:r>
        <w:r w:rsidR="00DF0696">
          <w:rPr>
            <w:rFonts w:asciiTheme="minorHAnsi" w:eastAsiaTheme="minorEastAsia" w:hAnsiTheme="minorHAnsi" w:cstheme="minorBidi"/>
            <w:caps w:val="0"/>
            <w:noProof/>
            <w:szCs w:val="22"/>
            <w:lang w:eastAsia="en-GB"/>
          </w:rPr>
          <w:tab/>
        </w:r>
        <w:r w:rsidR="00DF0696" w:rsidRPr="0010346A">
          <w:rPr>
            <w:rStyle w:val="Hyperlink"/>
            <w:rFonts w:cs="Arial"/>
            <w:noProof/>
          </w:rPr>
          <w:t>continuous improvement</w:t>
        </w:r>
        <w:r w:rsidR="00DF0696">
          <w:rPr>
            <w:noProof/>
            <w:webHidden/>
          </w:rPr>
          <w:tab/>
        </w:r>
        <w:r w:rsidR="00DF0696">
          <w:rPr>
            <w:noProof/>
            <w:webHidden/>
          </w:rPr>
          <w:fldChar w:fldCharType="begin"/>
        </w:r>
        <w:r w:rsidR="00DF0696">
          <w:rPr>
            <w:noProof/>
            <w:webHidden/>
          </w:rPr>
          <w:instrText xml:space="preserve"> PAGEREF _Toc113641448 \h </w:instrText>
        </w:r>
        <w:r w:rsidR="00DF0696">
          <w:rPr>
            <w:noProof/>
            <w:webHidden/>
          </w:rPr>
        </w:r>
        <w:r w:rsidR="00DF0696">
          <w:rPr>
            <w:noProof/>
            <w:webHidden/>
          </w:rPr>
          <w:fldChar w:fldCharType="separate"/>
        </w:r>
        <w:r>
          <w:rPr>
            <w:noProof/>
            <w:webHidden/>
          </w:rPr>
          <w:t>9</w:t>
        </w:r>
        <w:r w:rsidR="00DF0696">
          <w:rPr>
            <w:noProof/>
            <w:webHidden/>
          </w:rPr>
          <w:fldChar w:fldCharType="end"/>
        </w:r>
      </w:hyperlink>
    </w:p>
    <w:p w14:paraId="7C0262E9" w14:textId="11E295A3" w:rsidR="00DF0696" w:rsidRDefault="0029244E">
      <w:pPr>
        <w:pStyle w:val="TOC1"/>
        <w:rPr>
          <w:rFonts w:asciiTheme="minorHAnsi" w:eastAsiaTheme="minorEastAsia" w:hAnsiTheme="minorHAnsi" w:cstheme="minorBidi"/>
          <w:caps w:val="0"/>
          <w:noProof/>
          <w:szCs w:val="22"/>
          <w:lang w:eastAsia="en-GB"/>
        </w:rPr>
      </w:pPr>
      <w:hyperlink w:anchor="_Toc113641449" w:history="1">
        <w:r w:rsidR="00DF0696" w:rsidRPr="0010346A">
          <w:rPr>
            <w:rStyle w:val="Hyperlink"/>
            <w:noProof/>
          </w:rPr>
          <w:t>10.</w:t>
        </w:r>
        <w:r w:rsidR="00DF0696">
          <w:rPr>
            <w:rFonts w:asciiTheme="minorHAnsi" w:eastAsiaTheme="minorEastAsia" w:hAnsiTheme="minorHAnsi" w:cstheme="minorBidi"/>
            <w:caps w:val="0"/>
            <w:noProof/>
            <w:szCs w:val="22"/>
            <w:lang w:eastAsia="en-GB"/>
          </w:rPr>
          <w:tab/>
        </w:r>
        <w:r w:rsidR="00DF0696" w:rsidRPr="0010346A">
          <w:rPr>
            <w:rStyle w:val="Hyperlink"/>
            <w:noProof/>
          </w:rPr>
          <w:t>Sustainability</w:t>
        </w:r>
        <w:r w:rsidR="00DF0696">
          <w:rPr>
            <w:noProof/>
            <w:webHidden/>
          </w:rPr>
          <w:tab/>
        </w:r>
        <w:r w:rsidR="00DF0696">
          <w:rPr>
            <w:noProof/>
            <w:webHidden/>
          </w:rPr>
          <w:fldChar w:fldCharType="begin"/>
        </w:r>
        <w:r w:rsidR="00DF0696">
          <w:rPr>
            <w:noProof/>
            <w:webHidden/>
          </w:rPr>
          <w:instrText xml:space="preserve"> PAGEREF _Toc113641449 \h </w:instrText>
        </w:r>
        <w:r w:rsidR="00DF0696">
          <w:rPr>
            <w:noProof/>
            <w:webHidden/>
          </w:rPr>
        </w:r>
        <w:r w:rsidR="00DF0696">
          <w:rPr>
            <w:noProof/>
            <w:webHidden/>
          </w:rPr>
          <w:fldChar w:fldCharType="separate"/>
        </w:r>
        <w:r>
          <w:rPr>
            <w:noProof/>
            <w:webHidden/>
          </w:rPr>
          <w:t>9</w:t>
        </w:r>
        <w:r w:rsidR="00DF0696">
          <w:rPr>
            <w:noProof/>
            <w:webHidden/>
          </w:rPr>
          <w:fldChar w:fldCharType="end"/>
        </w:r>
      </w:hyperlink>
    </w:p>
    <w:p w14:paraId="02996D7A" w14:textId="5597E88F" w:rsidR="00DF0696" w:rsidRDefault="0029244E">
      <w:pPr>
        <w:pStyle w:val="TOC1"/>
        <w:rPr>
          <w:rFonts w:asciiTheme="minorHAnsi" w:eastAsiaTheme="minorEastAsia" w:hAnsiTheme="minorHAnsi" w:cstheme="minorBidi"/>
          <w:caps w:val="0"/>
          <w:noProof/>
          <w:szCs w:val="22"/>
          <w:lang w:eastAsia="en-GB"/>
        </w:rPr>
      </w:pPr>
      <w:hyperlink w:anchor="_Toc113641450" w:history="1">
        <w:r w:rsidR="00DF0696" w:rsidRPr="0010346A">
          <w:rPr>
            <w:rStyle w:val="Hyperlink"/>
            <w:rFonts w:cs="Arial"/>
            <w:noProof/>
          </w:rPr>
          <w:t>11.</w:t>
        </w:r>
        <w:r w:rsidR="00DF0696">
          <w:rPr>
            <w:rFonts w:asciiTheme="minorHAnsi" w:eastAsiaTheme="minorEastAsia" w:hAnsiTheme="minorHAnsi" w:cstheme="minorBidi"/>
            <w:caps w:val="0"/>
            <w:noProof/>
            <w:szCs w:val="22"/>
            <w:lang w:eastAsia="en-GB"/>
          </w:rPr>
          <w:tab/>
        </w:r>
        <w:r w:rsidR="00DF0696" w:rsidRPr="0010346A">
          <w:rPr>
            <w:rStyle w:val="Hyperlink"/>
            <w:rFonts w:cs="Arial"/>
            <w:noProof/>
          </w:rPr>
          <w:t>quality</w:t>
        </w:r>
        <w:r w:rsidR="00DF0696">
          <w:rPr>
            <w:noProof/>
            <w:webHidden/>
          </w:rPr>
          <w:tab/>
        </w:r>
        <w:r w:rsidR="00DF0696">
          <w:rPr>
            <w:noProof/>
            <w:webHidden/>
          </w:rPr>
          <w:fldChar w:fldCharType="begin"/>
        </w:r>
        <w:r w:rsidR="00DF0696">
          <w:rPr>
            <w:noProof/>
            <w:webHidden/>
          </w:rPr>
          <w:instrText xml:space="preserve"> PAGEREF _Toc113641450 \h </w:instrText>
        </w:r>
        <w:r w:rsidR="00DF0696">
          <w:rPr>
            <w:noProof/>
            <w:webHidden/>
          </w:rPr>
        </w:r>
        <w:r w:rsidR="00DF0696">
          <w:rPr>
            <w:noProof/>
            <w:webHidden/>
          </w:rPr>
          <w:fldChar w:fldCharType="separate"/>
        </w:r>
        <w:r>
          <w:rPr>
            <w:noProof/>
            <w:webHidden/>
          </w:rPr>
          <w:t>9</w:t>
        </w:r>
        <w:r w:rsidR="00DF0696">
          <w:rPr>
            <w:noProof/>
            <w:webHidden/>
          </w:rPr>
          <w:fldChar w:fldCharType="end"/>
        </w:r>
      </w:hyperlink>
    </w:p>
    <w:p w14:paraId="530989DB" w14:textId="46DE40B9" w:rsidR="00DF0696" w:rsidRDefault="0029244E">
      <w:pPr>
        <w:pStyle w:val="TOC1"/>
        <w:rPr>
          <w:rFonts w:asciiTheme="minorHAnsi" w:eastAsiaTheme="minorEastAsia" w:hAnsiTheme="minorHAnsi" w:cstheme="minorBidi"/>
          <w:caps w:val="0"/>
          <w:noProof/>
          <w:szCs w:val="22"/>
          <w:lang w:eastAsia="en-GB"/>
        </w:rPr>
      </w:pPr>
      <w:hyperlink w:anchor="_Toc113641451" w:history="1">
        <w:r w:rsidR="00DF0696" w:rsidRPr="0010346A">
          <w:rPr>
            <w:rStyle w:val="Hyperlink"/>
            <w:rFonts w:cs="Arial"/>
            <w:noProof/>
          </w:rPr>
          <w:t>12.</w:t>
        </w:r>
        <w:r w:rsidR="00DF0696">
          <w:rPr>
            <w:rFonts w:asciiTheme="minorHAnsi" w:eastAsiaTheme="minorEastAsia" w:hAnsiTheme="minorHAnsi" w:cstheme="minorBidi"/>
            <w:caps w:val="0"/>
            <w:noProof/>
            <w:szCs w:val="22"/>
            <w:lang w:eastAsia="en-GB"/>
          </w:rPr>
          <w:tab/>
        </w:r>
        <w:r w:rsidR="00DF0696" w:rsidRPr="0010346A">
          <w:rPr>
            <w:rStyle w:val="Hyperlink"/>
            <w:rFonts w:cs="Arial"/>
            <w:noProof/>
          </w:rPr>
          <w:t>PRICE</w:t>
        </w:r>
        <w:r w:rsidR="00DF0696">
          <w:rPr>
            <w:noProof/>
            <w:webHidden/>
          </w:rPr>
          <w:tab/>
        </w:r>
        <w:r w:rsidR="00DF0696">
          <w:rPr>
            <w:noProof/>
            <w:webHidden/>
          </w:rPr>
          <w:fldChar w:fldCharType="begin"/>
        </w:r>
        <w:r w:rsidR="00DF0696">
          <w:rPr>
            <w:noProof/>
            <w:webHidden/>
          </w:rPr>
          <w:instrText xml:space="preserve"> PAGEREF _Toc113641451 \h </w:instrText>
        </w:r>
        <w:r w:rsidR="00DF0696">
          <w:rPr>
            <w:noProof/>
            <w:webHidden/>
          </w:rPr>
        </w:r>
        <w:r w:rsidR="00DF0696">
          <w:rPr>
            <w:noProof/>
            <w:webHidden/>
          </w:rPr>
          <w:fldChar w:fldCharType="separate"/>
        </w:r>
        <w:r>
          <w:rPr>
            <w:noProof/>
            <w:webHidden/>
          </w:rPr>
          <w:t>9</w:t>
        </w:r>
        <w:r w:rsidR="00DF0696">
          <w:rPr>
            <w:noProof/>
            <w:webHidden/>
          </w:rPr>
          <w:fldChar w:fldCharType="end"/>
        </w:r>
      </w:hyperlink>
    </w:p>
    <w:p w14:paraId="2FFA7AAB" w14:textId="4FFB8F62" w:rsidR="00DF0696" w:rsidRDefault="0029244E">
      <w:pPr>
        <w:pStyle w:val="TOC1"/>
        <w:rPr>
          <w:rFonts w:asciiTheme="minorHAnsi" w:eastAsiaTheme="minorEastAsia" w:hAnsiTheme="minorHAnsi" w:cstheme="minorBidi"/>
          <w:caps w:val="0"/>
          <w:noProof/>
          <w:szCs w:val="22"/>
          <w:lang w:eastAsia="en-GB"/>
        </w:rPr>
      </w:pPr>
      <w:hyperlink w:anchor="_Toc113641452" w:history="1">
        <w:r w:rsidR="00DF0696" w:rsidRPr="0010346A">
          <w:rPr>
            <w:rStyle w:val="Hyperlink"/>
            <w:rFonts w:cs="Arial"/>
            <w:noProof/>
          </w:rPr>
          <w:t>13.</w:t>
        </w:r>
        <w:r w:rsidR="00DF0696">
          <w:rPr>
            <w:rFonts w:asciiTheme="minorHAnsi" w:eastAsiaTheme="minorEastAsia" w:hAnsiTheme="minorHAnsi" w:cstheme="minorBidi"/>
            <w:caps w:val="0"/>
            <w:noProof/>
            <w:szCs w:val="22"/>
            <w:lang w:eastAsia="en-GB"/>
          </w:rPr>
          <w:tab/>
        </w:r>
        <w:r w:rsidR="00DF0696" w:rsidRPr="0010346A">
          <w:rPr>
            <w:rStyle w:val="Hyperlink"/>
            <w:rFonts w:cs="Arial"/>
            <w:noProof/>
          </w:rPr>
          <w:t>STAFF AND CUSTOMER SERVICE</w:t>
        </w:r>
        <w:r w:rsidR="00DF0696">
          <w:rPr>
            <w:noProof/>
            <w:webHidden/>
          </w:rPr>
          <w:tab/>
        </w:r>
        <w:r w:rsidR="00DF0696">
          <w:rPr>
            <w:noProof/>
            <w:webHidden/>
          </w:rPr>
          <w:fldChar w:fldCharType="begin"/>
        </w:r>
        <w:r w:rsidR="00DF0696">
          <w:rPr>
            <w:noProof/>
            <w:webHidden/>
          </w:rPr>
          <w:instrText xml:space="preserve"> PAGEREF _Toc113641452 \h </w:instrText>
        </w:r>
        <w:r w:rsidR="00DF0696">
          <w:rPr>
            <w:noProof/>
            <w:webHidden/>
          </w:rPr>
        </w:r>
        <w:r w:rsidR="00DF0696">
          <w:rPr>
            <w:noProof/>
            <w:webHidden/>
          </w:rPr>
          <w:fldChar w:fldCharType="separate"/>
        </w:r>
        <w:r>
          <w:rPr>
            <w:noProof/>
            <w:webHidden/>
          </w:rPr>
          <w:t>9</w:t>
        </w:r>
        <w:r w:rsidR="00DF0696">
          <w:rPr>
            <w:noProof/>
            <w:webHidden/>
          </w:rPr>
          <w:fldChar w:fldCharType="end"/>
        </w:r>
      </w:hyperlink>
    </w:p>
    <w:p w14:paraId="3740B003" w14:textId="595AC5E7" w:rsidR="00DF0696" w:rsidRDefault="0029244E">
      <w:pPr>
        <w:pStyle w:val="TOC1"/>
        <w:rPr>
          <w:rFonts w:asciiTheme="minorHAnsi" w:eastAsiaTheme="minorEastAsia" w:hAnsiTheme="minorHAnsi" w:cstheme="minorBidi"/>
          <w:caps w:val="0"/>
          <w:noProof/>
          <w:szCs w:val="22"/>
          <w:lang w:eastAsia="en-GB"/>
        </w:rPr>
      </w:pPr>
      <w:hyperlink w:anchor="_Toc113641453" w:history="1">
        <w:r w:rsidR="00DF0696" w:rsidRPr="0010346A">
          <w:rPr>
            <w:rStyle w:val="Hyperlink"/>
            <w:rFonts w:cs="Arial"/>
            <w:noProof/>
          </w:rPr>
          <w:t>14.</w:t>
        </w:r>
        <w:r w:rsidR="00DF0696">
          <w:rPr>
            <w:rFonts w:asciiTheme="minorHAnsi" w:eastAsiaTheme="minorEastAsia" w:hAnsiTheme="minorHAnsi" w:cstheme="minorBidi"/>
            <w:caps w:val="0"/>
            <w:noProof/>
            <w:szCs w:val="22"/>
            <w:lang w:eastAsia="en-GB"/>
          </w:rPr>
          <w:tab/>
        </w:r>
        <w:r w:rsidR="00DF0696" w:rsidRPr="0010346A">
          <w:rPr>
            <w:rStyle w:val="Hyperlink"/>
            <w:rFonts w:cs="Arial"/>
            <w:noProof/>
          </w:rPr>
          <w:t>service levels and performance</w:t>
        </w:r>
        <w:r w:rsidR="00DF0696">
          <w:rPr>
            <w:noProof/>
            <w:webHidden/>
          </w:rPr>
          <w:tab/>
        </w:r>
        <w:r w:rsidR="00DF0696">
          <w:rPr>
            <w:noProof/>
            <w:webHidden/>
          </w:rPr>
          <w:fldChar w:fldCharType="begin"/>
        </w:r>
        <w:r w:rsidR="00DF0696">
          <w:rPr>
            <w:noProof/>
            <w:webHidden/>
          </w:rPr>
          <w:instrText xml:space="preserve"> PAGEREF _Toc113641453 \h </w:instrText>
        </w:r>
        <w:r w:rsidR="00DF0696">
          <w:rPr>
            <w:noProof/>
            <w:webHidden/>
          </w:rPr>
        </w:r>
        <w:r w:rsidR="00DF0696">
          <w:rPr>
            <w:noProof/>
            <w:webHidden/>
          </w:rPr>
          <w:fldChar w:fldCharType="separate"/>
        </w:r>
        <w:r>
          <w:rPr>
            <w:noProof/>
            <w:webHidden/>
          </w:rPr>
          <w:t>10</w:t>
        </w:r>
        <w:r w:rsidR="00DF0696">
          <w:rPr>
            <w:noProof/>
            <w:webHidden/>
          </w:rPr>
          <w:fldChar w:fldCharType="end"/>
        </w:r>
      </w:hyperlink>
    </w:p>
    <w:p w14:paraId="47AD3E47" w14:textId="1980D7FE" w:rsidR="00DF0696" w:rsidRDefault="0029244E">
      <w:pPr>
        <w:pStyle w:val="TOC1"/>
        <w:rPr>
          <w:rFonts w:asciiTheme="minorHAnsi" w:eastAsiaTheme="minorEastAsia" w:hAnsiTheme="minorHAnsi" w:cstheme="minorBidi"/>
          <w:caps w:val="0"/>
          <w:noProof/>
          <w:szCs w:val="22"/>
          <w:lang w:eastAsia="en-GB"/>
        </w:rPr>
      </w:pPr>
      <w:hyperlink w:anchor="_Toc113641454" w:history="1">
        <w:r w:rsidR="00DF0696" w:rsidRPr="0010346A">
          <w:rPr>
            <w:rStyle w:val="Hyperlink"/>
            <w:noProof/>
          </w:rPr>
          <w:t>15.</w:t>
        </w:r>
        <w:r w:rsidR="00DF0696">
          <w:rPr>
            <w:rFonts w:asciiTheme="minorHAnsi" w:eastAsiaTheme="minorEastAsia" w:hAnsiTheme="minorHAnsi" w:cstheme="minorBidi"/>
            <w:caps w:val="0"/>
            <w:noProof/>
            <w:szCs w:val="22"/>
            <w:lang w:eastAsia="en-GB"/>
          </w:rPr>
          <w:tab/>
        </w:r>
        <w:r w:rsidR="00DF0696" w:rsidRPr="0010346A">
          <w:rPr>
            <w:rStyle w:val="Hyperlink"/>
            <w:noProof/>
          </w:rPr>
          <w:t>Security and CONFIDENTIALITY requirements</w:t>
        </w:r>
        <w:r w:rsidR="00DF0696">
          <w:rPr>
            <w:noProof/>
            <w:webHidden/>
          </w:rPr>
          <w:tab/>
        </w:r>
        <w:r w:rsidR="00DF0696">
          <w:rPr>
            <w:noProof/>
            <w:webHidden/>
          </w:rPr>
          <w:fldChar w:fldCharType="begin"/>
        </w:r>
        <w:r w:rsidR="00DF0696">
          <w:rPr>
            <w:noProof/>
            <w:webHidden/>
          </w:rPr>
          <w:instrText xml:space="preserve"> PAGEREF _Toc113641454 \h </w:instrText>
        </w:r>
        <w:r w:rsidR="00DF0696">
          <w:rPr>
            <w:noProof/>
            <w:webHidden/>
          </w:rPr>
        </w:r>
        <w:r w:rsidR="00DF0696">
          <w:rPr>
            <w:noProof/>
            <w:webHidden/>
          </w:rPr>
          <w:fldChar w:fldCharType="separate"/>
        </w:r>
        <w:r>
          <w:rPr>
            <w:noProof/>
            <w:webHidden/>
          </w:rPr>
          <w:t>11</w:t>
        </w:r>
        <w:r w:rsidR="00DF0696">
          <w:rPr>
            <w:noProof/>
            <w:webHidden/>
          </w:rPr>
          <w:fldChar w:fldCharType="end"/>
        </w:r>
      </w:hyperlink>
    </w:p>
    <w:p w14:paraId="5C3B05CE" w14:textId="6FA9B08D" w:rsidR="00DF0696" w:rsidRDefault="0029244E">
      <w:pPr>
        <w:pStyle w:val="TOC1"/>
        <w:rPr>
          <w:rFonts w:asciiTheme="minorHAnsi" w:eastAsiaTheme="minorEastAsia" w:hAnsiTheme="minorHAnsi" w:cstheme="minorBidi"/>
          <w:caps w:val="0"/>
          <w:noProof/>
          <w:szCs w:val="22"/>
          <w:lang w:eastAsia="en-GB"/>
        </w:rPr>
      </w:pPr>
      <w:hyperlink w:anchor="_Toc113641455" w:history="1">
        <w:r w:rsidR="00DF0696" w:rsidRPr="0010346A">
          <w:rPr>
            <w:rStyle w:val="Hyperlink"/>
            <w:rFonts w:cs="Arial"/>
            <w:noProof/>
          </w:rPr>
          <w:t>16.</w:t>
        </w:r>
        <w:r w:rsidR="00DF0696">
          <w:rPr>
            <w:rFonts w:asciiTheme="minorHAnsi" w:eastAsiaTheme="minorEastAsia" w:hAnsiTheme="minorHAnsi" w:cstheme="minorBidi"/>
            <w:caps w:val="0"/>
            <w:noProof/>
            <w:szCs w:val="22"/>
            <w:lang w:eastAsia="en-GB"/>
          </w:rPr>
          <w:tab/>
        </w:r>
        <w:r w:rsidR="00DF0696" w:rsidRPr="0010346A">
          <w:rPr>
            <w:rStyle w:val="Hyperlink"/>
            <w:rFonts w:cs="Arial"/>
            <w:noProof/>
          </w:rPr>
          <w:t>payment AND INVOICING</w:t>
        </w:r>
        <w:r w:rsidR="00DF0696">
          <w:rPr>
            <w:noProof/>
            <w:webHidden/>
          </w:rPr>
          <w:tab/>
        </w:r>
        <w:r w:rsidR="00DF0696">
          <w:rPr>
            <w:noProof/>
            <w:webHidden/>
          </w:rPr>
          <w:fldChar w:fldCharType="begin"/>
        </w:r>
        <w:r w:rsidR="00DF0696">
          <w:rPr>
            <w:noProof/>
            <w:webHidden/>
          </w:rPr>
          <w:instrText xml:space="preserve"> PAGEREF _Toc113641455 \h </w:instrText>
        </w:r>
        <w:r w:rsidR="00DF0696">
          <w:rPr>
            <w:noProof/>
            <w:webHidden/>
          </w:rPr>
        </w:r>
        <w:r w:rsidR="00DF0696">
          <w:rPr>
            <w:noProof/>
            <w:webHidden/>
          </w:rPr>
          <w:fldChar w:fldCharType="separate"/>
        </w:r>
        <w:r>
          <w:rPr>
            <w:noProof/>
            <w:webHidden/>
          </w:rPr>
          <w:t>11</w:t>
        </w:r>
        <w:r w:rsidR="00DF0696">
          <w:rPr>
            <w:noProof/>
            <w:webHidden/>
          </w:rPr>
          <w:fldChar w:fldCharType="end"/>
        </w:r>
      </w:hyperlink>
    </w:p>
    <w:p w14:paraId="5F5A8BC5" w14:textId="19D2518A" w:rsidR="00DF0696" w:rsidRDefault="0029244E">
      <w:pPr>
        <w:pStyle w:val="TOC1"/>
        <w:rPr>
          <w:rFonts w:asciiTheme="minorHAnsi" w:eastAsiaTheme="minorEastAsia" w:hAnsiTheme="minorHAnsi" w:cstheme="minorBidi"/>
          <w:caps w:val="0"/>
          <w:noProof/>
          <w:szCs w:val="22"/>
          <w:lang w:eastAsia="en-GB"/>
        </w:rPr>
      </w:pPr>
      <w:hyperlink w:anchor="_Toc113641456" w:history="1">
        <w:r w:rsidR="00DF0696" w:rsidRPr="0010346A">
          <w:rPr>
            <w:rStyle w:val="Hyperlink"/>
            <w:rFonts w:cs="Arial"/>
            <w:noProof/>
          </w:rPr>
          <w:t>17.</w:t>
        </w:r>
        <w:r w:rsidR="00DF0696">
          <w:rPr>
            <w:rFonts w:asciiTheme="minorHAnsi" w:eastAsiaTheme="minorEastAsia" w:hAnsiTheme="minorHAnsi" w:cstheme="minorBidi"/>
            <w:caps w:val="0"/>
            <w:noProof/>
            <w:szCs w:val="22"/>
            <w:lang w:eastAsia="en-GB"/>
          </w:rPr>
          <w:tab/>
        </w:r>
        <w:r w:rsidR="00DF0696" w:rsidRPr="0010346A">
          <w:rPr>
            <w:rStyle w:val="Hyperlink"/>
            <w:rFonts w:cs="Arial"/>
            <w:noProof/>
          </w:rPr>
          <w:t>CONTRACT MANAGEMENT</w:t>
        </w:r>
        <w:r w:rsidR="00DF0696">
          <w:rPr>
            <w:noProof/>
            <w:webHidden/>
          </w:rPr>
          <w:tab/>
        </w:r>
        <w:r w:rsidR="00DF0696">
          <w:rPr>
            <w:noProof/>
            <w:webHidden/>
          </w:rPr>
          <w:fldChar w:fldCharType="begin"/>
        </w:r>
        <w:r w:rsidR="00DF0696">
          <w:rPr>
            <w:noProof/>
            <w:webHidden/>
          </w:rPr>
          <w:instrText xml:space="preserve"> PAGEREF _Toc113641456 \h </w:instrText>
        </w:r>
        <w:r w:rsidR="00DF0696">
          <w:rPr>
            <w:noProof/>
            <w:webHidden/>
          </w:rPr>
        </w:r>
        <w:r w:rsidR="00DF0696">
          <w:rPr>
            <w:noProof/>
            <w:webHidden/>
          </w:rPr>
          <w:fldChar w:fldCharType="separate"/>
        </w:r>
        <w:r>
          <w:rPr>
            <w:noProof/>
            <w:webHidden/>
          </w:rPr>
          <w:t>11</w:t>
        </w:r>
        <w:r w:rsidR="00DF0696">
          <w:rPr>
            <w:noProof/>
            <w:webHidden/>
          </w:rPr>
          <w:fldChar w:fldCharType="end"/>
        </w:r>
      </w:hyperlink>
    </w:p>
    <w:p w14:paraId="2FB0FFE6" w14:textId="6222E5B4" w:rsidR="00DF0696" w:rsidRDefault="0029244E">
      <w:pPr>
        <w:pStyle w:val="TOC1"/>
        <w:rPr>
          <w:rFonts w:asciiTheme="minorHAnsi" w:eastAsiaTheme="minorEastAsia" w:hAnsiTheme="minorHAnsi" w:cstheme="minorBidi"/>
          <w:caps w:val="0"/>
          <w:noProof/>
          <w:szCs w:val="22"/>
          <w:lang w:eastAsia="en-GB"/>
        </w:rPr>
      </w:pPr>
      <w:hyperlink w:anchor="_Toc113641457" w:history="1">
        <w:r w:rsidR="00DF0696" w:rsidRPr="0010346A">
          <w:rPr>
            <w:rStyle w:val="Hyperlink"/>
            <w:noProof/>
          </w:rPr>
          <w:t>18.</w:t>
        </w:r>
        <w:r w:rsidR="00DF0696">
          <w:rPr>
            <w:rFonts w:asciiTheme="minorHAnsi" w:eastAsiaTheme="minorEastAsia" w:hAnsiTheme="minorHAnsi" w:cstheme="minorBidi"/>
            <w:caps w:val="0"/>
            <w:noProof/>
            <w:szCs w:val="22"/>
            <w:lang w:eastAsia="en-GB"/>
          </w:rPr>
          <w:tab/>
        </w:r>
        <w:r w:rsidR="00DF0696" w:rsidRPr="0010346A">
          <w:rPr>
            <w:rStyle w:val="Hyperlink"/>
            <w:noProof/>
          </w:rPr>
          <w:t>Location</w:t>
        </w:r>
        <w:r w:rsidR="00DF0696">
          <w:rPr>
            <w:noProof/>
            <w:webHidden/>
          </w:rPr>
          <w:tab/>
        </w:r>
        <w:r w:rsidR="00DF0696">
          <w:rPr>
            <w:noProof/>
            <w:webHidden/>
          </w:rPr>
          <w:fldChar w:fldCharType="begin"/>
        </w:r>
        <w:r w:rsidR="00DF0696">
          <w:rPr>
            <w:noProof/>
            <w:webHidden/>
          </w:rPr>
          <w:instrText xml:space="preserve"> PAGEREF _Toc113641457 \h </w:instrText>
        </w:r>
        <w:r w:rsidR="00DF0696">
          <w:rPr>
            <w:noProof/>
            <w:webHidden/>
          </w:rPr>
        </w:r>
        <w:r w:rsidR="00DF0696">
          <w:rPr>
            <w:noProof/>
            <w:webHidden/>
          </w:rPr>
          <w:fldChar w:fldCharType="separate"/>
        </w:r>
        <w:r>
          <w:rPr>
            <w:noProof/>
            <w:webHidden/>
          </w:rPr>
          <w:t>11</w:t>
        </w:r>
        <w:r w:rsidR="00DF0696">
          <w:rPr>
            <w:noProof/>
            <w:webHidden/>
          </w:rPr>
          <w:fldChar w:fldCharType="end"/>
        </w:r>
      </w:hyperlink>
    </w:p>
    <w:p w14:paraId="374B790A" w14:textId="3455F3A5" w:rsidR="00FE18AC" w:rsidRPr="00D37BAC" w:rsidRDefault="00E10E97" w:rsidP="00FE18AC">
      <w:pPr>
        <w:spacing w:after="120"/>
        <w:jc w:val="center"/>
        <w:rPr>
          <w:b/>
        </w:rPr>
      </w:pPr>
      <w:r w:rsidRPr="00FA5229">
        <w:rPr>
          <w:rFonts w:cs="Arial"/>
          <w:caps/>
        </w:rPr>
        <w:fldChar w:fldCharType="end"/>
      </w:r>
    </w:p>
    <w:p w14:paraId="4DA4FDFA" w14:textId="1FA3FA62" w:rsidR="00F44D62" w:rsidRPr="00F44D62" w:rsidRDefault="00F44D62" w:rsidP="001A45DF">
      <w:pPr>
        <w:adjustRightInd w:val="0"/>
        <w:spacing w:before="60" w:after="60"/>
        <w:ind w:left="142"/>
        <w:jc w:val="center"/>
        <w:rPr>
          <w:rFonts w:eastAsia="STZhongsong" w:cs="Arial"/>
          <w:b/>
          <w:szCs w:val="22"/>
          <w:highlight w:val="yellow"/>
        </w:rPr>
      </w:pPr>
      <w:bookmarkStart w:id="0" w:name="_Toc297554772"/>
    </w:p>
    <w:p w14:paraId="656F4A80" w14:textId="0C4CB188" w:rsidR="00FE18AC" w:rsidRPr="001530F5" w:rsidRDefault="00FE18AC" w:rsidP="00F44D62">
      <w:pPr>
        <w:pStyle w:val="Heading1"/>
        <w:numPr>
          <w:ilvl w:val="0"/>
          <w:numId w:val="0"/>
        </w:numPr>
        <w:overflowPunct w:val="0"/>
        <w:autoSpaceDE w:val="0"/>
        <w:autoSpaceDN w:val="0"/>
        <w:spacing w:after="120"/>
        <w:ind w:left="720"/>
        <w:textAlignment w:val="baseline"/>
        <w:rPr>
          <w:szCs w:val="22"/>
        </w:rPr>
      </w:pPr>
      <w:r>
        <w:rPr>
          <w:caps w:val="0"/>
          <w:szCs w:val="22"/>
        </w:rPr>
        <w:br w:type="page"/>
      </w:r>
    </w:p>
    <w:p w14:paraId="5009DF59" w14:textId="77777777" w:rsidR="00574BF3" w:rsidRPr="001A45DF" w:rsidRDefault="00574BF3" w:rsidP="00574BF3">
      <w:pPr>
        <w:pStyle w:val="Heading1"/>
        <w:numPr>
          <w:ilvl w:val="0"/>
          <w:numId w:val="30"/>
        </w:numPr>
        <w:tabs>
          <w:tab w:val="clear" w:pos="720"/>
        </w:tabs>
        <w:overflowPunct w:val="0"/>
        <w:autoSpaceDE w:val="0"/>
        <w:autoSpaceDN w:val="0"/>
        <w:spacing w:after="120"/>
        <w:textAlignment w:val="baseline"/>
        <w:rPr>
          <w:sz w:val="32"/>
          <w:szCs w:val="32"/>
        </w:rPr>
      </w:pPr>
      <w:bookmarkStart w:id="1" w:name="_Toc368573027"/>
      <w:bookmarkStart w:id="2" w:name="_Toc113641440"/>
      <w:bookmarkStart w:id="3" w:name="_Toc297554773"/>
      <w:bookmarkStart w:id="4" w:name="_Toc368573029"/>
      <w:bookmarkStart w:id="5" w:name="_Toc296415805"/>
      <w:bookmarkStart w:id="6" w:name="_Toc296415793"/>
      <w:bookmarkEnd w:id="0"/>
      <w:r w:rsidRPr="001A45DF">
        <w:rPr>
          <w:caps w:val="0"/>
          <w:sz w:val="32"/>
          <w:szCs w:val="32"/>
        </w:rPr>
        <w:lastRenderedPageBreak/>
        <w:t>PURPOSE</w:t>
      </w:r>
      <w:bookmarkEnd w:id="1"/>
      <w:bookmarkEnd w:id="2"/>
    </w:p>
    <w:p w14:paraId="44417BCB" w14:textId="30A5569F" w:rsidR="008F026E" w:rsidRPr="008F026E" w:rsidRDefault="00651CD4" w:rsidP="008F026E">
      <w:pPr>
        <w:pStyle w:val="Heading2"/>
        <w:spacing w:after="120"/>
        <w:ind w:left="709" w:hanging="709"/>
        <w:rPr>
          <w:sz w:val="24"/>
          <w:szCs w:val="24"/>
        </w:rPr>
      </w:pPr>
      <w:bookmarkStart w:id="7" w:name="_Toc368573028"/>
      <w:r>
        <w:rPr>
          <w:color w:val="000000" w:themeColor="text1"/>
          <w:sz w:val="24"/>
        </w:rPr>
        <w:t>His</w:t>
      </w:r>
      <w:r w:rsidR="00574BF3" w:rsidRPr="008F026E">
        <w:rPr>
          <w:color w:val="000000" w:themeColor="text1"/>
          <w:sz w:val="24"/>
        </w:rPr>
        <w:t xml:space="preserve"> Majesty's Treasury (HMT), the Authority, is seeking to contract with a Supplier to deliver the Authority’s aims of achieving a significant improvement in the capacity of the public sector and partner organisations to create </w:t>
      </w:r>
      <w:r w:rsidR="00554A13">
        <w:rPr>
          <w:color w:val="000000" w:themeColor="text1"/>
          <w:sz w:val="24"/>
        </w:rPr>
        <w:t>best</w:t>
      </w:r>
      <w:r w:rsidR="00574BF3" w:rsidRPr="008F026E">
        <w:rPr>
          <w:color w:val="000000" w:themeColor="text1"/>
          <w:sz w:val="24"/>
        </w:rPr>
        <w:t xml:space="preserve"> value spending proposals and maintaining and growing that capability over time.</w:t>
      </w:r>
    </w:p>
    <w:p w14:paraId="5A72E123" w14:textId="3DCD156D" w:rsidR="00574BF3" w:rsidRPr="008F026E" w:rsidRDefault="00574BF3" w:rsidP="008F026E">
      <w:pPr>
        <w:pStyle w:val="Heading2"/>
        <w:spacing w:after="120"/>
        <w:ind w:left="709" w:hanging="709"/>
        <w:rPr>
          <w:sz w:val="24"/>
          <w:szCs w:val="24"/>
        </w:rPr>
      </w:pPr>
      <w:r w:rsidRPr="008F026E">
        <w:rPr>
          <w:color w:val="000000" w:themeColor="text1"/>
          <w:sz w:val="24"/>
        </w:rPr>
        <w:t xml:space="preserve">The Better Business Cases Programme (BBCP) </w:t>
      </w:r>
      <w:r w:rsidR="00711D11">
        <w:rPr>
          <w:color w:val="000000" w:themeColor="text1"/>
          <w:sz w:val="24"/>
        </w:rPr>
        <w:t xml:space="preserve">supports achieving this by </w:t>
      </w:r>
      <w:r w:rsidR="00554A13">
        <w:rPr>
          <w:color w:val="000000" w:themeColor="text1"/>
          <w:sz w:val="24"/>
        </w:rPr>
        <w:t xml:space="preserve">facilitating </w:t>
      </w:r>
      <w:r w:rsidR="003C3201">
        <w:rPr>
          <w:color w:val="000000" w:themeColor="text1"/>
          <w:sz w:val="24"/>
        </w:rPr>
        <w:t>accredited</w:t>
      </w:r>
      <w:r w:rsidR="00554A13">
        <w:rPr>
          <w:color w:val="000000" w:themeColor="text1"/>
          <w:sz w:val="24"/>
        </w:rPr>
        <w:t xml:space="preserve"> training in HM Treasury’s Business Case Guidance, which is based on the </w:t>
      </w:r>
      <w:proofErr w:type="gramStart"/>
      <w:r w:rsidR="00554A13">
        <w:rPr>
          <w:color w:val="000000" w:themeColor="text1"/>
          <w:sz w:val="24"/>
        </w:rPr>
        <w:t>5 case</w:t>
      </w:r>
      <w:proofErr w:type="gramEnd"/>
      <w:r w:rsidR="00554A13">
        <w:rPr>
          <w:color w:val="000000" w:themeColor="text1"/>
          <w:sz w:val="24"/>
        </w:rPr>
        <w:t xml:space="preserve"> model. </w:t>
      </w:r>
      <w:r w:rsidRPr="008F026E">
        <w:rPr>
          <w:color w:val="000000" w:themeColor="text1"/>
          <w:sz w:val="24"/>
        </w:rPr>
        <w:t xml:space="preserve"> </w:t>
      </w:r>
      <w:r w:rsidR="00BF3D4D">
        <w:rPr>
          <w:color w:val="000000" w:themeColor="text1"/>
          <w:sz w:val="24"/>
        </w:rPr>
        <w:t xml:space="preserve">It also achieves these objectives by facilitating examinations to those who go on to undertake accredited training, </w:t>
      </w:r>
      <w:r w:rsidR="00A721C2">
        <w:rPr>
          <w:color w:val="000000" w:themeColor="text1"/>
          <w:sz w:val="24"/>
        </w:rPr>
        <w:t xml:space="preserve">so those individuals can be come accredited in HM Treasury’s guidance. </w:t>
      </w:r>
      <w:r w:rsidR="0004440D">
        <w:rPr>
          <w:color w:val="000000" w:themeColor="text1"/>
          <w:sz w:val="24"/>
        </w:rPr>
        <w:t xml:space="preserve">There is good demand for this training, and the Authority would like to see continued growth. </w:t>
      </w:r>
    </w:p>
    <w:p w14:paraId="0433D94E" w14:textId="77777777" w:rsidR="00574BF3" w:rsidRPr="007F513D" w:rsidRDefault="00574BF3" w:rsidP="00574BF3">
      <w:pPr>
        <w:pStyle w:val="Heading1"/>
        <w:tabs>
          <w:tab w:val="clear" w:pos="720"/>
        </w:tabs>
        <w:overflowPunct w:val="0"/>
        <w:autoSpaceDE w:val="0"/>
        <w:autoSpaceDN w:val="0"/>
        <w:spacing w:after="120"/>
        <w:textAlignment w:val="baseline"/>
        <w:rPr>
          <w:sz w:val="32"/>
          <w:szCs w:val="32"/>
        </w:rPr>
      </w:pPr>
      <w:bookmarkStart w:id="8" w:name="_Toc113641441"/>
      <w:r w:rsidRPr="007F513D">
        <w:rPr>
          <w:sz w:val="32"/>
          <w:szCs w:val="32"/>
        </w:rPr>
        <w:t>BACKGROUND TO THE CONTRACTING aUTHORITY</w:t>
      </w:r>
      <w:bookmarkEnd w:id="7"/>
      <w:bookmarkEnd w:id="8"/>
    </w:p>
    <w:p w14:paraId="542433CA" w14:textId="3912E0B0" w:rsidR="00574BF3" w:rsidRPr="00FC6576" w:rsidRDefault="00574BF3" w:rsidP="00574BF3">
      <w:pPr>
        <w:pStyle w:val="Heading2"/>
        <w:tabs>
          <w:tab w:val="clear" w:pos="720"/>
          <w:tab w:val="num" w:pos="709"/>
        </w:tabs>
        <w:spacing w:after="120"/>
        <w:ind w:left="709" w:hanging="709"/>
        <w:rPr>
          <w:sz w:val="24"/>
          <w:szCs w:val="24"/>
        </w:rPr>
      </w:pPr>
      <w:bookmarkStart w:id="9" w:name="_Hlk54167266"/>
      <w:r w:rsidRPr="00FC6576">
        <w:rPr>
          <w:color w:val="000000" w:themeColor="text1"/>
          <w:sz w:val="24"/>
          <w:szCs w:val="24"/>
        </w:rPr>
        <w:t xml:space="preserve">HMT is the UK Government's economic and finance ministry, maintaining control over public spending, setting the direction of the UK's economic </w:t>
      </w:r>
      <w:proofErr w:type="gramStart"/>
      <w:r w:rsidRPr="00FC6576">
        <w:rPr>
          <w:color w:val="000000" w:themeColor="text1"/>
          <w:sz w:val="24"/>
          <w:szCs w:val="24"/>
        </w:rPr>
        <w:t>policy</w:t>
      </w:r>
      <w:proofErr w:type="gramEnd"/>
      <w:r w:rsidRPr="00FC6576">
        <w:rPr>
          <w:color w:val="000000" w:themeColor="text1"/>
          <w:sz w:val="24"/>
          <w:szCs w:val="24"/>
        </w:rPr>
        <w:t xml:space="preserve"> and working to achieve strong and sustainable economic growth</w:t>
      </w:r>
      <w:bookmarkEnd w:id="9"/>
      <w:r w:rsidR="007F513D" w:rsidRPr="00FC6576">
        <w:rPr>
          <w:color w:val="000000" w:themeColor="text1"/>
          <w:sz w:val="24"/>
          <w:szCs w:val="24"/>
        </w:rPr>
        <w:t>.</w:t>
      </w:r>
    </w:p>
    <w:p w14:paraId="151A9D23" w14:textId="77777777" w:rsidR="00FE18AC" w:rsidRPr="007F513D" w:rsidRDefault="00FE18AC" w:rsidP="008F3470">
      <w:pPr>
        <w:pStyle w:val="Heading1"/>
        <w:tabs>
          <w:tab w:val="clear" w:pos="720"/>
        </w:tabs>
        <w:overflowPunct w:val="0"/>
        <w:autoSpaceDE w:val="0"/>
        <w:autoSpaceDN w:val="0"/>
        <w:spacing w:after="120"/>
        <w:textAlignment w:val="baseline"/>
        <w:rPr>
          <w:sz w:val="32"/>
          <w:szCs w:val="32"/>
        </w:rPr>
      </w:pPr>
      <w:bookmarkStart w:id="10" w:name="_Toc113641442"/>
      <w:r w:rsidRPr="007F513D">
        <w:rPr>
          <w:sz w:val="32"/>
          <w:szCs w:val="32"/>
        </w:rPr>
        <w:t>Background to requirement/OVERVIEW</w:t>
      </w:r>
      <w:bookmarkEnd w:id="3"/>
      <w:r w:rsidRPr="007F513D">
        <w:rPr>
          <w:sz w:val="32"/>
          <w:szCs w:val="32"/>
        </w:rPr>
        <w:t xml:space="preserve"> of requirement</w:t>
      </w:r>
      <w:bookmarkEnd w:id="4"/>
      <w:bookmarkEnd w:id="10"/>
    </w:p>
    <w:p w14:paraId="28578CE2" w14:textId="295D226F" w:rsidR="007F513D" w:rsidRPr="00E65773" w:rsidRDefault="00574BF3" w:rsidP="00574BF3">
      <w:pPr>
        <w:pStyle w:val="Heading2"/>
        <w:spacing w:after="120"/>
        <w:ind w:left="709" w:hanging="709"/>
        <w:rPr>
          <w:sz w:val="24"/>
          <w:szCs w:val="24"/>
        </w:rPr>
      </w:pPr>
      <w:bookmarkStart w:id="11" w:name="_Toc297554774"/>
      <w:bookmarkEnd w:id="5"/>
      <w:r w:rsidRPr="00E65773">
        <w:rPr>
          <w:color w:val="000000" w:themeColor="text1"/>
          <w:sz w:val="24"/>
          <w:szCs w:val="24"/>
        </w:rPr>
        <w:t xml:space="preserve">In 2013, HMT launched a pilot programme to test the appetite of the external market to provide facilitation services for the creation, promotion and support of a market based on the accreditation and approval of training organisations and individual trainers and the administration of an examination and accreditation scheme for individual candidates. </w:t>
      </w:r>
    </w:p>
    <w:p w14:paraId="7644D753" w14:textId="12162122" w:rsidR="00D318A5" w:rsidRDefault="00574BF3" w:rsidP="00D318A5">
      <w:pPr>
        <w:pStyle w:val="Heading2"/>
        <w:spacing w:after="120"/>
        <w:ind w:left="709" w:hanging="709"/>
        <w:rPr>
          <w:sz w:val="24"/>
          <w:szCs w:val="24"/>
        </w:rPr>
      </w:pPr>
      <w:r w:rsidRPr="00E65773">
        <w:rPr>
          <w:color w:val="000000" w:themeColor="text1"/>
          <w:sz w:val="24"/>
          <w:szCs w:val="24"/>
        </w:rPr>
        <w:t>The objective being the creation of an external market that would deliver the training required by HMT. The programme</w:t>
      </w:r>
      <w:r w:rsidR="00DC6817">
        <w:rPr>
          <w:color w:val="000000" w:themeColor="text1"/>
          <w:sz w:val="24"/>
          <w:szCs w:val="24"/>
        </w:rPr>
        <w:t>’s</w:t>
      </w:r>
      <w:r w:rsidRPr="00E65773">
        <w:rPr>
          <w:color w:val="000000" w:themeColor="text1"/>
          <w:sz w:val="24"/>
          <w:szCs w:val="24"/>
        </w:rPr>
        <w:t xml:space="preserve"> core focus has been on the UK</w:t>
      </w:r>
      <w:r w:rsidR="007A1B3D">
        <w:rPr>
          <w:color w:val="000000" w:themeColor="text1"/>
          <w:sz w:val="24"/>
          <w:szCs w:val="24"/>
        </w:rPr>
        <w:t>, where most exams are undertaken</w:t>
      </w:r>
      <w:r w:rsidR="00B7302A">
        <w:rPr>
          <w:color w:val="000000" w:themeColor="text1"/>
          <w:sz w:val="24"/>
          <w:szCs w:val="24"/>
        </w:rPr>
        <w:t>, but exams are also available internationally, such as in New Zealand</w:t>
      </w:r>
      <w:r w:rsidRPr="00E65773">
        <w:rPr>
          <w:color w:val="000000" w:themeColor="text1"/>
          <w:sz w:val="24"/>
          <w:szCs w:val="24"/>
        </w:rPr>
        <w:t xml:space="preserve">. The Authority wishes to continue to maintain this focus, while providing strong support for the </w:t>
      </w:r>
      <w:r w:rsidR="00B7302A">
        <w:rPr>
          <w:color w:val="000000" w:themeColor="text1"/>
          <w:sz w:val="24"/>
          <w:szCs w:val="24"/>
        </w:rPr>
        <w:t>continuing</w:t>
      </w:r>
      <w:r w:rsidR="00B7302A" w:rsidRPr="00E65773">
        <w:rPr>
          <w:color w:val="000000" w:themeColor="text1"/>
          <w:sz w:val="24"/>
          <w:szCs w:val="24"/>
        </w:rPr>
        <w:t xml:space="preserve"> </w:t>
      </w:r>
      <w:r w:rsidRPr="00E65773">
        <w:rPr>
          <w:color w:val="000000" w:themeColor="text1"/>
          <w:sz w:val="24"/>
          <w:szCs w:val="24"/>
        </w:rPr>
        <w:t xml:space="preserve">international training market based on interest in adoption of the HMT Business Case Guidance on which this scheme is based. </w:t>
      </w:r>
    </w:p>
    <w:p w14:paraId="37C5DD47" w14:textId="0EFA4811" w:rsidR="00574BF3" w:rsidRPr="00613A82" w:rsidRDefault="00574BF3" w:rsidP="00C0554A">
      <w:pPr>
        <w:pStyle w:val="Heading2"/>
        <w:numPr>
          <w:ilvl w:val="0"/>
          <w:numId w:val="0"/>
        </w:numPr>
        <w:spacing w:after="120"/>
        <w:ind w:left="709"/>
        <w:rPr>
          <w:rStyle w:val="Hyperlink"/>
          <w:color w:val="auto"/>
          <w:sz w:val="24"/>
          <w:szCs w:val="24"/>
          <w:u w:val="none"/>
        </w:rPr>
      </w:pPr>
      <w:r w:rsidRPr="00613A82">
        <w:rPr>
          <w:color w:val="000000" w:themeColor="text1"/>
          <w:sz w:val="24"/>
          <w:szCs w:val="24"/>
        </w:rPr>
        <w:t>The guidance</w:t>
      </w:r>
      <w:r w:rsidR="00B7302A" w:rsidRPr="00613A82">
        <w:rPr>
          <w:color w:val="000000" w:themeColor="text1"/>
          <w:sz w:val="24"/>
          <w:szCs w:val="24"/>
        </w:rPr>
        <w:t xml:space="preserve"> in the Green Book and Business Case guidance (for projects and programmes)</w:t>
      </w:r>
      <w:r w:rsidRPr="00613A82">
        <w:rPr>
          <w:color w:val="000000" w:themeColor="text1"/>
          <w:sz w:val="24"/>
          <w:szCs w:val="24"/>
        </w:rPr>
        <w:t xml:space="preserve"> can be found at </w:t>
      </w:r>
      <w:r w:rsidR="00613A82" w:rsidRPr="00613A82">
        <w:rPr>
          <w:color w:val="000000" w:themeColor="text1"/>
          <w:sz w:val="24"/>
          <w:szCs w:val="24"/>
        </w:rPr>
        <w:t xml:space="preserve">the following link </w:t>
      </w:r>
      <w:hyperlink r:id="rId11" w:history="1">
        <w:r w:rsidR="007F513D" w:rsidRPr="00613A82">
          <w:rPr>
            <w:rStyle w:val="Hyperlink"/>
            <w:sz w:val="24"/>
            <w:szCs w:val="24"/>
          </w:rPr>
          <w:t>https://www.gov.uk/government/publications/the-green-book-appraisal-and-evaluation-in-central-governent</w:t>
        </w:r>
      </w:hyperlink>
    </w:p>
    <w:p w14:paraId="782EC234" w14:textId="60F54DF7" w:rsidR="00484111" w:rsidRPr="00484111" w:rsidRDefault="20D19DB0" w:rsidP="00574BF3">
      <w:pPr>
        <w:pStyle w:val="Heading2"/>
        <w:spacing w:after="120"/>
        <w:ind w:left="709" w:hanging="709"/>
        <w:rPr>
          <w:sz w:val="24"/>
          <w:szCs w:val="24"/>
        </w:rPr>
      </w:pPr>
      <w:r w:rsidRPr="07AC80A7">
        <w:rPr>
          <w:sz w:val="24"/>
          <w:szCs w:val="24"/>
        </w:rPr>
        <w:t>The existing supplier is contracted until March 202</w:t>
      </w:r>
      <w:r w:rsidR="72073D8D" w:rsidRPr="07AC80A7">
        <w:rPr>
          <w:sz w:val="24"/>
          <w:szCs w:val="24"/>
        </w:rPr>
        <w:t>3</w:t>
      </w:r>
      <w:r w:rsidRPr="07AC80A7">
        <w:rPr>
          <w:sz w:val="24"/>
          <w:szCs w:val="24"/>
        </w:rPr>
        <w:t xml:space="preserve"> and a new contract for this service is expected to be </w:t>
      </w:r>
      <w:r w:rsidR="64358F7D" w:rsidRPr="07AC80A7">
        <w:rPr>
          <w:sz w:val="24"/>
          <w:szCs w:val="24"/>
        </w:rPr>
        <w:t xml:space="preserve">in place </w:t>
      </w:r>
      <w:r w:rsidR="00211877">
        <w:rPr>
          <w:sz w:val="24"/>
          <w:szCs w:val="24"/>
        </w:rPr>
        <w:t>in</w:t>
      </w:r>
      <w:r w:rsidR="64358F7D" w:rsidRPr="07AC80A7">
        <w:rPr>
          <w:sz w:val="24"/>
          <w:szCs w:val="24"/>
        </w:rPr>
        <w:t xml:space="preserve"> December 202</w:t>
      </w:r>
      <w:r w:rsidR="00801440">
        <w:rPr>
          <w:sz w:val="24"/>
          <w:szCs w:val="24"/>
        </w:rPr>
        <w:t>2</w:t>
      </w:r>
      <w:r w:rsidR="64358F7D" w:rsidRPr="07AC80A7">
        <w:rPr>
          <w:sz w:val="24"/>
          <w:szCs w:val="24"/>
        </w:rPr>
        <w:t>.</w:t>
      </w:r>
      <w:r w:rsidR="6E178466" w:rsidRPr="07AC80A7">
        <w:rPr>
          <w:sz w:val="24"/>
          <w:szCs w:val="24"/>
        </w:rPr>
        <w:t xml:space="preserve"> </w:t>
      </w:r>
      <w:r w:rsidR="64358F7D" w:rsidRPr="07AC80A7">
        <w:rPr>
          <w:sz w:val="24"/>
          <w:szCs w:val="24"/>
        </w:rPr>
        <w:t xml:space="preserve"> This is to allow a </w:t>
      </w:r>
      <w:r w:rsidR="4F721144" w:rsidRPr="07AC80A7">
        <w:rPr>
          <w:sz w:val="24"/>
          <w:szCs w:val="24"/>
        </w:rPr>
        <w:t>transition</w:t>
      </w:r>
      <w:r w:rsidR="64358F7D" w:rsidRPr="07AC80A7">
        <w:rPr>
          <w:sz w:val="24"/>
          <w:szCs w:val="24"/>
        </w:rPr>
        <w:t xml:space="preserve"> period of</w:t>
      </w:r>
      <w:r w:rsidR="006305A5">
        <w:rPr>
          <w:sz w:val="24"/>
          <w:szCs w:val="24"/>
        </w:rPr>
        <w:t xml:space="preserve"> approximately</w:t>
      </w:r>
      <w:r w:rsidR="64358F7D" w:rsidRPr="07AC80A7">
        <w:rPr>
          <w:sz w:val="24"/>
          <w:szCs w:val="24"/>
        </w:rPr>
        <w:t xml:space="preserve"> 3 </w:t>
      </w:r>
      <w:r w:rsidR="006305A5">
        <w:rPr>
          <w:sz w:val="24"/>
          <w:szCs w:val="24"/>
        </w:rPr>
        <w:t>m</w:t>
      </w:r>
      <w:r w:rsidR="64358F7D" w:rsidRPr="07AC80A7">
        <w:rPr>
          <w:sz w:val="24"/>
          <w:szCs w:val="24"/>
        </w:rPr>
        <w:t>onths.</w:t>
      </w:r>
      <w:r w:rsidR="0A5D1525" w:rsidRPr="07AC80A7">
        <w:rPr>
          <w:sz w:val="24"/>
          <w:szCs w:val="24"/>
        </w:rPr>
        <w:t xml:space="preserve"> </w:t>
      </w:r>
      <w:r w:rsidR="37DE78C8" w:rsidRPr="07AC80A7">
        <w:rPr>
          <w:sz w:val="24"/>
          <w:szCs w:val="24"/>
        </w:rPr>
        <w:t>During this time, the existing supplier</w:t>
      </w:r>
      <w:r w:rsidR="3A5B6E0E" w:rsidRPr="07AC80A7">
        <w:rPr>
          <w:sz w:val="24"/>
          <w:szCs w:val="24"/>
        </w:rPr>
        <w:t>, APMG International,</w:t>
      </w:r>
      <w:r w:rsidR="37DE78C8" w:rsidRPr="07AC80A7">
        <w:rPr>
          <w:sz w:val="24"/>
          <w:szCs w:val="24"/>
        </w:rPr>
        <w:t xml:space="preserve"> will continue to deliver th</w:t>
      </w:r>
      <w:r w:rsidR="3A5B6E0E" w:rsidRPr="07AC80A7">
        <w:rPr>
          <w:sz w:val="24"/>
          <w:szCs w:val="24"/>
        </w:rPr>
        <w:t>ese accreditation services</w:t>
      </w:r>
      <w:r w:rsidR="37DE78C8" w:rsidRPr="07AC80A7">
        <w:rPr>
          <w:sz w:val="24"/>
          <w:szCs w:val="24"/>
        </w:rPr>
        <w:t xml:space="preserve">, </w:t>
      </w:r>
      <w:r w:rsidR="3A5B6E0E" w:rsidRPr="07AC80A7">
        <w:rPr>
          <w:sz w:val="24"/>
          <w:szCs w:val="24"/>
        </w:rPr>
        <w:t xml:space="preserve">during the </w:t>
      </w:r>
      <w:proofErr w:type="gramStart"/>
      <w:r w:rsidR="3A5B6E0E" w:rsidRPr="07AC80A7">
        <w:rPr>
          <w:sz w:val="24"/>
          <w:szCs w:val="24"/>
        </w:rPr>
        <w:t>3</w:t>
      </w:r>
      <w:r w:rsidR="4F721144" w:rsidRPr="07AC80A7">
        <w:rPr>
          <w:sz w:val="24"/>
          <w:szCs w:val="24"/>
        </w:rPr>
        <w:t xml:space="preserve"> </w:t>
      </w:r>
      <w:r w:rsidR="3A5B6E0E" w:rsidRPr="07AC80A7">
        <w:rPr>
          <w:sz w:val="24"/>
          <w:szCs w:val="24"/>
        </w:rPr>
        <w:t>month</w:t>
      </w:r>
      <w:proofErr w:type="gramEnd"/>
      <w:r w:rsidR="0D00109C" w:rsidRPr="07AC80A7">
        <w:rPr>
          <w:sz w:val="24"/>
          <w:szCs w:val="24"/>
        </w:rPr>
        <w:t xml:space="preserve"> period</w:t>
      </w:r>
      <w:r w:rsidR="3A5B6E0E" w:rsidRPr="07AC80A7">
        <w:rPr>
          <w:sz w:val="24"/>
          <w:szCs w:val="24"/>
        </w:rPr>
        <w:t xml:space="preserve"> the</w:t>
      </w:r>
      <w:r w:rsidR="37DE78C8" w:rsidRPr="07AC80A7">
        <w:rPr>
          <w:sz w:val="24"/>
          <w:szCs w:val="24"/>
        </w:rPr>
        <w:t xml:space="preserve"> new supplier will be </w:t>
      </w:r>
      <w:r w:rsidR="12E2E1C2" w:rsidRPr="07AC80A7">
        <w:rPr>
          <w:sz w:val="24"/>
          <w:szCs w:val="24"/>
        </w:rPr>
        <w:t xml:space="preserve">required to develop and set up their systems and processes to meet the requirements stated in this document. At the end of the </w:t>
      </w:r>
      <w:r w:rsidR="00DC3316">
        <w:rPr>
          <w:sz w:val="24"/>
          <w:szCs w:val="24"/>
        </w:rPr>
        <w:t>transition</w:t>
      </w:r>
      <w:r w:rsidR="64358F7D" w:rsidRPr="07AC80A7">
        <w:rPr>
          <w:sz w:val="24"/>
          <w:szCs w:val="24"/>
        </w:rPr>
        <w:t xml:space="preserve"> period</w:t>
      </w:r>
      <w:r w:rsidR="12E2E1C2" w:rsidRPr="07AC80A7">
        <w:rPr>
          <w:sz w:val="24"/>
          <w:szCs w:val="24"/>
        </w:rPr>
        <w:t xml:space="preserve">, </w:t>
      </w:r>
      <w:r w:rsidR="015B9FC3" w:rsidRPr="07AC80A7">
        <w:rPr>
          <w:sz w:val="24"/>
          <w:szCs w:val="24"/>
        </w:rPr>
        <w:t>any</w:t>
      </w:r>
      <w:r w:rsidR="12E2E1C2" w:rsidRPr="07AC80A7">
        <w:rPr>
          <w:sz w:val="24"/>
          <w:szCs w:val="24"/>
        </w:rPr>
        <w:t xml:space="preserve"> new supplier will then </w:t>
      </w:r>
      <w:r w:rsidR="4F721144" w:rsidRPr="07AC80A7">
        <w:rPr>
          <w:sz w:val="24"/>
          <w:szCs w:val="24"/>
        </w:rPr>
        <w:t xml:space="preserve">be the sole Supplier </w:t>
      </w:r>
      <w:r w:rsidR="4F721144" w:rsidRPr="07AC80A7">
        <w:rPr>
          <w:sz w:val="24"/>
          <w:szCs w:val="24"/>
        </w:rPr>
        <w:lastRenderedPageBreak/>
        <w:t xml:space="preserve">delivering these </w:t>
      </w:r>
      <w:r w:rsidR="12E2E1C2" w:rsidRPr="07AC80A7">
        <w:rPr>
          <w:sz w:val="24"/>
          <w:szCs w:val="24"/>
        </w:rPr>
        <w:t>service</w:t>
      </w:r>
      <w:r w:rsidR="4F721144" w:rsidRPr="07AC80A7">
        <w:rPr>
          <w:sz w:val="24"/>
          <w:szCs w:val="24"/>
        </w:rPr>
        <w:t>s</w:t>
      </w:r>
      <w:r w:rsidR="12E2E1C2" w:rsidRPr="07AC80A7">
        <w:rPr>
          <w:sz w:val="24"/>
          <w:szCs w:val="24"/>
        </w:rPr>
        <w:t xml:space="preserve"> and the Authority is keen to ensure complete continuity in provision.</w:t>
      </w:r>
    </w:p>
    <w:p w14:paraId="16CBFC16" w14:textId="47DE84A3" w:rsidR="00574BF3" w:rsidRPr="002327D5" w:rsidRDefault="00E115FF" w:rsidP="00574BF3">
      <w:pPr>
        <w:pStyle w:val="Heading2"/>
        <w:spacing w:after="120"/>
        <w:ind w:left="709" w:hanging="709"/>
        <w:rPr>
          <w:sz w:val="24"/>
          <w:szCs w:val="24"/>
        </w:rPr>
      </w:pPr>
      <w:r w:rsidRPr="002327D5">
        <w:rPr>
          <w:sz w:val="24"/>
        </w:rPr>
        <w:t xml:space="preserve">The </w:t>
      </w:r>
      <w:r w:rsidR="001B09D9" w:rsidRPr="002327D5">
        <w:rPr>
          <w:sz w:val="24"/>
        </w:rPr>
        <w:t xml:space="preserve">new </w:t>
      </w:r>
      <w:r w:rsidRPr="002327D5">
        <w:rPr>
          <w:sz w:val="24"/>
        </w:rPr>
        <w:t xml:space="preserve">contract has a provisional </w:t>
      </w:r>
      <w:r w:rsidR="001B09D9" w:rsidRPr="002327D5">
        <w:rPr>
          <w:sz w:val="24"/>
        </w:rPr>
        <w:t xml:space="preserve">duration of </w:t>
      </w:r>
      <w:r w:rsidR="00860C4D">
        <w:rPr>
          <w:sz w:val="24"/>
        </w:rPr>
        <w:t>3</w:t>
      </w:r>
      <w:r w:rsidR="001B09D9" w:rsidRPr="002327D5">
        <w:rPr>
          <w:sz w:val="24"/>
        </w:rPr>
        <w:t xml:space="preserve"> years with a</w:t>
      </w:r>
      <w:r w:rsidR="00860C4D">
        <w:rPr>
          <w:sz w:val="24"/>
        </w:rPr>
        <w:t>n optional</w:t>
      </w:r>
      <w:r w:rsidR="007022D6">
        <w:rPr>
          <w:sz w:val="24"/>
        </w:rPr>
        <w:t xml:space="preserve"> 2 x</w:t>
      </w:r>
      <w:r w:rsidR="001B09D9" w:rsidRPr="002327D5">
        <w:rPr>
          <w:sz w:val="24"/>
        </w:rPr>
        <w:t xml:space="preserve"> </w:t>
      </w:r>
      <w:r w:rsidR="0005644B" w:rsidRPr="002327D5">
        <w:rPr>
          <w:sz w:val="24"/>
        </w:rPr>
        <w:t>2-year</w:t>
      </w:r>
      <w:r w:rsidR="001B09D9" w:rsidRPr="002327D5">
        <w:rPr>
          <w:sz w:val="24"/>
        </w:rPr>
        <w:t xml:space="preserve"> extension</w:t>
      </w:r>
      <w:r w:rsidR="007022D6">
        <w:rPr>
          <w:sz w:val="24"/>
        </w:rPr>
        <w:t xml:space="preserve">s (4 potential </w:t>
      </w:r>
      <w:r w:rsidR="006F6780">
        <w:rPr>
          <w:sz w:val="24"/>
        </w:rPr>
        <w:t xml:space="preserve">additional </w:t>
      </w:r>
      <w:r w:rsidR="007022D6">
        <w:rPr>
          <w:sz w:val="24"/>
        </w:rPr>
        <w:t>years total)</w:t>
      </w:r>
      <w:r w:rsidR="00E15412" w:rsidRPr="002327D5">
        <w:rPr>
          <w:sz w:val="24"/>
        </w:rPr>
        <w:t xml:space="preserve"> w</w:t>
      </w:r>
      <w:r w:rsidR="00DC3D02" w:rsidRPr="002327D5">
        <w:rPr>
          <w:sz w:val="24"/>
        </w:rPr>
        <w:t xml:space="preserve">ith the extension being </w:t>
      </w:r>
      <w:r w:rsidR="00E21556">
        <w:rPr>
          <w:sz w:val="24"/>
        </w:rPr>
        <w:t xml:space="preserve">entirely </w:t>
      </w:r>
      <w:r w:rsidR="0024038B" w:rsidRPr="002327D5">
        <w:rPr>
          <w:sz w:val="24"/>
        </w:rPr>
        <w:t xml:space="preserve">at the discretion of the </w:t>
      </w:r>
      <w:r w:rsidR="00901579" w:rsidRPr="002327D5">
        <w:rPr>
          <w:sz w:val="24"/>
        </w:rPr>
        <w:t>A</w:t>
      </w:r>
      <w:r w:rsidR="0024038B" w:rsidRPr="002327D5">
        <w:rPr>
          <w:sz w:val="24"/>
        </w:rPr>
        <w:t>uthority</w:t>
      </w:r>
      <w:r w:rsidR="00DC3D02" w:rsidRPr="002327D5">
        <w:rPr>
          <w:sz w:val="24"/>
        </w:rPr>
        <w:t>.</w:t>
      </w:r>
      <w:r w:rsidR="00176A22" w:rsidRPr="002327D5">
        <w:rPr>
          <w:sz w:val="24"/>
        </w:rPr>
        <w:t xml:space="preserve"> I</w:t>
      </w:r>
      <w:r w:rsidR="002C5A47" w:rsidRPr="002327D5">
        <w:rPr>
          <w:sz w:val="24"/>
        </w:rPr>
        <w:t>f</w:t>
      </w:r>
      <w:r w:rsidR="009207C4" w:rsidRPr="002327D5">
        <w:rPr>
          <w:sz w:val="24"/>
        </w:rPr>
        <w:t xml:space="preserve"> </w:t>
      </w:r>
      <w:r w:rsidR="002C5A47" w:rsidRPr="002327D5">
        <w:rPr>
          <w:sz w:val="24"/>
        </w:rPr>
        <w:t xml:space="preserve">the </w:t>
      </w:r>
      <w:r w:rsidR="00901579" w:rsidRPr="002327D5">
        <w:rPr>
          <w:sz w:val="24"/>
        </w:rPr>
        <w:t>A</w:t>
      </w:r>
      <w:r w:rsidR="009207C4" w:rsidRPr="002327D5">
        <w:rPr>
          <w:sz w:val="24"/>
        </w:rPr>
        <w:t xml:space="preserve">uthority deems </w:t>
      </w:r>
      <w:r w:rsidR="002C5A47" w:rsidRPr="002327D5">
        <w:rPr>
          <w:sz w:val="24"/>
        </w:rPr>
        <w:t>that the</w:t>
      </w:r>
      <w:r w:rsidR="009207C4" w:rsidRPr="002327D5">
        <w:rPr>
          <w:sz w:val="24"/>
        </w:rPr>
        <w:t xml:space="preserve"> supplier is not meeting requirements set out in </w:t>
      </w:r>
      <w:r w:rsidR="00E21556">
        <w:rPr>
          <w:sz w:val="24"/>
        </w:rPr>
        <w:t>this document</w:t>
      </w:r>
      <w:r w:rsidR="00DC3D02" w:rsidRPr="002327D5">
        <w:rPr>
          <w:sz w:val="24"/>
        </w:rPr>
        <w:t xml:space="preserve">, then the </w:t>
      </w:r>
      <w:r w:rsidR="00901579" w:rsidRPr="002327D5">
        <w:rPr>
          <w:sz w:val="24"/>
        </w:rPr>
        <w:t>A</w:t>
      </w:r>
      <w:r w:rsidR="00DC3D02" w:rsidRPr="002327D5">
        <w:rPr>
          <w:sz w:val="24"/>
        </w:rPr>
        <w:t>uthority may terminate the contract</w:t>
      </w:r>
      <w:r w:rsidR="00901579" w:rsidRPr="002327D5">
        <w:rPr>
          <w:sz w:val="24"/>
        </w:rPr>
        <w:t>.</w:t>
      </w:r>
    </w:p>
    <w:p w14:paraId="6FDF486A" w14:textId="6BF85C68" w:rsidR="00574BF3" w:rsidRPr="002327D5" w:rsidRDefault="00574BF3" w:rsidP="00574BF3">
      <w:pPr>
        <w:pStyle w:val="Heading2"/>
        <w:spacing w:after="120"/>
        <w:ind w:left="709" w:hanging="709"/>
        <w:rPr>
          <w:sz w:val="24"/>
          <w:szCs w:val="24"/>
        </w:rPr>
      </w:pPr>
      <w:r w:rsidRPr="002327D5">
        <w:rPr>
          <w:rFonts w:eastAsia="Arial"/>
          <w:color w:val="000000"/>
          <w:sz w:val="24"/>
          <w:szCs w:val="24"/>
          <w:lang w:eastAsia="en-GB"/>
        </w:rPr>
        <w:t>The current supplier has accredited capable training organisations able to deliver the required training and to administer the accompanying examinations.</w:t>
      </w:r>
    </w:p>
    <w:p w14:paraId="1854E648" w14:textId="7E6D49CE" w:rsidR="00574BF3" w:rsidRPr="00E65773" w:rsidRDefault="00574BF3" w:rsidP="00574BF3">
      <w:pPr>
        <w:pStyle w:val="Heading2"/>
        <w:tabs>
          <w:tab w:val="clear" w:pos="720"/>
          <w:tab w:val="num" w:pos="709"/>
        </w:tabs>
        <w:spacing w:after="120"/>
        <w:ind w:left="709" w:hanging="709"/>
        <w:rPr>
          <w:sz w:val="24"/>
          <w:szCs w:val="24"/>
        </w:rPr>
      </w:pPr>
      <w:r w:rsidRPr="00E65773">
        <w:rPr>
          <w:rFonts w:eastAsia="Arial"/>
          <w:color w:val="000000"/>
          <w:sz w:val="24"/>
          <w:szCs w:val="24"/>
          <w:lang w:eastAsia="en-GB"/>
        </w:rPr>
        <w:t xml:space="preserve">The number of independent ATOs is growing in the UK in and around the world. There are currently </w:t>
      </w:r>
      <w:r w:rsidR="00E21556">
        <w:rPr>
          <w:rFonts w:eastAsia="Arial"/>
          <w:color w:val="000000"/>
          <w:sz w:val="24"/>
          <w:szCs w:val="24"/>
          <w:lang w:eastAsia="en-GB"/>
        </w:rPr>
        <w:t xml:space="preserve">approximately </w:t>
      </w:r>
      <w:r w:rsidR="009F562C">
        <w:rPr>
          <w:rFonts w:eastAsia="Arial"/>
          <w:color w:val="000000"/>
          <w:sz w:val="24"/>
          <w:szCs w:val="24"/>
          <w:lang w:eastAsia="en-GB"/>
        </w:rPr>
        <w:t>43</w:t>
      </w:r>
      <w:r w:rsidRPr="00E65773">
        <w:rPr>
          <w:rFonts w:eastAsia="Arial"/>
          <w:color w:val="000000"/>
          <w:sz w:val="24"/>
          <w:szCs w:val="24"/>
          <w:lang w:eastAsia="en-GB"/>
        </w:rPr>
        <w:t xml:space="preserve">, of which </w:t>
      </w:r>
      <w:r w:rsidR="009F562C">
        <w:rPr>
          <w:rFonts w:eastAsia="Arial"/>
          <w:color w:val="000000"/>
          <w:sz w:val="24"/>
          <w:szCs w:val="24"/>
          <w:lang w:eastAsia="en-GB"/>
        </w:rPr>
        <w:t>25</w:t>
      </w:r>
      <w:r w:rsidR="009F562C" w:rsidRPr="00E65773">
        <w:rPr>
          <w:rFonts w:eastAsia="Arial"/>
          <w:color w:val="000000"/>
          <w:sz w:val="24"/>
          <w:szCs w:val="24"/>
          <w:lang w:eastAsia="en-GB"/>
        </w:rPr>
        <w:t xml:space="preserve"> </w:t>
      </w:r>
      <w:r w:rsidRPr="00E65773">
        <w:rPr>
          <w:rFonts w:eastAsia="Arial"/>
          <w:color w:val="000000"/>
          <w:sz w:val="24"/>
          <w:szCs w:val="24"/>
          <w:lang w:eastAsia="en-GB"/>
        </w:rPr>
        <w:t>are in the UK that meet the required training standards and have gained ATO accreditation. In addition, individual trainers associated with these ATOs are individually examined and accredited to train candidates based on the Authority’s training syllabus</w:t>
      </w:r>
      <w:r w:rsidR="007F513D" w:rsidRPr="00E65773">
        <w:rPr>
          <w:rFonts w:eastAsia="Arial"/>
          <w:color w:val="000000"/>
          <w:sz w:val="24"/>
          <w:szCs w:val="24"/>
          <w:lang w:eastAsia="en-GB"/>
        </w:rPr>
        <w:t>.</w:t>
      </w:r>
    </w:p>
    <w:p w14:paraId="034E90FF" w14:textId="308EBB1B" w:rsidR="007F513D" w:rsidRDefault="007F513D" w:rsidP="007F513D">
      <w:pPr>
        <w:pStyle w:val="Heading2"/>
        <w:spacing w:after="120"/>
        <w:ind w:left="709" w:hanging="709"/>
        <w:rPr>
          <w:sz w:val="24"/>
        </w:rPr>
      </w:pPr>
      <w:r w:rsidRPr="007F513D">
        <w:rPr>
          <w:sz w:val="24"/>
        </w:rPr>
        <w:t>The Authority takes a percentage of income generation from the examination fees</w:t>
      </w:r>
      <w:r w:rsidR="00B41841">
        <w:rPr>
          <w:sz w:val="24"/>
        </w:rPr>
        <w:t xml:space="preserve">. Under this </w:t>
      </w:r>
      <w:r w:rsidR="002F69C1">
        <w:rPr>
          <w:sz w:val="24"/>
        </w:rPr>
        <w:t xml:space="preserve">new </w:t>
      </w:r>
      <w:r w:rsidR="00B41841">
        <w:rPr>
          <w:sz w:val="24"/>
        </w:rPr>
        <w:t>contract, the percentage of income the Authority wishes to take is 25%.</w:t>
      </w:r>
      <w:r w:rsidR="00FC6BF2">
        <w:rPr>
          <w:sz w:val="24"/>
        </w:rPr>
        <w:t xml:space="preserve"> The current examination fees charged within the UK are:</w:t>
      </w:r>
    </w:p>
    <w:p w14:paraId="4DAAF709" w14:textId="743D4A79" w:rsidR="00FC6BF2" w:rsidRPr="008B6B68" w:rsidRDefault="00FC6BF2" w:rsidP="00FC6BF2">
      <w:pPr>
        <w:pStyle w:val="Heading3"/>
        <w:rPr>
          <w:sz w:val="24"/>
          <w:szCs w:val="24"/>
        </w:rPr>
      </w:pPr>
      <w:r w:rsidRPr="008B6B68">
        <w:rPr>
          <w:sz w:val="24"/>
          <w:szCs w:val="24"/>
        </w:rPr>
        <w:t xml:space="preserve">Foundation exams - </w:t>
      </w:r>
      <w:r w:rsidR="008B3C15" w:rsidRPr="008B6B68">
        <w:rPr>
          <w:sz w:val="24"/>
          <w:szCs w:val="24"/>
        </w:rPr>
        <w:t>£111</w:t>
      </w:r>
    </w:p>
    <w:p w14:paraId="726501AA" w14:textId="42A17BFF" w:rsidR="008B3C15" w:rsidRPr="008B6B68" w:rsidRDefault="008B3C15" w:rsidP="007E5A2A">
      <w:pPr>
        <w:pStyle w:val="Heading3"/>
        <w:rPr>
          <w:sz w:val="24"/>
          <w:szCs w:val="24"/>
        </w:rPr>
      </w:pPr>
      <w:r w:rsidRPr="008B6B68">
        <w:rPr>
          <w:sz w:val="24"/>
          <w:szCs w:val="24"/>
        </w:rPr>
        <w:t>Practitioner exams - £140</w:t>
      </w:r>
    </w:p>
    <w:p w14:paraId="6316688E" w14:textId="10DAE59B" w:rsidR="008B3C15" w:rsidRDefault="60814E20" w:rsidP="1409CC3E">
      <w:pPr>
        <w:pStyle w:val="Heading2"/>
        <w:spacing w:after="120"/>
        <w:ind w:left="709" w:hanging="709"/>
        <w:rPr>
          <w:sz w:val="24"/>
          <w:szCs w:val="24"/>
        </w:rPr>
      </w:pPr>
      <w:r w:rsidRPr="1409CC3E">
        <w:rPr>
          <w:sz w:val="24"/>
          <w:szCs w:val="24"/>
        </w:rPr>
        <w:t>Exams are also offered internationally. The pricing structure for these international exams are to be agreed with the Authority post contract award</w:t>
      </w:r>
      <w:r w:rsidR="0C5E6A67" w:rsidRPr="1409CC3E">
        <w:rPr>
          <w:sz w:val="24"/>
          <w:szCs w:val="24"/>
        </w:rPr>
        <w:t xml:space="preserve">, but are </w:t>
      </w:r>
      <w:r w:rsidR="008B6B68" w:rsidRPr="1409CC3E">
        <w:rPr>
          <w:sz w:val="24"/>
          <w:szCs w:val="24"/>
        </w:rPr>
        <w:t>currently smaller</w:t>
      </w:r>
      <w:r w:rsidR="0C5E6A67" w:rsidRPr="1409CC3E">
        <w:rPr>
          <w:sz w:val="24"/>
          <w:szCs w:val="24"/>
        </w:rPr>
        <w:t xml:space="preserve"> in number</w:t>
      </w:r>
      <w:r w:rsidR="76B214D8" w:rsidRPr="1409CC3E">
        <w:rPr>
          <w:sz w:val="24"/>
          <w:szCs w:val="24"/>
        </w:rPr>
        <w:t xml:space="preserve">, and </w:t>
      </w:r>
      <w:r w:rsidR="00DC3316">
        <w:rPr>
          <w:sz w:val="24"/>
          <w:szCs w:val="24"/>
        </w:rPr>
        <w:t>many</w:t>
      </w:r>
      <w:r w:rsidR="76B214D8" w:rsidRPr="1409CC3E">
        <w:rPr>
          <w:sz w:val="24"/>
          <w:szCs w:val="24"/>
        </w:rPr>
        <w:t xml:space="preserve"> are charged lower fees than UK exams</w:t>
      </w:r>
      <w:r w:rsidRPr="1409CC3E">
        <w:rPr>
          <w:sz w:val="24"/>
          <w:szCs w:val="24"/>
        </w:rPr>
        <w:t>.</w:t>
      </w:r>
    </w:p>
    <w:p w14:paraId="6E32D3B8" w14:textId="108045A5" w:rsidR="004105E9" w:rsidRDefault="004105E9" w:rsidP="007F513D">
      <w:pPr>
        <w:pStyle w:val="Heading2"/>
        <w:spacing w:after="120"/>
        <w:ind w:left="709" w:hanging="709"/>
        <w:rPr>
          <w:sz w:val="24"/>
        </w:rPr>
      </w:pPr>
      <w:r>
        <w:rPr>
          <w:sz w:val="24"/>
        </w:rPr>
        <w:t>During the life of this contract, any changes to these examination fees must be agreed with the Authority.</w:t>
      </w:r>
    </w:p>
    <w:p w14:paraId="781D33AA" w14:textId="5B03BCB3" w:rsidR="007F513D" w:rsidRPr="007F513D" w:rsidRDefault="007F513D" w:rsidP="007F513D">
      <w:pPr>
        <w:pStyle w:val="Heading2"/>
        <w:spacing w:after="120"/>
        <w:ind w:left="709" w:hanging="709"/>
        <w:rPr>
          <w:sz w:val="24"/>
        </w:rPr>
      </w:pPr>
      <w:r w:rsidRPr="007F513D">
        <w:rPr>
          <w:sz w:val="24"/>
        </w:rPr>
        <w:t xml:space="preserve">The Authority has a memorandum of understanding (MOU) with the Welsh Government for sharing </w:t>
      </w:r>
      <w:r w:rsidR="007B1CBB">
        <w:rPr>
          <w:sz w:val="24"/>
        </w:rPr>
        <w:t>a percentage of the royalties generated for the Authority.</w:t>
      </w:r>
    </w:p>
    <w:p w14:paraId="13540756" w14:textId="77777777" w:rsidR="007F513D" w:rsidRPr="007F513D" w:rsidRDefault="007F513D" w:rsidP="007F513D">
      <w:pPr>
        <w:pStyle w:val="Heading2"/>
        <w:spacing w:after="120"/>
        <w:ind w:left="709" w:hanging="709"/>
        <w:rPr>
          <w:sz w:val="24"/>
        </w:rPr>
      </w:pPr>
      <w:r w:rsidRPr="007F513D">
        <w:rPr>
          <w:sz w:val="24"/>
        </w:rPr>
        <w:t>There is also an agreement in place for the New Zealand Treasury to retain the share in examination revenue from examinations taking place within its territories.</w:t>
      </w:r>
    </w:p>
    <w:p w14:paraId="19AA1B20" w14:textId="5F0169DD" w:rsidR="007F513D" w:rsidRPr="007F513D" w:rsidRDefault="0029244E" w:rsidP="2642EFCB">
      <w:pPr>
        <w:pStyle w:val="Heading2"/>
        <w:spacing w:after="120"/>
        <w:ind w:left="709" w:hanging="709"/>
        <w:rPr>
          <w:sz w:val="24"/>
          <w:szCs w:val="24"/>
        </w:rPr>
      </w:pPr>
      <w:hyperlink r:id="rId12">
        <w:r w:rsidR="007F513D" w:rsidRPr="2642EFCB">
          <w:rPr>
            <w:rStyle w:val="Hyperlink"/>
            <w:sz w:val="24"/>
            <w:szCs w:val="24"/>
          </w:rPr>
          <w:t>The Treasury’s Green Book</w:t>
        </w:r>
      </w:hyperlink>
      <w:r w:rsidR="007F513D" w:rsidRPr="2642EFCB">
        <w:rPr>
          <w:sz w:val="24"/>
          <w:szCs w:val="24"/>
        </w:rPr>
        <w:t xml:space="preserve">, which feeds into the Business Case Guidance, was relaunched </w:t>
      </w:r>
      <w:r w:rsidR="00877E12">
        <w:rPr>
          <w:sz w:val="24"/>
          <w:szCs w:val="24"/>
        </w:rPr>
        <w:t xml:space="preserve">in 2020 </w:t>
      </w:r>
      <w:r w:rsidR="007F513D" w:rsidRPr="2642EFCB">
        <w:rPr>
          <w:sz w:val="24"/>
          <w:szCs w:val="24"/>
        </w:rPr>
        <w:t xml:space="preserve">and refreshed in </w:t>
      </w:r>
      <w:r w:rsidR="00877E12">
        <w:rPr>
          <w:sz w:val="24"/>
          <w:szCs w:val="24"/>
        </w:rPr>
        <w:t>March 2022</w:t>
      </w:r>
      <w:r w:rsidR="007F513D" w:rsidRPr="2642EFCB">
        <w:rPr>
          <w:sz w:val="24"/>
          <w:szCs w:val="24"/>
        </w:rPr>
        <w:t>.</w:t>
      </w:r>
    </w:p>
    <w:p w14:paraId="2248C352" w14:textId="71CD1335" w:rsidR="007F513D" w:rsidRDefault="007F513D" w:rsidP="007F513D">
      <w:pPr>
        <w:pStyle w:val="Heading2"/>
        <w:spacing w:after="120"/>
        <w:ind w:left="709" w:hanging="709"/>
        <w:rPr>
          <w:sz w:val="24"/>
        </w:rPr>
      </w:pPr>
      <w:r w:rsidRPr="007F513D">
        <w:rPr>
          <w:sz w:val="24"/>
        </w:rPr>
        <w:t xml:space="preserve">There is international potential for growth in the provision of accreditation and training and there are already organisations advocating its use abroad. The Authority would like to see the </w:t>
      </w:r>
      <w:r w:rsidR="00DA550E">
        <w:rPr>
          <w:sz w:val="24"/>
        </w:rPr>
        <w:t>Better Business Case P</w:t>
      </w:r>
      <w:r w:rsidR="00517AFB">
        <w:rPr>
          <w:sz w:val="24"/>
        </w:rPr>
        <w:t>rogramme</w:t>
      </w:r>
      <w:r w:rsidR="00D932E1">
        <w:rPr>
          <w:sz w:val="24"/>
        </w:rPr>
        <w:t xml:space="preserve"> </w:t>
      </w:r>
      <w:r w:rsidRPr="007F513D">
        <w:rPr>
          <w:sz w:val="24"/>
        </w:rPr>
        <w:t>continue to develop and grow both at a national and international level through t</w:t>
      </w:r>
      <w:r w:rsidR="00D932E1">
        <w:rPr>
          <w:sz w:val="24"/>
        </w:rPr>
        <w:t>his contract.</w:t>
      </w:r>
    </w:p>
    <w:p w14:paraId="5638D18A" w14:textId="3D8E76D7" w:rsidR="001F4458" w:rsidRPr="007F513D" w:rsidRDefault="00A818D9" w:rsidP="007F513D">
      <w:pPr>
        <w:pStyle w:val="Heading2"/>
        <w:spacing w:after="120"/>
        <w:ind w:left="709" w:hanging="709"/>
        <w:rPr>
          <w:sz w:val="24"/>
        </w:rPr>
      </w:pPr>
      <w:r>
        <w:rPr>
          <w:sz w:val="24"/>
        </w:rPr>
        <w:t xml:space="preserve">The number of </w:t>
      </w:r>
      <w:r w:rsidR="001A57D4">
        <w:rPr>
          <w:sz w:val="24"/>
        </w:rPr>
        <w:t>examinations</w:t>
      </w:r>
      <w:r>
        <w:rPr>
          <w:sz w:val="24"/>
        </w:rPr>
        <w:t xml:space="preserve"> undertake</w:t>
      </w:r>
      <w:r w:rsidR="001A57D4">
        <w:rPr>
          <w:sz w:val="24"/>
        </w:rPr>
        <w:t>n</w:t>
      </w:r>
      <w:r>
        <w:rPr>
          <w:sz w:val="24"/>
        </w:rPr>
        <w:t xml:space="preserve"> by the market fluctuate from time to time </w:t>
      </w:r>
      <w:r w:rsidR="00EE068E">
        <w:rPr>
          <w:sz w:val="24"/>
        </w:rPr>
        <w:t>–</w:t>
      </w:r>
      <w:r>
        <w:rPr>
          <w:sz w:val="24"/>
        </w:rPr>
        <w:t xml:space="preserve"> </w:t>
      </w:r>
      <w:r w:rsidR="00EE068E">
        <w:rPr>
          <w:sz w:val="24"/>
        </w:rPr>
        <w:t xml:space="preserve">in 2021/22, </w:t>
      </w:r>
      <w:r w:rsidR="00623F21">
        <w:rPr>
          <w:sz w:val="24"/>
        </w:rPr>
        <w:t xml:space="preserve">approximately 3,000 </w:t>
      </w:r>
      <w:r w:rsidR="00EE068E">
        <w:rPr>
          <w:sz w:val="24"/>
        </w:rPr>
        <w:t xml:space="preserve">exams were undertaken internationally </w:t>
      </w:r>
      <w:r w:rsidR="00623F21">
        <w:rPr>
          <w:sz w:val="24"/>
        </w:rPr>
        <w:t xml:space="preserve">of which </w:t>
      </w:r>
      <w:r w:rsidR="001A57D4">
        <w:rPr>
          <w:sz w:val="24"/>
        </w:rPr>
        <w:t>approximately 2,700 were in the UK.</w:t>
      </w:r>
    </w:p>
    <w:p w14:paraId="081CFAE7" w14:textId="4404AA16" w:rsidR="00C4233A" w:rsidRPr="001A45DF" w:rsidRDefault="00106F24">
      <w:pPr>
        <w:pStyle w:val="Heading1"/>
        <w:tabs>
          <w:tab w:val="clear" w:pos="720"/>
        </w:tabs>
        <w:overflowPunct w:val="0"/>
        <w:autoSpaceDE w:val="0"/>
        <w:autoSpaceDN w:val="0"/>
        <w:spacing w:after="120"/>
        <w:textAlignment w:val="baseline"/>
        <w:rPr>
          <w:sz w:val="32"/>
          <w:szCs w:val="32"/>
        </w:rPr>
      </w:pPr>
      <w:bookmarkStart w:id="12" w:name="_Toc113641443"/>
      <w:bookmarkStart w:id="13" w:name="_Toc368573030"/>
      <w:r w:rsidRPr="001A45DF">
        <w:rPr>
          <w:sz w:val="32"/>
          <w:szCs w:val="32"/>
        </w:rPr>
        <w:lastRenderedPageBreak/>
        <w:t>definitions</w:t>
      </w:r>
      <w:bookmarkEnd w:id="12"/>
      <w:r w:rsidRPr="001A45DF">
        <w:rPr>
          <w:sz w:val="32"/>
          <w:szCs w:val="32"/>
        </w:rPr>
        <w:t xml:space="preserve"> </w:t>
      </w:r>
    </w:p>
    <w:tbl>
      <w:tblPr>
        <w:tblStyle w:val="TableGrid"/>
        <w:tblW w:w="0" w:type="auto"/>
        <w:tblInd w:w="720" w:type="dxa"/>
        <w:tblLook w:val="04A0" w:firstRow="1" w:lastRow="0" w:firstColumn="1" w:lastColumn="0" w:noHBand="0" w:noVBand="1"/>
      </w:tblPr>
      <w:tblGrid>
        <w:gridCol w:w="1857"/>
        <w:gridCol w:w="6442"/>
      </w:tblGrid>
      <w:tr w:rsidR="00106F24" w14:paraId="553CCD95" w14:textId="77777777" w:rsidTr="007F513D">
        <w:tc>
          <w:tcPr>
            <w:tcW w:w="1857" w:type="dxa"/>
            <w:shd w:val="clear" w:color="auto" w:fill="C6D9F1" w:themeFill="text2" w:themeFillTint="33"/>
          </w:tcPr>
          <w:p w14:paraId="2E04E555" w14:textId="1E410DA5" w:rsidR="00106F24" w:rsidRPr="001A45DF" w:rsidRDefault="00106F24" w:rsidP="0081061A">
            <w:pPr>
              <w:pStyle w:val="Heading2"/>
              <w:numPr>
                <w:ilvl w:val="0"/>
                <w:numId w:val="0"/>
              </w:numPr>
              <w:spacing w:after="120"/>
              <w:ind w:left="18" w:hanging="18"/>
              <w:jc w:val="left"/>
              <w:outlineLvl w:val="1"/>
              <w:rPr>
                <w:b/>
                <w:sz w:val="24"/>
                <w:szCs w:val="24"/>
                <w:highlight w:val="yellow"/>
              </w:rPr>
            </w:pPr>
            <w:r w:rsidRPr="001A45DF">
              <w:rPr>
                <w:b/>
                <w:sz w:val="24"/>
                <w:szCs w:val="24"/>
              </w:rPr>
              <w:t>Expression</w:t>
            </w:r>
            <w:r w:rsidR="0081061A" w:rsidRPr="001A45DF">
              <w:rPr>
                <w:b/>
                <w:sz w:val="24"/>
                <w:szCs w:val="24"/>
              </w:rPr>
              <w:t xml:space="preserve"> or </w:t>
            </w:r>
            <w:r w:rsidRPr="001A45DF">
              <w:rPr>
                <w:b/>
                <w:sz w:val="24"/>
                <w:szCs w:val="24"/>
              </w:rPr>
              <w:t>Acronym</w:t>
            </w:r>
          </w:p>
        </w:tc>
        <w:tc>
          <w:tcPr>
            <w:tcW w:w="6442" w:type="dxa"/>
            <w:shd w:val="clear" w:color="auto" w:fill="C6D9F1" w:themeFill="text2" w:themeFillTint="33"/>
          </w:tcPr>
          <w:p w14:paraId="0CDEAA6D" w14:textId="00739683" w:rsidR="00106F24" w:rsidRPr="001A45DF" w:rsidRDefault="00106F24" w:rsidP="0081061A">
            <w:pPr>
              <w:pStyle w:val="Heading2"/>
              <w:numPr>
                <w:ilvl w:val="0"/>
                <w:numId w:val="0"/>
              </w:numPr>
              <w:spacing w:after="120"/>
              <w:ind w:left="720" w:hanging="720"/>
              <w:outlineLvl w:val="1"/>
              <w:rPr>
                <w:b/>
                <w:sz w:val="24"/>
                <w:szCs w:val="24"/>
                <w:highlight w:val="yellow"/>
              </w:rPr>
            </w:pPr>
            <w:r w:rsidRPr="001A45DF">
              <w:rPr>
                <w:b/>
                <w:sz w:val="24"/>
                <w:szCs w:val="24"/>
              </w:rPr>
              <w:t>Definition</w:t>
            </w:r>
          </w:p>
        </w:tc>
      </w:tr>
      <w:tr w:rsidR="007F513D" w14:paraId="722819D3" w14:textId="77777777" w:rsidTr="007F513D">
        <w:tc>
          <w:tcPr>
            <w:tcW w:w="1857" w:type="dxa"/>
          </w:tcPr>
          <w:p w14:paraId="18A7B53F" w14:textId="134E6A99" w:rsidR="007F513D" w:rsidRPr="001A45DF" w:rsidRDefault="007F513D" w:rsidP="007F513D">
            <w:pPr>
              <w:pStyle w:val="Heading2"/>
              <w:numPr>
                <w:ilvl w:val="0"/>
                <w:numId w:val="0"/>
              </w:numPr>
              <w:spacing w:after="120"/>
              <w:ind w:left="720" w:hanging="720"/>
              <w:outlineLvl w:val="1"/>
              <w:rPr>
                <w:sz w:val="24"/>
                <w:szCs w:val="24"/>
                <w:highlight w:val="yellow"/>
              </w:rPr>
            </w:pPr>
            <w:r w:rsidRPr="00677322">
              <w:t>ATOs</w:t>
            </w:r>
          </w:p>
        </w:tc>
        <w:tc>
          <w:tcPr>
            <w:tcW w:w="6442" w:type="dxa"/>
          </w:tcPr>
          <w:p w14:paraId="74E0E117" w14:textId="5DCAD099" w:rsidR="007F513D" w:rsidRPr="001A45DF" w:rsidRDefault="007F513D" w:rsidP="007F513D">
            <w:pPr>
              <w:pStyle w:val="Heading2"/>
              <w:numPr>
                <w:ilvl w:val="0"/>
                <w:numId w:val="0"/>
              </w:numPr>
              <w:spacing w:after="120"/>
              <w:outlineLvl w:val="1"/>
              <w:rPr>
                <w:sz w:val="24"/>
                <w:szCs w:val="24"/>
                <w:highlight w:val="yellow"/>
              </w:rPr>
            </w:pPr>
            <w:r w:rsidRPr="00EC12FB">
              <w:t>Accredited Training Organisations</w:t>
            </w:r>
          </w:p>
        </w:tc>
      </w:tr>
      <w:tr w:rsidR="007F513D" w14:paraId="0ED1505B" w14:textId="77777777" w:rsidTr="007F513D">
        <w:tc>
          <w:tcPr>
            <w:tcW w:w="1857" w:type="dxa"/>
          </w:tcPr>
          <w:p w14:paraId="0773B834" w14:textId="425C356A" w:rsidR="007F513D" w:rsidRPr="001A45DF" w:rsidRDefault="007F513D" w:rsidP="007F513D">
            <w:pPr>
              <w:pStyle w:val="Heading2"/>
              <w:numPr>
                <w:ilvl w:val="0"/>
                <w:numId w:val="0"/>
              </w:numPr>
              <w:spacing w:after="120"/>
              <w:ind w:left="720" w:hanging="720"/>
              <w:outlineLvl w:val="1"/>
              <w:rPr>
                <w:sz w:val="24"/>
                <w:szCs w:val="24"/>
                <w:highlight w:val="yellow"/>
              </w:rPr>
            </w:pPr>
            <w:r w:rsidRPr="00677322">
              <w:t>BBCP</w:t>
            </w:r>
          </w:p>
        </w:tc>
        <w:tc>
          <w:tcPr>
            <w:tcW w:w="6442" w:type="dxa"/>
          </w:tcPr>
          <w:p w14:paraId="7D6E62CD" w14:textId="48B1613D" w:rsidR="007F513D" w:rsidRPr="001A45DF" w:rsidRDefault="007F513D" w:rsidP="007F513D">
            <w:pPr>
              <w:pStyle w:val="Heading2"/>
              <w:numPr>
                <w:ilvl w:val="0"/>
                <w:numId w:val="0"/>
              </w:numPr>
              <w:spacing w:after="120"/>
              <w:ind w:left="720" w:hanging="720"/>
              <w:outlineLvl w:val="1"/>
              <w:rPr>
                <w:sz w:val="24"/>
                <w:szCs w:val="24"/>
                <w:highlight w:val="yellow"/>
              </w:rPr>
            </w:pPr>
            <w:r w:rsidRPr="00EC12FB">
              <w:t>Better Business Case Programme</w:t>
            </w:r>
          </w:p>
        </w:tc>
      </w:tr>
      <w:tr w:rsidR="007F513D" w14:paraId="03344AB3" w14:textId="77777777" w:rsidTr="007F513D">
        <w:tc>
          <w:tcPr>
            <w:tcW w:w="1857" w:type="dxa"/>
          </w:tcPr>
          <w:p w14:paraId="0F046C88" w14:textId="667A086F" w:rsidR="007F513D" w:rsidRPr="001A45DF" w:rsidRDefault="007F513D" w:rsidP="007F513D">
            <w:pPr>
              <w:pStyle w:val="Heading2"/>
              <w:numPr>
                <w:ilvl w:val="0"/>
                <w:numId w:val="0"/>
              </w:numPr>
              <w:spacing w:after="120"/>
              <w:ind w:left="720" w:hanging="720"/>
              <w:outlineLvl w:val="1"/>
              <w:rPr>
                <w:sz w:val="24"/>
                <w:szCs w:val="24"/>
                <w:highlight w:val="yellow"/>
              </w:rPr>
            </w:pPr>
            <w:r w:rsidRPr="00677322">
              <w:t>IP</w:t>
            </w:r>
          </w:p>
        </w:tc>
        <w:tc>
          <w:tcPr>
            <w:tcW w:w="6442" w:type="dxa"/>
          </w:tcPr>
          <w:p w14:paraId="37C45D19" w14:textId="57EC2AF7" w:rsidR="007F513D" w:rsidRPr="001A45DF" w:rsidRDefault="007F513D" w:rsidP="007F513D">
            <w:pPr>
              <w:pStyle w:val="Heading2"/>
              <w:numPr>
                <w:ilvl w:val="0"/>
                <w:numId w:val="0"/>
              </w:numPr>
              <w:spacing w:after="120"/>
              <w:outlineLvl w:val="1"/>
              <w:rPr>
                <w:sz w:val="24"/>
                <w:szCs w:val="24"/>
                <w:highlight w:val="yellow"/>
              </w:rPr>
            </w:pPr>
            <w:r w:rsidRPr="00EC12FB">
              <w:t>Intellectual Property</w:t>
            </w:r>
          </w:p>
        </w:tc>
      </w:tr>
      <w:tr w:rsidR="007F513D" w14:paraId="70379FF7" w14:textId="77777777" w:rsidTr="007F513D">
        <w:tc>
          <w:tcPr>
            <w:tcW w:w="1857" w:type="dxa"/>
          </w:tcPr>
          <w:p w14:paraId="0F97C431" w14:textId="72A27DDC" w:rsidR="007F513D" w:rsidRPr="001A45DF" w:rsidRDefault="007F513D" w:rsidP="007F513D">
            <w:pPr>
              <w:pStyle w:val="Heading2"/>
              <w:numPr>
                <w:ilvl w:val="0"/>
                <w:numId w:val="0"/>
              </w:numPr>
              <w:spacing w:after="120"/>
              <w:ind w:left="720" w:hanging="720"/>
              <w:outlineLvl w:val="1"/>
              <w:rPr>
                <w:sz w:val="24"/>
                <w:szCs w:val="24"/>
                <w:highlight w:val="yellow"/>
              </w:rPr>
            </w:pPr>
            <w:r w:rsidRPr="00677322">
              <w:t>ISO</w:t>
            </w:r>
          </w:p>
        </w:tc>
        <w:tc>
          <w:tcPr>
            <w:tcW w:w="6442" w:type="dxa"/>
          </w:tcPr>
          <w:p w14:paraId="4C4E3AEE" w14:textId="1A391C5A" w:rsidR="007F513D" w:rsidRPr="001A45DF" w:rsidRDefault="007F513D" w:rsidP="007F513D">
            <w:pPr>
              <w:pStyle w:val="Heading2"/>
              <w:numPr>
                <w:ilvl w:val="0"/>
                <w:numId w:val="0"/>
              </w:numPr>
              <w:spacing w:after="120"/>
              <w:outlineLvl w:val="1"/>
              <w:rPr>
                <w:sz w:val="24"/>
                <w:szCs w:val="24"/>
              </w:rPr>
            </w:pPr>
            <w:r w:rsidRPr="00EC12FB">
              <w:t>International Organisation for Standards</w:t>
            </w:r>
          </w:p>
        </w:tc>
      </w:tr>
    </w:tbl>
    <w:p w14:paraId="0DAF43A5" w14:textId="77777777" w:rsidR="00671798" w:rsidRPr="001A45DF" w:rsidRDefault="00FE18AC" w:rsidP="00106F24">
      <w:pPr>
        <w:pStyle w:val="Heading1"/>
        <w:tabs>
          <w:tab w:val="clear" w:pos="720"/>
        </w:tabs>
        <w:overflowPunct w:val="0"/>
        <w:autoSpaceDE w:val="0"/>
        <w:autoSpaceDN w:val="0"/>
        <w:spacing w:before="240" w:after="120"/>
        <w:textAlignment w:val="baseline"/>
        <w:rPr>
          <w:sz w:val="32"/>
          <w:szCs w:val="32"/>
        </w:rPr>
      </w:pPr>
      <w:bookmarkStart w:id="14" w:name="_Toc113641444"/>
      <w:r w:rsidRPr="001A45DF">
        <w:rPr>
          <w:sz w:val="32"/>
          <w:szCs w:val="32"/>
        </w:rPr>
        <w:t>scope of requirement</w:t>
      </w:r>
      <w:bookmarkEnd w:id="11"/>
      <w:bookmarkEnd w:id="13"/>
      <w:bookmarkEnd w:id="14"/>
      <w:r w:rsidRPr="001A45DF">
        <w:rPr>
          <w:sz w:val="32"/>
          <w:szCs w:val="32"/>
        </w:rPr>
        <w:t xml:space="preserve"> </w:t>
      </w:r>
    </w:p>
    <w:bookmarkEnd w:id="6"/>
    <w:p w14:paraId="077D15D3" w14:textId="5BCF689F" w:rsidR="00E96F80" w:rsidRPr="00ED1CE4" w:rsidRDefault="00E96F80" w:rsidP="00E96F80">
      <w:pPr>
        <w:pStyle w:val="Heading2"/>
        <w:tabs>
          <w:tab w:val="clear" w:pos="720"/>
          <w:tab w:val="num" w:pos="862"/>
        </w:tabs>
        <w:overflowPunct w:val="0"/>
        <w:autoSpaceDE w:val="0"/>
        <w:autoSpaceDN w:val="0"/>
        <w:spacing w:after="120"/>
        <w:ind w:left="709" w:hanging="709"/>
        <w:textAlignment w:val="baseline"/>
        <w:rPr>
          <w:sz w:val="24"/>
        </w:rPr>
      </w:pPr>
      <w:r w:rsidRPr="00ED1CE4">
        <w:rPr>
          <w:sz w:val="24"/>
        </w:rPr>
        <w:t>The BBCP seeks:</w:t>
      </w:r>
    </w:p>
    <w:p w14:paraId="64BAF470" w14:textId="77777777" w:rsidR="00E96F80" w:rsidRDefault="00E96F80" w:rsidP="00E96F80">
      <w:pPr>
        <w:pStyle w:val="Heading2"/>
        <w:tabs>
          <w:tab w:val="clear" w:pos="720"/>
          <w:tab w:val="num" w:pos="862"/>
        </w:tabs>
        <w:overflowPunct w:val="0"/>
        <w:autoSpaceDE w:val="0"/>
        <w:autoSpaceDN w:val="0"/>
        <w:spacing w:after="120"/>
        <w:ind w:left="709" w:hanging="709"/>
        <w:textAlignment w:val="baseline"/>
        <w:rPr>
          <w:sz w:val="24"/>
        </w:rPr>
      </w:pPr>
      <w:r w:rsidRPr="00ED1CE4">
        <w:rPr>
          <w:sz w:val="24"/>
        </w:rPr>
        <w:t xml:space="preserve">The uninterrupted delivery of the current market for the Authority’s specific training services based on the Authority’s owned and controlled guidance materials (the IP belonging to the Authority) including the Authority controlled standards. This will </w:t>
      </w:r>
      <w:proofErr w:type="gramStart"/>
      <w:r w:rsidRPr="00ED1CE4">
        <w:rPr>
          <w:sz w:val="24"/>
        </w:rPr>
        <w:t>involve;</w:t>
      </w:r>
      <w:proofErr w:type="gramEnd"/>
    </w:p>
    <w:p w14:paraId="46B1468F" w14:textId="10E2DF48" w:rsidR="007F631D" w:rsidRPr="00100F7A" w:rsidRDefault="00E725A0" w:rsidP="00DC0028">
      <w:pPr>
        <w:pStyle w:val="Heading3"/>
        <w:numPr>
          <w:ilvl w:val="0"/>
          <w:numId w:val="39"/>
        </w:numPr>
        <w:rPr>
          <w:sz w:val="24"/>
        </w:rPr>
      </w:pPr>
      <w:r>
        <w:rPr>
          <w:sz w:val="24"/>
        </w:rPr>
        <w:t xml:space="preserve">increasing the number of accredited trainers and </w:t>
      </w:r>
      <w:r w:rsidR="007F631D">
        <w:rPr>
          <w:sz w:val="24"/>
        </w:rPr>
        <w:t>ATOs.</w:t>
      </w:r>
    </w:p>
    <w:p w14:paraId="068C0BD6" w14:textId="77777777" w:rsidR="00E96F80" w:rsidRPr="00020127" w:rsidRDefault="00E96F80" w:rsidP="00E96F80">
      <w:pPr>
        <w:pStyle w:val="Heading3"/>
        <w:numPr>
          <w:ilvl w:val="0"/>
          <w:numId w:val="39"/>
        </w:numPr>
        <w:rPr>
          <w:sz w:val="24"/>
          <w:szCs w:val="24"/>
        </w:rPr>
      </w:pPr>
      <w:r w:rsidRPr="00020127">
        <w:rPr>
          <w:sz w:val="24"/>
          <w:szCs w:val="24"/>
        </w:rPr>
        <w:t>maintaining the service for existing ATOs and individual trainers.</w:t>
      </w:r>
    </w:p>
    <w:p w14:paraId="45AECF02" w14:textId="00977287" w:rsidR="00E96F80" w:rsidRPr="00ED1CE4" w:rsidRDefault="00E96F80" w:rsidP="00E96F80">
      <w:pPr>
        <w:pStyle w:val="Heading2"/>
        <w:tabs>
          <w:tab w:val="clear" w:pos="720"/>
          <w:tab w:val="num" w:pos="862"/>
        </w:tabs>
        <w:overflowPunct w:val="0"/>
        <w:autoSpaceDE w:val="0"/>
        <w:autoSpaceDN w:val="0"/>
        <w:spacing w:after="120"/>
        <w:ind w:left="709" w:hanging="709"/>
        <w:textAlignment w:val="baseline"/>
        <w:rPr>
          <w:sz w:val="24"/>
        </w:rPr>
      </w:pPr>
      <w:r w:rsidRPr="00ED1CE4">
        <w:rPr>
          <w:sz w:val="24"/>
        </w:rPr>
        <w:t>The owned and controlled guidance is</w:t>
      </w:r>
      <w:r w:rsidR="00AF69A6">
        <w:rPr>
          <w:sz w:val="24"/>
        </w:rPr>
        <w:t xml:space="preserve"> the Business Case Guidance, </w:t>
      </w:r>
      <w:r w:rsidRPr="00ED1CE4">
        <w:rPr>
          <w:sz w:val="24"/>
        </w:rPr>
        <w:t xml:space="preserve">the syllabus requirements and specification of vanilla training material. </w:t>
      </w:r>
      <w:r w:rsidRPr="00343D53">
        <w:rPr>
          <w:sz w:val="24"/>
        </w:rPr>
        <w:t xml:space="preserve">The Supplier will be responsible for </w:t>
      </w:r>
      <w:r w:rsidR="008302F8">
        <w:rPr>
          <w:sz w:val="24"/>
        </w:rPr>
        <w:t>further developing</w:t>
      </w:r>
      <w:r w:rsidRPr="00343D53">
        <w:rPr>
          <w:sz w:val="24"/>
        </w:rPr>
        <w:t xml:space="preserve"> the examination materials, the examination syllabuses, the examination questions an</w:t>
      </w:r>
      <w:r w:rsidR="00E55DF2" w:rsidRPr="00343D53">
        <w:rPr>
          <w:sz w:val="24"/>
        </w:rPr>
        <w:t xml:space="preserve">d supporting notes for trainers. </w:t>
      </w:r>
      <w:r w:rsidRPr="00ED1CE4">
        <w:rPr>
          <w:sz w:val="24"/>
        </w:rPr>
        <w:t xml:space="preserve">For the avoidance of doubt the Intellectual Property Rights </w:t>
      </w:r>
      <w:r w:rsidR="00CD3285">
        <w:rPr>
          <w:sz w:val="24"/>
        </w:rPr>
        <w:t xml:space="preserve">associated with these </w:t>
      </w:r>
      <w:r w:rsidRPr="00ED1CE4">
        <w:rPr>
          <w:sz w:val="24"/>
        </w:rPr>
        <w:t>shall belong and remain the property of the Authority</w:t>
      </w:r>
      <w:r w:rsidR="00CD3285">
        <w:rPr>
          <w:sz w:val="24"/>
        </w:rPr>
        <w:t>, along w</w:t>
      </w:r>
      <w:r w:rsidR="007531CA">
        <w:rPr>
          <w:sz w:val="24"/>
        </w:rPr>
        <w:t>ith the Business Case Guidance and the Green Book and all associated content and supplementary guidance</w:t>
      </w:r>
      <w:r w:rsidRPr="00ED1CE4">
        <w:rPr>
          <w:sz w:val="24"/>
        </w:rPr>
        <w:t>.</w:t>
      </w:r>
      <w:r w:rsidR="0042003A">
        <w:rPr>
          <w:sz w:val="24"/>
        </w:rPr>
        <w:t xml:space="preserve"> </w:t>
      </w:r>
      <w:r w:rsidR="00B6395D">
        <w:rPr>
          <w:sz w:val="24"/>
        </w:rPr>
        <w:t xml:space="preserve">The chosen supplier may be required to update any examination material </w:t>
      </w:r>
      <w:r w:rsidR="00263167">
        <w:rPr>
          <w:sz w:val="24"/>
        </w:rPr>
        <w:t xml:space="preserve">and </w:t>
      </w:r>
      <w:r w:rsidR="00B6395D">
        <w:rPr>
          <w:sz w:val="24"/>
        </w:rPr>
        <w:t>t</w:t>
      </w:r>
      <w:r w:rsidR="00B6395D" w:rsidRPr="001D70E3">
        <w:rPr>
          <w:sz w:val="24"/>
        </w:rPr>
        <w:t xml:space="preserve">he </w:t>
      </w:r>
      <w:r w:rsidR="001C6E4D">
        <w:rPr>
          <w:sz w:val="24"/>
        </w:rPr>
        <w:t>A</w:t>
      </w:r>
      <w:r w:rsidR="00B6395D" w:rsidRPr="001D70E3">
        <w:rPr>
          <w:sz w:val="24"/>
        </w:rPr>
        <w:t>uthority reserves the right to quality assure any examination materials produced to ensure these are of an adequate standard</w:t>
      </w:r>
      <w:r w:rsidR="00B6395D">
        <w:rPr>
          <w:sz w:val="24"/>
        </w:rPr>
        <w:t>.</w:t>
      </w:r>
    </w:p>
    <w:p w14:paraId="5E485764" w14:textId="1E06F19F" w:rsidR="00E96F80" w:rsidRPr="00ED1CE4" w:rsidRDefault="00E96F80" w:rsidP="00E96F80">
      <w:pPr>
        <w:pStyle w:val="Heading2"/>
        <w:tabs>
          <w:tab w:val="clear" w:pos="720"/>
          <w:tab w:val="num" w:pos="862"/>
        </w:tabs>
        <w:overflowPunct w:val="0"/>
        <w:autoSpaceDE w:val="0"/>
        <w:autoSpaceDN w:val="0"/>
        <w:spacing w:after="120"/>
        <w:ind w:left="709" w:hanging="709"/>
        <w:textAlignment w:val="baseline"/>
        <w:rPr>
          <w:sz w:val="24"/>
        </w:rPr>
      </w:pPr>
      <w:r w:rsidRPr="00ED1CE4">
        <w:rPr>
          <w:sz w:val="24"/>
        </w:rPr>
        <w:t xml:space="preserve">The continued development of standards and examination and training products and the promotion of and support for continued growth in the market for accreditation and </w:t>
      </w:r>
      <w:r w:rsidR="007531CA">
        <w:rPr>
          <w:sz w:val="24"/>
        </w:rPr>
        <w:t>train</w:t>
      </w:r>
      <w:r w:rsidRPr="00ED1CE4">
        <w:rPr>
          <w:sz w:val="24"/>
        </w:rPr>
        <w:t xml:space="preserve">ing in the BBC </w:t>
      </w:r>
      <w:r w:rsidR="007531CA">
        <w:rPr>
          <w:sz w:val="24"/>
        </w:rPr>
        <w:t>methods</w:t>
      </w:r>
      <w:r w:rsidRPr="00ED1CE4">
        <w:rPr>
          <w:sz w:val="24"/>
        </w:rPr>
        <w:t>.</w:t>
      </w:r>
    </w:p>
    <w:p w14:paraId="184D851A" w14:textId="77777777" w:rsidR="00E96F80" w:rsidRPr="00ED1CE4" w:rsidRDefault="00E96F80" w:rsidP="00E96F80">
      <w:pPr>
        <w:pStyle w:val="Heading2"/>
        <w:tabs>
          <w:tab w:val="clear" w:pos="720"/>
          <w:tab w:val="num" w:pos="862"/>
        </w:tabs>
        <w:overflowPunct w:val="0"/>
        <w:autoSpaceDE w:val="0"/>
        <w:autoSpaceDN w:val="0"/>
        <w:spacing w:after="120"/>
        <w:ind w:left="709" w:hanging="709"/>
        <w:textAlignment w:val="baseline"/>
        <w:rPr>
          <w:sz w:val="24"/>
        </w:rPr>
      </w:pPr>
      <w:r w:rsidRPr="00ED1CE4">
        <w:rPr>
          <w:sz w:val="24"/>
        </w:rPr>
        <w:t>Continued provision of the associated examination standards and inspection services and their continuing growth without interruption are to be provided for the term of the contract.</w:t>
      </w:r>
    </w:p>
    <w:p w14:paraId="70F7EDE4" w14:textId="77777777" w:rsidR="00E96F80" w:rsidRPr="00ED1CE4" w:rsidRDefault="00E96F80" w:rsidP="00E96F80">
      <w:pPr>
        <w:pStyle w:val="Heading2"/>
        <w:tabs>
          <w:tab w:val="clear" w:pos="720"/>
          <w:tab w:val="num" w:pos="862"/>
        </w:tabs>
        <w:overflowPunct w:val="0"/>
        <w:autoSpaceDE w:val="0"/>
        <w:autoSpaceDN w:val="0"/>
        <w:spacing w:after="120"/>
        <w:ind w:left="709" w:hanging="709"/>
        <w:textAlignment w:val="baseline"/>
        <w:rPr>
          <w:sz w:val="24"/>
        </w:rPr>
      </w:pPr>
      <w:r w:rsidRPr="00ED1CE4">
        <w:rPr>
          <w:sz w:val="24"/>
        </w:rPr>
        <w:t xml:space="preserve">Continued support and facilitation for the use of both the methodology and the training, </w:t>
      </w:r>
      <w:proofErr w:type="gramStart"/>
      <w:r w:rsidRPr="00ED1CE4">
        <w:rPr>
          <w:sz w:val="24"/>
        </w:rPr>
        <w:t>accreditation</w:t>
      </w:r>
      <w:proofErr w:type="gramEnd"/>
      <w:r w:rsidRPr="00ED1CE4">
        <w:rPr>
          <w:sz w:val="24"/>
        </w:rPr>
        <w:t xml:space="preserve"> and examination scheme, within the UK, New Zealand and internationally.</w:t>
      </w:r>
    </w:p>
    <w:p w14:paraId="726E2D8D" w14:textId="5CA2F0B9" w:rsidR="00E96F80" w:rsidRPr="00ED1CE4" w:rsidRDefault="00E96F80" w:rsidP="00E96F80">
      <w:pPr>
        <w:pStyle w:val="Heading2"/>
        <w:tabs>
          <w:tab w:val="clear" w:pos="720"/>
          <w:tab w:val="num" w:pos="862"/>
        </w:tabs>
        <w:overflowPunct w:val="0"/>
        <w:autoSpaceDE w:val="0"/>
        <w:autoSpaceDN w:val="0"/>
        <w:spacing w:after="120"/>
        <w:ind w:left="709" w:hanging="709"/>
        <w:textAlignment w:val="baseline"/>
        <w:rPr>
          <w:sz w:val="24"/>
        </w:rPr>
      </w:pPr>
      <w:r w:rsidRPr="00ED1CE4">
        <w:rPr>
          <w:sz w:val="24"/>
        </w:rPr>
        <w:t xml:space="preserve">HM Treasury, Welsh Government and New Zealand Treasury have formally adopted use of the scheme to improve the creation of business cases. But other </w:t>
      </w:r>
      <w:r w:rsidRPr="00ED1CE4">
        <w:rPr>
          <w:sz w:val="24"/>
        </w:rPr>
        <w:lastRenderedPageBreak/>
        <w:t xml:space="preserve">organisations in public and private sector, UK and globally are encouraged to use the training accreditation. </w:t>
      </w:r>
    </w:p>
    <w:p w14:paraId="07D65F74" w14:textId="77777777" w:rsidR="00E96F80" w:rsidRPr="00ED1CE4" w:rsidRDefault="00E96F80" w:rsidP="00E96F80">
      <w:pPr>
        <w:pStyle w:val="Heading2"/>
        <w:tabs>
          <w:tab w:val="clear" w:pos="720"/>
          <w:tab w:val="num" w:pos="862"/>
        </w:tabs>
        <w:overflowPunct w:val="0"/>
        <w:autoSpaceDE w:val="0"/>
        <w:autoSpaceDN w:val="0"/>
        <w:spacing w:after="120"/>
        <w:ind w:left="709" w:hanging="709"/>
        <w:textAlignment w:val="baseline"/>
        <w:rPr>
          <w:sz w:val="24"/>
        </w:rPr>
      </w:pPr>
      <w:r w:rsidRPr="00ED1CE4">
        <w:rPr>
          <w:sz w:val="24"/>
        </w:rPr>
        <w:t>Support for use of the scheme to facilitate international work of the Cabinet Office Infrastructure and Projects Authority and the Foreign and Commonwealth Office in assisting foreign governments.</w:t>
      </w:r>
    </w:p>
    <w:p w14:paraId="5A7AFCC7" w14:textId="4618A7E7" w:rsidR="00E65773" w:rsidRPr="00ED1CE4" w:rsidRDefault="00E65773" w:rsidP="00E96F80">
      <w:pPr>
        <w:pStyle w:val="Heading2"/>
        <w:numPr>
          <w:ilvl w:val="0"/>
          <w:numId w:val="0"/>
        </w:numPr>
        <w:overflowPunct w:val="0"/>
        <w:autoSpaceDE w:val="0"/>
        <w:autoSpaceDN w:val="0"/>
        <w:spacing w:after="120"/>
        <w:ind w:left="709"/>
        <w:textAlignment w:val="baseline"/>
        <w:rPr>
          <w:sz w:val="24"/>
        </w:rPr>
      </w:pPr>
    </w:p>
    <w:p w14:paraId="3491B80B" w14:textId="3EED900D" w:rsidR="00671798" w:rsidRDefault="00FE18AC">
      <w:pPr>
        <w:pStyle w:val="Heading1"/>
        <w:spacing w:after="120"/>
        <w:rPr>
          <w:sz w:val="32"/>
          <w:szCs w:val="32"/>
        </w:rPr>
      </w:pPr>
      <w:bookmarkStart w:id="15" w:name="_Toc368573031"/>
      <w:bookmarkStart w:id="16" w:name="_Toc113641445"/>
      <w:r w:rsidRPr="001A45DF">
        <w:rPr>
          <w:sz w:val="32"/>
          <w:szCs w:val="32"/>
        </w:rPr>
        <w:t>The requirement</w:t>
      </w:r>
      <w:bookmarkEnd w:id="15"/>
      <w:bookmarkEnd w:id="16"/>
    </w:p>
    <w:p w14:paraId="1A27049F" w14:textId="6ED53D07" w:rsidR="00E96F80" w:rsidRPr="00291F26" w:rsidRDefault="00356A3F" w:rsidP="00E96F80">
      <w:pPr>
        <w:pStyle w:val="Heading2"/>
        <w:spacing w:after="120"/>
        <w:ind w:left="709" w:hanging="709"/>
        <w:rPr>
          <w:sz w:val="24"/>
        </w:rPr>
      </w:pPr>
      <w:bookmarkStart w:id="17" w:name="_Hlk54166942"/>
      <w:r w:rsidRPr="00BB4D3A">
        <w:rPr>
          <w:sz w:val="24"/>
        </w:rPr>
        <w:t xml:space="preserve">Develop and establish an accreditation and examination system to administrate and mark examinations for individuals and issue accreditations to a professional standard. </w:t>
      </w:r>
      <w:r w:rsidR="003668C6" w:rsidRPr="00BB4D3A">
        <w:rPr>
          <w:sz w:val="24"/>
        </w:rPr>
        <w:t xml:space="preserve">This should </w:t>
      </w:r>
      <w:proofErr w:type="gramStart"/>
      <w:r w:rsidR="003668C6" w:rsidRPr="00BB4D3A">
        <w:rPr>
          <w:sz w:val="24"/>
        </w:rPr>
        <w:t>include:</w:t>
      </w:r>
      <w:proofErr w:type="gramEnd"/>
      <w:r w:rsidR="003668C6" w:rsidRPr="00BB4D3A">
        <w:rPr>
          <w:sz w:val="24"/>
        </w:rPr>
        <w:t xml:space="preserve"> developing, establishing and maintaining </w:t>
      </w:r>
      <w:r w:rsidR="00AC0B2C" w:rsidRPr="00BB4D3A">
        <w:rPr>
          <w:sz w:val="24"/>
        </w:rPr>
        <w:t xml:space="preserve">a central bank of examination questions during the life of the contract, </w:t>
      </w:r>
      <w:r w:rsidR="00DA3103" w:rsidRPr="00BB4D3A">
        <w:rPr>
          <w:sz w:val="24"/>
        </w:rPr>
        <w:t>but at the outset of contract award the existing bank of examination questions can be used</w:t>
      </w:r>
      <w:r w:rsidR="00076734" w:rsidRPr="00BB4D3A">
        <w:rPr>
          <w:sz w:val="24"/>
        </w:rPr>
        <w:t xml:space="preserve">, and </w:t>
      </w:r>
      <w:r w:rsidR="00DA3103" w:rsidRPr="00BB4D3A">
        <w:rPr>
          <w:sz w:val="24"/>
        </w:rPr>
        <w:t>providing suitable gov</w:t>
      </w:r>
      <w:r w:rsidR="00C303FA" w:rsidRPr="00BB4D3A">
        <w:rPr>
          <w:sz w:val="24"/>
        </w:rPr>
        <w:t>ernance arrangements that assure the fairness and impartiality of your examination and accreditation services</w:t>
      </w:r>
      <w:r w:rsidR="00076734" w:rsidRPr="00291F26">
        <w:rPr>
          <w:sz w:val="24"/>
        </w:rPr>
        <w:t>.</w:t>
      </w:r>
      <w:r w:rsidR="00D231C8" w:rsidRPr="00291F26" w:rsidDel="00D231C8">
        <w:rPr>
          <w:sz w:val="24"/>
        </w:rPr>
        <w:t xml:space="preserve"> </w:t>
      </w:r>
    </w:p>
    <w:p w14:paraId="65E90401" w14:textId="531914E2" w:rsidR="00E96F80" w:rsidRPr="005B4481" w:rsidRDefault="00E96F80" w:rsidP="00E96F80">
      <w:pPr>
        <w:pStyle w:val="Heading2"/>
        <w:spacing w:after="120"/>
        <w:ind w:left="709" w:hanging="709"/>
        <w:rPr>
          <w:sz w:val="24"/>
        </w:rPr>
      </w:pPr>
      <w:r w:rsidRPr="005B4481">
        <w:rPr>
          <w:sz w:val="24"/>
        </w:rPr>
        <w:t xml:space="preserve">Examination questions and syllabuses </w:t>
      </w:r>
      <w:r w:rsidR="00E610C0" w:rsidRPr="005B4481">
        <w:rPr>
          <w:sz w:val="24"/>
        </w:rPr>
        <w:t xml:space="preserve">are to be </w:t>
      </w:r>
      <w:r w:rsidRPr="005B4481">
        <w:rPr>
          <w:sz w:val="24"/>
        </w:rPr>
        <w:t>based on HMT Business Case Guidance and syllabus requirements for a basic introductory course known as Foundation level and a more advanced course known as Practitioner level</w:t>
      </w:r>
      <w:r w:rsidR="008553C1" w:rsidRPr="005B4481">
        <w:rPr>
          <w:sz w:val="24"/>
        </w:rPr>
        <w:t>.</w:t>
      </w:r>
    </w:p>
    <w:p w14:paraId="60BE4C6C" w14:textId="33D9C076" w:rsidR="00406020" w:rsidRPr="0044147D" w:rsidRDefault="00E96F80" w:rsidP="00E96F80">
      <w:pPr>
        <w:pStyle w:val="Heading2"/>
        <w:spacing w:after="120"/>
        <w:ind w:left="709" w:hanging="709"/>
        <w:rPr>
          <w:sz w:val="24"/>
        </w:rPr>
      </w:pPr>
      <w:r w:rsidRPr="00E96F80">
        <w:rPr>
          <w:sz w:val="24"/>
        </w:rPr>
        <w:t>An associated accreditation system for training organisations and for individual trainers with an online register of approved training organisations and trainers;</w:t>
      </w:r>
      <w:r w:rsidR="00B82D9E">
        <w:rPr>
          <w:sz w:val="24"/>
        </w:rPr>
        <w:t xml:space="preserve"> </w:t>
      </w:r>
      <w:r w:rsidR="00B82D9E" w:rsidRPr="0028383A">
        <w:rPr>
          <w:rFonts w:eastAsia="Arial" w:cs="Arial"/>
          <w:sz w:val="24"/>
        </w:rPr>
        <w:t>deliver</w:t>
      </w:r>
      <w:r w:rsidR="00B82D9E">
        <w:rPr>
          <w:rFonts w:eastAsia="Arial" w:cs="Arial"/>
          <w:sz w:val="24"/>
        </w:rPr>
        <w:t>ing</w:t>
      </w:r>
      <w:r w:rsidR="00B82D9E" w:rsidRPr="0028383A">
        <w:rPr>
          <w:rFonts w:eastAsia="Arial" w:cs="Arial"/>
          <w:sz w:val="24"/>
        </w:rPr>
        <w:t xml:space="preserve"> effective provision of electronic accreditation certificates and digital credentials</w:t>
      </w:r>
      <w:r w:rsidR="006A3D88">
        <w:rPr>
          <w:rFonts w:eastAsia="Arial" w:cs="Arial"/>
          <w:sz w:val="24"/>
        </w:rPr>
        <w:t>. This should minimise burdens</w:t>
      </w:r>
      <w:r w:rsidR="005C022A">
        <w:rPr>
          <w:rFonts w:eastAsia="Arial" w:cs="Arial"/>
          <w:sz w:val="24"/>
        </w:rPr>
        <w:t xml:space="preserve"> to users</w:t>
      </w:r>
      <w:r w:rsidR="006A3D88">
        <w:rPr>
          <w:rFonts w:eastAsia="Arial" w:cs="Arial"/>
          <w:sz w:val="24"/>
        </w:rPr>
        <w:t xml:space="preserve"> as much as possible while maintaining quality</w:t>
      </w:r>
      <w:r w:rsidR="008553C1">
        <w:rPr>
          <w:rFonts w:eastAsia="Arial" w:cs="Arial"/>
          <w:sz w:val="24"/>
        </w:rPr>
        <w:t>.</w:t>
      </w:r>
      <w:r w:rsidR="001564A4">
        <w:rPr>
          <w:rFonts w:eastAsia="Arial" w:cs="Arial"/>
          <w:sz w:val="24"/>
        </w:rPr>
        <w:t xml:space="preserve"> </w:t>
      </w:r>
    </w:p>
    <w:p w14:paraId="28854826" w14:textId="3DD06D0A" w:rsidR="00EA16DE" w:rsidRPr="005B4481" w:rsidRDefault="00066C12" w:rsidP="1B16AE1B">
      <w:pPr>
        <w:pStyle w:val="Heading2"/>
        <w:spacing w:after="120"/>
        <w:ind w:left="709" w:hanging="709"/>
        <w:rPr>
          <w:sz w:val="24"/>
          <w:szCs w:val="24"/>
        </w:rPr>
      </w:pPr>
      <w:r w:rsidRPr="1B16AE1B">
        <w:rPr>
          <w:sz w:val="24"/>
          <w:szCs w:val="24"/>
        </w:rPr>
        <w:t>A</w:t>
      </w:r>
      <w:r w:rsidR="00EA16DE" w:rsidRPr="1B16AE1B">
        <w:rPr>
          <w:sz w:val="24"/>
          <w:szCs w:val="24"/>
        </w:rPr>
        <w:t xml:space="preserve"> model for presenting accredited training providers</w:t>
      </w:r>
      <w:r w:rsidR="005C022A" w:rsidRPr="1B16AE1B">
        <w:rPr>
          <w:sz w:val="24"/>
          <w:szCs w:val="24"/>
        </w:rPr>
        <w:t xml:space="preserve"> online </w:t>
      </w:r>
      <w:r w:rsidR="005F07DD" w:rsidRPr="1B16AE1B">
        <w:rPr>
          <w:sz w:val="24"/>
          <w:szCs w:val="24"/>
        </w:rPr>
        <w:t>on a single website</w:t>
      </w:r>
      <w:r w:rsidR="00EA16DE" w:rsidRPr="1B16AE1B">
        <w:rPr>
          <w:sz w:val="24"/>
          <w:szCs w:val="24"/>
        </w:rPr>
        <w:t xml:space="preserve">, including </w:t>
      </w:r>
      <w:r w:rsidR="005F07DD" w:rsidRPr="1B16AE1B">
        <w:rPr>
          <w:sz w:val="24"/>
          <w:szCs w:val="24"/>
        </w:rPr>
        <w:t xml:space="preserve">developing a </w:t>
      </w:r>
      <w:r w:rsidR="00A148E5" w:rsidRPr="1B16AE1B">
        <w:rPr>
          <w:sz w:val="24"/>
          <w:szCs w:val="24"/>
        </w:rPr>
        <w:t>system to</w:t>
      </w:r>
      <w:r w:rsidR="00EA16DE" w:rsidRPr="1B16AE1B">
        <w:rPr>
          <w:sz w:val="24"/>
          <w:szCs w:val="24"/>
        </w:rPr>
        <w:t xml:space="preserve"> </w:t>
      </w:r>
      <w:r w:rsidRPr="1B16AE1B">
        <w:rPr>
          <w:sz w:val="24"/>
          <w:szCs w:val="24"/>
        </w:rPr>
        <w:t xml:space="preserve">transparently </w:t>
      </w:r>
      <w:r w:rsidR="00EA16DE" w:rsidRPr="1B16AE1B">
        <w:rPr>
          <w:sz w:val="24"/>
          <w:szCs w:val="24"/>
        </w:rPr>
        <w:t>display quality ratings and prices to support individuals and companies in selecting training organisations</w:t>
      </w:r>
      <w:r w:rsidR="00A148E5" w:rsidRPr="1B16AE1B">
        <w:rPr>
          <w:sz w:val="24"/>
          <w:szCs w:val="24"/>
        </w:rPr>
        <w:t xml:space="preserve">. </w:t>
      </w:r>
      <w:r w:rsidR="003841FC" w:rsidRPr="1B16AE1B">
        <w:rPr>
          <w:sz w:val="24"/>
          <w:szCs w:val="24"/>
        </w:rPr>
        <w:t>Quality ratings will be</w:t>
      </w:r>
      <w:r w:rsidR="0022149E" w:rsidRPr="1B16AE1B">
        <w:rPr>
          <w:sz w:val="24"/>
          <w:szCs w:val="24"/>
        </w:rPr>
        <w:t xml:space="preserve"> provided by the supplier developing a survey of training organisations</w:t>
      </w:r>
      <w:r w:rsidR="00A20E72">
        <w:rPr>
          <w:sz w:val="24"/>
          <w:szCs w:val="24"/>
        </w:rPr>
        <w:t>,</w:t>
      </w:r>
      <w:r w:rsidR="0022149E" w:rsidRPr="1B16AE1B">
        <w:rPr>
          <w:sz w:val="24"/>
          <w:szCs w:val="24"/>
        </w:rPr>
        <w:t xml:space="preserve"> and individuals undertaking exams and training – frequency, questions, and format of the survey will be developed by the supplier and agreed with the Authority</w:t>
      </w:r>
      <w:r w:rsidR="00A148E5" w:rsidRPr="1B16AE1B">
        <w:rPr>
          <w:sz w:val="24"/>
          <w:szCs w:val="24"/>
        </w:rPr>
        <w:t xml:space="preserve">. </w:t>
      </w:r>
      <w:r w:rsidR="00B16F8F" w:rsidRPr="1B16AE1B">
        <w:rPr>
          <w:sz w:val="24"/>
          <w:szCs w:val="24"/>
        </w:rPr>
        <w:t>The Authority also require</w:t>
      </w:r>
      <w:r w:rsidR="00A148E5" w:rsidRPr="1B16AE1B">
        <w:rPr>
          <w:sz w:val="24"/>
          <w:szCs w:val="24"/>
        </w:rPr>
        <w:t>s</w:t>
      </w:r>
      <w:r w:rsidR="00B16F8F" w:rsidRPr="1B16AE1B">
        <w:rPr>
          <w:sz w:val="24"/>
          <w:szCs w:val="24"/>
        </w:rPr>
        <w:t xml:space="preserve"> the supplier to summarise the </w:t>
      </w:r>
      <w:r w:rsidR="000D4BEC" w:rsidRPr="1B16AE1B">
        <w:rPr>
          <w:sz w:val="24"/>
          <w:szCs w:val="24"/>
        </w:rPr>
        <w:t>findings of the survey at regular intervals as new data becomes available to allow more effective consumer choice online and provide</w:t>
      </w:r>
      <w:r w:rsidR="00F13324" w:rsidRPr="1B16AE1B">
        <w:rPr>
          <w:sz w:val="24"/>
          <w:szCs w:val="24"/>
        </w:rPr>
        <w:t xml:space="preserve"> analysis of results to the Authority to provide on-going learnings and development. </w:t>
      </w:r>
      <w:r w:rsidR="2C424BD0" w:rsidRPr="1B16AE1B">
        <w:rPr>
          <w:sz w:val="24"/>
          <w:szCs w:val="24"/>
        </w:rPr>
        <w:t>This survey and associated survey responses shall be known as the ‘Quality Survey’.</w:t>
      </w:r>
    </w:p>
    <w:p w14:paraId="59EE5D7C" w14:textId="74507121" w:rsidR="00EA16DE" w:rsidRPr="0044147D" w:rsidRDefault="00EA16DE" w:rsidP="0044147D">
      <w:pPr>
        <w:pStyle w:val="Heading2"/>
        <w:spacing w:after="120"/>
        <w:ind w:left="709" w:hanging="709"/>
        <w:rPr>
          <w:sz w:val="24"/>
        </w:rPr>
      </w:pPr>
      <w:r>
        <w:rPr>
          <w:sz w:val="24"/>
        </w:rPr>
        <w:t xml:space="preserve">Monitoring </w:t>
      </w:r>
      <w:r w:rsidR="00EA4E19">
        <w:rPr>
          <w:sz w:val="24"/>
        </w:rPr>
        <w:t>to ensure presentation of prices and quality ratings remain up to date</w:t>
      </w:r>
      <w:r w:rsidR="00FB1870">
        <w:rPr>
          <w:sz w:val="24"/>
        </w:rPr>
        <w:t>.</w:t>
      </w:r>
    </w:p>
    <w:p w14:paraId="49297384" w14:textId="78BECA81" w:rsidR="00E96F80" w:rsidRPr="00E96F80" w:rsidRDefault="00E96F80" w:rsidP="00E96F80">
      <w:pPr>
        <w:pStyle w:val="Heading2"/>
        <w:spacing w:after="120"/>
        <w:ind w:left="709" w:hanging="709"/>
        <w:rPr>
          <w:sz w:val="24"/>
        </w:rPr>
      </w:pPr>
      <w:r w:rsidRPr="00E96F80">
        <w:rPr>
          <w:sz w:val="24"/>
        </w:rPr>
        <w:t>A system for issuing certificates of accreditation</w:t>
      </w:r>
      <w:r w:rsidR="00FB1870">
        <w:rPr>
          <w:sz w:val="24"/>
        </w:rPr>
        <w:t>.</w:t>
      </w:r>
    </w:p>
    <w:p w14:paraId="564164AC" w14:textId="3B25B06A" w:rsidR="00E96F80" w:rsidRDefault="00E96F80" w:rsidP="00E96F80">
      <w:pPr>
        <w:pStyle w:val="Heading2"/>
        <w:spacing w:after="120"/>
        <w:ind w:left="709" w:hanging="709"/>
        <w:rPr>
          <w:sz w:val="24"/>
        </w:rPr>
      </w:pPr>
      <w:r w:rsidRPr="00E96F80">
        <w:rPr>
          <w:sz w:val="24"/>
        </w:rPr>
        <w:t>A register</w:t>
      </w:r>
      <w:r w:rsidR="00D463DB">
        <w:rPr>
          <w:sz w:val="24"/>
        </w:rPr>
        <w:t>/database</w:t>
      </w:r>
      <w:r w:rsidRPr="00E96F80">
        <w:rPr>
          <w:sz w:val="24"/>
        </w:rPr>
        <w:t xml:space="preserve"> of accredited individuals that have passed examinations and an online verification service to test accreditation claims</w:t>
      </w:r>
      <w:r w:rsidR="00D463DB">
        <w:rPr>
          <w:sz w:val="24"/>
        </w:rPr>
        <w:t>, including examinator scores</w:t>
      </w:r>
      <w:r w:rsidR="00FB1870">
        <w:rPr>
          <w:sz w:val="24"/>
        </w:rPr>
        <w:t>.</w:t>
      </w:r>
    </w:p>
    <w:p w14:paraId="25BFEC88" w14:textId="48E6A5C0" w:rsidR="00E96F80" w:rsidRPr="00E96F80" w:rsidRDefault="00E96F80" w:rsidP="00E96F80">
      <w:pPr>
        <w:pStyle w:val="Heading2"/>
        <w:spacing w:after="120"/>
        <w:ind w:left="709" w:hanging="709"/>
        <w:rPr>
          <w:sz w:val="24"/>
        </w:rPr>
      </w:pPr>
      <w:r w:rsidRPr="00E96F80">
        <w:rPr>
          <w:sz w:val="24"/>
        </w:rPr>
        <w:t xml:space="preserve">Active marketing and promotion of the scheme to training organisations, trainers, </w:t>
      </w:r>
      <w:proofErr w:type="gramStart"/>
      <w:r w:rsidRPr="00E96F80">
        <w:rPr>
          <w:sz w:val="24"/>
        </w:rPr>
        <w:t>consultants</w:t>
      </w:r>
      <w:proofErr w:type="gramEnd"/>
      <w:r w:rsidRPr="00E96F80">
        <w:rPr>
          <w:sz w:val="24"/>
        </w:rPr>
        <w:t xml:space="preserve"> and prospective individual training candidates</w:t>
      </w:r>
      <w:r w:rsidR="00FB1870">
        <w:rPr>
          <w:sz w:val="24"/>
        </w:rPr>
        <w:t>.</w:t>
      </w:r>
    </w:p>
    <w:p w14:paraId="4EE1F346" w14:textId="40681A0F" w:rsidR="00E96F80" w:rsidRPr="00E96F80" w:rsidRDefault="00E96F80" w:rsidP="00E96F80">
      <w:pPr>
        <w:pStyle w:val="Heading2"/>
        <w:spacing w:after="120"/>
        <w:ind w:left="709" w:hanging="709"/>
        <w:rPr>
          <w:sz w:val="24"/>
        </w:rPr>
      </w:pPr>
      <w:r w:rsidRPr="00E96F80">
        <w:rPr>
          <w:sz w:val="24"/>
        </w:rPr>
        <w:lastRenderedPageBreak/>
        <w:t>Support the protection of intellectual property and trademarks belonging to HMT that is associated with the scheme including the Business Case Guidance</w:t>
      </w:r>
      <w:r w:rsidR="00FB1870">
        <w:rPr>
          <w:sz w:val="24"/>
        </w:rPr>
        <w:t>.</w:t>
      </w:r>
    </w:p>
    <w:p w14:paraId="4D3EA46A" w14:textId="714A2921" w:rsidR="00E96F80" w:rsidRPr="00E96F80" w:rsidRDefault="00E96F80" w:rsidP="00E96F80">
      <w:pPr>
        <w:pStyle w:val="Heading2"/>
        <w:spacing w:after="120"/>
        <w:ind w:left="709" w:hanging="709"/>
        <w:rPr>
          <w:sz w:val="24"/>
        </w:rPr>
      </w:pPr>
      <w:r w:rsidRPr="00E96F80">
        <w:rPr>
          <w:sz w:val="24"/>
        </w:rPr>
        <w:t>Proactive quality control systems for examination administration and invigilation and the quality of training</w:t>
      </w:r>
      <w:r w:rsidR="00FB1870">
        <w:rPr>
          <w:sz w:val="24"/>
        </w:rPr>
        <w:t>.</w:t>
      </w:r>
    </w:p>
    <w:p w14:paraId="77364421" w14:textId="1B7FFF97" w:rsidR="00E96F80" w:rsidRPr="00E96F80" w:rsidRDefault="00E96F80" w:rsidP="00E96F80">
      <w:pPr>
        <w:pStyle w:val="Heading2"/>
        <w:spacing w:after="120"/>
        <w:ind w:left="709" w:hanging="709"/>
        <w:rPr>
          <w:sz w:val="24"/>
        </w:rPr>
      </w:pPr>
      <w:r w:rsidRPr="00E96F80">
        <w:rPr>
          <w:sz w:val="24"/>
        </w:rPr>
        <w:t>An online system that allows potential users to identify training organisations and obtain their contact details</w:t>
      </w:r>
      <w:r w:rsidR="00FB1870">
        <w:rPr>
          <w:sz w:val="24"/>
        </w:rPr>
        <w:t>.</w:t>
      </w:r>
    </w:p>
    <w:p w14:paraId="71196060" w14:textId="34C725B8" w:rsidR="00D75E0B" w:rsidRDefault="00E96F80" w:rsidP="00D75E0B">
      <w:pPr>
        <w:pStyle w:val="Heading2"/>
        <w:spacing w:after="120"/>
        <w:ind w:left="709" w:hanging="709"/>
        <w:rPr>
          <w:sz w:val="24"/>
        </w:rPr>
      </w:pPr>
      <w:r w:rsidRPr="00E96F80">
        <w:rPr>
          <w:sz w:val="24"/>
        </w:rPr>
        <w:t xml:space="preserve">An online examination system with facilities for individual candidates to sit examinations </w:t>
      </w:r>
      <w:r w:rsidR="00D318A5" w:rsidRPr="00E96F80">
        <w:rPr>
          <w:sz w:val="24"/>
        </w:rPr>
        <w:t>online</w:t>
      </w:r>
      <w:r w:rsidR="00FA3E28">
        <w:rPr>
          <w:sz w:val="24"/>
        </w:rPr>
        <w:t>, allows them to be contacted by the Authority for the purposes of maintaining their continuous develop</w:t>
      </w:r>
      <w:r w:rsidR="00FB1870">
        <w:rPr>
          <w:sz w:val="24"/>
        </w:rPr>
        <w:t>ment</w:t>
      </w:r>
      <w:r w:rsidR="00FA3E28">
        <w:rPr>
          <w:sz w:val="24"/>
        </w:rPr>
        <w:t xml:space="preserve"> and provides basic insight to the Authority on attendees (such as location, type of work</w:t>
      </w:r>
      <w:r w:rsidR="0044147D">
        <w:rPr>
          <w:sz w:val="24"/>
        </w:rPr>
        <w:t>, price paid</w:t>
      </w:r>
      <w:r w:rsidR="00FA3E28">
        <w:rPr>
          <w:sz w:val="24"/>
        </w:rPr>
        <w:t>)</w:t>
      </w:r>
      <w:r w:rsidRPr="00E96F80">
        <w:rPr>
          <w:sz w:val="24"/>
        </w:rPr>
        <w:t>.</w:t>
      </w:r>
    </w:p>
    <w:p w14:paraId="7ACC2680" w14:textId="46E2B29D" w:rsidR="00F2494C" w:rsidRDefault="00E96F80" w:rsidP="00F2494C">
      <w:pPr>
        <w:pStyle w:val="Heading2"/>
        <w:spacing w:after="120"/>
        <w:ind w:left="709" w:hanging="709"/>
        <w:rPr>
          <w:sz w:val="24"/>
        </w:rPr>
      </w:pPr>
      <w:r w:rsidRPr="00E96F80">
        <w:rPr>
          <w:sz w:val="24"/>
        </w:rPr>
        <w:t>Revisions to the guidance requiring changes to syllabuses and examination questions may occur occasionally</w:t>
      </w:r>
      <w:r w:rsidR="009312E3">
        <w:rPr>
          <w:sz w:val="24"/>
        </w:rPr>
        <w:t xml:space="preserve"> which the supplier is required to accommodate</w:t>
      </w:r>
    </w:p>
    <w:p w14:paraId="3C9CD0A5" w14:textId="337FA8DB" w:rsidR="00774A73" w:rsidRPr="00F2494C" w:rsidRDefault="00E96F80" w:rsidP="00F2494C">
      <w:pPr>
        <w:pStyle w:val="Heading2"/>
        <w:spacing w:after="120"/>
        <w:ind w:left="709" w:hanging="709"/>
        <w:rPr>
          <w:sz w:val="24"/>
        </w:rPr>
      </w:pPr>
      <w:r w:rsidRPr="00F2494C">
        <w:rPr>
          <w:sz w:val="24"/>
        </w:rPr>
        <w:t xml:space="preserve">Continuing work with the Authority to maintain, develop and improve the quality of both the training and the examinations. </w:t>
      </w:r>
    </w:p>
    <w:p w14:paraId="40715906" w14:textId="62E7E966" w:rsidR="00774A73" w:rsidRDefault="00674172" w:rsidP="00774A73">
      <w:pPr>
        <w:pStyle w:val="Heading2"/>
        <w:spacing w:after="120"/>
        <w:ind w:left="709" w:hanging="709"/>
        <w:rPr>
          <w:sz w:val="24"/>
        </w:rPr>
      </w:pPr>
      <w:r>
        <w:rPr>
          <w:sz w:val="24"/>
        </w:rPr>
        <w:t>Work with the Authority to s</w:t>
      </w:r>
      <w:r w:rsidR="00774A73" w:rsidRPr="00774A73">
        <w:rPr>
          <w:sz w:val="24"/>
        </w:rPr>
        <w:t xml:space="preserve">eek participant feedback to understand how the qualification is used, including a subsequent feedback survey for participants to fill out after </w:t>
      </w:r>
      <w:r w:rsidR="00F2494C">
        <w:rPr>
          <w:sz w:val="24"/>
        </w:rPr>
        <w:t>training courses and centrally recorded</w:t>
      </w:r>
      <w:r w:rsidR="00406020">
        <w:rPr>
          <w:sz w:val="24"/>
        </w:rPr>
        <w:t xml:space="preserve"> as outlined in </w:t>
      </w:r>
      <w:r w:rsidR="00865BB2">
        <w:rPr>
          <w:sz w:val="24"/>
        </w:rPr>
        <w:t>6.4</w:t>
      </w:r>
      <w:r w:rsidR="002D0732">
        <w:rPr>
          <w:sz w:val="24"/>
        </w:rPr>
        <w:t>.</w:t>
      </w:r>
    </w:p>
    <w:p w14:paraId="1391F692" w14:textId="5CE1F8CA" w:rsidR="00044519" w:rsidRDefault="009742B8" w:rsidP="00774A73">
      <w:pPr>
        <w:pStyle w:val="Heading2"/>
        <w:spacing w:after="120"/>
        <w:ind w:left="709" w:hanging="709"/>
        <w:rPr>
          <w:sz w:val="24"/>
        </w:rPr>
      </w:pPr>
      <w:r>
        <w:rPr>
          <w:sz w:val="24"/>
        </w:rPr>
        <w:t xml:space="preserve">The supplier is to </w:t>
      </w:r>
      <w:r w:rsidR="00FA3E28">
        <w:rPr>
          <w:sz w:val="24"/>
        </w:rPr>
        <w:t>hold</w:t>
      </w:r>
      <w:r w:rsidR="003F3B33">
        <w:rPr>
          <w:sz w:val="24"/>
        </w:rPr>
        <w:t xml:space="preserve"> </w:t>
      </w:r>
      <w:r w:rsidR="005940F5">
        <w:rPr>
          <w:sz w:val="24"/>
        </w:rPr>
        <w:t xml:space="preserve">the fund containing </w:t>
      </w:r>
      <w:r w:rsidR="00897487">
        <w:rPr>
          <w:sz w:val="24"/>
        </w:rPr>
        <w:t xml:space="preserve">exam </w:t>
      </w:r>
      <w:r w:rsidR="00960193">
        <w:rPr>
          <w:sz w:val="24"/>
        </w:rPr>
        <w:t>fee royalties</w:t>
      </w:r>
      <w:r w:rsidR="007C28DB">
        <w:rPr>
          <w:sz w:val="24"/>
        </w:rPr>
        <w:t xml:space="preserve"> (‘The Programme Fund’</w:t>
      </w:r>
      <w:proofErr w:type="gramStart"/>
      <w:r w:rsidR="007C28DB">
        <w:rPr>
          <w:sz w:val="24"/>
        </w:rPr>
        <w:t>)</w:t>
      </w:r>
      <w:r w:rsidR="00245E48">
        <w:rPr>
          <w:sz w:val="24"/>
        </w:rPr>
        <w:t xml:space="preserve">, </w:t>
      </w:r>
      <w:r w:rsidR="004454D3">
        <w:rPr>
          <w:sz w:val="24"/>
        </w:rPr>
        <w:t>and</w:t>
      </w:r>
      <w:proofErr w:type="gramEnd"/>
      <w:r w:rsidR="004454D3">
        <w:rPr>
          <w:sz w:val="24"/>
        </w:rPr>
        <w:t xml:space="preserve"> organise </w:t>
      </w:r>
      <w:r w:rsidR="00FA3E28">
        <w:rPr>
          <w:sz w:val="24"/>
        </w:rPr>
        <w:t xml:space="preserve">expenditure from this fund </w:t>
      </w:r>
      <w:r w:rsidR="004454D3">
        <w:rPr>
          <w:sz w:val="24"/>
        </w:rPr>
        <w:t>on behalf of and</w:t>
      </w:r>
      <w:r w:rsidR="00FA79AF">
        <w:rPr>
          <w:sz w:val="24"/>
        </w:rPr>
        <w:t xml:space="preserve"> ov</w:t>
      </w:r>
      <w:r w:rsidR="008D1618">
        <w:rPr>
          <w:sz w:val="24"/>
        </w:rPr>
        <w:t>ers</w:t>
      </w:r>
      <w:r w:rsidR="00241AE7">
        <w:rPr>
          <w:sz w:val="24"/>
        </w:rPr>
        <w:t>een by a joint HMT-</w:t>
      </w:r>
      <w:r w:rsidR="00D21F45">
        <w:rPr>
          <w:sz w:val="24"/>
        </w:rPr>
        <w:t>Welsh Government board.</w:t>
      </w:r>
    </w:p>
    <w:p w14:paraId="75CB62F8" w14:textId="5CEAA36A" w:rsidR="004454D3" w:rsidRDefault="004454D3" w:rsidP="55249E97">
      <w:pPr>
        <w:pStyle w:val="Heading2"/>
        <w:spacing w:after="120"/>
        <w:ind w:left="709" w:hanging="709"/>
        <w:rPr>
          <w:sz w:val="24"/>
          <w:szCs w:val="24"/>
        </w:rPr>
      </w:pPr>
      <w:r w:rsidRPr="55249E97">
        <w:rPr>
          <w:sz w:val="24"/>
          <w:szCs w:val="24"/>
        </w:rPr>
        <w:t xml:space="preserve">In addition, the Authority </w:t>
      </w:r>
      <w:r w:rsidR="00F2494C" w:rsidRPr="55249E97">
        <w:rPr>
          <w:sz w:val="24"/>
          <w:szCs w:val="24"/>
        </w:rPr>
        <w:t xml:space="preserve">itself </w:t>
      </w:r>
      <w:r w:rsidRPr="55249E97">
        <w:rPr>
          <w:sz w:val="24"/>
          <w:szCs w:val="24"/>
        </w:rPr>
        <w:t>delivers a small number of training course</w:t>
      </w:r>
      <w:r w:rsidR="00F2494C" w:rsidRPr="55249E97">
        <w:rPr>
          <w:sz w:val="24"/>
          <w:szCs w:val="24"/>
        </w:rPr>
        <w:t>s</w:t>
      </w:r>
      <w:r w:rsidRPr="55249E97">
        <w:rPr>
          <w:sz w:val="24"/>
          <w:szCs w:val="24"/>
        </w:rPr>
        <w:t xml:space="preserve"> in HMT’s Business Case Guidance directl</w:t>
      </w:r>
      <w:r w:rsidR="006F1A80" w:rsidRPr="55249E97">
        <w:rPr>
          <w:sz w:val="24"/>
          <w:szCs w:val="24"/>
        </w:rPr>
        <w:t>y to officials</w:t>
      </w:r>
      <w:r w:rsidR="00703D28" w:rsidRPr="55249E97">
        <w:rPr>
          <w:sz w:val="24"/>
          <w:szCs w:val="24"/>
        </w:rPr>
        <w:t xml:space="preserve"> (approximately </w:t>
      </w:r>
      <w:r w:rsidR="00CE27DD" w:rsidRPr="55249E97">
        <w:rPr>
          <w:sz w:val="24"/>
          <w:szCs w:val="24"/>
        </w:rPr>
        <w:t>one per month</w:t>
      </w:r>
      <w:r w:rsidR="00703D28" w:rsidRPr="55249E97">
        <w:rPr>
          <w:sz w:val="24"/>
          <w:szCs w:val="24"/>
        </w:rPr>
        <w:t>)</w:t>
      </w:r>
      <w:r w:rsidR="00B5029C" w:rsidRPr="55249E97">
        <w:rPr>
          <w:sz w:val="24"/>
          <w:szCs w:val="24"/>
        </w:rPr>
        <w:t xml:space="preserve"> who also undertake the associated foundation examination</w:t>
      </w:r>
      <w:r w:rsidR="00703D28" w:rsidRPr="55249E97">
        <w:rPr>
          <w:sz w:val="24"/>
          <w:szCs w:val="24"/>
        </w:rPr>
        <w:t xml:space="preserve">. </w:t>
      </w:r>
      <w:r w:rsidR="006F1A80" w:rsidRPr="55249E97">
        <w:rPr>
          <w:sz w:val="24"/>
          <w:szCs w:val="24"/>
        </w:rPr>
        <w:t xml:space="preserve">A fee is </w:t>
      </w:r>
      <w:r w:rsidR="60D816BF" w:rsidRPr="55249E97">
        <w:rPr>
          <w:sz w:val="24"/>
          <w:szCs w:val="24"/>
        </w:rPr>
        <w:t xml:space="preserve">sometimes </w:t>
      </w:r>
      <w:r w:rsidR="006F1A80" w:rsidRPr="55249E97">
        <w:rPr>
          <w:sz w:val="24"/>
          <w:szCs w:val="24"/>
        </w:rPr>
        <w:t>charged for this</w:t>
      </w:r>
      <w:r w:rsidR="2371F4FC" w:rsidRPr="55249E97">
        <w:rPr>
          <w:sz w:val="24"/>
          <w:szCs w:val="24"/>
        </w:rPr>
        <w:t xml:space="preserve"> by the Authority</w:t>
      </w:r>
      <w:r w:rsidR="006F1A80" w:rsidRPr="55249E97">
        <w:rPr>
          <w:sz w:val="24"/>
          <w:szCs w:val="24"/>
        </w:rPr>
        <w:t xml:space="preserve"> and the supplier is required to </w:t>
      </w:r>
      <w:r w:rsidR="00B5029C" w:rsidRPr="55249E97">
        <w:rPr>
          <w:sz w:val="24"/>
          <w:szCs w:val="24"/>
        </w:rPr>
        <w:t>receive these fees and hold them in the Programme Fund.</w:t>
      </w:r>
    </w:p>
    <w:p w14:paraId="3479FF73" w14:textId="5E3366A2" w:rsidR="00774A73" w:rsidRPr="00774A73" w:rsidRDefault="00E96F80" w:rsidP="00F740C0">
      <w:pPr>
        <w:pStyle w:val="Heading2"/>
        <w:spacing w:after="120"/>
        <w:ind w:left="709" w:hanging="709"/>
        <w:rPr>
          <w:sz w:val="24"/>
        </w:rPr>
      </w:pPr>
      <w:r w:rsidRPr="00774A73">
        <w:rPr>
          <w:sz w:val="24"/>
        </w:rPr>
        <w:t xml:space="preserve">Extensions to the </w:t>
      </w:r>
      <w:r w:rsidR="00160423">
        <w:rPr>
          <w:sz w:val="24"/>
        </w:rPr>
        <w:t>examination syllabus (‘Foundation’ and ‘</w:t>
      </w:r>
      <w:r w:rsidR="00271D0E">
        <w:rPr>
          <w:sz w:val="24"/>
        </w:rPr>
        <w:t>Practitioner</w:t>
      </w:r>
      <w:proofErr w:type="gramStart"/>
      <w:r w:rsidR="00160423">
        <w:rPr>
          <w:sz w:val="24"/>
        </w:rPr>
        <w:t xml:space="preserve">’) </w:t>
      </w:r>
      <w:r w:rsidRPr="00774A73">
        <w:rPr>
          <w:sz w:val="24"/>
        </w:rPr>
        <w:t xml:space="preserve"> are</w:t>
      </w:r>
      <w:proofErr w:type="gramEnd"/>
      <w:r w:rsidRPr="00774A73">
        <w:rPr>
          <w:sz w:val="24"/>
        </w:rPr>
        <w:t xml:space="preserve"> not currently planned but if they are </w:t>
      </w:r>
      <w:r w:rsidR="00D318A5" w:rsidRPr="00774A73">
        <w:rPr>
          <w:sz w:val="24"/>
        </w:rPr>
        <w:t>introduced,</w:t>
      </w:r>
      <w:r w:rsidRPr="00774A73">
        <w:rPr>
          <w:sz w:val="24"/>
        </w:rPr>
        <w:t xml:space="preserve"> they would </w:t>
      </w:r>
      <w:r w:rsidR="00160423">
        <w:rPr>
          <w:sz w:val="24"/>
        </w:rPr>
        <w:t xml:space="preserve">likely </w:t>
      </w:r>
      <w:r w:rsidRPr="00774A73">
        <w:rPr>
          <w:sz w:val="24"/>
        </w:rPr>
        <w:t>generate additional revenue earning opportunities for the Supplier and those active in the training market.</w:t>
      </w:r>
      <w:r w:rsidR="002D0732">
        <w:rPr>
          <w:sz w:val="24"/>
        </w:rPr>
        <w:t xml:space="preserve"> The supplier must facilitate changes such as these as they occur from time to time.</w:t>
      </w:r>
    </w:p>
    <w:bookmarkEnd w:id="17"/>
    <w:p w14:paraId="2D9A701A" w14:textId="7D87110A" w:rsidR="00E96F80" w:rsidRPr="00DB5FB7" w:rsidRDefault="00E96F80" w:rsidP="00F740C0">
      <w:pPr>
        <w:pStyle w:val="Heading2"/>
        <w:numPr>
          <w:ilvl w:val="0"/>
          <w:numId w:val="0"/>
        </w:numPr>
        <w:spacing w:after="120"/>
        <w:rPr>
          <w:sz w:val="24"/>
          <w:szCs w:val="24"/>
          <w:highlight w:val="yellow"/>
        </w:rPr>
      </w:pPr>
    </w:p>
    <w:p w14:paraId="35734D9E" w14:textId="52FD8CE4" w:rsidR="00671798" w:rsidRPr="001A45DF" w:rsidRDefault="00FE18AC">
      <w:pPr>
        <w:pStyle w:val="Heading1"/>
        <w:spacing w:after="120"/>
        <w:rPr>
          <w:sz w:val="32"/>
          <w:szCs w:val="32"/>
        </w:rPr>
      </w:pPr>
      <w:bookmarkStart w:id="18" w:name="_Toc368573032"/>
      <w:bookmarkStart w:id="19" w:name="_Toc113641446"/>
      <w:r w:rsidRPr="001A45DF">
        <w:rPr>
          <w:sz w:val="32"/>
          <w:szCs w:val="32"/>
        </w:rPr>
        <w:t>key milestones</w:t>
      </w:r>
      <w:bookmarkEnd w:id="18"/>
      <w:r w:rsidR="00F0311A" w:rsidRPr="001A45DF">
        <w:rPr>
          <w:sz w:val="32"/>
          <w:szCs w:val="32"/>
        </w:rPr>
        <w:t xml:space="preserve"> and Deliverables</w:t>
      </w:r>
      <w:bookmarkEnd w:id="19"/>
    </w:p>
    <w:p w14:paraId="4D0E0CBA" w14:textId="18CAC30E" w:rsidR="00FE18AC" w:rsidRPr="00C72264" w:rsidRDefault="00F937C4" w:rsidP="008F3470">
      <w:pPr>
        <w:pStyle w:val="Heading2"/>
        <w:tabs>
          <w:tab w:val="clear" w:pos="720"/>
          <w:tab w:val="num" w:pos="132"/>
          <w:tab w:val="num" w:pos="862"/>
        </w:tabs>
        <w:overflowPunct w:val="0"/>
        <w:autoSpaceDE w:val="0"/>
        <w:autoSpaceDN w:val="0"/>
        <w:spacing w:after="120"/>
        <w:ind w:left="709" w:hanging="709"/>
        <w:textAlignment w:val="baseline"/>
        <w:rPr>
          <w:rFonts w:cs="Arial"/>
          <w:sz w:val="24"/>
          <w:szCs w:val="24"/>
        </w:rPr>
      </w:pPr>
      <w:r w:rsidRPr="00C72264">
        <w:rPr>
          <w:rFonts w:cs="Arial"/>
          <w:sz w:val="24"/>
          <w:szCs w:val="24"/>
        </w:rPr>
        <w:t>The following Contract</w:t>
      </w:r>
      <w:r w:rsidR="00A57B4E" w:rsidRPr="00C72264">
        <w:rPr>
          <w:rFonts w:cs="Arial"/>
          <w:sz w:val="24"/>
          <w:szCs w:val="24"/>
        </w:rPr>
        <w:t xml:space="preserve"> milestones</w:t>
      </w:r>
      <w:r w:rsidR="00F0311A" w:rsidRPr="00C72264">
        <w:rPr>
          <w:rFonts w:cs="Arial"/>
          <w:sz w:val="24"/>
          <w:szCs w:val="24"/>
        </w:rPr>
        <w:t>/deliverables</w:t>
      </w:r>
      <w:r w:rsidRPr="00C72264">
        <w:rPr>
          <w:rFonts w:cs="Arial"/>
          <w:sz w:val="24"/>
          <w:szCs w:val="24"/>
        </w:rPr>
        <w:t xml:space="preserve"> shall apply</w:t>
      </w:r>
      <w:r w:rsidR="00D17764" w:rsidRPr="00C72264">
        <w:rPr>
          <w:rFonts w:cs="Arial"/>
          <w:sz w:val="24"/>
          <w:szCs w:val="24"/>
        </w:rPr>
        <w:t>:</w:t>
      </w:r>
    </w:p>
    <w:tbl>
      <w:tblPr>
        <w:tblStyle w:val="TableGrid"/>
        <w:tblW w:w="5000" w:type="pct"/>
        <w:tblLook w:val="04A0" w:firstRow="1" w:lastRow="0" w:firstColumn="1" w:lastColumn="0" w:noHBand="0" w:noVBand="1"/>
      </w:tblPr>
      <w:tblGrid>
        <w:gridCol w:w="2671"/>
        <w:gridCol w:w="3947"/>
        <w:gridCol w:w="2401"/>
      </w:tblGrid>
      <w:tr w:rsidR="00FE18AC" w:rsidRPr="00C72264" w14:paraId="6BF78E35" w14:textId="77777777" w:rsidTr="1B16AE1B">
        <w:tc>
          <w:tcPr>
            <w:tcW w:w="1481" w:type="pct"/>
            <w:shd w:val="clear" w:color="auto" w:fill="C6D9F1" w:themeFill="text2" w:themeFillTint="33"/>
            <w:vAlign w:val="center"/>
          </w:tcPr>
          <w:p w14:paraId="2F0B096C" w14:textId="2748D807" w:rsidR="00671798" w:rsidRPr="00C72264" w:rsidRDefault="00FE18AC">
            <w:pPr>
              <w:pStyle w:val="Heading3"/>
              <w:numPr>
                <w:ilvl w:val="0"/>
                <w:numId w:val="0"/>
              </w:numPr>
              <w:spacing w:after="120"/>
              <w:jc w:val="center"/>
              <w:outlineLvl w:val="2"/>
              <w:rPr>
                <w:b/>
                <w:sz w:val="24"/>
                <w:szCs w:val="24"/>
              </w:rPr>
            </w:pPr>
            <w:r w:rsidRPr="00C72264">
              <w:rPr>
                <w:b/>
                <w:sz w:val="24"/>
                <w:szCs w:val="24"/>
              </w:rPr>
              <w:t>Milestone</w:t>
            </w:r>
            <w:r w:rsidR="00F0311A" w:rsidRPr="00C72264">
              <w:rPr>
                <w:b/>
                <w:sz w:val="24"/>
                <w:szCs w:val="24"/>
              </w:rPr>
              <w:t>/Deliverable</w:t>
            </w:r>
          </w:p>
        </w:tc>
        <w:tc>
          <w:tcPr>
            <w:tcW w:w="2188" w:type="pct"/>
            <w:shd w:val="clear" w:color="auto" w:fill="C6D9F1" w:themeFill="text2" w:themeFillTint="33"/>
            <w:vAlign w:val="center"/>
          </w:tcPr>
          <w:p w14:paraId="55754382" w14:textId="77777777" w:rsidR="00671798" w:rsidRPr="00C72264" w:rsidRDefault="00FE18AC">
            <w:pPr>
              <w:pStyle w:val="Heading3"/>
              <w:numPr>
                <w:ilvl w:val="0"/>
                <w:numId w:val="0"/>
              </w:numPr>
              <w:spacing w:after="120"/>
              <w:jc w:val="center"/>
              <w:outlineLvl w:val="2"/>
              <w:rPr>
                <w:b/>
                <w:sz w:val="24"/>
                <w:szCs w:val="24"/>
              </w:rPr>
            </w:pPr>
            <w:r w:rsidRPr="00C72264">
              <w:rPr>
                <w:b/>
                <w:sz w:val="24"/>
                <w:szCs w:val="24"/>
              </w:rPr>
              <w:t>Description</w:t>
            </w:r>
          </w:p>
        </w:tc>
        <w:tc>
          <w:tcPr>
            <w:tcW w:w="1331" w:type="pct"/>
            <w:shd w:val="clear" w:color="auto" w:fill="C6D9F1" w:themeFill="text2" w:themeFillTint="33"/>
            <w:vAlign w:val="center"/>
          </w:tcPr>
          <w:p w14:paraId="0EABB2D0" w14:textId="2DBD7A87" w:rsidR="00671798" w:rsidRPr="00C72264" w:rsidRDefault="00FE18AC">
            <w:pPr>
              <w:pStyle w:val="Heading3"/>
              <w:numPr>
                <w:ilvl w:val="0"/>
                <w:numId w:val="0"/>
              </w:numPr>
              <w:spacing w:after="120"/>
              <w:jc w:val="center"/>
              <w:outlineLvl w:val="2"/>
              <w:rPr>
                <w:b/>
                <w:sz w:val="24"/>
                <w:szCs w:val="24"/>
              </w:rPr>
            </w:pPr>
            <w:r w:rsidRPr="00C72264">
              <w:rPr>
                <w:b/>
                <w:sz w:val="24"/>
                <w:szCs w:val="24"/>
              </w:rPr>
              <w:t>Timeframe</w:t>
            </w:r>
            <w:r w:rsidR="00F0311A" w:rsidRPr="00C72264">
              <w:rPr>
                <w:b/>
                <w:sz w:val="24"/>
                <w:szCs w:val="24"/>
              </w:rPr>
              <w:t xml:space="preserve"> or Delivery Date</w:t>
            </w:r>
          </w:p>
        </w:tc>
      </w:tr>
      <w:tr w:rsidR="00FE18AC" w:rsidRPr="00C72264" w14:paraId="2B6EAC37" w14:textId="77777777" w:rsidTr="1B16AE1B">
        <w:tc>
          <w:tcPr>
            <w:tcW w:w="1481" w:type="pct"/>
            <w:vAlign w:val="center"/>
          </w:tcPr>
          <w:p w14:paraId="13176D62" w14:textId="77777777" w:rsidR="00671798" w:rsidRPr="00C72264" w:rsidRDefault="00FE18AC">
            <w:pPr>
              <w:pStyle w:val="Heading3"/>
              <w:numPr>
                <w:ilvl w:val="0"/>
                <w:numId w:val="0"/>
              </w:numPr>
              <w:spacing w:after="120"/>
              <w:jc w:val="center"/>
              <w:outlineLvl w:val="2"/>
              <w:rPr>
                <w:sz w:val="24"/>
                <w:szCs w:val="24"/>
              </w:rPr>
            </w:pPr>
            <w:r w:rsidRPr="00C72264">
              <w:rPr>
                <w:sz w:val="24"/>
                <w:szCs w:val="24"/>
              </w:rPr>
              <w:t>1</w:t>
            </w:r>
          </w:p>
        </w:tc>
        <w:tc>
          <w:tcPr>
            <w:tcW w:w="2188" w:type="pct"/>
            <w:vAlign w:val="center"/>
          </w:tcPr>
          <w:p w14:paraId="04CC1243" w14:textId="45DFD52E" w:rsidR="00671798" w:rsidRPr="00C72264" w:rsidRDefault="00FA24EA" w:rsidP="00CD38F0">
            <w:pPr>
              <w:pStyle w:val="Heading3"/>
              <w:numPr>
                <w:ilvl w:val="0"/>
                <w:numId w:val="0"/>
              </w:numPr>
              <w:spacing w:after="120"/>
              <w:jc w:val="left"/>
              <w:outlineLvl w:val="2"/>
              <w:rPr>
                <w:sz w:val="24"/>
                <w:szCs w:val="24"/>
              </w:rPr>
            </w:pPr>
            <w:r w:rsidRPr="00C72264">
              <w:rPr>
                <w:sz w:val="24"/>
                <w:szCs w:val="24"/>
              </w:rPr>
              <w:t xml:space="preserve">The continued delivery of all requirements </w:t>
            </w:r>
            <w:r w:rsidR="008B5166" w:rsidRPr="00C72264">
              <w:rPr>
                <w:sz w:val="24"/>
                <w:szCs w:val="24"/>
              </w:rPr>
              <w:t>outlined in Section 6, and detailed in 6.1 – 6.</w:t>
            </w:r>
            <w:r w:rsidR="00865BB2">
              <w:rPr>
                <w:sz w:val="24"/>
                <w:szCs w:val="24"/>
              </w:rPr>
              <w:t>18</w:t>
            </w:r>
          </w:p>
        </w:tc>
        <w:tc>
          <w:tcPr>
            <w:tcW w:w="1331" w:type="pct"/>
            <w:vAlign w:val="center"/>
          </w:tcPr>
          <w:p w14:paraId="23E536A9" w14:textId="6AF5E299" w:rsidR="00671798" w:rsidRPr="00C72264" w:rsidRDefault="007F6532" w:rsidP="00F0311A">
            <w:pPr>
              <w:pStyle w:val="Heading3"/>
              <w:numPr>
                <w:ilvl w:val="0"/>
                <w:numId w:val="0"/>
              </w:numPr>
              <w:spacing w:after="120"/>
              <w:jc w:val="center"/>
              <w:outlineLvl w:val="2"/>
              <w:rPr>
                <w:sz w:val="24"/>
                <w:szCs w:val="24"/>
              </w:rPr>
            </w:pPr>
            <w:r>
              <w:rPr>
                <w:sz w:val="24"/>
                <w:szCs w:val="24"/>
              </w:rPr>
              <w:t>On-going until contract end</w:t>
            </w:r>
          </w:p>
        </w:tc>
      </w:tr>
      <w:tr w:rsidR="1B16AE1B" w14:paraId="468EBE34" w14:textId="77777777" w:rsidTr="1B16AE1B">
        <w:trPr>
          <w:trHeight w:val="300"/>
        </w:trPr>
        <w:tc>
          <w:tcPr>
            <w:tcW w:w="2671" w:type="dxa"/>
            <w:vAlign w:val="center"/>
          </w:tcPr>
          <w:p w14:paraId="1E9CC886" w14:textId="57410DF9" w:rsidR="5D668C35" w:rsidRDefault="5D668C35" w:rsidP="1B16AE1B">
            <w:pPr>
              <w:pStyle w:val="Heading3"/>
              <w:numPr>
                <w:ilvl w:val="2"/>
                <w:numId w:val="0"/>
              </w:numPr>
              <w:jc w:val="center"/>
              <w:outlineLvl w:val="2"/>
              <w:rPr>
                <w:sz w:val="24"/>
                <w:szCs w:val="24"/>
              </w:rPr>
            </w:pPr>
            <w:r w:rsidRPr="1B16AE1B">
              <w:rPr>
                <w:sz w:val="24"/>
                <w:szCs w:val="24"/>
              </w:rPr>
              <w:lastRenderedPageBreak/>
              <w:t>2</w:t>
            </w:r>
          </w:p>
        </w:tc>
        <w:tc>
          <w:tcPr>
            <w:tcW w:w="3947" w:type="dxa"/>
            <w:vAlign w:val="center"/>
          </w:tcPr>
          <w:p w14:paraId="3EEEC48B" w14:textId="2A6C08EE" w:rsidR="5D668C35" w:rsidRDefault="5D668C35" w:rsidP="1B16AE1B">
            <w:pPr>
              <w:pStyle w:val="Heading3"/>
              <w:numPr>
                <w:ilvl w:val="2"/>
                <w:numId w:val="0"/>
              </w:numPr>
              <w:jc w:val="left"/>
              <w:outlineLvl w:val="2"/>
              <w:rPr>
                <w:sz w:val="24"/>
                <w:szCs w:val="24"/>
              </w:rPr>
            </w:pPr>
            <w:r w:rsidRPr="1B16AE1B">
              <w:rPr>
                <w:sz w:val="24"/>
                <w:szCs w:val="24"/>
              </w:rPr>
              <w:t xml:space="preserve">Provide </w:t>
            </w:r>
            <w:r w:rsidR="227207CB" w:rsidRPr="1B16AE1B">
              <w:rPr>
                <w:sz w:val="24"/>
                <w:szCs w:val="24"/>
              </w:rPr>
              <w:t xml:space="preserve">and execute </w:t>
            </w:r>
            <w:r w:rsidRPr="1B16AE1B">
              <w:rPr>
                <w:sz w:val="24"/>
                <w:szCs w:val="24"/>
              </w:rPr>
              <w:t xml:space="preserve">an </w:t>
            </w:r>
            <w:r w:rsidR="1A4DA345" w:rsidRPr="1B16AE1B">
              <w:rPr>
                <w:sz w:val="24"/>
                <w:szCs w:val="24"/>
              </w:rPr>
              <w:t>implementation</w:t>
            </w:r>
            <w:r w:rsidRPr="1B16AE1B">
              <w:rPr>
                <w:sz w:val="24"/>
                <w:szCs w:val="24"/>
              </w:rPr>
              <w:t xml:space="preserve"> plan meeting the requirements of Annex 6, of Attachment 10 Terms </w:t>
            </w:r>
            <w:r w:rsidR="11731BE8" w:rsidRPr="1B16AE1B">
              <w:rPr>
                <w:sz w:val="24"/>
                <w:szCs w:val="24"/>
              </w:rPr>
              <w:t>and Conditions.</w:t>
            </w:r>
          </w:p>
        </w:tc>
        <w:tc>
          <w:tcPr>
            <w:tcW w:w="2401" w:type="dxa"/>
            <w:vAlign w:val="center"/>
          </w:tcPr>
          <w:p w14:paraId="3FE51B35" w14:textId="3D949DFE" w:rsidR="5D668C35" w:rsidRDefault="5D668C35" w:rsidP="1B16AE1B">
            <w:pPr>
              <w:pStyle w:val="Heading3"/>
              <w:numPr>
                <w:ilvl w:val="2"/>
                <w:numId w:val="0"/>
              </w:numPr>
              <w:jc w:val="center"/>
              <w:outlineLvl w:val="2"/>
              <w:rPr>
                <w:sz w:val="24"/>
                <w:szCs w:val="24"/>
              </w:rPr>
            </w:pPr>
            <w:r w:rsidRPr="1B16AE1B">
              <w:rPr>
                <w:sz w:val="24"/>
                <w:szCs w:val="24"/>
              </w:rPr>
              <w:t>Within 3 months of contract award</w:t>
            </w:r>
          </w:p>
        </w:tc>
      </w:tr>
      <w:tr w:rsidR="00FE18AC" w:rsidRPr="001A45DF" w14:paraId="16F113EC" w14:textId="77777777" w:rsidTr="1B16AE1B">
        <w:tc>
          <w:tcPr>
            <w:tcW w:w="1481" w:type="pct"/>
            <w:vAlign w:val="center"/>
          </w:tcPr>
          <w:p w14:paraId="4FD18402" w14:textId="2B807B1E" w:rsidR="00671798" w:rsidRPr="00C72264" w:rsidRDefault="5D668C35">
            <w:pPr>
              <w:pStyle w:val="Heading3"/>
              <w:numPr>
                <w:ilvl w:val="2"/>
                <w:numId w:val="0"/>
              </w:numPr>
              <w:spacing w:after="120"/>
              <w:jc w:val="center"/>
              <w:outlineLvl w:val="2"/>
              <w:rPr>
                <w:sz w:val="24"/>
                <w:szCs w:val="24"/>
              </w:rPr>
            </w:pPr>
            <w:r w:rsidRPr="1B16AE1B">
              <w:rPr>
                <w:sz w:val="24"/>
                <w:szCs w:val="24"/>
              </w:rPr>
              <w:t>3</w:t>
            </w:r>
          </w:p>
        </w:tc>
        <w:tc>
          <w:tcPr>
            <w:tcW w:w="2188" w:type="pct"/>
            <w:vAlign w:val="center"/>
          </w:tcPr>
          <w:p w14:paraId="64F8FEAF" w14:textId="687B1612" w:rsidR="00881B46" w:rsidRDefault="00881B46" w:rsidP="00F0311A">
            <w:pPr>
              <w:pStyle w:val="Heading3"/>
              <w:numPr>
                <w:ilvl w:val="0"/>
                <w:numId w:val="0"/>
              </w:numPr>
              <w:spacing w:after="120"/>
              <w:jc w:val="left"/>
              <w:outlineLvl w:val="2"/>
              <w:rPr>
                <w:sz w:val="24"/>
                <w:szCs w:val="24"/>
              </w:rPr>
            </w:pPr>
            <w:r>
              <w:rPr>
                <w:sz w:val="24"/>
                <w:szCs w:val="24"/>
              </w:rPr>
              <w:t>Full co-</w:t>
            </w:r>
            <w:r w:rsidR="00A828A1">
              <w:rPr>
                <w:sz w:val="24"/>
                <w:szCs w:val="24"/>
              </w:rPr>
              <w:t>operation</w:t>
            </w:r>
            <w:r>
              <w:rPr>
                <w:sz w:val="24"/>
                <w:szCs w:val="24"/>
              </w:rPr>
              <w:t xml:space="preserve"> in any </w:t>
            </w:r>
            <w:r w:rsidR="006F14C5">
              <w:rPr>
                <w:sz w:val="24"/>
                <w:szCs w:val="24"/>
              </w:rPr>
              <w:t>transition</w:t>
            </w:r>
            <w:r>
              <w:rPr>
                <w:sz w:val="24"/>
                <w:szCs w:val="24"/>
              </w:rPr>
              <w:t xml:space="preserve"> to a new supplier</w:t>
            </w:r>
            <w:r w:rsidR="008D0CB0">
              <w:rPr>
                <w:sz w:val="24"/>
                <w:szCs w:val="24"/>
              </w:rPr>
              <w:t xml:space="preserve"> at the end of this contract</w:t>
            </w:r>
            <w:r>
              <w:rPr>
                <w:sz w:val="24"/>
                <w:szCs w:val="24"/>
              </w:rPr>
              <w:t>, including</w:t>
            </w:r>
            <w:r w:rsidR="00A828A1">
              <w:rPr>
                <w:sz w:val="24"/>
                <w:szCs w:val="24"/>
              </w:rPr>
              <w:t xml:space="preserve"> but not limited to</w:t>
            </w:r>
            <w:r>
              <w:rPr>
                <w:sz w:val="24"/>
                <w:szCs w:val="24"/>
              </w:rPr>
              <w:t>:</w:t>
            </w:r>
          </w:p>
          <w:p w14:paraId="1688199C" w14:textId="18DFB6A5" w:rsidR="00A828A1" w:rsidRDefault="0011641D" w:rsidP="00881B46">
            <w:pPr>
              <w:pStyle w:val="Heading3"/>
              <w:numPr>
                <w:ilvl w:val="0"/>
                <w:numId w:val="45"/>
              </w:numPr>
              <w:spacing w:after="120"/>
              <w:jc w:val="left"/>
              <w:outlineLvl w:val="2"/>
              <w:rPr>
                <w:sz w:val="24"/>
                <w:szCs w:val="24"/>
              </w:rPr>
            </w:pPr>
            <w:r>
              <w:rPr>
                <w:sz w:val="24"/>
                <w:szCs w:val="24"/>
              </w:rPr>
              <w:t xml:space="preserve">The intellectual property, which belongs and is the property of </w:t>
            </w:r>
            <w:r w:rsidR="00881B46">
              <w:rPr>
                <w:sz w:val="24"/>
                <w:szCs w:val="24"/>
              </w:rPr>
              <w:t>the Authority</w:t>
            </w:r>
            <w:r w:rsidR="00032C68">
              <w:rPr>
                <w:sz w:val="24"/>
                <w:szCs w:val="24"/>
              </w:rPr>
              <w:t>. Intellectual property, owned by the Authority</w:t>
            </w:r>
            <w:r w:rsidR="00A828A1">
              <w:rPr>
                <w:sz w:val="24"/>
                <w:szCs w:val="24"/>
              </w:rPr>
              <w:t xml:space="preserve"> </w:t>
            </w:r>
            <w:r w:rsidR="00032C68">
              <w:rPr>
                <w:sz w:val="24"/>
                <w:szCs w:val="24"/>
              </w:rPr>
              <w:t xml:space="preserve">includes and is not limited to the </w:t>
            </w:r>
            <w:r w:rsidR="00A828A1">
              <w:rPr>
                <w:sz w:val="24"/>
                <w:szCs w:val="24"/>
              </w:rPr>
              <w:t>examination materials</w:t>
            </w:r>
            <w:r w:rsidR="00C93B47">
              <w:rPr>
                <w:sz w:val="24"/>
                <w:szCs w:val="24"/>
              </w:rPr>
              <w:t xml:space="preserve"> and syllabuses for foundation and practitioner level</w:t>
            </w:r>
            <w:r w:rsidR="0050660C">
              <w:rPr>
                <w:sz w:val="24"/>
                <w:szCs w:val="24"/>
              </w:rPr>
              <w:t>, shall be transferred to the new supplier</w:t>
            </w:r>
            <w:r w:rsidR="00934685">
              <w:rPr>
                <w:sz w:val="24"/>
                <w:szCs w:val="24"/>
              </w:rPr>
              <w:t>.</w:t>
            </w:r>
          </w:p>
          <w:p w14:paraId="6D52211A" w14:textId="653FA0CB" w:rsidR="00671798" w:rsidRDefault="005C43E8" w:rsidP="00881B46">
            <w:pPr>
              <w:pStyle w:val="Heading3"/>
              <w:numPr>
                <w:ilvl w:val="0"/>
                <w:numId w:val="45"/>
              </w:numPr>
              <w:spacing w:after="120"/>
              <w:jc w:val="left"/>
              <w:outlineLvl w:val="2"/>
              <w:rPr>
                <w:sz w:val="24"/>
                <w:szCs w:val="24"/>
              </w:rPr>
            </w:pPr>
            <w:r>
              <w:rPr>
                <w:sz w:val="24"/>
                <w:szCs w:val="24"/>
              </w:rPr>
              <w:t>T</w:t>
            </w:r>
            <w:r w:rsidR="00DE78DF">
              <w:rPr>
                <w:sz w:val="24"/>
                <w:szCs w:val="24"/>
              </w:rPr>
              <w:t xml:space="preserve">ransfer </w:t>
            </w:r>
            <w:r w:rsidR="00513920">
              <w:rPr>
                <w:sz w:val="24"/>
                <w:szCs w:val="24"/>
              </w:rPr>
              <w:t xml:space="preserve">of details of accredited </w:t>
            </w:r>
            <w:r w:rsidR="00C93B47">
              <w:rPr>
                <w:sz w:val="24"/>
                <w:szCs w:val="24"/>
              </w:rPr>
              <w:t>training organisations</w:t>
            </w:r>
            <w:r w:rsidR="00513920">
              <w:rPr>
                <w:sz w:val="24"/>
                <w:szCs w:val="24"/>
              </w:rPr>
              <w:t xml:space="preserve"> and trainers, their examination statu</w:t>
            </w:r>
            <w:r w:rsidR="00A46705">
              <w:rPr>
                <w:sz w:val="24"/>
                <w:szCs w:val="24"/>
              </w:rPr>
              <w:t xml:space="preserve">s, </w:t>
            </w:r>
            <w:r w:rsidR="00F711E6">
              <w:rPr>
                <w:sz w:val="24"/>
                <w:szCs w:val="24"/>
              </w:rPr>
              <w:t xml:space="preserve">and details of previously accredited providers and trainers </w:t>
            </w:r>
            <w:r w:rsidR="00A46705">
              <w:rPr>
                <w:sz w:val="24"/>
                <w:szCs w:val="24"/>
              </w:rPr>
              <w:t>(</w:t>
            </w:r>
            <w:proofErr w:type="gramStart"/>
            <w:r w:rsidR="00A46705">
              <w:rPr>
                <w:sz w:val="24"/>
                <w:szCs w:val="24"/>
              </w:rPr>
              <w:t>i.e.</w:t>
            </w:r>
            <w:proofErr w:type="gramEnd"/>
            <w:r w:rsidR="00A46705">
              <w:rPr>
                <w:sz w:val="24"/>
                <w:szCs w:val="24"/>
              </w:rPr>
              <w:t xml:space="preserve"> the registe</w:t>
            </w:r>
            <w:r w:rsidR="00F711E6">
              <w:rPr>
                <w:sz w:val="24"/>
                <w:szCs w:val="24"/>
              </w:rPr>
              <w:t>r)</w:t>
            </w:r>
            <w:r w:rsidR="00AF5A5D">
              <w:rPr>
                <w:sz w:val="24"/>
                <w:szCs w:val="24"/>
              </w:rPr>
              <w:t xml:space="preserve"> where this information is </w:t>
            </w:r>
            <w:r w:rsidR="00B0709C">
              <w:rPr>
                <w:sz w:val="24"/>
                <w:szCs w:val="24"/>
              </w:rPr>
              <w:t>available</w:t>
            </w:r>
            <w:r w:rsidR="004105E9">
              <w:rPr>
                <w:sz w:val="24"/>
                <w:szCs w:val="24"/>
              </w:rPr>
              <w:t>, and then holding this information securely, ensuring it is up to date and reportable to the Authority at the Authority’s request</w:t>
            </w:r>
            <w:r w:rsidR="00F711E6">
              <w:rPr>
                <w:sz w:val="24"/>
                <w:szCs w:val="24"/>
              </w:rPr>
              <w:t>.</w:t>
            </w:r>
          </w:p>
          <w:p w14:paraId="59EB9280" w14:textId="50C264A4" w:rsidR="00BD073E" w:rsidRDefault="0050660C" w:rsidP="00BD073E">
            <w:pPr>
              <w:pStyle w:val="ListParagraph"/>
              <w:numPr>
                <w:ilvl w:val="0"/>
                <w:numId w:val="45"/>
              </w:numPr>
              <w:rPr>
                <w:rFonts w:eastAsia="STZhongsong"/>
                <w:sz w:val="24"/>
              </w:rPr>
            </w:pPr>
            <w:r>
              <w:rPr>
                <w:rFonts w:eastAsia="STZhongsong"/>
                <w:sz w:val="24"/>
              </w:rPr>
              <w:t>T</w:t>
            </w:r>
            <w:r w:rsidR="00BD073E" w:rsidRPr="00BD073E">
              <w:rPr>
                <w:rFonts w:eastAsia="STZhongsong"/>
                <w:sz w:val="24"/>
              </w:rPr>
              <w:t xml:space="preserve">ransfer details of any process, </w:t>
            </w:r>
            <w:proofErr w:type="gramStart"/>
            <w:r w:rsidR="00BD073E" w:rsidRPr="00BD073E">
              <w:rPr>
                <w:rFonts w:eastAsia="STZhongsong"/>
                <w:sz w:val="24"/>
              </w:rPr>
              <w:t>standards</w:t>
            </w:r>
            <w:proofErr w:type="gramEnd"/>
            <w:r w:rsidR="00BD073E" w:rsidRPr="00BD073E">
              <w:rPr>
                <w:rFonts w:eastAsia="STZhongsong"/>
                <w:sz w:val="24"/>
              </w:rPr>
              <w:t xml:space="preserve"> and approach, for current quality control system developed specifically and exclusively for the Better Business Cases programme and relating to the performance of the Better Business Cases qualification. </w:t>
            </w:r>
          </w:p>
          <w:p w14:paraId="319AF9C9" w14:textId="77777777" w:rsidR="00BD073E" w:rsidRPr="00BD073E" w:rsidRDefault="00BD073E" w:rsidP="00BD073E">
            <w:pPr>
              <w:pStyle w:val="ListParagraph"/>
              <w:rPr>
                <w:rFonts w:eastAsia="STZhongsong"/>
                <w:sz w:val="24"/>
              </w:rPr>
            </w:pPr>
          </w:p>
          <w:p w14:paraId="33C22C40" w14:textId="07A1950D" w:rsidR="00FB4933" w:rsidRPr="00C72264" w:rsidRDefault="007503BD" w:rsidP="007503BD">
            <w:pPr>
              <w:pStyle w:val="Heading3"/>
              <w:numPr>
                <w:ilvl w:val="0"/>
                <w:numId w:val="0"/>
              </w:numPr>
              <w:spacing w:after="120"/>
              <w:jc w:val="left"/>
              <w:outlineLvl w:val="2"/>
              <w:rPr>
                <w:sz w:val="24"/>
                <w:szCs w:val="24"/>
              </w:rPr>
            </w:pPr>
            <w:r>
              <w:rPr>
                <w:sz w:val="24"/>
                <w:szCs w:val="24"/>
              </w:rPr>
              <w:lastRenderedPageBreak/>
              <w:t xml:space="preserve">And all other reasonable steps requested by the Authority </w:t>
            </w:r>
            <w:proofErr w:type="gramStart"/>
            <w:r>
              <w:rPr>
                <w:sz w:val="24"/>
                <w:szCs w:val="24"/>
              </w:rPr>
              <w:t>in order to</w:t>
            </w:r>
            <w:proofErr w:type="gramEnd"/>
            <w:r>
              <w:rPr>
                <w:sz w:val="24"/>
                <w:szCs w:val="24"/>
              </w:rPr>
              <w:t xml:space="preserve"> ensure an efficient and timely handover to the </w:t>
            </w:r>
            <w:r w:rsidR="00117DFF">
              <w:rPr>
                <w:sz w:val="24"/>
                <w:szCs w:val="24"/>
              </w:rPr>
              <w:t>new supplier (in the event of a new supplier being appointed) to ensu</w:t>
            </w:r>
            <w:r w:rsidR="00BC4789">
              <w:rPr>
                <w:sz w:val="24"/>
                <w:szCs w:val="24"/>
              </w:rPr>
              <w:t>r</w:t>
            </w:r>
            <w:r w:rsidR="00117DFF">
              <w:rPr>
                <w:sz w:val="24"/>
                <w:szCs w:val="24"/>
              </w:rPr>
              <w:t>e continuity in service delivery with no interruption</w:t>
            </w:r>
            <w:r w:rsidR="000F1EDB">
              <w:rPr>
                <w:sz w:val="24"/>
                <w:szCs w:val="24"/>
              </w:rPr>
              <w:t xml:space="preserve"> to users.</w:t>
            </w:r>
          </w:p>
        </w:tc>
        <w:tc>
          <w:tcPr>
            <w:tcW w:w="1331" w:type="pct"/>
            <w:vAlign w:val="center"/>
          </w:tcPr>
          <w:p w14:paraId="3B285FD4" w14:textId="639D954D" w:rsidR="00671798" w:rsidRPr="00C72264" w:rsidRDefault="00DE78DF">
            <w:pPr>
              <w:pStyle w:val="Heading3"/>
              <w:numPr>
                <w:ilvl w:val="0"/>
                <w:numId w:val="0"/>
              </w:numPr>
              <w:spacing w:after="120"/>
              <w:jc w:val="center"/>
              <w:outlineLvl w:val="2"/>
              <w:rPr>
                <w:sz w:val="24"/>
                <w:szCs w:val="24"/>
              </w:rPr>
            </w:pPr>
            <w:r>
              <w:rPr>
                <w:sz w:val="24"/>
                <w:szCs w:val="24"/>
              </w:rPr>
              <w:lastRenderedPageBreak/>
              <w:t xml:space="preserve">During the </w:t>
            </w:r>
            <w:r w:rsidR="00474165">
              <w:rPr>
                <w:sz w:val="24"/>
                <w:szCs w:val="24"/>
              </w:rPr>
              <w:t>transition</w:t>
            </w:r>
            <w:r>
              <w:rPr>
                <w:sz w:val="24"/>
                <w:szCs w:val="24"/>
              </w:rPr>
              <w:t xml:space="preserve"> period</w:t>
            </w:r>
          </w:p>
        </w:tc>
      </w:tr>
    </w:tbl>
    <w:p w14:paraId="228D428C" w14:textId="77777777" w:rsidR="00FE18AC" w:rsidRDefault="00FE18AC" w:rsidP="00F44D62">
      <w:pPr>
        <w:pStyle w:val="Heading1"/>
        <w:numPr>
          <w:ilvl w:val="0"/>
          <w:numId w:val="0"/>
        </w:numPr>
        <w:overflowPunct w:val="0"/>
        <w:autoSpaceDE w:val="0"/>
        <w:autoSpaceDN w:val="0"/>
        <w:spacing w:after="120"/>
        <w:textAlignment w:val="baseline"/>
        <w:rPr>
          <w:rFonts w:cs="Arial"/>
          <w:szCs w:val="22"/>
        </w:rPr>
      </w:pPr>
      <w:bookmarkStart w:id="20" w:name="_Toc302637211"/>
    </w:p>
    <w:p w14:paraId="203EC2B6" w14:textId="07BE30B0" w:rsidR="00671798" w:rsidRPr="001A45DF" w:rsidRDefault="009E3739">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1" w:name="_Toc368573033"/>
      <w:bookmarkStart w:id="22" w:name="_Toc113641447"/>
      <w:r w:rsidRPr="001A45DF">
        <w:rPr>
          <w:rFonts w:cs="Arial"/>
          <w:sz w:val="32"/>
          <w:szCs w:val="32"/>
        </w:rPr>
        <w:t>MANAGEMENT INFORMATION/</w:t>
      </w:r>
      <w:r w:rsidR="00FE18AC" w:rsidRPr="001A45DF">
        <w:rPr>
          <w:rFonts w:cs="Arial"/>
          <w:sz w:val="32"/>
          <w:szCs w:val="32"/>
        </w:rPr>
        <w:t>reporting</w:t>
      </w:r>
      <w:bookmarkEnd w:id="21"/>
      <w:bookmarkEnd w:id="22"/>
    </w:p>
    <w:p w14:paraId="44AF2838" w14:textId="65502D1D" w:rsidR="00E65773" w:rsidRPr="00E65773" w:rsidRDefault="0045191F" w:rsidP="00E65773">
      <w:pPr>
        <w:pStyle w:val="Heading2"/>
        <w:spacing w:after="120"/>
        <w:ind w:left="709" w:hanging="709"/>
        <w:rPr>
          <w:sz w:val="24"/>
        </w:rPr>
      </w:pPr>
      <w:r>
        <w:rPr>
          <w:sz w:val="24"/>
        </w:rPr>
        <w:t xml:space="preserve">As well as the survey of users and training organisations described </w:t>
      </w:r>
      <w:r w:rsidR="00865BB2">
        <w:rPr>
          <w:sz w:val="24"/>
        </w:rPr>
        <w:t>in 6.4</w:t>
      </w:r>
      <w:r>
        <w:rPr>
          <w:sz w:val="24"/>
        </w:rPr>
        <w:t>, t</w:t>
      </w:r>
      <w:r w:rsidR="00FB5457">
        <w:rPr>
          <w:sz w:val="24"/>
        </w:rPr>
        <w:t xml:space="preserve">he </w:t>
      </w:r>
      <w:r w:rsidR="00E65773" w:rsidRPr="00E65773">
        <w:rPr>
          <w:sz w:val="24"/>
        </w:rPr>
        <w:t xml:space="preserve">Supplier must </w:t>
      </w:r>
      <w:r>
        <w:rPr>
          <w:sz w:val="24"/>
        </w:rPr>
        <w:t xml:space="preserve">provide </w:t>
      </w:r>
      <w:r w:rsidR="00E65773" w:rsidRPr="00E65773">
        <w:rPr>
          <w:sz w:val="24"/>
        </w:rPr>
        <w:t>regular quarterly reports on</w:t>
      </w:r>
      <w:r w:rsidR="00865BB2">
        <w:rPr>
          <w:sz w:val="24"/>
        </w:rPr>
        <w:t>:</w:t>
      </w:r>
    </w:p>
    <w:p w14:paraId="0EA6B840" w14:textId="3BFFE7F1" w:rsidR="00E65773" w:rsidRPr="00E65773" w:rsidRDefault="00E65773" w:rsidP="032C6446">
      <w:pPr>
        <w:pStyle w:val="Heading2"/>
        <w:spacing w:after="120"/>
        <w:ind w:left="709" w:hanging="709"/>
        <w:rPr>
          <w:sz w:val="24"/>
          <w:szCs w:val="24"/>
        </w:rPr>
      </w:pPr>
      <w:r w:rsidRPr="032C6446">
        <w:rPr>
          <w:sz w:val="24"/>
          <w:szCs w:val="24"/>
        </w:rPr>
        <w:t>ATO’s with analysis by country and analysis of joiners and leavers</w:t>
      </w:r>
      <w:r w:rsidR="00B06F15" w:rsidRPr="032C6446">
        <w:rPr>
          <w:sz w:val="24"/>
          <w:szCs w:val="24"/>
        </w:rPr>
        <w:t>,</w:t>
      </w:r>
      <w:r w:rsidRPr="032C6446">
        <w:rPr>
          <w:sz w:val="24"/>
          <w:szCs w:val="24"/>
        </w:rPr>
        <w:t xml:space="preserve"> and</w:t>
      </w:r>
      <w:r w:rsidR="00B06F15" w:rsidRPr="032C6446">
        <w:rPr>
          <w:sz w:val="24"/>
          <w:szCs w:val="24"/>
        </w:rPr>
        <w:t xml:space="preserve"> the current </w:t>
      </w:r>
      <w:r w:rsidRPr="032C6446">
        <w:rPr>
          <w:sz w:val="24"/>
          <w:szCs w:val="24"/>
        </w:rPr>
        <w:t>pipeline of requests for accreditation</w:t>
      </w:r>
      <w:r w:rsidR="4D663E56" w:rsidRPr="032C6446">
        <w:rPr>
          <w:sz w:val="24"/>
          <w:szCs w:val="24"/>
        </w:rPr>
        <w:t>.</w:t>
      </w:r>
    </w:p>
    <w:p w14:paraId="2CF722CD" w14:textId="68D4B36E" w:rsidR="00E65773" w:rsidRPr="00E65773" w:rsidRDefault="00E65773" w:rsidP="00E65773">
      <w:pPr>
        <w:pStyle w:val="Heading2"/>
        <w:spacing w:after="120"/>
        <w:ind w:left="709" w:hanging="709"/>
        <w:rPr>
          <w:sz w:val="24"/>
        </w:rPr>
      </w:pPr>
      <w:r w:rsidRPr="00E65773">
        <w:rPr>
          <w:sz w:val="24"/>
        </w:rPr>
        <w:t>Individual trainers by ATO with analysis by country and by examinations completed and with analysis of joiners and leavers and pipeline of requests for</w:t>
      </w:r>
      <w:r w:rsidR="00B13FDA">
        <w:rPr>
          <w:sz w:val="24"/>
        </w:rPr>
        <w:t>.</w:t>
      </w:r>
    </w:p>
    <w:p w14:paraId="1FFEEB1D" w14:textId="36AF7295" w:rsidR="00E65773" w:rsidRDefault="00E65773" w:rsidP="00E65773">
      <w:pPr>
        <w:pStyle w:val="Heading2"/>
        <w:spacing w:after="120"/>
        <w:ind w:left="709" w:hanging="709"/>
        <w:rPr>
          <w:sz w:val="24"/>
        </w:rPr>
      </w:pPr>
      <w:r w:rsidRPr="00E65773">
        <w:rPr>
          <w:sz w:val="24"/>
        </w:rPr>
        <w:t>Examination results monthly and in total with analysis by country and analysis of totals over time</w:t>
      </w:r>
      <w:r w:rsidR="00B13FDA">
        <w:rPr>
          <w:sz w:val="24"/>
        </w:rPr>
        <w:t>.</w:t>
      </w:r>
    </w:p>
    <w:p w14:paraId="118E8CCF" w14:textId="31645B5E" w:rsidR="00E65773" w:rsidRPr="00E65773" w:rsidRDefault="00E65773" w:rsidP="00E65773">
      <w:pPr>
        <w:pStyle w:val="Heading2"/>
        <w:spacing w:after="120"/>
        <w:ind w:left="709" w:hanging="709"/>
        <w:rPr>
          <w:sz w:val="24"/>
        </w:rPr>
      </w:pPr>
      <w:r w:rsidRPr="00E65773">
        <w:rPr>
          <w:sz w:val="24"/>
        </w:rPr>
        <w:t>Financial reports showing the Supplier’s income from the scheme in total and by source for the quarter and the year and over the period of the contract</w:t>
      </w:r>
      <w:r w:rsidR="00B13FDA">
        <w:rPr>
          <w:sz w:val="24"/>
        </w:rPr>
        <w:t>.</w:t>
      </w:r>
    </w:p>
    <w:p w14:paraId="24BC8970" w14:textId="33EC4A10" w:rsidR="00E65773" w:rsidRPr="00E65773" w:rsidRDefault="00E65773" w:rsidP="00E65773">
      <w:pPr>
        <w:pStyle w:val="Heading2"/>
        <w:spacing w:after="120"/>
        <w:ind w:left="709" w:hanging="709"/>
        <w:rPr>
          <w:sz w:val="24"/>
        </w:rPr>
      </w:pPr>
      <w:r w:rsidRPr="00E65773">
        <w:rPr>
          <w:sz w:val="24"/>
        </w:rPr>
        <w:t>Financial reports showing the Supplier’s costs in running the scheme in total and by source for the quarter and the year and over the period of the contract</w:t>
      </w:r>
      <w:r w:rsidR="00B13FDA">
        <w:rPr>
          <w:sz w:val="24"/>
        </w:rPr>
        <w:t>.</w:t>
      </w:r>
    </w:p>
    <w:p w14:paraId="6FF155EA" w14:textId="1DF8AEF3" w:rsidR="00E65773" w:rsidRPr="00E65773" w:rsidRDefault="00E65773" w:rsidP="00E65773">
      <w:pPr>
        <w:pStyle w:val="Heading2"/>
        <w:spacing w:after="120"/>
        <w:ind w:left="709" w:hanging="709"/>
        <w:rPr>
          <w:sz w:val="24"/>
        </w:rPr>
      </w:pPr>
      <w:r w:rsidRPr="00E65773">
        <w:rPr>
          <w:sz w:val="24"/>
        </w:rPr>
        <w:t>Financial reports showing the Supplier’s net profit or loss arising from the scheme in total and by source for the quarter and the year and over the period of the contract</w:t>
      </w:r>
      <w:r w:rsidR="00B13FDA">
        <w:rPr>
          <w:sz w:val="24"/>
        </w:rPr>
        <w:t>.</w:t>
      </w:r>
    </w:p>
    <w:p w14:paraId="1879F61C" w14:textId="267AFA2B" w:rsidR="00E65773" w:rsidRPr="00E65773" w:rsidRDefault="00E65773" w:rsidP="55249E97">
      <w:pPr>
        <w:pStyle w:val="Heading2"/>
        <w:spacing w:after="120"/>
        <w:ind w:left="709" w:hanging="709"/>
        <w:rPr>
          <w:sz w:val="24"/>
          <w:szCs w:val="24"/>
        </w:rPr>
      </w:pPr>
      <w:r w:rsidRPr="55249E97">
        <w:rPr>
          <w:sz w:val="24"/>
          <w:szCs w:val="24"/>
        </w:rPr>
        <w:t>Financial reports showing income to the Authority’s pr</w:t>
      </w:r>
      <w:r w:rsidR="3E17A94B" w:rsidRPr="55249E97">
        <w:rPr>
          <w:sz w:val="24"/>
          <w:szCs w:val="24"/>
        </w:rPr>
        <w:t xml:space="preserve">ogramme </w:t>
      </w:r>
      <w:r w:rsidRPr="55249E97">
        <w:rPr>
          <w:sz w:val="24"/>
          <w:szCs w:val="24"/>
        </w:rPr>
        <w:t>fund arising from income generated by the scheme in total and by source for the quarter and the year and over the period of the contract</w:t>
      </w:r>
      <w:r w:rsidR="00B13FDA" w:rsidRPr="55249E97">
        <w:rPr>
          <w:sz w:val="24"/>
          <w:szCs w:val="24"/>
        </w:rPr>
        <w:t>.</w:t>
      </w:r>
    </w:p>
    <w:p w14:paraId="19E34CA4" w14:textId="4B3207BB" w:rsidR="00E65773" w:rsidRPr="00E65773" w:rsidRDefault="00E65773" w:rsidP="55249E97">
      <w:pPr>
        <w:pStyle w:val="Heading2"/>
        <w:spacing w:after="120"/>
        <w:ind w:left="709" w:hanging="709"/>
        <w:rPr>
          <w:sz w:val="24"/>
          <w:szCs w:val="24"/>
        </w:rPr>
      </w:pPr>
      <w:r w:rsidRPr="55249E97">
        <w:rPr>
          <w:sz w:val="24"/>
          <w:szCs w:val="24"/>
        </w:rPr>
        <w:t>Financial reports showing costs charged to the Authority’s pr</w:t>
      </w:r>
      <w:r w:rsidR="7DD01CAD" w:rsidRPr="55249E97">
        <w:rPr>
          <w:sz w:val="24"/>
          <w:szCs w:val="24"/>
        </w:rPr>
        <w:t xml:space="preserve">ogramme </w:t>
      </w:r>
      <w:r w:rsidRPr="55249E97">
        <w:rPr>
          <w:sz w:val="24"/>
          <w:szCs w:val="24"/>
        </w:rPr>
        <w:t>fund arising from the scheme in total and by source for the quarter and the year and over the period of the contract</w:t>
      </w:r>
      <w:r w:rsidR="00B13FDA" w:rsidRPr="55249E97">
        <w:rPr>
          <w:sz w:val="24"/>
          <w:szCs w:val="24"/>
        </w:rPr>
        <w:t>.</w:t>
      </w:r>
    </w:p>
    <w:p w14:paraId="3FFFF975" w14:textId="54060A6D" w:rsidR="00E65773" w:rsidRPr="00E65773" w:rsidRDefault="00E65773" w:rsidP="55249E97">
      <w:pPr>
        <w:pStyle w:val="Heading2"/>
        <w:spacing w:after="120"/>
        <w:ind w:left="709" w:hanging="709"/>
        <w:rPr>
          <w:sz w:val="24"/>
          <w:szCs w:val="24"/>
        </w:rPr>
      </w:pPr>
      <w:r w:rsidRPr="55249E97">
        <w:rPr>
          <w:sz w:val="24"/>
          <w:szCs w:val="24"/>
        </w:rPr>
        <w:t>Financial reports showing the net balance in the Authority’s pr</w:t>
      </w:r>
      <w:r w:rsidR="01147BFF" w:rsidRPr="55249E97">
        <w:rPr>
          <w:sz w:val="24"/>
          <w:szCs w:val="24"/>
        </w:rPr>
        <w:t xml:space="preserve">ogramme </w:t>
      </w:r>
      <w:r w:rsidRPr="55249E97">
        <w:rPr>
          <w:sz w:val="24"/>
          <w:szCs w:val="24"/>
        </w:rPr>
        <w:t>fund arising from the scheme for the quarter and the year and over the period of the contract</w:t>
      </w:r>
      <w:r w:rsidR="00B13FDA" w:rsidRPr="55249E97">
        <w:rPr>
          <w:sz w:val="24"/>
          <w:szCs w:val="24"/>
        </w:rPr>
        <w:t>.</w:t>
      </w:r>
    </w:p>
    <w:p w14:paraId="6342F125" w14:textId="0B12F92B" w:rsidR="00E65773" w:rsidRDefault="00E65773" w:rsidP="00E65773">
      <w:pPr>
        <w:pStyle w:val="Heading2"/>
        <w:spacing w:after="120"/>
        <w:ind w:left="709" w:hanging="709"/>
        <w:rPr>
          <w:sz w:val="24"/>
        </w:rPr>
      </w:pPr>
      <w:r w:rsidRPr="00E65773">
        <w:rPr>
          <w:sz w:val="24"/>
        </w:rPr>
        <w:t xml:space="preserve">Any other reports or amendments to these reports that are requested by the Authority at the quarterly joint management meetings </w:t>
      </w:r>
      <w:r w:rsidR="00A850CF">
        <w:rPr>
          <w:sz w:val="24"/>
        </w:rPr>
        <w:t>(overseen by the Joint Management Board</w:t>
      </w:r>
      <w:r w:rsidR="00B66A9D">
        <w:rPr>
          <w:sz w:val="24"/>
        </w:rPr>
        <w:t xml:space="preserve"> -</w:t>
      </w:r>
      <w:r w:rsidR="00A850CF">
        <w:rPr>
          <w:sz w:val="24"/>
        </w:rPr>
        <w:t xml:space="preserve"> JMB, membership </w:t>
      </w:r>
      <w:r w:rsidR="00B66A9D">
        <w:rPr>
          <w:sz w:val="24"/>
        </w:rPr>
        <w:t xml:space="preserve">of this board </w:t>
      </w:r>
      <w:r w:rsidR="00A850CF">
        <w:rPr>
          <w:sz w:val="24"/>
        </w:rPr>
        <w:t xml:space="preserve">determined by the Authority) </w:t>
      </w:r>
      <w:r w:rsidRPr="00E65773">
        <w:rPr>
          <w:sz w:val="24"/>
        </w:rPr>
        <w:t>between the Authority and Supplier.</w:t>
      </w:r>
    </w:p>
    <w:p w14:paraId="4E483BA3" w14:textId="267A5879" w:rsidR="0045191F" w:rsidRPr="00E65773" w:rsidRDefault="0045191F" w:rsidP="00E65773">
      <w:pPr>
        <w:pStyle w:val="Heading2"/>
        <w:spacing w:after="120"/>
        <w:ind w:left="709" w:hanging="709"/>
        <w:rPr>
          <w:sz w:val="24"/>
        </w:rPr>
      </w:pPr>
      <w:r>
        <w:rPr>
          <w:sz w:val="24"/>
        </w:rPr>
        <w:t xml:space="preserve">The format of these reports </w:t>
      </w:r>
      <w:proofErr w:type="gramStart"/>
      <w:r>
        <w:rPr>
          <w:sz w:val="24"/>
        </w:rPr>
        <w:t>are</w:t>
      </w:r>
      <w:proofErr w:type="gramEnd"/>
      <w:r>
        <w:rPr>
          <w:sz w:val="24"/>
        </w:rPr>
        <w:t xml:space="preserve"> to be proposed by the supplier and agreed with the Authority post contract award.</w:t>
      </w:r>
    </w:p>
    <w:p w14:paraId="0C1E78CC"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3" w:name="_Toc368573035"/>
      <w:bookmarkStart w:id="24" w:name="_Toc113641448"/>
      <w:r w:rsidRPr="001A45DF">
        <w:rPr>
          <w:rFonts w:cs="Arial"/>
          <w:sz w:val="32"/>
          <w:szCs w:val="32"/>
        </w:rPr>
        <w:lastRenderedPageBreak/>
        <w:t>continuous improvement</w:t>
      </w:r>
      <w:bookmarkEnd w:id="23"/>
      <w:bookmarkEnd w:id="24"/>
    </w:p>
    <w:p w14:paraId="60D56553" w14:textId="77777777" w:rsidR="00E65773" w:rsidRPr="00E65773" w:rsidRDefault="00E65773" w:rsidP="00E65773">
      <w:pPr>
        <w:pStyle w:val="Heading2"/>
        <w:spacing w:after="120"/>
        <w:ind w:left="709" w:hanging="709"/>
        <w:rPr>
          <w:sz w:val="24"/>
        </w:rPr>
      </w:pPr>
      <w:r w:rsidRPr="00E65773">
        <w:rPr>
          <w:sz w:val="24"/>
        </w:rPr>
        <w:t>The Supplier will be expected to continually improve the way in which the required Services are to be delivered throughout the contract duration.</w:t>
      </w:r>
    </w:p>
    <w:p w14:paraId="759D17C3" w14:textId="77777777" w:rsidR="00E65773" w:rsidRPr="00E65773" w:rsidRDefault="00E65773" w:rsidP="00E65773">
      <w:pPr>
        <w:pStyle w:val="Heading2"/>
        <w:spacing w:after="120"/>
        <w:ind w:left="709" w:hanging="709"/>
        <w:rPr>
          <w:sz w:val="24"/>
        </w:rPr>
      </w:pPr>
      <w:r w:rsidRPr="00E65773">
        <w:rPr>
          <w:sz w:val="24"/>
        </w:rPr>
        <w:t>The Supplier should present proposals to the Authority during quarterly contract review meetings.</w:t>
      </w:r>
    </w:p>
    <w:p w14:paraId="7B944B64" w14:textId="46CE7CBF" w:rsidR="00671798" w:rsidRPr="00E65773" w:rsidRDefault="00E65773" w:rsidP="00E65773">
      <w:pPr>
        <w:pStyle w:val="Heading2"/>
        <w:spacing w:after="120"/>
        <w:ind w:left="709" w:hanging="709"/>
        <w:rPr>
          <w:sz w:val="24"/>
        </w:rPr>
      </w:pPr>
      <w:r w:rsidRPr="00E65773">
        <w:rPr>
          <w:sz w:val="24"/>
        </w:rPr>
        <w:t>Changes to the way in which the Services are to be delivered must be brought to the Authority’s attention and agreed prior to any changes being implemented.</w:t>
      </w:r>
    </w:p>
    <w:p w14:paraId="7CC141C7" w14:textId="3806E783" w:rsidR="004E78BC" w:rsidRPr="001A45DF" w:rsidRDefault="004E78BC" w:rsidP="004E78BC">
      <w:pPr>
        <w:pStyle w:val="Heading1"/>
        <w:rPr>
          <w:sz w:val="32"/>
          <w:szCs w:val="32"/>
        </w:rPr>
      </w:pPr>
      <w:bookmarkStart w:id="25" w:name="_Toc113641449"/>
      <w:r w:rsidRPr="001A45DF">
        <w:rPr>
          <w:sz w:val="32"/>
          <w:szCs w:val="32"/>
        </w:rPr>
        <w:t>Sustainability</w:t>
      </w:r>
      <w:bookmarkEnd w:id="25"/>
    </w:p>
    <w:p w14:paraId="26BBD823" w14:textId="2510656E" w:rsidR="007C13A9" w:rsidRPr="007C13A9" w:rsidRDefault="007C13A9" w:rsidP="004E78BC">
      <w:pPr>
        <w:pStyle w:val="Heading2"/>
        <w:rPr>
          <w:sz w:val="24"/>
          <w:szCs w:val="24"/>
        </w:rPr>
      </w:pPr>
      <w:r w:rsidRPr="007C13A9">
        <w:rPr>
          <w:sz w:val="24"/>
          <w:szCs w:val="24"/>
        </w:rPr>
        <w:t xml:space="preserve">There are no major sustainability requirements for this project, however where possible the Contracting Authority seeks to promote sustainable practise. This includes, but is not limited to, moving to paperless practise, reducing travel needs, conducting meetings using virtual or telephony methods. </w:t>
      </w:r>
    </w:p>
    <w:p w14:paraId="1114BE17"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6" w:name="_Toc368573036"/>
      <w:bookmarkStart w:id="27" w:name="_Toc113641450"/>
      <w:r w:rsidRPr="001A45DF">
        <w:rPr>
          <w:rFonts w:cs="Arial"/>
          <w:sz w:val="32"/>
          <w:szCs w:val="32"/>
        </w:rPr>
        <w:t>quality</w:t>
      </w:r>
      <w:bookmarkEnd w:id="26"/>
      <w:bookmarkEnd w:id="27"/>
    </w:p>
    <w:p w14:paraId="30FB2331" w14:textId="5F1207FC" w:rsidR="00FC6576" w:rsidRPr="00ED1CE4" w:rsidRDefault="00FC6576" w:rsidP="00FC6576">
      <w:pPr>
        <w:pStyle w:val="Heading2"/>
        <w:tabs>
          <w:tab w:val="clear" w:pos="720"/>
          <w:tab w:val="num" w:pos="862"/>
        </w:tabs>
        <w:overflowPunct w:val="0"/>
        <w:autoSpaceDE w:val="0"/>
        <w:autoSpaceDN w:val="0"/>
        <w:spacing w:after="120"/>
        <w:ind w:left="709" w:hanging="709"/>
        <w:textAlignment w:val="baseline"/>
        <w:rPr>
          <w:sz w:val="24"/>
        </w:rPr>
      </w:pPr>
      <w:r w:rsidRPr="00ED1CE4">
        <w:rPr>
          <w:sz w:val="24"/>
        </w:rPr>
        <w:t xml:space="preserve">The Supplier shall perform each of the following services detailed below throughout the term of the contract with respect to all relevant elements of the </w:t>
      </w:r>
      <w:r w:rsidR="00A7457D">
        <w:rPr>
          <w:sz w:val="24"/>
        </w:rPr>
        <w:t>Better Business Cases Programme</w:t>
      </w:r>
      <w:r w:rsidRPr="00ED1CE4">
        <w:rPr>
          <w:sz w:val="24"/>
        </w:rPr>
        <w:t>.</w:t>
      </w:r>
    </w:p>
    <w:p w14:paraId="2D81D1DD" w14:textId="65667381" w:rsidR="00FC6576" w:rsidRPr="00ED1CE4" w:rsidRDefault="00FC6576" w:rsidP="00FC6576">
      <w:pPr>
        <w:pStyle w:val="Heading2"/>
        <w:tabs>
          <w:tab w:val="clear" w:pos="720"/>
          <w:tab w:val="num" w:pos="862"/>
        </w:tabs>
        <w:overflowPunct w:val="0"/>
        <w:autoSpaceDE w:val="0"/>
        <w:autoSpaceDN w:val="0"/>
        <w:spacing w:after="120"/>
        <w:ind w:left="709" w:hanging="709"/>
        <w:textAlignment w:val="baseline"/>
        <w:rPr>
          <w:sz w:val="24"/>
        </w:rPr>
      </w:pPr>
      <w:r w:rsidRPr="00ED1CE4">
        <w:rPr>
          <w:sz w:val="24"/>
        </w:rPr>
        <w:t>They will be accredited by the following body</w:t>
      </w:r>
      <w:r w:rsidR="0014309A">
        <w:rPr>
          <w:sz w:val="24"/>
        </w:rPr>
        <w:t xml:space="preserve"> (or have a plan in place to become accredited by UKAS after Contract Award)</w:t>
      </w:r>
      <w:r w:rsidRPr="00ED1CE4">
        <w:rPr>
          <w:sz w:val="24"/>
        </w:rPr>
        <w:t>:</w:t>
      </w:r>
    </w:p>
    <w:p w14:paraId="685CD490" w14:textId="77777777" w:rsidR="00FC6576" w:rsidRPr="00ED1CE4" w:rsidRDefault="00FC6576" w:rsidP="00FC6576">
      <w:pPr>
        <w:pStyle w:val="Heading2"/>
        <w:numPr>
          <w:ilvl w:val="0"/>
          <w:numId w:val="0"/>
        </w:numPr>
        <w:overflowPunct w:val="0"/>
        <w:autoSpaceDE w:val="0"/>
        <w:autoSpaceDN w:val="0"/>
        <w:spacing w:after="120"/>
        <w:ind w:left="709"/>
        <w:textAlignment w:val="baseline"/>
        <w:rPr>
          <w:sz w:val="24"/>
        </w:rPr>
      </w:pPr>
      <w:r w:rsidRPr="00ED1CE4">
        <w:rPr>
          <w:sz w:val="24"/>
        </w:rPr>
        <w:t>United Kingdom Accreditation Service (UKAS)</w:t>
      </w:r>
    </w:p>
    <w:p w14:paraId="4C538AE1" w14:textId="79EE6177" w:rsidR="00FC6576" w:rsidRPr="00ED1CE4" w:rsidRDefault="000C6A56" w:rsidP="00FC6576">
      <w:pPr>
        <w:pStyle w:val="Heading2"/>
        <w:tabs>
          <w:tab w:val="clear" w:pos="720"/>
          <w:tab w:val="num" w:pos="862"/>
        </w:tabs>
        <w:overflowPunct w:val="0"/>
        <w:autoSpaceDE w:val="0"/>
        <w:autoSpaceDN w:val="0"/>
        <w:spacing w:after="120"/>
        <w:ind w:left="709" w:hanging="709"/>
        <w:textAlignment w:val="baseline"/>
        <w:rPr>
          <w:sz w:val="24"/>
        </w:rPr>
      </w:pPr>
      <w:r>
        <w:rPr>
          <w:sz w:val="24"/>
        </w:rPr>
        <w:t>UKAS will assess if they meet the following international</w:t>
      </w:r>
      <w:r w:rsidR="00FC6576" w:rsidRPr="00ED1CE4">
        <w:rPr>
          <w:sz w:val="24"/>
        </w:rPr>
        <w:t xml:space="preserve"> standards of skills:</w:t>
      </w:r>
    </w:p>
    <w:p w14:paraId="3C03A92A" w14:textId="77777777" w:rsidR="00FC6576" w:rsidRDefault="00FC6576" w:rsidP="00FC6576">
      <w:pPr>
        <w:pStyle w:val="Heading2"/>
        <w:numPr>
          <w:ilvl w:val="0"/>
          <w:numId w:val="42"/>
        </w:numPr>
        <w:overflowPunct w:val="0"/>
        <w:autoSpaceDE w:val="0"/>
        <w:autoSpaceDN w:val="0"/>
        <w:spacing w:after="120"/>
        <w:textAlignment w:val="baseline"/>
        <w:rPr>
          <w:sz w:val="24"/>
        </w:rPr>
      </w:pPr>
      <w:r w:rsidRPr="00ED1CE4">
        <w:rPr>
          <w:sz w:val="24"/>
        </w:rPr>
        <w:t xml:space="preserve">ISO/IEC 17024:2012 – </w:t>
      </w:r>
      <w:proofErr w:type="gramStart"/>
      <w:r w:rsidRPr="00ED1CE4">
        <w:rPr>
          <w:sz w:val="24"/>
        </w:rPr>
        <w:t>people;</w:t>
      </w:r>
      <w:proofErr w:type="gramEnd"/>
    </w:p>
    <w:p w14:paraId="737D7869" w14:textId="7E49FA27" w:rsidR="00FC6576" w:rsidRDefault="00FC6576" w:rsidP="00FC6576">
      <w:pPr>
        <w:pStyle w:val="Heading2"/>
        <w:numPr>
          <w:ilvl w:val="0"/>
          <w:numId w:val="42"/>
        </w:numPr>
        <w:overflowPunct w:val="0"/>
        <w:autoSpaceDE w:val="0"/>
        <w:autoSpaceDN w:val="0"/>
        <w:spacing w:after="120"/>
        <w:textAlignment w:val="baseline"/>
        <w:rPr>
          <w:sz w:val="24"/>
        </w:rPr>
      </w:pPr>
      <w:r w:rsidRPr="00ED1CE4">
        <w:rPr>
          <w:sz w:val="24"/>
        </w:rPr>
        <w:t>BS ISO/IEC 17065:2012 – product/process</w:t>
      </w:r>
    </w:p>
    <w:p w14:paraId="3E8C5B44" w14:textId="7CB3547D" w:rsidR="005C2A84" w:rsidRPr="001A45DF" w:rsidRDefault="005C2A84" w:rsidP="00FC6576">
      <w:pPr>
        <w:pStyle w:val="Heading2"/>
        <w:numPr>
          <w:ilvl w:val="0"/>
          <w:numId w:val="0"/>
        </w:numPr>
        <w:spacing w:after="120"/>
        <w:ind w:left="709"/>
        <w:rPr>
          <w:sz w:val="24"/>
          <w:szCs w:val="24"/>
          <w:highlight w:val="yellow"/>
        </w:rPr>
      </w:pPr>
    </w:p>
    <w:p w14:paraId="533C7A5A"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28" w:name="_Toc368573037"/>
      <w:bookmarkStart w:id="29" w:name="_Toc113641451"/>
      <w:r w:rsidRPr="001A45DF">
        <w:rPr>
          <w:rFonts w:cs="Arial"/>
          <w:sz w:val="32"/>
          <w:szCs w:val="32"/>
        </w:rPr>
        <w:t>PRICE</w:t>
      </w:r>
      <w:bookmarkEnd w:id="28"/>
      <w:bookmarkEnd w:id="29"/>
    </w:p>
    <w:p w14:paraId="522EB186" w14:textId="26118BF0" w:rsidR="00671798" w:rsidRPr="00C016F2" w:rsidRDefault="007C13A9" w:rsidP="00C016F2">
      <w:pPr>
        <w:pStyle w:val="Heading2"/>
        <w:rPr>
          <w:sz w:val="24"/>
          <w:szCs w:val="24"/>
        </w:rPr>
      </w:pPr>
      <w:r w:rsidRPr="00C016F2">
        <w:rPr>
          <w:sz w:val="24"/>
          <w:szCs w:val="24"/>
        </w:rPr>
        <w:t>There is no</w:t>
      </w:r>
      <w:r w:rsidR="00C016F2" w:rsidRPr="00C016F2">
        <w:rPr>
          <w:sz w:val="24"/>
          <w:szCs w:val="24"/>
        </w:rPr>
        <w:t xml:space="preserve"> value in terms of spe</w:t>
      </w:r>
      <w:r w:rsidR="00202973">
        <w:rPr>
          <w:sz w:val="24"/>
          <w:szCs w:val="24"/>
        </w:rPr>
        <w:t>nd for</w:t>
      </w:r>
      <w:r w:rsidR="00C016F2" w:rsidRPr="00C016F2">
        <w:rPr>
          <w:sz w:val="24"/>
          <w:szCs w:val="24"/>
        </w:rPr>
        <w:t xml:space="preserve"> the Contracting Authority. This requirement will generate revenue for the Contracting Authority</w:t>
      </w:r>
      <w:r w:rsidR="003874E4">
        <w:rPr>
          <w:sz w:val="24"/>
          <w:szCs w:val="24"/>
        </w:rPr>
        <w:t xml:space="preserve"> and the Supplier. The % share of examination revenue is fixed (25% to the Authority 75% to the Supplier), and the overall £</w:t>
      </w:r>
      <w:r w:rsidR="00C016F2" w:rsidRPr="00C016F2">
        <w:rPr>
          <w:sz w:val="24"/>
          <w:szCs w:val="24"/>
        </w:rPr>
        <w:t xml:space="preserve"> income generated depends on the market demand for the training</w:t>
      </w:r>
      <w:r w:rsidR="003874E4">
        <w:rPr>
          <w:sz w:val="24"/>
          <w:szCs w:val="24"/>
        </w:rPr>
        <w:t>.</w:t>
      </w:r>
    </w:p>
    <w:p w14:paraId="6B1CA851"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0" w:name="_Toc368573038"/>
      <w:bookmarkStart w:id="31" w:name="_Toc113641452"/>
      <w:r w:rsidRPr="001A45DF">
        <w:rPr>
          <w:rFonts w:cs="Arial"/>
          <w:sz w:val="32"/>
          <w:szCs w:val="32"/>
        </w:rPr>
        <w:t>STAFF AND CUSTOMER SERVICE</w:t>
      </w:r>
      <w:bookmarkEnd w:id="30"/>
      <w:bookmarkEnd w:id="31"/>
    </w:p>
    <w:p w14:paraId="41AD2212" w14:textId="77777777" w:rsidR="00E65773" w:rsidRPr="00E65773" w:rsidRDefault="00E65773" w:rsidP="00E65773">
      <w:pPr>
        <w:pStyle w:val="Heading2"/>
        <w:spacing w:after="120"/>
        <w:ind w:left="709" w:hanging="709"/>
        <w:rPr>
          <w:sz w:val="24"/>
        </w:rPr>
      </w:pPr>
      <w:r w:rsidRPr="00E65773">
        <w:rPr>
          <w:sz w:val="24"/>
        </w:rPr>
        <w:t xml:space="preserve">The Authority requires the successful Supplier to provide a sufficient level of resources throughout the duration of the Agreement </w:t>
      </w:r>
      <w:proofErr w:type="gramStart"/>
      <w:r w:rsidRPr="00E65773">
        <w:rPr>
          <w:sz w:val="24"/>
        </w:rPr>
        <w:t>in order to</w:t>
      </w:r>
      <w:proofErr w:type="gramEnd"/>
      <w:r w:rsidRPr="00E65773">
        <w:rPr>
          <w:sz w:val="24"/>
        </w:rPr>
        <w:t xml:space="preserve"> consistently deliver a satisfactory quality of service to all Parties.</w:t>
      </w:r>
    </w:p>
    <w:p w14:paraId="2A00F19E" w14:textId="77777777" w:rsidR="00E65773" w:rsidRPr="00E65773" w:rsidRDefault="00E65773" w:rsidP="00E65773">
      <w:pPr>
        <w:pStyle w:val="Heading2"/>
        <w:spacing w:after="120"/>
        <w:ind w:left="709" w:hanging="709"/>
        <w:rPr>
          <w:sz w:val="24"/>
        </w:rPr>
      </w:pPr>
      <w:r w:rsidRPr="00E65773">
        <w:rPr>
          <w:sz w:val="24"/>
        </w:rPr>
        <w:t>Supplier’s staff assigned to Agreement shall have the relevant competence and experience to deliver the contract.</w:t>
      </w:r>
    </w:p>
    <w:p w14:paraId="01421584" w14:textId="77777777" w:rsidR="00E65773" w:rsidRPr="00E65773" w:rsidRDefault="00E65773" w:rsidP="00E65773">
      <w:pPr>
        <w:pStyle w:val="Heading2"/>
        <w:spacing w:after="120"/>
        <w:ind w:left="709" w:hanging="709"/>
        <w:rPr>
          <w:sz w:val="24"/>
        </w:rPr>
      </w:pPr>
      <w:r w:rsidRPr="00E65773">
        <w:rPr>
          <w:sz w:val="24"/>
        </w:rPr>
        <w:lastRenderedPageBreak/>
        <w:t xml:space="preserve">The Supplier shall ensure that staff understand the Authority’s vision requirements and objectives and will provide excellent customer service to the Authority throughout the duration of the Agreement. </w:t>
      </w:r>
    </w:p>
    <w:p w14:paraId="771088D2" w14:textId="77777777" w:rsidR="00E65773" w:rsidRPr="001A45DF" w:rsidRDefault="00E65773" w:rsidP="000C6A56">
      <w:pPr>
        <w:pStyle w:val="Heading2"/>
        <w:numPr>
          <w:ilvl w:val="0"/>
          <w:numId w:val="0"/>
        </w:numPr>
        <w:spacing w:after="120"/>
        <w:ind w:left="709"/>
        <w:rPr>
          <w:sz w:val="24"/>
          <w:szCs w:val="24"/>
        </w:rPr>
      </w:pPr>
    </w:p>
    <w:p w14:paraId="629F567D" w14:textId="77777777" w:rsidR="00FE18AC" w:rsidRPr="001A45DF" w:rsidRDefault="00FE18AC"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2" w:name="_Toc368573039"/>
      <w:bookmarkStart w:id="33" w:name="_Toc113641453"/>
      <w:r w:rsidRPr="001A45DF">
        <w:rPr>
          <w:rFonts w:cs="Arial"/>
          <w:sz w:val="32"/>
          <w:szCs w:val="32"/>
        </w:rPr>
        <w:t>service levels and performance</w:t>
      </w:r>
      <w:bookmarkEnd w:id="32"/>
      <w:bookmarkEnd w:id="33"/>
    </w:p>
    <w:p w14:paraId="15C5F233" w14:textId="294069E1" w:rsidR="00671798" w:rsidRPr="001A45DF" w:rsidRDefault="00FE18AC">
      <w:pPr>
        <w:pStyle w:val="Heading2"/>
        <w:tabs>
          <w:tab w:val="clear" w:pos="720"/>
          <w:tab w:val="num" w:pos="132"/>
          <w:tab w:val="num" w:pos="862"/>
        </w:tabs>
        <w:overflowPunct w:val="0"/>
        <w:autoSpaceDE w:val="0"/>
        <w:autoSpaceDN w:val="0"/>
        <w:spacing w:after="120"/>
        <w:ind w:left="709" w:hanging="709"/>
        <w:textAlignment w:val="baseline"/>
        <w:rPr>
          <w:sz w:val="24"/>
          <w:szCs w:val="24"/>
        </w:rPr>
      </w:pPr>
      <w:r w:rsidRPr="001A45DF">
        <w:rPr>
          <w:sz w:val="24"/>
          <w:szCs w:val="24"/>
        </w:rPr>
        <w:t>The Authority will measure the quality of the Supplier’s delivery by:</w:t>
      </w:r>
    </w:p>
    <w:p w14:paraId="65E93A82" w14:textId="68832D26" w:rsidR="00671798" w:rsidRPr="001A45DF" w:rsidRDefault="00671798" w:rsidP="00024767">
      <w:pPr>
        <w:pStyle w:val="Heading3"/>
        <w:numPr>
          <w:ilvl w:val="0"/>
          <w:numId w:val="0"/>
        </w:numPr>
        <w:spacing w:after="120"/>
        <w:ind w:left="720"/>
        <w:rPr>
          <w:sz w:val="24"/>
          <w:szCs w:val="24"/>
        </w:rPr>
      </w:pPr>
    </w:p>
    <w:tbl>
      <w:tblPr>
        <w:tblStyle w:val="GridTable4"/>
        <w:tblW w:w="9428" w:type="dxa"/>
        <w:tblLook w:val="04A0" w:firstRow="1" w:lastRow="0" w:firstColumn="1" w:lastColumn="0" w:noHBand="0" w:noVBand="1"/>
      </w:tblPr>
      <w:tblGrid>
        <w:gridCol w:w="1181"/>
        <w:gridCol w:w="4356"/>
        <w:gridCol w:w="3891"/>
      </w:tblGrid>
      <w:tr w:rsidR="00E65773" w:rsidRPr="00376425" w14:paraId="75D062CC" w14:textId="77777777" w:rsidTr="55249E97">
        <w:trPr>
          <w:cnfStyle w:val="100000000000" w:firstRow="1" w:lastRow="0" w:firstColumn="0" w:lastColumn="0" w:oddVBand="0" w:evenVBand="0" w:oddHBand="0"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47C6746C" w14:textId="77777777" w:rsidR="00E65773" w:rsidRPr="00376425" w:rsidRDefault="00E65773" w:rsidP="00BA3C82">
            <w:pPr>
              <w:pStyle w:val="Heading2"/>
              <w:numPr>
                <w:ilvl w:val="0"/>
                <w:numId w:val="0"/>
              </w:numPr>
              <w:jc w:val="center"/>
              <w:outlineLvl w:val="1"/>
              <w:rPr>
                <w:lang w:eastAsia="en-GB"/>
              </w:rPr>
            </w:pPr>
          </w:p>
        </w:tc>
        <w:tc>
          <w:tcPr>
            <w:tcW w:w="4356" w:type="dxa"/>
            <w:vAlign w:val="center"/>
          </w:tcPr>
          <w:p w14:paraId="236D3B76" w14:textId="77777777" w:rsidR="00E65773" w:rsidRPr="00376425" w:rsidRDefault="00E65773" w:rsidP="00BA3C82">
            <w:pPr>
              <w:pStyle w:val="Heading2"/>
              <w:numPr>
                <w:ilvl w:val="0"/>
                <w:numId w:val="0"/>
              </w:numPr>
              <w:jc w:val="center"/>
              <w:outlineLvl w:val="1"/>
              <w:cnfStyle w:val="100000000000" w:firstRow="1" w:lastRow="0" w:firstColumn="0" w:lastColumn="0" w:oddVBand="0" w:evenVBand="0" w:oddHBand="0" w:evenHBand="0" w:firstRowFirstColumn="0" w:firstRowLastColumn="0" w:lastRowFirstColumn="0" w:lastRowLastColumn="0"/>
              <w:rPr>
                <w:lang w:eastAsia="en-GB"/>
              </w:rPr>
            </w:pPr>
            <w:r w:rsidRPr="00376425">
              <w:rPr>
                <w:lang w:eastAsia="en-GB"/>
              </w:rPr>
              <w:t>Service Level Performance Criterion</w:t>
            </w:r>
          </w:p>
        </w:tc>
        <w:tc>
          <w:tcPr>
            <w:tcW w:w="3891" w:type="dxa"/>
            <w:vAlign w:val="center"/>
          </w:tcPr>
          <w:p w14:paraId="308EEABF" w14:textId="77777777" w:rsidR="00E65773" w:rsidRPr="00376425" w:rsidRDefault="00E65773" w:rsidP="00BA3C82">
            <w:pPr>
              <w:pStyle w:val="Heading2"/>
              <w:numPr>
                <w:ilvl w:val="0"/>
                <w:numId w:val="0"/>
              </w:numPr>
              <w:jc w:val="center"/>
              <w:outlineLvl w:val="1"/>
              <w:cnfStyle w:val="100000000000" w:firstRow="1" w:lastRow="0" w:firstColumn="0" w:lastColumn="0" w:oddVBand="0" w:evenVBand="0" w:oddHBand="0" w:evenHBand="0" w:firstRowFirstColumn="0" w:firstRowLastColumn="0" w:lastRowFirstColumn="0" w:lastRowLastColumn="0"/>
              <w:rPr>
                <w:lang w:eastAsia="en-GB"/>
              </w:rPr>
            </w:pPr>
            <w:r w:rsidRPr="00376425">
              <w:rPr>
                <w:lang w:eastAsia="en-GB"/>
              </w:rPr>
              <w:t>Service Level Performance Measure</w:t>
            </w:r>
          </w:p>
        </w:tc>
      </w:tr>
      <w:tr w:rsidR="00E65773" w:rsidRPr="00376425" w14:paraId="348AFCC2" w14:textId="77777777" w:rsidTr="55249E97">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66B1BE7" w14:textId="77777777" w:rsidR="00E65773" w:rsidRPr="00376425" w:rsidRDefault="00E65773" w:rsidP="00BA3C82">
            <w:pPr>
              <w:pStyle w:val="Heading2"/>
              <w:numPr>
                <w:ilvl w:val="0"/>
                <w:numId w:val="0"/>
              </w:numPr>
              <w:jc w:val="center"/>
              <w:outlineLvl w:val="1"/>
              <w:rPr>
                <w:b w:val="0"/>
                <w:color w:val="000000" w:themeColor="text1"/>
                <w:lang w:eastAsia="en-GB"/>
              </w:rPr>
            </w:pPr>
            <w:r w:rsidRPr="00376425">
              <w:rPr>
                <w:b w:val="0"/>
                <w:color w:val="000000" w:themeColor="text1"/>
                <w:lang w:eastAsia="en-GB"/>
              </w:rPr>
              <w:t>1</w:t>
            </w:r>
          </w:p>
        </w:tc>
        <w:tc>
          <w:tcPr>
            <w:tcW w:w="4356" w:type="dxa"/>
            <w:vAlign w:val="center"/>
          </w:tcPr>
          <w:p w14:paraId="661A470E" w14:textId="54C674FC" w:rsidR="00E65773" w:rsidRPr="00376425" w:rsidRDefault="3E3277B3" w:rsidP="00BA3C82">
            <w:pPr>
              <w:pStyle w:val="Heading2"/>
              <w:numPr>
                <w:ilvl w:val="1"/>
                <w:numId w:val="0"/>
              </w:numPr>
              <w:jc w:val="center"/>
              <w:outlineLvl w:val="1"/>
              <w:cnfStyle w:val="000000100000" w:firstRow="0" w:lastRow="0" w:firstColumn="0" w:lastColumn="0" w:oddVBand="0" w:evenVBand="0" w:oddHBand="1" w:evenHBand="0" w:firstRowFirstColumn="0" w:firstRowLastColumn="0" w:lastRowFirstColumn="0" w:lastRowLastColumn="0"/>
              <w:rPr>
                <w:color w:val="000000" w:themeColor="text1"/>
                <w:lang w:eastAsia="en-GB"/>
              </w:rPr>
            </w:pPr>
            <w:r w:rsidRPr="55249E97">
              <w:rPr>
                <w:color w:val="000000" w:themeColor="text1"/>
                <w:lang w:eastAsia="en-GB"/>
              </w:rPr>
              <w:t>Quality S</w:t>
            </w:r>
            <w:r w:rsidR="78827430" w:rsidRPr="55249E97">
              <w:rPr>
                <w:color w:val="000000" w:themeColor="text1"/>
                <w:lang w:eastAsia="en-GB"/>
              </w:rPr>
              <w:t>urvey</w:t>
            </w:r>
          </w:p>
        </w:tc>
        <w:tc>
          <w:tcPr>
            <w:tcW w:w="3891" w:type="dxa"/>
            <w:vAlign w:val="center"/>
          </w:tcPr>
          <w:p w14:paraId="1924D1A2" w14:textId="53666873" w:rsidR="00E65773" w:rsidRPr="00376425" w:rsidRDefault="00E65773" w:rsidP="00BA3C82">
            <w:pPr>
              <w:pStyle w:val="Heading2"/>
              <w:numPr>
                <w:ilvl w:val="0"/>
                <w:numId w:val="0"/>
              </w:numPr>
              <w:jc w:val="center"/>
              <w:outlineLvl w:val="1"/>
              <w:cnfStyle w:val="000000100000" w:firstRow="0" w:lastRow="0" w:firstColumn="0" w:lastColumn="0" w:oddVBand="0" w:evenVBand="0" w:oddHBand="1" w:evenHBand="0" w:firstRowFirstColumn="0" w:firstRowLastColumn="0" w:lastRowFirstColumn="0" w:lastRowLastColumn="0"/>
              <w:rPr>
                <w:color w:val="000000" w:themeColor="text1"/>
                <w:lang w:eastAsia="en-GB"/>
              </w:rPr>
            </w:pPr>
            <w:r>
              <w:rPr>
                <w:color w:val="000000" w:themeColor="text1"/>
                <w:lang w:eastAsia="en-GB"/>
              </w:rPr>
              <w:t>The r</w:t>
            </w:r>
            <w:r w:rsidRPr="00376425">
              <w:rPr>
                <w:color w:val="000000" w:themeColor="text1"/>
                <w:lang w:eastAsia="en-GB"/>
              </w:rPr>
              <w:t xml:space="preserve">esults of </w:t>
            </w:r>
            <w:r>
              <w:rPr>
                <w:color w:val="000000" w:themeColor="text1"/>
                <w:lang w:eastAsia="en-GB"/>
              </w:rPr>
              <w:t xml:space="preserve">customer </w:t>
            </w:r>
            <w:r w:rsidRPr="00376425">
              <w:rPr>
                <w:color w:val="000000" w:themeColor="text1"/>
                <w:lang w:eastAsia="en-GB"/>
              </w:rPr>
              <w:t>satisfaction surveys from both individual candidates and t</w:t>
            </w:r>
            <w:r w:rsidR="00A20E72">
              <w:rPr>
                <w:color w:val="000000" w:themeColor="text1"/>
                <w:lang w:eastAsia="en-GB"/>
              </w:rPr>
              <w:t>raining organisations.</w:t>
            </w:r>
            <w:r w:rsidR="00A85CF5">
              <w:rPr>
                <w:color w:val="000000" w:themeColor="text1"/>
                <w:lang w:eastAsia="en-GB"/>
              </w:rPr>
              <w:t xml:space="preserve"> Targets to be agreed by JMB.</w:t>
            </w:r>
          </w:p>
        </w:tc>
      </w:tr>
      <w:tr w:rsidR="00E65773" w:rsidRPr="00376425" w14:paraId="492A8BA0" w14:textId="77777777" w:rsidTr="55249E97">
        <w:trPr>
          <w:trHeight w:val="987"/>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30F6E33" w14:textId="77777777" w:rsidR="00E65773" w:rsidRPr="00376425" w:rsidRDefault="00E65773" w:rsidP="00BA3C82">
            <w:pPr>
              <w:pStyle w:val="Heading2"/>
              <w:numPr>
                <w:ilvl w:val="0"/>
                <w:numId w:val="0"/>
              </w:numPr>
              <w:jc w:val="center"/>
              <w:outlineLvl w:val="1"/>
              <w:rPr>
                <w:b w:val="0"/>
                <w:color w:val="000000" w:themeColor="text1"/>
                <w:lang w:eastAsia="en-GB"/>
              </w:rPr>
            </w:pPr>
            <w:r w:rsidRPr="00376425">
              <w:rPr>
                <w:b w:val="0"/>
                <w:color w:val="000000" w:themeColor="text1"/>
                <w:lang w:eastAsia="en-GB"/>
              </w:rPr>
              <w:t>2</w:t>
            </w:r>
          </w:p>
        </w:tc>
        <w:tc>
          <w:tcPr>
            <w:tcW w:w="4356" w:type="dxa"/>
            <w:vAlign w:val="center"/>
          </w:tcPr>
          <w:p w14:paraId="12037E8F" w14:textId="77777777" w:rsidR="00E65773" w:rsidRPr="00376425" w:rsidRDefault="00E65773" w:rsidP="00BA3C82">
            <w:pPr>
              <w:pStyle w:val="Heading2"/>
              <w:numPr>
                <w:ilvl w:val="0"/>
                <w:numId w:val="0"/>
              </w:numPr>
              <w:jc w:val="center"/>
              <w:outlineLvl w:val="1"/>
              <w:cnfStyle w:val="000000000000" w:firstRow="0" w:lastRow="0" w:firstColumn="0" w:lastColumn="0" w:oddVBand="0" w:evenVBand="0" w:oddHBand="0" w:evenHBand="0" w:firstRowFirstColumn="0" w:firstRowLastColumn="0" w:lastRowFirstColumn="0" w:lastRowLastColumn="0"/>
              <w:rPr>
                <w:color w:val="000000" w:themeColor="text1"/>
                <w:lang w:eastAsia="en-GB"/>
              </w:rPr>
            </w:pPr>
            <w:r w:rsidRPr="00376425">
              <w:rPr>
                <w:color w:val="000000" w:themeColor="text1"/>
                <w:lang w:eastAsia="en-GB"/>
              </w:rPr>
              <w:t>Delivery of accreditation</w:t>
            </w:r>
          </w:p>
        </w:tc>
        <w:tc>
          <w:tcPr>
            <w:tcW w:w="3891" w:type="dxa"/>
            <w:vAlign w:val="center"/>
          </w:tcPr>
          <w:p w14:paraId="2B1AFA3C" w14:textId="77777777" w:rsidR="00E65773" w:rsidRDefault="00E65773" w:rsidP="00BA3C82">
            <w:pPr>
              <w:pStyle w:val="Heading2"/>
              <w:numPr>
                <w:ilvl w:val="0"/>
                <w:numId w:val="0"/>
              </w:numPr>
              <w:ind w:left="360"/>
              <w:jc w:val="center"/>
              <w:outlineLvl w:val="1"/>
              <w:cnfStyle w:val="000000000000" w:firstRow="0" w:lastRow="0" w:firstColumn="0" w:lastColumn="0" w:oddVBand="0" w:evenVBand="0" w:oddHBand="0" w:evenHBand="0" w:firstRowFirstColumn="0" w:firstRowLastColumn="0" w:lastRowFirstColumn="0" w:lastRowLastColumn="0"/>
              <w:rPr>
                <w:color w:val="000000" w:themeColor="text1"/>
                <w:lang w:eastAsia="en-GB"/>
              </w:rPr>
            </w:pPr>
            <w:r>
              <w:rPr>
                <w:color w:val="000000" w:themeColor="text1"/>
                <w:lang w:eastAsia="en-GB"/>
              </w:rPr>
              <w:t>S</w:t>
            </w:r>
            <w:r w:rsidRPr="00376425">
              <w:rPr>
                <w:color w:val="000000" w:themeColor="text1"/>
                <w:lang w:eastAsia="en-GB"/>
              </w:rPr>
              <w:t xml:space="preserve">ignificant growth in the numbers of courses and accreditations </w:t>
            </w:r>
            <w:r>
              <w:rPr>
                <w:color w:val="000000" w:themeColor="text1"/>
                <w:lang w:eastAsia="en-GB"/>
              </w:rPr>
              <w:t>are</w:t>
            </w:r>
            <w:r w:rsidRPr="00376425">
              <w:rPr>
                <w:color w:val="000000" w:themeColor="text1"/>
                <w:lang w:eastAsia="en-GB"/>
              </w:rPr>
              <w:t xml:space="preserve"> expected</w:t>
            </w:r>
            <w:r>
              <w:rPr>
                <w:color w:val="000000" w:themeColor="text1"/>
                <w:lang w:eastAsia="en-GB"/>
              </w:rPr>
              <w:t xml:space="preserve"> in the UK and</w:t>
            </w:r>
            <w:r w:rsidRPr="00376425">
              <w:rPr>
                <w:color w:val="000000" w:themeColor="text1"/>
                <w:lang w:eastAsia="en-GB"/>
              </w:rPr>
              <w:t xml:space="preserve"> Internationally. The target to be a</w:t>
            </w:r>
            <w:r>
              <w:rPr>
                <w:color w:val="000000" w:themeColor="text1"/>
                <w:lang w:eastAsia="en-GB"/>
              </w:rPr>
              <w:t>greed</w:t>
            </w:r>
            <w:r w:rsidRPr="00376425">
              <w:rPr>
                <w:color w:val="000000" w:themeColor="text1"/>
                <w:lang w:eastAsia="en-GB"/>
              </w:rPr>
              <w:t xml:space="preserve"> </w:t>
            </w:r>
            <w:r>
              <w:rPr>
                <w:color w:val="000000" w:themeColor="text1"/>
                <w:lang w:eastAsia="en-GB"/>
              </w:rPr>
              <w:t xml:space="preserve">by </w:t>
            </w:r>
            <w:r w:rsidRPr="00376425">
              <w:rPr>
                <w:color w:val="000000" w:themeColor="text1"/>
                <w:lang w:eastAsia="en-GB"/>
              </w:rPr>
              <w:t xml:space="preserve">the </w:t>
            </w:r>
            <w:r>
              <w:rPr>
                <w:color w:val="000000" w:themeColor="text1"/>
                <w:lang w:eastAsia="en-GB"/>
              </w:rPr>
              <w:t>Supplier</w:t>
            </w:r>
            <w:r w:rsidRPr="00376425">
              <w:rPr>
                <w:color w:val="000000" w:themeColor="text1"/>
                <w:lang w:eastAsia="en-GB"/>
              </w:rPr>
              <w:t xml:space="preserve"> and the Authority at the meetings of the JMB.</w:t>
            </w:r>
          </w:p>
          <w:p w14:paraId="44FE91CF" w14:textId="77777777" w:rsidR="00E65773" w:rsidRDefault="00E65773" w:rsidP="00BA3C82">
            <w:pPr>
              <w:jc w:val="center"/>
              <w:cnfStyle w:val="000000000000" w:firstRow="0" w:lastRow="0" w:firstColumn="0" w:lastColumn="0" w:oddVBand="0" w:evenVBand="0" w:oddHBand="0" w:evenHBand="0" w:firstRowFirstColumn="0" w:firstRowLastColumn="0" w:lastRowFirstColumn="0" w:lastRowLastColumn="0"/>
              <w:rPr>
                <w:lang w:eastAsia="en-GB"/>
              </w:rPr>
            </w:pPr>
          </w:p>
          <w:p w14:paraId="752C8D02" w14:textId="7A0CF507" w:rsidR="00E65773" w:rsidRPr="008F6A92" w:rsidRDefault="00E65773" w:rsidP="00BA3C82">
            <w:pPr>
              <w:pStyle w:val="Heading2"/>
              <w:numPr>
                <w:ilvl w:val="0"/>
                <w:numId w:val="0"/>
              </w:numPr>
              <w:ind w:left="360"/>
              <w:jc w:val="center"/>
              <w:outlineLvl w:val="1"/>
              <w:cnfStyle w:val="000000000000" w:firstRow="0" w:lastRow="0" w:firstColumn="0" w:lastColumn="0" w:oddVBand="0" w:evenVBand="0" w:oddHBand="0" w:evenHBand="0" w:firstRowFirstColumn="0" w:firstRowLastColumn="0" w:lastRowFirstColumn="0" w:lastRowLastColumn="0"/>
              <w:rPr>
                <w:color w:val="000000" w:themeColor="text1"/>
                <w:lang w:eastAsia="en-GB"/>
              </w:rPr>
            </w:pPr>
          </w:p>
        </w:tc>
      </w:tr>
      <w:tr w:rsidR="00E65773" w:rsidRPr="00376425" w14:paraId="77BAB6B5" w14:textId="77777777" w:rsidTr="55249E97">
        <w:trPr>
          <w:cnfStyle w:val="000000100000" w:firstRow="0" w:lastRow="0" w:firstColumn="0" w:lastColumn="0" w:oddVBand="0" w:evenVBand="0" w:oddHBand="1" w:evenHBand="0" w:firstRowFirstColumn="0" w:firstRowLastColumn="0" w:lastRowFirstColumn="0" w:lastRowLastColumn="0"/>
          <w:trHeight w:val="987"/>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003B4362" w14:textId="77777777" w:rsidR="00E65773" w:rsidRPr="00376425" w:rsidRDefault="00E65773" w:rsidP="00BA3C82">
            <w:pPr>
              <w:pStyle w:val="Heading2"/>
              <w:numPr>
                <w:ilvl w:val="0"/>
                <w:numId w:val="0"/>
              </w:numPr>
              <w:jc w:val="center"/>
              <w:outlineLvl w:val="1"/>
              <w:rPr>
                <w:b w:val="0"/>
                <w:color w:val="000000" w:themeColor="text1"/>
                <w:lang w:eastAsia="en-GB"/>
              </w:rPr>
            </w:pPr>
            <w:r w:rsidRPr="00376425">
              <w:rPr>
                <w:b w:val="0"/>
                <w:color w:val="000000" w:themeColor="text1"/>
                <w:lang w:eastAsia="en-GB"/>
              </w:rPr>
              <w:t>3</w:t>
            </w:r>
          </w:p>
        </w:tc>
        <w:tc>
          <w:tcPr>
            <w:tcW w:w="4356" w:type="dxa"/>
            <w:vAlign w:val="center"/>
          </w:tcPr>
          <w:p w14:paraId="7C94BA4C" w14:textId="77777777" w:rsidR="00E65773" w:rsidRPr="00376425" w:rsidRDefault="00E65773" w:rsidP="00BA3C82">
            <w:pPr>
              <w:pStyle w:val="Heading2"/>
              <w:numPr>
                <w:ilvl w:val="0"/>
                <w:numId w:val="0"/>
              </w:numPr>
              <w:jc w:val="center"/>
              <w:outlineLvl w:val="1"/>
              <w:cnfStyle w:val="000000100000" w:firstRow="0" w:lastRow="0" w:firstColumn="0" w:lastColumn="0" w:oddVBand="0" w:evenVBand="0" w:oddHBand="1" w:evenHBand="0" w:firstRowFirstColumn="0" w:firstRowLastColumn="0" w:lastRowFirstColumn="0" w:lastRowLastColumn="0"/>
              <w:rPr>
                <w:color w:val="000000" w:themeColor="text1"/>
                <w:lang w:eastAsia="en-GB"/>
              </w:rPr>
            </w:pPr>
            <w:r w:rsidRPr="00376425">
              <w:rPr>
                <w:color w:val="000000" w:themeColor="text1"/>
                <w:lang w:eastAsia="en-GB"/>
              </w:rPr>
              <w:t>Delivery of examinations</w:t>
            </w:r>
          </w:p>
        </w:tc>
        <w:tc>
          <w:tcPr>
            <w:tcW w:w="3891" w:type="dxa"/>
            <w:vAlign w:val="center"/>
          </w:tcPr>
          <w:p w14:paraId="70BC028C" w14:textId="77777777" w:rsidR="00E65773" w:rsidRPr="00376425" w:rsidRDefault="00E65773" w:rsidP="00BA3C82">
            <w:pPr>
              <w:pStyle w:val="Heading2"/>
              <w:numPr>
                <w:ilvl w:val="0"/>
                <w:numId w:val="0"/>
              </w:numPr>
              <w:jc w:val="center"/>
              <w:outlineLvl w:val="1"/>
              <w:cnfStyle w:val="000000100000" w:firstRow="0" w:lastRow="0" w:firstColumn="0" w:lastColumn="0" w:oddVBand="0" w:evenVBand="0" w:oddHBand="1" w:evenHBand="0" w:firstRowFirstColumn="0" w:firstRowLastColumn="0" w:lastRowFirstColumn="0" w:lastRowLastColumn="0"/>
              <w:rPr>
                <w:color w:val="000000" w:themeColor="text1"/>
                <w:lang w:eastAsia="en-GB"/>
              </w:rPr>
            </w:pPr>
            <w:r w:rsidRPr="00BB2E4B">
              <w:rPr>
                <w:color w:val="000000" w:themeColor="text1"/>
                <w:lang w:eastAsia="en-GB"/>
              </w:rPr>
              <w:t>Number of examinations quarterly.</w:t>
            </w:r>
          </w:p>
        </w:tc>
      </w:tr>
      <w:tr w:rsidR="00E65773" w:rsidRPr="00376425" w14:paraId="2C00CCF9" w14:textId="77777777" w:rsidTr="55249E97">
        <w:trPr>
          <w:trHeight w:val="987"/>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510035B7" w14:textId="77777777" w:rsidR="00E65773" w:rsidRPr="00376425" w:rsidRDefault="00E65773" w:rsidP="00BA3C82">
            <w:pPr>
              <w:pStyle w:val="Heading2"/>
              <w:numPr>
                <w:ilvl w:val="0"/>
                <w:numId w:val="0"/>
              </w:numPr>
              <w:jc w:val="center"/>
              <w:outlineLvl w:val="1"/>
              <w:rPr>
                <w:b w:val="0"/>
                <w:color w:val="000000" w:themeColor="text1"/>
                <w:lang w:eastAsia="en-GB"/>
              </w:rPr>
            </w:pPr>
            <w:r w:rsidRPr="00376425">
              <w:rPr>
                <w:b w:val="0"/>
                <w:color w:val="000000" w:themeColor="text1"/>
                <w:lang w:eastAsia="en-GB"/>
              </w:rPr>
              <w:t>4</w:t>
            </w:r>
          </w:p>
        </w:tc>
        <w:tc>
          <w:tcPr>
            <w:tcW w:w="4356" w:type="dxa"/>
            <w:vAlign w:val="center"/>
          </w:tcPr>
          <w:p w14:paraId="10197FFB" w14:textId="77777777" w:rsidR="00E65773" w:rsidRPr="00376425" w:rsidRDefault="00E65773" w:rsidP="00BA3C82">
            <w:pPr>
              <w:pStyle w:val="Heading2"/>
              <w:numPr>
                <w:ilvl w:val="0"/>
                <w:numId w:val="0"/>
              </w:numPr>
              <w:jc w:val="center"/>
              <w:outlineLvl w:val="1"/>
              <w:cnfStyle w:val="000000000000" w:firstRow="0" w:lastRow="0" w:firstColumn="0" w:lastColumn="0" w:oddVBand="0" w:evenVBand="0" w:oddHBand="0" w:evenHBand="0" w:firstRowFirstColumn="0" w:firstRowLastColumn="0" w:lastRowFirstColumn="0" w:lastRowLastColumn="0"/>
              <w:rPr>
                <w:color w:val="000000" w:themeColor="text1"/>
                <w:lang w:eastAsia="en-GB"/>
              </w:rPr>
            </w:pPr>
            <w:r w:rsidRPr="00376425">
              <w:rPr>
                <w:color w:val="000000" w:themeColor="text1"/>
                <w:lang w:eastAsia="en-GB"/>
              </w:rPr>
              <w:t>Accredited people</w:t>
            </w:r>
          </w:p>
        </w:tc>
        <w:tc>
          <w:tcPr>
            <w:tcW w:w="3891" w:type="dxa"/>
            <w:vAlign w:val="center"/>
          </w:tcPr>
          <w:p w14:paraId="3D4F7323" w14:textId="77777777" w:rsidR="00E65773" w:rsidRPr="00376425" w:rsidRDefault="00E65773" w:rsidP="00BA3C82">
            <w:pPr>
              <w:pStyle w:val="Heading2"/>
              <w:numPr>
                <w:ilvl w:val="0"/>
                <w:numId w:val="0"/>
              </w:numPr>
              <w:jc w:val="center"/>
              <w:outlineLvl w:val="1"/>
              <w:cnfStyle w:val="000000000000" w:firstRow="0" w:lastRow="0" w:firstColumn="0" w:lastColumn="0" w:oddVBand="0" w:evenVBand="0" w:oddHBand="0" w:evenHBand="0" w:firstRowFirstColumn="0" w:firstRowLastColumn="0" w:lastRowFirstColumn="0" w:lastRowLastColumn="0"/>
              <w:rPr>
                <w:color w:val="000000" w:themeColor="text1"/>
                <w:lang w:eastAsia="en-GB"/>
              </w:rPr>
            </w:pPr>
            <w:r w:rsidRPr="00BB2E4B">
              <w:rPr>
                <w:color w:val="000000" w:themeColor="text1"/>
                <w:lang w:eastAsia="en-GB"/>
              </w:rPr>
              <w:t xml:space="preserve">% </w:t>
            </w:r>
            <w:proofErr w:type="gramStart"/>
            <w:r w:rsidRPr="00BB2E4B">
              <w:rPr>
                <w:color w:val="000000" w:themeColor="text1"/>
                <w:lang w:eastAsia="en-GB"/>
              </w:rPr>
              <w:t>of</w:t>
            </w:r>
            <w:proofErr w:type="gramEnd"/>
            <w:r w:rsidRPr="00BB2E4B">
              <w:rPr>
                <w:color w:val="000000" w:themeColor="text1"/>
                <w:lang w:eastAsia="en-GB"/>
              </w:rPr>
              <w:t xml:space="preserve"> candidates trained quarterly</w:t>
            </w:r>
            <w:r>
              <w:rPr>
                <w:color w:val="000000" w:themeColor="text1"/>
                <w:lang w:eastAsia="en-GB"/>
              </w:rPr>
              <w:t>.</w:t>
            </w:r>
          </w:p>
        </w:tc>
      </w:tr>
      <w:tr w:rsidR="00E65773" w:rsidRPr="00376425" w14:paraId="03EC501F" w14:textId="77777777" w:rsidTr="55249E97">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35C43C55" w14:textId="77777777" w:rsidR="00E65773" w:rsidRPr="00376425" w:rsidRDefault="00E65773" w:rsidP="00BA3C82">
            <w:pPr>
              <w:pStyle w:val="Heading2"/>
              <w:numPr>
                <w:ilvl w:val="0"/>
                <w:numId w:val="0"/>
              </w:numPr>
              <w:jc w:val="center"/>
              <w:outlineLvl w:val="1"/>
              <w:rPr>
                <w:b w:val="0"/>
                <w:color w:val="000000" w:themeColor="text1"/>
                <w:lang w:eastAsia="en-GB"/>
              </w:rPr>
            </w:pPr>
            <w:r>
              <w:rPr>
                <w:b w:val="0"/>
                <w:color w:val="000000" w:themeColor="text1"/>
                <w:lang w:eastAsia="en-GB"/>
              </w:rPr>
              <w:t>5</w:t>
            </w:r>
          </w:p>
        </w:tc>
        <w:tc>
          <w:tcPr>
            <w:tcW w:w="4356" w:type="dxa"/>
            <w:vAlign w:val="center"/>
          </w:tcPr>
          <w:p w14:paraId="444B547B" w14:textId="77777777" w:rsidR="00E65773" w:rsidRPr="00376425" w:rsidRDefault="00E65773" w:rsidP="00BA3C82">
            <w:pPr>
              <w:pStyle w:val="Heading2"/>
              <w:numPr>
                <w:ilvl w:val="0"/>
                <w:numId w:val="0"/>
              </w:numPr>
              <w:jc w:val="center"/>
              <w:outlineLvl w:val="1"/>
              <w:cnfStyle w:val="000000100000" w:firstRow="0" w:lastRow="0" w:firstColumn="0" w:lastColumn="0" w:oddVBand="0" w:evenVBand="0" w:oddHBand="1" w:evenHBand="0" w:firstRowFirstColumn="0" w:firstRowLastColumn="0" w:lastRowFirstColumn="0" w:lastRowLastColumn="0"/>
              <w:rPr>
                <w:color w:val="000000" w:themeColor="text1"/>
                <w:lang w:eastAsia="en-GB"/>
              </w:rPr>
            </w:pPr>
            <w:r w:rsidRPr="00376425">
              <w:rPr>
                <w:color w:val="000000" w:themeColor="text1"/>
                <w:lang w:eastAsia="en-GB"/>
              </w:rPr>
              <w:t>Providing open quarterly reports</w:t>
            </w:r>
          </w:p>
        </w:tc>
        <w:tc>
          <w:tcPr>
            <w:tcW w:w="3891" w:type="dxa"/>
            <w:vAlign w:val="center"/>
          </w:tcPr>
          <w:p w14:paraId="18F4D717" w14:textId="77777777" w:rsidR="00E65773" w:rsidRPr="00376425" w:rsidRDefault="00E65773" w:rsidP="00BA3C82">
            <w:pPr>
              <w:pStyle w:val="Heading2"/>
              <w:numPr>
                <w:ilvl w:val="0"/>
                <w:numId w:val="0"/>
              </w:numPr>
              <w:jc w:val="center"/>
              <w:outlineLvl w:val="1"/>
              <w:cnfStyle w:val="000000100000" w:firstRow="0" w:lastRow="0" w:firstColumn="0" w:lastColumn="0" w:oddVBand="0" w:evenVBand="0" w:oddHBand="1" w:evenHBand="0" w:firstRowFirstColumn="0" w:firstRowLastColumn="0" w:lastRowFirstColumn="0" w:lastRowLastColumn="0"/>
              <w:rPr>
                <w:color w:val="000000" w:themeColor="text1"/>
                <w:lang w:eastAsia="en-GB"/>
              </w:rPr>
            </w:pPr>
            <w:r w:rsidRPr="00D67B53">
              <w:rPr>
                <w:color w:val="000000" w:themeColor="text1"/>
                <w:lang w:eastAsia="en-GB"/>
              </w:rPr>
              <w:t>Within two weeks prior to meetings of the JMB</w:t>
            </w:r>
            <w:r>
              <w:rPr>
                <w:color w:val="000000" w:themeColor="text1"/>
                <w:lang w:eastAsia="en-GB"/>
              </w:rPr>
              <w:t>.</w:t>
            </w:r>
          </w:p>
        </w:tc>
      </w:tr>
      <w:tr w:rsidR="00E65773" w:rsidRPr="00376425" w14:paraId="27968EDF" w14:textId="77777777" w:rsidTr="55249E97">
        <w:trPr>
          <w:trHeight w:val="460"/>
        </w:trPr>
        <w:tc>
          <w:tcPr>
            <w:cnfStyle w:val="001000000000" w:firstRow="0" w:lastRow="0" w:firstColumn="1" w:lastColumn="0" w:oddVBand="0" w:evenVBand="0" w:oddHBand="0" w:evenHBand="0" w:firstRowFirstColumn="0" w:firstRowLastColumn="0" w:lastRowFirstColumn="0" w:lastRowLastColumn="0"/>
            <w:tcW w:w="1181" w:type="dxa"/>
            <w:vAlign w:val="center"/>
          </w:tcPr>
          <w:p w14:paraId="1BCA62AC" w14:textId="77777777" w:rsidR="00E65773" w:rsidRPr="00376425" w:rsidRDefault="00E65773" w:rsidP="00BA3C82">
            <w:pPr>
              <w:pStyle w:val="Heading2"/>
              <w:numPr>
                <w:ilvl w:val="0"/>
                <w:numId w:val="0"/>
              </w:numPr>
              <w:jc w:val="center"/>
              <w:outlineLvl w:val="1"/>
              <w:rPr>
                <w:b w:val="0"/>
                <w:color w:val="000000" w:themeColor="text1"/>
                <w:lang w:eastAsia="en-GB"/>
              </w:rPr>
            </w:pPr>
            <w:r>
              <w:rPr>
                <w:b w:val="0"/>
                <w:color w:val="000000" w:themeColor="text1"/>
                <w:lang w:eastAsia="en-GB"/>
              </w:rPr>
              <w:t>6</w:t>
            </w:r>
          </w:p>
        </w:tc>
        <w:tc>
          <w:tcPr>
            <w:tcW w:w="4356" w:type="dxa"/>
            <w:vAlign w:val="center"/>
          </w:tcPr>
          <w:p w14:paraId="3E3816CF" w14:textId="77777777" w:rsidR="00E65773" w:rsidRPr="00376425" w:rsidRDefault="00E65773" w:rsidP="00BA3C82">
            <w:pPr>
              <w:pStyle w:val="Heading2"/>
              <w:numPr>
                <w:ilvl w:val="0"/>
                <w:numId w:val="0"/>
              </w:numPr>
              <w:jc w:val="center"/>
              <w:outlineLvl w:val="1"/>
              <w:cnfStyle w:val="000000000000" w:firstRow="0" w:lastRow="0" w:firstColumn="0" w:lastColumn="0" w:oddVBand="0" w:evenVBand="0" w:oddHBand="0" w:evenHBand="0" w:firstRowFirstColumn="0" w:firstRowLastColumn="0" w:lastRowFirstColumn="0" w:lastRowLastColumn="0"/>
              <w:rPr>
                <w:color w:val="000000" w:themeColor="text1"/>
                <w:lang w:eastAsia="en-GB"/>
              </w:rPr>
            </w:pPr>
            <w:r w:rsidRPr="00376425">
              <w:rPr>
                <w:color w:val="000000" w:themeColor="text1"/>
                <w:lang w:eastAsia="en-GB"/>
              </w:rPr>
              <w:t>Frequency of updates/communication</w:t>
            </w:r>
          </w:p>
        </w:tc>
        <w:tc>
          <w:tcPr>
            <w:tcW w:w="3891" w:type="dxa"/>
            <w:vAlign w:val="center"/>
          </w:tcPr>
          <w:p w14:paraId="08CFD121" w14:textId="77777777" w:rsidR="00E65773" w:rsidRPr="00376425" w:rsidRDefault="00E65773" w:rsidP="00BA3C82">
            <w:pPr>
              <w:pStyle w:val="Heading2"/>
              <w:numPr>
                <w:ilvl w:val="0"/>
                <w:numId w:val="0"/>
              </w:numPr>
              <w:jc w:val="center"/>
              <w:outlineLvl w:val="1"/>
              <w:cnfStyle w:val="000000000000" w:firstRow="0" w:lastRow="0" w:firstColumn="0" w:lastColumn="0" w:oddVBand="0" w:evenVBand="0" w:oddHBand="0" w:evenHBand="0" w:firstRowFirstColumn="0" w:firstRowLastColumn="0" w:lastRowFirstColumn="0" w:lastRowLastColumn="0"/>
              <w:rPr>
                <w:color w:val="000000" w:themeColor="text1"/>
                <w:lang w:eastAsia="en-GB"/>
              </w:rPr>
            </w:pPr>
            <w:r>
              <w:rPr>
                <w:color w:val="000000" w:themeColor="text1"/>
                <w:lang w:eastAsia="en-GB"/>
              </w:rPr>
              <w:t>Q</w:t>
            </w:r>
            <w:r w:rsidRPr="00BB2E4B">
              <w:rPr>
                <w:color w:val="000000" w:themeColor="text1"/>
                <w:lang w:eastAsia="en-GB"/>
              </w:rPr>
              <w:t>uarterly Joint Management Board meetings and provide such other communication and info</w:t>
            </w:r>
            <w:r>
              <w:rPr>
                <w:color w:val="000000" w:themeColor="text1"/>
                <w:lang w:eastAsia="en-GB"/>
              </w:rPr>
              <w:t xml:space="preserve">rmation to the Authority as may </w:t>
            </w:r>
            <w:r w:rsidRPr="00BB2E4B">
              <w:rPr>
                <w:color w:val="000000" w:themeColor="text1"/>
                <w:lang w:eastAsia="en-GB"/>
              </w:rPr>
              <w:t xml:space="preserve">reasonably be required from time to time to support </w:t>
            </w:r>
            <w:r>
              <w:rPr>
                <w:color w:val="000000" w:themeColor="text1"/>
                <w:lang w:eastAsia="en-GB"/>
              </w:rPr>
              <w:t xml:space="preserve">the </w:t>
            </w:r>
            <w:r w:rsidRPr="00BB2E4B">
              <w:rPr>
                <w:color w:val="000000" w:themeColor="text1"/>
                <w:lang w:eastAsia="en-GB"/>
              </w:rPr>
              <w:t>management of the contract and the Better Business Cases Programme</w:t>
            </w:r>
            <w:r>
              <w:rPr>
                <w:color w:val="000000" w:themeColor="text1"/>
                <w:lang w:eastAsia="en-GB"/>
              </w:rPr>
              <w:t>.</w:t>
            </w:r>
          </w:p>
        </w:tc>
      </w:tr>
    </w:tbl>
    <w:p w14:paraId="2E373C90" w14:textId="77777777" w:rsidR="003F626A" w:rsidRDefault="003F626A" w:rsidP="003F626A">
      <w:pPr>
        <w:pStyle w:val="Heading2"/>
        <w:numPr>
          <w:ilvl w:val="0"/>
          <w:numId w:val="0"/>
        </w:numPr>
        <w:ind w:left="720"/>
      </w:pPr>
    </w:p>
    <w:p w14:paraId="3F767EF8" w14:textId="19C77641" w:rsidR="00671798" w:rsidRPr="001A45DF" w:rsidRDefault="00FE18AC">
      <w:pPr>
        <w:pStyle w:val="Heading1"/>
        <w:spacing w:after="120"/>
        <w:rPr>
          <w:sz w:val="32"/>
          <w:szCs w:val="32"/>
        </w:rPr>
      </w:pPr>
      <w:bookmarkStart w:id="34" w:name="_Toc368573040"/>
      <w:bookmarkStart w:id="35" w:name="_Toc113641454"/>
      <w:r w:rsidRPr="001A45DF">
        <w:rPr>
          <w:sz w:val="32"/>
          <w:szCs w:val="32"/>
        </w:rPr>
        <w:lastRenderedPageBreak/>
        <w:t xml:space="preserve">Security </w:t>
      </w:r>
      <w:r w:rsidR="00252FFC" w:rsidRPr="001A45DF">
        <w:rPr>
          <w:sz w:val="32"/>
          <w:szCs w:val="32"/>
        </w:rPr>
        <w:t>and CONFIDENTIA</w:t>
      </w:r>
      <w:r w:rsidR="00C52C2C" w:rsidRPr="001A45DF">
        <w:rPr>
          <w:sz w:val="32"/>
          <w:szCs w:val="32"/>
        </w:rPr>
        <w:t xml:space="preserve">LITY </w:t>
      </w:r>
      <w:r w:rsidRPr="001A45DF">
        <w:rPr>
          <w:sz w:val="32"/>
          <w:szCs w:val="32"/>
        </w:rPr>
        <w:t>requirements</w:t>
      </w:r>
      <w:bookmarkEnd w:id="34"/>
      <w:bookmarkEnd w:id="35"/>
    </w:p>
    <w:p w14:paraId="306328B3" w14:textId="667F8B15" w:rsidR="00E72651" w:rsidRPr="001E4552" w:rsidRDefault="000C6A56" w:rsidP="00222F4C">
      <w:pPr>
        <w:pStyle w:val="Heading2"/>
        <w:spacing w:after="120"/>
        <w:ind w:left="709" w:hanging="709"/>
        <w:rPr>
          <w:sz w:val="24"/>
          <w:szCs w:val="24"/>
        </w:rPr>
      </w:pPr>
      <w:r w:rsidRPr="001E4552">
        <w:rPr>
          <w:sz w:val="24"/>
          <w:szCs w:val="24"/>
        </w:rPr>
        <w:t xml:space="preserve">The Supplier must ensure </w:t>
      </w:r>
      <w:r w:rsidR="001E4552" w:rsidRPr="001E4552">
        <w:rPr>
          <w:sz w:val="24"/>
          <w:szCs w:val="24"/>
        </w:rPr>
        <w:t xml:space="preserve">that the </w:t>
      </w:r>
      <w:r w:rsidR="00222F4C">
        <w:rPr>
          <w:sz w:val="24"/>
          <w:szCs w:val="24"/>
        </w:rPr>
        <w:t>relevant security standards are met.</w:t>
      </w:r>
    </w:p>
    <w:p w14:paraId="65283656" w14:textId="368C7020" w:rsidR="0081061A" w:rsidRPr="001A45DF" w:rsidRDefault="0081061A" w:rsidP="008F3470">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6" w:name="_Toc113641455"/>
      <w:bookmarkStart w:id="37" w:name="_Toc368573042"/>
      <w:r w:rsidRPr="001A45DF">
        <w:rPr>
          <w:rFonts w:cs="Arial"/>
          <w:sz w:val="32"/>
          <w:szCs w:val="32"/>
        </w:rPr>
        <w:t>payment</w:t>
      </w:r>
      <w:r w:rsidR="00ED2129" w:rsidRPr="001A45DF">
        <w:rPr>
          <w:rFonts w:cs="Arial"/>
          <w:sz w:val="32"/>
          <w:szCs w:val="32"/>
        </w:rPr>
        <w:t xml:space="preserve"> AND INVOICING</w:t>
      </w:r>
      <w:bookmarkEnd w:id="36"/>
      <w:r w:rsidR="00ED2129" w:rsidRPr="001A45DF">
        <w:rPr>
          <w:rFonts w:cs="Arial"/>
          <w:sz w:val="32"/>
          <w:szCs w:val="32"/>
        </w:rPr>
        <w:t xml:space="preserve"> </w:t>
      </w:r>
    </w:p>
    <w:p w14:paraId="7ECB204E" w14:textId="4DE7C175" w:rsidR="00AD54FB" w:rsidRPr="00CC7AA6" w:rsidRDefault="00B00482" w:rsidP="00331523">
      <w:pPr>
        <w:pStyle w:val="Heading2"/>
        <w:rPr>
          <w:sz w:val="24"/>
          <w:szCs w:val="24"/>
        </w:rPr>
      </w:pPr>
      <w:r w:rsidRPr="00CC7AA6">
        <w:rPr>
          <w:sz w:val="24"/>
          <w:szCs w:val="24"/>
        </w:rPr>
        <w:t>As there is no cost to the Contracting Authority for this requirement, there is no immediate need for a payment and invoicing system to be in place</w:t>
      </w:r>
      <w:r w:rsidR="00E24EE7" w:rsidRPr="00CC7AA6">
        <w:rPr>
          <w:sz w:val="24"/>
          <w:szCs w:val="24"/>
        </w:rPr>
        <w:t>.</w:t>
      </w:r>
    </w:p>
    <w:p w14:paraId="4EF573F4" w14:textId="35BBCB43" w:rsidR="00B00482" w:rsidRPr="00CC7AA6" w:rsidRDefault="00B00482" w:rsidP="00331523">
      <w:pPr>
        <w:pStyle w:val="Heading2"/>
        <w:rPr>
          <w:sz w:val="24"/>
          <w:szCs w:val="24"/>
        </w:rPr>
      </w:pPr>
      <w:r w:rsidRPr="00CC7AA6">
        <w:rPr>
          <w:sz w:val="24"/>
          <w:szCs w:val="24"/>
        </w:rPr>
        <w:t xml:space="preserve">The Contracting Authority won’t be charged or invoiced for this </w:t>
      </w:r>
      <w:r w:rsidR="005E082C" w:rsidRPr="00CC7AA6">
        <w:rPr>
          <w:sz w:val="24"/>
          <w:szCs w:val="24"/>
        </w:rPr>
        <w:t>requirement;</w:t>
      </w:r>
      <w:r w:rsidRPr="00CC7AA6">
        <w:rPr>
          <w:sz w:val="24"/>
          <w:szCs w:val="24"/>
        </w:rPr>
        <w:t xml:space="preserve"> </w:t>
      </w:r>
      <w:r w:rsidR="00405805" w:rsidRPr="00CC7AA6">
        <w:rPr>
          <w:sz w:val="24"/>
          <w:szCs w:val="24"/>
        </w:rPr>
        <w:t>however,</w:t>
      </w:r>
      <w:r w:rsidRPr="00CC7AA6">
        <w:rPr>
          <w:sz w:val="24"/>
          <w:szCs w:val="24"/>
        </w:rPr>
        <w:t xml:space="preserve"> they will accrue revenue </w:t>
      </w:r>
      <w:r w:rsidR="000115B0" w:rsidRPr="00CC7AA6">
        <w:rPr>
          <w:sz w:val="24"/>
          <w:szCs w:val="24"/>
        </w:rPr>
        <w:t xml:space="preserve">from the requirement. This process will be overseen by the </w:t>
      </w:r>
      <w:proofErr w:type="gramStart"/>
      <w:r w:rsidR="000115B0" w:rsidRPr="00CC7AA6">
        <w:rPr>
          <w:sz w:val="24"/>
          <w:szCs w:val="24"/>
        </w:rPr>
        <w:t>JMB</w:t>
      </w:r>
      <w:proofErr w:type="gramEnd"/>
      <w:r w:rsidR="000115B0" w:rsidRPr="00CC7AA6">
        <w:rPr>
          <w:sz w:val="24"/>
          <w:szCs w:val="24"/>
        </w:rPr>
        <w:t xml:space="preserve"> and the payment of this revenue will be agreed by both the Contracting Authority and the Supplier.</w:t>
      </w:r>
      <w:r w:rsidRPr="00CC7AA6">
        <w:rPr>
          <w:sz w:val="24"/>
          <w:szCs w:val="24"/>
        </w:rPr>
        <w:t xml:space="preserve"> </w:t>
      </w:r>
    </w:p>
    <w:p w14:paraId="6828E644" w14:textId="77777777" w:rsidR="00E24EE7" w:rsidRPr="001A45DF" w:rsidRDefault="009E3739" w:rsidP="00E24EE7">
      <w:pPr>
        <w:pStyle w:val="Heading1"/>
        <w:tabs>
          <w:tab w:val="clear" w:pos="720"/>
          <w:tab w:val="num" w:pos="0"/>
        </w:tabs>
        <w:overflowPunct w:val="0"/>
        <w:autoSpaceDE w:val="0"/>
        <w:autoSpaceDN w:val="0"/>
        <w:spacing w:after="120"/>
        <w:ind w:left="709" w:hanging="709"/>
        <w:textAlignment w:val="baseline"/>
        <w:rPr>
          <w:rFonts w:cs="Arial"/>
          <w:sz w:val="32"/>
          <w:szCs w:val="32"/>
        </w:rPr>
      </w:pPr>
      <w:bookmarkStart w:id="38" w:name="_Toc113641456"/>
      <w:bookmarkEnd w:id="37"/>
      <w:r w:rsidRPr="001A45DF">
        <w:rPr>
          <w:rFonts w:cs="Arial"/>
          <w:sz w:val="32"/>
          <w:szCs w:val="32"/>
        </w:rPr>
        <w:t>CONTRACT MANAGEMENT</w:t>
      </w:r>
      <w:bookmarkEnd w:id="38"/>
      <w:r w:rsidR="00FE18AC" w:rsidRPr="001A45DF">
        <w:rPr>
          <w:rFonts w:cs="Arial"/>
          <w:sz w:val="32"/>
          <w:szCs w:val="32"/>
        </w:rPr>
        <w:t xml:space="preserve"> </w:t>
      </w:r>
    </w:p>
    <w:p w14:paraId="74768698" w14:textId="6BADF49D" w:rsidR="00BE5FEF" w:rsidRPr="00CC7AA6" w:rsidRDefault="001A3AB5" w:rsidP="1D480A39">
      <w:pPr>
        <w:pStyle w:val="Heading2"/>
        <w:rPr>
          <w:rFonts w:cs="Arial"/>
          <w:sz w:val="24"/>
          <w:szCs w:val="24"/>
        </w:rPr>
      </w:pPr>
      <w:r w:rsidRPr="1D480A39">
        <w:rPr>
          <w:sz w:val="24"/>
          <w:szCs w:val="24"/>
        </w:rPr>
        <w:t>There will be quarterly Contract Management meetings between the Contracting Authority and the Supplier. These will</w:t>
      </w:r>
      <w:r w:rsidR="00B93981">
        <w:rPr>
          <w:sz w:val="24"/>
          <w:szCs w:val="24"/>
        </w:rPr>
        <w:t xml:space="preserve"> generally</w:t>
      </w:r>
      <w:r w:rsidRPr="1D480A39">
        <w:rPr>
          <w:sz w:val="24"/>
          <w:szCs w:val="24"/>
        </w:rPr>
        <w:t xml:space="preserve"> be held virtually or via telephony methods.</w:t>
      </w:r>
    </w:p>
    <w:p w14:paraId="788E4129" w14:textId="4FDC357D" w:rsidR="00BE5FEF" w:rsidRPr="009106C8" w:rsidRDefault="001A3AB5" w:rsidP="00BE5FEF">
      <w:pPr>
        <w:pStyle w:val="Heading2"/>
        <w:spacing w:after="120"/>
        <w:ind w:left="709" w:hanging="709"/>
        <w:rPr>
          <w:sz w:val="24"/>
          <w:szCs w:val="24"/>
        </w:rPr>
      </w:pPr>
      <w:r>
        <w:rPr>
          <w:sz w:val="24"/>
          <w:szCs w:val="24"/>
        </w:rPr>
        <w:t>Where face to face a</w:t>
      </w:r>
      <w:r w:rsidR="00BE5FEF" w:rsidRPr="009106C8">
        <w:rPr>
          <w:sz w:val="24"/>
          <w:szCs w:val="24"/>
        </w:rPr>
        <w:t xml:space="preserve">ttendance at Contract Review meetings </w:t>
      </w:r>
      <w:r>
        <w:rPr>
          <w:sz w:val="24"/>
          <w:szCs w:val="24"/>
        </w:rPr>
        <w:t xml:space="preserve">is </w:t>
      </w:r>
      <w:r w:rsidR="001E4552">
        <w:rPr>
          <w:sz w:val="24"/>
          <w:szCs w:val="24"/>
        </w:rPr>
        <w:t>necessary</w:t>
      </w:r>
      <w:r>
        <w:rPr>
          <w:sz w:val="24"/>
          <w:szCs w:val="24"/>
        </w:rPr>
        <w:t xml:space="preserve"> this </w:t>
      </w:r>
      <w:r w:rsidR="00BE5FEF" w:rsidRPr="009106C8">
        <w:rPr>
          <w:sz w:val="24"/>
          <w:szCs w:val="24"/>
        </w:rPr>
        <w:t>shall be at the Supplier’s own expense.</w:t>
      </w:r>
    </w:p>
    <w:p w14:paraId="04BBE808" w14:textId="77777777" w:rsidR="00671798" w:rsidRPr="009106C8" w:rsidRDefault="00FE18AC">
      <w:pPr>
        <w:pStyle w:val="Heading1"/>
        <w:spacing w:after="120"/>
        <w:rPr>
          <w:sz w:val="32"/>
          <w:szCs w:val="32"/>
        </w:rPr>
      </w:pPr>
      <w:bookmarkStart w:id="39" w:name="_Toc368573043"/>
      <w:bookmarkStart w:id="40" w:name="_Toc113641457"/>
      <w:bookmarkEnd w:id="20"/>
      <w:r w:rsidRPr="009106C8">
        <w:rPr>
          <w:sz w:val="32"/>
          <w:szCs w:val="32"/>
        </w:rPr>
        <w:t>Location</w:t>
      </w:r>
      <w:bookmarkEnd w:id="39"/>
      <w:bookmarkEnd w:id="40"/>
      <w:r w:rsidRPr="009106C8">
        <w:rPr>
          <w:sz w:val="32"/>
          <w:szCs w:val="32"/>
        </w:rPr>
        <w:t xml:space="preserve"> </w:t>
      </w:r>
    </w:p>
    <w:p w14:paraId="1B5BAA6F" w14:textId="119760C2" w:rsidR="00E65773" w:rsidRPr="00E65773" w:rsidRDefault="00E65773" w:rsidP="00E65773">
      <w:pPr>
        <w:pStyle w:val="Heading2"/>
        <w:spacing w:after="120"/>
        <w:ind w:left="709" w:hanging="709"/>
        <w:rPr>
          <w:sz w:val="24"/>
          <w:szCs w:val="24"/>
        </w:rPr>
      </w:pPr>
      <w:r w:rsidRPr="00E65773">
        <w:rPr>
          <w:sz w:val="24"/>
        </w:rPr>
        <w:t>The Supplier must have capacity to provide any of the deliverables under this contract to the United Kingdom</w:t>
      </w:r>
      <w:r w:rsidR="004603CD">
        <w:rPr>
          <w:sz w:val="24"/>
        </w:rPr>
        <w:t xml:space="preserve"> and internationally</w:t>
      </w:r>
      <w:r w:rsidRPr="00E65773">
        <w:rPr>
          <w:sz w:val="24"/>
        </w:rPr>
        <w:t>; this may be direct by the Supplier or by their Key Subcontractor(s), subject to the agreement of the Authority.</w:t>
      </w:r>
    </w:p>
    <w:p w14:paraId="26A62BE2" w14:textId="77777777" w:rsidR="00E65773" w:rsidRPr="00E65773" w:rsidRDefault="00E65773" w:rsidP="00E65773">
      <w:pPr>
        <w:pStyle w:val="Heading2"/>
        <w:spacing w:after="120"/>
        <w:ind w:left="709" w:hanging="709"/>
        <w:rPr>
          <w:b/>
          <w:sz w:val="24"/>
        </w:rPr>
      </w:pPr>
      <w:r w:rsidRPr="00E65773">
        <w:rPr>
          <w:sz w:val="24"/>
        </w:rPr>
        <w:t>The Supplier must have proven international reach that can be marketed to develop and support the programme globally in line with the Authority’s requirements.</w:t>
      </w:r>
    </w:p>
    <w:p w14:paraId="154216FA" w14:textId="04560A3A" w:rsidR="00E65773" w:rsidRPr="00E65773" w:rsidRDefault="00E65773" w:rsidP="00E65773">
      <w:pPr>
        <w:pStyle w:val="Heading2"/>
        <w:spacing w:after="120"/>
        <w:ind w:left="709" w:hanging="709"/>
        <w:rPr>
          <w:b/>
          <w:sz w:val="24"/>
        </w:rPr>
      </w:pPr>
      <w:r w:rsidRPr="00E65773">
        <w:rPr>
          <w:sz w:val="24"/>
        </w:rPr>
        <w:t>The Supplier must be prepared to provide any of the deliverables under this contract anywhere in the world with the direction of the Authority this may be direct by the Supplier or by their Key Subcontractor(s), subject to the agreement of the Authority.</w:t>
      </w:r>
    </w:p>
    <w:p w14:paraId="01C9AEC4" w14:textId="77777777" w:rsidR="002F7AA1" w:rsidRPr="00FD080D" w:rsidRDefault="002F7AA1" w:rsidP="002F7AA1">
      <w:pPr>
        <w:pStyle w:val="Heading2"/>
        <w:numPr>
          <w:ilvl w:val="0"/>
          <w:numId w:val="0"/>
        </w:numPr>
        <w:spacing w:after="120"/>
        <w:rPr>
          <w:highlight w:val="yellow"/>
        </w:rPr>
      </w:pPr>
    </w:p>
    <w:p w14:paraId="31424888" w14:textId="77777777" w:rsidR="002F7AA1" w:rsidRPr="002F4D97" w:rsidRDefault="002F7AA1" w:rsidP="002F7AA1">
      <w:pPr>
        <w:pStyle w:val="Heading1"/>
        <w:numPr>
          <w:ilvl w:val="0"/>
          <w:numId w:val="0"/>
        </w:numPr>
        <w:spacing w:after="120"/>
        <w:ind w:left="720"/>
      </w:pPr>
    </w:p>
    <w:p w14:paraId="56E54D25" w14:textId="77777777" w:rsidR="002F7AA1" w:rsidRPr="002F4D97" w:rsidRDefault="002F7AA1" w:rsidP="002F7AA1">
      <w:pPr>
        <w:pStyle w:val="Heading2"/>
        <w:numPr>
          <w:ilvl w:val="0"/>
          <w:numId w:val="0"/>
        </w:numPr>
        <w:spacing w:after="120"/>
      </w:pPr>
    </w:p>
    <w:p w14:paraId="21846EE4" w14:textId="77777777" w:rsidR="002F7AA1" w:rsidRDefault="002F7AA1" w:rsidP="007D431E">
      <w:pPr>
        <w:pStyle w:val="Heading1"/>
        <w:numPr>
          <w:ilvl w:val="0"/>
          <w:numId w:val="0"/>
        </w:numPr>
        <w:ind w:left="720" w:hanging="720"/>
      </w:pPr>
    </w:p>
    <w:p w14:paraId="0E531ACC" w14:textId="77777777" w:rsidR="00926958" w:rsidRPr="00A74FE3" w:rsidRDefault="00926958" w:rsidP="00AF2BB0">
      <w:pPr>
        <w:tabs>
          <w:tab w:val="left" w:pos="1392"/>
        </w:tabs>
        <w:rPr>
          <w:rFonts w:eastAsia="STZhongsong"/>
          <w:szCs w:val="20"/>
        </w:rPr>
      </w:pPr>
    </w:p>
    <w:sectPr w:rsidR="00926958" w:rsidRPr="00A74FE3" w:rsidSect="00985B4D">
      <w:headerReference w:type="default" r:id="rId13"/>
      <w:footerReference w:type="default" r:id="rId14"/>
      <w:endnotePr>
        <w:numFmt w:val="decimal"/>
      </w:endnotePr>
      <w:pgSz w:w="11909" w:h="16834" w:code="9"/>
      <w:pgMar w:top="1440" w:right="1440" w:bottom="1559" w:left="1440" w:header="425" w:footer="431" w:gutter="0"/>
      <w:pgNumType w:start="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2FE81D" w14:textId="77777777" w:rsidR="003B72B7" w:rsidRDefault="003B72B7">
      <w:pPr>
        <w:spacing w:line="20" w:lineRule="exact"/>
      </w:pPr>
    </w:p>
  </w:endnote>
  <w:endnote w:type="continuationSeparator" w:id="0">
    <w:p w14:paraId="1115B641" w14:textId="77777777" w:rsidR="003B72B7" w:rsidRDefault="003B72B7">
      <w:pPr>
        <w:spacing w:line="20" w:lineRule="exact"/>
      </w:pPr>
      <w:r>
        <w:t xml:space="preserve"> </w:t>
      </w:r>
    </w:p>
  </w:endnote>
  <w:endnote w:type="continuationNotice" w:id="1">
    <w:p w14:paraId="05021907" w14:textId="77777777" w:rsidR="003B72B7" w:rsidRDefault="003B72B7">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713824"/>
      <w:docPartObj>
        <w:docPartGallery w:val="Page Numbers (Bottom of Page)"/>
        <w:docPartUnique/>
      </w:docPartObj>
    </w:sdtPr>
    <w:sdtEndPr>
      <w:rPr>
        <w:noProof/>
      </w:rPr>
    </w:sdtEndPr>
    <w:sdtContent>
      <w:p w14:paraId="5E3BDC75" w14:textId="302944C1" w:rsidR="00C52C2C" w:rsidRDefault="00C52C2C" w:rsidP="00985B4D">
        <w:pPr>
          <w:pStyle w:val="Footer"/>
          <w:jc w:val="center"/>
        </w:pPr>
        <w:r>
          <w:rPr>
            <w:noProof/>
            <w:lang w:eastAsia="en-GB"/>
          </w:rPr>
          <mc:AlternateContent>
            <mc:Choice Requires="wps">
              <w:drawing>
                <wp:anchor distT="0" distB="0" distL="114300" distR="114300" simplePos="0" relativeHeight="251658240" behindDoc="0" locked="0" layoutInCell="1" allowOverlap="1" wp14:anchorId="77CE4AA3" wp14:editId="0678E03F">
                  <wp:simplePos x="0" y="0"/>
                  <wp:positionH relativeFrom="column">
                    <wp:posOffset>-28575</wp:posOffset>
                  </wp:positionH>
                  <wp:positionV relativeFrom="paragraph">
                    <wp:posOffset>46355</wp:posOffset>
                  </wp:positionV>
                  <wp:extent cx="5743575" cy="9525"/>
                  <wp:effectExtent l="0" t="0" r="28575" b="28575"/>
                  <wp:wrapNone/>
                  <wp:docPr id="2" name="Straight Connector 2"/>
                  <wp:cNvGraphicFramePr/>
                  <a:graphic xmlns:a="http://schemas.openxmlformats.org/drawingml/2006/main">
                    <a:graphicData uri="http://schemas.microsoft.com/office/word/2010/wordprocessingShape">
                      <wps:wsp>
                        <wps:cNvCnPr/>
                        <wps:spPr>
                          <a:xfrm>
                            <a:off x="0" y="0"/>
                            <a:ext cx="57435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a="http://schemas.openxmlformats.org/drawingml/2006/main" xmlns:arto="http://schemas.microsoft.com/office/word/2006/arto">
              <w:pict>
                <v:line id="Straight Connector 2"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25pt,3.65pt" to="450pt,4.4pt" w14:anchorId="1B728E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"/>
              </w:pict>
            </mc:Fallback>
          </mc:AlternateContent>
        </w:r>
      </w:p>
      <w:p w14:paraId="6318F05F" w14:textId="39855BD5" w:rsidR="00C52C2C" w:rsidRPr="00985B4D" w:rsidRDefault="00C52C2C" w:rsidP="00985B4D">
        <w:pPr>
          <w:pStyle w:val="Footer"/>
          <w:jc w:val="center"/>
          <w:rPr>
            <w:sz w:val="20"/>
            <w:szCs w:val="20"/>
          </w:rPr>
        </w:pPr>
        <w:r w:rsidRPr="00985B4D">
          <w:rPr>
            <w:sz w:val="20"/>
            <w:szCs w:val="20"/>
          </w:rPr>
          <w:t>OFFICIAL</w:t>
        </w:r>
      </w:p>
      <w:p w14:paraId="5D89FCCB" w14:textId="7B81AA5A" w:rsidR="00C52C2C" w:rsidRDefault="007F513D">
        <w:pPr>
          <w:pStyle w:val="Footer"/>
          <w:rPr>
            <w:sz w:val="20"/>
            <w:szCs w:val="20"/>
          </w:rPr>
        </w:pPr>
        <w:r>
          <w:rPr>
            <w:sz w:val="20"/>
            <w:szCs w:val="20"/>
          </w:rPr>
          <w:t>Attachment</w:t>
        </w:r>
        <w:r w:rsidR="00E443BB">
          <w:rPr>
            <w:sz w:val="20"/>
            <w:szCs w:val="20"/>
          </w:rPr>
          <w:t xml:space="preserve"> </w:t>
        </w:r>
        <w:r w:rsidR="00161EEB">
          <w:rPr>
            <w:sz w:val="20"/>
            <w:szCs w:val="20"/>
          </w:rPr>
          <w:t>11</w:t>
        </w:r>
        <w:r w:rsidR="00E443BB">
          <w:rPr>
            <w:sz w:val="20"/>
            <w:szCs w:val="20"/>
          </w:rPr>
          <w:t xml:space="preserve"> </w:t>
        </w:r>
        <w:r w:rsidR="00C52C2C" w:rsidRPr="00985B4D">
          <w:rPr>
            <w:sz w:val="20"/>
            <w:szCs w:val="20"/>
          </w:rPr>
          <w:t>– Statement of Requirements</w:t>
        </w:r>
      </w:p>
      <w:p w14:paraId="54950C37" w14:textId="7297FB72" w:rsidR="00161EEB" w:rsidRPr="00161EEB" w:rsidRDefault="001A45DF">
        <w:pPr>
          <w:pStyle w:val="Footer"/>
          <w:rPr>
            <w:rFonts w:cs="Arial"/>
            <w:color w:val="222222"/>
            <w:sz w:val="20"/>
            <w:szCs w:val="20"/>
            <w:shd w:val="clear" w:color="auto" w:fill="FFFFFF"/>
          </w:rPr>
        </w:pPr>
        <w:r w:rsidRPr="001A45DF">
          <w:rPr>
            <w:rFonts w:cs="Arial"/>
            <w:color w:val="222222"/>
            <w:sz w:val="20"/>
            <w:szCs w:val="20"/>
            <w:shd w:val="clear" w:color="auto" w:fill="FFFFFF"/>
          </w:rPr>
          <w:t xml:space="preserve">© Crown </w:t>
        </w:r>
        <w:r w:rsidR="006E036C">
          <w:rPr>
            <w:rFonts w:cs="Arial"/>
            <w:color w:val="222222"/>
            <w:sz w:val="20"/>
            <w:szCs w:val="20"/>
            <w:shd w:val="clear" w:color="auto" w:fill="FFFFFF"/>
          </w:rPr>
          <w:t>C</w:t>
        </w:r>
        <w:r w:rsidRPr="001A45DF">
          <w:rPr>
            <w:rFonts w:cs="Arial"/>
            <w:color w:val="222222"/>
            <w:sz w:val="20"/>
            <w:szCs w:val="20"/>
            <w:shd w:val="clear" w:color="auto" w:fill="FFFFFF"/>
          </w:rPr>
          <w:t>opyright</w:t>
        </w:r>
      </w:p>
      <w:p w14:paraId="42D6E6E6" w14:textId="07C9983C" w:rsidR="00C52C2C" w:rsidRPr="00D318A5" w:rsidRDefault="00C52C2C" w:rsidP="00985B4D">
        <w:pPr>
          <w:pStyle w:val="Footer"/>
          <w:jc w:val="right"/>
          <w:rPr>
            <w:sz w:val="20"/>
            <w:szCs w:val="20"/>
          </w:rPr>
        </w:pPr>
      </w:p>
      <w:p w14:paraId="5214230D" w14:textId="4A69FE50" w:rsidR="00C52C2C" w:rsidRDefault="00C52C2C" w:rsidP="00985B4D">
        <w:pPr>
          <w:pStyle w:val="Footer"/>
          <w:jc w:val="center"/>
        </w:pPr>
        <w:r w:rsidRPr="00D318A5">
          <w:rPr>
            <w:sz w:val="20"/>
            <w:szCs w:val="20"/>
          </w:rPr>
          <w:fldChar w:fldCharType="begin"/>
        </w:r>
        <w:r w:rsidRPr="00D318A5">
          <w:rPr>
            <w:sz w:val="20"/>
            <w:szCs w:val="20"/>
          </w:rPr>
          <w:instrText xml:space="preserve"> PAGE   \* MERGEFORMAT </w:instrText>
        </w:r>
        <w:r w:rsidRPr="00D318A5">
          <w:rPr>
            <w:sz w:val="20"/>
            <w:szCs w:val="20"/>
          </w:rPr>
          <w:fldChar w:fldCharType="separate"/>
        </w:r>
        <w:r w:rsidR="00823A08">
          <w:rPr>
            <w:noProof/>
            <w:sz w:val="20"/>
            <w:szCs w:val="20"/>
          </w:rPr>
          <w:t>10</w:t>
        </w:r>
        <w:r w:rsidRPr="00D318A5">
          <w:rPr>
            <w:noProof/>
            <w:sz w:val="20"/>
            <w:szCs w:val="20"/>
          </w:rPr>
          <w:fldChar w:fldCharType="end"/>
        </w:r>
      </w:p>
    </w:sdtContent>
  </w:sdt>
  <w:p w14:paraId="6CEF1DBF" w14:textId="77777777" w:rsidR="00C52C2C" w:rsidRPr="002933F8" w:rsidRDefault="00C52C2C" w:rsidP="002933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9727C" w14:textId="77777777" w:rsidR="003B72B7" w:rsidRDefault="003B72B7">
      <w:r>
        <w:separator/>
      </w:r>
    </w:p>
  </w:footnote>
  <w:footnote w:type="continuationSeparator" w:id="0">
    <w:p w14:paraId="40EE6B1B" w14:textId="77777777" w:rsidR="003B72B7" w:rsidRDefault="003B72B7">
      <w:r>
        <w:continuationSeparator/>
      </w:r>
    </w:p>
  </w:footnote>
  <w:footnote w:type="continuationNotice" w:id="1">
    <w:p w14:paraId="47C2A29D" w14:textId="77777777" w:rsidR="003B72B7" w:rsidRDefault="003B72B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9588B" w14:textId="77777777" w:rsidR="00C52C2C" w:rsidRPr="00F44D62" w:rsidRDefault="00C52C2C" w:rsidP="00985B4D">
    <w:pPr>
      <w:tabs>
        <w:tab w:val="center" w:pos="4153"/>
        <w:tab w:val="right" w:pos="8306"/>
      </w:tabs>
      <w:ind w:left="720"/>
      <w:jc w:val="center"/>
      <w:rPr>
        <w:sz w:val="20"/>
        <w:szCs w:val="20"/>
      </w:rPr>
    </w:pPr>
    <w:r w:rsidRPr="00F44D62">
      <w:rPr>
        <w:noProof/>
        <w:sz w:val="20"/>
        <w:szCs w:val="20"/>
        <w:lang w:eastAsia="en-GB"/>
      </w:rPr>
      <w:drawing>
        <wp:anchor distT="0" distB="0" distL="114300" distR="114300" simplePos="0" relativeHeight="251658241" behindDoc="1" locked="0" layoutInCell="1" allowOverlap="1" wp14:anchorId="2344EA36" wp14:editId="364406A4">
          <wp:simplePos x="0" y="0"/>
          <wp:positionH relativeFrom="column">
            <wp:posOffset>-304800</wp:posOffset>
          </wp:positionH>
          <wp:positionV relativeFrom="page">
            <wp:posOffset>91440</wp:posOffset>
          </wp:positionV>
          <wp:extent cx="876300" cy="723900"/>
          <wp:effectExtent l="0" t="0" r="0" b="0"/>
          <wp:wrapSquare wrapText="bothSides"/>
          <wp:docPr id="16" name="Picture 16" descr="CCS_2935_SML_AW"/>
          <wp:cNvGraphicFramePr/>
          <a:graphic xmlns:a="http://schemas.openxmlformats.org/drawingml/2006/main">
            <a:graphicData uri="http://schemas.openxmlformats.org/drawingml/2006/picture">
              <pic:pic xmlns:pic="http://schemas.openxmlformats.org/drawingml/2006/picture">
                <pic:nvPicPr>
                  <pic:cNvPr id="0" name="Picture 1" descr="CCS_2935_SML_AW"/>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876300" cy="723900"/>
                  </a:xfrm>
                  <a:prstGeom prst="rect">
                    <a:avLst/>
                  </a:prstGeom>
                  <a:noFill/>
                  <a:ln w="9525">
                    <a:noFill/>
                    <a:miter lim="800000"/>
                    <a:headEnd/>
                    <a:tailEnd/>
                  </a:ln>
                </pic:spPr>
              </pic:pic>
            </a:graphicData>
          </a:graphic>
        </wp:anchor>
      </w:drawing>
    </w:r>
    <w:r w:rsidR="2642EFCB" w:rsidRPr="00F44D62">
      <w:rPr>
        <w:sz w:val="20"/>
        <w:szCs w:val="20"/>
      </w:rPr>
      <w:t>OFFICIAL</w:t>
    </w:r>
  </w:p>
  <w:p w14:paraId="0BC6A7D6" w14:textId="29B3B58C" w:rsidR="00C52C2C" w:rsidRPr="00D318A5" w:rsidRDefault="00D16B91" w:rsidP="00985B4D">
    <w:pPr>
      <w:tabs>
        <w:tab w:val="center" w:pos="4153"/>
        <w:tab w:val="right" w:pos="8306"/>
      </w:tabs>
      <w:ind w:left="720"/>
      <w:jc w:val="center"/>
      <w:rPr>
        <w:sz w:val="20"/>
        <w:szCs w:val="20"/>
      </w:rPr>
    </w:pPr>
    <w:r>
      <w:rPr>
        <w:sz w:val="20"/>
        <w:szCs w:val="20"/>
      </w:rPr>
      <w:t xml:space="preserve">Attachment </w:t>
    </w:r>
    <w:r w:rsidR="001740BB">
      <w:rPr>
        <w:sz w:val="20"/>
        <w:szCs w:val="20"/>
      </w:rPr>
      <w:t>11</w:t>
    </w:r>
    <w:r w:rsidR="00C52C2C">
      <w:rPr>
        <w:sz w:val="20"/>
        <w:szCs w:val="20"/>
      </w:rPr>
      <w:t xml:space="preserve"> – Statement of Requirem</w:t>
    </w:r>
    <w:r w:rsidR="00C52C2C" w:rsidRPr="00D318A5">
      <w:rPr>
        <w:sz w:val="20"/>
        <w:szCs w:val="20"/>
      </w:rPr>
      <w:t>ents</w:t>
    </w:r>
  </w:p>
  <w:p w14:paraId="2FFA1B3E" w14:textId="4F8B0705" w:rsidR="00C52C2C" w:rsidRPr="00D318A5" w:rsidRDefault="00D318A5" w:rsidP="005334EA">
    <w:pPr>
      <w:tabs>
        <w:tab w:val="center" w:pos="4153"/>
        <w:tab w:val="right" w:pos="8306"/>
      </w:tabs>
      <w:ind w:left="720"/>
      <w:jc w:val="center"/>
      <w:rPr>
        <w:rFonts w:cs="Arial"/>
        <w:sz w:val="20"/>
        <w:szCs w:val="20"/>
      </w:rPr>
    </w:pPr>
    <w:r w:rsidRPr="00D318A5">
      <w:rPr>
        <w:rFonts w:cs="Arial"/>
        <w:sz w:val="20"/>
        <w:szCs w:val="20"/>
      </w:rPr>
      <w:t>Better Business Case Programme</w:t>
    </w:r>
  </w:p>
  <w:p w14:paraId="605B3446" w14:textId="1C5596A0" w:rsidR="00C52C2C" w:rsidRPr="009D0EAE" w:rsidRDefault="00C52C2C" w:rsidP="00F946AC">
    <w:pPr>
      <w:pStyle w:val="Header"/>
      <w:jc w:val="center"/>
      <w:rPr>
        <w:rFonts w:cs="Arial"/>
        <w:sz w:val="20"/>
        <w:szCs w:val="20"/>
        <w:highlight w:val="yellow"/>
      </w:rPr>
    </w:pPr>
  </w:p>
  <w:p w14:paraId="6F1572B1" w14:textId="45CD0517" w:rsidR="00C52C2C" w:rsidRPr="00074357" w:rsidRDefault="00C52C2C" w:rsidP="00074357">
    <w:pPr>
      <w:pStyle w:val="Header"/>
    </w:pPr>
    <w:r>
      <w:rPr>
        <w:noProof/>
        <w:lang w:eastAsia="en-GB"/>
      </w:rPr>
      <mc:AlternateContent>
        <mc:Choice Requires="wps">
          <w:drawing>
            <wp:anchor distT="0" distB="0" distL="114300" distR="114300" simplePos="0" relativeHeight="251658242" behindDoc="0" locked="0" layoutInCell="1" allowOverlap="1" wp14:anchorId="65490E35" wp14:editId="4D946F01">
              <wp:simplePos x="0" y="0"/>
              <wp:positionH relativeFrom="column">
                <wp:posOffset>-304801</wp:posOffset>
              </wp:positionH>
              <wp:positionV relativeFrom="paragraph">
                <wp:posOffset>98425</wp:posOffset>
              </wp:positionV>
              <wp:extent cx="604837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6048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a="http://schemas.openxmlformats.org/drawingml/2006/main" xmlns:pic="http://schemas.openxmlformats.org/drawingml/2006/picture" xmlns:a14="http://schemas.microsoft.com/office/drawing/2010/main" xmlns:arto="http://schemas.microsoft.com/office/word/2006/arto">
          <w:pict>
            <v:line id="Straight Connector 1" style="position:absolute;z-index:251658242;visibility:visible;mso-wrap-style:square;mso-wrap-distance-left:9pt;mso-wrap-distance-top:0;mso-wrap-distance-right:9pt;mso-wrap-distance-bottom:0;mso-position-horizontal:absolute;mso-position-horizontal-relative:text;mso-position-vertical:absolute;mso-position-vertical-relative:text" o:spid="_x0000_s1026" strokecolor="black [3040]" from="-24pt,7.75pt" to="452.25pt,7.75pt" w14:anchorId="57A4C8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9"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0"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99779E8"/>
    <w:multiLevelType w:val="multilevel"/>
    <w:tmpl w:val="FD54052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15:restartNumberingAfterBreak="0">
    <w:nsid w:val="1FF7771A"/>
    <w:multiLevelType w:val="hybridMultilevel"/>
    <w:tmpl w:val="00004366"/>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3" w15:restartNumberingAfterBreak="0">
    <w:nsid w:val="200A52BF"/>
    <w:multiLevelType w:val="multilevel"/>
    <w:tmpl w:val="4A2A944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6A5352D"/>
    <w:multiLevelType w:val="hybridMultilevel"/>
    <w:tmpl w:val="5970B60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26C21175"/>
    <w:multiLevelType w:val="hybridMultilevel"/>
    <w:tmpl w:val="EEB8959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9"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0" w15:restartNumberingAfterBreak="0">
    <w:nsid w:val="30556CEC"/>
    <w:multiLevelType w:val="hybridMultilevel"/>
    <w:tmpl w:val="806AF4E6"/>
    <w:lvl w:ilvl="0" w:tplc="04090019">
      <w:start w:val="1"/>
      <w:numFmt w:val="lowerLetter"/>
      <w:lvlText w:val="%1."/>
      <w:lvlJc w:val="left"/>
      <w:pPr>
        <w:ind w:left="1080" w:hanging="360"/>
      </w:pPr>
    </w:lvl>
    <w:lvl w:ilvl="1" w:tplc="0409001B">
      <w:start w:val="1"/>
      <w:numFmt w:val="lowerRoman"/>
      <w:lvlText w:val="%2."/>
      <w:lvlJc w:val="right"/>
      <w:pPr>
        <w:ind w:left="192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36C655F"/>
    <w:multiLevelType w:val="hybridMultilevel"/>
    <w:tmpl w:val="75D6FE0A"/>
    <w:lvl w:ilvl="0" w:tplc="D02255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3"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4" w15:restartNumberingAfterBreak="0">
    <w:nsid w:val="35C160AA"/>
    <w:multiLevelType w:val="hybridMultilevel"/>
    <w:tmpl w:val="355EB102"/>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cs="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cs="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cs="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08B5A2B"/>
    <w:multiLevelType w:val="multilevel"/>
    <w:tmpl w:val="D326ECB2"/>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24D37DA"/>
    <w:multiLevelType w:val="hybridMultilevel"/>
    <w:tmpl w:val="A7D4E71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43C3555E"/>
    <w:multiLevelType w:val="hybridMultilevel"/>
    <w:tmpl w:val="93BE6D32"/>
    <w:lvl w:ilvl="0" w:tplc="08090001">
      <w:start w:val="1"/>
      <w:numFmt w:val="bullet"/>
      <w:pStyle w:val="GPSL1SCHEDULEHeading"/>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0"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1" w15:restartNumberingAfterBreak="0">
    <w:nsid w:val="4B6C2C5C"/>
    <w:multiLevelType w:val="multilevel"/>
    <w:tmpl w:val="1332CCD4"/>
    <w:name w:val="Plato Schedule Numbering List"/>
    <w:numStyleLink w:val="111111"/>
  </w:abstractNum>
  <w:abstractNum w:abstractNumId="32" w15:restartNumberingAfterBreak="0">
    <w:nsid w:val="50965CCA"/>
    <w:multiLevelType w:val="multilevel"/>
    <w:tmpl w:val="1332CCD4"/>
    <w:name w:val="Appendicies Heading List"/>
    <w:numStyleLink w:val="111111"/>
  </w:abstractNum>
  <w:abstractNum w:abstractNumId="33" w15:restartNumberingAfterBreak="0">
    <w:nsid w:val="51200365"/>
    <w:multiLevelType w:val="multilevel"/>
    <w:tmpl w:val="B3BCD8BC"/>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b w:val="0"/>
        <w:bCs/>
        <w:caps w:val="0"/>
        <w:effect w:val="none"/>
      </w:rPr>
    </w:lvl>
    <w:lvl w:ilvl="2">
      <w:start w:val="1"/>
      <w:numFmt w:val="decimal"/>
      <w:pStyle w:val="Heading3"/>
      <w:lvlText w:val="%1.%2.%3"/>
      <w:lvlJc w:val="left"/>
      <w:pPr>
        <w:tabs>
          <w:tab w:val="num" w:pos="1800"/>
        </w:tabs>
        <w:ind w:left="1800" w:hanging="1080"/>
      </w:pPr>
      <w:rPr>
        <w:rFonts w:hint="default"/>
        <w:b w:val="0"/>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4" w15:restartNumberingAfterBreak="0">
    <w:nsid w:val="582D7ED4"/>
    <w:multiLevelType w:val="hybridMultilevel"/>
    <w:tmpl w:val="B5E45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B063D2D"/>
    <w:multiLevelType w:val="hybridMultilevel"/>
    <w:tmpl w:val="5F0CC154"/>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C82302C"/>
    <w:multiLevelType w:val="hybridMultilevel"/>
    <w:tmpl w:val="E9226C4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cs="Courier New" w:hint="default"/>
      </w:r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38"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cs="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cs="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cs="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9" w15:restartNumberingAfterBreak="0">
    <w:nsid w:val="614A3123"/>
    <w:multiLevelType w:val="multilevel"/>
    <w:tmpl w:val="82FED606"/>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0" w15:restartNumberingAfterBreak="0">
    <w:nsid w:val="620071EF"/>
    <w:multiLevelType w:val="multilevel"/>
    <w:tmpl w:val="3624930E"/>
    <w:lvl w:ilvl="0">
      <w:start w:val="1"/>
      <w:numFmt w:val="decimal"/>
      <w:lvlText w:val="%1."/>
      <w:lvlJc w:val="left"/>
      <w:pPr>
        <w:ind w:left="360" w:hanging="360"/>
      </w:pPr>
      <w:rPr>
        <w:b/>
        <w:color w:val="auto"/>
      </w:rPr>
    </w:lvl>
    <w:lvl w:ilvl="1">
      <w:start w:val="1"/>
      <w:numFmt w:val="decimal"/>
      <w:lvlText w:val="%1.%2."/>
      <w:lvlJc w:val="left"/>
      <w:pPr>
        <w:ind w:left="432" w:hanging="432"/>
      </w:pPr>
      <w:rPr>
        <w:b w:val="0"/>
        <w:i w:val="0"/>
        <w:color w:val="auto"/>
      </w:rPr>
    </w:lvl>
    <w:lvl w:ilvl="2">
      <w:start w:val="1"/>
      <w:numFmt w:val="decimal"/>
      <w:lvlText w:val="%1.%2.%3."/>
      <w:lvlJc w:val="left"/>
      <w:pPr>
        <w:ind w:left="1224" w:hanging="504"/>
      </w:pPr>
      <w:rPr>
        <w:rFonts w:ascii="Arial" w:hAnsi="Arial" w:cs="Arial" w:hint="default"/>
        <w:color w:val="000000" w:themeColor="text1"/>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642353F1"/>
    <w:multiLevelType w:val="multilevel"/>
    <w:tmpl w:val="2876C0CC"/>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3" w15:restartNumberingAfterBreak="0">
    <w:nsid w:val="689F7027"/>
    <w:multiLevelType w:val="hybridMultilevel"/>
    <w:tmpl w:val="39EA4092"/>
    <w:lvl w:ilvl="0" w:tplc="052E1C8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4"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5" w15:restartNumberingAfterBreak="0">
    <w:nsid w:val="78856856"/>
    <w:multiLevelType w:val="hybridMultilevel"/>
    <w:tmpl w:val="E0141A46"/>
    <w:lvl w:ilvl="0" w:tplc="44084126">
      <w:start w:val="1"/>
      <w:numFmt w:val="upperRoman"/>
      <w:lvlText w:val="%1)"/>
      <w:lvlJc w:val="left"/>
      <w:pPr>
        <w:ind w:left="2520" w:hanging="72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6" w15:restartNumberingAfterBreak="0">
    <w:nsid w:val="7A6419BA"/>
    <w:multiLevelType w:val="multilevel"/>
    <w:tmpl w:val="7882764E"/>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bullet"/>
      <w:lvlText w:val="-"/>
      <w:lvlJc w:val="left"/>
      <w:pPr>
        <w:tabs>
          <w:tab w:val="num" w:pos="1800"/>
        </w:tabs>
        <w:ind w:left="1800" w:hanging="1080"/>
      </w:pPr>
      <w:rPr>
        <w:rFonts w:ascii="Courier New" w:hAnsi="Courier New"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hint="default"/>
        <w:b w:val="0"/>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abstractNum w:abstractNumId="48"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hint="default"/>
      </w:rPr>
    </w:lvl>
    <w:lvl w:ilvl="1" w:tplc="47F63B60" w:tentative="1">
      <w:start w:val="1"/>
      <w:numFmt w:val="lowerLetter"/>
      <w:lvlText w:val="%2."/>
      <w:lvlJc w:val="left"/>
      <w:pPr>
        <w:ind w:left="1440" w:hanging="360"/>
      </w:pPr>
    </w:lvl>
    <w:lvl w:ilvl="2" w:tplc="1D56D010" w:tentative="1">
      <w:start w:val="1"/>
      <w:numFmt w:val="lowerRoman"/>
      <w:lvlText w:val="%3."/>
      <w:lvlJc w:val="right"/>
      <w:pPr>
        <w:ind w:left="2160" w:hanging="180"/>
      </w:pPr>
    </w:lvl>
    <w:lvl w:ilvl="3" w:tplc="929049B8" w:tentative="1">
      <w:start w:val="1"/>
      <w:numFmt w:val="decimal"/>
      <w:lvlText w:val="%4."/>
      <w:lvlJc w:val="left"/>
      <w:pPr>
        <w:ind w:left="2880" w:hanging="360"/>
      </w:pPr>
    </w:lvl>
    <w:lvl w:ilvl="4" w:tplc="7408FB32" w:tentative="1">
      <w:start w:val="1"/>
      <w:numFmt w:val="lowerLetter"/>
      <w:lvlText w:val="%5."/>
      <w:lvlJc w:val="left"/>
      <w:pPr>
        <w:ind w:left="3600" w:hanging="360"/>
      </w:pPr>
    </w:lvl>
    <w:lvl w:ilvl="5" w:tplc="326E0D78" w:tentative="1">
      <w:start w:val="1"/>
      <w:numFmt w:val="lowerRoman"/>
      <w:lvlText w:val="%6."/>
      <w:lvlJc w:val="right"/>
      <w:pPr>
        <w:ind w:left="4320" w:hanging="180"/>
      </w:pPr>
    </w:lvl>
    <w:lvl w:ilvl="6" w:tplc="2D1E54E6" w:tentative="1">
      <w:start w:val="1"/>
      <w:numFmt w:val="decimal"/>
      <w:lvlText w:val="%7."/>
      <w:lvlJc w:val="left"/>
      <w:pPr>
        <w:ind w:left="5040" w:hanging="360"/>
      </w:pPr>
    </w:lvl>
    <w:lvl w:ilvl="7" w:tplc="9012786C" w:tentative="1">
      <w:start w:val="1"/>
      <w:numFmt w:val="lowerLetter"/>
      <w:lvlText w:val="%8."/>
      <w:lvlJc w:val="left"/>
      <w:pPr>
        <w:ind w:left="5760" w:hanging="360"/>
      </w:pPr>
    </w:lvl>
    <w:lvl w:ilvl="8" w:tplc="425AD5CC" w:tentative="1">
      <w:start w:val="1"/>
      <w:numFmt w:val="lowerRoman"/>
      <w:lvlText w:val="%9."/>
      <w:lvlJc w:val="right"/>
      <w:pPr>
        <w:ind w:left="6480" w:hanging="180"/>
      </w:pPr>
    </w:lvl>
  </w:abstractNum>
  <w:num w:numId="1">
    <w:abstractNumId w:val="6"/>
  </w:num>
  <w:num w:numId="2">
    <w:abstractNumId w:val="33"/>
  </w:num>
  <w:num w:numId="3">
    <w:abstractNumId w:val="18"/>
  </w:num>
  <w:num w:numId="4">
    <w:abstractNumId w:val="19"/>
  </w:num>
  <w:num w:numId="5">
    <w:abstractNumId w:val="5"/>
  </w:num>
  <w:num w:numId="6">
    <w:abstractNumId w:val="29"/>
  </w:num>
  <w:num w:numId="7">
    <w:abstractNumId w:val="23"/>
  </w:num>
  <w:num w:numId="8">
    <w:abstractNumId w:val="15"/>
  </w:num>
  <w:num w:numId="9">
    <w:abstractNumId w:val="4"/>
  </w:num>
  <w:num w:numId="10">
    <w:abstractNumId w:val="3"/>
  </w:num>
  <w:num w:numId="11">
    <w:abstractNumId w:val="2"/>
  </w:num>
  <w:num w:numId="12">
    <w:abstractNumId w:val="1"/>
  </w:num>
  <w:num w:numId="13">
    <w:abstractNumId w:val="0"/>
  </w:num>
  <w:num w:numId="14">
    <w:abstractNumId w:val="47"/>
  </w:num>
  <w:num w:numId="15">
    <w:abstractNumId w:val="9"/>
  </w:num>
  <w:num w:numId="16">
    <w:abstractNumId w:val="41"/>
  </w:num>
  <w:num w:numId="17">
    <w:abstractNumId w:val="8"/>
  </w:num>
  <w:num w:numId="18">
    <w:abstractNumId w:val="25"/>
  </w:num>
  <w:num w:numId="19">
    <w:abstractNumId w:val="22"/>
  </w:num>
  <w:num w:numId="20">
    <w:abstractNumId w:val="37"/>
  </w:num>
  <w:num w:numId="21">
    <w:abstractNumId w:val="14"/>
  </w:num>
  <w:num w:numId="22">
    <w:abstractNumId w:val="44"/>
  </w:num>
  <w:num w:numId="23">
    <w:abstractNumId w:val="30"/>
  </w:num>
  <w:num w:numId="24">
    <w:abstractNumId w:val="13"/>
  </w:num>
  <w:num w:numId="25">
    <w:abstractNumId w:val="42"/>
  </w:num>
  <w:num w:numId="26">
    <w:abstractNumId w:val="7"/>
  </w:num>
  <w:num w:numId="27">
    <w:abstractNumId w:val="34"/>
  </w:num>
  <w:num w:numId="28">
    <w:abstractNumId w:val="26"/>
  </w:num>
  <w:num w:numId="29">
    <w:abstractNumId w:val="46"/>
  </w:num>
  <w:num w:numId="3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3"/>
  </w:num>
  <w:num w:numId="32">
    <w:abstractNumId w:val="33"/>
  </w:num>
  <w:num w:numId="33">
    <w:abstractNumId w:val="12"/>
  </w:num>
  <w:num w:numId="34">
    <w:abstractNumId w:val="40"/>
  </w:num>
  <w:num w:numId="35">
    <w:abstractNumId w:val="28"/>
  </w:num>
  <w:num w:numId="36">
    <w:abstractNumId w:val="17"/>
  </w:num>
  <w:num w:numId="37">
    <w:abstractNumId w:val="20"/>
  </w:num>
  <w:num w:numId="38">
    <w:abstractNumId w:val="45"/>
  </w:num>
  <w:num w:numId="39">
    <w:abstractNumId w:val="21"/>
  </w:num>
  <w:num w:numId="40">
    <w:abstractNumId w:val="35"/>
  </w:num>
  <w:num w:numId="41">
    <w:abstractNumId w:val="24"/>
  </w:num>
  <w:num w:numId="42">
    <w:abstractNumId w:val="43"/>
  </w:num>
  <w:num w:numId="43">
    <w:abstractNumId w:val="16"/>
  </w:num>
  <w:num w:numId="44">
    <w:abstractNumId w:val="27"/>
  </w:num>
  <w:num w:numId="45">
    <w:abstractNumId w:val="36"/>
  </w:num>
  <w:num w:numId="46">
    <w:abstractNumId w:val="39"/>
  </w:num>
  <w:num w:numId="47">
    <w:abstractNumId w:val="11"/>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5436"/>
    <w:rsid w:val="000000C2"/>
    <w:rsid w:val="00000F92"/>
    <w:rsid w:val="00001043"/>
    <w:rsid w:val="000014F8"/>
    <w:rsid w:val="00001B74"/>
    <w:rsid w:val="00001DAF"/>
    <w:rsid w:val="00002A5E"/>
    <w:rsid w:val="000033CA"/>
    <w:rsid w:val="00004DDC"/>
    <w:rsid w:val="0000639C"/>
    <w:rsid w:val="000067FA"/>
    <w:rsid w:val="00007A30"/>
    <w:rsid w:val="000106C4"/>
    <w:rsid w:val="000110CC"/>
    <w:rsid w:val="000115B0"/>
    <w:rsid w:val="00011988"/>
    <w:rsid w:val="00012987"/>
    <w:rsid w:val="0001386E"/>
    <w:rsid w:val="0001408F"/>
    <w:rsid w:val="00014A44"/>
    <w:rsid w:val="00020127"/>
    <w:rsid w:val="00020611"/>
    <w:rsid w:val="000209FA"/>
    <w:rsid w:val="0002117B"/>
    <w:rsid w:val="000213ED"/>
    <w:rsid w:val="00022304"/>
    <w:rsid w:val="0002302C"/>
    <w:rsid w:val="0002409B"/>
    <w:rsid w:val="00024767"/>
    <w:rsid w:val="00024AE7"/>
    <w:rsid w:val="00024B2F"/>
    <w:rsid w:val="00026CBD"/>
    <w:rsid w:val="00026E28"/>
    <w:rsid w:val="0002728D"/>
    <w:rsid w:val="000278A8"/>
    <w:rsid w:val="00027C05"/>
    <w:rsid w:val="000318CA"/>
    <w:rsid w:val="0003289F"/>
    <w:rsid w:val="00032C68"/>
    <w:rsid w:val="00033742"/>
    <w:rsid w:val="00035A45"/>
    <w:rsid w:val="00037CB6"/>
    <w:rsid w:val="00040A60"/>
    <w:rsid w:val="0004440D"/>
    <w:rsid w:val="00044519"/>
    <w:rsid w:val="0004488A"/>
    <w:rsid w:val="000459DD"/>
    <w:rsid w:val="00051303"/>
    <w:rsid w:val="00052A65"/>
    <w:rsid w:val="00053DF7"/>
    <w:rsid w:val="0005414E"/>
    <w:rsid w:val="0005644B"/>
    <w:rsid w:val="00056F7F"/>
    <w:rsid w:val="00060962"/>
    <w:rsid w:val="00060D0E"/>
    <w:rsid w:val="000645CC"/>
    <w:rsid w:val="00066C12"/>
    <w:rsid w:val="00066D70"/>
    <w:rsid w:val="00067C3E"/>
    <w:rsid w:val="0007040F"/>
    <w:rsid w:val="000717BE"/>
    <w:rsid w:val="0007280F"/>
    <w:rsid w:val="00072D38"/>
    <w:rsid w:val="00074357"/>
    <w:rsid w:val="00074D97"/>
    <w:rsid w:val="00074DC0"/>
    <w:rsid w:val="000763EA"/>
    <w:rsid w:val="00076448"/>
    <w:rsid w:val="00076734"/>
    <w:rsid w:val="000767BA"/>
    <w:rsid w:val="000812AE"/>
    <w:rsid w:val="00083108"/>
    <w:rsid w:val="0008330B"/>
    <w:rsid w:val="000839A3"/>
    <w:rsid w:val="00090C0E"/>
    <w:rsid w:val="00090D6B"/>
    <w:rsid w:val="000910A7"/>
    <w:rsid w:val="00092145"/>
    <w:rsid w:val="00092214"/>
    <w:rsid w:val="000927BA"/>
    <w:rsid w:val="00092C56"/>
    <w:rsid w:val="00092E86"/>
    <w:rsid w:val="0009328A"/>
    <w:rsid w:val="00094E2D"/>
    <w:rsid w:val="00095BEC"/>
    <w:rsid w:val="0009606E"/>
    <w:rsid w:val="00096F76"/>
    <w:rsid w:val="00097EBA"/>
    <w:rsid w:val="000A0BB0"/>
    <w:rsid w:val="000A0C5F"/>
    <w:rsid w:val="000A0D22"/>
    <w:rsid w:val="000A1031"/>
    <w:rsid w:val="000A14B8"/>
    <w:rsid w:val="000A198B"/>
    <w:rsid w:val="000A462F"/>
    <w:rsid w:val="000A5E95"/>
    <w:rsid w:val="000A65E5"/>
    <w:rsid w:val="000A72F8"/>
    <w:rsid w:val="000B12A9"/>
    <w:rsid w:val="000B1C66"/>
    <w:rsid w:val="000B29B2"/>
    <w:rsid w:val="000B4297"/>
    <w:rsid w:val="000B4955"/>
    <w:rsid w:val="000B5A10"/>
    <w:rsid w:val="000B5C9F"/>
    <w:rsid w:val="000B7E75"/>
    <w:rsid w:val="000C1D0A"/>
    <w:rsid w:val="000C2484"/>
    <w:rsid w:val="000C2E05"/>
    <w:rsid w:val="000C68BF"/>
    <w:rsid w:val="000C6A56"/>
    <w:rsid w:val="000C6BD6"/>
    <w:rsid w:val="000C7C2B"/>
    <w:rsid w:val="000D334E"/>
    <w:rsid w:val="000D3719"/>
    <w:rsid w:val="000D4605"/>
    <w:rsid w:val="000D4BEC"/>
    <w:rsid w:val="000E031B"/>
    <w:rsid w:val="000E4C53"/>
    <w:rsid w:val="000E5A3D"/>
    <w:rsid w:val="000E6052"/>
    <w:rsid w:val="000E651B"/>
    <w:rsid w:val="000F1EDB"/>
    <w:rsid w:val="000F232D"/>
    <w:rsid w:val="000F2340"/>
    <w:rsid w:val="000F3348"/>
    <w:rsid w:val="000F3500"/>
    <w:rsid w:val="000F3E1D"/>
    <w:rsid w:val="000F52E6"/>
    <w:rsid w:val="000F71D3"/>
    <w:rsid w:val="00100B77"/>
    <w:rsid w:val="00102A25"/>
    <w:rsid w:val="0010318E"/>
    <w:rsid w:val="001040CE"/>
    <w:rsid w:val="0010453E"/>
    <w:rsid w:val="0010577C"/>
    <w:rsid w:val="00105FBC"/>
    <w:rsid w:val="00106F24"/>
    <w:rsid w:val="00110F67"/>
    <w:rsid w:val="00113459"/>
    <w:rsid w:val="00113709"/>
    <w:rsid w:val="00113CF2"/>
    <w:rsid w:val="0011641D"/>
    <w:rsid w:val="0011642E"/>
    <w:rsid w:val="001173D2"/>
    <w:rsid w:val="00117DFF"/>
    <w:rsid w:val="001223EC"/>
    <w:rsid w:val="00122891"/>
    <w:rsid w:val="00123DD0"/>
    <w:rsid w:val="00123FAD"/>
    <w:rsid w:val="001245F5"/>
    <w:rsid w:val="00124D94"/>
    <w:rsid w:val="001256D9"/>
    <w:rsid w:val="0012683D"/>
    <w:rsid w:val="001313AB"/>
    <w:rsid w:val="00131AF8"/>
    <w:rsid w:val="001321F1"/>
    <w:rsid w:val="00132641"/>
    <w:rsid w:val="00133ADF"/>
    <w:rsid w:val="00133FC1"/>
    <w:rsid w:val="001345B2"/>
    <w:rsid w:val="00134C60"/>
    <w:rsid w:val="001350CD"/>
    <w:rsid w:val="00135690"/>
    <w:rsid w:val="001360AB"/>
    <w:rsid w:val="001368D7"/>
    <w:rsid w:val="00136BDD"/>
    <w:rsid w:val="00136D23"/>
    <w:rsid w:val="0013718C"/>
    <w:rsid w:val="0013771E"/>
    <w:rsid w:val="00141017"/>
    <w:rsid w:val="0014309A"/>
    <w:rsid w:val="00144867"/>
    <w:rsid w:val="00144F3B"/>
    <w:rsid w:val="00145725"/>
    <w:rsid w:val="00145F95"/>
    <w:rsid w:val="00146171"/>
    <w:rsid w:val="001473E4"/>
    <w:rsid w:val="00147DA6"/>
    <w:rsid w:val="00151051"/>
    <w:rsid w:val="001548AC"/>
    <w:rsid w:val="00156231"/>
    <w:rsid w:val="001564A4"/>
    <w:rsid w:val="0015696A"/>
    <w:rsid w:val="00156E2F"/>
    <w:rsid w:val="00157D99"/>
    <w:rsid w:val="00160423"/>
    <w:rsid w:val="00161A2F"/>
    <w:rsid w:val="00161EEB"/>
    <w:rsid w:val="0016322B"/>
    <w:rsid w:val="0016383C"/>
    <w:rsid w:val="001642B5"/>
    <w:rsid w:val="0016443C"/>
    <w:rsid w:val="00164F66"/>
    <w:rsid w:val="00166299"/>
    <w:rsid w:val="00166ABA"/>
    <w:rsid w:val="0017017C"/>
    <w:rsid w:val="0017225B"/>
    <w:rsid w:val="00172513"/>
    <w:rsid w:val="00173352"/>
    <w:rsid w:val="0017368C"/>
    <w:rsid w:val="001740BB"/>
    <w:rsid w:val="00174D34"/>
    <w:rsid w:val="00176A22"/>
    <w:rsid w:val="00176CBE"/>
    <w:rsid w:val="00176DF8"/>
    <w:rsid w:val="0018020B"/>
    <w:rsid w:val="001802DD"/>
    <w:rsid w:val="00181D58"/>
    <w:rsid w:val="00181E75"/>
    <w:rsid w:val="001838F8"/>
    <w:rsid w:val="00183DAF"/>
    <w:rsid w:val="00183EB0"/>
    <w:rsid w:val="001842F4"/>
    <w:rsid w:val="00184673"/>
    <w:rsid w:val="001863E6"/>
    <w:rsid w:val="001866C8"/>
    <w:rsid w:val="0018756A"/>
    <w:rsid w:val="00190724"/>
    <w:rsid w:val="00193D49"/>
    <w:rsid w:val="00193FB5"/>
    <w:rsid w:val="0019535F"/>
    <w:rsid w:val="001962E6"/>
    <w:rsid w:val="001A1780"/>
    <w:rsid w:val="001A23A7"/>
    <w:rsid w:val="001A3AB5"/>
    <w:rsid w:val="001A3C4D"/>
    <w:rsid w:val="001A4348"/>
    <w:rsid w:val="001A45DF"/>
    <w:rsid w:val="001A57D4"/>
    <w:rsid w:val="001A7AB1"/>
    <w:rsid w:val="001B0325"/>
    <w:rsid w:val="001B04CA"/>
    <w:rsid w:val="001B0587"/>
    <w:rsid w:val="001B09D9"/>
    <w:rsid w:val="001B09E6"/>
    <w:rsid w:val="001B2EA8"/>
    <w:rsid w:val="001B3C1C"/>
    <w:rsid w:val="001B3E89"/>
    <w:rsid w:val="001B485F"/>
    <w:rsid w:val="001B4B79"/>
    <w:rsid w:val="001B52D8"/>
    <w:rsid w:val="001B62DA"/>
    <w:rsid w:val="001B665F"/>
    <w:rsid w:val="001B7109"/>
    <w:rsid w:val="001B7657"/>
    <w:rsid w:val="001C0BB7"/>
    <w:rsid w:val="001C1200"/>
    <w:rsid w:val="001C210F"/>
    <w:rsid w:val="001C2D04"/>
    <w:rsid w:val="001C4CDC"/>
    <w:rsid w:val="001C503B"/>
    <w:rsid w:val="001C572B"/>
    <w:rsid w:val="001C609B"/>
    <w:rsid w:val="001C63F8"/>
    <w:rsid w:val="001C6E4D"/>
    <w:rsid w:val="001C76B5"/>
    <w:rsid w:val="001D0473"/>
    <w:rsid w:val="001D0D12"/>
    <w:rsid w:val="001D1ADF"/>
    <w:rsid w:val="001D1C5A"/>
    <w:rsid w:val="001D2C0C"/>
    <w:rsid w:val="001D3018"/>
    <w:rsid w:val="001D469F"/>
    <w:rsid w:val="001D5142"/>
    <w:rsid w:val="001D54F2"/>
    <w:rsid w:val="001D5C65"/>
    <w:rsid w:val="001D6212"/>
    <w:rsid w:val="001D70E3"/>
    <w:rsid w:val="001E13B3"/>
    <w:rsid w:val="001E328B"/>
    <w:rsid w:val="001E378F"/>
    <w:rsid w:val="001E38E4"/>
    <w:rsid w:val="001E3BC9"/>
    <w:rsid w:val="001E4552"/>
    <w:rsid w:val="001E49D6"/>
    <w:rsid w:val="001F088B"/>
    <w:rsid w:val="001F0A46"/>
    <w:rsid w:val="001F0B69"/>
    <w:rsid w:val="001F13E1"/>
    <w:rsid w:val="001F2926"/>
    <w:rsid w:val="001F2F1C"/>
    <w:rsid w:val="001F300D"/>
    <w:rsid w:val="001F3B05"/>
    <w:rsid w:val="001F4458"/>
    <w:rsid w:val="001F4B65"/>
    <w:rsid w:val="001F65AB"/>
    <w:rsid w:val="002014DC"/>
    <w:rsid w:val="00202973"/>
    <w:rsid w:val="00202978"/>
    <w:rsid w:val="00202DAB"/>
    <w:rsid w:val="00204498"/>
    <w:rsid w:val="00205CD6"/>
    <w:rsid w:val="00205E8E"/>
    <w:rsid w:val="00206015"/>
    <w:rsid w:val="00210923"/>
    <w:rsid w:val="00211877"/>
    <w:rsid w:val="002136EC"/>
    <w:rsid w:val="00215015"/>
    <w:rsid w:val="002150AD"/>
    <w:rsid w:val="0022047E"/>
    <w:rsid w:val="00220ACA"/>
    <w:rsid w:val="0022149E"/>
    <w:rsid w:val="002218A2"/>
    <w:rsid w:val="002222F1"/>
    <w:rsid w:val="00222905"/>
    <w:rsid w:val="002229A8"/>
    <w:rsid w:val="00222F4C"/>
    <w:rsid w:val="002235BF"/>
    <w:rsid w:val="00224AD1"/>
    <w:rsid w:val="00224FFC"/>
    <w:rsid w:val="0022513D"/>
    <w:rsid w:val="00225865"/>
    <w:rsid w:val="0022592F"/>
    <w:rsid w:val="002262A5"/>
    <w:rsid w:val="002268D4"/>
    <w:rsid w:val="0022721A"/>
    <w:rsid w:val="002315B7"/>
    <w:rsid w:val="002327D5"/>
    <w:rsid w:val="00233206"/>
    <w:rsid w:val="00234955"/>
    <w:rsid w:val="002351E9"/>
    <w:rsid w:val="00235462"/>
    <w:rsid w:val="0024038B"/>
    <w:rsid w:val="00241853"/>
    <w:rsid w:val="00241AE7"/>
    <w:rsid w:val="00243547"/>
    <w:rsid w:val="00245B30"/>
    <w:rsid w:val="00245E48"/>
    <w:rsid w:val="00246795"/>
    <w:rsid w:val="00250446"/>
    <w:rsid w:val="00250EB6"/>
    <w:rsid w:val="00251900"/>
    <w:rsid w:val="00251A67"/>
    <w:rsid w:val="00252FFC"/>
    <w:rsid w:val="002539CF"/>
    <w:rsid w:val="00255F6A"/>
    <w:rsid w:val="00257039"/>
    <w:rsid w:val="002576AB"/>
    <w:rsid w:val="00257CE9"/>
    <w:rsid w:val="00257F38"/>
    <w:rsid w:val="002600C6"/>
    <w:rsid w:val="002601DD"/>
    <w:rsid w:val="002608F4"/>
    <w:rsid w:val="00260EF5"/>
    <w:rsid w:val="0026119D"/>
    <w:rsid w:val="002630FA"/>
    <w:rsid w:val="00263167"/>
    <w:rsid w:val="002634FE"/>
    <w:rsid w:val="002649FC"/>
    <w:rsid w:val="0027062E"/>
    <w:rsid w:val="0027146D"/>
    <w:rsid w:val="00271D0E"/>
    <w:rsid w:val="002723EE"/>
    <w:rsid w:val="00272EAD"/>
    <w:rsid w:val="00273E03"/>
    <w:rsid w:val="00274391"/>
    <w:rsid w:val="00274416"/>
    <w:rsid w:val="00277524"/>
    <w:rsid w:val="00280B5B"/>
    <w:rsid w:val="00282318"/>
    <w:rsid w:val="002826D7"/>
    <w:rsid w:val="002848C1"/>
    <w:rsid w:val="0028697F"/>
    <w:rsid w:val="00286F62"/>
    <w:rsid w:val="002876FE"/>
    <w:rsid w:val="00287C83"/>
    <w:rsid w:val="0029025E"/>
    <w:rsid w:val="0029142C"/>
    <w:rsid w:val="00291584"/>
    <w:rsid w:val="00291F26"/>
    <w:rsid w:val="0029244E"/>
    <w:rsid w:val="002933F8"/>
    <w:rsid w:val="00294348"/>
    <w:rsid w:val="00297D77"/>
    <w:rsid w:val="002A08BF"/>
    <w:rsid w:val="002A48B0"/>
    <w:rsid w:val="002A5258"/>
    <w:rsid w:val="002A7D10"/>
    <w:rsid w:val="002A7DA6"/>
    <w:rsid w:val="002B1E1B"/>
    <w:rsid w:val="002B407C"/>
    <w:rsid w:val="002B43BE"/>
    <w:rsid w:val="002B4FD0"/>
    <w:rsid w:val="002B55ED"/>
    <w:rsid w:val="002B5AEB"/>
    <w:rsid w:val="002B5C29"/>
    <w:rsid w:val="002B6278"/>
    <w:rsid w:val="002B6FD7"/>
    <w:rsid w:val="002B744B"/>
    <w:rsid w:val="002B74CF"/>
    <w:rsid w:val="002C1AF6"/>
    <w:rsid w:val="002C1DE8"/>
    <w:rsid w:val="002C2D54"/>
    <w:rsid w:val="002C3316"/>
    <w:rsid w:val="002C4729"/>
    <w:rsid w:val="002C519F"/>
    <w:rsid w:val="002C51D4"/>
    <w:rsid w:val="002C538F"/>
    <w:rsid w:val="002C5A47"/>
    <w:rsid w:val="002C671C"/>
    <w:rsid w:val="002D0732"/>
    <w:rsid w:val="002D268A"/>
    <w:rsid w:val="002D2841"/>
    <w:rsid w:val="002D3A27"/>
    <w:rsid w:val="002D77F5"/>
    <w:rsid w:val="002D7AC9"/>
    <w:rsid w:val="002E05A6"/>
    <w:rsid w:val="002E0E5B"/>
    <w:rsid w:val="002E181C"/>
    <w:rsid w:val="002E396F"/>
    <w:rsid w:val="002E404D"/>
    <w:rsid w:val="002E4675"/>
    <w:rsid w:val="002E5436"/>
    <w:rsid w:val="002E6400"/>
    <w:rsid w:val="002F13FD"/>
    <w:rsid w:val="002F1F7F"/>
    <w:rsid w:val="002F3129"/>
    <w:rsid w:val="002F42F4"/>
    <w:rsid w:val="002F69C1"/>
    <w:rsid w:val="002F7AA1"/>
    <w:rsid w:val="0030038A"/>
    <w:rsid w:val="0030185A"/>
    <w:rsid w:val="0030285B"/>
    <w:rsid w:val="0030439A"/>
    <w:rsid w:val="003047E0"/>
    <w:rsid w:val="0030606A"/>
    <w:rsid w:val="00306502"/>
    <w:rsid w:val="00315091"/>
    <w:rsid w:val="00315C76"/>
    <w:rsid w:val="00315EBB"/>
    <w:rsid w:val="0032065B"/>
    <w:rsid w:val="00322E09"/>
    <w:rsid w:val="00323541"/>
    <w:rsid w:val="00323EAA"/>
    <w:rsid w:val="00330C5C"/>
    <w:rsid w:val="00331523"/>
    <w:rsid w:val="003316AA"/>
    <w:rsid w:val="00333D28"/>
    <w:rsid w:val="003341DC"/>
    <w:rsid w:val="00334CCA"/>
    <w:rsid w:val="00336059"/>
    <w:rsid w:val="0034369B"/>
    <w:rsid w:val="003438D3"/>
    <w:rsid w:val="00343C78"/>
    <w:rsid w:val="00343D53"/>
    <w:rsid w:val="0034414B"/>
    <w:rsid w:val="00346A23"/>
    <w:rsid w:val="00347685"/>
    <w:rsid w:val="00347DB3"/>
    <w:rsid w:val="00352261"/>
    <w:rsid w:val="00353191"/>
    <w:rsid w:val="00353EC0"/>
    <w:rsid w:val="003550DB"/>
    <w:rsid w:val="003563AC"/>
    <w:rsid w:val="00356A3F"/>
    <w:rsid w:val="00357E6F"/>
    <w:rsid w:val="003627B1"/>
    <w:rsid w:val="00362A29"/>
    <w:rsid w:val="00362E9E"/>
    <w:rsid w:val="003631FE"/>
    <w:rsid w:val="00363D74"/>
    <w:rsid w:val="00364D1C"/>
    <w:rsid w:val="00364FCA"/>
    <w:rsid w:val="0036555C"/>
    <w:rsid w:val="003656EC"/>
    <w:rsid w:val="0036574F"/>
    <w:rsid w:val="003657B2"/>
    <w:rsid w:val="003660F6"/>
    <w:rsid w:val="003668C6"/>
    <w:rsid w:val="00366F85"/>
    <w:rsid w:val="00370908"/>
    <w:rsid w:val="003729F0"/>
    <w:rsid w:val="00373767"/>
    <w:rsid w:val="00373E30"/>
    <w:rsid w:val="0037496E"/>
    <w:rsid w:val="0037526E"/>
    <w:rsid w:val="00375AE9"/>
    <w:rsid w:val="00376922"/>
    <w:rsid w:val="00376C67"/>
    <w:rsid w:val="00376FF7"/>
    <w:rsid w:val="003770F8"/>
    <w:rsid w:val="00377648"/>
    <w:rsid w:val="00377A5D"/>
    <w:rsid w:val="00377B05"/>
    <w:rsid w:val="00377EED"/>
    <w:rsid w:val="0038049D"/>
    <w:rsid w:val="00382C5F"/>
    <w:rsid w:val="003833FD"/>
    <w:rsid w:val="00383425"/>
    <w:rsid w:val="003841FC"/>
    <w:rsid w:val="00386338"/>
    <w:rsid w:val="00386706"/>
    <w:rsid w:val="003873D7"/>
    <w:rsid w:val="003874E4"/>
    <w:rsid w:val="003874EB"/>
    <w:rsid w:val="003908EB"/>
    <w:rsid w:val="00390BC3"/>
    <w:rsid w:val="0039193D"/>
    <w:rsid w:val="003921A4"/>
    <w:rsid w:val="00395260"/>
    <w:rsid w:val="00396B62"/>
    <w:rsid w:val="003A0CDA"/>
    <w:rsid w:val="003A199A"/>
    <w:rsid w:val="003A21C8"/>
    <w:rsid w:val="003A2C48"/>
    <w:rsid w:val="003A4DD7"/>
    <w:rsid w:val="003A69DB"/>
    <w:rsid w:val="003B0599"/>
    <w:rsid w:val="003B2A3D"/>
    <w:rsid w:val="003B40D0"/>
    <w:rsid w:val="003B4727"/>
    <w:rsid w:val="003B4B25"/>
    <w:rsid w:val="003B72B7"/>
    <w:rsid w:val="003B74BC"/>
    <w:rsid w:val="003C1CB5"/>
    <w:rsid w:val="003C3201"/>
    <w:rsid w:val="003C3753"/>
    <w:rsid w:val="003C4135"/>
    <w:rsid w:val="003C54C9"/>
    <w:rsid w:val="003C65F1"/>
    <w:rsid w:val="003C7811"/>
    <w:rsid w:val="003D0625"/>
    <w:rsid w:val="003D0A36"/>
    <w:rsid w:val="003D1E1C"/>
    <w:rsid w:val="003D2039"/>
    <w:rsid w:val="003D2902"/>
    <w:rsid w:val="003D2F60"/>
    <w:rsid w:val="003D4366"/>
    <w:rsid w:val="003D44C4"/>
    <w:rsid w:val="003D4F07"/>
    <w:rsid w:val="003D52B7"/>
    <w:rsid w:val="003D5431"/>
    <w:rsid w:val="003D6D0B"/>
    <w:rsid w:val="003E3E8C"/>
    <w:rsid w:val="003E4FA3"/>
    <w:rsid w:val="003E7509"/>
    <w:rsid w:val="003F06FF"/>
    <w:rsid w:val="003F1C5D"/>
    <w:rsid w:val="003F3B33"/>
    <w:rsid w:val="003F626A"/>
    <w:rsid w:val="003F76D5"/>
    <w:rsid w:val="003F7810"/>
    <w:rsid w:val="00400F7C"/>
    <w:rsid w:val="00401C86"/>
    <w:rsid w:val="00402F0D"/>
    <w:rsid w:val="00404F9C"/>
    <w:rsid w:val="0040508D"/>
    <w:rsid w:val="00405805"/>
    <w:rsid w:val="00405A77"/>
    <w:rsid w:val="00406020"/>
    <w:rsid w:val="004068BC"/>
    <w:rsid w:val="004105E9"/>
    <w:rsid w:val="004113F5"/>
    <w:rsid w:val="00411C26"/>
    <w:rsid w:val="004126C0"/>
    <w:rsid w:val="004126CB"/>
    <w:rsid w:val="004128DA"/>
    <w:rsid w:val="00413A43"/>
    <w:rsid w:val="004147A7"/>
    <w:rsid w:val="00415016"/>
    <w:rsid w:val="0041576D"/>
    <w:rsid w:val="00416045"/>
    <w:rsid w:val="0042003A"/>
    <w:rsid w:val="00422823"/>
    <w:rsid w:val="0042450F"/>
    <w:rsid w:val="0042602C"/>
    <w:rsid w:val="00426AB4"/>
    <w:rsid w:val="00427A64"/>
    <w:rsid w:val="00430054"/>
    <w:rsid w:val="004300D8"/>
    <w:rsid w:val="0043067F"/>
    <w:rsid w:val="004324B4"/>
    <w:rsid w:val="00433761"/>
    <w:rsid w:val="00436D42"/>
    <w:rsid w:val="004401D5"/>
    <w:rsid w:val="0044147D"/>
    <w:rsid w:val="00442EDE"/>
    <w:rsid w:val="00443092"/>
    <w:rsid w:val="004454D3"/>
    <w:rsid w:val="00447F11"/>
    <w:rsid w:val="004516D6"/>
    <w:rsid w:val="0045191F"/>
    <w:rsid w:val="0045279B"/>
    <w:rsid w:val="00453EE6"/>
    <w:rsid w:val="0045425C"/>
    <w:rsid w:val="004568BE"/>
    <w:rsid w:val="00456D72"/>
    <w:rsid w:val="00456E3D"/>
    <w:rsid w:val="00457797"/>
    <w:rsid w:val="004603CD"/>
    <w:rsid w:val="00461688"/>
    <w:rsid w:val="00462365"/>
    <w:rsid w:val="00462E6A"/>
    <w:rsid w:val="00463845"/>
    <w:rsid w:val="004675C6"/>
    <w:rsid w:val="00470A2A"/>
    <w:rsid w:val="004722DA"/>
    <w:rsid w:val="00474165"/>
    <w:rsid w:val="00475AD0"/>
    <w:rsid w:val="00476AEB"/>
    <w:rsid w:val="00476F39"/>
    <w:rsid w:val="004771C4"/>
    <w:rsid w:val="00477C7D"/>
    <w:rsid w:val="00480506"/>
    <w:rsid w:val="00480E50"/>
    <w:rsid w:val="00480FD1"/>
    <w:rsid w:val="00481688"/>
    <w:rsid w:val="00482D04"/>
    <w:rsid w:val="00484111"/>
    <w:rsid w:val="004900A1"/>
    <w:rsid w:val="004909B0"/>
    <w:rsid w:val="0049625F"/>
    <w:rsid w:val="00497D0E"/>
    <w:rsid w:val="004A225E"/>
    <w:rsid w:val="004A2D0B"/>
    <w:rsid w:val="004A2E7B"/>
    <w:rsid w:val="004A31F5"/>
    <w:rsid w:val="004A3B27"/>
    <w:rsid w:val="004A3BBB"/>
    <w:rsid w:val="004A3BE6"/>
    <w:rsid w:val="004A4371"/>
    <w:rsid w:val="004A48ED"/>
    <w:rsid w:val="004A64B8"/>
    <w:rsid w:val="004B3200"/>
    <w:rsid w:val="004B4E34"/>
    <w:rsid w:val="004B6951"/>
    <w:rsid w:val="004B6EF6"/>
    <w:rsid w:val="004B7205"/>
    <w:rsid w:val="004B7B71"/>
    <w:rsid w:val="004C0636"/>
    <w:rsid w:val="004C1460"/>
    <w:rsid w:val="004C50CD"/>
    <w:rsid w:val="004C5A51"/>
    <w:rsid w:val="004C5C6B"/>
    <w:rsid w:val="004C62BB"/>
    <w:rsid w:val="004C6943"/>
    <w:rsid w:val="004C777D"/>
    <w:rsid w:val="004D0197"/>
    <w:rsid w:val="004D0392"/>
    <w:rsid w:val="004D0A59"/>
    <w:rsid w:val="004D1EED"/>
    <w:rsid w:val="004D22DF"/>
    <w:rsid w:val="004D267E"/>
    <w:rsid w:val="004D2D01"/>
    <w:rsid w:val="004D34B9"/>
    <w:rsid w:val="004D3E99"/>
    <w:rsid w:val="004D4D43"/>
    <w:rsid w:val="004D4E92"/>
    <w:rsid w:val="004D5500"/>
    <w:rsid w:val="004E1F9F"/>
    <w:rsid w:val="004E445C"/>
    <w:rsid w:val="004E6FB0"/>
    <w:rsid w:val="004E70A8"/>
    <w:rsid w:val="004E78BC"/>
    <w:rsid w:val="004F0E37"/>
    <w:rsid w:val="004F1E92"/>
    <w:rsid w:val="004F2229"/>
    <w:rsid w:val="004F2D68"/>
    <w:rsid w:val="004F4E7F"/>
    <w:rsid w:val="004F6B43"/>
    <w:rsid w:val="004F6EE0"/>
    <w:rsid w:val="004F7145"/>
    <w:rsid w:val="004F7A57"/>
    <w:rsid w:val="0050062B"/>
    <w:rsid w:val="005009A0"/>
    <w:rsid w:val="0050116C"/>
    <w:rsid w:val="00502279"/>
    <w:rsid w:val="00502DB6"/>
    <w:rsid w:val="00502DD6"/>
    <w:rsid w:val="0050537E"/>
    <w:rsid w:val="00505473"/>
    <w:rsid w:val="005054EC"/>
    <w:rsid w:val="00506230"/>
    <w:rsid w:val="0050660C"/>
    <w:rsid w:val="00513920"/>
    <w:rsid w:val="00513D04"/>
    <w:rsid w:val="005147FE"/>
    <w:rsid w:val="00515D51"/>
    <w:rsid w:val="00517904"/>
    <w:rsid w:val="00517AFB"/>
    <w:rsid w:val="0052086C"/>
    <w:rsid w:val="00522AAC"/>
    <w:rsid w:val="0052365A"/>
    <w:rsid w:val="005237BF"/>
    <w:rsid w:val="0052487A"/>
    <w:rsid w:val="00525DEB"/>
    <w:rsid w:val="00527040"/>
    <w:rsid w:val="00531417"/>
    <w:rsid w:val="0053220D"/>
    <w:rsid w:val="005334EA"/>
    <w:rsid w:val="00533F76"/>
    <w:rsid w:val="00535C7D"/>
    <w:rsid w:val="005364E3"/>
    <w:rsid w:val="00547C3B"/>
    <w:rsid w:val="0055006C"/>
    <w:rsid w:val="00551203"/>
    <w:rsid w:val="00551397"/>
    <w:rsid w:val="00554A13"/>
    <w:rsid w:val="005571B2"/>
    <w:rsid w:val="00561AE0"/>
    <w:rsid w:val="00561BB6"/>
    <w:rsid w:val="00563F76"/>
    <w:rsid w:val="00564CCA"/>
    <w:rsid w:val="0056660C"/>
    <w:rsid w:val="0057042F"/>
    <w:rsid w:val="00571DDB"/>
    <w:rsid w:val="00572311"/>
    <w:rsid w:val="00574328"/>
    <w:rsid w:val="00574BF3"/>
    <w:rsid w:val="005750D7"/>
    <w:rsid w:val="005750F5"/>
    <w:rsid w:val="005759DD"/>
    <w:rsid w:val="00575B2B"/>
    <w:rsid w:val="00576266"/>
    <w:rsid w:val="00576C34"/>
    <w:rsid w:val="0057734B"/>
    <w:rsid w:val="00581887"/>
    <w:rsid w:val="005821EF"/>
    <w:rsid w:val="0058283A"/>
    <w:rsid w:val="0058297A"/>
    <w:rsid w:val="0058409F"/>
    <w:rsid w:val="00585714"/>
    <w:rsid w:val="00586640"/>
    <w:rsid w:val="00586CC2"/>
    <w:rsid w:val="00590FFC"/>
    <w:rsid w:val="005924FF"/>
    <w:rsid w:val="00593CFF"/>
    <w:rsid w:val="005940F5"/>
    <w:rsid w:val="0059455E"/>
    <w:rsid w:val="00595E7B"/>
    <w:rsid w:val="00597B02"/>
    <w:rsid w:val="00597ED9"/>
    <w:rsid w:val="005A03D0"/>
    <w:rsid w:val="005A137B"/>
    <w:rsid w:val="005A1F60"/>
    <w:rsid w:val="005A49EA"/>
    <w:rsid w:val="005A5196"/>
    <w:rsid w:val="005A7F18"/>
    <w:rsid w:val="005B228D"/>
    <w:rsid w:val="005B28B1"/>
    <w:rsid w:val="005B2BA5"/>
    <w:rsid w:val="005B4481"/>
    <w:rsid w:val="005B466A"/>
    <w:rsid w:val="005B4A89"/>
    <w:rsid w:val="005B53D8"/>
    <w:rsid w:val="005C022A"/>
    <w:rsid w:val="005C0826"/>
    <w:rsid w:val="005C2951"/>
    <w:rsid w:val="005C2A84"/>
    <w:rsid w:val="005C3B95"/>
    <w:rsid w:val="005C43E8"/>
    <w:rsid w:val="005C6291"/>
    <w:rsid w:val="005C6503"/>
    <w:rsid w:val="005C6EE2"/>
    <w:rsid w:val="005D1196"/>
    <w:rsid w:val="005D2362"/>
    <w:rsid w:val="005E00DA"/>
    <w:rsid w:val="005E082C"/>
    <w:rsid w:val="005E2029"/>
    <w:rsid w:val="005E29A1"/>
    <w:rsid w:val="005E3156"/>
    <w:rsid w:val="005E4205"/>
    <w:rsid w:val="005E474A"/>
    <w:rsid w:val="005E4793"/>
    <w:rsid w:val="005E4B73"/>
    <w:rsid w:val="005E4F6C"/>
    <w:rsid w:val="005E542D"/>
    <w:rsid w:val="005E5DD9"/>
    <w:rsid w:val="005E77ED"/>
    <w:rsid w:val="005E7C19"/>
    <w:rsid w:val="005F03AB"/>
    <w:rsid w:val="005F04D3"/>
    <w:rsid w:val="005F07DD"/>
    <w:rsid w:val="005F11AF"/>
    <w:rsid w:val="005F162D"/>
    <w:rsid w:val="005F2A14"/>
    <w:rsid w:val="005F2F66"/>
    <w:rsid w:val="005F3867"/>
    <w:rsid w:val="005F3E1B"/>
    <w:rsid w:val="005F52F5"/>
    <w:rsid w:val="005F6E6D"/>
    <w:rsid w:val="005F78E9"/>
    <w:rsid w:val="005F79C0"/>
    <w:rsid w:val="00600D97"/>
    <w:rsid w:val="00600EA9"/>
    <w:rsid w:val="0060374B"/>
    <w:rsid w:val="00603C1C"/>
    <w:rsid w:val="00604AB1"/>
    <w:rsid w:val="00605194"/>
    <w:rsid w:val="006054F0"/>
    <w:rsid w:val="006061D3"/>
    <w:rsid w:val="006072D7"/>
    <w:rsid w:val="00610600"/>
    <w:rsid w:val="0061104D"/>
    <w:rsid w:val="006121F2"/>
    <w:rsid w:val="00612936"/>
    <w:rsid w:val="00613A82"/>
    <w:rsid w:val="00613C61"/>
    <w:rsid w:val="00616BD2"/>
    <w:rsid w:val="00617027"/>
    <w:rsid w:val="006231D2"/>
    <w:rsid w:val="00623F21"/>
    <w:rsid w:val="00627B4B"/>
    <w:rsid w:val="00627D1B"/>
    <w:rsid w:val="006305A5"/>
    <w:rsid w:val="00630E70"/>
    <w:rsid w:val="0063134B"/>
    <w:rsid w:val="00631AE2"/>
    <w:rsid w:val="00632838"/>
    <w:rsid w:val="00635B31"/>
    <w:rsid w:val="00636209"/>
    <w:rsid w:val="00636E2D"/>
    <w:rsid w:val="006373DB"/>
    <w:rsid w:val="0063757A"/>
    <w:rsid w:val="00641ACD"/>
    <w:rsid w:val="0064354C"/>
    <w:rsid w:val="00643E37"/>
    <w:rsid w:val="00644149"/>
    <w:rsid w:val="006455A0"/>
    <w:rsid w:val="0064629E"/>
    <w:rsid w:val="00646588"/>
    <w:rsid w:val="00646B4C"/>
    <w:rsid w:val="006502CE"/>
    <w:rsid w:val="00650B3E"/>
    <w:rsid w:val="00651384"/>
    <w:rsid w:val="00651CD4"/>
    <w:rsid w:val="00652932"/>
    <w:rsid w:val="00653A14"/>
    <w:rsid w:val="00653D40"/>
    <w:rsid w:val="00654173"/>
    <w:rsid w:val="006549BE"/>
    <w:rsid w:val="00657067"/>
    <w:rsid w:val="00657220"/>
    <w:rsid w:val="00657DE2"/>
    <w:rsid w:val="006600A8"/>
    <w:rsid w:val="00660E0B"/>
    <w:rsid w:val="006633B1"/>
    <w:rsid w:val="006641E1"/>
    <w:rsid w:val="006645BF"/>
    <w:rsid w:val="00671798"/>
    <w:rsid w:val="00671C2E"/>
    <w:rsid w:val="0067379F"/>
    <w:rsid w:val="00674172"/>
    <w:rsid w:val="006754B9"/>
    <w:rsid w:val="006772C0"/>
    <w:rsid w:val="00680C72"/>
    <w:rsid w:val="00681407"/>
    <w:rsid w:val="00682677"/>
    <w:rsid w:val="00683380"/>
    <w:rsid w:val="0068352F"/>
    <w:rsid w:val="006849F7"/>
    <w:rsid w:val="00684CF6"/>
    <w:rsid w:val="00684FF6"/>
    <w:rsid w:val="0068585D"/>
    <w:rsid w:val="00685E8D"/>
    <w:rsid w:val="0068678A"/>
    <w:rsid w:val="0069053C"/>
    <w:rsid w:val="006922C1"/>
    <w:rsid w:val="0069239F"/>
    <w:rsid w:val="00693308"/>
    <w:rsid w:val="006940AD"/>
    <w:rsid w:val="0069520A"/>
    <w:rsid w:val="006968E6"/>
    <w:rsid w:val="006A0E9A"/>
    <w:rsid w:val="006A2319"/>
    <w:rsid w:val="006A385C"/>
    <w:rsid w:val="006A3D88"/>
    <w:rsid w:val="006A3DBC"/>
    <w:rsid w:val="006A3F51"/>
    <w:rsid w:val="006A4316"/>
    <w:rsid w:val="006A4943"/>
    <w:rsid w:val="006A7337"/>
    <w:rsid w:val="006B1F15"/>
    <w:rsid w:val="006B32CD"/>
    <w:rsid w:val="006B3676"/>
    <w:rsid w:val="006B4F77"/>
    <w:rsid w:val="006B556B"/>
    <w:rsid w:val="006B5A7E"/>
    <w:rsid w:val="006B6048"/>
    <w:rsid w:val="006B62D2"/>
    <w:rsid w:val="006C0828"/>
    <w:rsid w:val="006C12CE"/>
    <w:rsid w:val="006C18E9"/>
    <w:rsid w:val="006C2069"/>
    <w:rsid w:val="006C3BF0"/>
    <w:rsid w:val="006C3FE6"/>
    <w:rsid w:val="006C466F"/>
    <w:rsid w:val="006C515E"/>
    <w:rsid w:val="006C7377"/>
    <w:rsid w:val="006D0923"/>
    <w:rsid w:val="006D0B91"/>
    <w:rsid w:val="006D2324"/>
    <w:rsid w:val="006D3183"/>
    <w:rsid w:val="006D3910"/>
    <w:rsid w:val="006D3CB5"/>
    <w:rsid w:val="006D50D6"/>
    <w:rsid w:val="006D5BAD"/>
    <w:rsid w:val="006D6196"/>
    <w:rsid w:val="006D64A7"/>
    <w:rsid w:val="006D7362"/>
    <w:rsid w:val="006E036C"/>
    <w:rsid w:val="006E13AE"/>
    <w:rsid w:val="006E28A2"/>
    <w:rsid w:val="006E5B51"/>
    <w:rsid w:val="006E5FFB"/>
    <w:rsid w:val="006E6593"/>
    <w:rsid w:val="006E6B6B"/>
    <w:rsid w:val="006F098A"/>
    <w:rsid w:val="006F0C06"/>
    <w:rsid w:val="006F14C5"/>
    <w:rsid w:val="006F1A80"/>
    <w:rsid w:val="006F299C"/>
    <w:rsid w:val="006F46DC"/>
    <w:rsid w:val="006F490F"/>
    <w:rsid w:val="006F5CE9"/>
    <w:rsid w:val="006F6780"/>
    <w:rsid w:val="006F6878"/>
    <w:rsid w:val="006F6F85"/>
    <w:rsid w:val="007003CC"/>
    <w:rsid w:val="007022D6"/>
    <w:rsid w:val="00702788"/>
    <w:rsid w:val="00702C1F"/>
    <w:rsid w:val="00703D28"/>
    <w:rsid w:val="00704A4D"/>
    <w:rsid w:val="00706EDD"/>
    <w:rsid w:val="00706FCC"/>
    <w:rsid w:val="007110A9"/>
    <w:rsid w:val="007116AE"/>
    <w:rsid w:val="00711D11"/>
    <w:rsid w:val="007145F1"/>
    <w:rsid w:val="007154EF"/>
    <w:rsid w:val="00716106"/>
    <w:rsid w:val="007174C8"/>
    <w:rsid w:val="0072081F"/>
    <w:rsid w:val="007217F8"/>
    <w:rsid w:val="00724885"/>
    <w:rsid w:val="00733ACF"/>
    <w:rsid w:val="0073540C"/>
    <w:rsid w:val="00735596"/>
    <w:rsid w:val="00735773"/>
    <w:rsid w:val="00735D7F"/>
    <w:rsid w:val="00736D50"/>
    <w:rsid w:val="00740B2E"/>
    <w:rsid w:val="007411D4"/>
    <w:rsid w:val="007422FB"/>
    <w:rsid w:val="007435B9"/>
    <w:rsid w:val="00743726"/>
    <w:rsid w:val="00745FE8"/>
    <w:rsid w:val="0075008F"/>
    <w:rsid w:val="007503BD"/>
    <w:rsid w:val="007531CA"/>
    <w:rsid w:val="00753744"/>
    <w:rsid w:val="00753ABE"/>
    <w:rsid w:val="0075420D"/>
    <w:rsid w:val="0075444C"/>
    <w:rsid w:val="00755014"/>
    <w:rsid w:val="007554DE"/>
    <w:rsid w:val="00755A73"/>
    <w:rsid w:val="00756064"/>
    <w:rsid w:val="007561D0"/>
    <w:rsid w:val="007569B8"/>
    <w:rsid w:val="007603EE"/>
    <w:rsid w:val="00760E17"/>
    <w:rsid w:val="007630AE"/>
    <w:rsid w:val="00763A50"/>
    <w:rsid w:val="00763C33"/>
    <w:rsid w:val="0076417D"/>
    <w:rsid w:val="007667BD"/>
    <w:rsid w:val="0077082E"/>
    <w:rsid w:val="00770F75"/>
    <w:rsid w:val="0077138F"/>
    <w:rsid w:val="00772062"/>
    <w:rsid w:val="007723BF"/>
    <w:rsid w:val="007734F9"/>
    <w:rsid w:val="00773C5A"/>
    <w:rsid w:val="00774165"/>
    <w:rsid w:val="007742BD"/>
    <w:rsid w:val="00774A73"/>
    <w:rsid w:val="0077682D"/>
    <w:rsid w:val="0078132F"/>
    <w:rsid w:val="00781B53"/>
    <w:rsid w:val="00781F72"/>
    <w:rsid w:val="007838E0"/>
    <w:rsid w:val="00784548"/>
    <w:rsid w:val="007902CE"/>
    <w:rsid w:val="00790F95"/>
    <w:rsid w:val="00791568"/>
    <w:rsid w:val="00791F7F"/>
    <w:rsid w:val="00792660"/>
    <w:rsid w:val="00792A76"/>
    <w:rsid w:val="00792F41"/>
    <w:rsid w:val="00793CFE"/>
    <w:rsid w:val="007957E7"/>
    <w:rsid w:val="007963DC"/>
    <w:rsid w:val="00797375"/>
    <w:rsid w:val="007A1B3D"/>
    <w:rsid w:val="007A1EDB"/>
    <w:rsid w:val="007A1FA8"/>
    <w:rsid w:val="007A2F2E"/>
    <w:rsid w:val="007A4212"/>
    <w:rsid w:val="007A54D4"/>
    <w:rsid w:val="007A574C"/>
    <w:rsid w:val="007A5C92"/>
    <w:rsid w:val="007A6776"/>
    <w:rsid w:val="007A67E0"/>
    <w:rsid w:val="007A7E53"/>
    <w:rsid w:val="007B1CBB"/>
    <w:rsid w:val="007B22E8"/>
    <w:rsid w:val="007B3357"/>
    <w:rsid w:val="007B3FCD"/>
    <w:rsid w:val="007B5019"/>
    <w:rsid w:val="007B52CD"/>
    <w:rsid w:val="007B7B17"/>
    <w:rsid w:val="007C01EC"/>
    <w:rsid w:val="007C13A9"/>
    <w:rsid w:val="007C28DB"/>
    <w:rsid w:val="007C2F7D"/>
    <w:rsid w:val="007C33F9"/>
    <w:rsid w:val="007C389F"/>
    <w:rsid w:val="007C59BE"/>
    <w:rsid w:val="007C69BD"/>
    <w:rsid w:val="007C79FC"/>
    <w:rsid w:val="007D04CE"/>
    <w:rsid w:val="007D1C75"/>
    <w:rsid w:val="007D4124"/>
    <w:rsid w:val="007D431E"/>
    <w:rsid w:val="007D4AF7"/>
    <w:rsid w:val="007D5356"/>
    <w:rsid w:val="007D5C41"/>
    <w:rsid w:val="007D6207"/>
    <w:rsid w:val="007D6671"/>
    <w:rsid w:val="007D74B3"/>
    <w:rsid w:val="007D7EEC"/>
    <w:rsid w:val="007E1C0F"/>
    <w:rsid w:val="007E3BEA"/>
    <w:rsid w:val="007E4355"/>
    <w:rsid w:val="007E4D19"/>
    <w:rsid w:val="007E581E"/>
    <w:rsid w:val="007E5A2A"/>
    <w:rsid w:val="007E5ED3"/>
    <w:rsid w:val="007E69D2"/>
    <w:rsid w:val="007E75AB"/>
    <w:rsid w:val="007F062B"/>
    <w:rsid w:val="007F0792"/>
    <w:rsid w:val="007F255C"/>
    <w:rsid w:val="007F34B3"/>
    <w:rsid w:val="007F48F8"/>
    <w:rsid w:val="007F513D"/>
    <w:rsid w:val="007F521C"/>
    <w:rsid w:val="007F631D"/>
    <w:rsid w:val="007F6532"/>
    <w:rsid w:val="007F75A5"/>
    <w:rsid w:val="007F78F3"/>
    <w:rsid w:val="007F7976"/>
    <w:rsid w:val="00800097"/>
    <w:rsid w:val="00801440"/>
    <w:rsid w:val="0080204D"/>
    <w:rsid w:val="00802735"/>
    <w:rsid w:val="00803909"/>
    <w:rsid w:val="00804229"/>
    <w:rsid w:val="008042A5"/>
    <w:rsid w:val="0080626B"/>
    <w:rsid w:val="00806CB2"/>
    <w:rsid w:val="00806DC0"/>
    <w:rsid w:val="008073BC"/>
    <w:rsid w:val="0080756F"/>
    <w:rsid w:val="0081061A"/>
    <w:rsid w:val="00811C30"/>
    <w:rsid w:val="00813814"/>
    <w:rsid w:val="0081457C"/>
    <w:rsid w:val="008148AF"/>
    <w:rsid w:val="00815647"/>
    <w:rsid w:val="008174FC"/>
    <w:rsid w:val="00821734"/>
    <w:rsid w:val="00822076"/>
    <w:rsid w:val="00822196"/>
    <w:rsid w:val="008227FE"/>
    <w:rsid w:val="0082305E"/>
    <w:rsid w:val="00823A08"/>
    <w:rsid w:val="0082468F"/>
    <w:rsid w:val="00825BE8"/>
    <w:rsid w:val="00825DD7"/>
    <w:rsid w:val="0082702F"/>
    <w:rsid w:val="00827E8F"/>
    <w:rsid w:val="008302F8"/>
    <w:rsid w:val="00830EA9"/>
    <w:rsid w:val="008310FB"/>
    <w:rsid w:val="008311F8"/>
    <w:rsid w:val="0083315C"/>
    <w:rsid w:val="0083566B"/>
    <w:rsid w:val="008367F3"/>
    <w:rsid w:val="00837537"/>
    <w:rsid w:val="0083778E"/>
    <w:rsid w:val="00842735"/>
    <w:rsid w:val="00843256"/>
    <w:rsid w:val="008433A5"/>
    <w:rsid w:val="00843CA8"/>
    <w:rsid w:val="00843FCC"/>
    <w:rsid w:val="008442D5"/>
    <w:rsid w:val="00845DE9"/>
    <w:rsid w:val="00846256"/>
    <w:rsid w:val="008465F9"/>
    <w:rsid w:val="008519A1"/>
    <w:rsid w:val="0085331D"/>
    <w:rsid w:val="00854513"/>
    <w:rsid w:val="008553C1"/>
    <w:rsid w:val="008556F2"/>
    <w:rsid w:val="0085716F"/>
    <w:rsid w:val="008574A4"/>
    <w:rsid w:val="00857AAC"/>
    <w:rsid w:val="00857CB4"/>
    <w:rsid w:val="00860C4D"/>
    <w:rsid w:val="00861D08"/>
    <w:rsid w:val="00862C72"/>
    <w:rsid w:val="00862E1D"/>
    <w:rsid w:val="008633FF"/>
    <w:rsid w:val="0086569B"/>
    <w:rsid w:val="00865BB2"/>
    <w:rsid w:val="00867F30"/>
    <w:rsid w:val="00871033"/>
    <w:rsid w:val="00873E83"/>
    <w:rsid w:val="00874062"/>
    <w:rsid w:val="0087463E"/>
    <w:rsid w:val="00874B74"/>
    <w:rsid w:val="00874ED6"/>
    <w:rsid w:val="00877AA1"/>
    <w:rsid w:val="00877E12"/>
    <w:rsid w:val="00880001"/>
    <w:rsid w:val="00880C0D"/>
    <w:rsid w:val="00881157"/>
    <w:rsid w:val="0088161D"/>
    <w:rsid w:val="00881B46"/>
    <w:rsid w:val="00882465"/>
    <w:rsid w:val="00884CE8"/>
    <w:rsid w:val="00890886"/>
    <w:rsid w:val="008916A4"/>
    <w:rsid w:val="00893958"/>
    <w:rsid w:val="008946B4"/>
    <w:rsid w:val="0089645E"/>
    <w:rsid w:val="008965F7"/>
    <w:rsid w:val="00897487"/>
    <w:rsid w:val="00897DB5"/>
    <w:rsid w:val="008A004A"/>
    <w:rsid w:val="008A15A1"/>
    <w:rsid w:val="008A17B5"/>
    <w:rsid w:val="008A20B1"/>
    <w:rsid w:val="008A2D3A"/>
    <w:rsid w:val="008A2DC8"/>
    <w:rsid w:val="008A38CA"/>
    <w:rsid w:val="008A3F1A"/>
    <w:rsid w:val="008A3FCF"/>
    <w:rsid w:val="008A41ED"/>
    <w:rsid w:val="008A5EAC"/>
    <w:rsid w:val="008A73F5"/>
    <w:rsid w:val="008A74AE"/>
    <w:rsid w:val="008A7C5C"/>
    <w:rsid w:val="008B2760"/>
    <w:rsid w:val="008B3946"/>
    <w:rsid w:val="008B3C15"/>
    <w:rsid w:val="008B3DC8"/>
    <w:rsid w:val="008B4EC5"/>
    <w:rsid w:val="008B5166"/>
    <w:rsid w:val="008B5210"/>
    <w:rsid w:val="008B6B68"/>
    <w:rsid w:val="008B7859"/>
    <w:rsid w:val="008C05F1"/>
    <w:rsid w:val="008C218B"/>
    <w:rsid w:val="008C2ABB"/>
    <w:rsid w:val="008C59EE"/>
    <w:rsid w:val="008C6917"/>
    <w:rsid w:val="008C6DD8"/>
    <w:rsid w:val="008C764B"/>
    <w:rsid w:val="008D01FD"/>
    <w:rsid w:val="008D0383"/>
    <w:rsid w:val="008D0CB0"/>
    <w:rsid w:val="008D1618"/>
    <w:rsid w:val="008D17C0"/>
    <w:rsid w:val="008D1AFC"/>
    <w:rsid w:val="008D1F53"/>
    <w:rsid w:val="008D28A6"/>
    <w:rsid w:val="008D3777"/>
    <w:rsid w:val="008D4F3F"/>
    <w:rsid w:val="008D66D4"/>
    <w:rsid w:val="008D752C"/>
    <w:rsid w:val="008D7794"/>
    <w:rsid w:val="008E0B8A"/>
    <w:rsid w:val="008E2E47"/>
    <w:rsid w:val="008E4519"/>
    <w:rsid w:val="008E58D4"/>
    <w:rsid w:val="008E5B1C"/>
    <w:rsid w:val="008E5D54"/>
    <w:rsid w:val="008E6D8C"/>
    <w:rsid w:val="008E7734"/>
    <w:rsid w:val="008E77CC"/>
    <w:rsid w:val="008E7D6B"/>
    <w:rsid w:val="008F026E"/>
    <w:rsid w:val="008F0B3A"/>
    <w:rsid w:val="008F0B5B"/>
    <w:rsid w:val="008F0F5B"/>
    <w:rsid w:val="008F16BD"/>
    <w:rsid w:val="008F3470"/>
    <w:rsid w:val="008F48B8"/>
    <w:rsid w:val="008F4F1E"/>
    <w:rsid w:val="008F7730"/>
    <w:rsid w:val="00900BFA"/>
    <w:rsid w:val="00900E71"/>
    <w:rsid w:val="00901579"/>
    <w:rsid w:val="009021F5"/>
    <w:rsid w:val="009029E6"/>
    <w:rsid w:val="0090447A"/>
    <w:rsid w:val="0090547E"/>
    <w:rsid w:val="00905BFB"/>
    <w:rsid w:val="009064EA"/>
    <w:rsid w:val="009066E0"/>
    <w:rsid w:val="00906A83"/>
    <w:rsid w:val="009106C8"/>
    <w:rsid w:val="00910C56"/>
    <w:rsid w:val="00911C93"/>
    <w:rsid w:val="00912B1E"/>
    <w:rsid w:val="00912C42"/>
    <w:rsid w:val="009136DB"/>
    <w:rsid w:val="009141BA"/>
    <w:rsid w:val="00914E75"/>
    <w:rsid w:val="0091531E"/>
    <w:rsid w:val="00915583"/>
    <w:rsid w:val="0091671A"/>
    <w:rsid w:val="009175F3"/>
    <w:rsid w:val="00920223"/>
    <w:rsid w:val="009207C4"/>
    <w:rsid w:val="00922A4C"/>
    <w:rsid w:val="00923A8C"/>
    <w:rsid w:val="00923ACC"/>
    <w:rsid w:val="00926958"/>
    <w:rsid w:val="00926AFD"/>
    <w:rsid w:val="009312E3"/>
    <w:rsid w:val="009317B0"/>
    <w:rsid w:val="00932346"/>
    <w:rsid w:val="0093247C"/>
    <w:rsid w:val="00932C56"/>
    <w:rsid w:val="00932D6C"/>
    <w:rsid w:val="00934359"/>
    <w:rsid w:val="00934685"/>
    <w:rsid w:val="009372EF"/>
    <w:rsid w:val="0093768B"/>
    <w:rsid w:val="00941601"/>
    <w:rsid w:val="00943815"/>
    <w:rsid w:val="009448C5"/>
    <w:rsid w:val="0094512F"/>
    <w:rsid w:val="009509D8"/>
    <w:rsid w:val="00951437"/>
    <w:rsid w:val="00951FEC"/>
    <w:rsid w:val="00953FE8"/>
    <w:rsid w:val="009572E2"/>
    <w:rsid w:val="00957E37"/>
    <w:rsid w:val="00960193"/>
    <w:rsid w:val="009621DA"/>
    <w:rsid w:val="00962DA8"/>
    <w:rsid w:val="009634D1"/>
    <w:rsid w:val="009635F1"/>
    <w:rsid w:val="00964906"/>
    <w:rsid w:val="00965F55"/>
    <w:rsid w:val="00970943"/>
    <w:rsid w:val="00970C86"/>
    <w:rsid w:val="00971A11"/>
    <w:rsid w:val="009738CD"/>
    <w:rsid w:val="009742B8"/>
    <w:rsid w:val="0097525F"/>
    <w:rsid w:val="0097705B"/>
    <w:rsid w:val="0098237E"/>
    <w:rsid w:val="00983AEF"/>
    <w:rsid w:val="00985750"/>
    <w:rsid w:val="00985B4D"/>
    <w:rsid w:val="00986DDB"/>
    <w:rsid w:val="00990E3F"/>
    <w:rsid w:val="00993750"/>
    <w:rsid w:val="00995562"/>
    <w:rsid w:val="00995864"/>
    <w:rsid w:val="00996944"/>
    <w:rsid w:val="009979AD"/>
    <w:rsid w:val="00997A9A"/>
    <w:rsid w:val="009A041A"/>
    <w:rsid w:val="009A0DA6"/>
    <w:rsid w:val="009A28B5"/>
    <w:rsid w:val="009A37CD"/>
    <w:rsid w:val="009B059A"/>
    <w:rsid w:val="009B0A14"/>
    <w:rsid w:val="009B0A8A"/>
    <w:rsid w:val="009B0E63"/>
    <w:rsid w:val="009B4E2D"/>
    <w:rsid w:val="009C02E8"/>
    <w:rsid w:val="009C1684"/>
    <w:rsid w:val="009C2B62"/>
    <w:rsid w:val="009C31D0"/>
    <w:rsid w:val="009C3578"/>
    <w:rsid w:val="009C3DAF"/>
    <w:rsid w:val="009C3E01"/>
    <w:rsid w:val="009C426E"/>
    <w:rsid w:val="009C4906"/>
    <w:rsid w:val="009C7579"/>
    <w:rsid w:val="009D08E6"/>
    <w:rsid w:val="009D12CD"/>
    <w:rsid w:val="009D4394"/>
    <w:rsid w:val="009D737E"/>
    <w:rsid w:val="009D7801"/>
    <w:rsid w:val="009E1BA0"/>
    <w:rsid w:val="009E2289"/>
    <w:rsid w:val="009E22EF"/>
    <w:rsid w:val="009E2B2D"/>
    <w:rsid w:val="009E3739"/>
    <w:rsid w:val="009E38B3"/>
    <w:rsid w:val="009E46E8"/>
    <w:rsid w:val="009E7CA6"/>
    <w:rsid w:val="009F0B88"/>
    <w:rsid w:val="009F0C3F"/>
    <w:rsid w:val="009F0C62"/>
    <w:rsid w:val="009F0DAB"/>
    <w:rsid w:val="009F179C"/>
    <w:rsid w:val="009F3610"/>
    <w:rsid w:val="009F44CA"/>
    <w:rsid w:val="009F562C"/>
    <w:rsid w:val="00A02581"/>
    <w:rsid w:val="00A025A2"/>
    <w:rsid w:val="00A04242"/>
    <w:rsid w:val="00A055F2"/>
    <w:rsid w:val="00A061A4"/>
    <w:rsid w:val="00A062E1"/>
    <w:rsid w:val="00A06EEA"/>
    <w:rsid w:val="00A07797"/>
    <w:rsid w:val="00A07BA2"/>
    <w:rsid w:val="00A11943"/>
    <w:rsid w:val="00A120C0"/>
    <w:rsid w:val="00A126CF"/>
    <w:rsid w:val="00A128E4"/>
    <w:rsid w:val="00A13177"/>
    <w:rsid w:val="00A148E5"/>
    <w:rsid w:val="00A150ED"/>
    <w:rsid w:val="00A163C2"/>
    <w:rsid w:val="00A203DA"/>
    <w:rsid w:val="00A20E72"/>
    <w:rsid w:val="00A21E70"/>
    <w:rsid w:val="00A2522F"/>
    <w:rsid w:val="00A26DB5"/>
    <w:rsid w:val="00A27147"/>
    <w:rsid w:val="00A27A35"/>
    <w:rsid w:val="00A3180D"/>
    <w:rsid w:val="00A326AA"/>
    <w:rsid w:val="00A32EAE"/>
    <w:rsid w:val="00A33F0B"/>
    <w:rsid w:val="00A3630D"/>
    <w:rsid w:val="00A363DA"/>
    <w:rsid w:val="00A37384"/>
    <w:rsid w:val="00A4055F"/>
    <w:rsid w:val="00A425FC"/>
    <w:rsid w:val="00A43AFD"/>
    <w:rsid w:val="00A46705"/>
    <w:rsid w:val="00A46AE8"/>
    <w:rsid w:val="00A520BB"/>
    <w:rsid w:val="00A53C90"/>
    <w:rsid w:val="00A5423E"/>
    <w:rsid w:val="00A544DF"/>
    <w:rsid w:val="00A54C8F"/>
    <w:rsid w:val="00A552C0"/>
    <w:rsid w:val="00A55443"/>
    <w:rsid w:val="00A5594A"/>
    <w:rsid w:val="00A55CFD"/>
    <w:rsid w:val="00A55D22"/>
    <w:rsid w:val="00A57890"/>
    <w:rsid w:val="00A57B4E"/>
    <w:rsid w:val="00A61283"/>
    <w:rsid w:val="00A6219D"/>
    <w:rsid w:val="00A63F3F"/>
    <w:rsid w:val="00A646DE"/>
    <w:rsid w:val="00A721C2"/>
    <w:rsid w:val="00A72352"/>
    <w:rsid w:val="00A72979"/>
    <w:rsid w:val="00A72AE0"/>
    <w:rsid w:val="00A736F5"/>
    <w:rsid w:val="00A73ADE"/>
    <w:rsid w:val="00A73E58"/>
    <w:rsid w:val="00A7457D"/>
    <w:rsid w:val="00A74732"/>
    <w:rsid w:val="00A74FE3"/>
    <w:rsid w:val="00A76FFA"/>
    <w:rsid w:val="00A81243"/>
    <w:rsid w:val="00A818D9"/>
    <w:rsid w:val="00A828A1"/>
    <w:rsid w:val="00A845EC"/>
    <w:rsid w:val="00A850CF"/>
    <w:rsid w:val="00A852B4"/>
    <w:rsid w:val="00A85CF5"/>
    <w:rsid w:val="00A90772"/>
    <w:rsid w:val="00A913D3"/>
    <w:rsid w:val="00A91BED"/>
    <w:rsid w:val="00A93E74"/>
    <w:rsid w:val="00A949A8"/>
    <w:rsid w:val="00A959B8"/>
    <w:rsid w:val="00A9628B"/>
    <w:rsid w:val="00A96390"/>
    <w:rsid w:val="00A97BB0"/>
    <w:rsid w:val="00AA0263"/>
    <w:rsid w:val="00AA03D7"/>
    <w:rsid w:val="00AA0AB3"/>
    <w:rsid w:val="00AA196D"/>
    <w:rsid w:val="00AA220C"/>
    <w:rsid w:val="00AA25A0"/>
    <w:rsid w:val="00AA31FA"/>
    <w:rsid w:val="00AA341B"/>
    <w:rsid w:val="00AA4F8E"/>
    <w:rsid w:val="00AA6DB8"/>
    <w:rsid w:val="00AA7115"/>
    <w:rsid w:val="00AB0220"/>
    <w:rsid w:val="00AB076F"/>
    <w:rsid w:val="00AB1D5F"/>
    <w:rsid w:val="00AB262A"/>
    <w:rsid w:val="00AB2C25"/>
    <w:rsid w:val="00AB406E"/>
    <w:rsid w:val="00AB4B48"/>
    <w:rsid w:val="00AB4FFF"/>
    <w:rsid w:val="00AB55DE"/>
    <w:rsid w:val="00AB6200"/>
    <w:rsid w:val="00AB656C"/>
    <w:rsid w:val="00AB65D2"/>
    <w:rsid w:val="00AB66B3"/>
    <w:rsid w:val="00AB6CFB"/>
    <w:rsid w:val="00AB7F3E"/>
    <w:rsid w:val="00AC0B2C"/>
    <w:rsid w:val="00AC0CBA"/>
    <w:rsid w:val="00AC28DE"/>
    <w:rsid w:val="00AC4A36"/>
    <w:rsid w:val="00AC5219"/>
    <w:rsid w:val="00AC6A1B"/>
    <w:rsid w:val="00AC6CBD"/>
    <w:rsid w:val="00AD047E"/>
    <w:rsid w:val="00AD3355"/>
    <w:rsid w:val="00AD376A"/>
    <w:rsid w:val="00AD54FB"/>
    <w:rsid w:val="00AD5F2B"/>
    <w:rsid w:val="00AD6003"/>
    <w:rsid w:val="00AD6C7F"/>
    <w:rsid w:val="00AE0361"/>
    <w:rsid w:val="00AE169A"/>
    <w:rsid w:val="00AE1C64"/>
    <w:rsid w:val="00AE2742"/>
    <w:rsid w:val="00AE2E10"/>
    <w:rsid w:val="00AE3547"/>
    <w:rsid w:val="00AE36E5"/>
    <w:rsid w:val="00AE3C65"/>
    <w:rsid w:val="00AE3DA1"/>
    <w:rsid w:val="00AE4990"/>
    <w:rsid w:val="00AE56C4"/>
    <w:rsid w:val="00AF0BC0"/>
    <w:rsid w:val="00AF21E6"/>
    <w:rsid w:val="00AF2BB0"/>
    <w:rsid w:val="00AF5288"/>
    <w:rsid w:val="00AF5A5D"/>
    <w:rsid w:val="00AF5D31"/>
    <w:rsid w:val="00AF655B"/>
    <w:rsid w:val="00AF69A6"/>
    <w:rsid w:val="00AF75E2"/>
    <w:rsid w:val="00AF7B04"/>
    <w:rsid w:val="00B00482"/>
    <w:rsid w:val="00B008C0"/>
    <w:rsid w:val="00B0302C"/>
    <w:rsid w:val="00B06365"/>
    <w:rsid w:val="00B06F15"/>
    <w:rsid w:val="00B0709C"/>
    <w:rsid w:val="00B1155E"/>
    <w:rsid w:val="00B1289A"/>
    <w:rsid w:val="00B12987"/>
    <w:rsid w:val="00B13318"/>
    <w:rsid w:val="00B13340"/>
    <w:rsid w:val="00B13763"/>
    <w:rsid w:val="00B13FDA"/>
    <w:rsid w:val="00B16F8F"/>
    <w:rsid w:val="00B238B0"/>
    <w:rsid w:val="00B240CE"/>
    <w:rsid w:val="00B25132"/>
    <w:rsid w:val="00B2520D"/>
    <w:rsid w:val="00B25BB6"/>
    <w:rsid w:val="00B262F8"/>
    <w:rsid w:val="00B27A67"/>
    <w:rsid w:val="00B316A1"/>
    <w:rsid w:val="00B319BF"/>
    <w:rsid w:val="00B35BFC"/>
    <w:rsid w:val="00B366A1"/>
    <w:rsid w:val="00B37052"/>
    <w:rsid w:val="00B40CCC"/>
    <w:rsid w:val="00B410C6"/>
    <w:rsid w:val="00B41841"/>
    <w:rsid w:val="00B42707"/>
    <w:rsid w:val="00B42C58"/>
    <w:rsid w:val="00B432A0"/>
    <w:rsid w:val="00B44D63"/>
    <w:rsid w:val="00B46D5E"/>
    <w:rsid w:val="00B4720A"/>
    <w:rsid w:val="00B47D97"/>
    <w:rsid w:val="00B5029C"/>
    <w:rsid w:val="00B50716"/>
    <w:rsid w:val="00B50FC5"/>
    <w:rsid w:val="00B55F78"/>
    <w:rsid w:val="00B561E8"/>
    <w:rsid w:val="00B564F3"/>
    <w:rsid w:val="00B57549"/>
    <w:rsid w:val="00B57B2C"/>
    <w:rsid w:val="00B60534"/>
    <w:rsid w:val="00B60A7D"/>
    <w:rsid w:val="00B6395D"/>
    <w:rsid w:val="00B64C19"/>
    <w:rsid w:val="00B66A9D"/>
    <w:rsid w:val="00B67970"/>
    <w:rsid w:val="00B67996"/>
    <w:rsid w:val="00B720D3"/>
    <w:rsid w:val="00B7286F"/>
    <w:rsid w:val="00B72C7B"/>
    <w:rsid w:val="00B7302A"/>
    <w:rsid w:val="00B7431B"/>
    <w:rsid w:val="00B7431E"/>
    <w:rsid w:val="00B74E47"/>
    <w:rsid w:val="00B768E2"/>
    <w:rsid w:val="00B769AD"/>
    <w:rsid w:val="00B800B5"/>
    <w:rsid w:val="00B81025"/>
    <w:rsid w:val="00B81D11"/>
    <w:rsid w:val="00B82D9E"/>
    <w:rsid w:val="00B82F46"/>
    <w:rsid w:val="00B83422"/>
    <w:rsid w:val="00B84108"/>
    <w:rsid w:val="00B85B38"/>
    <w:rsid w:val="00B905EC"/>
    <w:rsid w:val="00B90C10"/>
    <w:rsid w:val="00B919C4"/>
    <w:rsid w:val="00B9252C"/>
    <w:rsid w:val="00B92A35"/>
    <w:rsid w:val="00B93331"/>
    <w:rsid w:val="00B93981"/>
    <w:rsid w:val="00B940E7"/>
    <w:rsid w:val="00B9498B"/>
    <w:rsid w:val="00B951B1"/>
    <w:rsid w:val="00B95E35"/>
    <w:rsid w:val="00B96277"/>
    <w:rsid w:val="00B979BD"/>
    <w:rsid w:val="00B97A23"/>
    <w:rsid w:val="00BA29E7"/>
    <w:rsid w:val="00BA3C82"/>
    <w:rsid w:val="00BA4A84"/>
    <w:rsid w:val="00BA4C9A"/>
    <w:rsid w:val="00BA53B5"/>
    <w:rsid w:val="00BA5DC6"/>
    <w:rsid w:val="00BA61A4"/>
    <w:rsid w:val="00BA66F9"/>
    <w:rsid w:val="00BA68DB"/>
    <w:rsid w:val="00BA70D5"/>
    <w:rsid w:val="00BA725C"/>
    <w:rsid w:val="00BA7ABE"/>
    <w:rsid w:val="00BB0A71"/>
    <w:rsid w:val="00BB201E"/>
    <w:rsid w:val="00BB345C"/>
    <w:rsid w:val="00BB3E2D"/>
    <w:rsid w:val="00BB3E77"/>
    <w:rsid w:val="00BB4D3A"/>
    <w:rsid w:val="00BB5C1E"/>
    <w:rsid w:val="00BB6DF6"/>
    <w:rsid w:val="00BB7AA8"/>
    <w:rsid w:val="00BC0359"/>
    <w:rsid w:val="00BC1090"/>
    <w:rsid w:val="00BC1CAC"/>
    <w:rsid w:val="00BC1EBF"/>
    <w:rsid w:val="00BC2E68"/>
    <w:rsid w:val="00BC44B6"/>
    <w:rsid w:val="00BC4789"/>
    <w:rsid w:val="00BC6C3C"/>
    <w:rsid w:val="00BC79C0"/>
    <w:rsid w:val="00BD02FF"/>
    <w:rsid w:val="00BD073E"/>
    <w:rsid w:val="00BD1D37"/>
    <w:rsid w:val="00BD212B"/>
    <w:rsid w:val="00BD42DB"/>
    <w:rsid w:val="00BD6245"/>
    <w:rsid w:val="00BE1049"/>
    <w:rsid w:val="00BE17A9"/>
    <w:rsid w:val="00BE1837"/>
    <w:rsid w:val="00BE231E"/>
    <w:rsid w:val="00BE2EA0"/>
    <w:rsid w:val="00BE3468"/>
    <w:rsid w:val="00BE407A"/>
    <w:rsid w:val="00BE595A"/>
    <w:rsid w:val="00BE5FEF"/>
    <w:rsid w:val="00BF1413"/>
    <w:rsid w:val="00BF19C4"/>
    <w:rsid w:val="00BF3BAD"/>
    <w:rsid w:val="00BF3CBD"/>
    <w:rsid w:val="00BF3D4D"/>
    <w:rsid w:val="00BF411A"/>
    <w:rsid w:val="00BF423A"/>
    <w:rsid w:val="00BF4C2E"/>
    <w:rsid w:val="00BF57AB"/>
    <w:rsid w:val="00C00B5F"/>
    <w:rsid w:val="00C00D58"/>
    <w:rsid w:val="00C016F2"/>
    <w:rsid w:val="00C020DA"/>
    <w:rsid w:val="00C0264E"/>
    <w:rsid w:val="00C026EE"/>
    <w:rsid w:val="00C02A15"/>
    <w:rsid w:val="00C02C4F"/>
    <w:rsid w:val="00C0327F"/>
    <w:rsid w:val="00C0387E"/>
    <w:rsid w:val="00C03EFF"/>
    <w:rsid w:val="00C0554A"/>
    <w:rsid w:val="00C12229"/>
    <w:rsid w:val="00C12951"/>
    <w:rsid w:val="00C16D02"/>
    <w:rsid w:val="00C1747F"/>
    <w:rsid w:val="00C20BC1"/>
    <w:rsid w:val="00C20E79"/>
    <w:rsid w:val="00C226E8"/>
    <w:rsid w:val="00C233B8"/>
    <w:rsid w:val="00C25BEE"/>
    <w:rsid w:val="00C26F1C"/>
    <w:rsid w:val="00C303FA"/>
    <w:rsid w:val="00C321FA"/>
    <w:rsid w:val="00C3280C"/>
    <w:rsid w:val="00C356C1"/>
    <w:rsid w:val="00C35E26"/>
    <w:rsid w:val="00C36C28"/>
    <w:rsid w:val="00C3701E"/>
    <w:rsid w:val="00C378E9"/>
    <w:rsid w:val="00C4233A"/>
    <w:rsid w:val="00C443E3"/>
    <w:rsid w:val="00C44DC2"/>
    <w:rsid w:val="00C50014"/>
    <w:rsid w:val="00C50E68"/>
    <w:rsid w:val="00C52C2C"/>
    <w:rsid w:val="00C52FE7"/>
    <w:rsid w:val="00C532BF"/>
    <w:rsid w:val="00C537D2"/>
    <w:rsid w:val="00C5443A"/>
    <w:rsid w:val="00C55BBF"/>
    <w:rsid w:val="00C569A3"/>
    <w:rsid w:val="00C57019"/>
    <w:rsid w:val="00C60FF1"/>
    <w:rsid w:val="00C613B7"/>
    <w:rsid w:val="00C61512"/>
    <w:rsid w:val="00C61ED0"/>
    <w:rsid w:val="00C644A6"/>
    <w:rsid w:val="00C64CE8"/>
    <w:rsid w:val="00C65856"/>
    <w:rsid w:val="00C65E9D"/>
    <w:rsid w:val="00C66307"/>
    <w:rsid w:val="00C6768B"/>
    <w:rsid w:val="00C67D1A"/>
    <w:rsid w:val="00C704B7"/>
    <w:rsid w:val="00C71D94"/>
    <w:rsid w:val="00C72264"/>
    <w:rsid w:val="00C73155"/>
    <w:rsid w:val="00C732BE"/>
    <w:rsid w:val="00C73ADD"/>
    <w:rsid w:val="00C7447E"/>
    <w:rsid w:val="00C74C5F"/>
    <w:rsid w:val="00C74C77"/>
    <w:rsid w:val="00C75B3B"/>
    <w:rsid w:val="00C76852"/>
    <w:rsid w:val="00C7767B"/>
    <w:rsid w:val="00C77D9C"/>
    <w:rsid w:val="00C81EC7"/>
    <w:rsid w:val="00C847AF"/>
    <w:rsid w:val="00C860DD"/>
    <w:rsid w:val="00C86CB6"/>
    <w:rsid w:val="00C8752E"/>
    <w:rsid w:val="00C901B4"/>
    <w:rsid w:val="00C92F49"/>
    <w:rsid w:val="00C93B47"/>
    <w:rsid w:val="00C944BE"/>
    <w:rsid w:val="00C959C7"/>
    <w:rsid w:val="00CA2595"/>
    <w:rsid w:val="00CA2CFF"/>
    <w:rsid w:val="00CA3052"/>
    <w:rsid w:val="00CA3130"/>
    <w:rsid w:val="00CA3806"/>
    <w:rsid w:val="00CA69F1"/>
    <w:rsid w:val="00CB0B3E"/>
    <w:rsid w:val="00CB14F9"/>
    <w:rsid w:val="00CB1680"/>
    <w:rsid w:val="00CB3318"/>
    <w:rsid w:val="00CB6C6D"/>
    <w:rsid w:val="00CC05D0"/>
    <w:rsid w:val="00CC2078"/>
    <w:rsid w:val="00CC5483"/>
    <w:rsid w:val="00CC57CA"/>
    <w:rsid w:val="00CC5CB2"/>
    <w:rsid w:val="00CC7AA6"/>
    <w:rsid w:val="00CD10B1"/>
    <w:rsid w:val="00CD13CF"/>
    <w:rsid w:val="00CD3285"/>
    <w:rsid w:val="00CD38F0"/>
    <w:rsid w:val="00CD3EE5"/>
    <w:rsid w:val="00CD4247"/>
    <w:rsid w:val="00CD426E"/>
    <w:rsid w:val="00CD4D5D"/>
    <w:rsid w:val="00CD5018"/>
    <w:rsid w:val="00CD56E6"/>
    <w:rsid w:val="00CD6BBE"/>
    <w:rsid w:val="00CD7168"/>
    <w:rsid w:val="00CE0116"/>
    <w:rsid w:val="00CE0AE1"/>
    <w:rsid w:val="00CE0E02"/>
    <w:rsid w:val="00CE100B"/>
    <w:rsid w:val="00CE267D"/>
    <w:rsid w:val="00CE27DD"/>
    <w:rsid w:val="00CE285C"/>
    <w:rsid w:val="00CE2942"/>
    <w:rsid w:val="00CE2A44"/>
    <w:rsid w:val="00CE43E0"/>
    <w:rsid w:val="00CE44DA"/>
    <w:rsid w:val="00CE4E8F"/>
    <w:rsid w:val="00CE4F0B"/>
    <w:rsid w:val="00CE5D7B"/>
    <w:rsid w:val="00CF09E4"/>
    <w:rsid w:val="00CF0F7A"/>
    <w:rsid w:val="00CF199D"/>
    <w:rsid w:val="00CF53F5"/>
    <w:rsid w:val="00CF5885"/>
    <w:rsid w:val="00CF7A5C"/>
    <w:rsid w:val="00CF7B6A"/>
    <w:rsid w:val="00CF7DAD"/>
    <w:rsid w:val="00D01126"/>
    <w:rsid w:val="00D012D3"/>
    <w:rsid w:val="00D02587"/>
    <w:rsid w:val="00D03382"/>
    <w:rsid w:val="00D038AC"/>
    <w:rsid w:val="00D056A2"/>
    <w:rsid w:val="00D1019A"/>
    <w:rsid w:val="00D10BD3"/>
    <w:rsid w:val="00D1233D"/>
    <w:rsid w:val="00D12A9F"/>
    <w:rsid w:val="00D16593"/>
    <w:rsid w:val="00D16B91"/>
    <w:rsid w:val="00D17764"/>
    <w:rsid w:val="00D178E0"/>
    <w:rsid w:val="00D20C5C"/>
    <w:rsid w:val="00D21E06"/>
    <w:rsid w:val="00D21F45"/>
    <w:rsid w:val="00D231C8"/>
    <w:rsid w:val="00D23214"/>
    <w:rsid w:val="00D25E4D"/>
    <w:rsid w:val="00D26A0C"/>
    <w:rsid w:val="00D2700C"/>
    <w:rsid w:val="00D318A5"/>
    <w:rsid w:val="00D32B32"/>
    <w:rsid w:val="00D336B8"/>
    <w:rsid w:val="00D353B7"/>
    <w:rsid w:val="00D36FBF"/>
    <w:rsid w:val="00D37359"/>
    <w:rsid w:val="00D37365"/>
    <w:rsid w:val="00D3778B"/>
    <w:rsid w:val="00D37F0C"/>
    <w:rsid w:val="00D4133C"/>
    <w:rsid w:val="00D42A06"/>
    <w:rsid w:val="00D42C75"/>
    <w:rsid w:val="00D440C9"/>
    <w:rsid w:val="00D44A45"/>
    <w:rsid w:val="00D45A5A"/>
    <w:rsid w:val="00D463DB"/>
    <w:rsid w:val="00D47B67"/>
    <w:rsid w:val="00D5114F"/>
    <w:rsid w:val="00D53F84"/>
    <w:rsid w:val="00D551DF"/>
    <w:rsid w:val="00D56944"/>
    <w:rsid w:val="00D56954"/>
    <w:rsid w:val="00D62E47"/>
    <w:rsid w:val="00D64E81"/>
    <w:rsid w:val="00D656AA"/>
    <w:rsid w:val="00D70A58"/>
    <w:rsid w:val="00D7211C"/>
    <w:rsid w:val="00D74610"/>
    <w:rsid w:val="00D74BF3"/>
    <w:rsid w:val="00D74C4C"/>
    <w:rsid w:val="00D75C1C"/>
    <w:rsid w:val="00D75E0B"/>
    <w:rsid w:val="00D80252"/>
    <w:rsid w:val="00D8251C"/>
    <w:rsid w:val="00D82A24"/>
    <w:rsid w:val="00D82DB4"/>
    <w:rsid w:val="00D83B95"/>
    <w:rsid w:val="00D83D9B"/>
    <w:rsid w:val="00D846CA"/>
    <w:rsid w:val="00D84A3C"/>
    <w:rsid w:val="00D86C02"/>
    <w:rsid w:val="00D8755B"/>
    <w:rsid w:val="00D92179"/>
    <w:rsid w:val="00D932E1"/>
    <w:rsid w:val="00D94567"/>
    <w:rsid w:val="00D9647E"/>
    <w:rsid w:val="00DA202F"/>
    <w:rsid w:val="00DA20DA"/>
    <w:rsid w:val="00DA3103"/>
    <w:rsid w:val="00DA550E"/>
    <w:rsid w:val="00DA5C32"/>
    <w:rsid w:val="00DA6D7B"/>
    <w:rsid w:val="00DA738C"/>
    <w:rsid w:val="00DA770E"/>
    <w:rsid w:val="00DB0BF5"/>
    <w:rsid w:val="00DB0CEC"/>
    <w:rsid w:val="00DB1185"/>
    <w:rsid w:val="00DB3C6E"/>
    <w:rsid w:val="00DB3D51"/>
    <w:rsid w:val="00DB4281"/>
    <w:rsid w:val="00DB5FB7"/>
    <w:rsid w:val="00DB7133"/>
    <w:rsid w:val="00DB73D9"/>
    <w:rsid w:val="00DC0028"/>
    <w:rsid w:val="00DC0208"/>
    <w:rsid w:val="00DC085F"/>
    <w:rsid w:val="00DC20D0"/>
    <w:rsid w:val="00DC3316"/>
    <w:rsid w:val="00DC3D02"/>
    <w:rsid w:val="00DC465C"/>
    <w:rsid w:val="00DC4840"/>
    <w:rsid w:val="00DC4F6F"/>
    <w:rsid w:val="00DC6817"/>
    <w:rsid w:val="00DC6E1E"/>
    <w:rsid w:val="00DC7761"/>
    <w:rsid w:val="00DD4374"/>
    <w:rsid w:val="00DD6502"/>
    <w:rsid w:val="00DD6E07"/>
    <w:rsid w:val="00DD714C"/>
    <w:rsid w:val="00DE0CDD"/>
    <w:rsid w:val="00DE1254"/>
    <w:rsid w:val="00DE29D7"/>
    <w:rsid w:val="00DE3681"/>
    <w:rsid w:val="00DE4B4B"/>
    <w:rsid w:val="00DE4B85"/>
    <w:rsid w:val="00DE67BB"/>
    <w:rsid w:val="00DE78DC"/>
    <w:rsid w:val="00DE78DF"/>
    <w:rsid w:val="00DF0696"/>
    <w:rsid w:val="00DF24AF"/>
    <w:rsid w:val="00DF34A9"/>
    <w:rsid w:val="00DF54A7"/>
    <w:rsid w:val="00DF55DF"/>
    <w:rsid w:val="00DF5A32"/>
    <w:rsid w:val="00DF61D8"/>
    <w:rsid w:val="00E0083E"/>
    <w:rsid w:val="00E024D2"/>
    <w:rsid w:val="00E030C9"/>
    <w:rsid w:val="00E03BF0"/>
    <w:rsid w:val="00E05439"/>
    <w:rsid w:val="00E05F1D"/>
    <w:rsid w:val="00E10534"/>
    <w:rsid w:val="00E10E97"/>
    <w:rsid w:val="00E115FF"/>
    <w:rsid w:val="00E13CFC"/>
    <w:rsid w:val="00E1404B"/>
    <w:rsid w:val="00E14310"/>
    <w:rsid w:val="00E15412"/>
    <w:rsid w:val="00E170F6"/>
    <w:rsid w:val="00E20D35"/>
    <w:rsid w:val="00E21556"/>
    <w:rsid w:val="00E22084"/>
    <w:rsid w:val="00E22767"/>
    <w:rsid w:val="00E24178"/>
    <w:rsid w:val="00E245A6"/>
    <w:rsid w:val="00E24C66"/>
    <w:rsid w:val="00E24EE7"/>
    <w:rsid w:val="00E25C2D"/>
    <w:rsid w:val="00E2791D"/>
    <w:rsid w:val="00E30BD2"/>
    <w:rsid w:val="00E32559"/>
    <w:rsid w:val="00E32A1D"/>
    <w:rsid w:val="00E33788"/>
    <w:rsid w:val="00E33EF2"/>
    <w:rsid w:val="00E3410E"/>
    <w:rsid w:val="00E37CE6"/>
    <w:rsid w:val="00E4045B"/>
    <w:rsid w:val="00E40AE5"/>
    <w:rsid w:val="00E41D60"/>
    <w:rsid w:val="00E420B0"/>
    <w:rsid w:val="00E42A3E"/>
    <w:rsid w:val="00E443BB"/>
    <w:rsid w:val="00E450B0"/>
    <w:rsid w:val="00E463D3"/>
    <w:rsid w:val="00E4760F"/>
    <w:rsid w:val="00E50B0C"/>
    <w:rsid w:val="00E51C30"/>
    <w:rsid w:val="00E52AD4"/>
    <w:rsid w:val="00E53E5F"/>
    <w:rsid w:val="00E55DF2"/>
    <w:rsid w:val="00E5602F"/>
    <w:rsid w:val="00E57A45"/>
    <w:rsid w:val="00E610C0"/>
    <w:rsid w:val="00E613F6"/>
    <w:rsid w:val="00E63261"/>
    <w:rsid w:val="00E63383"/>
    <w:rsid w:val="00E63412"/>
    <w:rsid w:val="00E6347A"/>
    <w:rsid w:val="00E63E21"/>
    <w:rsid w:val="00E64383"/>
    <w:rsid w:val="00E65773"/>
    <w:rsid w:val="00E663C7"/>
    <w:rsid w:val="00E66849"/>
    <w:rsid w:val="00E7010B"/>
    <w:rsid w:val="00E70BA3"/>
    <w:rsid w:val="00E7139A"/>
    <w:rsid w:val="00E7144D"/>
    <w:rsid w:val="00E7148B"/>
    <w:rsid w:val="00E71513"/>
    <w:rsid w:val="00E725A0"/>
    <w:rsid w:val="00E72651"/>
    <w:rsid w:val="00E73125"/>
    <w:rsid w:val="00E7551D"/>
    <w:rsid w:val="00E77261"/>
    <w:rsid w:val="00E8003D"/>
    <w:rsid w:val="00E80D9E"/>
    <w:rsid w:val="00E83567"/>
    <w:rsid w:val="00E84791"/>
    <w:rsid w:val="00E84FBC"/>
    <w:rsid w:val="00E8578F"/>
    <w:rsid w:val="00E876BF"/>
    <w:rsid w:val="00E90397"/>
    <w:rsid w:val="00E90BDB"/>
    <w:rsid w:val="00E9160D"/>
    <w:rsid w:val="00E91B23"/>
    <w:rsid w:val="00E92407"/>
    <w:rsid w:val="00E9262A"/>
    <w:rsid w:val="00E927E9"/>
    <w:rsid w:val="00E96F80"/>
    <w:rsid w:val="00EA0A6E"/>
    <w:rsid w:val="00EA16DE"/>
    <w:rsid w:val="00EA248C"/>
    <w:rsid w:val="00EA3BC8"/>
    <w:rsid w:val="00EA3CBF"/>
    <w:rsid w:val="00EA446E"/>
    <w:rsid w:val="00EA4E19"/>
    <w:rsid w:val="00EA5D77"/>
    <w:rsid w:val="00EA6A93"/>
    <w:rsid w:val="00EB1275"/>
    <w:rsid w:val="00EB1C42"/>
    <w:rsid w:val="00EB331F"/>
    <w:rsid w:val="00EB3DA4"/>
    <w:rsid w:val="00EB512C"/>
    <w:rsid w:val="00EB5CE0"/>
    <w:rsid w:val="00EB65BA"/>
    <w:rsid w:val="00EB6DB1"/>
    <w:rsid w:val="00EC1B98"/>
    <w:rsid w:val="00EC212C"/>
    <w:rsid w:val="00EC3A14"/>
    <w:rsid w:val="00EC6507"/>
    <w:rsid w:val="00EC723C"/>
    <w:rsid w:val="00ED08E0"/>
    <w:rsid w:val="00ED0A35"/>
    <w:rsid w:val="00ED0E52"/>
    <w:rsid w:val="00ED1CE4"/>
    <w:rsid w:val="00ED208B"/>
    <w:rsid w:val="00ED2129"/>
    <w:rsid w:val="00ED3242"/>
    <w:rsid w:val="00ED3ECF"/>
    <w:rsid w:val="00ED627A"/>
    <w:rsid w:val="00ED6D4F"/>
    <w:rsid w:val="00EE02FF"/>
    <w:rsid w:val="00EE068E"/>
    <w:rsid w:val="00EE2602"/>
    <w:rsid w:val="00EE2DA4"/>
    <w:rsid w:val="00EE3490"/>
    <w:rsid w:val="00EE3CAE"/>
    <w:rsid w:val="00EE4132"/>
    <w:rsid w:val="00EE6DC8"/>
    <w:rsid w:val="00EE7827"/>
    <w:rsid w:val="00EF0368"/>
    <w:rsid w:val="00EF1231"/>
    <w:rsid w:val="00EF14C7"/>
    <w:rsid w:val="00EF5B11"/>
    <w:rsid w:val="00F00060"/>
    <w:rsid w:val="00F000D3"/>
    <w:rsid w:val="00F00F67"/>
    <w:rsid w:val="00F015C6"/>
    <w:rsid w:val="00F02240"/>
    <w:rsid w:val="00F0258F"/>
    <w:rsid w:val="00F0311A"/>
    <w:rsid w:val="00F072DE"/>
    <w:rsid w:val="00F07323"/>
    <w:rsid w:val="00F0772F"/>
    <w:rsid w:val="00F07A52"/>
    <w:rsid w:val="00F10B2A"/>
    <w:rsid w:val="00F10E1E"/>
    <w:rsid w:val="00F1110B"/>
    <w:rsid w:val="00F13324"/>
    <w:rsid w:val="00F1392B"/>
    <w:rsid w:val="00F15160"/>
    <w:rsid w:val="00F16205"/>
    <w:rsid w:val="00F1633B"/>
    <w:rsid w:val="00F172D8"/>
    <w:rsid w:val="00F17D6E"/>
    <w:rsid w:val="00F2043B"/>
    <w:rsid w:val="00F2054F"/>
    <w:rsid w:val="00F21DC2"/>
    <w:rsid w:val="00F229ED"/>
    <w:rsid w:val="00F242C1"/>
    <w:rsid w:val="00F2494C"/>
    <w:rsid w:val="00F26236"/>
    <w:rsid w:val="00F26367"/>
    <w:rsid w:val="00F267CA"/>
    <w:rsid w:val="00F2778E"/>
    <w:rsid w:val="00F27915"/>
    <w:rsid w:val="00F27FD5"/>
    <w:rsid w:val="00F30696"/>
    <w:rsid w:val="00F318C0"/>
    <w:rsid w:val="00F34D03"/>
    <w:rsid w:val="00F3576A"/>
    <w:rsid w:val="00F35B2B"/>
    <w:rsid w:val="00F37B26"/>
    <w:rsid w:val="00F40B47"/>
    <w:rsid w:val="00F439AD"/>
    <w:rsid w:val="00F44D62"/>
    <w:rsid w:val="00F45A2A"/>
    <w:rsid w:val="00F4664B"/>
    <w:rsid w:val="00F468FE"/>
    <w:rsid w:val="00F476A1"/>
    <w:rsid w:val="00F47722"/>
    <w:rsid w:val="00F533A3"/>
    <w:rsid w:val="00F576F1"/>
    <w:rsid w:val="00F62DC9"/>
    <w:rsid w:val="00F6463B"/>
    <w:rsid w:val="00F656D5"/>
    <w:rsid w:val="00F65C1B"/>
    <w:rsid w:val="00F66CAC"/>
    <w:rsid w:val="00F70D36"/>
    <w:rsid w:val="00F711E6"/>
    <w:rsid w:val="00F718BA"/>
    <w:rsid w:val="00F71D56"/>
    <w:rsid w:val="00F722CD"/>
    <w:rsid w:val="00F740C0"/>
    <w:rsid w:val="00F7526B"/>
    <w:rsid w:val="00F80355"/>
    <w:rsid w:val="00F8366A"/>
    <w:rsid w:val="00F8387B"/>
    <w:rsid w:val="00F855D5"/>
    <w:rsid w:val="00F85C06"/>
    <w:rsid w:val="00F87597"/>
    <w:rsid w:val="00F87983"/>
    <w:rsid w:val="00F87A38"/>
    <w:rsid w:val="00F937C4"/>
    <w:rsid w:val="00F946AC"/>
    <w:rsid w:val="00F950A3"/>
    <w:rsid w:val="00F951A8"/>
    <w:rsid w:val="00F97F5A"/>
    <w:rsid w:val="00FA0B43"/>
    <w:rsid w:val="00FA0C0A"/>
    <w:rsid w:val="00FA0E10"/>
    <w:rsid w:val="00FA11A4"/>
    <w:rsid w:val="00FA24EA"/>
    <w:rsid w:val="00FA27DB"/>
    <w:rsid w:val="00FA27DF"/>
    <w:rsid w:val="00FA3E28"/>
    <w:rsid w:val="00FA43B4"/>
    <w:rsid w:val="00FA5C55"/>
    <w:rsid w:val="00FA79AF"/>
    <w:rsid w:val="00FA79DC"/>
    <w:rsid w:val="00FB1870"/>
    <w:rsid w:val="00FB1A3D"/>
    <w:rsid w:val="00FB1E81"/>
    <w:rsid w:val="00FB2431"/>
    <w:rsid w:val="00FB4933"/>
    <w:rsid w:val="00FB5457"/>
    <w:rsid w:val="00FC0100"/>
    <w:rsid w:val="00FC0D7C"/>
    <w:rsid w:val="00FC1A5A"/>
    <w:rsid w:val="00FC2986"/>
    <w:rsid w:val="00FC38BB"/>
    <w:rsid w:val="00FC3A1F"/>
    <w:rsid w:val="00FC6576"/>
    <w:rsid w:val="00FC6BF2"/>
    <w:rsid w:val="00FC7CF2"/>
    <w:rsid w:val="00FD0FBD"/>
    <w:rsid w:val="00FD1764"/>
    <w:rsid w:val="00FD330F"/>
    <w:rsid w:val="00FD4289"/>
    <w:rsid w:val="00FD4669"/>
    <w:rsid w:val="00FD5489"/>
    <w:rsid w:val="00FD5BDA"/>
    <w:rsid w:val="00FD67FF"/>
    <w:rsid w:val="00FD6F08"/>
    <w:rsid w:val="00FE008E"/>
    <w:rsid w:val="00FE038C"/>
    <w:rsid w:val="00FE0D7E"/>
    <w:rsid w:val="00FE1330"/>
    <w:rsid w:val="00FE18AC"/>
    <w:rsid w:val="00FE2F95"/>
    <w:rsid w:val="00FE591B"/>
    <w:rsid w:val="00FE7B9A"/>
    <w:rsid w:val="00FE7D76"/>
    <w:rsid w:val="00FF1B00"/>
    <w:rsid w:val="00FF1C2A"/>
    <w:rsid w:val="00FF2144"/>
    <w:rsid w:val="00FF4D9A"/>
    <w:rsid w:val="00FF6476"/>
    <w:rsid w:val="01147BFF"/>
    <w:rsid w:val="015B9FC3"/>
    <w:rsid w:val="032C6446"/>
    <w:rsid w:val="07AC80A7"/>
    <w:rsid w:val="0855B91F"/>
    <w:rsid w:val="0A5D1525"/>
    <w:rsid w:val="0C5E6A67"/>
    <w:rsid w:val="0D00109C"/>
    <w:rsid w:val="11731BE8"/>
    <w:rsid w:val="12E2E1C2"/>
    <w:rsid w:val="1409CC3E"/>
    <w:rsid w:val="17DF0D59"/>
    <w:rsid w:val="18D6B84B"/>
    <w:rsid w:val="1A4DA345"/>
    <w:rsid w:val="1B16AE1B"/>
    <w:rsid w:val="1BA1529C"/>
    <w:rsid w:val="1D480A39"/>
    <w:rsid w:val="20D19DB0"/>
    <w:rsid w:val="227207CB"/>
    <w:rsid w:val="2371F4FC"/>
    <w:rsid w:val="2642EFCB"/>
    <w:rsid w:val="2C424BD0"/>
    <w:rsid w:val="37DE78C8"/>
    <w:rsid w:val="3A5B6E0E"/>
    <w:rsid w:val="3E17A94B"/>
    <w:rsid w:val="3E3277B3"/>
    <w:rsid w:val="41A1722B"/>
    <w:rsid w:val="437AEA44"/>
    <w:rsid w:val="44308FB0"/>
    <w:rsid w:val="4BDD7FEF"/>
    <w:rsid w:val="4D663E56"/>
    <w:rsid w:val="4F721144"/>
    <w:rsid w:val="55249E97"/>
    <w:rsid w:val="5D668C35"/>
    <w:rsid w:val="60814E20"/>
    <w:rsid w:val="60D816BF"/>
    <w:rsid w:val="61968A03"/>
    <w:rsid w:val="64358F7D"/>
    <w:rsid w:val="67833D2F"/>
    <w:rsid w:val="6939BC48"/>
    <w:rsid w:val="6B2E5C81"/>
    <w:rsid w:val="6BECCFC5"/>
    <w:rsid w:val="6C07F698"/>
    <w:rsid w:val="6E178466"/>
    <w:rsid w:val="72073D8D"/>
    <w:rsid w:val="76B214D8"/>
    <w:rsid w:val="78827430"/>
    <w:rsid w:val="7A658F97"/>
    <w:rsid w:val="7BAB9C51"/>
    <w:rsid w:val="7DD01CA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73F89B7"/>
  <w15:docId w15:val="{A82BE068-9BE0-4872-8662-047318FB56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qFormat="1"/>
    <w:lsdException w:name="heading 6"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uiPriority w:val="99"/>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uiPriority w:val="99"/>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uiPriority w:val="99"/>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uiPriority w:val="99"/>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
    <w:basedOn w:val="HouseStyleBase"/>
    <w:link w:val="Heading8Char"/>
    <w:uiPriority w:val="99"/>
    <w:qFormat/>
    <w:rsid w:val="00AA7115"/>
    <w:pPr>
      <w:numPr>
        <w:ilvl w:val="7"/>
        <w:numId w:val="2"/>
      </w:numPr>
      <w:outlineLvl w:val="7"/>
    </w:pPr>
  </w:style>
  <w:style w:type="paragraph" w:styleId="Heading9">
    <w:name w:val="heading 9"/>
    <w:aliases w:val="Heading 9 (Do Not Use),Heading 9 (defunct),Legal Level 1.1.1.1.,Lev 9,h9 DO NOT USE,App Heading,Titre 10,App1"/>
    <w:basedOn w:val="HouseStyleBase"/>
    <w:link w:val="Heading9Char"/>
    <w:uiPriority w:val="99"/>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uiPriority w:val="3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uiPriority w:val="99"/>
    <w:rsid w:val="00AA7115"/>
    <w:rPr>
      <w:sz w:val="16"/>
      <w:szCs w:val="16"/>
    </w:rPr>
  </w:style>
  <w:style w:type="paragraph" w:styleId="CommentText">
    <w:name w:val="annotation text"/>
    <w:basedOn w:val="Normal"/>
    <w:link w:val="CommentTextChar"/>
    <w:uiPriority w:val="99"/>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uiPriority w:val="99"/>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uiPriority w:val="99"/>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9"/>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apple-tab-span">
    <w:name w:val="apple-tab-span"/>
    <w:basedOn w:val="DefaultParagraphFont"/>
    <w:rsid w:val="00183DAF"/>
  </w:style>
  <w:style w:type="paragraph" w:customStyle="1" w:styleId="GPSL1SCHEDULEHeading">
    <w:name w:val="GPS L1 SCHEDULE Heading"/>
    <w:basedOn w:val="Normal"/>
    <w:qFormat/>
    <w:rsid w:val="00574BF3"/>
    <w:pPr>
      <w:numPr>
        <w:numId w:val="35"/>
      </w:numPr>
      <w:tabs>
        <w:tab w:val="left" w:pos="0"/>
      </w:tabs>
      <w:adjustRightInd w:val="0"/>
      <w:spacing w:before="240" w:after="240"/>
      <w:jc w:val="both"/>
    </w:pPr>
    <w:rPr>
      <w:rFonts w:ascii="Calibri" w:eastAsia="STZhongsong" w:hAnsi="Calibri" w:cs="Arial"/>
      <w:b/>
      <w:caps/>
      <w:szCs w:val="22"/>
    </w:rPr>
  </w:style>
  <w:style w:type="character" w:customStyle="1" w:styleId="UnresolvedMention1">
    <w:name w:val="Unresolved Mention1"/>
    <w:basedOn w:val="DefaultParagraphFont"/>
    <w:uiPriority w:val="99"/>
    <w:semiHidden/>
    <w:unhideWhenUsed/>
    <w:rsid w:val="00574BF3"/>
    <w:rPr>
      <w:color w:val="605E5C"/>
      <w:shd w:val="clear" w:color="auto" w:fill="E1DFDD"/>
    </w:rPr>
  </w:style>
  <w:style w:type="table" w:styleId="GridTable4">
    <w:name w:val="Grid Table 4"/>
    <w:basedOn w:val="TableNormal"/>
    <w:uiPriority w:val="49"/>
    <w:rsid w:val="00E65773"/>
    <w:rPr>
      <w:rFonts w:asciiTheme="minorHAnsi" w:eastAsiaTheme="minorHAnsi" w:hAnsiTheme="minorHAnsi" w:cstheme="minorBidi"/>
      <w:sz w:val="22"/>
      <w:szCs w:val="22"/>
      <w:lang w:eastAsia="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368752">
      <w:bodyDiv w:val="1"/>
      <w:marLeft w:val="0"/>
      <w:marRight w:val="0"/>
      <w:marTop w:val="0"/>
      <w:marBottom w:val="0"/>
      <w:divBdr>
        <w:top w:val="none" w:sz="0" w:space="0" w:color="auto"/>
        <w:left w:val="none" w:sz="0" w:space="0" w:color="auto"/>
        <w:bottom w:val="none" w:sz="0" w:space="0" w:color="auto"/>
        <w:right w:val="none" w:sz="0" w:space="0" w:color="auto"/>
      </w:divBdr>
    </w:div>
    <w:div w:id="1748991444">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the-green-book-appraisal-and-evaluation-in-central-governen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the-green-book-appraisal-and-evaluation-in-central-governen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lc_EmailBCC xmlns="http://schemas.microsoft.com/sharepoint/v3" xsi:nil="true"/>
    <TaxCatchAll xmlns="8485635d-cf54-460b-8438-0e2015e08040">
      <Value>16</Value>
      <Value>4</Value>
      <Value>2</Value>
      <Value>1</Value>
      <Value>5</Value>
    </TaxCatchAll>
    <dlc_EmailReceivedUTC xmlns="http://schemas.microsoft.com/sharepoint/v3" xsi:nil="true"/>
    <HMT_ClosedbyOrig xmlns="8485635d-cf54-460b-8438-0e2015e08040">
      <UserInfo>
        <DisplayName/>
        <AccountId xsi:nil="true"/>
        <AccountType/>
      </UserInfo>
    </HMT_ClosedbyOrig>
    <dlc_EmailSentUTC xmlns="http://schemas.microsoft.com/sharepoint/v3" xsi:nil="true"/>
    <dlc_EmailSubject xmlns="http://schemas.microsoft.com/sharepoint/v3" xsi:nil="true"/>
    <HMT_DocumentTypeHTField0 xmlns="8485635d-cf54-460b-8438-0e2015e08040">
      <Terms xmlns="http://schemas.microsoft.com/office/infopath/2007/PartnerControls">
        <TermInfo xmlns="http://schemas.microsoft.com/office/infopath/2007/PartnerControls">
          <TermName xmlns="http://schemas.microsoft.com/office/infopath/2007/PartnerControls">Other</TermName>
          <TermId xmlns="http://schemas.microsoft.com/office/infopath/2007/PartnerControls">c235b5c2-f697-427b-a70a-43d69599f998</TermId>
        </TermInfo>
      </Terms>
    </HMT_DocumentTypeHTField0>
    <dlc_EmailTo xmlns="http://schemas.microsoft.com/sharepoint/v3" xsi:nil="true"/>
    <dlc_EmailFrom xmlns="http://schemas.microsoft.com/sharepoint/v3" xsi:nil="true"/>
    <dlc_EmailCC xmlns="http://schemas.microsoft.com/sharepoint/v3" xsi:nil="true"/>
    <dlc_EmailMailbox xmlns="http://schemas.microsoft.com/sharepoint/v3">
      <UserInfo>
        <DisplayName/>
        <AccountId xsi:nil="true"/>
        <AccountType/>
      </UserInfo>
    </dlc_EmailMailbox>
    <HMT_Topic xmlns="8485635d-cf54-460b-8438-0e2015e08040">Better Business Case Reprocurement 21</HMT_Topic>
    <HMT_LegacyRecord xmlns="8485635d-cf54-460b-8438-0e2015e08040">false</HMT_LegacyRecord>
    <HMT_SubTeamHTField0 xmlns="8485635d-cf54-460b-8438-0e2015e08040">
      <Terms xmlns="http://schemas.microsoft.com/office/infopath/2007/PartnerControls"/>
    </HMT_SubTeamHTField0>
    <HMT_Record xmlns="8485635d-cf54-460b-8438-0e2015e08040">true</HMT_Record>
    <HMT_LegacySensitive xmlns="8485635d-cf54-460b-8438-0e2015e08040">false</HMT_LegacySensitive>
    <HMT_TeamHTField0 xmlns="8485635d-cf54-460b-8438-0e2015e08040">
      <Terms xmlns="http://schemas.microsoft.com/office/infopath/2007/PartnerControls">
        <TermInfo xmlns="http://schemas.microsoft.com/office/infopath/2007/PartnerControls">
          <TermName xmlns="http://schemas.microsoft.com/office/infopath/2007/PartnerControls">General Expenditure and Policy</TermName>
          <TermId xmlns="http://schemas.microsoft.com/office/infopath/2007/PartnerControls">4a81b446-fe47-4a34-896a-08a39e88400b</TermId>
        </TermInfo>
      </Terms>
    </HMT_TeamHTField0>
    <HMT_CategoryHTField0 xmlns="8485635d-cf54-460b-8438-0e2015e08040">
      <Terms xmlns="http://schemas.microsoft.com/office/infopath/2007/PartnerControls">
        <TermInfo xmlns="http://schemas.microsoft.com/office/infopath/2007/PartnerControls">
          <TermName xmlns="http://schemas.microsoft.com/office/infopath/2007/PartnerControls">Policy Document Types</TermName>
          <TermId xmlns="http://schemas.microsoft.com/office/infopath/2007/PartnerControls">bd4325a7-7f6a-48f9-b0dc-cc3aef626e65</TermId>
        </TermInfo>
      </Terms>
    </HMT_CategoryHTField0>
    <HMT_Theme xmlns="8485635d-cf54-460b-8438-0e2015e08040">GEP Green Book Branch</HMT_Theme>
    <HMT_SubTopic xmlns="8485635d-cf54-460b-8438-0e2015e08040">Full reprocurement 22</HMT_SubTopic>
    <HMT_ClosedArchive xmlns="8485635d-cf54-460b-8438-0e2015e08040">false</HMT_ClosedArchive>
    <b9c42a306c8b47fcbaf8a41a71352f3a xmlns="8485635d-cf54-460b-8438-0e2015e0804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0c3401bb-744b-4660-997f-fc50d910db48</TermId>
        </TermInfo>
      </Terms>
    </b9c42a306c8b47fcbaf8a41a71352f3a>
    <HMT_GroupHTField0 xmlns="8485635d-cf54-460b-8438-0e2015e08040">
      <Terms xmlns="http://schemas.microsoft.com/office/infopath/2007/PartnerControls">
        <TermInfo xmlns="http://schemas.microsoft.com/office/infopath/2007/PartnerControls">
          <TermName xmlns="http://schemas.microsoft.com/office/infopath/2007/PartnerControls">Public Spending</TermName>
          <TermId xmlns="http://schemas.microsoft.com/office/infopath/2007/PartnerControls">0f654411-7d5f-45ce-a09d-a0ea67f4b905</TermId>
        </TermInfo>
      </Terms>
    </HMT_GroupHTField0>
    <SharedWithUsers xmlns="8485635d-cf54-460b-8438-0e2015e08040">
      <UserInfo>
        <DisplayName>Bramley, Samuel - HMT</DisplayName>
        <AccountId>2212</AccountId>
        <AccountType/>
      </UserInfo>
      <UserInfo>
        <DisplayName>Miller, Siobhan - HMT</DisplayName>
        <AccountId>770</AccountId>
        <AccountType/>
      </UserInfo>
      <UserInfo>
        <DisplayName>Degun, Satveer - HMT</DisplayName>
        <AccountId>3357</AccountId>
        <AccountType/>
      </UserInfo>
      <UserInfo>
        <DisplayName>Johnson, Adam - HMT</DisplayName>
        <AccountId>3854</AccountId>
        <AccountType/>
      </UserInfo>
    </SharedWithUsers>
    <lcf76f155ced4ddcb4097134ff3c332f xmlns="00b03acf-de31-4f10-844b-a1784795bf6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HMT Document" ma:contentTypeID="0x010100672A3FCA98991645BE083C320B7539B70073E2331C55A74AA0969608FB8C0629F600C3B946F66C85FF41B836068670951ED3" ma:contentTypeVersion="2636" ma:contentTypeDescription="Create an InfoStore Document" ma:contentTypeScope="" ma:versionID="8f0540a90a588bf51c8a571ec81c10b1">
  <xsd:schema xmlns:xsd="http://www.w3.org/2001/XMLSchema" xmlns:xs="http://www.w3.org/2001/XMLSchema" xmlns:p="http://schemas.microsoft.com/office/2006/metadata/properties" xmlns:ns1="8485635d-cf54-460b-8438-0e2015e08040" xmlns:ns2="http://schemas.microsoft.com/sharepoint/v3" xmlns:ns3="00b03acf-de31-4f10-844b-a1784795bf6a" targetNamespace="http://schemas.microsoft.com/office/2006/metadata/properties" ma:root="true" ma:fieldsID="c2fde4c91d3a4d66b323deb08e3e44c4" ns1:_="" ns2:_="" ns3:_="">
    <xsd:import namespace="8485635d-cf54-460b-8438-0e2015e08040"/>
    <xsd:import namespace="http://schemas.microsoft.com/sharepoint/v3"/>
    <xsd:import namespace="00b03acf-de31-4f10-844b-a1784795bf6a"/>
    <xsd:element name="properties">
      <xsd:complexType>
        <xsd:sequence>
          <xsd:element name="documentManagement">
            <xsd:complexType>
              <xsd:all>
                <xsd:element ref="ns1:HMT_DocumentTypeHTField0" minOccurs="0"/>
                <xsd:element ref="ns1:HMT_Record" minOccurs="0"/>
                <xsd:element ref="ns1:HMT_GroupHTField0" minOccurs="0"/>
                <xsd:element ref="ns1:HMT_TeamHTField0" minOccurs="0"/>
                <xsd:element ref="ns1:HMT_SubTeamHTField0" minOccurs="0"/>
                <xsd:element ref="ns1:HMT_Theme" minOccurs="0"/>
                <xsd:element ref="ns1:HMT_Topic" minOccurs="0"/>
                <xsd:element ref="ns1:HMT_SubTopic" minOccurs="0"/>
                <xsd:element ref="ns1:HMT_CategoryHTField0" minOccurs="0"/>
                <xsd:element ref="ns1:HMT_ClosedOn" minOccurs="0"/>
                <xsd:element ref="ns1:HMT_DeletedOn" minOccurs="0"/>
                <xsd:element ref="ns1:HMT_ArchivedOn" minOccurs="0"/>
                <xsd:element ref="ns1:HMT_LegacyItemID" minOccurs="0"/>
                <xsd:element ref="ns1:HMT_LegacyCreatedBy" minOccurs="0"/>
                <xsd:element ref="ns1:HMT_LegacyModifiedBy" minOccurs="0"/>
                <xsd:element ref="ns1:HMT_LegacyOrigSource" minOccurs="0"/>
                <xsd:element ref="ns1:HMT_LegacyExtRef" minOccurs="0"/>
                <xsd:element ref="ns1:HMT_LegacySensitive" minOccurs="0"/>
                <xsd:element ref="ns1:HMT_LegacyRecord" minOccurs="0"/>
                <xsd:element ref="ns1:HMT_Audit" minOccurs="0"/>
                <xsd:element ref="ns1:HMT_ClosedBy" minOccurs="0"/>
                <xsd:element ref="ns1:HMT_ArchivedBy" minOccurs="0"/>
                <xsd:element ref="ns1:HMT_ClosedArchive" minOccurs="0"/>
                <xsd:element ref="ns1:HMT_ClosedOnOrig" minOccurs="0"/>
                <xsd:element ref="ns1:HMT_ClosedbyOrig" minOccurs="0"/>
                <xsd:element ref="ns1:_dlc_DocId" minOccurs="0"/>
                <xsd:element ref="ns1:_dlc_DocIdUrl" minOccurs="0"/>
                <xsd:element ref="ns1:_dlc_DocIdPersistId" minOccurs="0"/>
                <xsd:element ref="ns1:TaxCatchAll" minOccurs="0"/>
                <xsd:element ref="ns1:TaxCatchAllLabel" minOccurs="0"/>
                <xsd:element ref="ns2:dlc_EmailSubject" minOccurs="0"/>
                <xsd:element ref="ns2:dlc_EmailMailbox" minOccurs="0"/>
                <xsd:element ref="ns2:dlc_EmailTo" minOccurs="0"/>
                <xsd:element ref="ns2:dlc_EmailFrom" minOccurs="0"/>
                <xsd:element ref="ns2:dlc_EmailBCC" minOccurs="0"/>
                <xsd:element ref="ns2:dlc_EmailCC" minOccurs="0"/>
                <xsd:element ref="ns1:b9c42a306c8b47fcbaf8a41a71352f3a" minOccurs="0"/>
                <xsd:element ref="ns2:dlc_EmailSentUTC" minOccurs="0"/>
                <xsd:element ref="ns2:dlc_EmailReceivedUTC" minOccurs="0"/>
                <xsd:element ref="ns1:SharedWithUsers" minOccurs="0"/>
                <xsd:element ref="ns1:SharedWithDetails"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lcf76f155ced4ddcb4097134ff3c332f"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85635d-cf54-460b-8438-0e2015e08040" elementFormDefault="qualified">
    <xsd:import namespace="http://schemas.microsoft.com/office/2006/documentManagement/types"/>
    <xsd:import namespace="http://schemas.microsoft.com/office/infopath/2007/PartnerControls"/>
    <xsd:element name="HMT_DocumentTypeHTField0" ma:index="1" nillable="true" ma:taxonomy="true" ma:internalName="HMT_DocumentTypeHTField0" ma:taxonomyFieldName="HMT_DocumentType" ma:displayName="Document Type" ma:indexed="true" ma:default="-1;#Other|c235b5c2-f697-427b-a70a-43d69599f998" ma:fieldId="{64e205a0-0872-4e26-9aef-64ca7bdb5848}" ma:sspId="9002b6cd-6bc3-456d-8dd0-19fe32dddaf9" ma:termSetId="b6f1e53f-947f-4b4b-98bb-41ceeb10f910" ma:anchorId="bd4325a7-7f6a-48f9-b0dc-cc3aef626e65" ma:open="false" ma:isKeyword="false">
      <xsd:complexType>
        <xsd:sequence>
          <xsd:element ref="pc:Terms" minOccurs="0" maxOccurs="1"/>
        </xsd:sequence>
      </xsd:complexType>
    </xsd:element>
    <xsd:element name="HMT_Record" ma:index="2" nillable="true" ma:displayName="Record" ma:description="Is this document a record?" ma:hidden="true" ma:internalName="HMT_Record" ma:readOnly="true">
      <xsd:simpleType>
        <xsd:restriction base="dms:Boolean"/>
      </xsd:simpleType>
    </xsd:element>
    <xsd:element name="HMT_GroupHTField0" ma:index="4" nillable="true" ma:taxonomy="true" ma:internalName="HMT_GroupHTField0" ma:taxonomyFieldName="HMT_Group" ma:displayName="Organisation unit" ma:indexed="true" ma:readOnly="true" ma:default="" ma:fieldId="{0727aac2-e220-4289-aa2b-5b6dcdadae03}"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eamHTField0" ma:index="6" nillable="true" ma:taxonomy="true" ma:internalName="HMT_TeamHTField0" ma:taxonomyFieldName="HMT_Team" ma:displayName="Team" ma:indexed="true" ma:readOnly="true" ma:default="" ma:fieldId="{2eefa5c6-211a-4a5e-9a50-7e1c1c1599ef}"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SubTeamHTField0" ma:index="8" nillable="true" ma:taxonomy="true" ma:internalName="HMT_SubTeamHTField0" ma:taxonomyFieldName="HMT_SubTeam" ma:displayName="Sub Team" ma:indexed="true" ma:readOnly="true" ma:default="" ma:fieldId="{1b8bc039-1a2e-4089-a24d-47de9e4a6672}" ma:sspId="9002b6cd-6bc3-456d-8dd0-19fe32dddaf9" ma:termSetId="bfb00256-4f71-4b34-808b-e2a5e274e13b" ma:anchorId="00000000-0000-0000-0000-000000000000" ma:open="false" ma:isKeyword="false">
      <xsd:complexType>
        <xsd:sequence>
          <xsd:element ref="pc:Terms" minOccurs="0" maxOccurs="1"/>
        </xsd:sequence>
      </xsd:complexType>
    </xsd:element>
    <xsd:element name="HMT_Theme" ma:index="9" nillable="true" ma:displayName="Library" ma:description="Document library theme" ma:hidden="true" ma:internalName="HMT_Theme" ma:readOnly="true">
      <xsd:simpleType>
        <xsd:restriction base="dms:Text"/>
      </xsd:simpleType>
    </xsd:element>
    <xsd:element name="HMT_Topic" ma:index="10" nillable="true" ma:displayName="Topic" ma:description="Topic" ma:hidden="true" ma:internalName="HMT_Topic" ma:readOnly="true">
      <xsd:simpleType>
        <xsd:restriction base="dms:Text"/>
      </xsd:simpleType>
    </xsd:element>
    <xsd:element name="HMT_SubTopic" ma:index="11" nillable="true" ma:displayName="Sub Topic" ma:description="Sub topic" ma:hidden="true" ma:internalName="HMT_SubTopic" ma:readOnly="true">
      <xsd:simpleType>
        <xsd:restriction base="dms:Text"/>
      </xsd:simpleType>
    </xsd:element>
    <xsd:element name="HMT_CategoryHTField0" ma:index="13" nillable="true" ma:taxonomy="true" ma:internalName="HMT_CategoryHTField0" ma:taxonomyFieldName="HMT_Category" ma:displayName="Category" ma:indexed="true" ma:readOnly="true" ma:default="" ma:fieldId="{03bf77b0-a02d-47ea-8bec-4fb357d1f3ee}" ma:sspId="9002b6cd-6bc3-456d-8dd0-19fe32dddaf9" ma:termSetId="b6f1e53f-947f-4b4b-98bb-41ceeb10f910" ma:anchorId="00000000-0000-0000-0000-000000000000" ma:open="false" ma:isKeyword="false">
      <xsd:complexType>
        <xsd:sequence>
          <xsd:element ref="pc:Terms" minOccurs="0" maxOccurs="1"/>
        </xsd:sequence>
      </xsd:complexType>
    </xsd:element>
    <xsd:element name="HMT_ClosedOn" ma:index="15" nillable="true" ma:displayName="Closed On" ma:description="The date this item was closed on" ma:format="DateTime" ma:hidden="true" ma:internalName="HMT_ClosedOn" ma:readOnly="true">
      <xsd:simpleType>
        <xsd:restriction base="dms:DateTime"/>
      </xsd:simpleType>
    </xsd:element>
    <xsd:element name="HMT_DeletedOn" ma:index="16" nillable="true" ma:displayName="Deleted On" ma:description="The date this item was deleted on" ma:format="DateTime" ma:hidden="true" ma:internalName="HMT_DeletedOn" ma:readOnly="true">
      <xsd:simpleType>
        <xsd:restriction base="dms:DateTime"/>
      </xsd:simpleType>
    </xsd:element>
    <xsd:element name="HMT_ArchivedOn" ma:index="17" nillable="true" ma:displayName="Archived On" ma:description="The date this item was archived on" ma:format="DateTime" ma:hidden="true" ma:internalName="HMT_ArchivedOn" ma:readOnly="true">
      <xsd:simpleType>
        <xsd:restriction base="dms:DateTime"/>
      </xsd:simpleType>
    </xsd:element>
    <xsd:element name="HMT_LegacyItemID" ma:index="18" nillable="true" ma:displayName="Legacy Item ID" ma:hidden="true" ma:internalName="HMT_LegacyItemID" ma:readOnly="true">
      <xsd:simpleType>
        <xsd:restriction base="dms:Text"/>
      </xsd:simpleType>
    </xsd:element>
    <xsd:element name="HMT_LegacyCreatedBy" ma:index="19" nillable="true" ma:displayName="Legacy Created By" ma:hidden="true" ma:internalName="HMT_LegacyCreatedBy" ma:readOnly="true">
      <xsd:simpleType>
        <xsd:restriction base="dms:Text"/>
      </xsd:simpleType>
    </xsd:element>
    <xsd:element name="HMT_LegacyModifiedBy" ma:index="20" nillable="true" ma:displayName="Legacy Modified By" ma:hidden="true" ma:internalName="HMT_LegacyModifiedBy" ma:readOnly="true">
      <xsd:simpleType>
        <xsd:restriction base="dms:Text"/>
      </xsd:simpleType>
    </xsd:element>
    <xsd:element name="HMT_LegacyOrigSource" ma:index="21" nillable="true" ma:displayName="Original Source" ma:hidden="true" ma:internalName="HMT_LegacyOrigSource" ma:readOnly="true">
      <xsd:simpleType>
        <xsd:restriction base="dms:Text"/>
      </xsd:simpleType>
    </xsd:element>
    <xsd:element name="HMT_LegacyExtRef" ma:index="22" nillable="true" ma:displayName="External Reference" ma:hidden="true" ma:internalName="HMT_LegacyExtRef" ma:readOnly="true">
      <xsd:simpleType>
        <xsd:restriction base="dms:Text"/>
      </xsd:simpleType>
    </xsd:element>
    <xsd:element name="HMT_LegacySensitive" ma:index="23" nillable="true" ma:displayName="Sensitive Item" ma:default="0" ma:hidden="true" ma:internalName="HMT_LegacySensitive" ma:readOnly="true">
      <xsd:simpleType>
        <xsd:restriction base="dms:Boolean"/>
      </xsd:simpleType>
    </xsd:element>
    <xsd:element name="HMT_LegacyRecord" ma:index="24" nillable="true" ma:displayName="Legacy Record" ma:default="0" ma:hidden="true" ma:internalName="HMT_LegacyRecord" ma:readOnly="true">
      <xsd:simpleType>
        <xsd:restriction base="dms:Boolean"/>
      </xsd:simpleType>
    </xsd:element>
    <xsd:element name="HMT_Audit" ma:index="25" nillable="true" ma:displayName="Audit Log" ma:description="Audit Log" ma:internalName="HMT_Audit" ma:readOnly="true">
      <xsd:simpleType>
        <xsd:restriction base="dms:Note">
          <xsd:maxLength value="255"/>
        </xsd:restriction>
      </xsd:simpleType>
    </xsd:element>
    <xsd:element name="HMT_ClosedBy" ma:index="26" nillable="true" ma:displayName="Closed By" ma:description="Who closed this item" ma:hidden="true" ma:list="UserInfo" ma:internalName="HMT_Clos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ArchivedBy" ma:index="27" nillable="true" ma:displayName="Archived By" ma:description="Who archived this item" ma:hidden="true" ma:list="UserInfo" ma:internalName="HMT_ArchivedBy"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MT_ClosedArchive" ma:index="28" nillable="true" ma:displayName="Closed Archive" ma:default="0" ma:description="Item sent to closed archive" ma:hidden="true" ma:internalName="HMT_ClosedArchive" ma:readOnly="true">
      <xsd:simpleType>
        <xsd:restriction base="dms:Boolean"/>
      </xsd:simpleType>
    </xsd:element>
    <xsd:element name="HMT_ClosedOnOrig" ma:index="29" nillable="true" ma:displayName="Original Closed On" ma:description="The date this item was originally closed on" ma:format="DateTime" ma:hidden="true" ma:internalName="HMT_ClosedOnOrig" ma:readOnly="true">
      <xsd:simpleType>
        <xsd:restriction base="dms:DateTime"/>
      </xsd:simpleType>
    </xsd:element>
    <xsd:element name="HMT_ClosedbyOrig" ma:index="30" nillable="true" ma:displayName="Original Closed By" ma:description="Who originally closed this item" ma:hidden="true" ma:list="UserInfo" ma:internalName="HMT_ClosedbyOrig">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32" nillable="true" ma:displayName="Document ID Value" ma:description="The value of the document ID assigned to this item." ma:internalName="_dlc_DocId" ma:readOnly="true">
      <xsd:simpleType>
        <xsd:restriction base="dms:Text"/>
      </xsd:simpleType>
    </xsd:element>
    <xsd:element name="_dlc_DocIdUrl" ma:index="3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TaxCatchAll" ma:index="36" nillable="true" ma:displayName="Taxonomy Catch All Column" ma:hidden="true" ma:list="{c6b8adde-5f31-4510-aaa6-4c0fabf83970}" ma:internalName="TaxCatchAll" ma:showField="CatchAllData"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TaxCatchAllLabel" ma:index="37" nillable="true" ma:displayName="Taxonomy Catch All Column1" ma:hidden="true" ma:list="{c6b8adde-5f31-4510-aaa6-4c0fabf83970}" ma:internalName="TaxCatchAllLabel" ma:readOnly="true" ma:showField="CatchAllDataLabel" ma:web="8485635d-cf54-460b-8438-0e2015e08040">
      <xsd:complexType>
        <xsd:complexContent>
          <xsd:extension base="dms:MultiChoiceLookup">
            <xsd:sequence>
              <xsd:element name="Value" type="dms:Lookup" maxOccurs="unbounded" minOccurs="0" nillable="true"/>
            </xsd:sequence>
          </xsd:extension>
        </xsd:complexContent>
      </xsd:complexType>
    </xsd:element>
    <xsd:element name="b9c42a306c8b47fcbaf8a41a71352f3a" ma:index="51" nillable="true" ma:taxonomy="true" ma:internalName="b9c42a306c8b47fcbaf8a41a71352f3a" ma:taxonomyFieldName="HMT_Classification" ma:displayName="Classification" ma:indexed="true" ma:readOnly="true" ma:default="" ma:fieldId="{b9c42a30-6c8b-47fc-baf8-a41a71352f3a}" ma:sspId="9002b6cd-6bc3-456d-8dd0-19fe32dddaf9" ma:termSetId="7a69d7dc-39ad-4ce6-95e5-a2714f1574de" ma:anchorId="00000000-0000-0000-0000-000000000000" ma:open="false" ma:isKeyword="false">
      <xsd:complexType>
        <xsd:sequence>
          <xsd:element ref="pc:Terms" minOccurs="0" maxOccurs="1"/>
        </xsd:sequence>
      </xsd:complexType>
    </xsd:element>
    <xsd:element name="SharedWithUsers" ma:index="5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lc_EmailSubject" ma:index="44" nillable="true" ma:displayName="Subject" ma:internalName="dlc_EmailSubject">
      <xsd:simpleType>
        <xsd:restriction base="dms:Text">
          <xsd:maxLength value="255"/>
        </xsd:restriction>
      </xsd:simpleType>
    </xsd:element>
    <xsd:element name="dlc_EmailMailbox" ma:index="46" nillable="true" ma:displayName="Submitter" ma:description="" ma:internalName="dlc_EmailMailbox">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lc_EmailTo" ma:index="47" nillable="true" ma:displayName="To" ma:internalName="dlc_EmailTo">
      <xsd:simpleType>
        <xsd:restriction base="dms:Text">
          <xsd:maxLength value="255"/>
        </xsd:restriction>
      </xsd:simpleType>
    </xsd:element>
    <xsd:element name="dlc_EmailFrom" ma:index="48" nillable="true" ma:displayName="From" ma:internalName="dlc_EmailFrom">
      <xsd:simpleType>
        <xsd:restriction base="dms:Text">
          <xsd:maxLength value="255"/>
        </xsd:restriction>
      </xsd:simpleType>
    </xsd:element>
    <xsd:element name="dlc_EmailBCC" ma:index="49" nillable="true" ma:displayName="BCC" ma:internalName="dlc_EmailBCC">
      <xsd:simpleType>
        <xsd:restriction base="dms:Note">
          <xsd:maxLength value="1024"/>
        </xsd:restriction>
      </xsd:simpleType>
    </xsd:element>
    <xsd:element name="dlc_EmailCC" ma:index="50" nillable="true" ma:displayName="CC" ma:internalName="dlc_EmailCC">
      <xsd:simpleType>
        <xsd:restriction base="dms:Note">
          <xsd:maxLength value="1024"/>
        </xsd:restriction>
      </xsd:simpleType>
    </xsd:element>
    <xsd:element name="dlc_EmailSentUTC" ma:index="52" nillable="true" ma:displayName="Date Sent" ma:internalName="dlc_EmailSentUTC">
      <xsd:simpleType>
        <xsd:restriction base="dms:DateTime"/>
      </xsd:simpleType>
    </xsd:element>
    <xsd:element name="dlc_EmailReceivedUTC" ma:index="53" nillable="true" ma:displayName="Date Received" ma:internalName="dlc_EmailReceivedUTC">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0b03acf-de31-4f10-844b-a1784795bf6a" elementFormDefault="qualified">
    <xsd:import namespace="http://schemas.microsoft.com/office/2006/documentManagement/types"/>
    <xsd:import namespace="http://schemas.microsoft.com/office/infopath/2007/PartnerControls"/>
    <xsd:element name="MediaServiceAutoKeyPoints" ma:index="56" nillable="true" ma:displayName="MediaServiceAutoKeyPoints" ma:hidden="true" ma:internalName="MediaServiceAutoKeyPoints" ma:readOnly="true">
      <xsd:simpleType>
        <xsd:restriction base="dms:Note"/>
      </xsd:simpleType>
    </xsd:element>
    <xsd:element name="MediaServiceKeyPoints" ma:index="57" nillable="true" ma:displayName="KeyPoints" ma:internalName="MediaServiceKeyPoints" ma:readOnly="true">
      <xsd:simpleType>
        <xsd:restriction base="dms:Note">
          <xsd:maxLength value="255"/>
        </xsd:restriction>
      </xsd:simpleType>
    </xsd:element>
    <xsd:element name="MediaServiceDateTaken" ma:index="58" nillable="true" ma:displayName="MediaServiceDateTaken" ma:hidden="true" ma:internalName="MediaServiceDateTaken" ma:readOnly="true">
      <xsd:simpleType>
        <xsd:restriction base="dms:Text"/>
      </xsd:simpleType>
    </xsd:element>
    <xsd:element name="MediaLengthInSeconds" ma:index="59" nillable="true" ma:displayName="Length (seconds)" ma:internalName="MediaLengthInSeconds" ma:readOnly="true">
      <xsd:simpleType>
        <xsd:restriction base="dms:Unknown"/>
      </xsd:simpleType>
    </xsd:element>
    <xsd:element name="MediaServiceAutoTags" ma:index="60" nillable="true" ma:displayName="Tags" ma:internalName="MediaServiceAutoTags" ma:readOnly="true">
      <xsd:simpleType>
        <xsd:restriction base="dms:Text"/>
      </xsd:simpleType>
    </xsd:element>
    <xsd:element name="lcf76f155ced4ddcb4097134ff3c332f" ma:index="62" nillable="true" ma:taxonomy="true" ma:internalName="lcf76f155ced4ddcb4097134ff3c332f" ma:taxonomyFieldName="MediaServiceImageTags" ma:displayName="Image Tags" ma:readOnly="false" ma:fieldId="{5cf76f15-5ced-4ddc-b409-7134ff3c332f}" ma:taxonomyMulti="true" ma:sspId="9002b6cd-6bc3-456d-8dd0-19fe32dddaf9" ma:termSetId="09814cd3-568e-fe90-9814-8d621ff8fb84" ma:anchorId="fba54fb3-c3e1-fe81-a776-ca4b69148c4d" ma:open="true" ma:isKeyword="false">
      <xsd:complexType>
        <xsd:sequence>
          <xsd:element ref="pc:Terms" minOccurs="0" maxOccurs="1"/>
        </xsd:sequence>
      </xsd:complexType>
    </xsd:element>
    <xsd:element name="MediaServiceOCR" ma:index="63" nillable="true" ma:displayName="Extracted Text" ma:internalName="MediaServiceOCR" ma:readOnly="true">
      <xsd:simpleType>
        <xsd:restriction base="dms:Note">
          <xsd:maxLength value="255"/>
        </xsd:restriction>
      </xsd:simpleType>
    </xsd:element>
    <xsd:element name="MediaServiceGenerationTime" ma:index="64" nillable="true" ma:displayName="MediaServiceGenerationTime" ma:hidden="true" ma:internalName="MediaServiceGenerationTime" ma:readOnly="true">
      <xsd:simpleType>
        <xsd:restriction base="dms:Text"/>
      </xsd:simpleType>
    </xsd:element>
    <xsd:element name="MediaServiceEventHashCode" ma:index="6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DA11EB1-A1B4-48BA-938E-BCAD31E66CFB}">
  <ds:schemaRefs>
    <ds:schemaRef ds:uri="http://purl.org/dc/terms/"/>
    <ds:schemaRef ds:uri="00b03acf-de31-4f10-844b-a1784795bf6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8485635d-cf54-460b-8438-0e2015e08040"/>
    <ds:schemaRef ds:uri="http://www.w3.org/XML/1998/namespace"/>
    <ds:schemaRef ds:uri="http://purl.org/dc/dcmitype/"/>
  </ds:schemaRefs>
</ds:datastoreItem>
</file>

<file path=customXml/itemProps2.xml><?xml version="1.0" encoding="utf-8"?>
<ds:datastoreItem xmlns:ds="http://schemas.openxmlformats.org/officeDocument/2006/customXml" ds:itemID="{D7591003-DE57-4F48-B30D-5AAD62498A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85635d-cf54-460b-8438-0e2015e08040"/>
    <ds:schemaRef ds:uri="http://schemas.microsoft.com/sharepoint/v3"/>
    <ds:schemaRef ds:uri="00b03acf-de31-4f10-844b-a1784795bf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D37412-44D0-4F98-8B50-BC8D56B59DD6}">
  <ds:schemaRefs>
    <ds:schemaRef ds:uri="http://schemas.openxmlformats.org/officeDocument/2006/bibliography"/>
  </ds:schemaRefs>
</ds:datastoreItem>
</file>

<file path=customXml/itemProps4.xml><?xml version="1.0" encoding="utf-8"?>
<ds:datastoreItem xmlns:ds="http://schemas.openxmlformats.org/officeDocument/2006/customXml" ds:itemID="{25F8E265-FBD8-4617-8BA8-B0D7ED166D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11</Pages>
  <Words>3263</Words>
  <Characters>19218</Characters>
  <Application>Microsoft Office Word</Application>
  <DocSecurity>0</DocSecurity>
  <Lines>160</Lines>
  <Paragraphs>44</Paragraphs>
  <ScaleCrop>false</ScaleCrop>
  <Company/>
  <LinksUpToDate>false</LinksUpToDate>
  <CharactersWithSpaces>22437</CharactersWithSpaces>
  <SharedDoc>false</SharedDoc>
  <HyperlinkBase/>
  <HLinks>
    <vt:vector size="120" baseType="variant">
      <vt:variant>
        <vt:i4>6881377</vt:i4>
      </vt:variant>
      <vt:variant>
        <vt:i4>114</vt:i4>
      </vt:variant>
      <vt:variant>
        <vt:i4>0</vt:i4>
      </vt:variant>
      <vt:variant>
        <vt:i4>5</vt:i4>
      </vt:variant>
      <vt:variant>
        <vt:lpwstr>https://www.gov.uk/government/publications/the-green-book-appraisal-and-evaluation-in-central-governent</vt:lpwstr>
      </vt:variant>
      <vt:variant>
        <vt:lpwstr/>
      </vt:variant>
      <vt:variant>
        <vt:i4>6881377</vt:i4>
      </vt:variant>
      <vt:variant>
        <vt:i4>111</vt:i4>
      </vt:variant>
      <vt:variant>
        <vt:i4>0</vt:i4>
      </vt:variant>
      <vt:variant>
        <vt:i4>5</vt:i4>
      </vt:variant>
      <vt:variant>
        <vt:lpwstr>https://www.gov.uk/government/publications/the-green-book-appraisal-and-evaluation-in-central-governent</vt:lpwstr>
      </vt:variant>
      <vt:variant>
        <vt:lpwstr/>
      </vt:variant>
      <vt:variant>
        <vt:i4>1310770</vt:i4>
      </vt:variant>
      <vt:variant>
        <vt:i4>104</vt:i4>
      </vt:variant>
      <vt:variant>
        <vt:i4>0</vt:i4>
      </vt:variant>
      <vt:variant>
        <vt:i4>5</vt:i4>
      </vt:variant>
      <vt:variant>
        <vt:lpwstr/>
      </vt:variant>
      <vt:variant>
        <vt:lpwstr>_Toc113641457</vt:lpwstr>
      </vt:variant>
      <vt:variant>
        <vt:i4>1310770</vt:i4>
      </vt:variant>
      <vt:variant>
        <vt:i4>98</vt:i4>
      </vt:variant>
      <vt:variant>
        <vt:i4>0</vt:i4>
      </vt:variant>
      <vt:variant>
        <vt:i4>5</vt:i4>
      </vt:variant>
      <vt:variant>
        <vt:lpwstr/>
      </vt:variant>
      <vt:variant>
        <vt:lpwstr>_Toc113641456</vt:lpwstr>
      </vt:variant>
      <vt:variant>
        <vt:i4>1310770</vt:i4>
      </vt:variant>
      <vt:variant>
        <vt:i4>92</vt:i4>
      </vt:variant>
      <vt:variant>
        <vt:i4>0</vt:i4>
      </vt:variant>
      <vt:variant>
        <vt:i4>5</vt:i4>
      </vt:variant>
      <vt:variant>
        <vt:lpwstr/>
      </vt:variant>
      <vt:variant>
        <vt:lpwstr>_Toc113641455</vt:lpwstr>
      </vt:variant>
      <vt:variant>
        <vt:i4>1310770</vt:i4>
      </vt:variant>
      <vt:variant>
        <vt:i4>86</vt:i4>
      </vt:variant>
      <vt:variant>
        <vt:i4>0</vt:i4>
      </vt:variant>
      <vt:variant>
        <vt:i4>5</vt:i4>
      </vt:variant>
      <vt:variant>
        <vt:lpwstr/>
      </vt:variant>
      <vt:variant>
        <vt:lpwstr>_Toc113641454</vt:lpwstr>
      </vt:variant>
      <vt:variant>
        <vt:i4>1310770</vt:i4>
      </vt:variant>
      <vt:variant>
        <vt:i4>80</vt:i4>
      </vt:variant>
      <vt:variant>
        <vt:i4>0</vt:i4>
      </vt:variant>
      <vt:variant>
        <vt:i4>5</vt:i4>
      </vt:variant>
      <vt:variant>
        <vt:lpwstr/>
      </vt:variant>
      <vt:variant>
        <vt:lpwstr>_Toc113641453</vt:lpwstr>
      </vt:variant>
      <vt:variant>
        <vt:i4>1310770</vt:i4>
      </vt:variant>
      <vt:variant>
        <vt:i4>74</vt:i4>
      </vt:variant>
      <vt:variant>
        <vt:i4>0</vt:i4>
      </vt:variant>
      <vt:variant>
        <vt:i4>5</vt:i4>
      </vt:variant>
      <vt:variant>
        <vt:lpwstr/>
      </vt:variant>
      <vt:variant>
        <vt:lpwstr>_Toc113641452</vt:lpwstr>
      </vt:variant>
      <vt:variant>
        <vt:i4>1310770</vt:i4>
      </vt:variant>
      <vt:variant>
        <vt:i4>68</vt:i4>
      </vt:variant>
      <vt:variant>
        <vt:i4>0</vt:i4>
      </vt:variant>
      <vt:variant>
        <vt:i4>5</vt:i4>
      </vt:variant>
      <vt:variant>
        <vt:lpwstr/>
      </vt:variant>
      <vt:variant>
        <vt:lpwstr>_Toc113641451</vt:lpwstr>
      </vt:variant>
      <vt:variant>
        <vt:i4>1310770</vt:i4>
      </vt:variant>
      <vt:variant>
        <vt:i4>62</vt:i4>
      </vt:variant>
      <vt:variant>
        <vt:i4>0</vt:i4>
      </vt:variant>
      <vt:variant>
        <vt:i4>5</vt:i4>
      </vt:variant>
      <vt:variant>
        <vt:lpwstr/>
      </vt:variant>
      <vt:variant>
        <vt:lpwstr>_Toc113641450</vt:lpwstr>
      </vt:variant>
      <vt:variant>
        <vt:i4>1376306</vt:i4>
      </vt:variant>
      <vt:variant>
        <vt:i4>56</vt:i4>
      </vt:variant>
      <vt:variant>
        <vt:i4>0</vt:i4>
      </vt:variant>
      <vt:variant>
        <vt:i4>5</vt:i4>
      </vt:variant>
      <vt:variant>
        <vt:lpwstr/>
      </vt:variant>
      <vt:variant>
        <vt:lpwstr>_Toc113641449</vt:lpwstr>
      </vt:variant>
      <vt:variant>
        <vt:i4>1376306</vt:i4>
      </vt:variant>
      <vt:variant>
        <vt:i4>50</vt:i4>
      </vt:variant>
      <vt:variant>
        <vt:i4>0</vt:i4>
      </vt:variant>
      <vt:variant>
        <vt:i4>5</vt:i4>
      </vt:variant>
      <vt:variant>
        <vt:lpwstr/>
      </vt:variant>
      <vt:variant>
        <vt:lpwstr>_Toc113641448</vt:lpwstr>
      </vt:variant>
      <vt:variant>
        <vt:i4>1376306</vt:i4>
      </vt:variant>
      <vt:variant>
        <vt:i4>44</vt:i4>
      </vt:variant>
      <vt:variant>
        <vt:i4>0</vt:i4>
      </vt:variant>
      <vt:variant>
        <vt:i4>5</vt:i4>
      </vt:variant>
      <vt:variant>
        <vt:lpwstr/>
      </vt:variant>
      <vt:variant>
        <vt:lpwstr>_Toc113641447</vt:lpwstr>
      </vt:variant>
      <vt:variant>
        <vt:i4>1376306</vt:i4>
      </vt:variant>
      <vt:variant>
        <vt:i4>38</vt:i4>
      </vt:variant>
      <vt:variant>
        <vt:i4>0</vt:i4>
      </vt:variant>
      <vt:variant>
        <vt:i4>5</vt:i4>
      </vt:variant>
      <vt:variant>
        <vt:lpwstr/>
      </vt:variant>
      <vt:variant>
        <vt:lpwstr>_Toc113641446</vt:lpwstr>
      </vt:variant>
      <vt:variant>
        <vt:i4>1376306</vt:i4>
      </vt:variant>
      <vt:variant>
        <vt:i4>32</vt:i4>
      </vt:variant>
      <vt:variant>
        <vt:i4>0</vt:i4>
      </vt:variant>
      <vt:variant>
        <vt:i4>5</vt:i4>
      </vt:variant>
      <vt:variant>
        <vt:lpwstr/>
      </vt:variant>
      <vt:variant>
        <vt:lpwstr>_Toc113641445</vt:lpwstr>
      </vt:variant>
      <vt:variant>
        <vt:i4>1376306</vt:i4>
      </vt:variant>
      <vt:variant>
        <vt:i4>26</vt:i4>
      </vt:variant>
      <vt:variant>
        <vt:i4>0</vt:i4>
      </vt:variant>
      <vt:variant>
        <vt:i4>5</vt:i4>
      </vt:variant>
      <vt:variant>
        <vt:lpwstr/>
      </vt:variant>
      <vt:variant>
        <vt:lpwstr>_Toc113641444</vt:lpwstr>
      </vt:variant>
      <vt:variant>
        <vt:i4>1376306</vt:i4>
      </vt:variant>
      <vt:variant>
        <vt:i4>20</vt:i4>
      </vt:variant>
      <vt:variant>
        <vt:i4>0</vt:i4>
      </vt:variant>
      <vt:variant>
        <vt:i4>5</vt:i4>
      </vt:variant>
      <vt:variant>
        <vt:lpwstr/>
      </vt:variant>
      <vt:variant>
        <vt:lpwstr>_Toc113641443</vt:lpwstr>
      </vt:variant>
      <vt:variant>
        <vt:i4>1376306</vt:i4>
      </vt:variant>
      <vt:variant>
        <vt:i4>14</vt:i4>
      </vt:variant>
      <vt:variant>
        <vt:i4>0</vt:i4>
      </vt:variant>
      <vt:variant>
        <vt:i4>5</vt:i4>
      </vt:variant>
      <vt:variant>
        <vt:lpwstr/>
      </vt:variant>
      <vt:variant>
        <vt:lpwstr>_Toc113641442</vt:lpwstr>
      </vt:variant>
      <vt:variant>
        <vt:i4>1376306</vt:i4>
      </vt:variant>
      <vt:variant>
        <vt:i4>8</vt:i4>
      </vt:variant>
      <vt:variant>
        <vt:i4>0</vt:i4>
      </vt:variant>
      <vt:variant>
        <vt:i4>5</vt:i4>
      </vt:variant>
      <vt:variant>
        <vt:lpwstr/>
      </vt:variant>
      <vt:variant>
        <vt:lpwstr>_Toc113641441</vt:lpwstr>
      </vt:variant>
      <vt:variant>
        <vt:i4>1376306</vt:i4>
      </vt:variant>
      <vt:variant>
        <vt:i4>2</vt:i4>
      </vt:variant>
      <vt:variant>
        <vt:i4>0</vt:i4>
      </vt:variant>
      <vt:variant>
        <vt:i4>5</vt:i4>
      </vt:variant>
      <vt:variant>
        <vt:lpwstr/>
      </vt:variant>
      <vt:variant>
        <vt:lpwstr>_Toc113641440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3 - Statement of Requirements mm aj.docx</dc:title>
  <dc:subject/>
  <dc:creator>James Bergin</dc:creator>
  <cp:keywords/>
  <cp:lastModifiedBy>Johnson, Adam - HMT</cp:lastModifiedBy>
  <cp:revision>154</cp:revision>
  <dcterms:created xsi:type="dcterms:W3CDTF">2022-07-16T08:31:00Z</dcterms:created>
  <dcterms:modified xsi:type="dcterms:W3CDTF">2022-10-13T15:59:00Z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3" name="MAIL_MSG_ID2">
    <vt:lpwstr>bZAr3zXkshjZdXt5s7fZ+CbAXPK1XWjsrn01cOvHfRhbLg/146YcL4FtlqF_x000d_
ZEMmt9wsb1CxDiYwHteSqDx+qs+Ch5K95VZs+w==</vt:lpwstr>
  </property>
  <property fmtid="{D5CDD505-2E9C-101B-9397-08002B2CF9AE}" pid="4" name="RESPONSE_SENDER_NAME">
    <vt:lpwstr>sAAAb0xRtPDW5Uv++Cym4gBj7ywKJWiIkNR/EyQTYW1TdWY=</vt:lpwstr>
  </property>
  <property fmtid="{D5CDD505-2E9C-101B-9397-08002B2CF9AE}" pid="5" name="EMAIL_OWNER_ADDRESS">
    <vt:lpwstr>4AAAv2pPQheLA5W1cZ8QbyIHRIfVXR/+Q2pMbpZiFBEolmAKq0G2ZAR18Q==</vt:lpwstr>
  </property>
  <property fmtid="{D5CDD505-2E9C-101B-9397-08002B2CF9AE}" pid="6" name="WS_TRACKING_ID">
    <vt:lpwstr>7eff4de1-1477-475b-b316-0b641ea670b3</vt:lpwstr>
  </property>
  <property fmtid="{D5CDD505-2E9C-101B-9397-08002B2CF9AE}" pid="7" name="ContentTypeId">
    <vt:lpwstr>0x010100672A3FCA98991645BE083C320B7539B70073E2331C55A74AA0969608FB8C0629F600C3B946F66C85FF41B836068670951ED3</vt:lpwstr>
  </property>
  <property fmtid="{D5CDD505-2E9C-101B-9397-08002B2CF9AE}" pid="8" name="HMT_Group">
    <vt:lpwstr>2;#Public Spending|0f654411-7d5f-45ce-a09d-a0ea67f4b905</vt:lpwstr>
  </property>
  <property fmtid="{D5CDD505-2E9C-101B-9397-08002B2CF9AE}" pid="9" name="HMT_Category">
    <vt:lpwstr>4;#Policy Document Types|bd4325a7-7f6a-48f9-b0dc-cc3aef626e65</vt:lpwstr>
  </property>
  <property fmtid="{D5CDD505-2E9C-101B-9397-08002B2CF9AE}" pid="10" name="HMT_Classification">
    <vt:lpwstr>5;#Official|0c3401bb-744b-4660-997f-fc50d910db48</vt:lpwstr>
  </property>
  <property fmtid="{D5CDD505-2E9C-101B-9397-08002B2CF9AE}" pid="11" name="HMT_SubTeam">
    <vt:lpwstr/>
  </property>
  <property fmtid="{D5CDD505-2E9C-101B-9397-08002B2CF9AE}" pid="12" name="HMT_Review">
    <vt:bool>false</vt:bool>
  </property>
  <property fmtid="{D5CDD505-2E9C-101B-9397-08002B2CF9AE}" pid="13" name="HMT_DocumentType">
    <vt:lpwstr>1;#Other|c235b5c2-f697-427b-a70a-43d69599f998</vt:lpwstr>
  </property>
  <property fmtid="{D5CDD505-2E9C-101B-9397-08002B2CF9AE}" pid="14" name="HMT_Team">
    <vt:lpwstr>16;#General Expenditure and Policy|4a81b446-fe47-4a34-896a-08a39e88400b</vt:lpwstr>
  </property>
  <property fmtid="{D5CDD505-2E9C-101B-9397-08002B2CF9AE}" pid="15" name="MediaServiceImageTags">
    <vt:lpwstr/>
  </property>
</Properties>
</file>