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C54" w:rsidRDefault="00D707EE" w:rsidP="00E17B97">
      <w:pPr>
        <w:spacing w:after="360"/>
        <w:rPr>
          <w:rFonts w:ascii="ITCAvantGardeStd-Bold" w:hAnsi="ITCAvantGardeStd-Bold"/>
          <w:color w:val="82B3D3"/>
          <w:sz w:val="48"/>
          <w:szCs w:val="48"/>
        </w:rPr>
      </w:pPr>
      <w:r>
        <w:rPr>
          <w:noProof/>
        </w:rPr>
        <mc:AlternateContent>
          <mc:Choice Requires="wps">
            <w:drawing>
              <wp:anchor distT="0" distB="0" distL="114300" distR="114300" simplePos="0" relativeHeight="251673600" behindDoc="0" locked="0" layoutInCell="1" allowOverlap="1" wp14:anchorId="70CACF7A" wp14:editId="2F8663EC">
                <wp:simplePos x="0" y="0"/>
                <wp:positionH relativeFrom="page">
                  <wp:posOffset>6732905</wp:posOffset>
                </wp:positionH>
                <wp:positionV relativeFrom="page">
                  <wp:posOffset>450215</wp:posOffset>
                </wp:positionV>
                <wp:extent cx="431800" cy="360045"/>
                <wp:effectExtent l="0" t="0" r="635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C15" w:rsidRDefault="00427C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530.15pt;margin-top:35.45pt;width:34pt;height:28.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" filled="f" stroked="f">
                <v:textbox inset="0,0,0,0">
                  <w:txbxContent>
                    <w:p w:rsidR="00427C15" w:rsidRDefault="00427C15"/>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51B41E17" wp14:editId="05F32B88">
                <wp:simplePos x="0" y="0"/>
                <wp:positionH relativeFrom="page">
                  <wp:posOffset>5760720</wp:posOffset>
                </wp:positionH>
                <wp:positionV relativeFrom="page">
                  <wp:posOffset>9721215</wp:posOffset>
                </wp:positionV>
                <wp:extent cx="1259840" cy="575945"/>
                <wp:effectExtent l="0" t="0" r="0" b="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75945"/>
                        </a:xfrm>
                        <a:prstGeom prst="rect">
                          <a:avLst/>
                        </a:prstGeom>
                        <a:noFill/>
                        <a:ln>
                          <a:noFill/>
                        </a:ln>
                        <a:extLst/>
                      </wps:spPr>
                      <wps:txbx>
                        <w:txbxContent>
                          <w:p w:rsidR="00427C15" w:rsidRPr="005960F2" w:rsidRDefault="00427C15" w:rsidP="005960F2">
                            <w:pPr>
                              <w:jc w:val="center"/>
                              <w:rPr>
                                <w:color w:val="A6A6A6" w:themeColor="background1" w:themeShade="A6"/>
                              </w:rPr>
                            </w:pPr>
                            <w:bookmarkStart w:id="0" w:name="ClientLogo"/>
                            <w:r>
                              <w:rPr>
                                <w:color w:val="A6A6A6" w:themeColor="background1" w:themeShade="A6"/>
                              </w:rPr>
                              <w:t xml:space="preserve"> </w:t>
                            </w:r>
                            <w:bookmarkEnd w:id="0"/>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53.6pt;margin-top:765.45pt;width:99.2pt;height:45.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" filled="f" stroked="f">
                <v:textbox inset="1mm,1mm,1mm,1mm">
                  <w:txbxContent>
                    <w:p w:rsidR="00427C15" w:rsidRPr="005960F2" w:rsidRDefault="00427C15" w:rsidP="005960F2">
                      <w:pPr>
                        <w:jc w:val="center"/>
                        <w:rPr>
                          <w:color w:val="A6A6A6" w:themeColor="background1" w:themeShade="A6"/>
                        </w:rPr>
                      </w:pPr>
                      <w:bookmarkStart w:id="1" w:name="ClientLogo"/>
                      <w:r>
                        <w:rPr>
                          <w:color w:val="A6A6A6" w:themeColor="background1" w:themeShade="A6"/>
                        </w:rPr>
                        <w:t xml:space="preserve"> </w:t>
                      </w:r>
                      <w:bookmarkEnd w:id="1"/>
                    </w:p>
                  </w:txbxContent>
                </v:textbox>
                <w10:wrap type="square" anchorx="page" anchory="page"/>
              </v:shape>
            </w:pict>
          </mc:Fallback>
        </mc:AlternateContent>
      </w:r>
      <w:bookmarkStart w:id="2" w:name="CoverBackground"/>
      <w:bookmarkStart w:id="3" w:name="_Toc362356965"/>
      <w:bookmarkStart w:id="4" w:name="_Toc363061057"/>
      <w:bookmarkStart w:id="5" w:name="_Toc366103504"/>
      <w:bookmarkStart w:id="6" w:name="_Toc366103668"/>
      <w:bookmarkStart w:id="7" w:name="ContentsTitle"/>
      <w:bookmarkStart w:id="8" w:name="_Toc367264610"/>
      <w:bookmarkStart w:id="9" w:name="_Toc367264708"/>
      <w:bookmarkEnd w:id="2"/>
      <w:r w:rsidR="001B3489">
        <w:rPr>
          <w:rFonts w:ascii="ITCAvantGardeStd-Bold" w:hAnsi="ITCAvantGardeStd-Bold"/>
          <w:color w:val="82B3D3"/>
          <w:sz w:val="48"/>
          <w:szCs w:val="48"/>
        </w:rPr>
        <w:t>ESOS Evaluation</w:t>
      </w:r>
    </w:p>
    <w:p w:rsidR="00D9712E" w:rsidRPr="00445C54" w:rsidRDefault="00445C54" w:rsidP="00445C54">
      <w:pPr>
        <w:pStyle w:val="Heading2"/>
        <w:numPr>
          <w:ilvl w:val="0"/>
          <w:numId w:val="0"/>
        </w:numPr>
        <w:ind w:left="567" w:hanging="567"/>
      </w:pPr>
      <w:r>
        <w:t>I</w:t>
      </w:r>
      <w:r w:rsidR="00D9712E" w:rsidRPr="00445C54">
        <w:t>nception meeting note</w:t>
      </w:r>
    </w:p>
    <w:p w:rsidR="00887826" w:rsidRPr="00E17B97" w:rsidRDefault="00D9712E" w:rsidP="00887826">
      <w:pPr>
        <w:pStyle w:val="NormalBodyText"/>
      </w:pPr>
      <w:r>
        <w:t>2</w:t>
      </w:r>
      <w:r w:rsidR="001B3489">
        <w:t>0</w:t>
      </w:r>
      <w:r w:rsidR="001B3489">
        <w:rPr>
          <w:vertAlign w:val="superscript"/>
        </w:rPr>
        <w:t>th</w:t>
      </w:r>
      <w:r>
        <w:t xml:space="preserve"> April 2</w:t>
      </w:r>
      <w:r w:rsidR="001B3489">
        <w:t>015, 3 Whitehall Place, DECC</w:t>
      </w:r>
    </w:p>
    <w:p w:rsidR="00887826" w:rsidRDefault="00E17B97" w:rsidP="00887826">
      <w:r w:rsidRPr="00887826">
        <w:t>Attendees:</w:t>
      </w:r>
      <w:r w:rsidR="00887826" w:rsidRPr="00887826">
        <w:t xml:space="preserve"> </w:t>
      </w:r>
    </w:p>
    <w:p w:rsidR="00887826" w:rsidRDefault="001B3489" w:rsidP="00626DFC">
      <w:pPr>
        <w:pStyle w:val="ListParagraph"/>
        <w:numPr>
          <w:ilvl w:val="0"/>
          <w:numId w:val="14"/>
        </w:numPr>
        <w:ind w:left="426"/>
      </w:pPr>
      <w:r>
        <w:t>Martin Adams</w:t>
      </w:r>
      <w:r w:rsidR="00EB5C16">
        <w:t xml:space="preserve">, </w:t>
      </w:r>
      <w:r>
        <w:t>DECC</w:t>
      </w:r>
    </w:p>
    <w:p w:rsidR="001B3489" w:rsidRDefault="001B3489" w:rsidP="00626DFC">
      <w:pPr>
        <w:pStyle w:val="ListParagraph"/>
        <w:numPr>
          <w:ilvl w:val="0"/>
          <w:numId w:val="14"/>
        </w:numPr>
        <w:ind w:left="426"/>
      </w:pPr>
      <w:r>
        <w:t>Daniel Alford, DECC</w:t>
      </w:r>
    </w:p>
    <w:p w:rsidR="001B3489" w:rsidRDefault="001B3489" w:rsidP="00626DFC">
      <w:pPr>
        <w:pStyle w:val="ListParagraph"/>
        <w:numPr>
          <w:ilvl w:val="0"/>
          <w:numId w:val="14"/>
        </w:numPr>
        <w:ind w:left="426"/>
      </w:pPr>
      <w:r>
        <w:t>Laura Edwards, DECC</w:t>
      </w:r>
    </w:p>
    <w:p w:rsidR="001B3489" w:rsidRDefault="001B3489" w:rsidP="00626DFC">
      <w:pPr>
        <w:pStyle w:val="ListParagraph"/>
        <w:numPr>
          <w:ilvl w:val="0"/>
          <w:numId w:val="14"/>
        </w:numPr>
        <w:ind w:left="426"/>
      </w:pPr>
      <w:r>
        <w:t xml:space="preserve">Sarah </w:t>
      </w:r>
      <w:r w:rsidR="003B6FAD">
        <w:t>Meagher</w:t>
      </w:r>
      <w:r>
        <w:t>, DECC</w:t>
      </w:r>
    </w:p>
    <w:p w:rsidR="001B3489" w:rsidRDefault="001B3489" w:rsidP="00626DFC">
      <w:pPr>
        <w:pStyle w:val="ListParagraph"/>
        <w:numPr>
          <w:ilvl w:val="0"/>
          <w:numId w:val="14"/>
        </w:numPr>
        <w:ind w:left="426"/>
      </w:pPr>
      <w:r>
        <w:t>Henry Cormack, DECC</w:t>
      </w:r>
    </w:p>
    <w:p w:rsidR="001B3489" w:rsidRDefault="001B3489" w:rsidP="00626DFC">
      <w:pPr>
        <w:pStyle w:val="ListParagraph"/>
        <w:numPr>
          <w:ilvl w:val="0"/>
          <w:numId w:val="14"/>
        </w:numPr>
        <w:ind w:left="426"/>
      </w:pPr>
      <w:r>
        <w:t>Stephen Oxley, DECC</w:t>
      </w:r>
    </w:p>
    <w:p w:rsidR="001B3489" w:rsidRDefault="001B3489" w:rsidP="00626DFC">
      <w:pPr>
        <w:pStyle w:val="ListParagraph"/>
        <w:numPr>
          <w:ilvl w:val="0"/>
          <w:numId w:val="14"/>
        </w:numPr>
        <w:ind w:left="426"/>
      </w:pPr>
      <w:r>
        <w:t>Nina Webber, DECC</w:t>
      </w:r>
    </w:p>
    <w:p w:rsidR="001B3489" w:rsidRDefault="001B3489" w:rsidP="00626DFC">
      <w:pPr>
        <w:pStyle w:val="ListParagraph"/>
        <w:numPr>
          <w:ilvl w:val="0"/>
          <w:numId w:val="14"/>
        </w:numPr>
        <w:ind w:left="426"/>
      </w:pPr>
      <w:r>
        <w:t>Kelly Beaver, Ipsos MORI</w:t>
      </w:r>
    </w:p>
    <w:p w:rsidR="001B3489" w:rsidRDefault="00EB5C16" w:rsidP="00626DFC">
      <w:pPr>
        <w:pStyle w:val="ListParagraph"/>
        <w:numPr>
          <w:ilvl w:val="0"/>
          <w:numId w:val="14"/>
        </w:numPr>
        <w:ind w:left="426"/>
      </w:pPr>
      <w:r>
        <w:t>Antonia Dickman, Ipsos MO</w:t>
      </w:r>
      <w:r w:rsidR="001B3489">
        <w:t>RI</w:t>
      </w:r>
    </w:p>
    <w:p w:rsidR="001B3489" w:rsidRDefault="001B3489" w:rsidP="00626DFC">
      <w:pPr>
        <w:pStyle w:val="ListParagraph"/>
        <w:numPr>
          <w:ilvl w:val="0"/>
          <w:numId w:val="14"/>
        </w:numPr>
        <w:ind w:left="426"/>
      </w:pPr>
      <w:r>
        <w:t xml:space="preserve">Paul </w:t>
      </w:r>
      <w:r w:rsidRPr="001B3489">
        <w:t>Ruyssevelt</w:t>
      </w:r>
      <w:r>
        <w:t>, UCL</w:t>
      </w:r>
    </w:p>
    <w:p w:rsidR="001B3489" w:rsidRDefault="001B3489" w:rsidP="00626DFC">
      <w:pPr>
        <w:pStyle w:val="ListParagraph"/>
        <w:numPr>
          <w:ilvl w:val="0"/>
          <w:numId w:val="14"/>
        </w:numPr>
        <w:ind w:left="426"/>
      </w:pPr>
      <w:r>
        <w:t xml:space="preserve">Peter </w:t>
      </w:r>
      <w:proofErr w:type="spellStart"/>
      <w:r>
        <w:t>Mallaburn</w:t>
      </w:r>
      <w:proofErr w:type="spellEnd"/>
      <w:r>
        <w:t>, UCL</w:t>
      </w:r>
    </w:p>
    <w:p w:rsidR="00887826" w:rsidRDefault="00887826" w:rsidP="00887826">
      <w:r>
        <w:t>Apologies</w:t>
      </w:r>
    </w:p>
    <w:p w:rsidR="00867C02" w:rsidRDefault="009F365E" w:rsidP="00626DFC">
      <w:pPr>
        <w:pStyle w:val="ListParagraph"/>
        <w:numPr>
          <w:ilvl w:val="0"/>
          <w:numId w:val="14"/>
        </w:numPr>
        <w:ind w:left="284" w:hanging="284"/>
      </w:pPr>
      <w:r>
        <w:t xml:space="preserve"> </w:t>
      </w:r>
      <w:r w:rsidR="001B3489">
        <w:t>Chris Hale</w:t>
      </w:r>
      <w:r w:rsidR="00EB5C16">
        <w:t>, Ipsos MORI</w:t>
      </w:r>
    </w:p>
    <w:p w:rsidR="00D76B5F" w:rsidRDefault="00D76B5F" w:rsidP="00626DFC">
      <w:pPr>
        <w:pStyle w:val="ListParagraph"/>
        <w:numPr>
          <w:ilvl w:val="0"/>
          <w:numId w:val="14"/>
        </w:numPr>
        <w:ind w:left="284" w:hanging="284"/>
      </w:pPr>
      <w:r>
        <w:t>Jack Williams</w:t>
      </w:r>
      <w:r w:rsidR="000C5190">
        <w:t>, DECC</w:t>
      </w:r>
    </w:p>
    <w:p w:rsidR="00D9712E" w:rsidRDefault="00D9712E" w:rsidP="00D9712E">
      <w:pPr>
        <w:pStyle w:val="Heading2"/>
        <w:numPr>
          <w:ilvl w:val="0"/>
          <w:numId w:val="0"/>
        </w:numPr>
        <w:ind w:left="567" w:hanging="567"/>
      </w:pPr>
      <w:r>
        <w:t xml:space="preserve">Discussion of </w:t>
      </w:r>
      <w:r w:rsidR="00CC5488">
        <w:t>ESOS policy and aims and objectives for evaluation</w:t>
      </w:r>
      <w:r>
        <w:t xml:space="preserve"> </w:t>
      </w:r>
    </w:p>
    <w:p w:rsidR="00C0671C" w:rsidRDefault="00C0671C" w:rsidP="002A4E28">
      <w:pPr>
        <w:pStyle w:val="NormalBodyText"/>
        <w:numPr>
          <w:ilvl w:val="0"/>
          <w:numId w:val="0"/>
        </w:numPr>
      </w:pPr>
      <w:r>
        <w:t xml:space="preserve">DECC gave an overview of the ESOS policy </w:t>
      </w:r>
      <w:r w:rsidR="00CC5488">
        <w:t>and highlighted key elements of its design and their rationale. The implications of this for the evaluation’s aims and objectives were also discussed. This</w:t>
      </w:r>
      <w:r w:rsidR="001325EC">
        <w:t xml:space="preserve"> d</w:t>
      </w:r>
      <w:r>
        <w:t>iscussion identified the following key points</w:t>
      </w:r>
      <w:r w:rsidR="00CC5488">
        <w:t xml:space="preserve"> (which should be read in combination with the fuller policy description and detailed evaluation</w:t>
      </w:r>
      <w:r w:rsidR="008D6FDC">
        <w:t xml:space="preserve"> objectives contained in</w:t>
      </w:r>
      <w:r w:rsidR="00CC5488">
        <w:t xml:space="preserve"> the </w:t>
      </w:r>
      <w:r w:rsidR="008D6FDC">
        <w:t>evaluation</w:t>
      </w:r>
      <w:r w:rsidR="00CC5488">
        <w:t xml:space="preserve"> ITT)</w:t>
      </w:r>
      <w:r w:rsidR="008D6FDC">
        <w:t>.</w:t>
      </w:r>
    </w:p>
    <w:p w:rsidR="00C0671C" w:rsidRDefault="00C0671C" w:rsidP="00626DFC">
      <w:pPr>
        <w:pStyle w:val="NormalBodyText"/>
        <w:numPr>
          <w:ilvl w:val="0"/>
          <w:numId w:val="18"/>
        </w:numPr>
      </w:pPr>
      <w:r>
        <w:t xml:space="preserve">The ESOS policy covers more than 10,000 organisations, varying from </w:t>
      </w:r>
      <w:r w:rsidR="008D6FDC">
        <w:t>small businesses with l</w:t>
      </w:r>
      <w:r>
        <w:t>arge turnovers to organisations</w:t>
      </w:r>
      <w:r w:rsidR="008D6FDC">
        <w:t xml:space="preserve"> with large staff numbers, to industrial organisations</w:t>
      </w:r>
      <w:r>
        <w:t xml:space="preserve"> </w:t>
      </w:r>
      <w:r w:rsidR="008D6FDC">
        <w:t xml:space="preserve">and </w:t>
      </w:r>
      <w:r>
        <w:t xml:space="preserve">conglomerates. </w:t>
      </w:r>
      <w:r w:rsidR="008D6FDC">
        <w:t>The</w:t>
      </w:r>
      <w:r>
        <w:t xml:space="preserve"> policy </w:t>
      </w:r>
      <w:r w:rsidR="008D6FDC">
        <w:t>therefore had to be designed</w:t>
      </w:r>
      <w:r>
        <w:t xml:space="preserve"> to have sufficient flexibility to deal with this variety</w:t>
      </w:r>
      <w:r w:rsidR="001325EC">
        <w:t>.</w:t>
      </w:r>
    </w:p>
    <w:p w:rsidR="00C0671C" w:rsidRDefault="00C0671C" w:rsidP="00626DFC">
      <w:pPr>
        <w:pStyle w:val="NormalBodyText"/>
        <w:numPr>
          <w:ilvl w:val="0"/>
          <w:numId w:val="18"/>
        </w:numPr>
      </w:pPr>
      <w:r>
        <w:t xml:space="preserve">ESOS sits within </w:t>
      </w:r>
      <w:r w:rsidR="008D6FDC">
        <w:t xml:space="preserve">a </w:t>
      </w:r>
      <w:r>
        <w:t xml:space="preserve">complex policy landscape and other policies </w:t>
      </w:r>
      <w:r w:rsidR="008D6FDC">
        <w:t>(such as CRC) mean energy management is</w:t>
      </w:r>
      <w:r>
        <w:t xml:space="preserve"> already well established in some </w:t>
      </w:r>
      <w:r w:rsidR="008D6FDC">
        <w:t>organisations</w:t>
      </w:r>
      <w:r>
        <w:t xml:space="preserve">. </w:t>
      </w:r>
      <w:r w:rsidR="008D6FDC">
        <w:t xml:space="preserve">A key aim for the policy design was to keep it simple and not over-engineer the requirements so that organisations were not asked to repeat activity they were already carrying out under other obligations. As a result, </w:t>
      </w:r>
      <w:r>
        <w:t xml:space="preserve">ESOS compliance </w:t>
      </w:r>
      <w:r w:rsidR="008D6FDC">
        <w:t xml:space="preserve">can be achieved through multiple routes (such as a DEC or ISO status) and through </w:t>
      </w:r>
      <w:r>
        <w:t>use of previous audit information</w:t>
      </w:r>
      <w:r w:rsidR="001325EC">
        <w:t>.</w:t>
      </w:r>
    </w:p>
    <w:p w:rsidR="008D6FDC" w:rsidRDefault="008D6FDC" w:rsidP="008D6FDC">
      <w:pPr>
        <w:pStyle w:val="NormalBodyText"/>
        <w:numPr>
          <w:ilvl w:val="0"/>
          <w:numId w:val="0"/>
        </w:numPr>
        <w:ind w:left="360"/>
      </w:pPr>
      <w:r w:rsidRPr="008D6FDC">
        <w:rPr>
          <w:b/>
          <w:i/>
        </w:rPr>
        <w:t xml:space="preserve">Key </w:t>
      </w:r>
      <w:proofErr w:type="spellStart"/>
      <w:r w:rsidRPr="008D6FDC">
        <w:rPr>
          <w:b/>
          <w:i/>
        </w:rPr>
        <w:t>Eval</w:t>
      </w:r>
      <w:proofErr w:type="spellEnd"/>
      <w:r w:rsidRPr="008D6FDC">
        <w:rPr>
          <w:b/>
          <w:i/>
        </w:rPr>
        <w:t xml:space="preserve"> Q:</w:t>
      </w:r>
      <w:r>
        <w:t xml:space="preserve"> </w:t>
      </w:r>
      <w:r w:rsidRPr="008D6FDC">
        <w:rPr>
          <w:i/>
        </w:rPr>
        <w:t>To what extent do organisations in scope of ESOS understand the possible routes to compliance, and does the flexibility built into the policy design help simplify the process for them or create additional burden compared with mandating something more rigid?</w:t>
      </w:r>
      <w:r>
        <w:t xml:space="preserve"> </w:t>
      </w:r>
    </w:p>
    <w:p w:rsidR="00085D0A" w:rsidRDefault="00085D0A" w:rsidP="004F616E">
      <w:pPr>
        <w:pStyle w:val="NormalBodyText"/>
        <w:numPr>
          <w:ilvl w:val="0"/>
          <w:numId w:val="18"/>
        </w:numPr>
      </w:pPr>
      <w:r>
        <w:t>A key aim for ESOS is also to avoid unnecessary cost to businesses and to go no further than meeting the minimum requirements of the European Directive in order to achieve this.</w:t>
      </w:r>
      <w:r w:rsidRPr="00085D0A">
        <w:t xml:space="preserve"> </w:t>
      </w:r>
      <w:r>
        <w:t>The Rapid Evidence Assessment conducted during the policy design phase suggested certain requirements which could contribute to the realisation of benefits from the scheme (such as senior Board-level sign-off)</w:t>
      </w:r>
      <w:r w:rsidR="004F616E">
        <w:t xml:space="preserve">. This review </w:t>
      </w:r>
      <w:r>
        <w:t xml:space="preserve">did not find sufficient robust evidence to make the case for compulsory disclosure </w:t>
      </w:r>
      <w:r w:rsidR="004F616E">
        <w:t xml:space="preserve">of audit information however </w:t>
      </w:r>
      <w:r>
        <w:t xml:space="preserve">(i.e. the </w:t>
      </w:r>
      <w:r w:rsidR="004F616E">
        <w:t xml:space="preserve">potential </w:t>
      </w:r>
      <w:r>
        <w:t xml:space="preserve">impact </w:t>
      </w:r>
      <w:r w:rsidR="004F616E">
        <w:t xml:space="preserve">of such a requirement </w:t>
      </w:r>
      <w:r>
        <w:t xml:space="preserve">could not be squared against the additional cost and burden </w:t>
      </w:r>
      <w:r w:rsidR="004F616E">
        <w:t xml:space="preserve">it would place on businesses). </w:t>
      </w:r>
    </w:p>
    <w:p w:rsidR="000629DE" w:rsidRDefault="00085D0A" w:rsidP="004F616E">
      <w:pPr>
        <w:pStyle w:val="NormalBodyText"/>
        <w:numPr>
          <w:ilvl w:val="0"/>
          <w:numId w:val="0"/>
        </w:numPr>
        <w:ind w:left="360"/>
        <w:rPr>
          <w:i/>
        </w:rPr>
      </w:pPr>
      <w:r w:rsidRPr="00085D0A">
        <w:rPr>
          <w:b/>
          <w:i/>
        </w:rPr>
        <w:t xml:space="preserve">Key </w:t>
      </w:r>
      <w:proofErr w:type="spellStart"/>
      <w:r w:rsidRPr="00085D0A">
        <w:rPr>
          <w:b/>
          <w:i/>
        </w:rPr>
        <w:t>Eval</w:t>
      </w:r>
      <w:proofErr w:type="spellEnd"/>
      <w:r w:rsidRPr="00085D0A">
        <w:rPr>
          <w:b/>
          <w:i/>
        </w:rPr>
        <w:t xml:space="preserve"> Q:</w:t>
      </w:r>
      <w:r w:rsidRPr="00085D0A">
        <w:rPr>
          <w:i/>
        </w:rPr>
        <w:t xml:space="preserve"> </w:t>
      </w:r>
      <w:r>
        <w:rPr>
          <w:i/>
        </w:rPr>
        <w:t>At each stage of the ESOS process, to</w:t>
      </w:r>
      <w:r w:rsidRPr="00085D0A">
        <w:rPr>
          <w:i/>
        </w:rPr>
        <w:t xml:space="preserve"> what extent has the policy design managed to balance the requirement to meet the Directive but at minimum burden and cost to businesses? Are there any over-complications in the ESOS process that do not drive any additional benefit (either for the business itself or more widely)? Do all </w:t>
      </w:r>
      <w:r>
        <w:rPr>
          <w:i/>
        </w:rPr>
        <w:t xml:space="preserve">the </w:t>
      </w:r>
      <w:r w:rsidRPr="00085D0A">
        <w:rPr>
          <w:i/>
        </w:rPr>
        <w:t>actions required by</w:t>
      </w:r>
      <w:r>
        <w:rPr>
          <w:i/>
        </w:rPr>
        <w:t xml:space="preserve"> the</w:t>
      </w:r>
      <w:r w:rsidRPr="00085D0A">
        <w:rPr>
          <w:i/>
        </w:rPr>
        <w:t xml:space="preserve"> policy drive towards change</w:t>
      </w:r>
      <w:r>
        <w:rPr>
          <w:i/>
        </w:rPr>
        <w:t xml:space="preserve"> e.g. the requirement for senior Board level sign-off</w:t>
      </w:r>
      <w:r w:rsidRPr="00085D0A">
        <w:rPr>
          <w:i/>
        </w:rPr>
        <w:t xml:space="preserve">? </w:t>
      </w:r>
    </w:p>
    <w:p w:rsidR="00060C50" w:rsidRDefault="00060C50" w:rsidP="00060C50">
      <w:pPr>
        <w:pStyle w:val="NormalBodyText"/>
        <w:numPr>
          <w:ilvl w:val="0"/>
          <w:numId w:val="18"/>
        </w:numPr>
      </w:pPr>
      <w:r>
        <w:t>Some parts of the policy design are led by the Directive and as such are set in stone e.g. the 4 year cycle and the eligibility criteria. This means there is not scope to change these elements of the design and the evaluation should not focus on assessing the appropriateness of these elements.  However, the evaluation should seek to explore the impact of these design elements.</w:t>
      </w:r>
    </w:p>
    <w:p w:rsidR="00D14D6B" w:rsidRPr="00D14D6B" w:rsidRDefault="00060C50" w:rsidP="00D14D6B">
      <w:pPr>
        <w:pStyle w:val="NormalBodyText"/>
        <w:numPr>
          <w:ilvl w:val="0"/>
          <w:numId w:val="0"/>
        </w:numPr>
        <w:ind w:left="360"/>
        <w:rPr>
          <w:i/>
        </w:rPr>
      </w:pPr>
      <w:r w:rsidRPr="00060C50">
        <w:rPr>
          <w:b/>
          <w:i/>
        </w:rPr>
        <w:t xml:space="preserve">Key </w:t>
      </w:r>
      <w:proofErr w:type="spellStart"/>
      <w:r w:rsidRPr="00060C50">
        <w:rPr>
          <w:b/>
          <w:i/>
        </w:rPr>
        <w:t>Eval</w:t>
      </w:r>
      <w:proofErr w:type="spellEnd"/>
      <w:r w:rsidRPr="00060C50">
        <w:rPr>
          <w:b/>
          <w:i/>
        </w:rPr>
        <w:t xml:space="preserve"> Q:</w:t>
      </w:r>
      <w:r w:rsidRPr="00060C50">
        <w:rPr>
          <w:i/>
        </w:rPr>
        <w:t xml:space="preserve"> How are organisations approaching the requirement to comply in a 4-year cycle</w:t>
      </w:r>
      <w:r w:rsidR="00D14D6B">
        <w:rPr>
          <w:i/>
        </w:rPr>
        <w:t>?</w:t>
      </w:r>
      <w:r w:rsidRPr="00060C50">
        <w:rPr>
          <w:i/>
        </w:rPr>
        <w:t xml:space="preserve"> Does </w:t>
      </w:r>
      <w:r w:rsidR="00D14D6B">
        <w:rPr>
          <w:i/>
        </w:rPr>
        <w:t xml:space="preserve">the </w:t>
      </w:r>
      <w:r w:rsidRPr="00060C50">
        <w:rPr>
          <w:i/>
        </w:rPr>
        <w:t xml:space="preserve">ESOS process become </w:t>
      </w:r>
      <w:r w:rsidR="00D14D6B">
        <w:rPr>
          <w:i/>
        </w:rPr>
        <w:t xml:space="preserve">embedded in a </w:t>
      </w:r>
      <w:r w:rsidRPr="00060C50">
        <w:rPr>
          <w:i/>
        </w:rPr>
        <w:t xml:space="preserve">“business as usual” </w:t>
      </w:r>
      <w:r w:rsidR="00D14D6B">
        <w:rPr>
          <w:i/>
        </w:rPr>
        <w:t>approach or is it a</w:t>
      </w:r>
      <w:r w:rsidRPr="00060C50">
        <w:rPr>
          <w:i/>
        </w:rPr>
        <w:t>n activity that is undertaken every 4 years in adva</w:t>
      </w:r>
      <w:r w:rsidR="00D14D6B">
        <w:rPr>
          <w:i/>
        </w:rPr>
        <w:t>nce of the compliance deadline, and how and why does this vary across different businesses?</w:t>
      </w:r>
    </w:p>
    <w:p w:rsidR="00446800" w:rsidRDefault="00446800" w:rsidP="00C0671C">
      <w:pPr>
        <w:pStyle w:val="NormalBodyText"/>
        <w:numPr>
          <w:ilvl w:val="0"/>
          <w:numId w:val="0"/>
        </w:numPr>
      </w:pPr>
      <w:r>
        <w:t xml:space="preserve">DECC summarised three key areas of </w:t>
      </w:r>
      <w:r w:rsidR="004F616E">
        <w:t>investigation</w:t>
      </w:r>
      <w:r>
        <w:t xml:space="preserve"> for the evaluation, in the following order of priority:</w:t>
      </w:r>
    </w:p>
    <w:p w:rsidR="00446800" w:rsidRDefault="001325EC" w:rsidP="001325EC">
      <w:pPr>
        <w:pStyle w:val="NormalBodyText"/>
        <w:numPr>
          <w:ilvl w:val="0"/>
          <w:numId w:val="0"/>
        </w:numPr>
      </w:pPr>
      <w:r w:rsidRPr="004F616E">
        <w:rPr>
          <w:b/>
        </w:rPr>
        <w:t xml:space="preserve">1. </w:t>
      </w:r>
      <w:r w:rsidR="00446800" w:rsidRPr="004F616E">
        <w:rPr>
          <w:b/>
        </w:rPr>
        <w:t xml:space="preserve">How is </w:t>
      </w:r>
      <w:r w:rsidR="004F616E" w:rsidRPr="004F616E">
        <w:rPr>
          <w:b/>
        </w:rPr>
        <w:t xml:space="preserve">the </w:t>
      </w:r>
      <w:r w:rsidR="00446800" w:rsidRPr="004F616E">
        <w:rPr>
          <w:b/>
        </w:rPr>
        <w:t xml:space="preserve">current scheme </w:t>
      </w:r>
      <w:r w:rsidR="004F616E" w:rsidRPr="004F616E">
        <w:rPr>
          <w:b/>
        </w:rPr>
        <w:t xml:space="preserve">design being received and </w:t>
      </w:r>
      <w:r w:rsidR="00446800" w:rsidRPr="004F616E">
        <w:rPr>
          <w:b/>
        </w:rPr>
        <w:t>how is it being actioned in practice?</w:t>
      </w:r>
    </w:p>
    <w:p w:rsidR="00446800" w:rsidRDefault="001325EC" w:rsidP="001325EC">
      <w:pPr>
        <w:pStyle w:val="NormalBodyText"/>
        <w:numPr>
          <w:ilvl w:val="0"/>
          <w:numId w:val="0"/>
        </w:numPr>
      </w:pPr>
      <w:r w:rsidRPr="004F616E">
        <w:rPr>
          <w:b/>
        </w:rPr>
        <w:t xml:space="preserve">2. </w:t>
      </w:r>
      <w:r w:rsidR="00446800" w:rsidRPr="004F616E">
        <w:rPr>
          <w:b/>
        </w:rPr>
        <w:t>What is the impact of the current</w:t>
      </w:r>
      <w:r w:rsidR="004F616E" w:rsidRPr="004F616E">
        <w:rPr>
          <w:b/>
        </w:rPr>
        <w:t xml:space="preserve"> policy</w:t>
      </w:r>
      <w:r w:rsidR="00446800" w:rsidRPr="004F616E">
        <w:rPr>
          <w:b/>
        </w:rPr>
        <w:t xml:space="preserve"> design?</w:t>
      </w:r>
      <w:r w:rsidR="004F616E">
        <w:t xml:space="preserve"> (</w:t>
      </w:r>
      <w:proofErr w:type="gramStart"/>
      <w:r w:rsidR="004F616E">
        <w:t>with</w:t>
      </w:r>
      <w:proofErr w:type="gramEnd"/>
      <w:r w:rsidR="004F616E">
        <w:t xml:space="preserve"> initial indications in Phase 2 of this evaluation, and a full impact evaluation potentially to be commissioned in a 3</w:t>
      </w:r>
      <w:r w:rsidR="004F616E" w:rsidRPr="004F616E">
        <w:rPr>
          <w:vertAlign w:val="superscript"/>
        </w:rPr>
        <w:t>rd</w:t>
      </w:r>
      <w:r w:rsidR="004F616E">
        <w:t xml:space="preserve"> Phase)</w:t>
      </w:r>
    </w:p>
    <w:p w:rsidR="00060C50" w:rsidRDefault="001325EC" w:rsidP="00060C50">
      <w:pPr>
        <w:pStyle w:val="NormalBodyText"/>
        <w:numPr>
          <w:ilvl w:val="0"/>
          <w:numId w:val="0"/>
        </w:numPr>
      </w:pPr>
      <w:r w:rsidRPr="004F616E">
        <w:rPr>
          <w:b/>
        </w:rPr>
        <w:t xml:space="preserve">3. </w:t>
      </w:r>
      <w:r w:rsidR="004F616E" w:rsidRPr="004F616E">
        <w:rPr>
          <w:b/>
        </w:rPr>
        <w:t>To what extent is ESOS the right tool to meet the requirements of the Directive and to achieve the desired outcomes and impacts?</w:t>
      </w:r>
      <w:r w:rsidR="004F616E">
        <w:t xml:space="preserve"> </w:t>
      </w:r>
      <w:r w:rsidR="00060C50">
        <w:t>This may include recommendations for changes to certain elements of the policy design, or alternative policy designs.</w:t>
      </w:r>
    </w:p>
    <w:p w:rsidR="00D14D6B" w:rsidRPr="00D14D6B" w:rsidRDefault="00D14D6B" w:rsidP="00060C50">
      <w:pPr>
        <w:pStyle w:val="NormalBodyText"/>
        <w:numPr>
          <w:ilvl w:val="0"/>
          <w:numId w:val="0"/>
        </w:numPr>
        <w:rPr>
          <w:rFonts w:ascii="ITCAvantGardeStd-Bold" w:hAnsi="ITCAvantGardeStd-Bold"/>
          <w:color w:val="82B3D3"/>
          <w:sz w:val="24"/>
          <w:szCs w:val="22"/>
        </w:rPr>
      </w:pPr>
      <w:r>
        <w:rPr>
          <w:rFonts w:ascii="ITCAvantGardeStd-Bold" w:hAnsi="ITCAvantGardeStd-Bold"/>
          <w:color w:val="82B3D3"/>
          <w:sz w:val="24"/>
          <w:szCs w:val="22"/>
        </w:rPr>
        <w:t>Discussion of evaluation approach</w:t>
      </w:r>
    </w:p>
    <w:p w:rsidR="00D14D6B" w:rsidRPr="00D14D6B" w:rsidRDefault="00D14D6B" w:rsidP="004D5E73">
      <w:pPr>
        <w:pStyle w:val="BulletLevel1"/>
        <w:numPr>
          <w:ilvl w:val="0"/>
          <w:numId w:val="0"/>
        </w:numPr>
      </w:pPr>
      <w:r w:rsidRPr="00D14D6B">
        <w:t xml:space="preserve">Ipsos </w:t>
      </w:r>
      <w:r>
        <w:t>MORI gave an overview of the proposed evaluation approach and this led to a discussion, and need for further consideration, of a number of elements of the approach. The following points will be considered further during the Scoping Phase and any amendments to the approach detailed in the Ipsos MORI/UCL proposal will be documented there alongside the rationale for any suggested changes.</w:t>
      </w:r>
    </w:p>
    <w:p w:rsidR="001325EC" w:rsidRPr="001325EC" w:rsidRDefault="001325EC" w:rsidP="004D5E73">
      <w:pPr>
        <w:pStyle w:val="BulletLevel1"/>
        <w:numPr>
          <w:ilvl w:val="0"/>
          <w:numId w:val="0"/>
        </w:numPr>
      </w:pPr>
      <w:r w:rsidRPr="001325EC">
        <w:t>The following elements of the proposed approach were raised for further consideration</w:t>
      </w:r>
      <w:r>
        <w:t>:</w:t>
      </w:r>
    </w:p>
    <w:p w:rsidR="00D14D6B" w:rsidRPr="00D14D6B" w:rsidRDefault="00446800" w:rsidP="00626DFC">
      <w:pPr>
        <w:pStyle w:val="BulletLevel1"/>
        <w:numPr>
          <w:ilvl w:val="0"/>
          <w:numId w:val="17"/>
        </w:numPr>
        <w:rPr>
          <w:b/>
          <w:i/>
        </w:rPr>
      </w:pPr>
      <w:r w:rsidRPr="00F75E44">
        <w:rPr>
          <w:b/>
        </w:rPr>
        <w:t>Overburdening business</w:t>
      </w:r>
      <w:r>
        <w:t xml:space="preserve"> </w:t>
      </w:r>
      <w:r w:rsidR="00D14D6B">
        <w:t xml:space="preserve">both in terms of policy requirements and evaluation and research activity is of key concern for Government. It is vital therefore that the approach minimises the requirements placed on businesses as far as possible. The steps being taken during this evaluation to achieve this need to be made clear. There may be opportunities to go further by joining </w:t>
      </w:r>
      <w:r>
        <w:t xml:space="preserve">up </w:t>
      </w:r>
      <w:r w:rsidR="00D14D6B">
        <w:t>with other evaluation activity to help reduce the number of times businesses are contacted to participate in research, for example.</w:t>
      </w:r>
      <w:r>
        <w:t xml:space="preserve"> </w:t>
      </w:r>
    </w:p>
    <w:p w:rsidR="00446800" w:rsidRDefault="00F75E44" w:rsidP="00626DFC">
      <w:pPr>
        <w:pStyle w:val="BulletLevel1"/>
        <w:numPr>
          <w:ilvl w:val="0"/>
          <w:numId w:val="17"/>
        </w:numPr>
      </w:pPr>
      <w:r>
        <w:t xml:space="preserve">The </w:t>
      </w:r>
      <w:r w:rsidRPr="00F75E44">
        <w:rPr>
          <w:b/>
        </w:rPr>
        <w:t>quantitative survey design</w:t>
      </w:r>
      <w:r>
        <w:t xml:space="preserve">: </w:t>
      </w:r>
      <w:r w:rsidR="00D14D6B">
        <w:t xml:space="preserve">The current approach includes a telephone survey of a representative sample of 1,000 organisations in scope of ESOS. This sample size was put forward to provide sufficient cases for detailed subgroup analysis, to maximise the sample size that may respond should a repeat longitudinal survey be conducted, and to maximise the potential for data-linking with other sources. However, this sample size could </w:t>
      </w:r>
      <w:proofErr w:type="spellStart"/>
      <w:r>
        <w:t>reduced</w:t>
      </w:r>
      <w:proofErr w:type="spellEnd"/>
      <w:r>
        <w:t xml:space="preserve"> to enable a longer survey to be conducted</w:t>
      </w:r>
      <w:r w:rsidR="00D14D6B">
        <w:t xml:space="preserve"> </w:t>
      </w:r>
      <w:r>
        <w:t>(current approach assumes 15minute survey length). A longer survey may be needed depending on the nature of the</w:t>
      </w:r>
      <w:r w:rsidR="00D14D6B">
        <w:t xml:space="preserve"> evidence requirements </w:t>
      </w:r>
      <w:r>
        <w:t>following analysis of scheme management data and testing the feasibility of linking secondary data sources.</w:t>
      </w:r>
      <w:r w:rsidR="00D14D6B">
        <w:t xml:space="preserve"> (</w:t>
      </w:r>
      <w:proofErr w:type="gramStart"/>
      <w:r w:rsidR="00D14D6B">
        <w:t>e.g</w:t>
      </w:r>
      <w:proofErr w:type="gramEnd"/>
      <w:r w:rsidR="00D14D6B">
        <w:t>. if the survey needs to collect or check information that is not gathered by the Environment Agency or which cannot be access through data linking</w:t>
      </w:r>
      <w:r>
        <w:t>). The sample size and design may also be adjusted if a suitable control group can be identified and targeted for the survey (one consideration put forward was a premises-</w:t>
      </w:r>
      <w:r w:rsidR="00446800">
        <w:t xml:space="preserve">level survey, rather than business level, </w:t>
      </w:r>
      <w:r>
        <w:t xml:space="preserve">which </w:t>
      </w:r>
      <w:r w:rsidR="00446800">
        <w:t xml:space="preserve">might allow </w:t>
      </w:r>
      <w:r>
        <w:t xml:space="preserve">a </w:t>
      </w:r>
      <w:r w:rsidR="00446800">
        <w:t xml:space="preserve">control group </w:t>
      </w:r>
      <w:r>
        <w:t>to be defined).</w:t>
      </w:r>
    </w:p>
    <w:p w:rsidR="00446800" w:rsidRDefault="00F75E44" w:rsidP="00626DFC">
      <w:pPr>
        <w:pStyle w:val="BulletLevel1"/>
        <w:numPr>
          <w:ilvl w:val="0"/>
          <w:numId w:val="17"/>
        </w:numPr>
      </w:pPr>
      <w:r w:rsidRPr="00F75E44">
        <w:rPr>
          <w:b/>
        </w:rPr>
        <w:t>Measuring additionally</w:t>
      </w:r>
      <w:r>
        <w:t xml:space="preserve"> is likely to be informed through a variety of approaches including analysis of compliant versus non-compliant organisations, exploiting early versus late compliance requirements (i.e. organisations that cross over the threshold to fall within eligibility requirements later in the scheme) as well as analysing organisations either side of the eligibility threshold (i.e. those with under 250 employees versus those with over 250 employees). Ipsos MORI advised caution using any one of these approaches on its own to answer the question of additionality and </w:t>
      </w:r>
      <w:r w:rsidR="00427C15">
        <w:t>set out the limitations</w:t>
      </w:r>
      <w:r>
        <w:t xml:space="preserve"> faced by each, including a regression </w:t>
      </w:r>
      <w:r w:rsidR="00427C15">
        <w:t>discontinuity</w:t>
      </w:r>
      <w:r>
        <w:t xml:space="preserve"> design (RDD) based on </w:t>
      </w:r>
      <w:r w:rsidR="00427C15">
        <w:t>analysis around the employee size thres</w:t>
      </w:r>
      <w:r>
        <w:t xml:space="preserve">hold. </w:t>
      </w:r>
      <w:proofErr w:type="gramStart"/>
      <w:r>
        <w:t>DECC  confirmed</w:t>
      </w:r>
      <w:proofErr w:type="gramEnd"/>
      <w:r>
        <w:t xml:space="preserve"> </w:t>
      </w:r>
      <w:r w:rsidR="00427C15">
        <w:t>there was interest</w:t>
      </w:r>
      <w:r w:rsidR="00446800">
        <w:t xml:space="preserve"> </w:t>
      </w:r>
      <w:r w:rsidR="00427C15">
        <w:t>in continuing to assess the validity and value of these different approaches, and specifically to</w:t>
      </w:r>
      <w:r w:rsidR="00446800">
        <w:t xml:space="preserve"> re-assess </w:t>
      </w:r>
      <w:r w:rsidR="00427C15">
        <w:t xml:space="preserve">the </w:t>
      </w:r>
      <w:r w:rsidR="00446800">
        <w:t xml:space="preserve">value of </w:t>
      </w:r>
      <w:r w:rsidR="00427C15">
        <w:t xml:space="preserve">an </w:t>
      </w:r>
      <w:r w:rsidR="00446800">
        <w:t>RDD approach</w:t>
      </w:r>
      <w:r w:rsidR="00427C15">
        <w:t xml:space="preserve"> (with some variety of opinion within DECC on the possibilities this afforded to the evaluation). </w:t>
      </w:r>
    </w:p>
    <w:p w:rsidR="00427C15" w:rsidRDefault="00427C15" w:rsidP="00626DFC">
      <w:pPr>
        <w:pStyle w:val="BulletLevel1"/>
        <w:numPr>
          <w:ilvl w:val="0"/>
          <w:numId w:val="17"/>
        </w:numPr>
      </w:pPr>
      <w:r w:rsidRPr="00427C15">
        <w:rPr>
          <w:b/>
        </w:rPr>
        <w:t>Primary research with accrediting organisations for assessors</w:t>
      </w:r>
      <w:r>
        <w:t xml:space="preserve"> is not currently included in the proposed approach but is worth considering.</w:t>
      </w:r>
    </w:p>
    <w:p w:rsidR="00626DFC" w:rsidRDefault="00D73A03" w:rsidP="00626DFC">
      <w:pPr>
        <w:pStyle w:val="BulletLevel1"/>
        <w:numPr>
          <w:ilvl w:val="0"/>
          <w:numId w:val="17"/>
        </w:numPr>
      </w:pPr>
      <w:r w:rsidRPr="00D73A03">
        <w:rPr>
          <w:b/>
        </w:rPr>
        <w:t>Approach to evaluation in Devolved Administrations</w:t>
      </w:r>
      <w:r>
        <w:t xml:space="preserve"> needs to be considered further as there are separate regulators monitoring compliance. The current evaluation approach mirrors that taken in the CRC evaluation with an overall assessment of the scheme planned without significant focus (e.g. boosted samples) on </w:t>
      </w:r>
      <w:r w:rsidR="0039267B">
        <w:t>separate nations</w:t>
      </w:r>
      <w:r>
        <w:t xml:space="preserve">. </w:t>
      </w:r>
    </w:p>
    <w:p w:rsidR="0039267B" w:rsidRDefault="0039267B" w:rsidP="00D14D6B">
      <w:pPr>
        <w:pStyle w:val="NormalBodyText"/>
        <w:numPr>
          <w:ilvl w:val="0"/>
          <w:numId w:val="17"/>
        </w:numPr>
      </w:pPr>
      <w:r>
        <w:t>A</w:t>
      </w:r>
      <w:r w:rsidR="00D14D6B">
        <w:t xml:space="preserve"> Post Implementation R</w:t>
      </w:r>
      <w:r>
        <w:t>eview (P</w:t>
      </w:r>
      <w:r w:rsidR="00D14D6B">
        <w:t>I</w:t>
      </w:r>
      <w:r>
        <w:t>R</w:t>
      </w:r>
      <w:r w:rsidR="00D14D6B">
        <w:t xml:space="preserve">) </w:t>
      </w:r>
      <w:r>
        <w:t>must be conducted by DECC in</w:t>
      </w:r>
      <w:r w:rsidR="00D14D6B">
        <w:t xml:space="preserve"> 2019. </w:t>
      </w:r>
      <w:r>
        <w:t>It is essential that the</w:t>
      </w:r>
      <w:r w:rsidR="00D14D6B">
        <w:t xml:space="preserve"> evaluation is </w:t>
      </w:r>
      <w:r>
        <w:t>designed in such a way that key</w:t>
      </w:r>
      <w:r w:rsidR="00D14D6B">
        <w:t xml:space="preserve"> evidence </w:t>
      </w:r>
      <w:r>
        <w:t>required for the P</w:t>
      </w:r>
      <w:r w:rsidR="003B6FAD">
        <w:t>IR</w:t>
      </w:r>
      <w:r>
        <w:t xml:space="preserve"> is collected</w:t>
      </w:r>
      <w:r w:rsidR="00D14D6B">
        <w:t xml:space="preserve">. </w:t>
      </w:r>
    </w:p>
    <w:p w:rsidR="00C27868" w:rsidRDefault="0039267B" w:rsidP="004D5E73">
      <w:pPr>
        <w:pStyle w:val="BulletLevel1"/>
        <w:numPr>
          <w:ilvl w:val="0"/>
          <w:numId w:val="0"/>
        </w:numPr>
        <w:rPr>
          <w:rFonts w:ascii="ITCAvantGardeStd-Bold" w:hAnsi="ITCAvantGardeStd-Bold"/>
          <w:color w:val="82B3D3"/>
          <w:sz w:val="24"/>
          <w:szCs w:val="22"/>
        </w:rPr>
      </w:pPr>
      <w:r>
        <w:rPr>
          <w:rFonts w:ascii="ITCAvantGardeStd-Bold" w:hAnsi="ITCAvantGardeStd-Bold"/>
          <w:color w:val="82B3D3"/>
          <w:sz w:val="24"/>
          <w:szCs w:val="22"/>
        </w:rPr>
        <w:t>Initial Scoping Phase actions</w:t>
      </w:r>
      <w:r w:rsidR="004D5E73" w:rsidRPr="001325EC">
        <w:rPr>
          <w:rFonts w:ascii="ITCAvantGardeStd-Bold" w:hAnsi="ITCAvantGardeStd-Bold"/>
          <w:color w:val="82B3D3"/>
          <w:sz w:val="24"/>
          <w:szCs w:val="22"/>
        </w:rPr>
        <w:t xml:space="preserve">: </w:t>
      </w:r>
    </w:p>
    <w:p w:rsidR="0039267B" w:rsidRDefault="0039267B" w:rsidP="004D5E73">
      <w:pPr>
        <w:pStyle w:val="BulletLevel1"/>
        <w:numPr>
          <w:ilvl w:val="0"/>
          <w:numId w:val="0"/>
        </w:numPr>
      </w:pPr>
      <w:r>
        <w:t xml:space="preserve">Two key tasks for the Scoping Phase to discuss and sign-off with DECC are: </w:t>
      </w:r>
    </w:p>
    <w:p w:rsidR="0039267B" w:rsidRDefault="0039267B" w:rsidP="004D5E73">
      <w:pPr>
        <w:pStyle w:val="BulletLevel1"/>
        <w:numPr>
          <w:ilvl w:val="0"/>
          <w:numId w:val="0"/>
        </w:numPr>
      </w:pPr>
      <w:proofErr w:type="spellStart"/>
      <w:r>
        <w:t>i</w:t>
      </w:r>
      <w:proofErr w:type="spellEnd"/>
      <w:r>
        <w:t xml:space="preserve">) </w:t>
      </w:r>
      <w:proofErr w:type="gramStart"/>
      <w:r>
        <w:t>the</w:t>
      </w:r>
      <w:proofErr w:type="gramEnd"/>
      <w:r>
        <w:t xml:space="preserve"> arrangement of </w:t>
      </w:r>
      <w:r w:rsidRPr="0039267B">
        <w:rPr>
          <w:b/>
        </w:rPr>
        <w:t>familiarisation interviews</w:t>
      </w:r>
      <w:r>
        <w:t xml:space="preserve"> – the Ipsos MORI/UCL bid suggests 8 of these sessi</w:t>
      </w:r>
      <w:r w:rsidR="00595F0F">
        <w:t>ons are arranged with key policy, analyst and scheme management stakeholders. A suggested initial list is presented below for DECC’s review.</w:t>
      </w:r>
    </w:p>
    <w:p w:rsidR="00F47EE8" w:rsidRDefault="0039267B" w:rsidP="004D5E73">
      <w:pPr>
        <w:pStyle w:val="BulletLevel1"/>
        <w:numPr>
          <w:ilvl w:val="0"/>
          <w:numId w:val="0"/>
        </w:numPr>
      </w:pPr>
      <w:r>
        <w:t xml:space="preserve">ii) </w:t>
      </w:r>
      <w:proofErr w:type="gramStart"/>
      <w:r>
        <w:t>accessing</w:t>
      </w:r>
      <w:proofErr w:type="gramEnd"/>
      <w:r>
        <w:t xml:space="preserve"> </w:t>
      </w:r>
      <w:r w:rsidRPr="00595F0F">
        <w:rPr>
          <w:b/>
        </w:rPr>
        <w:t>key policy and other related documentation</w:t>
      </w:r>
      <w:r w:rsidR="00595F0F">
        <w:t xml:space="preserve"> –a table setting out the key documentation intended for review, and where </w:t>
      </w:r>
      <w:r>
        <w:t xml:space="preserve">access </w:t>
      </w:r>
      <w:r w:rsidR="00595F0F">
        <w:t>needs to be provided by DECC, is presented overleaf.</w:t>
      </w:r>
      <w:r>
        <w:t xml:space="preserve"> </w:t>
      </w:r>
    </w:p>
    <w:p w:rsidR="000629DE" w:rsidRDefault="000629DE" w:rsidP="002A4E28">
      <w:pPr>
        <w:pStyle w:val="NormalBodyText"/>
        <w:numPr>
          <w:ilvl w:val="0"/>
          <w:numId w:val="0"/>
        </w:numPr>
        <w:sectPr w:rsidR="000629DE" w:rsidSect="000629DE">
          <w:headerReference w:type="default" r:id="rId9"/>
          <w:pgSz w:w="11907" w:h="16840" w:code="9"/>
          <w:pgMar w:top="1701" w:right="1275" w:bottom="1134" w:left="851" w:header="567" w:footer="567" w:gutter="0"/>
          <w:pgNumType w:start="1"/>
          <w:cols w:space="720"/>
          <w:docGrid w:linePitch="326"/>
        </w:sectPr>
      </w:pPr>
    </w:p>
    <w:p w:rsidR="000629DE" w:rsidRDefault="000629DE" w:rsidP="000629DE">
      <w:pPr>
        <w:pStyle w:val="TableCaption"/>
        <w:ind w:left="0" w:firstLine="0"/>
        <w:rPr>
          <w:b/>
        </w:rPr>
      </w:pPr>
    </w:p>
    <w:p w:rsidR="000629DE" w:rsidRDefault="000629DE" w:rsidP="000629DE">
      <w:pPr>
        <w:pStyle w:val="TableCaption"/>
        <w:ind w:left="0" w:firstLine="0"/>
      </w:pPr>
      <w:r w:rsidRPr="006D08B3">
        <w:rPr>
          <w:b/>
        </w:rPr>
        <w:t>ESOS Evaluation</w:t>
      </w:r>
      <w:r>
        <w:t>: Information requirements tracking table</w:t>
      </w:r>
    </w:p>
    <w:tbl>
      <w:tblPr>
        <w:tblStyle w:val="TableGrid"/>
        <w:tblW w:w="10491"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7"/>
        <w:gridCol w:w="7144"/>
        <w:gridCol w:w="1560"/>
      </w:tblGrid>
      <w:tr w:rsidR="004B5424" w:rsidTr="004B5424">
        <w:tc>
          <w:tcPr>
            <w:tcW w:w="10491" w:type="dxa"/>
            <w:gridSpan w:val="3"/>
            <w:shd w:val="clear" w:color="auto" w:fill="82B3D3"/>
            <w:tcMar>
              <w:top w:w="57" w:type="dxa"/>
              <w:left w:w="57" w:type="dxa"/>
              <w:bottom w:w="57" w:type="dxa"/>
              <w:right w:w="57" w:type="dxa"/>
            </w:tcMar>
            <w:vAlign w:val="center"/>
          </w:tcPr>
          <w:p w:rsidR="004B5424" w:rsidRDefault="009A1E57" w:rsidP="009A1E57">
            <w:pPr>
              <w:spacing w:before="40" w:after="40"/>
              <w:rPr>
                <w:rFonts w:ascii="ITCAvantGardeStd-Bold" w:hAnsi="ITCAvantGardeStd-Bold"/>
                <w:color w:val="FFFFFF" w:themeColor="background1"/>
                <w:szCs w:val="20"/>
              </w:rPr>
            </w:pP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Pr>
                <w:rFonts w:ascii="ITCAvantGardeStd-Bold" w:hAnsi="ITCAvantGardeStd-Bold"/>
                <w:color w:val="FFFFFF" w:themeColor="background1"/>
                <w:szCs w:val="20"/>
              </w:rPr>
              <w:t xml:space="preserve"> </w:t>
            </w:r>
            <w:r w:rsidR="004B5424" w:rsidRPr="004B5424">
              <w:rPr>
                <w:rFonts w:ascii="ITCAvantGardeStd-Bold" w:hAnsi="ITCAvantGardeStd-Bold"/>
                <w:color w:val="FFFFFF" w:themeColor="background1"/>
                <w:szCs w:val="20"/>
              </w:rPr>
              <w:t>Description</w:t>
            </w:r>
            <w:r w:rsidR="004B5424"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sidRPr="004B5424">
              <w:rPr>
                <w:rFonts w:ascii="ITCAvantGardeStd-Bold" w:hAnsi="ITCAvantGardeStd-Bold"/>
                <w:color w:val="FFFFFF" w:themeColor="background1"/>
                <w:szCs w:val="20"/>
              </w:rPr>
              <w:tab/>
            </w:r>
            <w:r>
              <w:rPr>
                <w:rFonts w:ascii="ITCAvantGardeStd-Bold" w:hAnsi="ITCAvantGardeStd-Bold"/>
                <w:color w:val="FFFFFF" w:themeColor="background1"/>
                <w:szCs w:val="20"/>
              </w:rPr>
              <w:t xml:space="preserve">      </w:t>
            </w:r>
            <w:r w:rsidR="004B5424" w:rsidRPr="004B5424">
              <w:rPr>
                <w:rFonts w:ascii="ITCAvantGardeStd-Bold" w:hAnsi="ITCAvantGardeStd-Bold"/>
                <w:color w:val="FFFFFF" w:themeColor="background1"/>
                <w:szCs w:val="20"/>
              </w:rPr>
              <w:t>Responsibility</w:t>
            </w:r>
          </w:p>
        </w:tc>
      </w:tr>
      <w:tr w:rsidR="004B5424" w:rsidRPr="00763E28" w:rsidTr="004B5424">
        <w:tc>
          <w:tcPr>
            <w:tcW w:w="1787" w:type="dxa"/>
            <w:shd w:val="clear" w:color="auto" w:fill="82B3D3"/>
            <w:tcMar>
              <w:top w:w="57" w:type="dxa"/>
              <w:left w:w="57" w:type="dxa"/>
              <w:bottom w:w="57" w:type="dxa"/>
              <w:right w:w="57" w:type="dxa"/>
            </w:tcMar>
            <w:vAlign w:val="center"/>
          </w:tcPr>
          <w:p w:rsidR="004B5424" w:rsidRDefault="004B5424" w:rsidP="00427C15">
            <w:pPr>
              <w:spacing w:before="40" w:after="40"/>
              <w:jc w:val="right"/>
              <w:rPr>
                <w:rFonts w:ascii="ITCAvantGardeStd-Bold" w:hAnsi="ITCAvantGardeStd-Bold"/>
                <w:color w:val="FFFFFF" w:themeColor="background1"/>
                <w:szCs w:val="20"/>
              </w:rPr>
            </w:pPr>
            <w:r>
              <w:rPr>
                <w:rFonts w:ascii="ITCAvantGardeStd-Bold" w:hAnsi="ITCAvantGardeStd-Bold"/>
                <w:color w:val="FFFFFF" w:themeColor="background1"/>
                <w:szCs w:val="20"/>
              </w:rPr>
              <w:t>ESOS policy d</w:t>
            </w:r>
            <w:r w:rsidRPr="00CD2E7B">
              <w:rPr>
                <w:rFonts w:ascii="ITCAvantGardeStd-Bold" w:hAnsi="ITCAvantGardeStd-Bold"/>
                <w:color w:val="FFFFFF" w:themeColor="background1"/>
                <w:szCs w:val="20"/>
              </w:rPr>
              <w:t>ocuments</w:t>
            </w:r>
          </w:p>
          <w:p w:rsidR="004B5424" w:rsidRPr="00AC1A6A" w:rsidRDefault="004B5424" w:rsidP="00427C15">
            <w:pPr>
              <w:spacing w:before="40" w:after="40"/>
              <w:jc w:val="right"/>
              <w:rPr>
                <w:rFonts w:ascii="ITCAvantGardeStd-Bold" w:hAnsi="ITCAvantGardeStd-Bold"/>
                <w:color w:val="FFFFFF" w:themeColor="background1"/>
                <w:szCs w:val="20"/>
              </w:rPr>
            </w:pPr>
          </w:p>
        </w:tc>
        <w:tc>
          <w:tcPr>
            <w:tcW w:w="7144" w:type="dxa"/>
            <w:tcBorders>
              <w:right w:val="single" w:sz="8" w:space="0" w:color="82B3D3"/>
            </w:tcBorders>
            <w:tcMar>
              <w:top w:w="57" w:type="dxa"/>
              <w:left w:w="57" w:type="dxa"/>
              <w:bottom w:w="57" w:type="dxa"/>
              <w:right w:w="57" w:type="dxa"/>
            </w:tcMar>
            <w:vAlign w:val="center"/>
          </w:tcPr>
          <w:p w:rsidR="004B5424" w:rsidRDefault="004B5424" w:rsidP="000629DE">
            <w:pPr>
              <w:pStyle w:val="ListParagraph"/>
              <w:numPr>
                <w:ilvl w:val="0"/>
                <w:numId w:val="22"/>
              </w:numPr>
              <w:spacing w:before="40" w:after="40"/>
              <w:ind w:left="425" w:hanging="283"/>
              <w:rPr>
                <w:szCs w:val="20"/>
              </w:rPr>
            </w:pPr>
            <w:r w:rsidRPr="00EB1CCA">
              <w:rPr>
                <w:szCs w:val="20"/>
              </w:rPr>
              <w:t>Any documentation outlining the policy aims for ESOS</w:t>
            </w:r>
            <w:r>
              <w:rPr>
                <w:szCs w:val="20"/>
              </w:rPr>
              <w:t>; and</w:t>
            </w:r>
          </w:p>
          <w:p w:rsidR="004B5424" w:rsidRDefault="004B5424" w:rsidP="000629DE">
            <w:pPr>
              <w:pStyle w:val="ListParagraph"/>
              <w:numPr>
                <w:ilvl w:val="0"/>
                <w:numId w:val="22"/>
              </w:numPr>
              <w:spacing w:before="40" w:after="40"/>
              <w:ind w:left="425" w:hanging="283"/>
              <w:rPr>
                <w:szCs w:val="20"/>
              </w:rPr>
            </w:pPr>
            <w:r>
              <w:rPr>
                <w:szCs w:val="20"/>
              </w:rPr>
              <w:t>ESOS</w:t>
            </w:r>
            <w:r w:rsidRPr="00EB1CCA">
              <w:rPr>
                <w:szCs w:val="20"/>
              </w:rPr>
              <w:t xml:space="preserve"> business case, and its appraisal</w:t>
            </w:r>
          </w:p>
          <w:p w:rsidR="004B5424" w:rsidRDefault="004B5424" w:rsidP="000629DE">
            <w:pPr>
              <w:pStyle w:val="ListParagraph"/>
              <w:numPr>
                <w:ilvl w:val="0"/>
                <w:numId w:val="22"/>
              </w:numPr>
              <w:spacing w:before="40" w:after="40"/>
              <w:ind w:left="425" w:hanging="283"/>
              <w:rPr>
                <w:szCs w:val="20"/>
              </w:rPr>
            </w:pPr>
            <w:r>
              <w:rPr>
                <w:szCs w:val="20"/>
              </w:rPr>
              <w:t>ESOS i</w:t>
            </w:r>
            <w:r w:rsidRPr="00EB1CCA">
              <w:rPr>
                <w:szCs w:val="20"/>
              </w:rPr>
              <w:t>mpact assessment</w:t>
            </w:r>
          </w:p>
          <w:p w:rsidR="004B5424" w:rsidRDefault="004B5424" w:rsidP="000629DE">
            <w:pPr>
              <w:pStyle w:val="ListParagraph"/>
              <w:numPr>
                <w:ilvl w:val="0"/>
                <w:numId w:val="22"/>
              </w:numPr>
              <w:spacing w:before="40" w:after="40"/>
              <w:ind w:left="425" w:hanging="283"/>
              <w:rPr>
                <w:szCs w:val="20"/>
              </w:rPr>
            </w:pPr>
            <w:r>
              <w:rPr>
                <w:szCs w:val="20"/>
              </w:rPr>
              <w:t xml:space="preserve">ESOS </w:t>
            </w:r>
            <w:r w:rsidRPr="00EB1CCA">
              <w:rPr>
                <w:szCs w:val="20"/>
              </w:rPr>
              <w:t xml:space="preserve">theory of change </w:t>
            </w:r>
          </w:p>
          <w:p w:rsidR="004B5424" w:rsidRDefault="004B5424" w:rsidP="000629DE">
            <w:pPr>
              <w:pStyle w:val="ListParagraph"/>
              <w:numPr>
                <w:ilvl w:val="0"/>
                <w:numId w:val="22"/>
              </w:numPr>
              <w:spacing w:before="40" w:after="40"/>
              <w:ind w:left="425" w:hanging="283"/>
              <w:rPr>
                <w:szCs w:val="20"/>
              </w:rPr>
            </w:pPr>
            <w:r>
              <w:rPr>
                <w:szCs w:val="20"/>
              </w:rPr>
              <w:t>Process map / customer journey for organisations in scope of ESOS</w:t>
            </w:r>
          </w:p>
          <w:p w:rsidR="004B5424" w:rsidRDefault="004B5424" w:rsidP="000629DE">
            <w:pPr>
              <w:pStyle w:val="ListParagraph"/>
              <w:numPr>
                <w:ilvl w:val="0"/>
                <w:numId w:val="22"/>
              </w:numPr>
              <w:spacing w:before="40" w:after="40"/>
              <w:ind w:left="425" w:hanging="283"/>
              <w:rPr>
                <w:szCs w:val="20"/>
              </w:rPr>
            </w:pPr>
            <w:r>
              <w:rPr>
                <w:szCs w:val="20"/>
              </w:rPr>
              <w:t>Outputs from ESOS Rapid Evidence Assessment by Eunomia</w:t>
            </w:r>
          </w:p>
          <w:p w:rsidR="004B5424" w:rsidRPr="00EB1CCA" w:rsidRDefault="004B5424" w:rsidP="000629DE">
            <w:pPr>
              <w:pStyle w:val="ListParagraph"/>
              <w:numPr>
                <w:ilvl w:val="0"/>
                <w:numId w:val="22"/>
              </w:numPr>
              <w:spacing w:before="40" w:after="40"/>
              <w:ind w:left="425" w:hanging="283"/>
              <w:rPr>
                <w:szCs w:val="20"/>
              </w:rPr>
            </w:pPr>
            <w:r>
              <w:rPr>
                <w:szCs w:val="20"/>
              </w:rPr>
              <w:t>Memorandum of Understanding between DECC and Environment Agency</w:t>
            </w:r>
          </w:p>
        </w:tc>
        <w:tc>
          <w:tcPr>
            <w:tcW w:w="1560" w:type="dxa"/>
            <w:tcBorders>
              <w:left w:val="single" w:sz="8" w:space="0" w:color="82B3D3"/>
              <w:right w:val="single" w:sz="8" w:space="0" w:color="82B3D3"/>
            </w:tcBorders>
          </w:tcPr>
          <w:p w:rsidR="004B5424" w:rsidRPr="00EB3854" w:rsidRDefault="004B5424" w:rsidP="00427C15">
            <w:pPr>
              <w:spacing w:before="40" w:after="40"/>
              <w:rPr>
                <w:szCs w:val="20"/>
              </w:rPr>
            </w:pPr>
          </w:p>
        </w:tc>
      </w:tr>
      <w:tr w:rsidR="004B5424" w:rsidRPr="00763E28" w:rsidTr="004B5424">
        <w:tc>
          <w:tcPr>
            <w:tcW w:w="1787" w:type="dxa"/>
            <w:shd w:val="clear" w:color="auto" w:fill="82B3D3"/>
            <w:tcMar>
              <w:top w:w="57" w:type="dxa"/>
              <w:left w:w="57" w:type="dxa"/>
              <w:bottom w:w="57" w:type="dxa"/>
              <w:right w:w="57" w:type="dxa"/>
            </w:tcMar>
            <w:vAlign w:val="center"/>
          </w:tcPr>
          <w:p w:rsidR="004B5424" w:rsidRPr="007B7BED" w:rsidRDefault="004B5424" w:rsidP="00427C15">
            <w:pPr>
              <w:spacing w:before="40" w:after="40"/>
              <w:jc w:val="right"/>
              <w:rPr>
                <w:rFonts w:ascii="ITCAvantGardeStd-Bold" w:hAnsi="ITCAvantGardeStd-Bold"/>
                <w:color w:val="FFFFFF" w:themeColor="background1"/>
                <w:szCs w:val="20"/>
              </w:rPr>
            </w:pPr>
            <w:r>
              <w:rPr>
                <w:rFonts w:ascii="ITCAvantGardeStd-Bold" w:hAnsi="ITCAvantGardeStd-Bold"/>
                <w:color w:val="FFFFFF" w:themeColor="background1"/>
                <w:szCs w:val="20"/>
              </w:rPr>
              <w:t>Related policy documents</w:t>
            </w:r>
          </w:p>
        </w:tc>
        <w:tc>
          <w:tcPr>
            <w:tcW w:w="7144" w:type="dxa"/>
            <w:tcBorders>
              <w:right w:val="single" w:sz="8" w:space="0" w:color="82B3D3"/>
            </w:tcBorders>
            <w:shd w:val="clear" w:color="auto" w:fill="E9F0F6"/>
            <w:tcMar>
              <w:top w:w="57" w:type="dxa"/>
              <w:left w:w="57" w:type="dxa"/>
              <w:bottom w:w="57" w:type="dxa"/>
              <w:right w:w="57" w:type="dxa"/>
            </w:tcMar>
            <w:vAlign w:val="center"/>
          </w:tcPr>
          <w:p w:rsidR="004B5424" w:rsidRPr="00EB1CCA" w:rsidRDefault="004B5424" w:rsidP="000629DE">
            <w:pPr>
              <w:pStyle w:val="ListParagraph"/>
              <w:numPr>
                <w:ilvl w:val="0"/>
                <w:numId w:val="21"/>
              </w:numPr>
              <w:spacing w:before="40" w:after="40"/>
              <w:ind w:left="425" w:hanging="283"/>
              <w:rPr>
                <w:szCs w:val="20"/>
              </w:rPr>
            </w:pPr>
            <w:r w:rsidRPr="00EB1CCA">
              <w:rPr>
                <w:szCs w:val="20"/>
              </w:rPr>
              <w:t>As above for other related policies e.g. CRC, CCA</w:t>
            </w:r>
          </w:p>
          <w:p w:rsidR="004B5424" w:rsidRPr="00EB1CCA" w:rsidRDefault="004B5424" w:rsidP="000629DE">
            <w:pPr>
              <w:pStyle w:val="ListParagraph"/>
              <w:numPr>
                <w:ilvl w:val="0"/>
                <w:numId w:val="21"/>
              </w:numPr>
              <w:spacing w:before="40" w:after="40"/>
              <w:ind w:left="425" w:hanging="283"/>
              <w:rPr>
                <w:szCs w:val="20"/>
              </w:rPr>
            </w:pPr>
            <w:r w:rsidRPr="00EB1CCA">
              <w:rPr>
                <w:szCs w:val="20"/>
              </w:rPr>
              <w:t xml:space="preserve">Outputs from meta-review of wider policy </w:t>
            </w:r>
          </w:p>
        </w:tc>
        <w:tc>
          <w:tcPr>
            <w:tcW w:w="1560" w:type="dxa"/>
            <w:tcBorders>
              <w:left w:val="single" w:sz="8" w:space="0" w:color="82B3D3"/>
              <w:right w:val="single" w:sz="8" w:space="0" w:color="82B3D3"/>
            </w:tcBorders>
            <w:shd w:val="clear" w:color="auto" w:fill="E9F0F6"/>
          </w:tcPr>
          <w:p w:rsidR="004B5424" w:rsidRPr="00EB3854" w:rsidRDefault="004B5424" w:rsidP="00427C15">
            <w:pPr>
              <w:spacing w:before="40" w:after="40"/>
              <w:jc w:val="right"/>
              <w:rPr>
                <w:szCs w:val="20"/>
              </w:rPr>
            </w:pPr>
          </w:p>
        </w:tc>
      </w:tr>
      <w:tr w:rsidR="004B5424" w:rsidRPr="00EB1CCA" w:rsidTr="004B5424">
        <w:tc>
          <w:tcPr>
            <w:tcW w:w="1787" w:type="dxa"/>
            <w:shd w:val="clear" w:color="auto" w:fill="82B3D3"/>
            <w:tcMar>
              <w:top w:w="57" w:type="dxa"/>
              <w:left w:w="57" w:type="dxa"/>
              <w:bottom w:w="57" w:type="dxa"/>
              <w:right w:w="57" w:type="dxa"/>
            </w:tcMar>
            <w:vAlign w:val="center"/>
          </w:tcPr>
          <w:p w:rsidR="004B5424" w:rsidRPr="00AC1A6A" w:rsidRDefault="004B5424" w:rsidP="00427C15">
            <w:pPr>
              <w:spacing w:before="40" w:after="40"/>
              <w:jc w:val="right"/>
              <w:rPr>
                <w:rFonts w:ascii="ITCAvantGardeStd-Bold" w:hAnsi="ITCAvantGardeStd-Bold"/>
                <w:color w:val="FFFFFF" w:themeColor="background1"/>
                <w:szCs w:val="20"/>
              </w:rPr>
            </w:pPr>
            <w:r>
              <w:rPr>
                <w:rFonts w:ascii="ITCAvantGardeStd-Bold" w:hAnsi="ITCAvantGardeStd-Bold"/>
                <w:color w:val="FFFFFF" w:themeColor="background1"/>
                <w:szCs w:val="20"/>
              </w:rPr>
              <w:t>ESOS operational d</w:t>
            </w:r>
            <w:r w:rsidRPr="007B7BED">
              <w:rPr>
                <w:rFonts w:ascii="ITCAvantGardeStd-Bold" w:hAnsi="ITCAvantGardeStd-Bold"/>
                <w:color w:val="FFFFFF" w:themeColor="background1"/>
                <w:szCs w:val="20"/>
              </w:rPr>
              <w:t>ocuments</w:t>
            </w:r>
          </w:p>
        </w:tc>
        <w:tc>
          <w:tcPr>
            <w:tcW w:w="7144" w:type="dxa"/>
            <w:tcBorders>
              <w:right w:val="single" w:sz="8" w:space="0" w:color="82B3D3"/>
            </w:tcBorders>
            <w:shd w:val="clear" w:color="auto" w:fill="auto"/>
            <w:tcMar>
              <w:top w:w="57" w:type="dxa"/>
              <w:left w:w="57" w:type="dxa"/>
              <w:bottom w:w="57" w:type="dxa"/>
              <w:right w:w="57" w:type="dxa"/>
            </w:tcMar>
            <w:vAlign w:val="center"/>
          </w:tcPr>
          <w:p w:rsidR="004B5424" w:rsidRDefault="004B5424" w:rsidP="000629DE">
            <w:pPr>
              <w:pStyle w:val="ListParagraph"/>
              <w:numPr>
                <w:ilvl w:val="0"/>
                <w:numId w:val="21"/>
              </w:numPr>
              <w:spacing w:before="40" w:after="40"/>
              <w:ind w:left="425" w:hanging="283"/>
              <w:rPr>
                <w:szCs w:val="20"/>
              </w:rPr>
            </w:pPr>
            <w:r>
              <w:rPr>
                <w:szCs w:val="20"/>
              </w:rPr>
              <w:t>Guidance documentation for organisations</w:t>
            </w:r>
          </w:p>
          <w:p w:rsidR="004B5424" w:rsidRDefault="004B5424" w:rsidP="000629DE">
            <w:pPr>
              <w:pStyle w:val="ListParagraph"/>
              <w:numPr>
                <w:ilvl w:val="0"/>
                <w:numId w:val="21"/>
              </w:numPr>
              <w:spacing w:before="40" w:after="40"/>
              <w:ind w:left="425" w:hanging="283"/>
              <w:rPr>
                <w:szCs w:val="20"/>
              </w:rPr>
            </w:pPr>
            <w:r>
              <w:rPr>
                <w:szCs w:val="20"/>
              </w:rPr>
              <w:t>Guidance documentation for ESOS lead assessors</w:t>
            </w:r>
          </w:p>
          <w:p w:rsidR="004B5424" w:rsidRDefault="004B5424" w:rsidP="000629DE">
            <w:pPr>
              <w:pStyle w:val="ListParagraph"/>
              <w:numPr>
                <w:ilvl w:val="0"/>
                <w:numId w:val="21"/>
              </w:numPr>
              <w:spacing w:before="40" w:after="40"/>
              <w:ind w:left="425" w:hanging="283"/>
              <w:rPr>
                <w:szCs w:val="20"/>
              </w:rPr>
            </w:pPr>
            <w:r>
              <w:rPr>
                <w:szCs w:val="20"/>
              </w:rPr>
              <w:t xml:space="preserve">Documentation relating to the ESOS roadshows – any background documentation outlining aims for the roadshows, and the final Dialogue-by-Design reports </w:t>
            </w:r>
            <w:r w:rsidRPr="007B7BED">
              <w:rPr>
                <w:szCs w:val="20"/>
              </w:rPr>
              <w:t xml:space="preserve">  </w:t>
            </w:r>
          </w:p>
          <w:p w:rsidR="004B5424" w:rsidRPr="00EB3854" w:rsidRDefault="004B5424" w:rsidP="00427C15">
            <w:pPr>
              <w:pStyle w:val="ListParagraph"/>
              <w:spacing w:before="40" w:after="40"/>
              <w:ind w:left="425"/>
              <w:rPr>
                <w:szCs w:val="20"/>
              </w:rPr>
            </w:pPr>
          </w:p>
        </w:tc>
        <w:tc>
          <w:tcPr>
            <w:tcW w:w="1560" w:type="dxa"/>
            <w:tcBorders>
              <w:left w:val="single" w:sz="8" w:space="0" w:color="82B3D3"/>
              <w:right w:val="single" w:sz="8" w:space="0" w:color="82B3D3"/>
            </w:tcBorders>
            <w:shd w:val="clear" w:color="auto" w:fill="auto"/>
          </w:tcPr>
          <w:p w:rsidR="004B5424" w:rsidRPr="00EB3854" w:rsidRDefault="004B5424" w:rsidP="00427C15">
            <w:pPr>
              <w:spacing w:before="40" w:after="40"/>
              <w:jc w:val="right"/>
              <w:rPr>
                <w:szCs w:val="20"/>
              </w:rPr>
            </w:pPr>
          </w:p>
        </w:tc>
      </w:tr>
      <w:tr w:rsidR="004B5424" w:rsidRPr="00763E28" w:rsidTr="004B5424">
        <w:tc>
          <w:tcPr>
            <w:tcW w:w="1787" w:type="dxa"/>
            <w:shd w:val="clear" w:color="auto" w:fill="82B3D3"/>
            <w:tcMar>
              <w:top w:w="57" w:type="dxa"/>
              <w:left w:w="57" w:type="dxa"/>
              <w:bottom w:w="57" w:type="dxa"/>
              <w:right w:w="57" w:type="dxa"/>
            </w:tcMar>
            <w:vAlign w:val="center"/>
          </w:tcPr>
          <w:p w:rsidR="004B5424" w:rsidRPr="007B7BED" w:rsidRDefault="004B5424" w:rsidP="00427C15">
            <w:pPr>
              <w:spacing w:before="40" w:after="40"/>
              <w:jc w:val="right"/>
              <w:rPr>
                <w:rFonts w:ascii="ITCAvantGardeStd-Bold" w:hAnsi="ITCAvantGardeStd-Bold"/>
                <w:color w:val="FFFFFF" w:themeColor="background1"/>
                <w:szCs w:val="20"/>
              </w:rPr>
            </w:pPr>
            <w:r>
              <w:rPr>
                <w:rFonts w:ascii="ITCAvantGardeStd-Bold" w:hAnsi="ITCAvantGardeStd-Bold"/>
                <w:color w:val="FFFFFF" w:themeColor="background1"/>
                <w:szCs w:val="20"/>
              </w:rPr>
              <w:t>Previous related research</w:t>
            </w:r>
          </w:p>
        </w:tc>
        <w:tc>
          <w:tcPr>
            <w:tcW w:w="7144" w:type="dxa"/>
            <w:tcBorders>
              <w:right w:val="single" w:sz="8" w:space="0" w:color="82B3D3"/>
            </w:tcBorders>
            <w:shd w:val="clear" w:color="auto" w:fill="E9F0F6"/>
            <w:tcMar>
              <w:top w:w="57" w:type="dxa"/>
              <w:left w:w="57" w:type="dxa"/>
              <w:bottom w:w="57" w:type="dxa"/>
              <w:right w:w="57" w:type="dxa"/>
            </w:tcMar>
            <w:vAlign w:val="center"/>
          </w:tcPr>
          <w:p w:rsidR="004B5424" w:rsidRPr="006D08B3" w:rsidRDefault="004B5424" w:rsidP="000629DE">
            <w:pPr>
              <w:pStyle w:val="ListParagraph"/>
              <w:numPr>
                <w:ilvl w:val="0"/>
                <w:numId w:val="21"/>
              </w:numPr>
              <w:spacing w:before="40" w:after="40"/>
              <w:ind w:left="425" w:hanging="283"/>
              <w:rPr>
                <w:szCs w:val="20"/>
              </w:rPr>
            </w:pPr>
            <w:r w:rsidRPr="006D08B3">
              <w:rPr>
                <w:szCs w:val="20"/>
              </w:rPr>
              <w:t>Documentation relating to the business omnibus tracker, including questionnaires, raw data and any reporting outputs</w:t>
            </w:r>
          </w:p>
          <w:p w:rsidR="004B5424" w:rsidRPr="006D08B3" w:rsidRDefault="004B5424" w:rsidP="000629DE">
            <w:pPr>
              <w:pStyle w:val="ListParagraph"/>
              <w:numPr>
                <w:ilvl w:val="0"/>
                <w:numId w:val="21"/>
              </w:numPr>
              <w:spacing w:before="40" w:after="40"/>
              <w:ind w:left="425" w:hanging="283"/>
              <w:rPr>
                <w:szCs w:val="20"/>
              </w:rPr>
            </w:pPr>
            <w:r w:rsidRPr="006D08B3">
              <w:rPr>
                <w:szCs w:val="20"/>
              </w:rPr>
              <w:t>Reporting from research /evaluation around related policies e.g. CRC report</w:t>
            </w:r>
          </w:p>
          <w:p w:rsidR="004B5424" w:rsidRPr="00EB3854" w:rsidRDefault="004B5424" w:rsidP="000629DE">
            <w:pPr>
              <w:numPr>
                <w:ilvl w:val="0"/>
                <w:numId w:val="21"/>
              </w:numPr>
              <w:spacing w:before="40" w:after="40"/>
              <w:ind w:left="425" w:hanging="283"/>
              <w:rPr>
                <w:szCs w:val="20"/>
              </w:rPr>
            </w:pPr>
            <w:r>
              <w:rPr>
                <w:szCs w:val="20"/>
              </w:rPr>
              <w:t>Any relevant lessons learned reports from previous research/evaluation e.g. CRC</w:t>
            </w:r>
          </w:p>
        </w:tc>
        <w:tc>
          <w:tcPr>
            <w:tcW w:w="1560" w:type="dxa"/>
            <w:tcBorders>
              <w:left w:val="single" w:sz="8" w:space="0" w:color="82B3D3"/>
              <w:right w:val="single" w:sz="8" w:space="0" w:color="82B3D3"/>
            </w:tcBorders>
            <w:shd w:val="clear" w:color="auto" w:fill="E9F0F6"/>
          </w:tcPr>
          <w:p w:rsidR="004B5424" w:rsidRDefault="004B5424" w:rsidP="000629DE">
            <w:pPr>
              <w:pStyle w:val="ListParagraph"/>
              <w:numPr>
                <w:ilvl w:val="0"/>
                <w:numId w:val="21"/>
              </w:numPr>
              <w:spacing w:before="40" w:after="40"/>
              <w:ind w:left="318" w:hanging="284"/>
              <w:rPr>
                <w:szCs w:val="20"/>
              </w:rPr>
            </w:pPr>
            <w:r>
              <w:rPr>
                <w:szCs w:val="20"/>
              </w:rPr>
              <w:t>Daniel</w:t>
            </w:r>
          </w:p>
          <w:p w:rsidR="004B5424" w:rsidRDefault="004B5424" w:rsidP="00427C15">
            <w:pPr>
              <w:pStyle w:val="ListParagraph"/>
              <w:spacing w:before="40" w:after="40"/>
              <w:ind w:left="318"/>
              <w:rPr>
                <w:szCs w:val="20"/>
              </w:rPr>
            </w:pPr>
          </w:p>
          <w:p w:rsidR="004B5424" w:rsidRDefault="004B5424" w:rsidP="000629DE">
            <w:pPr>
              <w:pStyle w:val="ListParagraph"/>
              <w:numPr>
                <w:ilvl w:val="0"/>
                <w:numId w:val="21"/>
              </w:numPr>
              <w:spacing w:before="40" w:after="40"/>
              <w:ind w:left="318" w:hanging="284"/>
              <w:rPr>
                <w:szCs w:val="20"/>
              </w:rPr>
            </w:pPr>
            <w:r>
              <w:rPr>
                <w:szCs w:val="20"/>
              </w:rPr>
              <w:t>Laura</w:t>
            </w:r>
          </w:p>
          <w:p w:rsidR="004B5424" w:rsidRPr="006D08B3" w:rsidRDefault="004B5424" w:rsidP="00427C15">
            <w:pPr>
              <w:pStyle w:val="ListParagraph"/>
              <w:rPr>
                <w:szCs w:val="20"/>
              </w:rPr>
            </w:pPr>
          </w:p>
          <w:p w:rsidR="004B5424" w:rsidRPr="006D08B3" w:rsidRDefault="004B5424" w:rsidP="000629DE">
            <w:pPr>
              <w:pStyle w:val="ListParagraph"/>
              <w:numPr>
                <w:ilvl w:val="0"/>
                <w:numId w:val="21"/>
              </w:numPr>
              <w:spacing w:before="40" w:after="40"/>
              <w:ind w:left="318" w:hanging="284"/>
              <w:rPr>
                <w:szCs w:val="20"/>
              </w:rPr>
            </w:pPr>
            <w:r>
              <w:rPr>
                <w:szCs w:val="20"/>
              </w:rPr>
              <w:t>Laura</w:t>
            </w:r>
          </w:p>
          <w:p w:rsidR="004B5424" w:rsidRPr="006D08B3" w:rsidRDefault="004B5424" w:rsidP="00427C15">
            <w:pPr>
              <w:spacing w:before="40" w:after="40"/>
              <w:ind w:left="360"/>
              <w:rPr>
                <w:szCs w:val="20"/>
              </w:rPr>
            </w:pPr>
          </w:p>
        </w:tc>
      </w:tr>
      <w:tr w:rsidR="004B5424" w:rsidRPr="00763E28" w:rsidTr="004B5424">
        <w:tc>
          <w:tcPr>
            <w:tcW w:w="1787" w:type="dxa"/>
            <w:shd w:val="clear" w:color="auto" w:fill="82B3D3"/>
            <w:tcMar>
              <w:top w:w="57" w:type="dxa"/>
              <w:left w:w="57" w:type="dxa"/>
              <w:bottom w:w="57" w:type="dxa"/>
              <w:right w:w="57" w:type="dxa"/>
            </w:tcMar>
            <w:vAlign w:val="center"/>
          </w:tcPr>
          <w:p w:rsidR="004B5424" w:rsidRDefault="004B5424" w:rsidP="00427C15">
            <w:pPr>
              <w:spacing w:before="40" w:after="40"/>
              <w:jc w:val="right"/>
              <w:rPr>
                <w:rFonts w:ascii="ITCAvantGardeStd-Bold" w:hAnsi="ITCAvantGardeStd-Bold"/>
                <w:color w:val="FFFFFF" w:themeColor="background1"/>
                <w:szCs w:val="20"/>
              </w:rPr>
            </w:pPr>
            <w:r>
              <w:rPr>
                <w:rFonts w:ascii="ITCAvantGardeStd-Bold" w:hAnsi="ITCAvantGardeStd-Bold"/>
                <w:color w:val="FFFFFF" w:themeColor="background1"/>
                <w:szCs w:val="20"/>
              </w:rPr>
              <w:t>Other</w:t>
            </w:r>
          </w:p>
        </w:tc>
        <w:tc>
          <w:tcPr>
            <w:tcW w:w="7144" w:type="dxa"/>
            <w:tcBorders>
              <w:right w:val="single" w:sz="8" w:space="0" w:color="82B3D3"/>
            </w:tcBorders>
            <w:shd w:val="clear" w:color="auto" w:fill="FFFFFF" w:themeFill="background1"/>
            <w:tcMar>
              <w:top w:w="57" w:type="dxa"/>
              <w:left w:w="57" w:type="dxa"/>
              <w:bottom w:w="57" w:type="dxa"/>
              <w:right w:w="57" w:type="dxa"/>
            </w:tcMar>
            <w:vAlign w:val="center"/>
          </w:tcPr>
          <w:p w:rsidR="004B5424" w:rsidRPr="006D08B3" w:rsidRDefault="004B5424" w:rsidP="000629DE">
            <w:pPr>
              <w:pStyle w:val="ListParagraph"/>
              <w:numPr>
                <w:ilvl w:val="0"/>
                <w:numId w:val="21"/>
              </w:numPr>
              <w:spacing w:before="40" w:after="40"/>
              <w:ind w:left="425" w:hanging="283"/>
              <w:rPr>
                <w:szCs w:val="20"/>
              </w:rPr>
            </w:pPr>
            <w:r>
              <w:rPr>
                <w:szCs w:val="20"/>
              </w:rPr>
              <w:t>PIR guidelines</w:t>
            </w:r>
          </w:p>
        </w:tc>
        <w:tc>
          <w:tcPr>
            <w:tcW w:w="1560" w:type="dxa"/>
            <w:tcBorders>
              <w:left w:val="single" w:sz="8" w:space="0" w:color="82B3D3"/>
              <w:right w:val="single" w:sz="8" w:space="0" w:color="82B3D3"/>
            </w:tcBorders>
            <w:shd w:val="clear" w:color="auto" w:fill="FFFFFF" w:themeFill="background1"/>
          </w:tcPr>
          <w:p w:rsidR="004B5424" w:rsidRDefault="004B5424" w:rsidP="000629DE">
            <w:pPr>
              <w:pStyle w:val="ListParagraph"/>
              <w:numPr>
                <w:ilvl w:val="0"/>
                <w:numId w:val="21"/>
              </w:numPr>
              <w:spacing w:before="40" w:after="40"/>
              <w:ind w:left="318" w:hanging="284"/>
              <w:rPr>
                <w:szCs w:val="20"/>
              </w:rPr>
            </w:pPr>
            <w:r>
              <w:rPr>
                <w:szCs w:val="20"/>
              </w:rPr>
              <w:t>Sarah?</w:t>
            </w:r>
          </w:p>
        </w:tc>
      </w:tr>
    </w:tbl>
    <w:p w:rsidR="000629DE" w:rsidRDefault="000629DE" w:rsidP="002A4E28">
      <w:pPr>
        <w:pStyle w:val="NormalBodyText"/>
        <w:numPr>
          <w:ilvl w:val="0"/>
          <w:numId w:val="0"/>
        </w:numPr>
        <w:sectPr w:rsidR="000629DE" w:rsidSect="004B5424">
          <w:pgSz w:w="11907" w:h="16840" w:code="9"/>
          <w:pgMar w:top="1701" w:right="850" w:bottom="1134" w:left="851" w:header="567" w:footer="567" w:gutter="0"/>
          <w:pgNumType w:start="1"/>
          <w:cols w:space="720"/>
          <w:docGrid w:linePitch="326"/>
        </w:sectPr>
      </w:pPr>
    </w:p>
    <w:bookmarkEnd w:id="3"/>
    <w:bookmarkEnd w:id="4"/>
    <w:bookmarkEnd w:id="5"/>
    <w:bookmarkEnd w:id="6"/>
    <w:bookmarkEnd w:id="7"/>
    <w:bookmarkEnd w:id="8"/>
    <w:bookmarkEnd w:id="9"/>
    <w:p w:rsidR="00595F0F" w:rsidRDefault="00595F0F" w:rsidP="00595F0F">
      <w:pPr>
        <w:pStyle w:val="Heading2"/>
        <w:numPr>
          <w:ilvl w:val="0"/>
          <w:numId w:val="0"/>
        </w:numPr>
        <w:ind w:left="567" w:hanging="567"/>
      </w:pPr>
      <w:r>
        <w:t>Working arrangements:</w:t>
      </w:r>
    </w:p>
    <w:p w:rsidR="00595F0F" w:rsidRDefault="00595F0F" w:rsidP="00595F0F">
      <w:pPr>
        <w:pStyle w:val="NormalBodyText"/>
        <w:numPr>
          <w:ilvl w:val="0"/>
          <w:numId w:val="0"/>
        </w:numPr>
      </w:pPr>
      <w:r>
        <w:t xml:space="preserve">The following </w:t>
      </w:r>
      <w:r w:rsidR="00A760A1">
        <w:t xml:space="preserve">contact </w:t>
      </w:r>
      <w:r>
        <w:t>arrangements have been agreed:</w:t>
      </w:r>
    </w:p>
    <w:p w:rsidR="00595F0F" w:rsidRDefault="00595F0F" w:rsidP="00595F0F">
      <w:pPr>
        <w:pStyle w:val="NormalBodyText"/>
        <w:numPr>
          <w:ilvl w:val="0"/>
          <w:numId w:val="16"/>
        </w:numPr>
        <w:jc w:val="both"/>
      </w:pPr>
      <w:r>
        <w:t>Antonia Dickman will be the overall project manager for the study, responsible for day to day contact with DECC and also delivery of weekly update emails</w:t>
      </w:r>
      <w:r w:rsidR="00A760A1">
        <w:t>. Other key members of the Ipsos MORI and UCL team (and contacts to be copied in on all communication) are set out below.</w:t>
      </w:r>
    </w:p>
    <w:p w:rsidR="00595F0F" w:rsidRDefault="00A760A1" w:rsidP="00A760A1">
      <w:pPr>
        <w:pStyle w:val="NormalBodyText"/>
        <w:numPr>
          <w:ilvl w:val="0"/>
          <w:numId w:val="16"/>
        </w:numPr>
        <w:jc w:val="both"/>
      </w:pPr>
      <w:r>
        <w:t xml:space="preserve">DECC provided the following table of key contact details advising all emails are distributed to these contacts to ensure </w:t>
      </w:r>
      <w:r w:rsidRPr="00A760A1">
        <w:t>everyone is kept sighted on developments and absences</w:t>
      </w:r>
      <w:r>
        <w:t xml:space="preserve"> are covered.</w:t>
      </w:r>
    </w:p>
    <w:tbl>
      <w:tblPr>
        <w:tblW w:w="7054" w:type="dxa"/>
        <w:tblCellMar>
          <w:left w:w="0" w:type="dxa"/>
          <w:right w:w="0" w:type="dxa"/>
        </w:tblCellMar>
        <w:tblLook w:val="04A0" w:firstRow="1" w:lastRow="0" w:firstColumn="1" w:lastColumn="0" w:noHBand="0" w:noVBand="1"/>
      </w:tblPr>
      <w:tblGrid>
        <w:gridCol w:w="1668"/>
        <w:gridCol w:w="5386"/>
      </w:tblGrid>
      <w:tr w:rsidR="00F120B6" w:rsidTr="00F120B6">
        <w:tc>
          <w:tcPr>
            <w:tcW w:w="1668"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b/>
                <w:bCs/>
                <w:szCs w:val="20"/>
                <w:lang w:eastAsia="en-US"/>
              </w:rPr>
            </w:pPr>
            <w:r w:rsidRPr="00595F0F">
              <w:rPr>
                <w:rFonts w:asciiTheme="minorHAnsi" w:hAnsiTheme="minorHAnsi" w:cstheme="minorHAnsi"/>
                <w:b/>
                <w:bCs/>
                <w:szCs w:val="20"/>
                <w:lang w:eastAsia="en-US"/>
              </w:rPr>
              <w:t>Key contact</w:t>
            </w:r>
          </w:p>
        </w:tc>
        <w:tc>
          <w:tcPr>
            <w:tcW w:w="538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b/>
                <w:bCs/>
                <w:szCs w:val="20"/>
                <w:lang w:eastAsia="en-US"/>
              </w:rPr>
            </w:pPr>
            <w:r w:rsidRPr="00595F0F">
              <w:rPr>
                <w:rFonts w:asciiTheme="minorHAnsi" w:hAnsiTheme="minorHAnsi" w:cstheme="minorHAnsi"/>
                <w:b/>
                <w:bCs/>
                <w:szCs w:val="20"/>
                <w:lang w:eastAsia="en-US"/>
              </w:rPr>
              <w:t>Role</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 xml:space="preserve">Martin Adams </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Policy Lead</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Nina Webber</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Policy Advisor</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Henry Cormack</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 xml:space="preserve">Economic Advisor </w:t>
            </w:r>
            <w:r w:rsidRPr="009A1E57">
              <w:rPr>
                <w:rFonts w:asciiTheme="minorHAnsi" w:hAnsiTheme="minorHAnsi" w:cstheme="minorHAnsi"/>
                <w:szCs w:val="20"/>
                <w:lang w:eastAsia="en-US"/>
              </w:rPr>
              <w:t>(note that at some point Henry will handover this role)</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Daniel Alford</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Social Research Manager (until end April)</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Laura Edwards</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Social Research Manager (from start May)</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Jack Williams</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9A1E57">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 xml:space="preserve">Social Researcher (until end </w:t>
            </w:r>
            <w:r>
              <w:rPr>
                <w:rFonts w:asciiTheme="minorHAnsi" w:hAnsiTheme="minorHAnsi" w:cstheme="minorHAnsi"/>
                <w:szCs w:val="20"/>
                <w:lang w:eastAsia="en-US"/>
              </w:rPr>
              <w:t>July</w:t>
            </w:r>
            <w:r w:rsidRPr="00595F0F">
              <w:rPr>
                <w:rFonts w:asciiTheme="minorHAnsi" w:hAnsiTheme="minorHAnsi" w:cstheme="minorHAnsi"/>
                <w:szCs w:val="20"/>
                <w:lang w:eastAsia="en-US"/>
              </w:rPr>
              <w:t>)</w:t>
            </w:r>
          </w:p>
        </w:tc>
      </w:tr>
      <w:tr w:rsidR="00F120B6" w:rsidTr="00F120B6">
        <w:tc>
          <w:tcPr>
            <w:tcW w:w="1668"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b/>
                <w:bCs/>
                <w:szCs w:val="20"/>
                <w:lang w:eastAsia="en-US"/>
              </w:rPr>
            </w:pPr>
            <w:r w:rsidRPr="00595F0F">
              <w:rPr>
                <w:rFonts w:asciiTheme="minorHAnsi" w:hAnsiTheme="minorHAnsi" w:cstheme="minorHAnsi"/>
                <w:b/>
                <w:bCs/>
                <w:szCs w:val="20"/>
                <w:lang w:eastAsia="en-US"/>
              </w:rPr>
              <w:t>Key contact</w:t>
            </w:r>
          </w:p>
        </w:tc>
        <w:tc>
          <w:tcPr>
            <w:tcW w:w="538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b/>
                <w:bCs/>
                <w:szCs w:val="20"/>
                <w:lang w:eastAsia="en-US"/>
              </w:rPr>
            </w:pPr>
            <w:r w:rsidRPr="00595F0F">
              <w:rPr>
                <w:rFonts w:asciiTheme="minorHAnsi" w:hAnsiTheme="minorHAnsi" w:cstheme="minorHAnsi"/>
                <w:b/>
                <w:bCs/>
                <w:szCs w:val="20"/>
                <w:lang w:eastAsia="en-US"/>
              </w:rPr>
              <w:t>Role</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 xml:space="preserve">Antonia Dickman </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Evaluation manager (main point of day-to-day contact)</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Chris Hale</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Evaluation Director (leading impact and additionality work)</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Matt Bristow</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Primary Research Lead</w:t>
            </w:r>
          </w:p>
        </w:tc>
      </w:tr>
      <w:tr w:rsidR="00F120B6" w:rsidTr="00F120B6">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Paul Ruyssevelt</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120B6" w:rsidRPr="00595F0F" w:rsidRDefault="00F120B6" w:rsidP="007005B3">
            <w:pPr>
              <w:spacing w:after="180"/>
              <w:rPr>
                <w:rFonts w:asciiTheme="minorHAnsi" w:eastAsiaTheme="minorHAnsi" w:hAnsiTheme="minorHAnsi" w:cstheme="minorHAnsi"/>
                <w:szCs w:val="20"/>
                <w:lang w:eastAsia="en-US"/>
              </w:rPr>
            </w:pPr>
            <w:r w:rsidRPr="00595F0F">
              <w:rPr>
                <w:rFonts w:asciiTheme="minorHAnsi" w:hAnsiTheme="minorHAnsi" w:cstheme="minorHAnsi"/>
                <w:szCs w:val="20"/>
                <w:lang w:eastAsia="en-US"/>
              </w:rPr>
              <w:t>UCL team lead</w:t>
            </w:r>
          </w:p>
        </w:tc>
      </w:tr>
    </w:tbl>
    <w:p w:rsidR="00A760A1" w:rsidRDefault="00A760A1" w:rsidP="000629DE">
      <w:pPr>
        <w:pStyle w:val="NormalBodyText"/>
        <w:numPr>
          <w:ilvl w:val="0"/>
          <w:numId w:val="0"/>
        </w:numPr>
      </w:pPr>
    </w:p>
    <w:p w:rsidR="004D2485" w:rsidRDefault="00A760A1" w:rsidP="000629DE">
      <w:pPr>
        <w:pStyle w:val="NormalBodyText"/>
        <w:numPr>
          <w:ilvl w:val="0"/>
          <w:numId w:val="0"/>
        </w:numPr>
      </w:pPr>
      <w:r>
        <w:t xml:space="preserve">Beyond the core DECC team it is likely that a Steering Group and/or Expert Advisory Panel will be re-convened (composition of the groups involved in the policy design phase to be considered by DECC </w:t>
      </w:r>
      <w:r w:rsidR="009A1E57">
        <w:t xml:space="preserve">and refreshed as appropriate). </w:t>
      </w:r>
    </w:p>
    <w:sectPr w:rsidR="004D2485" w:rsidSect="00867C02">
      <w:pgSz w:w="11907" w:h="16840" w:code="9"/>
      <w:pgMar w:top="1701" w:right="850" w:bottom="1134" w:left="851"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99D" w:rsidRDefault="007F399D">
      <w:r>
        <w:separator/>
      </w:r>
    </w:p>
    <w:p w:rsidR="007F399D" w:rsidRDefault="007F399D"/>
    <w:p w:rsidR="007F399D" w:rsidRDefault="007F399D" w:rsidP="00815DB5"/>
    <w:p w:rsidR="007F399D" w:rsidRDefault="007F399D"/>
  </w:endnote>
  <w:endnote w:type="continuationSeparator" w:id="0">
    <w:p w:rsidR="007F399D" w:rsidRDefault="007F399D">
      <w:r>
        <w:continuationSeparator/>
      </w:r>
    </w:p>
    <w:p w:rsidR="007F399D" w:rsidRDefault="007F399D"/>
    <w:p w:rsidR="007F399D" w:rsidRDefault="007F399D" w:rsidP="00815DB5"/>
    <w:p w:rsidR="007F399D" w:rsidRDefault="007F3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TCAvantGardeStd-Bold">
    <w:altName w:val="Bell MT"/>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1B514F6-B803-4470-BC1C-D8E92B20DED4}"/>
    <w:embedBold r:id="rId2" w:fontKey="{5817B4A2-4305-4A52-843C-395BEA8F7DB8}"/>
  </w:font>
  <w:font w:name="Wingdings">
    <w:panose1 w:val="05000000000000000000"/>
    <w:charset w:val="02"/>
    <w:family w:val="auto"/>
    <w:pitch w:val="variable"/>
    <w:sig w:usb0="00000000" w:usb1="10000000" w:usb2="00000000" w:usb3="00000000" w:csb0="80000000"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ITCAvantGardeStd-Md">
    <w:altName w:val="Century Gothic"/>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embedRegular r:id="rId3" w:fontKey="{65C65C6B-CAC0-4C39-AAFB-57DC9A4B2C49}"/>
  </w:font>
  <w:font w:name="Tahoma">
    <w:panose1 w:val="020B0604030504040204"/>
    <w:charset w:val="00"/>
    <w:family w:val="swiss"/>
    <w:pitch w:val="variable"/>
    <w:sig w:usb0="E1002EFF" w:usb1="C000605B" w:usb2="00000029" w:usb3="00000000" w:csb0="000101FF" w:csb1="00000000"/>
    <w:embedRegular r:id="rId4" w:fontKey="{0D53642E-46C1-4890-9450-68BEDC7E2CEB}"/>
  </w:font>
  <w:font w:name="AvantGarde Bd BT">
    <w:altName w:val="Arial"/>
    <w:charset w:val="00"/>
    <w:family w:val="swiss"/>
    <w:pitch w:val="variable"/>
    <w:sig w:usb0="00000087" w:usb1="00000000" w:usb2="00000000" w:usb3="00000000" w:csb0="0000001B" w:csb1="00000000"/>
  </w:font>
  <w:font w:name="AvantGarde Bk BT">
    <w:altName w:val="Century Gothic"/>
    <w:charset w:val="00"/>
    <w:family w:val="swiss"/>
    <w:pitch w:val="variable"/>
    <w:sig w:usb0="00000087" w:usb1="00000000" w:usb2="00000000" w:usb3="00000000" w:csb0="0000001B" w:csb1="00000000"/>
  </w:font>
  <w:font w:name="ArialM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005060A0-6C56-464B-9BD3-63DCA6EF3451}"/>
    <w:embedBold r:id="rId6" w:fontKey="{5D6754C0-541F-48B5-85EF-2DF7ED71B2C3}"/>
  </w:font>
  <w:font w:name="MS Gothic">
    <w:altName w:val="ＭＳ ゴシック"/>
    <w:panose1 w:val="020B0609070205080204"/>
    <w:charset w:val="80"/>
    <w:family w:val="modern"/>
    <w:pitch w:val="fixed"/>
    <w:sig w:usb0="E00002FF" w:usb1="6AC7FDFB" w:usb2="00000012" w:usb3="00000000" w:csb0="0002009F" w:csb1="00000000"/>
  </w:font>
  <w:font w:name="Arial MT Light">
    <w:altName w:val="Myriad Web Pro"/>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99D" w:rsidRPr="00030A88" w:rsidRDefault="007F399D">
      <w:r w:rsidRPr="00030A88">
        <w:separator/>
      </w:r>
    </w:p>
  </w:footnote>
  <w:footnote w:type="continuationSeparator" w:id="0">
    <w:p w:rsidR="007F399D" w:rsidRPr="0036539C" w:rsidRDefault="007F399D">
      <w:r w:rsidRPr="0036539C">
        <w:continuationSeparator/>
      </w:r>
    </w:p>
  </w:footnote>
  <w:footnote w:type="continuationNotice" w:id="1">
    <w:p w:rsidR="007F399D" w:rsidRDefault="007F39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C15" w:rsidRDefault="00427C15" w:rsidP="00E64981">
    <w:r>
      <w:rPr>
        <w:noProof/>
      </w:rPr>
      <mc:AlternateContent>
        <mc:Choice Requires="wps">
          <w:drawing>
            <wp:anchor distT="0" distB="0" distL="114300" distR="114300" simplePos="0" relativeHeight="251659264" behindDoc="0" locked="0" layoutInCell="1" allowOverlap="1" wp14:anchorId="1B8E7C23" wp14:editId="443D09A8">
              <wp:simplePos x="0" y="0"/>
              <wp:positionH relativeFrom="page">
                <wp:posOffset>0</wp:posOffset>
              </wp:positionH>
              <wp:positionV relativeFrom="page">
                <wp:posOffset>0</wp:posOffset>
              </wp:positionV>
              <wp:extent cx="7560000" cy="10693400"/>
              <wp:effectExtent l="0" t="0" r="0" b="0"/>
              <wp:wrapNone/>
              <wp:docPr id="27" name="AppendixBackground"/>
              <wp:cNvGraphicFramePr/>
              <a:graphic xmlns:a="http://schemas.openxmlformats.org/drawingml/2006/main">
                <a:graphicData uri="http://schemas.microsoft.com/office/word/2010/wordprocessingShape">
                  <wps:wsp>
                    <wps:cNvSpPr/>
                    <wps:spPr>
                      <a:xfrm>
                        <a:off x="0" y="0"/>
                        <a:ext cx="7560000" cy="1069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tblBorders>
                            <w:shd w:val="clear" w:color="auto" w:fill="82B3D3"/>
                            <w:tblLook w:val="04A0" w:firstRow="1" w:lastRow="0" w:firstColumn="1" w:lastColumn="0" w:noHBand="0" w:noVBand="1"/>
                          </w:tblPr>
                          <w:tblGrid>
                            <w:gridCol w:w="9530"/>
                            <w:gridCol w:w="675"/>
                          </w:tblGrid>
                          <w:tr w:rsidR="00427C15" w:rsidTr="00A17607">
                            <w:trPr>
                              <w:trHeight w:val="340"/>
                              <w:jc w:val="center"/>
                            </w:trPr>
                            <w:tc>
                              <w:tcPr>
                                <w:tcW w:w="9530" w:type="dxa"/>
                                <w:tcBorders>
                                  <w:top w:val="nil"/>
                                  <w:bottom w:val="nil"/>
                                  <w:right w:val="single" w:sz="4" w:space="0" w:color="FFFFFF" w:themeColor="background1"/>
                                </w:tcBorders>
                                <w:shd w:val="clear" w:color="auto" w:fill="82B3D3"/>
                                <w:vAlign w:val="center"/>
                              </w:tcPr>
                              <w:p w:rsidR="00427C15" w:rsidRPr="009F365E" w:rsidRDefault="00427C15" w:rsidP="009F365E">
                                <w:pPr>
                                  <w:rPr>
                                    <w:rFonts w:ascii="ITCAvantGardeStd-Md" w:hAnsi="ITCAvantGardeStd-Md"/>
                                    <w:color w:val="FFFFFF"/>
                                    <w:sz w:val="14"/>
                                    <w:szCs w:val="14"/>
                                  </w:rPr>
                                </w:pPr>
                                <w:r>
                                  <w:rPr>
                                    <w:rFonts w:ascii="ITCAvantGardeStd-Md" w:hAnsi="ITCAvantGardeStd-Md"/>
                                    <w:color w:val="FFFFFF"/>
                                    <w:sz w:val="14"/>
                                    <w:szCs w:val="14"/>
                                  </w:rPr>
                                  <w:t>ESOS Evaluation: Inception note</w:t>
                                </w:r>
                              </w:p>
                            </w:tc>
                            <w:tc>
                              <w:tcPr>
                                <w:tcW w:w="675" w:type="dxa"/>
                                <w:tcBorders>
                                  <w:left w:val="single" w:sz="4" w:space="0" w:color="FFFFFF" w:themeColor="background1"/>
                                </w:tcBorders>
                                <w:shd w:val="clear" w:color="auto" w:fill="82B3D3"/>
                                <w:vAlign w:val="center"/>
                              </w:tcPr>
                              <w:p w:rsidR="00427C15" w:rsidRDefault="00427C15" w:rsidP="00656C2C">
                                <w:pPr>
                                  <w:jc w:val="right"/>
                                </w:pPr>
                                <w:r w:rsidRPr="005C3284">
                                  <w:rPr>
                                    <w:rFonts w:ascii="ITCAvantGardeStd-Md" w:hAnsi="ITCAvantGardeStd-Md"/>
                                    <w:color w:val="FFFFFF"/>
                                    <w:szCs w:val="20"/>
                                  </w:rPr>
                                  <w:fldChar w:fldCharType="begin"/>
                                </w:r>
                                <w:r w:rsidRPr="005C3284">
                                  <w:rPr>
                                    <w:rFonts w:ascii="ITCAvantGardeStd-Md" w:hAnsi="ITCAvantGardeStd-Md"/>
                                    <w:color w:val="FFFFFF"/>
                                    <w:szCs w:val="20"/>
                                  </w:rPr>
                                  <w:instrText xml:space="preserve"> PAGE   \* MERGEFORMAT </w:instrText>
                                </w:r>
                                <w:r w:rsidRPr="005C3284">
                                  <w:rPr>
                                    <w:rFonts w:ascii="ITCAvantGardeStd-Md" w:hAnsi="ITCAvantGardeStd-Md"/>
                                    <w:color w:val="FFFFFF"/>
                                    <w:szCs w:val="20"/>
                                  </w:rPr>
                                  <w:fldChar w:fldCharType="separate"/>
                                </w:r>
                                <w:r w:rsidR="00736932" w:rsidRPr="00736932">
                                  <w:rPr>
                                    <w:rFonts w:ascii="ITCAvantGardeStd-Md" w:hAnsi="ITCAvantGardeStd-Md"/>
                                    <w:noProof/>
                                    <w:color w:val="FFFFFF"/>
                                    <w:sz w:val="22"/>
                                  </w:rPr>
                                  <w:t>2</w:t>
                                </w:r>
                                <w:r w:rsidRPr="005C3284">
                                  <w:rPr>
                                    <w:rFonts w:ascii="ITCAvantGardeStd-Md" w:hAnsi="ITCAvantGardeStd-Md"/>
                                    <w:color w:val="FFFFFF"/>
                                    <w:szCs w:val="20"/>
                                  </w:rPr>
                                  <w:fldChar w:fldCharType="end"/>
                                </w:r>
                              </w:p>
                            </w:tc>
                          </w:tr>
                        </w:tbl>
                        <w:p w:rsidR="00427C15" w:rsidRDefault="00427C15" w:rsidP="00406146"/>
                        <w:p w:rsidR="00427C15" w:rsidRPr="00731C14" w:rsidRDefault="00427C15" w:rsidP="00BF76C9">
                          <w:pPr>
                            <w:spacing w:before="14800"/>
                            <w:ind w:left="737" w:right="4082"/>
                            <w:rPr>
                              <w:sz w:val="13"/>
                              <w:szCs w:val="13"/>
                            </w:rPr>
                          </w:pPr>
                          <w:bookmarkStart w:id="10" w:name="AppendixFooter"/>
                          <w:r w:rsidRPr="00731C14">
                            <w:rPr>
                              <w:sz w:val="13"/>
                              <w:szCs w:val="13"/>
                            </w:rPr>
                            <w:t>[</w:t>
                          </w:r>
                          <w:r w:rsidRPr="00AE5E49">
                            <w:rPr>
                              <w:sz w:val="13"/>
                              <w:szCs w:val="13"/>
                            </w:rPr>
                            <w:t>15-021084-0</w:t>
                          </w:r>
                          <w:r>
                            <w:rPr>
                              <w:sz w:val="13"/>
                              <w:szCs w:val="13"/>
                            </w:rPr>
                            <w:t>1</w:t>
                          </w:r>
                          <w:r w:rsidRPr="00731C14">
                            <w:rPr>
                              <w:sz w:val="13"/>
                              <w:szCs w:val="13"/>
                            </w:rPr>
                            <w:t>] | [version</w:t>
                          </w:r>
                          <w:r>
                            <w:rPr>
                              <w:sz w:val="13"/>
                              <w:szCs w:val="13"/>
                            </w:rPr>
                            <w:t xml:space="preserve"> 1</w:t>
                          </w:r>
                          <w:r w:rsidRPr="00731C14">
                            <w:rPr>
                              <w:sz w:val="13"/>
                              <w:szCs w:val="13"/>
                            </w:rPr>
                            <w:t>] | [</w:t>
                          </w:r>
                          <w:r>
                            <w:rPr>
                              <w:sz w:val="13"/>
                              <w:szCs w:val="13"/>
                            </w:rPr>
                            <w:t>internal / client use only</w:t>
                          </w:r>
                          <w:r w:rsidRPr="00731C14">
                            <w:rPr>
                              <w:sz w:val="13"/>
                              <w:szCs w:val="13"/>
                            </w:rPr>
                            <w:t>]</w:t>
                          </w:r>
                        </w:p>
                        <w:bookmarkEnd w:id="10"/>
                        <w:p w:rsidR="00427C15" w:rsidRDefault="00427C15" w:rsidP="00406146"/>
                      </w:txbxContent>
                    </wps:txbx>
                    <wps:bodyPr rot="0" spcFirstLastPara="0" vertOverflow="overflow" horzOverflow="overflow" vert="horz" wrap="square" lIns="90000" tIns="36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AppendixBackground" o:spid="_x0000_s1028" style="position:absolute;margin-left:0;margin-top:0;width:595.3pt;height:8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" filled="f" stroked="f" strokeweight="2pt">
              <v:textbox inset="2.5mm,10mm">
                <w:txbxContent>
                  <w:tbl>
                    <w:tblPr>
                      <w:tblStyle w:val="TableGrid"/>
                      <w:tblW w:w="0" w:type="auto"/>
                      <w:jc w:val="center"/>
                      <w:tblBorders>
                        <w:top w:val="none" w:sz="0" w:space="0" w:color="auto"/>
                        <w:left w:val="none" w:sz="0" w:space="0" w:color="auto"/>
                        <w:bottom w:val="none" w:sz="0" w:space="0" w:color="auto"/>
                        <w:right w:val="none" w:sz="0" w:space="0" w:color="auto"/>
                      </w:tblBorders>
                      <w:shd w:val="clear" w:color="auto" w:fill="82B3D3"/>
                      <w:tblLook w:val="04A0" w:firstRow="1" w:lastRow="0" w:firstColumn="1" w:lastColumn="0" w:noHBand="0" w:noVBand="1"/>
                    </w:tblPr>
                    <w:tblGrid>
                      <w:gridCol w:w="9530"/>
                      <w:gridCol w:w="675"/>
                    </w:tblGrid>
                    <w:tr w:rsidR="00427C15" w:rsidTr="00A17607">
                      <w:trPr>
                        <w:trHeight w:val="340"/>
                        <w:jc w:val="center"/>
                      </w:trPr>
                      <w:tc>
                        <w:tcPr>
                          <w:tcW w:w="9530" w:type="dxa"/>
                          <w:tcBorders>
                            <w:top w:val="nil"/>
                            <w:bottom w:val="nil"/>
                            <w:right w:val="single" w:sz="4" w:space="0" w:color="FFFFFF" w:themeColor="background1"/>
                          </w:tcBorders>
                          <w:shd w:val="clear" w:color="auto" w:fill="82B3D3"/>
                          <w:vAlign w:val="center"/>
                        </w:tcPr>
                        <w:p w:rsidR="00427C15" w:rsidRPr="009F365E" w:rsidRDefault="00427C15" w:rsidP="009F365E">
                          <w:pPr>
                            <w:rPr>
                              <w:rFonts w:ascii="ITCAvantGardeStd-Md" w:hAnsi="ITCAvantGardeStd-Md"/>
                              <w:color w:val="FFFFFF"/>
                              <w:sz w:val="14"/>
                              <w:szCs w:val="14"/>
                            </w:rPr>
                          </w:pPr>
                          <w:r>
                            <w:rPr>
                              <w:rFonts w:ascii="ITCAvantGardeStd-Md" w:hAnsi="ITCAvantGardeStd-Md"/>
                              <w:color w:val="FFFFFF"/>
                              <w:sz w:val="14"/>
                              <w:szCs w:val="14"/>
                            </w:rPr>
                            <w:t>ESOS Evaluation: Inception note</w:t>
                          </w:r>
                        </w:p>
                      </w:tc>
                      <w:tc>
                        <w:tcPr>
                          <w:tcW w:w="675" w:type="dxa"/>
                          <w:tcBorders>
                            <w:left w:val="single" w:sz="4" w:space="0" w:color="FFFFFF" w:themeColor="background1"/>
                          </w:tcBorders>
                          <w:shd w:val="clear" w:color="auto" w:fill="82B3D3"/>
                          <w:vAlign w:val="center"/>
                        </w:tcPr>
                        <w:p w:rsidR="00427C15" w:rsidRDefault="00427C15" w:rsidP="00656C2C">
                          <w:pPr>
                            <w:jc w:val="right"/>
                          </w:pPr>
                          <w:r w:rsidRPr="005C3284">
                            <w:rPr>
                              <w:rFonts w:ascii="ITCAvantGardeStd-Md" w:hAnsi="ITCAvantGardeStd-Md"/>
                              <w:color w:val="FFFFFF"/>
                              <w:szCs w:val="20"/>
                            </w:rPr>
                            <w:fldChar w:fldCharType="begin"/>
                          </w:r>
                          <w:r w:rsidRPr="005C3284">
                            <w:rPr>
                              <w:rFonts w:ascii="ITCAvantGardeStd-Md" w:hAnsi="ITCAvantGardeStd-Md"/>
                              <w:color w:val="FFFFFF"/>
                              <w:szCs w:val="20"/>
                            </w:rPr>
                            <w:instrText xml:space="preserve"> PAGE   \* MERGEFORMAT </w:instrText>
                          </w:r>
                          <w:r w:rsidRPr="005C3284">
                            <w:rPr>
                              <w:rFonts w:ascii="ITCAvantGardeStd-Md" w:hAnsi="ITCAvantGardeStd-Md"/>
                              <w:color w:val="FFFFFF"/>
                              <w:szCs w:val="20"/>
                            </w:rPr>
                            <w:fldChar w:fldCharType="separate"/>
                          </w:r>
                          <w:r w:rsidR="00736932" w:rsidRPr="00736932">
                            <w:rPr>
                              <w:rFonts w:ascii="ITCAvantGardeStd-Md" w:hAnsi="ITCAvantGardeStd-Md"/>
                              <w:noProof/>
                              <w:color w:val="FFFFFF"/>
                              <w:sz w:val="22"/>
                            </w:rPr>
                            <w:t>2</w:t>
                          </w:r>
                          <w:r w:rsidRPr="005C3284">
                            <w:rPr>
                              <w:rFonts w:ascii="ITCAvantGardeStd-Md" w:hAnsi="ITCAvantGardeStd-Md"/>
                              <w:color w:val="FFFFFF"/>
                              <w:szCs w:val="20"/>
                            </w:rPr>
                            <w:fldChar w:fldCharType="end"/>
                          </w:r>
                        </w:p>
                      </w:tc>
                    </w:tr>
                  </w:tbl>
                  <w:p w:rsidR="00427C15" w:rsidRDefault="00427C15" w:rsidP="00406146"/>
                  <w:p w:rsidR="00427C15" w:rsidRPr="00731C14" w:rsidRDefault="00427C15" w:rsidP="00BF76C9">
                    <w:pPr>
                      <w:spacing w:before="14800"/>
                      <w:ind w:left="737" w:right="4082"/>
                      <w:rPr>
                        <w:sz w:val="13"/>
                        <w:szCs w:val="13"/>
                      </w:rPr>
                    </w:pPr>
                    <w:bookmarkStart w:id="11" w:name="AppendixFooter"/>
                    <w:r w:rsidRPr="00731C14">
                      <w:rPr>
                        <w:sz w:val="13"/>
                        <w:szCs w:val="13"/>
                      </w:rPr>
                      <w:t>[</w:t>
                    </w:r>
                    <w:r w:rsidRPr="00AE5E49">
                      <w:rPr>
                        <w:sz w:val="13"/>
                        <w:szCs w:val="13"/>
                      </w:rPr>
                      <w:t>15-021084-0</w:t>
                    </w:r>
                    <w:r>
                      <w:rPr>
                        <w:sz w:val="13"/>
                        <w:szCs w:val="13"/>
                      </w:rPr>
                      <w:t>1</w:t>
                    </w:r>
                    <w:r w:rsidRPr="00731C14">
                      <w:rPr>
                        <w:sz w:val="13"/>
                        <w:szCs w:val="13"/>
                      </w:rPr>
                      <w:t>] | [version</w:t>
                    </w:r>
                    <w:r>
                      <w:rPr>
                        <w:sz w:val="13"/>
                        <w:szCs w:val="13"/>
                      </w:rPr>
                      <w:t xml:space="preserve"> 1</w:t>
                    </w:r>
                    <w:r w:rsidRPr="00731C14">
                      <w:rPr>
                        <w:sz w:val="13"/>
                        <w:szCs w:val="13"/>
                      </w:rPr>
                      <w:t>] | [</w:t>
                    </w:r>
                    <w:r>
                      <w:rPr>
                        <w:sz w:val="13"/>
                        <w:szCs w:val="13"/>
                      </w:rPr>
                      <w:t>internal / client use only</w:t>
                    </w:r>
                    <w:r w:rsidRPr="00731C14">
                      <w:rPr>
                        <w:sz w:val="13"/>
                        <w:szCs w:val="13"/>
                      </w:rPr>
                      <w:t>]</w:t>
                    </w:r>
                  </w:p>
                  <w:bookmarkEnd w:id="11"/>
                  <w:p w:rsidR="00427C15" w:rsidRDefault="00427C15" w:rsidP="00406146"/>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32C"/>
    <w:multiLevelType w:val="multilevel"/>
    <w:tmpl w:val="511CEE02"/>
    <w:lvl w:ilvl="0">
      <w:start w:val="1"/>
      <w:numFmt w:val="decimal"/>
      <w:pStyle w:val="Heading1"/>
      <w:lvlText w:val="%1"/>
      <w:lvlJc w:val="left"/>
      <w:pPr>
        <w:tabs>
          <w:tab w:val="num" w:pos="624"/>
        </w:tabs>
        <w:ind w:left="624" w:hanging="624"/>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51D67DC"/>
    <w:multiLevelType w:val="multilevel"/>
    <w:tmpl w:val="A04C1DB2"/>
    <w:styleLink w:val="Bodybullets"/>
    <w:lvl w:ilvl="0">
      <w:start w:val="1"/>
      <w:numFmt w:val="bullet"/>
      <w:pStyle w:val="BulletLevel1"/>
      <w:lvlText w:val=""/>
      <w:lvlJc w:val="left"/>
      <w:pPr>
        <w:ind w:left="567" w:hanging="283"/>
      </w:pPr>
      <w:rPr>
        <w:rFonts w:ascii="Symbol" w:hAnsi="Symbol" w:hint="default"/>
        <w:color w:val="3E3D40"/>
      </w:rPr>
    </w:lvl>
    <w:lvl w:ilvl="1">
      <w:start w:val="1"/>
      <w:numFmt w:val="bullet"/>
      <w:pStyle w:val="BulletLevel2"/>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5208FB"/>
    <w:multiLevelType w:val="multilevel"/>
    <w:tmpl w:val="0E44BCF2"/>
    <w:styleLink w:val="JayeshNavinShahEasterEgg"/>
    <w:lvl w:ilvl="0">
      <w:start w:val="1"/>
      <w:numFmt w:val="none"/>
      <w:pStyle w:val="NormalBodyText"/>
      <w:suff w:val="nothing"/>
      <w:lvlText w:val=""/>
      <w:lvlJc w:val="left"/>
      <w:pPr>
        <w:ind w:left="0" w:firstLine="0"/>
      </w:pPr>
      <w:rPr>
        <w:rFonts w:hint="default"/>
      </w:rPr>
    </w:lvl>
    <w:lvl w:ilvl="1">
      <w:start w:val="1"/>
      <w:numFmt w:val="decimal"/>
      <w:pStyle w:val="NumberedListLevel1"/>
      <w:lvlText w:val="%2"/>
      <w:lvlJc w:val="left"/>
      <w:pPr>
        <w:ind w:left="567" w:hanging="283"/>
      </w:pPr>
      <w:rPr>
        <w:rFonts w:ascii="ITCAvantGardeStd-Bold" w:hAnsi="ITCAvantGardeStd-Bold" w:hint="default"/>
        <w:color w:val="3E3D40"/>
      </w:rPr>
    </w:lvl>
    <w:lvl w:ilvl="2">
      <w:start w:val="1"/>
      <w:numFmt w:val="bullet"/>
      <w:pStyle w:val="NumberedListLev2"/>
      <w:lvlText w:val="o"/>
      <w:lvlJc w:val="left"/>
      <w:pPr>
        <w:ind w:left="851" w:hanging="284"/>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DD4DB6"/>
    <w:multiLevelType w:val="hybridMultilevel"/>
    <w:tmpl w:val="0FA6B958"/>
    <w:lvl w:ilvl="0" w:tplc="04187FA8">
      <w:start w:val="1"/>
      <w:numFmt w:val="decimal"/>
      <w:pStyle w:val="NumberedListLevel1Cool"/>
      <w:lvlText w:val="%1"/>
      <w:lvlJc w:val="left"/>
      <w:pPr>
        <w:ind w:left="644" w:hanging="360"/>
      </w:pPr>
      <w:rPr>
        <w:rFonts w:ascii="ITCAvantGardeStd-Bold" w:hAnsi="ITCAvantGardeStd-Bold" w:hint="default"/>
        <w:b/>
        <w:bCs w:val="0"/>
        <w:i w:val="0"/>
        <w:iCs w:val="0"/>
        <w:caps w:val="0"/>
        <w:strike w:val="0"/>
        <w:dstrike w:val="0"/>
        <w:vanish w:val="0"/>
        <w:color w:val="82B3D3"/>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21A740F0"/>
    <w:multiLevelType w:val="multilevel"/>
    <w:tmpl w:val="0EF2A26E"/>
    <w:styleLink w:val="Style1"/>
    <w:lvl w:ilvl="0">
      <w:start w:val="1"/>
      <w:numFmt w:val="decimal"/>
      <w:lvlText w:val="%1"/>
      <w:lvlJc w:val="left"/>
      <w:pPr>
        <w:ind w:left="360" w:hanging="360"/>
      </w:pPr>
      <w:rPr>
        <w:rFonts w:hint="default"/>
      </w:rPr>
    </w:lvl>
    <w:lvl w:ilvl="1">
      <w:start w:val="1"/>
      <w:numFmt w:val="decimal"/>
      <w:lvlText w:val="%1.%2"/>
      <w:lvlJc w:val="left"/>
      <w:pPr>
        <w:ind w:left="57" w:hanging="57"/>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nsid w:val="21FF65C0"/>
    <w:multiLevelType w:val="hybridMultilevel"/>
    <w:tmpl w:val="030E6762"/>
    <w:lvl w:ilvl="0" w:tplc="3AC27FEC">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7116EB9"/>
    <w:multiLevelType w:val="hybridMultilevel"/>
    <w:tmpl w:val="F78075EC"/>
    <w:lvl w:ilvl="0" w:tplc="3AC27FEC">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DD3EB7"/>
    <w:multiLevelType w:val="hybridMultilevel"/>
    <w:tmpl w:val="C6AC4DE4"/>
    <w:lvl w:ilvl="0" w:tplc="B0821414">
      <w:start w:val="1"/>
      <w:numFmt w:val="decimal"/>
      <w:pStyle w:val="NumberedListLevel1Corporate"/>
      <w:lvlText w:val="%1"/>
      <w:lvlJc w:val="left"/>
      <w:pPr>
        <w:ind w:left="644" w:hanging="360"/>
      </w:pPr>
      <w:rPr>
        <w:rFonts w:ascii="ITCAvantGardeStd-Bold" w:hAnsi="ITCAvantGardeStd-Bold" w:hint="default"/>
        <w:b/>
        <w:bCs w:val="0"/>
        <w:i w:val="0"/>
        <w:iCs w:val="0"/>
        <w:caps w:val="0"/>
        <w:strike w:val="0"/>
        <w:dstrike w:val="0"/>
        <w:vanish w:val="0"/>
        <w:color w:val="82B3D3"/>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Corporate"/>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336C66D0"/>
    <w:multiLevelType w:val="hybridMultilevel"/>
    <w:tmpl w:val="A516CCB2"/>
    <w:lvl w:ilvl="0" w:tplc="3E12BB3C">
      <w:start w:val="1"/>
      <w:numFmt w:val="decimal"/>
      <w:pStyle w:val="NumberedListLevel1Tech"/>
      <w:lvlText w:val="%1"/>
      <w:lvlJc w:val="left"/>
      <w:pPr>
        <w:ind w:left="644" w:hanging="360"/>
      </w:pPr>
      <w:rPr>
        <w:rFonts w:ascii="ITCAvantGardeStd-Bold" w:hAnsi="ITCAvantGardeStd-Bold" w:hint="default"/>
        <w:b/>
        <w:bCs w:val="0"/>
        <w:i w:val="0"/>
        <w:iCs w:val="0"/>
        <w:caps w:val="0"/>
        <w:strike w:val="0"/>
        <w:dstrike w:val="0"/>
        <w:vanish w:val="0"/>
        <w:color w:val="82B3D3"/>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Tech"/>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35FA00F9"/>
    <w:multiLevelType w:val="hybridMultilevel"/>
    <w:tmpl w:val="4F08798E"/>
    <w:lvl w:ilvl="0" w:tplc="C59EC02E">
      <w:start w:val="3"/>
      <w:numFmt w:val="bullet"/>
      <w:lvlText w:val="-"/>
      <w:lvlJc w:val="left"/>
      <w:pPr>
        <w:ind w:left="360" w:hanging="360"/>
      </w:pPr>
      <w:rPr>
        <w:rFonts w:ascii="Arial MT Std Light" w:eastAsia="Times New Roman" w:hAnsi="Arial MT Std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FF3390"/>
    <w:multiLevelType w:val="multilevel"/>
    <w:tmpl w:val="CF080CA4"/>
    <w:styleLink w:val="Keyfindingsbullets"/>
    <w:lvl w:ilvl="0">
      <w:start w:val="1"/>
      <w:numFmt w:val="none"/>
      <w:pStyle w:val="KeyFindingsBody"/>
      <w:suff w:val="nothing"/>
      <w:lvlText w:val=""/>
      <w:lvlJc w:val="left"/>
      <w:pPr>
        <w:ind w:left="0" w:firstLine="0"/>
      </w:pPr>
      <w:rPr>
        <w:rFonts w:hint="default"/>
      </w:rPr>
    </w:lvl>
    <w:lvl w:ilvl="1">
      <w:start w:val="1"/>
      <w:numFmt w:val="bullet"/>
      <w:pStyle w:val="KeyFindingsBullet1"/>
      <w:lvlText w:val=""/>
      <w:lvlJc w:val="left"/>
      <w:pPr>
        <w:ind w:left="284" w:hanging="284"/>
      </w:pPr>
      <w:rPr>
        <w:rFonts w:ascii="Symbol" w:hAnsi="Symbol" w:hint="default"/>
        <w:color w:val="FFFFFF" w:themeColor="background1"/>
      </w:rPr>
    </w:lvl>
    <w:lvl w:ilvl="2">
      <w:start w:val="1"/>
      <w:numFmt w:val="bullet"/>
      <w:pStyle w:val="KeyFindingsBullet2"/>
      <w:lvlText w:val=""/>
      <w:lvlJc w:val="left"/>
      <w:pPr>
        <w:ind w:left="567" w:hanging="283"/>
      </w:pPr>
      <w:rPr>
        <w:rFonts w:ascii="Symbol" w:hAnsi="Symbol"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11">
    <w:nsid w:val="42E8746D"/>
    <w:multiLevelType w:val="hybridMultilevel"/>
    <w:tmpl w:val="F984C7B4"/>
    <w:lvl w:ilvl="0" w:tplc="FB84A410">
      <w:start w:val="1"/>
      <w:numFmt w:val="decimal"/>
      <w:pStyle w:val="NumberedListLevel2"/>
      <w:lvlText w:val="%1"/>
      <w:lvlJc w:val="left"/>
      <w:pPr>
        <w:ind w:left="855" w:hanging="495"/>
      </w:pPr>
      <w:rPr>
        <w:rFonts w:ascii="ITCAvantGardeStd-Bold" w:hAnsi="ITCAvantGardeStd-Bold" w:hint="default"/>
        <w:color w:val="7D62A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FC6656"/>
    <w:multiLevelType w:val="hybridMultilevel"/>
    <w:tmpl w:val="5F7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11337C"/>
    <w:multiLevelType w:val="hybridMultilevel"/>
    <w:tmpl w:val="8F24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B30EEA"/>
    <w:multiLevelType w:val="hybridMultilevel"/>
    <w:tmpl w:val="43D25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4A5753"/>
    <w:multiLevelType w:val="multilevel"/>
    <w:tmpl w:val="F3F8F6D2"/>
    <w:styleLink w:val="Style2"/>
    <w:lvl w:ilvl="0">
      <w:start w:val="1"/>
      <w:numFmt w:val="decimal"/>
      <w:lvlText w:val="%1"/>
      <w:lvlJc w:val="left"/>
      <w:pPr>
        <w:ind w:left="1440" w:hanging="360"/>
      </w:pPr>
      <w:rPr>
        <w:rFonts w:ascii="ITCAvantGardeStd-Bold" w:hAnsi="ITCAvantGardeStd-Bold" w:hint="default"/>
        <w:bCs w:val="0"/>
        <w:i w:val="0"/>
        <w:iCs w:val="0"/>
        <w:caps w:val="0"/>
        <w:strike w:val="0"/>
        <w:dstrike w:val="0"/>
        <w:vanish w:val="0"/>
        <w:color w:val="A5AEB6"/>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2160" w:hanging="360"/>
      </w:pPr>
      <w:rPr>
        <w:rFonts w:ascii="Courier New" w:hAnsi="Courier New"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nsid w:val="58AF7595"/>
    <w:multiLevelType w:val="hybridMultilevel"/>
    <w:tmpl w:val="71821958"/>
    <w:lvl w:ilvl="0" w:tplc="8C5E7ECE">
      <w:start w:val="1"/>
      <w:numFmt w:val="decimal"/>
      <w:pStyle w:val="NumberedListLevel1White"/>
      <w:lvlText w:val="%1"/>
      <w:lvlJc w:val="left"/>
      <w:pPr>
        <w:ind w:left="644" w:hanging="360"/>
      </w:pPr>
      <w:rPr>
        <w:rFonts w:ascii="ITCAvantGardeStd-Bold" w:hAnsi="ITCAvantGardeStd-Bold" w:hint="default"/>
        <w:b/>
        <w:bCs w:val="0"/>
        <w:i w:val="0"/>
        <w:iCs w:val="0"/>
        <w:caps w:val="0"/>
        <w:strike w:val="0"/>
        <w:dstrike w:val="0"/>
        <w:vanish w:val="0"/>
        <w:color w:val="82B3D3"/>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White"/>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nsid w:val="5DF66E5B"/>
    <w:multiLevelType w:val="hybridMultilevel"/>
    <w:tmpl w:val="E3FA7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814661"/>
    <w:multiLevelType w:val="hybridMultilevel"/>
    <w:tmpl w:val="3C6E9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33F2C66"/>
    <w:multiLevelType w:val="hybridMultilevel"/>
    <w:tmpl w:val="ACA6F288"/>
    <w:lvl w:ilvl="0" w:tplc="0FA22162">
      <w:start w:val="1"/>
      <w:numFmt w:val="decimal"/>
      <w:pStyle w:val="NumberedListLevel1Muted"/>
      <w:lvlText w:val="%1"/>
      <w:lvlJc w:val="left"/>
      <w:pPr>
        <w:ind w:left="644" w:hanging="360"/>
      </w:pPr>
      <w:rPr>
        <w:rFonts w:ascii="ITCAvantGardeStd-Bold" w:hAnsi="ITCAvantGardeStd-Bold" w:hint="default"/>
        <w:bCs w:val="0"/>
        <w:i w:val="0"/>
        <w:iCs w:val="0"/>
        <w:caps w:val="0"/>
        <w:strike w:val="0"/>
        <w:dstrike w:val="0"/>
        <w:vanish w:val="0"/>
        <w:color w:val="82B3D3"/>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Muted"/>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88B6761"/>
    <w:multiLevelType w:val="hybridMultilevel"/>
    <w:tmpl w:val="B16ACA62"/>
    <w:lvl w:ilvl="0" w:tplc="97FE99AA">
      <w:start w:val="1"/>
      <w:numFmt w:val="decimal"/>
      <w:pStyle w:val="NumberedListLevel1Urban"/>
      <w:lvlText w:val="%1"/>
      <w:lvlJc w:val="left"/>
      <w:pPr>
        <w:ind w:left="644" w:hanging="360"/>
      </w:pPr>
      <w:rPr>
        <w:rFonts w:ascii="ITCAvantGardeStd-Bold" w:hAnsi="ITCAvantGardeStd-Bold" w:hint="default"/>
        <w:bCs w:val="0"/>
        <w:i w:val="0"/>
        <w:iCs w:val="0"/>
        <w:caps w:val="0"/>
        <w:strike w:val="0"/>
        <w:dstrike w:val="0"/>
        <w:vanish w:val="0"/>
        <w:color w:val="82B3D3"/>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nsid w:val="6FF55AD7"/>
    <w:multiLevelType w:val="hybridMultilevel"/>
    <w:tmpl w:val="5656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3"/>
  </w:num>
  <w:num w:numId="5">
    <w:abstractNumId w:val="7"/>
  </w:num>
  <w:num w:numId="6">
    <w:abstractNumId w:val="19"/>
  </w:num>
  <w:num w:numId="7">
    <w:abstractNumId w:val="8"/>
  </w:num>
  <w:num w:numId="8">
    <w:abstractNumId w:val="20"/>
  </w:num>
  <w:num w:numId="9">
    <w:abstractNumId w:val="15"/>
  </w:num>
  <w:num w:numId="10">
    <w:abstractNumId w:val="2"/>
  </w:num>
  <w:num w:numId="11">
    <w:abstractNumId w:val="16"/>
  </w:num>
  <w:num w:numId="12">
    <w:abstractNumId w:val="1"/>
  </w:num>
  <w:num w:numId="13">
    <w:abstractNumId w:val="10"/>
  </w:num>
  <w:num w:numId="14">
    <w:abstractNumId w:val="18"/>
  </w:num>
  <w:num w:numId="15">
    <w:abstractNumId w:val="13"/>
  </w:num>
  <w:num w:numId="16">
    <w:abstractNumId w:val="17"/>
  </w:num>
  <w:num w:numId="17">
    <w:abstractNumId w:val="5"/>
  </w:num>
  <w:num w:numId="18">
    <w:abstractNumId w:val="9"/>
  </w:num>
  <w:num w:numId="19">
    <w:abstractNumId w:val="6"/>
  </w:num>
  <w:num w:numId="20">
    <w:abstractNumId w:val="1"/>
  </w:num>
  <w:num w:numId="21">
    <w:abstractNumId w:val="14"/>
  </w:num>
  <w:num w:numId="22">
    <w:abstractNumId w:val="12"/>
  </w:num>
  <w:num w:numId="23">
    <w:abstractNumId w:val="21"/>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otte Bradford">
    <w15:presenceInfo w15:providerId="AD" w15:userId="S-1-5-21-1250619057-357794088-2486035735-98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embedTrueType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49"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conomic" w:val="False"/>
    <w:docVar w:name="PaletteName" w:val="Corporate"/>
  </w:docVars>
  <w:rsids>
    <w:rsidRoot w:val="00E17B97"/>
    <w:rsid w:val="00002BD6"/>
    <w:rsid w:val="00004F80"/>
    <w:rsid w:val="0000562A"/>
    <w:rsid w:val="00007CD2"/>
    <w:rsid w:val="00011618"/>
    <w:rsid w:val="00012651"/>
    <w:rsid w:val="0001276F"/>
    <w:rsid w:val="000134DF"/>
    <w:rsid w:val="00015DEC"/>
    <w:rsid w:val="00024584"/>
    <w:rsid w:val="00027954"/>
    <w:rsid w:val="00030A88"/>
    <w:rsid w:val="00031076"/>
    <w:rsid w:val="000310F7"/>
    <w:rsid w:val="0003378B"/>
    <w:rsid w:val="000345A7"/>
    <w:rsid w:val="00035241"/>
    <w:rsid w:val="00037F64"/>
    <w:rsid w:val="000404A3"/>
    <w:rsid w:val="000413A9"/>
    <w:rsid w:val="0004569F"/>
    <w:rsid w:val="00045D95"/>
    <w:rsid w:val="0004605A"/>
    <w:rsid w:val="000518F0"/>
    <w:rsid w:val="000521AB"/>
    <w:rsid w:val="00052667"/>
    <w:rsid w:val="000556C9"/>
    <w:rsid w:val="00055D2C"/>
    <w:rsid w:val="0005746E"/>
    <w:rsid w:val="00057514"/>
    <w:rsid w:val="00060C50"/>
    <w:rsid w:val="000629DE"/>
    <w:rsid w:val="000638E8"/>
    <w:rsid w:val="00064839"/>
    <w:rsid w:val="00070C5C"/>
    <w:rsid w:val="000718C6"/>
    <w:rsid w:val="00072363"/>
    <w:rsid w:val="00072E89"/>
    <w:rsid w:val="00074784"/>
    <w:rsid w:val="0007502C"/>
    <w:rsid w:val="000758D5"/>
    <w:rsid w:val="00084B89"/>
    <w:rsid w:val="00085147"/>
    <w:rsid w:val="00085D0A"/>
    <w:rsid w:val="000912BD"/>
    <w:rsid w:val="00091F21"/>
    <w:rsid w:val="000926FA"/>
    <w:rsid w:val="00093692"/>
    <w:rsid w:val="000959C2"/>
    <w:rsid w:val="00095ECD"/>
    <w:rsid w:val="00097A61"/>
    <w:rsid w:val="000A0D48"/>
    <w:rsid w:val="000A3401"/>
    <w:rsid w:val="000A373F"/>
    <w:rsid w:val="000A4243"/>
    <w:rsid w:val="000A6013"/>
    <w:rsid w:val="000B014C"/>
    <w:rsid w:val="000B18C4"/>
    <w:rsid w:val="000B31B8"/>
    <w:rsid w:val="000B395C"/>
    <w:rsid w:val="000B6C2C"/>
    <w:rsid w:val="000B7A03"/>
    <w:rsid w:val="000B7ACE"/>
    <w:rsid w:val="000C4C93"/>
    <w:rsid w:val="000C5190"/>
    <w:rsid w:val="000C6F37"/>
    <w:rsid w:val="000D07B6"/>
    <w:rsid w:val="000D1C56"/>
    <w:rsid w:val="000D27C9"/>
    <w:rsid w:val="000D35D9"/>
    <w:rsid w:val="000D49E8"/>
    <w:rsid w:val="000D53D8"/>
    <w:rsid w:val="000D66D0"/>
    <w:rsid w:val="000D70C5"/>
    <w:rsid w:val="000E0CDC"/>
    <w:rsid w:val="000E2128"/>
    <w:rsid w:val="000E3012"/>
    <w:rsid w:val="000E590C"/>
    <w:rsid w:val="000E59EF"/>
    <w:rsid w:val="000F0D95"/>
    <w:rsid w:val="000F159B"/>
    <w:rsid w:val="000F19A2"/>
    <w:rsid w:val="000F1FA1"/>
    <w:rsid w:val="000F22FB"/>
    <w:rsid w:val="000F2A27"/>
    <w:rsid w:val="000F2B73"/>
    <w:rsid w:val="000F2CC4"/>
    <w:rsid w:val="000F3A51"/>
    <w:rsid w:val="000F42BD"/>
    <w:rsid w:val="000F7AA1"/>
    <w:rsid w:val="001039C8"/>
    <w:rsid w:val="0010521D"/>
    <w:rsid w:val="00106014"/>
    <w:rsid w:val="00113A85"/>
    <w:rsid w:val="00113D8E"/>
    <w:rsid w:val="00114066"/>
    <w:rsid w:val="001211B1"/>
    <w:rsid w:val="00123290"/>
    <w:rsid w:val="00123F46"/>
    <w:rsid w:val="001240E4"/>
    <w:rsid w:val="00125824"/>
    <w:rsid w:val="00130991"/>
    <w:rsid w:val="00132289"/>
    <w:rsid w:val="001325EC"/>
    <w:rsid w:val="0013358C"/>
    <w:rsid w:val="0014208C"/>
    <w:rsid w:val="0014384E"/>
    <w:rsid w:val="0014466E"/>
    <w:rsid w:val="00144BA4"/>
    <w:rsid w:val="00144C18"/>
    <w:rsid w:val="00145B35"/>
    <w:rsid w:val="00145E16"/>
    <w:rsid w:val="0014621D"/>
    <w:rsid w:val="001464CC"/>
    <w:rsid w:val="00147E7E"/>
    <w:rsid w:val="0015082C"/>
    <w:rsid w:val="00153A40"/>
    <w:rsid w:val="001543EC"/>
    <w:rsid w:val="00156E9A"/>
    <w:rsid w:val="00162ABA"/>
    <w:rsid w:val="00162ECF"/>
    <w:rsid w:val="0016656C"/>
    <w:rsid w:val="001673F1"/>
    <w:rsid w:val="00167E5E"/>
    <w:rsid w:val="00171052"/>
    <w:rsid w:val="0017357C"/>
    <w:rsid w:val="00180BC4"/>
    <w:rsid w:val="00181DC0"/>
    <w:rsid w:val="00182DF4"/>
    <w:rsid w:val="0018302A"/>
    <w:rsid w:val="00183D19"/>
    <w:rsid w:val="00183F56"/>
    <w:rsid w:val="00184D8E"/>
    <w:rsid w:val="001872D7"/>
    <w:rsid w:val="00191D8C"/>
    <w:rsid w:val="00194B3F"/>
    <w:rsid w:val="001970DA"/>
    <w:rsid w:val="0019775F"/>
    <w:rsid w:val="001A0165"/>
    <w:rsid w:val="001A080C"/>
    <w:rsid w:val="001A0D0D"/>
    <w:rsid w:val="001A1A2E"/>
    <w:rsid w:val="001A3A9F"/>
    <w:rsid w:val="001A4E02"/>
    <w:rsid w:val="001A551D"/>
    <w:rsid w:val="001A6A5E"/>
    <w:rsid w:val="001A6FB4"/>
    <w:rsid w:val="001A78DD"/>
    <w:rsid w:val="001B0389"/>
    <w:rsid w:val="001B0BAB"/>
    <w:rsid w:val="001B24D3"/>
    <w:rsid w:val="001B2E90"/>
    <w:rsid w:val="001B3489"/>
    <w:rsid w:val="001B35E9"/>
    <w:rsid w:val="001B4DF6"/>
    <w:rsid w:val="001B6AEF"/>
    <w:rsid w:val="001C05C9"/>
    <w:rsid w:val="001C57E7"/>
    <w:rsid w:val="001C57EE"/>
    <w:rsid w:val="001C5B08"/>
    <w:rsid w:val="001C74D8"/>
    <w:rsid w:val="001D08AC"/>
    <w:rsid w:val="001D473A"/>
    <w:rsid w:val="001D4DAF"/>
    <w:rsid w:val="001D59CF"/>
    <w:rsid w:val="001D7BF6"/>
    <w:rsid w:val="001E0044"/>
    <w:rsid w:val="001E0729"/>
    <w:rsid w:val="001E1338"/>
    <w:rsid w:val="001E25A7"/>
    <w:rsid w:val="001E3654"/>
    <w:rsid w:val="001E3944"/>
    <w:rsid w:val="001E43B5"/>
    <w:rsid w:val="001E44C3"/>
    <w:rsid w:val="001E5DC7"/>
    <w:rsid w:val="001E60A4"/>
    <w:rsid w:val="001E7076"/>
    <w:rsid w:val="001F0BC2"/>
    <w:rsid w:val="001F3EB3"/>
    <w:rsid w:val="001F69DF"/>
    <w:rsid w:val="001F78E7"/>
    <w:rsid w:val="002001B4"/>
    <w:rsid w:val="002002A5"/>
    <w:rsid w:val="002024D2"/>
    <w:rsid w:val="00203801"/>
    <w:rsid w:val="0020503D"/>
    <w:rsid w:val="00207185"/>
    <w:rsid w:val="002079EE"/>
    <w:rsid w:val="00213C2F"/>
    <w:rsid w:val="00217F0E"/>
    <w:rsid w:val="00220087"/>
    <w:rsid w:val="00220792"/>
    <w:rsid w:val="00221EA7"/>
    <w:rsid w:val="0022249A"/>
    <w:rsid w:val="00222AC2"/>
    <w:rsid w:val="00224102"/>
    <w:rsid w:val="00225D53"/>
    <w:rsid w:val="00225F58"/>
    <w:rsid w:val="00226202"/>
    <w:rsid w:val="002301C0"/>
    <w:rsid w:val="00230A5B"/>
    <w:rsid w:val="002319E5"/>
    <w:rsid w:val="002331F1"/>
    <w:rsid w:val="0023385D"/>
    <w:rsid w:val="00235946"/>
    <w:rsid w:val="00236006"/>
    <w:rsid w:val="00240AF9"/>
    <w:rsid w:val="00241FE6"/>
    <w:rsid w:val="00243D1E"/>
    <w:rsid w:val="00244162"/>
    <w:rsid w:val="002456E1"/>
    <w:rsid w:val="00246ACE"/>
    <w:rsid w:val="00246E68"/>
    <w:rsid w:val="002478C1"/>
    <w:rsid w:val="00247D4D"/>
    <w:rsid w:val="00252C52"/>
    <w:rsid w:val="00253668"/>
    <w:rsid w:val="00253801"/>
    <w:rsid w:val="00253FC7"/>
    <w:rsid w:val="002572D9"/>
    <w:rsid w:val="00261BA7"/>
    <w:rsid w:val="0026299D"/>
    <w:rsid w:val="00264354"/>
    <w:rsid w:val="00264B54"/>
    <w:rsid w:val="002657BE"/>
    <w:rsid w:val="00265CD3"/>
    <w:rsid w:val="00272BB9"/>
    <w:rsid w:val="0027361F"/>
    <w:rsid w:val="002754B3"/>
    <w:rsid w:val="00275829"/>
    <w:rsid w:val="00276B1C"/>
    <w:rsid w:val="00280E7E"/>
    <w:rsid w:val="00281F73"/>
    <w:rsid w:val="00284366"/>
    <w:rsid w:val="00285297"/>
    <w:rsid w:val="0028684D"/>
    <w:rsid w:val="00290B19"/>
    <w:rsid w:val="00290CBD"/>
    <w:rsid w:val="00292047"/>
    <w:rsid w:val="002948E0"/>
    <w:rsid w:val="0029619B"/>
    <w:rsid w:val="002970E6"/>
    <w:rsid w:val="002A2877"/>
    <w:rsid w:val="002A33A2"/>
    <w:rsid w:val="002A4E28"/>
    <w:rsid w:val="002A5C6D"/>
    <w:rsid w:val="002A5EDB"/>
    <w:rsid w:val="002A6DC9"/>
    <w:rsid w:val="002B0A32"/>
    <w:rsid w:val="002B0B23"/>
    <w:rsid w:val="002B1784"/>
    <w:rsid w:val="002B2214"/>
    <w:rsid w:val="002B23BC"/>
    <w:rsid w:val="002B6298"/>
    <w:rsid w:val="002B72A5"/>
    <w:rsid w:val="002B78E9"/>
    <w:rsid w:val="002C1D7F"/>
    <w:rsid w:val="002C2B35"/>
    <w:rsid w:val="002C2E93"/>
    <w:rsid w:val="002C46EE"/>
    <w:rsid w:val="002C6F15"/>
    <w:rsid w:val="002D2D8A"/>
    <w:rsid w:val="002D309F"/>
    <w:rsid w:val="002D6B6A"/>
    <w:rsid w:val="002D72E4"/>
    <w:rsid w:val="002E00F2"/>
    <w:rsid w:val="002E1825"/>
    <w:rsid w:val="002E231A"/>
    <w:rsid w:val="002E5925"/>
    <w:rsid w:val="002F200C"/>
    <w:rsid w:val="002F42D5"/>
    <w:rsid w:val="002F4E42"/>
    <w:rsid w:val="002F4FB8"/>
    <w:rsid w:val="002F5A63"/>
    <w:rsid w:val="0030044D"/>
    <w:rsid w:val="00300B6C"/>
    <w:rsid w:val="0030243F"/>
    <w:rsid w:val="00303AC7"/>
    <w:rsid w:val="00304853"/>
    <w:rsid w:val="00310298"/>
    <w:rsid w:val="003143FF"/>
    <w:rsid w:val="00314FDA"/>
    <w:rsid w:val="00315F67"/>
    <w:rsid w:val="00316431"/>
    <w:rsid w:val="00320C89"/>
    <w:rsid w:val="00321D67"/>
    <w:rsid w:val="00333E6A"/>
    <w:rsid w:val="00342280"/>
    <w:rsid w:val="00344A41"/>
    <w:rsid w:val="00347205"/>
    <w:rsid w:val="003475CC"/>
    <w:rsid w:val="00350989"/>
    <w:rsid w:val="003510CA"/>
    <w:rsid w:val="00351BCF"/>
    <w:rsid w:val="003534C9"/>
    <w:rsid w:val="0035742F"/>
    <w:rsid w:val="00357AA9"/>
    <w:rsid w:val="00357DB8"/>
    <w:rsid w:val="00362B3B"/>
    <w:rsid w:val="00362E9E"/>
    <w:rsid w:val="00364A4B"/>
    <w:rsid w:val="00364DA5"/>
    <w:rsid w:val="0036539C"/>
    <w:rsid w:val="00366B44"/>
    <w:rsid w:val="00370AB4"/>
    <w:rsid w:val="00371B22"/>
    <w:rsid w:val="00371B7E"/>
    <w:rsid w:val="00371B99"/>
    <w:rsid w:val="00372B21"/>
    <w:rsid w:val="003730E0"/>
    <w:rsid w:val="00373E4C"/>
    <w:rsid w:val="00375DD9"/>
    <w:rsid w:val="00380D28"/>
    <w:rsid w:val="00380F45"/>
    <w:rsid w:val="003821BE"/>
    <w:rsid w:val="003838DA"/>
    <w:rsid w:val="00383EB1"/>
    <w:rsid w:val="003844AD"/>
    <w:rsid w:val="00385248"/>
    <w:rsid w:val="00385B2F"/>
    <w:rsid w:val="00386CE3"/>
    <w:rsid w:val="00387E9F"/>
    <w:rsid w:val="00391985"/>
    <w:rsid w:val="00391D47"/>
    <w:rsid w:val="00392590"/>
    <w:rsid w:val="0039267B"/>
    <w:rsid w:val="00396907"/>
    <w:rsid w:val="00396AFD"/>
    <w:rsid w:val="003A103E"/>
    <w:rsid w:val="003A1503"/>
    <w:rsid w:val="003A3265"/>
    <w:rsid w:val="003B3963"/>
    <w:rsid w:val="003B3EA9"/>
    <w:rsid w:val="003B50E5"/>
    <w:rsid w:val="003B5E00"/>
    <w:rsid w:val="003B6FAD"/>
    <w:rsid w:val="003B72DD"/>
    <w:rsid w:val="003C00BE"/>
    <w:rsid w:val="003C098D"/>
    <w:rsid w:val="003C3FA4"/>
    <w:rsid w:val="003C44D0"/>
    <w:rsid w:val="003C48DE"/>
    <w:rsid w:val="003C5CCE"/>
    <w:rsid w:val="003D1C54"/>
    <w:rsid w:val="003D4603"/>
    <w:rsid w:val="003D5BC2"/>
    <w:rsid w:val="003D6D1D"/>
    <w:rsid w:val="003D6E9B"/>
    <w:rsid w:val="003D74BF"/>
    <w:rsid w:val="003E1D42"/>
    <w:rsid w:val="003E2B3E"/>
    <w:rsid w:val="003E33AE"/>
    <w:rsid w:val="003E3444"/>
    <w:rsid w:val="003E65A1"/>
    <w:rsid w:val="003F19E2"/>
    <w:rsid w:val="003F219C"/>
    <w:rsid w:val="003F4430"/>
    <w:rsid w:val="003F4877"/>
    <w:rsid w:val="003F527E"/>
    <w:rsid w:val="004007E2"/>
    <w:rsid w:val="00404474"/>
    <w:rsid w:val="00404AC8"/>
    <w:rsid w:val="004053A2"/>
    <w:rsid w:val="004058F9"/>
    <w:rsid w:val="00406146"/>
    <w:rsid w:val="00407761"/>
    <w:rsid w:val="004079F9"/>
    <w:rsid w:val="00407C2D"/>
    <w:rsid w:val="00410F19"/>
    <w:rsid w:val="00411A3B"/>
    <w:rsid w:val="00413E21"/>
    <w:rsid w:val="004173C5"/>
    <w:rsid w:val="004201EC"/>
    <w:rsid w:val="00423409"/>
    <w:rsid w:val="004244ED"/>
    <w:rsid w:val="00425D16"/>
    <w:rsid w:val="00425EB2"/>
    <w:rsid w:val="00427AB8"/>
    <w:rsid w:val="00427C15"/>
    <w:rsid w:val="0043323A"/>
    <w:rsid w:val="00433EB2"/>
    <w:rsid w:val="00433F62"/>
    <w:rsid w:val="0044039E"/>
    <w:rsid w:val="004404E0"/>
    <w:rsid w:val="004422CB"/>
    <w:rsid w:val="00445C54"/>
    <w:rsid w:val="00446800"/>
    <w:rsid w:val="00446A55"/>
    <w:rsid w:val="00450E6D"/>
    <w:rsid w:val="00452F2F"/>
    <w:rsid w:val="00453F0D"/>
    <w:rsid w:val="004555B8"/>
    <w:rsid w:val="004600C2"/>
    <w:rsid w:val="00463583"/>
    <w:rsid w:val="00467DE0"/>
    <w:rsid w:val="0047003B"/>
    <w:rsid w:val="004706C3"/>
    <w:rsid w:val="00470C68"/>
    <w:rsid w:val="00470CD0"/>
    <w:rsid w:val="004729BD"/>
    <w:rsid w:val="00472B4C"/>
    <w:rsid w:val="00473145"/>
    <w:rsid w:val="0047331B"/>
    <w:rsid w:val="0047386A"/>
    <w:rsid w:val="0047485B"/>
    <w:rsid w:val="004758C3"/>
    <w:rsid w:val="00476988"/>
    <w:rsid w:val="00476EB3"/>
    <w:rsid w:val="00477F82"/>
    <w:rsid w:val="004802A3"/>
    <w:rsid w:val="00480AAA"/>
    <w:rsid w:val="00483305"/>
    <w:rsid w:val="00485681"/>
    <w:rsid w:val="00485D85"/>
    <w:rsid w:val="00486285"/>
    <w:rsid w:val="0048634C"/>
    <w:rsid w:val="004863CC"/>
    <w:rsid w:val="00486D80"/>
    <w:rsid w:val="004874CE"/>
    <w:rsid w:val="0049138E"/>
    <w:rsid w:val="0049659C"/>
    <w:rsid w:val="0049666B"/>
    <w:rsid w:val="004A1140"/>
    <w:rsid w:val="004B13D2"/>
    <w:rsid w:val="004B1898"/>
    <w:rsid w:val="004B34CB"/>
    <w:rsid w:val="004B5424"/>
    <w:rsid w:val="004B6DF0"/>
    <w:rsid w:val="004B7035"/>
    <w:rsid w:val="004B7383"/>
    <w:rsid w:val="004C0D8F"/>
    <w:rsid w:val="004C194C"/>
    <w:rsid w:val="004C1B9C"/>
    <w:rsid w:val="004C2F63"/>
    <w:rsid w:val="004C6BFC"/>
    <w:rsid w:val="004C6D01"/>
    <w:rsid w:val="004D06FA"/>
    <w:rsid w:val="004D0AED"/>
    <w:rsid w:val="004D135B"/>
    <w:rsid w:val="004D22AE"/>
    <w:rsid w:val="004D2485"/>
    <w:rsid w:val="004D5E73"/>
    <w:rsid w:val="004D619C"/>
    <w:rsid w:val="004D6AA0"/>
    <w:rsid w:val="004D7612"/>
    <w:rsid w:val="004D7EE7"/>
    <w:rsid w:val="004E1778"/>
    <w:rsid w:val="004E3554"/>
    <w:rsid w:val="004E5FA2"/>
    <w:rsid w:val="004E603C"/>
    <w:rsid w:val="004E7618"/>
    <w:rsid w:val="004E77C4"/>
    <w:rsid w:val="004F1CE0"/>
    <w:rsid w:val="004F273A"/>
    <w:rsid w:val="004F5AC4"/>
    <w:rsid w:val="004F616E"/>
    <w:rsid w:val="004F6B57"/>
    <w:rsid w:val="004F7324"/>
    <w:rsid w:val="00501896"/>
    <w:rsid w:val="00502C59"/>
    <w:rsid w:val="0050503B"/>
    <w:rsid w:val="005054E1"/>
    <w:rsid w:val="00511FAC"/>
    <w:rsid w:val="0051221D"/>
    <w:rsid w:val="00513944"/>
    <w:rsid w:val="00513E83"/>
    <w:rsid w:val="005142A6"/>
    <w:rsid w:val="0051570B"/>
    <w:rsid w:val="0051636D"/>
    <w:rsid w:val="0051642E"/>
    <w:rsid w:val="005205C8"/>
    <w:rsid w:val="00522D38"/>
    <w:rsid w:val="00526EFD"/>
    <w:rsid w:val="00530673"/>
    <w:rsid w:val="00531AF2"/>
    <w:rsid w:val="00532162"/>
    <w:rsid w:val="00532AB1"/>
    <w:rsid w:val="00532F3E"/>
    <w:rsid w:val="005352EA"/>
    <w:rsid w:val="005361F2"/>
    <w:rsid w:val="0053679A"/>
    <w:rsid w:val="00536E9C"/>
    <w:rsid w:val="005376D6"/>
    <w:rsid w:val="00537F8C"/>
    <w:rsid w:val="00542C5F"/>
    <w:rsid w:val="00545270"/>
    <w:rsid w:val="005511BD"/>
    <w:rsid w:val="00551753"/>
    <w:rsid w:val="00551BB0"/>
    <w:rsid w:val="00553785"/>
    <w:rsid w:val="00554B9A"/>
    <w:rsid w:val="00554C07"/>
    <w:rsid w:val="00554F26"/>
    <w:rsid w:val="005556BE"/>
    <w:rsid w:val="00555A26"/>
    <w:rsid w:val="005567E9"/>
    <w:rsid w:val="005631CD"/>
    <w:rsid w:val="005706C3"/>
    <w:rsid w:val="00570ECC"/>
    <w:rsid w:val="00572658"/>
    <w:rsid w:val="0057480F"/>
    <w:rsid w:val="00574A30"/>
    <w:rsid w:val="005772FE"/>
    <w:rsid w:val="00580C69"/>
    <w:rsid w:val="00582D83"/>
    <w:rsid w:val="005908FC"/>
    <w:rsid w:val="00591324"/>
    <w:rsid w:val="00592E85"/>
    <w:rsid w:val="00592EDB"/>
    <w:rsid w:val="00593046"/>
    <w:rsid w:val="0059481D"/>
    <w:rsid w:val="00594C66"/>
    <w:rsid w:val="005950F5"/>
    <w:rsid w:val="00595F0F"/>
    <w:rsid w:val="005960F2"/>
    <w:rsid w:val="005A1026"/>
    <w:rsid w:val="005A33E3"/>
    <w:rsid w:val="005A3563"/>
    <w:rsid w:val="005A4C3D"/>
    <w:rsid w:val="005A4C41"/>
    <w:rsid w:val="005A771E"/>
    <w:rsid w:val="005A7B37"/>
    <w:rsid w:val="005B50B1"/>
    <w:rsid w:val="005B70D6"/>
    <w:rsid w:val="005B786C"/>
    <w:rsid w:val="005C1E2D"/>
    <w:rsid w:val="005C1FB9"/>
    <w:rsid w:val="005C3284"/>
    <w:rsid w:val="005C4BEA"/>
    <w:rsid w:val="005C4BED"/>
    <w:rsid w:val="005C4F30"/>
    <w:rsid w:val="005D155A"/>
    <w:rsid w:val="005D2A66"/>
    <w:rsid w:val="005D30F4"/>
    <w:rsid w:val="005D399C"/>
    <w:rsid w:val="005D6D8F"/>
    <w:rsid w:val="005E09D6"/>
    <w:rsid w:val="005E16DB"/>
    <w:rsid w:val="005E2EC6"/>
    <w:rsid w:val="005E435A"/>
    <w:rsid w:val="005E74ED"/>
    <w:rsid w:val="005F5684"/>
    <w:rsid w:val="005F5A1E"/>
    <w:rsid w:val="0060060E"/>
    <w:rsid w:val="00600E9D"/>
    <w:rsid w:val="0060327D"/>
    <w:rsid w:val="00603A5E"/>
    <w:rsid w:val="00603C5A"/>
    <w:rsid w:val="006046BC"/>
    <w:rsid w:val="006068A1"/>
    <w:rsid w:val="00606BF3"/>
    <w:rsid w:val="00607241"/>
    <w:rsid w:val="00607BAA"/>
    <w:rsid w:val="00610B23"/>
    <w:rsid w:val="00611D24"/>
    <w:rsid w:val="006135DF"/>
    <w:rsid w:val="00614049"/>
    <w:rsid w:val="00615BB7"/>
    <w:rsid w:val="0061739D"/>
    <w:rsid w:val="006178F3"/>
    <w:rsid w:val="00617D4F"/>
    <w:rsid w:val="00620169"/>
    <w:rsid w:val="0062197F"/>
    <w:rsid w:val="00625C34"/>
    <w:rsid w:val="00626DFC"/>
    <w:rsid w:val="00631454"/>
    <w:rsid w:val="00633790"/>
    <w:rsid w:val="00636C1D"/>
    <w:rsid w:val="006412E6"/>
    <w:rsid w:val="00641524"/>
    <w:rsid w:val="00641D6A"/>
    <w:rsid w:val="00643C6D"/>
    <w:rsid w:val="00645BCB"/>
    <w:rsid w:val="00651880"/>
    <w:rsid w:val="006525E8"/>
    <w:rsid w:val="006538B1"/>
    <w:rsid w:val="00653C12"/>
    <w:rsid w:val="00655961"/>
    <w:rsid w:val="0065691C"/>
    <w:rsid w:val="00656C2C"/>
    <w:rsid w:val="006573AE"/>
    <w:rsid w:val="006579B9"/>
    <w:rsid w:val="00660016"/>
    <w:rsid w:val="006603C7"/>
    <w:rsid w:val="00661E4D"/>
    <w:rsid w:val="00662F93"/>
    <w:rsid w:val="006659F3"/>
    <w:rsid w:val="00666D5C"/>
    <w:rsid w:val="00666FFD"/>
    <w:rsid w:val="00667224"/>
    <w:rsid w:val="00667EFC"/>
    <w:rsid w:val="00673049"/>
    <w:rsid w:val="00673449"/>
    <w:rsid w:val="006747FD"/>
    <w:rsid w:val="00675D4D"/>
    <w:rsid w:val="00675F88"/>
    <w:rsid w:val="006771C0"/>
    <w:rsid w:val="00681595"/>
    <w:rsid w:val="006829F3"/>
    <w:rsid w:val="006848DB"/>
    <w:rsid w:val="00685822"/>
    <w:rsid w:val="00685F02"/>
    <w:rsid w:val="00687BAB"/>
    <w:rsid w:val="00690085"/>
    <w:rsid w:val="00690852"/>
    <w:rsid w:val="00691310"/>
    <w:rsid w:val="00691B52"/>
    <w:rsid w:val="00691BF7"/>
    <w:rsid w:val="006952DF"/>
    <w:rsid w:val="0069692D"/>
    <w:rsid w:val="00697633"/>
    <w:rsid w:val="006A077C"/>
    <w:rsid w:val="006A126E"/>
    <w:rsid w:val="006A4B64"/>
    <w:rsid w:val="006A51B7"/>
    <w:rsid w:val="006A5CD5"/>
    <w:rsid w:val="006B25C5"/>
    <w:rsid w:val="006B33D1"/>
    <w:rsid w:val="006B417C"/>
    <w:rsid w:val="006B5A52"/>
    <w:rsid w:val="006B5BA3"/>
    <w:rsid w:val="006B7B98"/>
    <w:rsid w:val="006C6F47"/>
    <w:rsid w:val="006C7358"/>
    <w:rsid w:val="006C7B4F"/>
    <w:rsid w:val="006D575A"/>
    <w:rsid w:val="006D79B9"/>
    <w:rsid w:val="006E19EA"/>
    <w:rsid w:val="006E22D8"/>
    <w:rsid w:val="006E4A70"/>
    <w:rsid w:val="006E5023"/>
    <w:rsid w:val="006E562C"/>
    <w:rsid w:val="006F082C"/>
    <w:rsid w:val="006F136A"/>
    <w:rsid w:val="006F53CF"/>
    <w:rsid w:val="006F6A53"/>
    <w:rsid w:val="006F70E5"/>
    <w:rsid w:val="006F724B"/>
    <w:rsid w:val="006F742F"/>
    <w:rsid w:val="00700547"/>
    <w:rsid w:val="00701B14"/>
    <w:rsid w:val="00702F92"/>
    <w:rsid w:val="0070407E"/>
    <w:rsid w:val="0070564A"/>
    <w:rsid w:val="00705933"/>
    <w:rsid w:val="00705EE8"/>
    <w:rsid w:val="00706AF2"/>
    <w:rsid w:val="0071141A"/>
    <w:rsid w:val="00712A5D"/>
    <w:rsid w:val="007137BB"/>
    <w:rsid w:val="007200E3"/>
    <w:rsid w:val="00731C14"/>
    <w:rsid w:val="00732DD7"/>
    <w:rsid w:val="00732E5A"/>
    <w:rsid w:val="00734EFA"/>
    <w:rsid w:val="0073570F"/>
    <w:rsid w:val="00736932"/>
    <w:rsid w:val="007376E3"/>
    <w:rsid w:val="00740985"/>
    <w:rsid w:val="00741D7B"/>
    <w:rsid w:val="00744783"/>
    <w:rsid w:val="00744A5D"/>
    <w:rsid w:val="00745986"/>
    <w:rsid w:val="007459E2"/>
    <w:rsid w:val="00746177"/>
    <w:rsid w:val="007464BD"/>
    <w:rsid w:val="00750730"/>
    <w:rsid w:val="0075140F"/>
    <w:rsid w:val="00752450"/>
    <w:rsid w:val="00752BB8"/>
    <w:rsid w:val="007559C7"/>
    <w:rsid w:val="007565AF"/>
    <w:rsid w:val="00757336"/>
    <w:rsid w:val="007602B1"/>
    <w:rsid w:val="00763E28"/>
    <w:rsid w:val="007643C9"/>
    <w:rsid w:val="00766AAC"/>
    <w:rsid w:val="00767256"/>
    <w:rsid w:val="007701F8"/>
    <w:rsid w:val="00772AF7"/>
    <w:rsid w:val="00773BF4"/>
    <w:rsid w:val="00774D7B"/>
    <w:rsid w:val="007801E0"/>
    <w:rsid w:val="00781852"/>
    <w:rsid w:val="00784F7E"/>
    <w:rsid w:val="0078578B"/>
    <w:rsid w:val="00785ADA"/>
    <w:rsid w:val="0078722F"/>
    <w:rsid w:val="007901E3"/>
    <w:rsid w:val="00791EB0"/>
    <w:rsid w:val="00792156"/>
    <w:rsid w:val="00792E60"/>
    <w:rsid w:val="007933B0"/>
    <w:rsid w:val="00794F67"/>
    <w:rsid w:val="00797679"/>
    <w:rsid w:val="007A05AF"/>
    <w:rsid w:val="007A2CF4"/>
    <w:rsid w:val="007A30AF"/>
    <w:rsid w:val="007A5320"/>
    <w:rsid w:val="007A5A4C"/>
    <w:rsid w:val="007B1ABA"/>
    <w:rsid w:val="007B7D65"/>
    <w:rsid w:val="007B7FBB"/>
    <w:rsid w:val="007C0C1F"/>
    <w:rsid w:val="007C3A36"/>
    <w:rsid w:val="007C6B10"/>
    <w:rsid w:val="007C7695"/>
    <w:rsid w:val="007C7F00"/>
    <w:rsid w:val="007D2D7C"/>
    <w:rsid w:val="007D37AA"/>
    <w:rsid w:val="007D3F4B"/>
    <w:rsid w:val="007D69B1"/>
    <w:rsid w:val="007D6AED"/>
    <w:rsid w:val="007E118E"/>
    <w:rsid w:val="007E2AA4"/>
    <w:rsid w:val="007E2B31"/>
    <w:rsid w:val="007E54BA"/>
    <w:rsid w:val="007E7000"/>
    <w:rsid w:val="007E7566"/>
    <w:rsid w:val="007F399D"/>
    <w:rsid w:val="007F62ED"/>
    <w:rsid w:val="00800876"/>
    <w:rsid w:val="008013A1"/>
    <w:rsid w:val="00801736"/>
    <w:rsid w:val="00804D13"/>
    <w:rsid w:val="008073C4"/>
    <w:rsid w:val="00807CB4"/>
    <w:rsid w:val="00810D5D"/>
    <w:rsid w:val="008111CC"/>
    <w:rsid w:val="00813C13"/>
    <w:rsid w:val="00815DB5"/>
    <w:rsid w:val="00816C47"/>
    <w:rsid w:val="00817BFB"/>
    <w:rsid w:val="0082079C"/>
    <w:rsid w:val="0082206C"/>
    <w:rsid w:val="0082752C"/>
    <w:rsid w:val="00836441"/>
    <w:rsid w:val="00841B73"/>
    <w:rsid w:val="00843158"/>
    <w:rsid w:val="0084448C"/>
    <w:rsid w:val="00844B46"/>
    <w:rsid w:val="00845C4A"/>
    <w:rsid w:val="00851D81"/>
    <w:rsid w:val="008546E7"/>
    <w:rsid w:val="00854E78"/>
    <w:rsid w:val="0085500C"/>
    <w:rsid w:val="0085557F"/>
    <w:rsid w:val="00856F78"/>
    <w:rsid w:val="00857926"/>
    <w:rsid w:val="00861A27"/>
    <w:rsid w:val="00867876"/>
    <w:rsid w:val="00867C02"/>
    <w:rsid w:val="008711C4"/>
    <w:rsid w:val="00871671"/>
    <w:rsid w:val="00873FF2"/>
    <w:rsid w:val="00874D18"/>
    <w:rsid w:val="00875D00"/>
    <w:rsid w:val="00876790"/>
    <w:rsid w:val="00882370"/>
    <w:rsid w:val="008827BB"/>
    <w:rsid w:val="00882EFD"/>
    <w:rsid w:val="00885F9C"/>
    <w:rsid w:val="00886CAB"/>
    <w:rsid w:val="00887826"/>
    <w:rsid w:val="00887A53"/>
    <w:rsid w:val="008913D0"/>
    <w:rsid w:val="00891E40"/>
    <w:rsid w:val="00892FB9"/>
    <w:rsid w:val="00894E1B"/>
    <w:rsid w:val="00895DE0"/>
    <w:rsid w:val="00897CC2"/>
    <w:rsid w:val="00897E56"/>
    <w:rsid w:val="008A16A6"/>
    <w:rsid w:val="008A2697"/>
    <w:rsid w:val="008A444F"/>
    <w:rsid w:val="008A57EE"/>
    <w:rsid w:val="008B1138"/>
    <w:rsid w:val="008B272A"/>
    <w:rsid w:val="008B2C61"/>
    <w:rsid w:val="008B5952"/>
    <w:rsid w:val="008B5AF6"/>
    <w:rsid w:val="008C0827"/>
    <w:rsid w:val="008C0E2F"/>
    <w:rsid w:val="008C2DF4"/>
    <w:rsid w:val="008C3001"/>
    <w:rsid w:val="008C4BA9"/>
    <w:rsid w:val="008C52B0"/>
    <w:rsid w:val="008C606E"/>
    <w:rsid w:val="008C623E"/>
    <w:rsid w:val="008C7591"/>
    <w:rsid w:val="008C7843"/>
    <w:rsid w:val="008D099D"/>
    <w:rsid w:val="008D1671"/>
    <w:rsid w:val="008D30CC"/>
    <w:rsid w:val="008D4E48"/>
    <w:rsid w:val="008D5085"/>
    <w:rsid w:val="008D6FDC"/>
    <w:rsid w:val="008E20C0"/>
    <w:rsid w:val="008E22D9"/>
    <w:rsid w:val="008E464B"/>
    <w:rsid w:val="008E6427"/>
    <w:rsid w:val="008F0C43"/>
    <w:rsid w:val="008F1B15"/>
    <w:rsid w:val="008F6560"/>
    <w:rsid w:val="008F77F9"/>
    <w:rsid w:val="0090033A"/>
    <w:rsid w:val="009040E1"/>
    <w:rsid w:val="00905338"/>
    <w:rsid w:val="00905647"/>
    <w:rsid w:val="00910274"/>
    <w:rsid w:val="0091121D"/>
    <w:rsid w:val="00911252"/>
    <w:rsid w:val="009118A2"/>
    <w:rsid w:val="00915608"/>
    <w:rsid w:val="009165E9"/>
    <w:rsid w:val="0091692C"/>
    <w:rsid w:val="00920091"/>
    <w:rsid w:val="00920151"/>
    <w:rsid w:val="00920CD8"/>
    <w:rsid w:val="009225AE"/>
    <w:rsid w:val="00926B6A"/>
    <w:rsid w:val="00927AEF"/>
    <w:rsid w:val="00927D10"/>
    <w:rsid w:val="00930F36"/>
    <w:rsid w:val="00934067"/>
    <w:rsid w:val="009350FE"/>
    <w:rsid w:val="00935BAE"/>
    <w:rsid w:val="009362CB"/>
    <w:rsid w:val="00937B47"/>
    <w:rsid w:val="00944B64"/>
    <w:rsid w:val="00947D39"/>
    <w:rsid w:val="0095046C"/>
    <w:rsid w:val="00952157"/>
    <w:rsid w:val="009525B5"/>
    <w:rsid w:val="00956492"/>
    <w:rsid w:val="00956AD0"/>
    <w:rsid w:val="00957608"/>
    <w:rsid w:val="00957FBE"/>
    <w:rsid w:val="00961002"/>
    <w:rsid w:val="00962508"/>
    <w:rsid w:val="009713D1"/>
    <w:rsid w:val="009715A9"/>
    <w:rsid w:val="00973A01"/>
    <w:rsid w:val="0097629A"/>
    <w:rsid w:val="00976706"/>
    <w:rsid w:val="009768CA"/>
    <w:rsid w:val="00980341"/>
    <w:rsid w:val="00981BB0"/>
    <w:rsid w:val="00983421"/>
    <w:rsid w:val="00985A83"/>
    <w:rsid w:val="009861E1"/>
    <w:rsid w:val="00986663"/>
    <w:rsid w:val="009875EC"/>
    <w:rsid w:val="009902DF"/>
    <w:rsid w:val="009927F8"/>
    <w:rsid w:val="00996C95"/>
    <w:rsid w:val="009977B7"/>
    <w:rsid w:val="009A11B2"/>
    <w:rsid w:val="009A1E57"/>
    <w:rsid w:val="009A2D0A"/>
    <w:rsid w:val="009A5D15"/>
    <w:rsid w:val="009B4B08"/>
    <w:rsid w:val="009B5F34"/>
    <w:rsid w:val="009B602B"/>
    <w:rsid w:val="009C0C6E"/>
    <w:rsid w:val="009C1FCB"/>
    <w:rsid w:val="009C25AA"/>
    <w:rsid w:val="009C459D"/>
    <w:rsid w:val="009C4845"/>
    <w:rsid w:val="009C675E"/>
    <w:rsid w:val="009C7998"/>
    <w:rsid w:val="009D2558"/>
    <w:rsid w:val="009D4A9F"/>
    <w:rsid w:val="009D54A0"/>
    <w:rsid w:val="009D6863"/>
    <w:rsid w:val="009E41B6"/>
    <w:rsid w:val="009E58D4"/>
    <w:rsid w:val="009E5A2E"/>
    <w:rsid w:val="009E7C8D"/>
    <w:rsid w:val="009F0FB1"/>
    <w:rsid w:val="009F2EF8"/>
    <w:rsid w:val="009F365E"/>
    <w:rsid w:val="009F4534"/>
    <w:rsid w:val="00A02608"/>
    <w:rsid w:val="00A045E3"/>
    <w:rsid w:val="00A064CC"/>
    <w:rsid w:val="00A072FA"/>
    <w:rsid w:val="00A100CD"/>
    <w:rsid w:val="00A10F20"/>
    <w:rsid w:val="00A12B84"/>
    <w:rsid w:val="00A15C49"/>
    <w:rsid w:val="00A171F1"/>
    <w:rsid w:val="00A17607"/>
    <w:rsid w:val="00A20959"/>
    <w:rsid w:val="00A22784"/>
    <w:rsid w:val="00A23084"/>
    <w:rsid w:val="00A24206"/>
    <w:rsid w:val="00A2618D"/>
    <w:rsid w:val="00A33D36"/>
    <w:rsid w:val="00A34135"/>
    <w:rsid w:val="00A34E52"/>
    <w:rsid w:val="00A34E86"/>
    <w:rsid w:val="00A35E5A"/>
    <w:rsid w:val="00A3607A"/>
    <w:rsid w:val="00A36D34"/>
    <w:rsid w:val="00A40B14"/>
    <w:rsid w:val="00A40B5F"/>
    <w:rsid w:val="00A424AD"/>
    <w:rsid w:val="00A438DD"/>
    <w:rsid w:val="00A44890"/>
    <w:rsid w:val="00A472E0"/>
    <w:rsid w:val="00A47B5F"/>
    <w:rsid w:val="00A47BA0"/>
    <w:rsid w:val="00A50E2E"/>
    <w:rsid w:val="00A52C6F"/>
    <w:rsid w:val="00A53454"/>
    <w:rsid w:val="00A552BA"/>
    <w:rsid w:val="00A55532"/>
    <w:rsid w:val="00A5641D"/>
    <w:rsid w:val="00A57C67"/>
    <w:rsid w:val="00A60B7F"/>
    <w:rsid w:val="00A61566"/>
    <w:rsid w:val="00A63394"/>
    <w:rsid w:val="00A63900"/>
    <w:rsid w:val="00A64869"/>
    <w:rsid w:val="00A65F6D"/>
    <w:rsid w:val="00A66A8D"/>
    <w:rsid w:val="00A71585"/>
    <w:rsid w:val="00A7424E"/>
    <w:rsid w:val="00A74CEB"/>
    <w:rsid w:val="00A75940"/>
    <w:rsid w:val="00A760A1"/>
    <w:rsid w:val="00A761E9"/>
    <w:rsid w:val="00A809CE"/>
    <w:rsid w:val="00A82398"/>
    <w:rsid w:val="00A8426C"/>
    <w:rsid w:val="00A9252E"/>
    <w:rsid w:val="00A939FD"/>
    <w:rsid w:val="00A9516F"/>
    <w:rsid w:val="00A955FF"/>
    <w:rsid w:val="00A95615"/>
    <w:rsid w:val="00A97ED1"/>
    <w:rsid w:val="00AA2179"/>
    <w:rsid w:val="00AA4397"/>
    <w:rsid w:val="00AA6BAC"/>
    <w:rsid w:val="00AB10D8"/>
    <w:rsid w:val="00AB3D84"/>
    <w:rsid w:val="00AB7D43"/>
    <w:rsid w:val="00AB7FC8"/>
    <w:rsid w:val="00AC14EF"/>
    <w:rsid w:val="00AC1A6A"/>
    <w:rsid w:val="00AC1B74"/>
    <w:rsid w:val="00AC2C4E"/>
    <w:rsid w:val="00AC542B"/>
    <w:rsid w:val="00AC570B"/>
    <w:rsid w:val="00AC68B3"/>
    <w:rsid w:val="00AC72DD"/>
    <w:rsid w:val="00AC7962"/>
    <w:rsid w:val="00AC7E79"/>
    <w:rsid w:val="00AD19D7"/>
    <w:rsid w:val="00AD2996"/>
    <w:rsid w:val="00AD36AE"/>
    <w:rsid w:val="00AD3815"/>
    <w:rsid w:val="00AD439C"/>
    <w:rsid w:val="00AD4B3A"/>
    <w:rsid w:val="00AD4E44"/>
    <w:rsid w:val="00AD5E25"/>
    <w:rsid w:val="00AD6113"/>
    <w:rsid w:val="00AD7351"/>
    <w:rsid w:val="00AE0764"/>
    <w:rsid w:val="00AE0D55"/>
    <w:rsid w:val="00AE1053"/>
    <w:rsid w:val="00AE186A"/>
    <w:rsid w:val="00AE2002"/>
    <w:rsid w:val="00AE578E"/>
    <w:rsid w:val="00AE5B88"/>
    <w:rsid w:val="00AE5E49"/>
    <w:rsid w:val="00AF4666"/>
    <w:rsid w:val="00AF46A6"/>
    <w:rsid w:val="00AF6DBA"/>
    <w:rsid w:val="00AF7C5F"/>
    <w:rsid w:val="00B01A34"/>
    <w:rsid w:val="00B02FAF"/>
    <w:rsid w:val="00B04C50"/>
    <w:rsid w:val="00B04CCF"/>
    <w:rsid w:val="00B073B0"/>
    <w:rsid w:val="00B079D8"/>
    <w:rsid w:val="00B111DD"/>
    <w:rsid w:val="00B12930"/>
    <w:rsid w:val="00B154B4"/>
    <w:rsid w:val="00B15803"/>
    <w:rsid w:val="00B16B38"/>
    <w:rsid w:val="00B16E05"/>
    <w:rsid w:val="00B20163"/>
    <w:rsid w:val="00B222B8"/>
    <w:rsid w:val="00B2340D"/>
    <w:rsid w:val="00B257C2"/>
    <w:rsid w:val="00B306BB"/>
    <w:rsid w:val="00B31F41"/>
    <w:rsid w:val="00B36171"/>
    <w:rsid w:val="00B370BB"/>
    <w:rsid w:val="00B37917"/>
    <w:rsid w:val="00B41FE2"/>
    <w:rsid w:val="00B42CCD"/>
    <w:rsid w:val="00B43FF9"/>
    <w:rsid w:val="00B45DFD"/>
    <w:rsid w:val="00B5013F"/>
    <w:rsid w:val="00B50359"/>
    <w:rsid w:val="00B51817"/>
    <w:rsid w:val="00B52FA7"/>
    <w:rsid w:val="00B54D18"/>
    <w:rsid w:val="00B57DA1"/>
    <w:rsid w:val="00B615DB"/>
    <w:rsid w:val="00B61F3E"/>
    <w:rsid w:val="00B6244B"/>
    <w:rsid w:val="00B64D57"/>
    <w:rsid w:val="00B65106"/>
    <w:rsid w:val="00B66DDE"/>
    <w:rsid w:val="00B7001E"/>
    <w:rsid w:val="00B7149C"/>
    <w:rsid w:val="00B7218C"/>
    <w:rsid w:val="00B73239"/>
    <w:rsid w:val="00B74AA3"/>
    <w:rsid w:val="00B75686"/>
    <w:rsid w:val="00B768D0"/>
    <w:rsid w:val="00B80FE5"/>
    <w:rsid w:val="00B816D7"/>
    <w:rsid w:val="00B916A0"/>
    <w:rsid w:val="00B97B74"/>
    <w:rsid w:val="00BA2FBB"/>
    <w:rsid w:val="00BA4BEF"/>
    <w:rsid w:val="00BA54D0"/>
    <w:rsid w:val="00BA5BC3"/>
    <w:rsid w:val="00BB240F"/>
    <w:rsid w:val="00BB25CF"/>
    <w:rsid w:val="00BB56E4"/>
    <w:rsid w:val="00BB62A3"/>
    <w:rsid w:val="00BB7B4B"/>
    <w:rsid w:val="00BC18B5"/>
    <w:rsid w:val="00BC1E77"/>
    <w:rsid w:val="00BC28A2"/>
    <w:rsid w:val="00BC5BF7"/>
    <w:rsid w:val="00BD33DE"/>
    <w:rsid w:val="00BD3DA7"/>
    <w:rsid w:val="00BD424D"/>
    <w:rsid w:val="00BD5593"/>
    <w:rsid w:val="00BD6847"/>
    <w:rsid w:val="00BD6C61"/>
    <w:rsid w:val="00BE10B0"/>
    <w:rsid w:val="00BE131D"/>
    <w:rsid w:val="00BE3AFD"/>
    <w:rsid w:val="00BE4352"/>
    <w:rsid w:val="00BE4CF5"/>
    <w:rsid w:val="00BE58AC"/>
    <w:rsid w:val="00BE5EFE"/>
    <w:rsid w:val="00BE79CE"/>
    <w:rsid w:val="00BE7A3A"/>
    <w:rsid w:val="00BF04BF"/>
    <w:rsid w:val="00BF0B65"/>
    <w:rsid w:val="00BF159E"/>
    <w:rsid w:val="00BF1F59"/>
    <w:rsid w:val="00BF51C7"/>
    <w:rsid w:val="00BF64D8"/>
    <w:rsid w:val="00BF76C9"/>
    <w:rsid w:val="00C0069F"/>
    <w:rsid w:val="00C021DC"/>
    <w:rsid w:val="00C02B5E"/>
    <w:rsid w:val="00C05824"/>
    <w:rsid w:val="00C06487"/>
    <w:rsid w:val="00C0671C"/>
    <w:rsid w:val="00C06E70"/>
    <w:rsid w:val="00C07CCC"/>
    <w:rsid w:val="00C07EE1"/>
    <w:rsid w:val="00C104CA"/>
    <w:rsid w:val="00C10566"/>
    <w:rsid w:val="00C12FC3"/>
    <w:rsid w:val="00C131D1"/>
    <w:rsid w:val="00C13B0E"/>
    <w:rsid w:val="00C13BBA"/>
    <w:rsid w:val="00C13C28"/>
    <w:rsid w:val="00C13D9B"/>
    <w:rsid w:val="00C14467"/>
    <w:rsid w:val="00C148F2"/>
    <w:rsid w:val="00C16C02"/>
    <w:rsid w:val="00C25092"/>
    <w:rsid w:val="00C25696"/>
    <w:rsid w:val="00C25869"/>
    <w:rsid w:val="00C27868"/>
    <w:rsid w:val="00C27B91"/>
    <w:rsid w:val="00C3018E"/>
    <w:rsid w:val="00C313F1"/>
    <w:rsid w:val="00C352C4"/>
    <w:rsid w:val="00C36374"/>
    <w:rsid w:val="00C37D04"/>
    <w:rsid w:val="00C415CA"/>
    <w:rsid w:val="00C44B0D"/>
    <w:rsid w:val="00C44B27"/>
    <w:rsid w:val="00C46482"/>
    <w:rsid w:val="00C467B0"/>
    <w:rsid w:val="00C51E66"/>
    <w:rsid w:val="00C52DA9"/>
    <w:rsid w:val="00C532CC"/>
    <w:rsid w:val="00C5485B"/>
    <w:rsid w:val="00C57D7C"/>
    <w:rsid w:val="00C62737"/>
    <w:rsid w:val="00C631EC"/>
    <w:rsid w:val="00C70528"/>
    <w:rsid w:val="00C75474"/>
    <w:rsid w:val="00C804FD"/>
    <w:rsid w:val="00C813D4"/>
    <w:rsid w:val="00C825AD"/>
    <w:rsid w:val="00C8295A"/>
    <w:rsid w:val="00C82B13"/>
    <w:rsid w:val="00C850BC"/>
    <w:rsid w:val="00C863C1"/>
    <w:rsid w:val="00C8700F"/>
    <w:rsid w:val="00C90403"/>
    <w:rsid w:val="00C91B11"/>
    <w:rsid w:val="00C94617"/>
    <w:rsid w:val="00C9483E"/>
    <w:rsid w:val="00C9499F"/>
    <w:rsid w:val="00C94EBB"/>
    <w:rsid w:val="00C965F4"/>
    <w:rsid w:val="00CA0879"/>
    <w:rsid w:val="00CA0CCB"/>
    <w:rsid w:val="00CB0CF7"/>
    <w:rsid w:val="00CB36A3"/>
    <w:rsid w:val="00CB4083"/>
    <w:rsid w:val="00CB6B40"/>
    <w:rsid w:val="00CC018D"/>
    <w:rsid w:val="00CC0B73"/>
    <w:rsid w:val="00CC1DFF"/>
    <w:rsid w:val="00CC3AB8"/>
    <w:rsid w:val="00CC4DAA"/>
    <w:rsid w:val="00CC5488"/>
    <w:rsid w:val="00CC667D"/>
    <w:rsid w:val="00CC761B"/>
    <w:rsid w:val="00CD0B93"/>
    <w:rsid w:val="00CD0CE6"/>
    <w:rsid w:val="00CD176A"/>
    <w:rsid w:val="00CD2243"/>
    <w:rsid w:val="00CD22AD"/>
    <w:rsid w:val="00CD24F0"/>
    <w:rsid w:val="00CD400E"/>
    <w:rsid w:val="00CD4DAA"/>
    <w:rsid w:val="00CD5975"/>
    <w:rsid w:val="00CD6425"/>
    <w:rsid w:val="00CD6EA9"/>
    <w:rsid w:val="00CD7C32"/>
    <w:rsid w:val="00CD7E60"/>
    <w:rsid w:val="00CE233F"/>
    <w:rsid w:val="00CE2988"/>
    <w:rsid w:val="00CE3CA6"/>
    <w:rsid w:val="00CE441E"/>
    <w:rsid w:val="00CE468E"/>
    <w:rsid w:val="00CE5788"/>
    <w:rsid w:val="00CE6674"/>
    <w:rsid w:val="00CF0503"/>
    <w:rsid w:val="00CF0D7F"/>
    <w:rsid w:val="00CF1443"/>
    <w:rsid w:val="00CF5B98"/>
    <w:rsid w:val="00CF7D78"/>
    <w:rsid w:val="00D0025E"/>
    <w:rsid w:val="00D034EE"/>
    <w:rsid w:val="00D05644"/>
    <w:rsid w:val="00D05C50"/>
    <w:rsid w:val="00D10C33"/>
    <w:rsid w:val="00D12DB1"/>
    <w:rsid w:val="00D1310B"/>
    <w:rsid w:val="00D14CD6"/>
    <w:rsid w:val="00D14D6B"/>
    <w:rsid w:val="00D15636"/>
    <w:rsid w:val="00D15680"/>
    <w:rsid w:val="00D22B71"/>
    <w:rsid w:val="00D23022"/>
    <w:rsid w:val="00D245DF"/>
    <w:rsid w:val="00D2638D"/>
    <w:rsid w:val="00D3016F"/>
    <w:rsid w:val="00D30432"/>
    <w:rsid w:val="00D30AD8"/>
    <w:rsid w:val="00D32728"/>
    <w:rsid w:val="00D33C3A"/>
    <w:rsid w:val="00D33F29"/>
    <w:rsid w:val="00D34D5F"/>
    <w:rsid w:val="00D3592A"/>
    <w:rsid w:val="00D36090"/>
    <w:rsid w:val="00D407AA"/>
    <w:rsid w:val="00D41110"/>
    <w:rsid w:val="00D416FC"/>
    <w:rsid w:val="00D427C6"/>
    <w:rsid w:val="00D44196"/>
    <w:rsid w:val="00D443B2"/>
    <w:rsid w:val="00D45E70"/>
    <w:rsid w:val="00D47018"/>
    <w:rsid w:val="00D47C03"/>
    <w:rsid w:val="00D500D7"/>
    <w:rsid w:val="00D51B5B"/>
    <w:rsid w:val="00D52346"/>
    <w:rsid w:val="00D530B5"/>
    <w:rsid w:val="00D530FD"/>
    <w:rsid w:val="00D536EF"/>
    <w:rsid w:val="00D53D67"/>
    <w:rsid w:val="00D54284"/>
    <w:rsid w:val="00D55AAB"/>
    <w:rsid w:val="00D60274"/>
    <w:rsid w:val="00D64F7F"/>
    <w:rsid w:val="00D650F8"/>
    <w:rsid w:val="00D66C39"/>
    <w:rsid w:val="00D707EE"/>
    <w:rsid w:val="00D71C28"/>
    <w:rsid w:val="00D73A03"/>
    <w:rsid w:val="00D73ECB"/>
    <w:rsid w:val="00D74020"/>
    <w:rsid w:val="00D76B5F"/>
    <w:rsid w:val="00D805A2"/>
    <w:rsid w:val="00D81B84"/>
    <w:rsid w:val="00D81E26"/>
    <w:rsid w:val="00D8521F"/>
    <w:rsid w:val="00D864A3"/>
    <w:rsid w:val="00D8700F"/>
    <w:rsid w:val="00D87ED4"/>
    <w:rsid w:val="00D95510"/>
    <w:rsid w:val="00D96127"/>
    <w:rsid w:val="00D97014"/>
    <w:rsid w:val="00D970C3"/>
    <w:rsid w:val="00D9712E"/>
    <w:rsid w:val="00DA015A"/>
    <w:rsid w:val="00DA052A"/>
    <w:rsid w:val="00DA21A6"/>
    <w:rsid w:val="00DA35CF"/>
    <w:rsid w:val="00DA7E78"/>
    <w:rsid w:val="00DB00D0"/>
    <w:rsid w:val="00DB1437"/>
    <w:rsid w:val="00DB1B6B"/>
    <w:rsid w:val="00DB2AE3"/>
    <w:rsid w:val="00DB3843"/>
    <w:rsid w:val="00DC0BA5"/>
    <w:rsid w:val="00DC11D1"/>
    <w:rsid w:val="00DC1566"/>
    <w:rsid w:val="00DC1C59"/>
    <w:rsid w:val="00DC20B9"/>
    <w:rsid w:val="00DC41A5"/>
    <w:rsid w:val="00DC43B8"/>
    <w:rsid w:val="00DD243C"/>
    <w:rsid w:val="00DD2ED9"/>
    <w:rsid w:val="00DD5855"/>
    <w:rsid w:val="00DD7583"/>
    <w:rsid w:val="00DD75DA"/>
    <w:rsid w:val="00DE0788"/>
    <w:rsid w:val="00DE25CC"/>
    <w:rsid w:val="00DE2831"/>
    <w:rsid w:val="00DE2A78"/>
    <w:rsid w:val="00DE30E2"/>
    <w:rsid w:val="00DE335A"/>
    <w:rsid w:val="00DE3CB5"/>
    <w:rsid w:val="00DE4005"/>
    <w:rsid w:val="00DE6D26"/>
    <w:rsid w:val="00DE6E0F"/>
    <w:rsid w:val="00DF44C7"/>
    <w:rsid w:val="00DF5C99"/>
    <w:rsid w:val="00DF6C20"/>
    <w:rsid w:val="00E018BA"/>
    <w:rsid w:val="00E01FCC"/>
    <w:rsid w:val="00E05CDF"/>
    <w:rsid w:val="00E1009C"/>
    <w:rsid w:val="00E10694"/>
    <w:rsid w:val="00E10B88"/>
    <w:rsid w:val="00E1335C"/>
    <w:rsid w:val="00E13CEC"/>
    <w:rsid w:val="00E147A9"/>
    <w:rsid w:val="00E14C70"/>
    <w:rsid w:val="00E14C72"/>
    <w:rsid w:val="00E153FD"/>
    <w:rsid w:val="00E16D49"/>
    <w:rsid w:val="00E17B97"/>
    <w:rsid w:val="00E22DAA"/>
    <w:rsid w:val="00E23717"/>
    <w:rsid w:val="00E2390C"/>
    <w:rsid w:val="00E2593D"/>
    <w:rsid w:val="00E32E7B"/>
    <w:rsid w:val="00E4088F"/>
    <w:rsid w:val="00E414BA"/>
    <w:rsid w:val="00E438BB"/>
    <w:rsid w:val="00E4393E"/>
    <w:rsid w:val="00E45A86"/>
    <w:rsid w:val="00E45BD8"/>
    <w:rsid w:val="00E47401"/>
    <w:rsid w:val="00E478A9"/>
    <w:rsid w:val="00E47B09"/>
    <w:rsid w:val="00E503C6"/>
    <w:rsid w:val="00E517CF"/>
    <w:rsid w:val="00E51A50"/>
    <w:rsid w:val="00E51B15"/>
    <w:rsid w:val="00E51D11"/>
    <w:rsid w:val="00E52A83"/>
    <w:rsid w:val="00E531EC"/>
    <w:rsid w:val="00E56C19"/>
    <w:rsid w:val="00E56E51"/>
    <w:rsid w:val="00E57D01"/>
    <w:rsid w:val="00E60BC0"/>
    <w:rsid w:val="00E63B26"/>
    <w:rsid w:val="00E645CE"/>
    <w:rsid w:val="00E64981"/>
    <w:rsid w:val="00E66CF7"/>
    <w:rsid w:val="00E73237"/>
    <w:rsid w:val="00E75681"/>
    <w:rsid w:val="00E77496"/>
    <w:rsid w:val="00E800E3"/>
    <w:rsid w:val="00E804D2"/>
    <w:rsid w:val="00E804E7"/>
    <w:rsid w:val="00E83AF6"/>
    <w:rsid w:val="00E86060"/>
    <w:rsid w:val="00E86BBE"/>
    <w:rsid w:val="00E87B7E"/>
    <w:rsid w:val="00E90486"/>
    <w:rsid w:val="00E90CDA"/>
    <w:rsid w:val="00E91102"/>
    <w:rsid w:val="00E91323"/>
    <w:rsid w:val="00E9274A"/>
    <w:rsid w:val="00E93BDF"/>
    <w:rsid w:val="00E9566F"/>
    <w:rsid w:val="00E96B17"/>
    <w:rsid w:val="00EA13F5"/>
    <w:rsid w:val="00EA1C86"/>
    <w:rsid w:val="00EA3665"/>
    <w:rsid w:val="00EA469F"/>
    <w:rsid w:val="00EA5372"/>
    <w:rsid w:val="00EA5C33"/>
    <w:rsid w:val="00EA6EED"/>
    <w:rsid w:val="00EA7F51"/>
    <w:rsid w:val="00EB0158"/>
    <w:rsid w:val="00EB2014"/>
    <w:rsid w:val="00EB2138"/>
    <w:rsid w:val="00EB2F74"/>
    <w:rsid w:val="00EB33E2"/>
    <w:rsid w:val="00EB3854"/>
    <w:rsid w:val="00EB4385"/>
    <w:rsid w:val="00EB4842"/>
    <w:rsid w:val="00EB5C16"/>
    <w:rsid w:val="00EB5ED1"/>
    <w:rsid w:val="00EB63AE"/>
    <w:rsid w:val="00EB6BD2"/>
    <w:rsid w:val="00EB7124"/>
    <w:rsid w:val="00EB7B2B"/>
    <w:rsid w:val="00EC5B70"/>
    <w:rsid w:val="00ED2113"/>
    <w:rsid w:val="00ED21A8"/>
    <w:rsid w:val="00ED38AC"/>
    <w:rsid w:val="00ED3EF9"/>
    <w:rsid w:val="00ED5A79"/>
    <w:rsid w:val="00ED5DE5"/>
    <w:rsid w:val="00ED63BD"/>
    <w:rsid w:val="00ED6536"/>
    <w:rsid w:val="00EE1FBC"/>
    <w:rsid w:val="00EE5893"/>
    <w:rsid w:val="00EF00B2"/>
    <w:rsid w:val="00EF6B27"/>
    <w:rsid w:val="00EF6DC4"/>
    <w:rsid w:val="00F01952"/>
    <w:rsid w:val="00F035B2"/>
    <w:rsid w:val="00F06176"/>
    <w:rsid w:val="00F061FB"/>
    <w:rsid w:val="00F07033"/>
    <w:rsid w:val="00F120B6"/>
    <w:rsid w:val="00F12387"/>
    <w:rsid w:val="00F22651"/>
    <w:rsid w:val="00F22F79"/>
    <w:rsid w:val="00F24418"/>
    <w:rsid w:val="00F2611A"/>
    <w:rsid w:val="00F26C2F"/>
    <w:rsid w:val="00F3301F"/>
    <w:rsid w:val="00F33320"/>
    <w:rsid w:val="00F33FC7"/>
    <w:rsid w:val="00F3471B"/>
    <w:rsid w:val="00F35F77"/>
    <w:rsid w:val="00F361B6"/>
    <w:rsid w:val="00F361E2"/>
    <w:rsid w:val="00F36F79"/>
    <w:rsid w:val="00F3728E"/>
    <w:rsid w:val="00F412BD"/>
    <w:rsid w:val="00F41A95"/>
    <w:rsid w:val="00F46AB7"/>
    <w:rsid w:val="00F47CFF"/>
    <w:rsid w:val="00F47EE8"/>
    <w:rsid w:val="00F574D6"/>
    <w:rsid w:val="00F624FC"/>
    <w:rsid w:val="00F62D79"/>
    <w:rsid w:val="00F64ACB"/>
    <w:rsid w:val="00F67698"/>
    <w:rsid w:val="00F70654"/>
    <w:rsid w:val="00F719AB"/>
    <w:rsid w:val="00F72E87"/>
    <w:rsid w:val="00F73688"/>
    <w:rsid w:val="00F74629"/>
    <w:rsid w:val="00F75E44"/>
    <w:rsid w:val="00F803BC"/>
    <w:rsid w:val="00F805CF"/>
    <w:rsid w:val="00F83B87"/>
    <w:rsid w:val="00F84CAF"/>
    <w:rsid w:val="00F8521A"/>
    <w:rsid w:val="00F853A0"/>
    <w:rsid w:val="00F87B59"/>
    <w:rsid w:val="00F90A52"/>
    <w:rsid w:val="00F95C8A"/>
    <w:rsid w:val="00F96862"/>
    <w:rsid w:val="00F969A3"/>
    <w:rsid w:val="00F97407"/>
    <w:rsid w:val="00FA2381"/>
    <w:rsid w:val="00FA49D6"/>
    <w:rsid w:val="00FA7D53"/>
    <w:rsid w:val="00FB1032"/>
    <w:rsid w:val="00FB1349"/>
    <w:rsid w:val="00FB2227"/>
    <w:rsid w:val="00FB345E"/>
    <w:rsid w:val="00FB4071"/>
    <w:rsid w:val="00FB512E"/>
    <w:rsid w:val="00FB53F7"/>
    <w:rsid w:val="00FB5B08"/>
    <w:rsid w:val="00FC183B"/>
    <w:rsid w:val="00FC2028"/>
    <w:rsid w:val="00FC2B1D"/>
    <w:rsid w:val="00FC2B4D"/>
    <w:rsid w:val="00FC41B5"/>
    <w:rsid w:val="00FC504B"/>
    <w:rsid w:val="00FC6BC5"/>
    <w:rsid w:val="00FC7D11"/>
    <w:rsid w:val="00FC7E08"/>
    <w:rsid w:val="00FC7EBC"/>
    <w:rsid w:val="00FD0F20"/>
    <w:rsid w:val="00FD168E"/>
    <w:rsid w:val="00FD43DD"/>
    <w:rsid w:val="00FD6117"/>
    <w:rsid w:val="00FD6C2B"/>
    <w:rsid w:val="00FD79C2"/>
    <w:rsid w:val="00FE0D38"/>
    <w:rsid w:val="00FE1EE1"/>
    <w:rsid w:val="00FF107E"/>
    <w:rsid w:val="00FF2ACA"/>
    <w:rsid w:val="00FF6B03"/>
    <w:rsid w:val="00FF751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strokecolor="red">
      <v:fill color="white" on="f"/>
      <v:stroke color="red"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color w:val="3E3D40"/>
        <w:sz w:val="22"/>
        <w:szCs w:val="22"/>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78B"/>
    <w:rPr>
      <w:rFonts w:ascii="Arial MT Std Light" w:hAnsi="Arial MT Std Light"/>
      <w:sz w:val="20"/>
    </w:rPr>
  </w:style>
  <w:style w:type="paragraph" w:styleId="Heading1">
    <w:name w:val="heading 1"/>
    <w:basedOn w:val="Normal"/>
    <w:next w:val="NormalBodyText"/>
    <w:link w:val="Heading1Char"/>
    <w:qFormat/>
    <w:rsid w:val="0004569F"/>
    <w:pPr>
      <w:numPr>
        <w:numId w:val="2"/>
      </w:numPr>
      <w:tabs>
        <w:tab w:val="clear" w:pos="624"/>
        <w:tab w:val="left" w:pos="567"/>
      </w:tabs>
      <w:spacing w:after="360"/>
      <w:ind w:left="567" w:hanging="567"/>
      <w:outlineLvl w:val="0"/>
    </w:pPr>
    <w:rPr>
      <w:rFonts w:ascii="ITCAvantGardeStd-Bold" w:hAnsi="ITCAvantGardeStd-Bold"/>
      <w:color w:val="82B3D3"/>
      <w:sz w:val="48"/>
      <w:szCs w:val="48"/>
    </w:rPr>
  </w:style>
  <w:style w:type="paragraph" w:styleId="Heading2">
    <w:name w:val="heading 2"/>
    <w:basedOn w:val="Normal"/>
    <w:next w:val="NormalBodyText"/>
    <w:link w:val="Heading2Char"/>
    <w:qFormat/>
    <w:rsid w:val="000A3401"/>
    <w:pPr>
      <w:numPr>
        <w:ilvl w:val="1"/>
        <w:numId w:val="2"/>
      </w:numPr>
      <w:spacing w:before="240" w:after="240"/>
      <w:outlineLvl w:val="1"/>
    </w:pPr>
    <w:rPr>
      <w:rFonts w:ascii="ITCAvantGardeStd-Bold" w:hAnsi="ITCAvantGardeStd-Bold"/>
      <w:color w:val="82B3D3"/>
      <w:sz w:val="24"/>
    </w:rPr>
  </w:style>
  <w:style w:type="paragraph" w:styleId="Heading3">
    <w:name w:val="heading 3"/>
    <w:basedOn w:val="Normal"/>
    <w:next w:val="NormalBodyText"/>
    <w:link w:val="Heading3Char"/>
    <w:qFormat/>
    <w:rsid w:val="000A3401"/>
    <w:pPr>
      <w:numPr>
        <w:ilvl w:val="2"/>
        <w:numId w:val="2"/>
      </w:numPr>
      <w:spacing w:after="240"/>
      <w:outlineLvl w:val="2"/>
    </w:pPr>
    <w:rPr>
      <w:rFonts w:ascii="ITCAvantGardeStd-Md" w:hAnsi="ITCAvantGardeStd-Md"/>
      <w:color w:val="82B3D3"/>
      <w:szCs w:val="20"/>
    </w:rPr>
  </w:style>
  <w:style w:type="paragraph" w:styleId="Heading4">
    <w:name w:val="heading 4"/>
    <w:basedOn w:val="Normal"/>
    <w:next w:val="Normal"/>
    <w:qFormat/>
    <w:rsid w:val="00230A5B"/>
    <w:pPr>
      <w:overflowPunct w:val="0"/>
      <w:autoSpaceDE w:val="0"/>
      <w:autoSpaceDN w:val="0"/>
      <w:adjustRightInd w:val="0"/>
      <w:spacing w:before="120" w:after="120"/>
      <w:jc w:val="both"/>
      <w:textAlignment w:val="baseline"/>
      <w:outlineLvl w:val="3"/>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30A5B"/>
    <w:pPr>
      <w:tabs>
        <w:tab w:val="center" w:pos="4153"/>
        <w:tab w:val="right" w:pos="8306"/>
      </w:tabs>
    </w:pPr>
    <w:rPr>
      <w:sz w:val="12"/>
    </w:rPr>
  </w:style>
  <w:style w:type="paragraph" w:styleId="BodyText3">
    <w:name w:val="Body Text 3"/>
    <w:basedOn w:val="BodyText"/>
    <w:rsid w:val="00230A5B"/>
    <w:pPr>
      <w:overflowPunct w:val="0"/>
      <w:autoSpaceDE w:val="0"/>
      <w:autoSpaceDN w:val="0"/>
      <w:adjustRightInd w:val="0"/>
      <w:spacing w:before="120"/>
      <w:ind w:left="720"/>
      <w:jc w:val="both"/>
      <w:textAlignment w:val="baseline"/>
    </w:pPr>
    <w:rPr>
      <w:rFonts w:ascii="Times New Roman" w:hAnsi="Times New Roman"/>
      <w:sz w:val="24"/>
      <w:szCs w:val="20"/>
    </w:rPr>
  </w:style>
  <w:style w:type="character" w:styleId="CommentReference">
    <w:name w:val="annotation reference"/>
    <w:basedOn w:val="DefaultParagraphFont"/>
    <w:semiHidden/>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szCs w:val="20"/>
    </w:rPr>
  </w:style>
  <w:style w:type="paragraph" w:styleId="BodyTextIndent3">
    <w:name w:val="Body Text Indent 3"/>
    <w:basedOn w:val="Normal"/>
    <w:rsid w:val="00230A5B"/>
    <w:pPr>
      <w:spacing w:after="120"/>
      <w:ind w:left="284" w:hanging="284"/>
      <w:jc w:val="both"/>
    </w:pPr>
    <w:rPr>
      <w:rFonts w:ascii="Times New Roman" w:hAnsi="Times New Roman"/>
      <w:sz w:val="14"/>
      <w:szCs w:val="20"/>
    </w:rPr>
  </w:style>
  <w:style w:type="paragraph" w:styleId="BodyText">
    <w:name w:val="Body Text"/>
    <w:basedOn w:val="Normal"/>
    <w:rsid w:val="00230A5B"/>
    <w:pPr>
      <w:spacing w:after="120"/>
    </w:pPr>
  </w:style>
  <w:style w:type="paragraph" w:styleId="Header">
    <w:name w:val="header"/>
    <w:basedOn w:val="Normal"/>
    <w:rsid w:val="00230A5B"/>
    <w:pPr>
      <w:tabs>
        <w:tab w:val="center" w:pos="4153"/>
        <w:tab w:val="right" w:pos="8306"/>
      </w:tabs>
    </w:p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37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D7612"/>
    <w:pPr>
      <w:ind w:left="720"/>
      <w:contextualSpacing/>
    </w:pPr>
  </w:style>
  <w:style w:type="paragraph" w:styleId="BalloonText">
    <w:name w:val="Balloon Text"/>
    <w:basedOn w:val="Normal"/>
    <w:link w:val="BalloonTextChar"/>
    <w:rsid w:val="00633790"/>
    <w:rPr>
      <w:rFonts w:ascii="Tahoma" w:hAnsi="Tahoma" w:cs="Tahoma"/>
      <w:sz w:val="16"/>
      <w:szCs w:val="16"/>
    </w:rPr>
  </w:style>
  <w:style w:type="character" w:customStyle="1" w:styleId="BalloonTextChar">
    <w:name w:val="Balloon Text Char"/>
    <w:basedOn w:val="DefaultParagraphFont"/>
    <w:link w:val="BalloonText"/>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0000FF" w:themeColor="hyperlink"/>
      <w:u w:val="single"/>
    </w:rPr>
  </w:style>
  <w:style w:type="character" w:customStyle="1" w:styleId="Heading1Char">
    <w:name w:val="Heading 1 Char"/>
    <w:basedOn w:val="DefaultParagraphFont"/>
    <w:link w:val="Heading1"/>
    <w:rsid w:val="0004569F"/>
    <w:rPr>
      <w:rFonts w:ascii="ITCAvantGardeStd-Bold" w:hAnsi="ITCAvantGardeStd-Bold"/>
      <w:color w:val="82B3D3"/>
      <w:sz w:val="48"/>
      <w:szCs w:val="48"/>
    </w:rPr>
  </w:style>
  <w:style w:type="paragraph" w:styleId="Quote">
    <w:name w:val="Quote"/>
    <w:basedOn w:val="Normal"/>
    <w:next w:val="Normal"/>
    <w:link w:val="QuoteChar"/>
    <w:uiPriority w:val="29"/>
    <w:qFormat/>
    <w:rsid w:val="00815DB5"/>
    <w:pPr>
      <w:spacing w:after="240" w:line="288" w:lineRule="auto"/>
    </w:pPr>
    <w:rPr>
      <w:rFonts w:ascii="AvantGarde Bd BT" w:hAnsi="AvantGarde Bd BT"/>
      <w:i/>
      <w:color w:val="82B3D3"/>
      <w:szCs w:val="20"/>
    </w:rPr>
  </w:style>
  <w:style w:type="character" w:customStyle="1" w:styleId="QuoteChar">
    <w:name w:val="Quote Char"/>
    <w:basedOn w:val="DefaultParagraphFont"/>
    <w:link w:val="Quote"/>
    <w:uiPriority w:val="29"/>
    <w:rsid w:val="00815DB5"/>
    <w:rPr>
      <w:rFonts w:ascii="AvantGarde Bd BT" w:hAnsi="AvantGarde Bd BT"/>
      <w:i/>
      <w:color w:val="82B3D3"/>
      <w:lang w:eastAsia="en-US"/>
    </w:rPr>
  </w:style>
  <w:style w:type="character" w:styleId="IntenseReference">
    <w:name w:val="Intense Reference"/>
    <w:uiPriority w:val="32"/>
    <w:qFormat/>
    <w:rsid w:val="00AE5B88"/>
    <w:rPr>
      <w:rFonts w:ascii="AvantGarde Bk BT" w:hAnsi="AvantGarde Bk BT"/>
      <w:b/>
      <w:color w:val="82B3D3"/>
      <w:sz w:val="48"/>
      <w:szCs w:val="48"/>
    </w:rPr>
  </w:style>
  <w:style w:type="paragraph" w:styleId="IntenseQuote">
    <w:name w:val="Intense Quote"/>
    <w:basedOn w:val="Normal"/>
    <w:next w:val="Normal"/>
    <w:link w:val="IntenseQuoteChar"/>
    <w:uiPriority w:val="30"/>
    <w:qFormat/>
    <w:rsid w:val="00DE0788"/>
    <w:pPr>
      <w:spacing w:after="120"/>
    </w:pPr>
    <w:rPr>
      <w:rFonts w:ascii="AvantGarde Bd BT" w:hAnsi="AvantGarde Bd BT"/>
      <w:color w:val="82B3D3"/>
      <w:sz w:val="24"/>
      <w:szCs w:val="30"/>
    </w:rPr>
  </w:style>
  <w:style w:type="character" w:customStyle="1" w:styleId="IntenseQuoteChar">
    <w:name w:val="Intense Quote Char"/>
    <w:basedOn w:val="DefaultParagraphFont"/>
    <w:link w:val="IntenseQuote"/>
    <w:uiPriority w:val="30"/>
    <w:rsid w:val="00DE0788"/>
    <w:rPr>
      <w:rFonts w:ascii="AvantGarde Bd BT" w:hAnsi="AvantGarde Bd BT"/>
      <w:color w:val="82B3D3"/>
      <w:sz w:val="24"/>
      <w:szCs w:val="30"/>
    </w:rPr>
  </w:style>
  <w:style w:type="paragraph" w:customStyle="1" w:styleId="CoverDate">
    <w:name w:val="Cover Date"/>
    <w:basedOn w:val="IntenseQuote"/>
    <w:link w:val="CoverDateChar"/>
    <w:qFormat/>
    <w:rsid w:val="00B306BB"/>
  </w:style>
  <w:style w:type="paragraph" w:customStyle="1" w:styleId="CoverSubtitle">
    <w:name w:val="Cover Subtitle"/>
    <w:basedOn w:val="IntenseQuote"/>
    <w:link w:val="CoverSubtitleChar"/>
    <w:qFormat/>
    <w:rsid w:val="00B306BB"/>
  </w:style>
  <w:style w:type="character" w:customStyle="1" w:styleId="CoverDateChar">
    <w:name w:val="Cover Date Char"/>
    <w:basedOn w:val="IntenseQuoteChar"/>
    <w:link w:val="CoverDate"/>
    <w:rsid w:val="00B306BB"/>
    <w:rPr>
      <w:rFonts w:ascii="AvantGarde Bd BT" w:hAnsi="AvantGarde Bd BT"/>
      <w:color w:val="82B3D3"/>
      <w:sz w:val="30"/>
      <w:szCs w:val="30"/>
      <w:lang w:eastAsia="en-US"/>
    </w:rPr>
  </w:style>
  <w:style w:type="paragraph" w:customStyle="1" w:styleId="LegalText">
    <w:name w:val="Legal Text"/>
    <w:basedOn w:val="Normal"/>
    <w:link w:val="LegalTextChar"/>
    <w:qFormat/>
    <w:rsid w:val="00B306BB"/>
    <w:pPr>
      <w:autoSpaceDE w:val="0"/>
      <w:autoSpaceDN w:val="0"/>
      <w:adjustRightInd w:val="0"/>
      <w:spacing w:after="240" w:line="264" w:lineRule="auto"/>
    </w:pPr>
    <w:rPr>
      <w:rFonts w:ascii="ArialMT-Light" w:hAnsi="ArialMT-Light" w:cs="ArialMT-Light"/>
      <w:color w:val="82B3D3"/>
      <w:szCs w:val="20"/>
    </w:rPr>
  </w:style>
  <w:style w:type="character" w:customStyle="1" w:styleId="CoverSubtitleChar">
    <w:name w:val="Cover Subtitle Char"/>
    <w:basedOn w:val="IntenseQuoteChar"/>
    <w:link w:val="CoverSubtitle"/>
    <w:rsid w:val="00B306BB"/>
    <w:rPr>
      <w:rFonts w:ascii="AvantGarde Bd BT" w:hAnsi="AvantGarde Bd BT"/>
      <w:color w:val="82B3D3"/>
      <w:sz w:val="30"/>
      <w:szCs w:val="30"/>
      <w:lang w:eastAsia="en-US"/>
    </w:rPr>
  </w:style>
  <w:style w:type="character" w:customStyle="1" w:styleId="LegalTextChar">
    <w:name w:val="Legal Text Char"/>
    <w:basedOn w:val="DefaultParagraphFont"/>
    <w:link w:val="LegalText"/>
    <w:rsid w:val="00B306BB"/>
    <w:rPr>
      <w:rFonts w:ascii="ArialMT-Light" w:hAnsi="ArialMT-Light" w:cs="ArialMT-Light"/>
      <w:color w:val="82B3D3"/>
      <w:sz w:val="20"/>
      <w:szCs w:val="20"/>
    </w:rPr>
  </w:style>
  <w:style w:type="paragraph" w:customStyle="1" w:styleId="JobTitle">
    <w:name w:val="Job Title"/>
    <w:basedOn w:val="Normal"/>
    <w:link w:val="JobTitleChar"/>
    <w:qFormat/>
    <w:rsid w:val="00314FDA"/>
    <w:pPr>
      <w:autoSpaceDE w:val="0"/>
      <w:autoSpaceDN w:val="0"/>
      <w:adjustRightInd w:val="0"/>
      <w:spacing w:line="264" w:lineRule="auto"/>
    </w:pPr>
    <w:rPr>
      <w:rFonts w:ascii="ArialMT-Light" w:hAnsi="ArialMT-Light" w:cs="ArialMT-Light"/>
      <w:color w:val="82B3D3"/>
      <w:szCs w:val="20"/>
    </w:rPr>
  </w:style>
  <w:style w:type="character" w:customStyle="1" w:styleId="JobTitleChar">
    <w:name w:val="Job Title Char"/>
    <w:basedOn w:val="DefaultParagraphFont"/>
    <w:link w:val="JobTitle"/>
    <w:rsid w:val="00314FDA"/>
    <w:rPr>
      <w:rFonts w:ascii="ArialMT-Light" w:hAnsi="ArialMT-Light" w:cs="ArialMT-Light"/>
      <w:color w:val="82B3D3"/>
      <w:sz w:val="20"/>
      <w:szCs w:val="20"/>
    </w:rPr>
  </w:style>
  <w:style w:type="paragraph" w:styleId="TOCHeading">
    <w:name w:val="TOC Heading"/>
    <w:basedOn w:val="Heading1"/>
    <w:next w:val="Normal"/>
    <w:uiPriority w:val="39"/>
    <w:unhideWhenUsed/>
    <w:qFormat/>
    <w:rsid w:val="004729BD"/>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link w:val="TOC1Char"/>
    <w:uiPriority w:val="39"/>
    <w:qFormat/>
    <w:rsid w:val="00D427C6"/>
    <w:pPr>
      <w:tabs>
        <w:tab w:val="left" w:pos="284"/>
        <w:tab w:val="right" w:leader="dot" w:pos="10195"/>
      </w:tabs>
      <w:spacing w:after="100"/>
      <w:ind w:left="284" w:hanging="284"/>
    </w:pPr>
    <w:rPr>
      <w:rFonts w:ascii="ITCAvantGardeStd-Bold" w:hAnsi="ITCAvantGardeStd-Bold"/>
      <w:sz w:val="24"/>
    </w:rPr>
  </w:style>
  <w:style w:type="paragraph" w:styleId="TOC2">
    <w:name w:val="toc 2"/>
    <w:basedOn w:val="Normal"/>
    <w:next w:val="Normal"/>
    <w:link w:val="TOC2Char"/>
    <w:uiPriority w:val="39"/>
    <w:qFormat/>
    <w:rsid w:val="00D427C6"/>
    <w:pPr>
      <w:tabs>
        <w:tab w:val="left" w:pos="851"/>
        <w:tab w:val="right" w:leader="dot" w:pos="10195"/>
      </w:tabs>
      <w:spacing w:after="100"/>
      <w:ind w:left="851" w:hanging="567"/>
    </w:pPr>
    <w:rPr>
      <w:rFonts w:ascii="ITCAvantGardeStd-Bold" w:hAnsi="ITCAvantGardeStd-Bold"/>
    </w:rPr>
  </w:style>
  <w:style w:type="paragraph" w:styleId="TOC3">
    <w:name w:val="toc 3"/>
    <w:basedOn w:val="Normal"/>
    <w:next w:val="Normal"/>
    <w:link w:val="TOC3Char"/>
    <w:uiPriority w:val="39"/>
    <w:qFormat/>
    <w:rsid w:val="00D427C6"/>
    <w:pPr>
      <w:tabs>
        <w:tab w:val="left" w:pos="851"/>
        <w:tab w:val="right" w:leader="dot" w:pos="10206"/>
      </w:tabs>
      <w:spacing w:after="100"/>
      <w:ind w:left="851" w:hanging="567"/>
    </w:pPr>
    <w:rPr>
      <w:rFonts w:ascii="ITCAvantGardeStd-Md" w:hAnsi="ITCAvantGardeStd-Md"/>
    </w:rPr>
  </w:style>
  <w:style w:type="paragraph" w:customStyle="1" w:styleId="TOCLevel1">
    <w:name w:val="TOCLevel1"/>
    <w:basedOn w:val="TOC1"/>
    <w:link w:val="TOCLevel1Char"/>
    <w:qFormat/>
    <w:rsid w:val="00253FC7"/>
    <w:pPr>
      <w:tabs>
        <w:tab w:val="clear" w:pos="10195"/>
        <w:tab w:val="right" w:leader="dot" w:pos="10206"/>
      </w:tabs>
    </w:pPr>
    <w:rPr>
      <w:noProof/>
      <w:color w:val="82B3D3"/>
    </w:rPr>
  </w:style>
  <w:style w:type="paragraph" w:customStyle="1" w:styleId="TOCLevel2">
    <w:name w:val="TOCLevel2"/>
    <w:basedOn w:val="TOC2"/>
    <w:link w:val="TOCLevel2Char"/>
    <w:qFormat/>
    <w:rsid w:val="00253FC7"/>
    <w:pPr>
      <w:tabs>
        <w:tab w:val="clear" w:pos="10195"/>
        <w:tab w:val="right" w:leader="dot" w:pos="10206"/>
      </w:tabs>
    </w:pPr>
    <w:rPr>
      <w:b/>
      <w:noProof/>
      <w:color w:val="82B3D3"/>
      <w:szCs w:val="20"/>
    </w:rPr>
  </w:style>
  <w:style w:type="character" w:customStyle="1" w:styleId="TOC1Char">
    <w:name w:val="TOC 1 Char"/>
    <w:basedOn w:val="DefaultParagraphFont"/>
    <w:link w:val="TOC1"/>
    <w:uiPriority w:val="39"/>
    <w:rsid w:val="00D427C6"/>
    <w:rPr>
      <w:rFonts w:ascii="ITCAvantGardeStd-Bold" w:hAnsi="ITCAvantGardeStd-Bold"/>
      <w:sz w:val="24"/>
    </w:rPr>
  </w:style>
  <w:style w:type="character" w:customStyle="1" w:styleId="TOCLevel1Char">
    <w:name w:val="TOCLevel1 Char"/>
    <w:basedOn w:val="TOC1Char"/>
    <w:link w:val="TOCLevel1"/>
    <w:rsid w:val="00253FC7"/>
    <w:rPr>
      <w:rFonts w:ascii="ITCAvantGardeStd-Bold" w:hAnsi="ITCAvantGardeStd-Bold"/>
      <w:noProof/>
      <w:color w:val="82B3D3"/>
      <w:sz w:val="24"/>
    </w:rPr>
  </w:style>
  <w:style w:type="paragraph" w:customStyle="1" w:styleId="TOCLevel3">
    <w:name w:val="TOCLevel3"/>
    <w:basedOn w:val="TOC3"/>
    <w:link w:val="TOCLevel3Char"/>
    <w:qFormat/>
    <w:rsid w:val="00253FC7"/>
    <w:rPr>
      <w:noProof/>
      <w:szCs w:val="20"/>
    </w:rPr>
  </w:style>
  <w:style w:type="character" w:customStyle="1" w:styleId="TOC2Char">
    <w:name w:val="TOC 2 Char"/>
    <w:basedOn w:val="DefaultParagraphFont"/>
    <w:link w:val="TOC2"/>
    <w:uiPriority w:val="39"/>
    <w:rsid w:val="00D427C6"/>
    <w:rPr>
      <w:rFonts w:ascii="ITCAvantGardeStd-Bold" w:hAnsi="ITCAvantGardeStd-Bold"/>
      <w:sz w:val="20"/>
    </w:rPr>
  </w:style>
  <w:style w:type="character" w:customStyle="1" w:styleId="TOCLevel2Char">
    <w:name w:val="TOCLevel2 Char"/>
    <w:basedOn w:val="TOC2Char"/>
    <w:link w:val="TOCLevel2"/>
    <w:rsid w:val="00253FC7"/>
    <w:rPr>
      <w:rFonts w:ascii="ITCAvantGardeStd-Bold" w:hAnsi="ITCAvantGardeStd-Bold"/>
      <w:b/>
      <w:noProof/>
      <w:color w:val="82B3D3"/>
      <w:sz w:val="20"/>
      <w:szCs w:val="20"/>
    </w:rPr>
  </w:style>
  <w:style w:type="table" w:styleId="TableColorful2">
    <w:name w:val="Table Colorful 2"/>
    <w:basedOn w:val="TableNormal"/>
    <w:rsid w:val="00BC18B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basedOn w:val="DefaultParagraphFont"/>
    <w:link w:val="TOC3"/>
    <w:uiPriority w:val="39"/>
    <w:rsid w:val="00D427C6"/>
    <w:rPr>
      <w:rFonts w:ascii="ITCAvantGardeStd-Md" w:hAnsi="ITCAvantGardeStd-Md"/>
      <w:sz w:val="20"/>
    </w:rPr>
  </w:style>
  <w:style w:type="character" w:customStyle="1" w:styleId="TOCLevel3Char">
    <w:name w:val="TOCLevel3 Char"/>
    <w:basedOn w:val="TOC3Char"/>
    <w:link w:val="TOCLevel3"/>
    <w:rsid w:val="00253FC7"/>
    <w:rPr>
      <w:rFonts w:ascii="ITCAvantGardeStd-Md" w:hAnsi="ITCAvantGardeStd-Md"/>
      <w:noProof/>
      <w:sz w:val="20"/>
      <w:szCs w:val="20"/>
    </w:rPr>
  </w:style>
  <w:style w:type="numbering" w:customStyle="1" w:styleId="Style1">
    <w:name w:val="Style1"/>
    <w:uiPriority w:val="99"/>
    <w:rsid w:val="00935BAE"/>
    <w:pPr>
      <w:numPr>
        <w:numId w:val="3"/>
      </w:numPr>
    </w:pPr>
  </w:style>
  <w:style w:type="numbering" w:customStyle="1" w:styleId="Bodybullets">
    <w:name w:val="Bodybullets"/>
    <w:uiPriority w:val="99"/>
    <w:rsid w:val="008711C4"/>
    <w:pPr>
      <w:numPr>
        <w:numId w:val="12"/>
      </w:numPr>
    </w:pPr>
  </w:style>
  <w:style w:type="numbering" w:customStyle="1" w:styleId="Keyfindingsbullets">
    <w:name w:val="Keyfindingsbullets"/>
    <w:uiPriority w:val="99"/>
    <w:rsid w:val="0078578B"/>
    <w:pPr>
      <w:numPr>
        <w:numId w:val="13"/>
      </w:numPr>
    </w:pPr>
  </w:style>
  <w:style w:type="paragraph" w:customStyle="1" w:styleId="ImageCaption">
    <w:name w:val="Image Caption"/>
    <w:basedOn w:val="Heading3"/>
    <w:next w:val="NormalBodyText"/>
    <w:link w:val="ImageCaptionChar"/>
    <w:qFormat/>
    <w:rsid w:val="0057480F"/>
    <w:pPr>
      <w:numPr>
        <w:ilvl w:val="0"/>
        <w:numId w:val="0"/>
      </w:numPr>
      <w:ind w:left="1224" w:hanging="1224"/>
    </w:pPr>
  </w:style>
  <w:style w:type="paragraph" w:styleId="TableofFigures">
    <w:name w:val="table of figures"/>
    <w:basedOn w:val="Normal"/>
    <w:next w:val="Normal"/>
    <w:uiPriority w:val="99"/>
    <w:qFormat/>
    <w:rsid w:val="00253FC7"/>
    <w:pPr>
      <w:tabs>
        <w:tab w:val="right" w:leader="dot" w:pos="10206"/>
      </w:tabs>
    </w:pPr>
    <w:rPr>
      <w:rFonts w:ascii="ITCAvantGardeStd-Bold" w:hAnsi="ITCAvantGardeStd-Bold"/>
    </w:rPr>
  </w:style>
  <w:style w:type="character" w:customStyle="1" w:styleId="Heading3Char">
    <w:name w:val="Heading 3 Char"/>
    <w:basedOn w:val="DefaultParagraphFont"/>
    <w:link w:val="Heading3"/>
    <w:rsid w:val="000A3401"/>
    <w:rPr>
      <w:rFonts w:ascii="ITCAvantGardeStd-Md" w:hAnsi="ITCAvantGardeStd-Md"/>
      <w:color w:val="82B3D3"/>
      <w:sz w:val="20"/>
      <w:szCs w:val="20"/>
    </w:rPr>
  </w:style>
  <w:style w:type="character" w:customStyle="1" w:styleId="ImageCaptionChar">
    <w:name w:val="Image Caption Char"/>
    <w:basedOn w:val="Heading3Char"/>
    <w:link w:val="ImageCaption"/>
    <w:rsid w:val="0057480F"/>
    <w:rPr>
      <w:rFonts w:ascii="ITCAvantGardeStd-Md" w:hAnsi="ITCAvantGardeStd-Md"/>
      <w:color w:val="82B3D3"/>
      <w:sz w:val="20"/>
      <w:szCs w:val="20"/>
    </w:rPr>
  </w:style>
  <w:style w:type="paragraph" w:customStyle="1" w:styleId="TableCaption">
    <w:name w:val="Table Caption"/>
    <w:basedOn w:val="Heading3"/>
    <w:next w:val="NormalBodyText"/>
    <w:link w:val="TableCaptionChar"/>
    <w:qFormat/>
    <w:rsid w:val="0057480F"/>
    <w:pPr>
      <w:numPr>
        <w:ilvl w:val="0"/>
        <w:numId w:val="0"/>
      </w:numPr>
      <w:ind w:left="1224" w:hanging="1224"/>
    </w:pPr>
  </w:style>
  <w:style w:type="character" w:customStyle="1" w:styleId="TableCaptionChar">
    <w:name w:val="Table Caption Char"/>
    <w:basedOn w:val="Heading3Char"/>
    <w:link w:val="TableCaption"/>
    <w:rsid w:val="0057480F"/>
    <w:rPr>
      <w:rFonts w:ascii="ITCAvantGardeStd-Md" w:hAnsi="ITCAvantGardeStd-Md"/>
      <w:color w:val="82B3D3"/>
      <w:sz w:val="20"/>
      <w:szCs w:val="20"/>
    </w:rPr>
  </w:style>
  <w:style w:type="paragraph" w:styleId="Caption">
    <w:name w:val="caption"/>
    <w:basedOn w:val="Normal"/>
    <w:next w:val="Normal"/>
    <w:unhideWhenUsed/>
    <w:qFormat/>
    <w:rsid w:val="000F22FB"/>
    <w:pPr>
      <w:spacing w:after="200"/>
    </w:pPr>
    <w:rPr>
      <w:b/>
      <w:bCs/>
      <w:color w:val="4F81BD" w:themeColor="accent1"/>
      <w:sz w:val="18"/>
      <w:szCs w:val="18"/>
    </w:rPr>
  </w:style>
  <w:style w:type="paragraph" w:customStyle="1" w:styleId="NormalBodyText">
    <w:name w:val="Normal Body Text"/>
    <w:basedOn w:val="Normal"/>
    <w:link w:val="NormalBodyTextChar"/>
    <w:qFormat/>
    <w:rsid w:val="0078578B"/>
    <w:pPr>
      <w:numPr>
        <w:numId w:val="10"/>
      </w:numPr>
      <w:spacing w:after="240" w:line="288" w:lineRule="auto"/>
    </w:pPr>
    <w:rPr>
      <w:szCs w:val="20"/>
    </w:rPr>
  </w:style>
  <w:style w:type="character" w:customStyle="1" w:styleId="NormalBodyTextChar">
    <w:name w:val="Normal Body Text Char"/>
    <w:basedOn w:val="DefaultParagraphFont"/>
    <w:link w:val="NormalBodyText"/>
    <w:rsid w:val="0078578B"/>
    <w:rPr>
      <w:rFonts w:ascii="Arial MT Std Light" w:hAnsi="Arial MT Std Light"/>
      <w:sz w:val="20"/>
      <w:szCs w:val="20"/>
    </w:rPr>
  </w:style>
  <w:style w:type="paragraph" w:customStyle="1" w:styleId="TableFooter">
    <w:name w:val="Table Footer"/>
    <w:basedOn w:val="Normal"/>
    <w:link w:val="TableFooterChar"/>
    <w:qFormat/>
    <w:rsid w:val="00EB2F74"/>
    <w:pPr>
      <w:pBdr>
        <w:bottom w:val="single" w:sz="12" w:space="1" w:color="82B3D3"/>
      </w:pBdr>
      <w:spacing w:before="240" w:after="240" w:line="288" w:lineRule="auto"/>
    </w:pPr>
    <w:rPr>
      <w:szCs w:val="20"/>
    </w:rPr>
  </w:style>
  <w:style w:type="paragraph" w:styleId="FootnoteText">
    <w:name w:val="footnote text"/>
    <w:basedOn w:val="Normal"/>
    <w:link w:val="FootnoteTextChar"/>
    <w:rsid w:val="00C52DA9"/>
    <w:rPr>
      <w:sz w:val="16"/>
      <w:szCs w:val="20"/>
    </w:rPr>
  </w:style>
  <w:style w:type="character" w:customStyle="1" w:styleId="TableFooterChar">
    <w:name w:val="Table Footer Char"/>
    <w:basedOn w:val="DefaultParagraphFont"/>
    <w:link w:val="TableFooter"/>
    <w:rsid w:val="00EB2F74"/>
    <w:rPr>
      <w:rFonts w:ascii="Arial MT Light" w:hAnsi="Arial MT Light"/>
      <w:sz w:val="20"/>
      <w:szCs w:val="20"/>
    </w:rPr>
  </w:style>
  <w:style w:type="character" w:customStyle="1" w:styleId="FootnoteTextChar">
    <w:name w:val="Footnote Text Char"/>
    <w:basedOn w:val="DefaultParagraphFont"/>
    <w:link w:val="FootnoteText"/>
    <w:rsid w:val="00C52DA9"/>
    <w:rPr>
      <w:rFonts w:ascii="Arial MT Light" w:hAnsi="Arial MT Light"/>
      <w:sz w:val="16"/>
      <w:szCs w:val="20"/>
    </w:rPr>
  </w:style>
  <w:style w:type="character" w:styleId="FootnoteReference">
    <w:name w:val="footnote reference"/>
    <w:basedOn w:val="DefaultParagraphFont"/>
    <w:rsid w:val="0029619B"/>
    <w:rPr>
      <w:vertAlign w:val="superscript"/>
    </w:rPr>
  </w:style>
  <w:style w:type="paragraph" w:customStyle="1" w:styleId="Heading1no-number">
    <w:name w:val="Heading 1 no-number"/>
    <w:basedOn w:val="Heading1"/>
    <w:next w:val="NormalBodyText"/>
    <w:link w:val="Heading1no-numberChar"/>
    <w:qFormat/>
    <w:rsid w:val="002478C1"/>
    <w:pPr>
      <w:numPr>
        <w:numId w:val="0"/>
      </w:numPr>
    </w:pPr>
  </w:style>
  <w:style w:type="paragraph" w:customStyle="1" w:styleId="Heading2no-number">
    <w:name w:val="Heading 2 no-number"/>
    <w:basedOn w:val="Heading2"/>
    <w:next w:val="NormalBodyText"/>
    <w:link w:val="Heading2no-numberChar"/>
    <w:qFormat/>
    <w:rsid w:val="002478C1"/>
    <w:pPr>
      <w:numPr>
        <w:ilvl w:val="0"/>
        <w:numId w:val="0"/>
      </w:numPr>
    </w:pPr>
  </w:style>
  <w:style w:type="character" w:customStyle="1" w:styleId="Heading1no-numberChar">
    <w:name w:val="Heading 1 no-number Char"/>
    <w:basedOn w:val="Heading1Char"/>
    <w:link w:val="Heading1no-number"/>
    <w:rsid w:val="002478C1"/>
    <w:rPr>
      <w:rFonts w:ascii="ITCAvantGardeStd-Bold" w:hAnsi="ITCAvantGardeStd-Bold"/>
      <w:color w:val="82B3D3"/>
      <w:sz w:val="48"/>
      <w:szCs w:val="48"/>
    </w:rPr>
  </w:style>
  <w:style w:type="paragraph" w:customStyle="1" w:styleId="Heading3no-number">
    <w:name w:val="Heading 3 no-number"/>
    <w:basedOn w:val="Heading3"/>
    <w:next w:val="NormalBodyText"/>
    <w:link w:val="Heading3no-numberChar"/>
    <w:qFormat/>
    <w:rsid w:val="002478C1"/>
    <w:pPr>
      <w:numPr>
        <w:ilvl w:val="0"/>
        <w:numId w:val="0"/>
      </w:numPr>
    </w:pPr>
  </w:style>
  <w:style w:type="character" w:customStyle="1" w:styleId="Heading2Char">
    <w:name w:val="Heading 2 Char"/>
    <w:basedOn w:val="DefaultParagraphFont"/>
    <w:link w:val="Heading2"/>
    <w:rsid w:val="000A3401"/>
    <w:rPr>
      <w:rFonts w:ascii="ITCAvantGardeStd-Bold" w:hAnsi="ITCAvantGardeStd-Bold"/>
      <w:color w:val="82B3D3"/>
      <w:sz w:val="24"/>
    </w:rPr>
  </w:style>
  <w:style w:type="character" w:customStyle="1" w:styleId="Heading2no-numberChar">
    <w:name w:val="Heading 2 no-number Char"/>
    <w:basedOn w:val="Heading2Char"/>
    <w:link w:val="Heading2no-number"/>
    <w:rsid w:val="002478C1"/>
    <w:rPr>
      <w:rFonts w:ascii="ITCAvantGardeStd-Bold" w:hAnsi="ITCAvantGardeStd-Bold"/>
      <w:color w:val="82B3D3"/>
      <w:sz w:val="24"/>
    </w:rPr>
  </w:style>
  <w:style w:type="paragraph" w:customStyle="1" w:styleId="Longquote">
    <w:name w:val="Long quote"/>
    <w:basedOn w:val="NormalBodyText"/>
    <w:next w:val="Longquotesource"/>
    <w:link w:val="LongquoteChar"/>
    <w:qFormat/>
    <w:rsid w:val="00275829"/>
    <w:pPr>
      <w:spacing w:after="0"/>
    </w:pPr>
    <w:rPr>
      <w:rFonts w:ascii="ITCAvantGardeStd-Bold" w:hAnsi="ITCAvantGardeStd-Bold"/>
      <w:i/>
    </w:rPr>
  </w:style>
  <w:style w:type="character" w:customStyle="1" w:styleId="Heading3no-numberChar">
    <w:name w:val="Heading 3 no-number Char"/>
    <w:basedOn w:val="Heading3Char"/>
    <w:link w:val="Heading3no-number"/>
    <w:rsid w:val="002478C1"/>
    <w:rPr>
      <w:rFonts w:ascii="ITCAvantGardeStd-Md" w:hAnsi="ITCAvantGardeStd-Md"/>
      <w:color w:val="82B3D3"/>
      <w:sz w:val="20"/>
      <w:szCs w:val="20"/>
    </w:rPr>
  </w:style>
  <w:style w:type="paragraph" w:customStyle="1" w:styleId="Longquotesource">
    <w:name w:val="Long quote source"/>
    <w:basedOn w:val="Longquote"/>
    <w:next w:val="NormalBodyText"/>
    <w:link w:val="LongquotesourceChar"/>
    <w:qFormat/>
    <w:rsid w:val="0004569F"/>
    <w:pPr>
      <w:spacing w:after="240"/>
    </w:pPr>
    <w:rPr>
      <w:rFonts w:ascii="Arial MT Std Light" w:hAnsi="Arial MT Std Light"/>
      <w:i w:val="0"/>
    </w:rPr>
  </w:style>
  <w:style w:type="character" w:customStyle="1" w:styleId="LongquoteChar">
    <w:name w:val="Long quote Char"/>
    <w:basedOn w:val="NormalBodyTextChar"/>
    <w:link w:val="Longquote"/>
    <w:rsid w:val="00275829"/>
    <w:rPr>
      <w:rFonts w:ascii="ITCAvantGardeStd-Bold" w:hAnsi="ITCAvantGardeStd-Bold"/>
      <w:i/>
      <w:sz w:val="20"/>
      <w:szCs w:val="20"/>
    </w:rPr>
  </w:style>
  <w:style w:type="character" w:customStyle="1" w:styleId="LongquotesourceChar">
    <w:name w:val="Long quote source Char"/>
    <w:basedOn w:val="LongquoteChar"/>
    <w:link w:val="Longquotesource"/>
    <w:rsid w:val="0004569F"/>
    <w:rPr>
      <w:rFonts w:ascii="Arial MT Std Light" w:hAnsi="Arial MT Std Light"/>
      <w:i w:val="0"/>
      <w:sz w:val="20"/>
      <w:szCs w:val="20"/>
    </w:rPr>
  </w:style>
  <w:style w:type="paragraph" w:customStyle="1" w:styleId="BulletLevel1">
    <w:name w:val="BulletLevel1"/>
    <w:basedOn w:val="ListParagraph"/>
    <w:link w:val="BulletLevel1Char"/>
    <w:qFormat/>
    <w:rsid w:val="008711C4"/>
    <w:pPr>
      <w:numPr>
        <w:numId w:val="12"/>
      </w:numPr>
      <w:spacing w:after="240" w:line="288" w:lineRule="auto"/>
      <w:contextualSpacing w:val="0"/>
    </w:pPr>
    <w:rPr>
      <w:szCs w:val="20"/>
    </w:rPr>
  </w:style>
  <w:style w:type="paragraph" w:customStyle="1" w:styleId="BulletLevel2">
    <w:name w:val="BulletLevel2"/>
    <w:basedOn w:val="NumberedListLevel1Cool"/>
    <w:link w:val="BulletLevel2Char"/>
    <w:qFormat/>
    <w:rsid w:val="008711C4"/>
    <w:pPr>
      <w:numPr>
        <w:numId w:val="12"/>
      </w:numPr>
    </w:pPr>
  </w:style>
  <w:style w:type="character" w:customStyle="1" w:styleId="ListParagraphChar">
    <w:name w:val="List Paragraph Char"/>
    <w:basedOn w:val="DefaultParagraphFont"/>
    <w:link w:val="ListParagraph"/>
    <w:uiPriority w:val="34"/>
    <w:rsid w:val="00D1310B"/>
    <w:rPr>
      <w:rFonts w:ascii="Arial MT Light" w:hAnsi="Arial MT Light"/>
      <w:sz w:val="20"/>
    </w:rPr>
  </w:style>
  <w:style w:type="character" w:customStyle="1" w:styleId="BulletLevel1Char">
    <w:name w:val="BulletLevel1 Char"/>
    <w:basedOn w:val="ListParagraphChar"/>
    <w:link w:val="BulletLevel1"/>
    <w:rsid w:val="008711C4"/>
    <w:rPr>
      <w:rFonts w:ascii="Arial MT Std Light" w:hAnsi="Arial MT Std Light"/>
      <w:sz w:val="20"/>
      <w:szCs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qFormat/>
    <w:rsid w:val="00E14C72"/>
  </w:style>
  <w:style w:type="paragraph" w:customStyle="1" w:styleId="TOFTitle">
    <w:name w:val="TOF Title"/>
    <w:basedOn w:val="Heading2no-number"/>
    <w:link w:val="TOFTitleChar"/>
    <w:qFormat/>
    <w:rsid w:val="00E14C72"/>
  </w:style>
  <w:style w:type="character" w:customStyle="1" w:styleId="TOCTitleChar">
    <w:name w:val="TOCTitle Char"/>
    <w:basedOn w:val="Heading1no-numberChar"/>
    <w:link w:val="TOCTitle"/>
    <w:rsid w:val="00E14C72"/>
    <w:rPr>
      <w:rFonts w:ascii="ITCAvantGardeStd-Bold" w:hAnsi="ITCAvantGardeStd-Bold"/>
      <w:color w:val="82B3D3"/>
      <w:sz w:val="48"/>
      <w:szCs w:val="48"/>
    </w:rPr>
  </w:style>
  <w:style w:type="character" w:customStyle="1" w:styleId="TOFTitleChar">
    <w:name w:val="TOF Title Char"/>
    <w:basedOn w:val="Heading2no-numberChar"/>
    <w:link w:val="TOFTitle"/>
    <w:rsid w:val="00E14C72"/>
    <w:rPr>
      <w:rFonts w:ascii="ITCAvantGardeStd-Bold" w:hAnsi="ITCAvantGardeStd-Bold"/>
      <w:color w:val="82B3D3"/>
      <w:sz w:val="24"/>
    </w:rPr>
  </w:style>
  <w:style w:type="paragraph" w:customStyle="1" w:styleId="NumberedListLevel2">
    <w:name w:val="NumberedListLevel2"/>
    <w:basedOn w:val="ListParagraph"/>
    <w:link w:val="NumberedListLevel2Char"/>
    <w:rsid w:val="00FD6117"/>
    <w:pPr>
      <w:numPr>
        <w:numId w:val="1"/>
      </w:numPr>
      <w:spacing w:after="240" w:line="288" w:lineRule="auto"/>
      <w:ind w:left="709" w:hanging="349"/>
      <w:contextualSpacing w:val="0"/>
    </w:pPr>
    <w:rPr>
      <w:b/>
      <w:szCs w:val="20"/>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qFormat/>
    <w:rsid w:val="0078578B"/>
    <w:pPr>
      <w:numPr>
        <w:ilvl w:val="1"/>
        <w:numId w:val="10"/>
      </w:numPr>
    </w:pPr>
    <w:rPr>
      <w:b w:val="0"/>
    </w:rPr>
  </w:style>
  <w:style w:type="paragraph" w:customStyle="1" w:styleId="NumberedListLev2">
    <w:name w:val="NumberedListLev2"/>
    <w:basedOn w:val="ListParagraph"/>
    <w:link w:val="NumberedListLev2Char"/>
    <w:qFormat/>
    <w:rsid w:val="0078578B"/>
    <w:pPr>
      <w:numPr>
        <w:ilvl w:val="2"/>
        <w:numId w:val="10"/>
      </w:numPr>
      <w:spacing w:after="240" w:line="288" w:lineRule="auto"/>
      <w:contextualSpacing w:val="0"/>
    </w:pPr>
    <w:rPr>
      <w:szCs w:val="20"/>
    </w:r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qFormat/>
    <w:rsid w:val="00752BB8"/>
    <w:pPr>
      <w:numPr>
        <w:numId w:val="5"/>
      </w:numPr>
      <w:ind w:left="568" w:hanging="284"/>
    </w:pPr>
  </w:style>
  <w:style w:type="paragraph" w:customStyle="1" w:styleId="NumberedListLevel1Urban">
    <w:name w:val="NumberedListLevel1Urban"/>
    <w:basedOn w:val="NumberedListLevel1"/>
    <w:link w:val="NumberedListLevel1UrbanChar"/>
    <w:qFormat/>
    <w:rsid w:val="00752BB8"/>
    <w:pPr>
      <w:numPr>
        <w:numId w:val="8"/>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qFormat/>
    <w:rsid w:val="00752BB8"/>
    <w:pPr>
      <w:numPr>
        <w:numId w:val="6"/>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qFormat/>
    <w:rsid w:val="00752BB8"/>
    <w:pPr>
      <w:numPr>
        <w:numId w:val="4"/>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qFormat/>
    <w:rsid w:val="00752BB8"/>
    <w:pPr>
      <w:numPr>
        <w:numId w:val="11"/>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qFormat/>
    <w:rsid w:val="00752BB8"/>
    <w:pPr>
      <w:numPr>
        <w:numId w:val="7"/>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qFormat/>
    <w:rsid w:val="00A60B7F"/>
    <w:rPr>
      <w:color w:val="82B3D3"/>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qFormat/>
    <w:rsid w:val="00A60B7F"/>
  </w:style>
  <w:style w:type="character" w:customStyle="1" w:styleId="LongQuoteCorporateChar">
    <w:name w:val="LongQuoteCorporate Char"/>
    <w:basedOn w:val="LongquoteChar"/>
    <w:link w:val="LongQuoteCorporate"/>
    <w:rsid w:val="00A60B7F"/>
    <w:rPr>
      <w:rFonts w:ascii="ITCAvantGardeStd-Bold" w:hAnsi="ITCAvantGardeStd-Bold"/>
      <w:i/>
      <w:color w:val="82B3D3"/>
      <w:sz w:val="20"/>
      <w:szCs w:val="20"/>
    </w:rPr>
  </w:style>
  <w:style w:type="paragraph" w:customStyle="1" w:styleId="LongQuoteWhite">
    <w:name w:val="LongQuoteWhite"/>
    <w:basedOn w:val="Longquote"/>
    <w:next w:val="LongQuoteSourceWhite"/>
    <w:link w:val="LongQuoteWhiteChar"/>
    <w:qFormat/>
    <w:rsid w:val="00A60B7F"/>
    <w:rPr>
      <w:color w:val="82B3D3"/>
    </w:rPr>
  </w:style>
  <w:style w:type="character" w:customStyle="1" w:styleId="LongQuoteTechChar">
    <w:name w:val="LongQuoteTech Char"/>
    <w:basedOn w:val="LongQuoteCorporateChar"/>
    <w:link w:val="LongQuoteTech"/>
    <w:rsid w:val="00A60B7F"/>
    <w:rPr>
      <w:rFonts w:ascii="ITCAvantGardeStd-Bold" w:hAnsi="ITCAvantGardeStd-Bold"/>
      <w:i/>
      <w:color w:val="82B3D3"/>
      <w:sz w:val="20"/>
      <w:szCs w:val="20"/>
    </w:rPr>
  </w:style>
  <w:style w:type="paragraph" w:customStyle="1" w:styleId="LongQuoteCool">
    <w:name w:val="LongQuoteCool"/>
    <w:basedOn w:val="Longquote"/>
    <w:next w:val="LongQuoteSourceCool"/>
    <w:link w:val="LongQuoteCoolChar"/>
    <w:qFormat/>
    <w:rsid w:val="00A60B7F"/>
    <w:rPr>
      <w:color w:val="82B3D3"/>
    </w:rPr>
  </w:style>
  <w:style w:type="character" w:customStyle="1" w:styleId="LongQuoteWhiteChar">
    <w:name w:val="LongQuoteWhite Char"/>
    <w:basedOn w:val="LongQuoteTechChar"/>
    <w:link w:val="LongQuoteWhite"/>
    <w:rsid w:val="00A60B7F"/>
    <w:rPr>
      <w:rFonts w:ascii="ITCAvantGardeStd-Bold" w:hAnsi="ITCAvantGardeStd-Bold"/>
      <w:i/>
      <w:color w:val="82B3D3"/>
      <w:sz w:val="20"/>
      <w:szCs w:val="20"/>
    </w:rPr>
  </w:style>
  <w:style w:type="paragraph" w:customStyle="1" w:styleId="LongQuoteUrban">
    <w:name w:val="LongQuoteUrban"/>
    <w:basedOn w:val="Longquote"/>
    <w:next w:val="LongQuoteSourceUrban"/>
    <w:link w:val="LongQuoteUrbanChar"/>
    <w:qFormat/>
    <w:rsid w:val="00A60B7F"/>
    <w:rPr>
      <w:color w:val="82B3D3"/>
    </w:rPr>
  </w:style>
  <w:style w:type="character" w:customStyle="1" w:styleId="LongQuoteCoolChar">
    <w:name w:val="LongQuoteCool Char"/>
    <w:basedOn w:val="LongQuoteWhiteChar"/>
    <w:link w:val="LongQuoteCool"/>
    <w:rsid w:val="00A60B7F"/>
    <w:rPr>
      <w:rFonts w:ascii="ITCAvantGardeStd-Bold" w:hAnsi="ITCAvantGardeStd-Bold"/>
      <w:i/>
      <w:color w:val="82B3D3"/>
      <w:sz w:val="20"/>
      <w:szCs w:val="20"/>
    </w:rPr>
  </w:style>
  <w:style w:type="paragraph" w:customStyle="1" w:styleId="LongQuoteMuted">
    <w:name w:val="LongQuoteMuted"/>
    <w:basedOn w:val="Longquote"/>
    <w:next w:val="LongQuoteSourceMuted"/>
    <w:link w:val="LongQuoteMutedChar"/>
    <w:qFormat/>
    <w:rsid w:val="00A60B7F"/>
    <w:rPr>
      <w:color w:val="82B3D3"/>
    </w:rPr>
  </w:style>
  <w:style w:type="character" w:customStyle="1" w:styleId="LongQuoteUrbanChar">
    <w:name w:val="LongQuoteUrban Char"/>
    <w:basedOn w:val="LongQuoteCoolChar"/>
    <w:link w:val="LongQuoteUrban"/>
    <w:rsid w:val="00A60B7F"/>
    <w:rPr>
      <w:rFonts w:ascii="ITCAvantGardeStd-Bold" w:hAnsi="ITCAvantGardeStd-Bold"/>
      <w:i/>
      <w:color w:val="82B3D3"/>
      <w:sz w:val="20"/>
      <w:szCs w:val="20"/>
    </w:rPr>
  </w:style>
  <w:style w:type="paragraph" w:customStyle="1" w:styleId="LongQuoteSourceCorporate">
    <w:name w:val="LongQuoteSourceCorporate"/>
    <w:basedOn w:val="Longquotesource"/>
    <w:next w:val="NormalBodyText"/>
    <w:link w:val="LongQuoteSourceCorporateChar"/>
    <w:qFormat/>
    <w:rsid w:val="00A60B7F"/>
    <w:rPr>
      <w:color w:val="82B3D3"/>
    </w:rPr>
  </w:style>
  <w:style w:type="character" w:customStyle="1" w:styleId="LongQuoteMutedChar">
    <w:name w:val="LongQuoteMuted Char"/>
    <w:basedOn w:val="LongQuoteUrbanChar"/>
    <w:link w:val="LongQuoteMuted"/>
    <w:rsid w:val="00A60B7F"/>
    <w:rPr>
      <w:rFonts w:ascii="ITCAvantGardeStd-Bold" w:hAnsi="ITCAvantGardeStd-Bold"/>
      <w:i/>
      <w:color w:val="82B3D3"/>
      <w:sz w:val="20"/>
      <w:szCs w:val="20"/>
    </w:rPr>
  </w:style>
  <w:style w:type="paragraph" w:customStyle="1" w:styleId="LongQuoteSourceTech">
    <w:name w:val="LongQuoteSourceTech"/>
    <w:basedOn w:val="LongQuoteSourceCorporate"/>
    <w:next w:val="NormalBodyText"/>
    <w:link w:val="LongQuoteSourceTechChar"/>
    <w:qFormat/>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82B3D3"/>
      <w:sz w:val="20"/>
      <w:szCs w:val="20"/>
    </w:rPr>
  </w:style>
  <w:style w:type="paragraph" w:customStyle="1" w:styleId="LongQuoteSourceWhite">
    <w:name w:val="LongQuoteSourceWhite"/>
    <w:basedOn w:val="LongQuoteSourceTech"/>
    <w:next w:val="NormalBodyText"/>
    <w:link w:val="LongQuoteSourceWhiteChar"/>
    <w:qFormat/>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82B3D3"/>
      <w:sz w:val="20"/>
      <w:szCs w:val="20"/>
    </w:rPr>
  </w:style>
  <w:style w:type="paragraph" w:customStyle="1" w:styleId="LongQuoteSourceCool">
    <w:name w:val="LongQuoteSourceCool"/>
    <w:basedOn w:val="LongQuoteSourceWhite"/>
    <w:next w:val="NormalBodyText"/>
    <w:link w:val="LongQuoteSourceCoolChar"/>
    <w:qFormat/>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82B3D3"/>
      <w:sz w:val="20"/>
      <w:szCs w:val="20"/>
    </w:rPr>
  </w:style>
  <w:style w:type="paragraph" w:customStyle="1" w:styleId="LongQuoteSourceUrban">
    <w:name w:val="LongQuoteSourceUrban"/>
    <w:basedOn w:val="LongQuoteSourceCool"/>
    <w:next w:val="NormalBodyText"/>
    <w:link w:val="LongQuoteSourceUrbanChar"/>
    <w:qFormat/>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82B3D3"/>
      <w:sz w:val="20"/>
      <w:szCs w:val="20"/>
    </w:rPr>
  </w:style>
  <w:style w:type="paragraph" w:customStyle="1" w:styleId="LongQuoteSourceMuted">
    <w:name w:val="LongQuoteSourceMuted"/>
    <w:basedOn w:val="LongQuoteSourceUrban"/>
    <w:next w:val="NormalBodyText"/>
    <w:link w:val="LongQuoteSourceMutedChar"/>
    <w:qFormat/>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82B3D3"/>
      <w:sz w:val="20"/>
      <w:szCs w:val="20"/>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82B3D3"/>
      <w:sz w:val="20"/>
      <w:szCs w:val="20"/>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qFormat/>
    <w:rsid w:val="00E17B97"/>
  </w:style>
  <w:style w:type="character" w:customStyle="1" w:styleId="TableSourceChar">
    <w:name w:val="Table Source Char"/>
    <w:basedOn w:val="TableFooterChar"/>
    <w:link w:val="TableSource"/>
    <w:rsid w:val="00E17B97"/>
    <w:rPr>
      <w:rFonts w:ascii="Arial MT Std Light" w:hAnsi="Arial MT Std Light"/>
      <w:sz w:val="20"/>
      <w:szCs w:val="20"/>
    </w:rPr>
  </w:style>
  <w:style w:type="numbering" w:customStyle="1" w:styleId="Style2">
    <w:name w:val="Style2"/>
    <w:uiPriority w:val="99"/>
    <w:rsid w:val="006B25C5"/>
    <w:pPr>
      <w:numPr>
        <w:numId w:val="9"/>
      </w:numPr>
    </w:pPr>
  </w:style>
  <w:style w:type="paragraph" w:customStyle="1" w:styleId="ExampleImageWhiteBottom">
    <w:name w:val="ExampleImageWhiteBottom"/>
    <w:rsid w:val="00D44196"/>
    <w:pPr>
      <w:spacing w:after="240" w:line="288" w:lineRule="auto"/>
    </w:pPr>
    <w:rPr>
      <w:rFonts w:ascii="Arial MT Std Light" w:hAnsi="Arial MT Std Light"/>
      <w:sz w:val="20"/>
      <w:szCs w:val="20"/>
    </w:rPr>
  </w:style>
  <w:style w:type="paragraph" w:customStyle="1" w:styleId="KeyFindingsHeading">
    <w:name w:val="KeyFindingsHeading"/>
    <w:basedOn w:val="Normal"/>
    <w:link w:val="KeyFindingsHeadingChar"/>
    <w:qFormat/>
    <w:rsid w:val="00D55AAB"/>
    <w:pPr>
      <w:spacing w:after="240" w:line="288" w:lineRule="auto"/>
    </w:pPr>
    <w:rPr>
      <w:rFonts w:ascii="ITCAvantGardeStd-Md" w:hAnsi="ITCAvantGardeStd-Md"/>
      <w:color w:val="FFFFFF" w:themeColor="background1"/>
      <w:sz w:val="24"/>
      <w:szCs w:val="20"/>
    </w:rPr>
  </w:style>
  <w:style w:type="paragraph" w:customStyle="1" w:styleId="KeyFindingsBody">
    <w:name w:val="KeyFindingsBody"/>
    <w:basedOn w:val="Normal"/>
    <w:link w:val="KeyFindingsBodyChar"/>
    <w:qFormat/>
    <w:rsid w:val="0078578B"/>
    <w:pPr>
      <w:numPr>
        <w:numId w:val="13"/>
      </w:numPr>
      <w:spacing w:after="240" w:line="288" w:lineRule="auto"/>
    </w:pPr>
    <w:rPr>
      <w:color w:val="FFFFFF" w:themeColor="background1"/>
      <w:szCs w:val="20"/>
    </w:rPr>
  </w:style>
  <w:style w:type="character" w:customStyle="1" w:styleId="KeyFindingsHeadingChar">
    <w:name w:val="KeyFindingsHeading Char"/>
    <w:basedOn w:val="DefaultParagraphFont"/>
    <w:link w:val="KeyFindingsHeading"/>
    <w:rsid w:val="00D55AAB"/>
    <w:rPr>
      <w:rFonts w:ascii="ITCAvantGardeStd-Md" w:hAnsi="ITCAvantGardeStd-Md"/>
      <w:color w:val="FFFFFF" w:themeColor="background1"/>
      <w:sz w:val="24"/>
      <w:szCs w:val="20"/>
    </w:rPr>
  </w:style>
  <w:style w:type="paragraph" w:customStyle="1" w:styleId="KeyFindingsBullet1">
    <w:name w:val="KeyFindingsBullet1"/>
    <w:basedOn w:val="ListParagraph"/>
    <w:link w:val="KeyFindingsBullet1Char"/>
    <w:qFormat/>
    <w:rsid w:val="0078578B"/>
    <w:pPr>
      <w:numPr>
        <w:ilvl w:val="1"/>
        <w:numId w:val="13"/>
      </w:numPr>
      <w:spacing w:after="240" w:line="288" w:lineRule="auto"/>
      <w:contextualSpacing w:val="0"/>
    </w:pPr>
    <w:rPr>
      <w:color w:val="FFFFFF" w:themeColor="background1"/>
      <w:szCs w:val="20"/>
    </w:rPr>
  </w:style>
  <w:style w:type="character" w:customStyle="1" w:styleId="KeyFindingsBodyChar">
    <w:name w:val="KeyFindingsBody Char"/>
    <w:basedOn w:val="DefaultParagraphFont"/>
    <w:link w:val="KeyFindingsBody"/>
    <w:rsid w:val="0078578B"/>
    <w:rPr>
      <w:rFonts w:ascii="Arial MT Std Light" w:hAnsi="Arial MT Std Light"/>
      <w:color w:val="FFFFFF" w:themeColor="background1"/>
      <w:sz w:val="20"/>
      <w:szCs w:val="20"/>
    </w:rPr>
  </w:style>
  <w:style w:type="paragraph" w:customStyle="1" w:styleId="KeyFindingsBullet2">
    <w:name w:val="KeyFindingsBullet2"/>
    <w:basedOn w:val="ListParagraph"/>
    <w:link w:val="KeyFindingsBullet2Char"/>
    <w:qFormat/>
    <w:rsid w:val="0078578B"/>
    <w:pPr>
      <w:numPr>
        <w:ilvl w:val="2"/>
        <w:numId w:val="13"/>
      </w:numPr>
      <w:spacing w:after="240" w:line="288" w:lineRule="auto"/>
      <w:contextualSpacing w:val="0"/>
    </w:pPr>
    <w:rPr>
      <w:color w:val="FFFFFF" w:themeColor="background1"/>
      <w:szCs w:val="20"/>
    </w:rPr>
  </w:style>
  <w:style w:type="character" w:customStyle="1" w:styleId="KeyFindingsBullet1Char">
    <w:name w:val="KeyFindingsBullet1 Char"/>
    <w:basedOn w:val="ListParagraphChar"/>
    <w:link w:val="KeyFindingsBullet1"/>
    <w:rsid w:val="0078578B"/>
    <w:rPr>
      <w:rFonts w:ascii="Arial MT Std Light" w:hAnsi="Arial MT Std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Arial MT Std Light" w:hAnsi="Arial MT Std Light"/>
      <w:color w:val="FFFFFF" w:themeColor="background1"/>
      <w:sz w:val="20"/>
      <w:szCs w:val="20"/>
    </w:rPr>
  </w:style>
  <w:style w:type="paragraph" w:customStyle="1" w:styleId="MoreInformationText">
    <w:name w:val="MoreInformationText"/>
    <w:basedOn w:val="Normal"/>
    <w:link w:val="MoreInformationTextChar"/>
    <w:qFormat/>
    <w:rsid w:val="00D3016F"/>
    <w:pPr>
      <w:spacing w:line="264" w:lineRule="auto"/>
    </w:pPr>
    <w:rPr>
      <w:rFonts w:cs="ArialMT-Light"/>
      <w:color w:val="FFFFFF"/>
      <w:szCs w:val="20"/>
    </w:rPr>
  </w:style>
  <w:style w:type="paragraph" w:customStyle="1" w:styleId="LegalDisclaimerText">
    <w:name w:val="LegalDisclaimerText"/>
    <w:basedOn w:val="LegalText"/>
    <w:link w:val="LegalDisclaimerTextChar"/>
    <w:qFormat/>
    <w:rsid w:val="00433EB2"/>
    <w:rPr>
      <w:rFonts w:ascii="Arial MT Std Light" w:hAnsi="Arial MT Std Light"/>
    </w:rPr>
  </w:style>
  <w:style w:type="character" w:customStyle="1" w:styleId="MoreInformationTextChar">
    <w:name w:val="MoreInformationText Char"/>
    <w:basedOn w:val="DefaultParagraphFont"/>
    <w:link w:val="MoreInformationText"/>
    <w:rsid w:val="00D3016F"/>
    <w:rPr>
      <w:rFonts w:ascii="Arial MT Std Light" w:hAnsi="Arial MT Std Light" w:cs="ArialMT-Light"/>
      <w:color w:val="FFFFFF"/>
      <w:sz w:val="20"/>
      <w:szCs w:val="20"/>
    </w:rPr>
  </w:style>
  <w:style w:type="paragraph" w:customStyle="1" w:styleId="MoreInformationWeb">
    <w:name w:val="MoreInformationWeb"/>
    <w:basedOn w:val="Normal"/>
    <w:link w:val="MoreInformationWebChar"/>
    <w:qFormat/>
    <w:rsid w:val="002F200C"/>
    <w:pPr>
      <w:spacing w:after="240" w:line="264" w:lineRule="auto"/>
    </w:pPr>
    <w:rPr>
      <w:rFonts w:ascii="ITCAvantGardeStd-Bold" w:hAnsi="ITCAvantGardeStd-Bold" w:cs="ArialMT-Light"/>
      <w:color w:val="FFFFFF"/>
      <w:sz w:val="24"/>
      <w:szCs w:val="20"/>
    </w:rPr>
  </w:style>
  <w:style w:type="character" w:customStyle="1" w:styleId="LegalDisclaimerTextChar">
    <w:name w:val="LegalDisclaimerText Char"/>
    <w:basedOn w:val="LegalTextChar"/>
    <w:link w:val="LegalDisclaimerText"/>
    <w:rsid w:val="00433EB2"/>
    <w:rPr>
      <w:rFonts w:ascii="Arial MT Std Light" w:hAnsi="Arial MT Std Light" w:cs="ArialMT-Light"/>
      <w:color w:val="82B3D3"/>
      <w:sz w:val="20"/>
      <w:szCs w:val="20"/>
    </w:rPr>
  </w:style>
  <w:style w:type="character" w:customStyle="1" w:styleId="MoreInformationWebChar">
    <w:name w:val="MoreInformationWeb Char"/>
    <w:basedOn w:val="DefaultParagraphFont"/>
    <w:link w:val="MoreInformationWeb"/>
    <w:rsid w:val="002F200C"/>
    <w:rPr>
      <w:rFonts w:ascii="ITCAvantGardeStd-Bold" w:hAnsi="ITCAvantGardeStd-Bold" w:cs="ArialMT-Light"/>
      <w:color w:val="FFFFFF"/>
      <w:sz w:val="24"/>
      <w:szCs w:val="20"/>
    </w:rPr>
  </w:style>
  <w:style w:type="numbering" w:customStyle="1" w:styleId="JayeshNavinShahEasterEgg">
    <w:name w:val="JayeshNavinShahEasterEgg"/>
    <w:uiPriority w:val="99"/>
    <w:rsid w:val="0078578B"/>
    <w:pPr>
      <w:numPr>
        <w:numId w:val="10"/>
      </w:numPr>
    </w:pPr>
  </w:style>
  <w:style w:type="paragraph" w:styleId="CommentText">
    <w:name w:val="annotation text"/>
    <w:basedOn w:val="Normal"/>
    <w:link w:val="CommentTextChar"/>
    <w:semiHidden/>
    <w:unhideWhenUsed/>
    <w:rsid w:val="00300B6C"/>
    <w:rPr>
      <w:szCs w:val="20"/>
    </w:rPr>
  </w:style>
  <w:style w:type="character" w:customStyle="1" w:styleId="CommentTextChar">
    <w:name w:val="Comment Text Char"/>
    <w:basedOn w:val="DefaultParagraphFont"/>
    <w:link w:val="CommentText"/>
    <w:semiHidden/>
    <w:rsid w:val="00300B6C"/>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300B6C"/>
    <w:rPr>
      <w:b/>
      <w:bCs/>
    </w:rPr>
  </w:style>
  <w:style w:type="character" w:customStyle="1" w:styleId="CommentSubjectChar">
    <w:name w:val="Comment Subject Char"/>
    <w:basedOn w:val="CommentTextChar"/>
    <w:link w:val="CommentSubject"/>
    <w:semiHidden/>
    <w:rsid w:val="00300B6C"/>
    <w:rPr>
      <w:rFonts w:ascii="Arial MT Std Light" w:hAnsi="Arial MT Std Light"/>
      <w:b/>
      <w:bCs/>
      <w:sz w:val="20"/>
      <w:szCs w:val="20"/>
    </w:rPr>
  </w:style>
  <w:style w:type="paragraph" w:styleId="Revision">
    <w:name w:val="Revision"/>
    <w:hidden/>
    <w:uiPriority w:val="99"/>
    <w:semiHidden/>
    <w:rsid w:val="009A1E57"/>
    <w:rPr>
      <w:rFonts w:ascii="Arial MT Std Light" w:hAnsi="Arial MT Std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color w:val="3E3D40"/>
        <w:sz w:val="22"/>
        <w:szCs w:val="22"/>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78B"/>
    <w:rPr>
      <w:rFonts w:ascii="Arial MT Std Light" w:hAnsi="Arial MT Std Light"/>
      <w:sz w:val="20"/>
    </w:rPr>
  </w:style>
  <w:style w:type="paragraph" w:styleId="Heading1">
    <w:name w:val="heading 1"/>
    <w:basedOn w:val="Normal"/>
    <w:next w:val="NormalBodyText"/>
    <w:link w:val="Heading1Char"/>
    <w:qFormat/>
    <w:rsid w:val="0004569F"/>
    <w:pPr>
      <w:numPr>
        <w:numId w:val="2"/>
      </w:numPr>
      <w:tabs>
        <w:tab w:val="clear" w:pos="624"/>
        <w:tab w:val="left" w:pos="567"/>
      </w:tabs>
      <w:spacing w:after="360"/>
      <w:ind w:left="567" w:hanging="567"/>
      <w:outlineLvl w:val="0"/>
    </w:pPr>
    <w:rPr>
      <w:rFonts w:ascii="ITCAvantGardeStd-Bold" w:hAnsi="ITCAvantGardeStd-Bold"/>
      <w:color w:val="82B3D3"/>
      <w:sz w:val="48"/>
      <w:szCs w:val="48"/>
    </w:rPr>
  </w:style>
  <w:style w:type="paragraph" w:styleId="Heading2">
    <w:name w:val="heading 2"/>
    <w:basedOn w:val="Normal"/>
    <w:next w:val="NormalBodyText"/>
    <w:link w:val="Heading2Char"/>
    <w:qFormat/>
    <w:rsid w:val="000A3401"/>
    <w:pPr>
      <w:numPr>
        <w:ilvl w:val="1"/>
        <w:numId w:val="2"/>
      </w:numPr>
      <w:spacing w:before="240" w:after="240"/>
      <w:outlineLvl w:val="1"/>
    </w:pPr>
    <w:rPr>
      <w:rFonts w:ascii="ITCAvantGardeStd-Bold" w:hAnsi="ITCAvantGardeStd-Bold"/>
      <w:color w:val="82B3D3"/>
      <w:sz w:val="24"/>
    </w:rPr>
  </w:style>
  <w:style w:type="paragraph" w:styleId="Heading3">
    <w:name w:val="heading 3"/>
    <w:basedOn w:val="Normal"/>
    <w:next w:val="NormalBodyText"/>
    <w:link w:val="Heading3Char"/>
    <w:qFormat/>
    <w:rsid w:val="000A3401"/>
    <w:pPr>
      <w:numPr>
        <w:ilvl w:val="2"/>
        <w:numId w:val="2"/>
      </w:numPr>
      <w:spacing w:after="240"/>
      <w:outlineLvl w:val="2"/>
    </w:pPr>
    <w:rPr>
      <w:rFonts w:ascii="ITCAvantGardeStd-Md" w:hAnsi="ITCAvantGardeStd-Md"/>
      <w:color w:val="82B3D3"/>
      <w:szCs w:val="20"/>
    </w:rPr>
  </w:style>
  <w:style w:type="paragraph" w:styleId="Heading4">
    <w:name w:val="heading 4"/>
    <w:basedOn w:val="Normal"/>
    <w:next w:val="Normal"/>
    <w:qFormat/>
    <w:rsid w:val="00230A5B"/>
    <w:pPr>
      <w:overflowPunct w:val="0"/>
      <w:autoSpaceDE w:val="0"/>
      <w:autoSpaceDN w:val="0"/>
      <w:adjustRightInd w:val="0"/>
      <w:spacing w:before="120" w:after="120"/>
      <w:jc w:val="both"/>
      <w:textAlignment w:val="baseline"/>
      <w:outlineLvl w:val="3"/>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30A5B"/>
    <w:pPr>
      <w:tabs>
        <w:tab w:val="center" w:pos="4153"/>
        <w:tab w:val="right" w:pos="8306"/>
      </w:tabs>
    </w:pPr>
    <w:rPr>
      <w:sz w:val="12"/>
    </w:rPr>
  </w:style>
  <w:style w:type="paragraph" w:styleId="BodyText3">
    <w:name w:val="Body Text 3"/>
    <w:basedOn w:val="BodyText"/>
    <w:rsid w:val="00230A5B"/>
    <w:pPr>
      <w:overflowPunct w:val="0"/>
      <w:autoSpaceDE w:val="0"/>
      <w:autoSpaceDN w:val="0"/>
      <w:adjustRightInd w:val="0"/>
      <w:spacing w:before="120"/>
      <w:ind w:left="720"/>
      <w:jc w:val="both"/>
      <w:textAlignment w:val="baseline"/>
    </w:pPr>
    <w:rPr>
      <w:rFonts w:ascii="Times New Roman" w:hAnsi="Times New Roman"/>
      <w:sz w:val="24"/>
      <w:szCs w:val="20"/>
    </w:rPr>
  </w:style>
  <w:style w:type="character" w:styleId="CommentReference">
    <w:name w:val="annotation reference"/>
    <w:basedOn w:val="DefaultParagraphFont"/>
    <w:semiHidden/>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szCs w:val="20"/>
    </w:rPr>
  </w:style>
  <w:style w:type="paragraph" w:styleId="BodyTextIndent3">
    <w:name w:val="Body Text Indent 3"/>
    <w:basedOn w:val="Normal"/>
    <w:rsid w:val="00230A5B"/>
    <w:pPr>
      <w:spacing w:after="120"/>
      <w:ind w:left="284" w:hanging="284"/>
      <w:jc w:val="both"/>
    </w:pPr>
    <w:rPr>
      <w:rFonts w:ascii="Times New Roman" w:hAnsi="Times New Roman"/>
      <w:sz w:val="14"/>
      <w:szCs w:val="20"/>
    </w:rPr>
  </w:style>
  <w:style w:type="paragraph" w:styleId="BodyText">
    <w:name w:val="Body Text"/>
    <w:basedOn w:val="Normal"/>
    <w:rsid w:val="00230A5B"/>
    <w:pPr>
      <w:spacing w:after="120"/>
    </w:pPr>
  </w:style>
  <w:style w:type="paragraph" w:styleId="Header">
    <w:name w:val="header"/>
    <w:basedOn w:val="Normal"/>
    <w:rsid w:val="00230A5B"/>
    <w:pPr>
      <w:tabs>
        <w:tab w:val="center" w:pos="4153"/>
        <w:tab w:val="right" w:pos="8306"/>
      </w:tabs>
    </w:p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37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D7612"/>
    <w:pPr>
      <w:ind w:left="720"/>
      <w:contextualSpacing/>
    </w:pPr>
  </w:style>
  <w:style w:type="paragraph" w:styleId="BalloonText">
    <w:name w:val="Balloon Text"/>
    <w:basedOn w:val="Normal"/>
    <w:link w:val="BalloonTextChar"/>
    <w:rsid w:val="00633790"/>
    <w:rPr>
      <w:rFonts w:ascii="Tahoma" w:hAnsi="Tahoma" w:cs="Tahoma"/>
      <w:sz w:val="16"/>
      <w:szCs w:val="16"/>
    </w:rPr>
  </w:style>
  <w:style w:type="character" w:customStyle="1" w:styleId="BalloonTextChar">
    <w:name w:val="Balloon Text Char"/>
    <w:basedOn w:val="DefaultParagraphFont"/>
    <w:link w:val="BalloonText"/>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0000FF" w:themeColor="hyperlink"/>
      <w:u w:val="single"/>
    </w:rPr>
  </w:style>
  <w:style w:type="character" w:customStyle="1" w:styleId="Heading1Char">
    <w:name w:val="Heading 1 Char"/>
    <w:basedOn w:val="DefaultParagraphFont"/>
    <w:link w:val="Heading1"/>
    <w:rsid w:val="0004569F"/>
    <w:rPr>
      <w:rFonts w:ascii="ITCAvantGardeStd-Bold" w:hAnsi="ITCAvantGardeStd-Bold"/>
      <w:color w:val="82B3D3"/>
      <w:sz w:val="48"/>
      <w:szCs w:val="48"/>
    </w:rPr>
  </w:style>
  <w:style w:type="paragraph" w:styleId="Quote">
    <w:name w:val="Quote"/>
    <w:basedOn w:val="Normal"/>
    <w:next w:val="Normal"/>
    <w:link w:val="QuoteChar"/>
    <w:uiPriority w:val="29"/>
    <w:qFormat/>
    <w:rsid w:val="00815DB5"/>
    <w:pPr>
      <w:spacing w:after="240" w:line="288" w:lineRule="auto"/>
    </w:pPr>
    <w:rPr>
      <w:rFonts w:ascii="AvantGarde Bd BT" w:hAnsi="AvantGarde Bd BT"/>
      <w:i/>
      <w:color w:val="82B3D3"/>
      <w:szCs w:val="20"/>
    </w:rPr>
  </w:style>
  <w:style w:type="character" w:customStyle="1" w:styleId="QuoteChar">
    <w:name w:val="Quote Char"/>
    <w:basedOn w:val="DefaultParagraphFont"/>
    <w:link w:val="Quote"/>
    <w:uiPriority w:val="29"/>
    <w:rsid w:val="00815DB5"/>
    <w:rPr>
      <w:rFonts w:ascii="AvantGarde Bd BT" w:hAnsi="AvantGarde Bd BT"/>
      <w:i/>
      <w:color w:val="82B3D3"/>
      <w:lang w:eastAsia="en-US"/>
    </w:rPr>
  </w:style>
  <w:style w:type="character" w:styleId="IntenseReference">
    <w:name w:val="Intense Reference"/>
    <w:uiPriority w:val="32"/>
    <w:qFormat/>
    <w:rsid w:val="00AE5B88"/>
    <w:rPr>
      <w:rFonts w:ascii="AvantGarde Bk BT" w:hAnsi="AvantGarde Bk BT"/>
      <w:b/>
      <w:color w:val="82B3D3"/>
      <w:sz w:val="48"/>
      <w:szCs w:val="48"/>
    </w:rPr>
  </w:style>
  <w:style w:type="paragraph" w:styleId="IntenseQuote">
    <w:name w:val="Intense Quote"/>
    <w:basedOn w:val="Normal"/>
    <w:next w:val="Normal"/>
    <w:link w:val="IntenseQuoteChar"/>
    <w:uiPriority w:val="30"/>
    <w:qFormat/>
    <w:rsid w:val="00DE0788"/>
    <w:pPr>
      <w:spacing w:after="120"/>
    </w:pPr>
    <w:rPr>
      <w:rFonts w:ascii="AvantGarde Bd BT" w:hAnsi="AvantGarde Bd BT"/>
      <w:color w:val="82B3D3"/>
      <w:sz w:val="24"/>
      <w:szCs w:val="30"/>
    </w:rPr>
  </w:style>
  <w:style w:type="character" w:customStyle="1" w:styleId="IntenseQuoteChar">
    <w:name w:val="Intense Quote Char"/>
    <w:basedOn w:val="DefaultParagraphFont"/>
    <w:link w:val="IntenseQuote"/>
    <w:uiPriority w:val="30"/>
    <w:rsid w:val="00DE0788"/>
    <w:rPr>
      <w:rFonts w:ascii="AvantGarde Bd BT" w:hAnsi="AvantGarde Bd BT"/>
      <w:color w:val="82B3D3"/>
      <w:sz w:val="24"/>
      <w:szCs w:val="30"/>
    </w:rPr>
  </w:style>
  <w:style w:type="paragraph" w:customStyle="1" w:styleId="CoverDate">
    <w:name w:val="Cover Date"/>
    <w:basedOn w:val="IntenseQuote"/>
    <w:link w:val="CoverDateChar"/>
    <w:qFormat/>
    <w:rsid w:val="00B306BB"/>
  </w:style>
  <w:style w:type="paragraph" w:customStyle="1" w:styleId="CoverSubtitle">
    <w:name w:val="Cover Subtitle"/>
    <w:basedOn w:val="IntenseQuote"/>
    <w:link w:val="CoverSubtitleChar"/>
    <w:qFormat/>
    <w:rsid w:val="00B306BB"/>
  </w:style>
  <w:style w:type="character" w:customStyle="1" w:styleId="CoverDateChar">
    <w:name w:val="Cover Date Char"/>
    <w:basedOn w:val="IntenseQuoteChar"/>
    <w:link w:val="CoverDate"/>
    <w:rsid w:val="00B306BB"/>
    <w:rPr>
      <w:rFonts w:ascii="AvantGarde Bd BT" w:hAnsi="AvantGarde Bd BT"/>
      <w:color w:val="82B3D3"/>
      <w:sz w:val="30"/>
      <w:szCs w:val="30"/>
      <w:lang w:eastAsia="en-US"/>
    </w:rPr>
  </w:style>
  <w:style w:type="paragraph" w:customStyle="1" w:styleId="LegalText">
    <w:name w:val="Legal Text"/>
    <w:basedOn w:val="Normal"/>
    <w:link w:val="LegalTextChar"/>
    <w:qFormat/>
    <w:rsid w:val="00B306BB"/>
    <w:pPr>
      <w:autoSpaceDE w:val="0"/>
      <w:autoSpaceDN w:val="0"/>
      <w:adjustRightInd w:val="0"/>
      <w:spacing w:after="240" w:line="264" w:lineRule="auto"/>
    </w:pPr>
    <w:rPr>
      <w:rFonts w:ascii="ArialMT-Light" w:hAnsi="ArialMT-Light" w:cs="ArialMT-Light"/>
      <w:color w:val="82B3D3"/>
      <w:szCs w:val="20"/>
    </w:rPr>
  </w:style>
  <w:style w:type="character" w:customStyle="1" w:styleId="CoverSubtitleChar">
    <w:name w:val="Cover Subtitle Char"/>
    <w:basedOn w:val="IntenseQuoteChar"/>
    <w:link w:val="CoverSubtitle"/>
    <w:rsid w:val="00B306BB"/>
    <w:rPr>
      <w:rFonts w:ascii="AvantGarde Bd BT" w:hAnsi="AvantGarde Bd BT"/>
      <w:color w:val="82B3D3"/>
      <w:sz w:val="30"/>
      <w:szCs w:val="30"/>
      <w:lang w:eastAsia="en-US"/>
    </w:rPr>
  </w:style>
  <w:style w:type="character" w:customStyle="1" w:styleId="LegalTextChar">
    <w:name w:val="Legal Text Char"/>
    <w:basedOn w:val="DefaultParagraphFont"/>
    <w:link w:val="LegalText"/>
    <w:rsid w:val="00B306BB"/>
    <w:rPr>
      <w:rFonts w:ascii="ArialMT-Light" w:hAnsi="ArialMT-Light" w:cs="ArialMT-Light"/>
      <w:color w:val="82B3D3"/>
      <w:sz w:val="20"/>
      <w:szCs w:val="20"/>
    </w:rPr>
  </w:style>
  <w:style w:type="paragraph" w:customStyle="1" w:styleId="JobTitle">
    <w:name w:val="Job Title"/>
    <w:basedOn w:val="Normal"/>
    <w:link w:val="JobTitleChar"/>
    <w:qFormat/>
    <w:rsid w:val="00314FDA"/>
    <w:pPr>
      <w:autoSpaceDE w:val="0"/>
      <w:autoSpaceDN w:val="0"/>
      <w:adjustRightInd w:val="0"/>
      <w:spacing w:line="264" w:lineRule="auto"/>
    </w:pPr>
    <w:rPr>
      <w:rFonts w:ascii="ArialMT-Light" w:hAnsi="ArialMT-Light" w:cs="ArialMT-Light"/>
      <w:color w:val="82B3D3"/>
      <w:szCs w:val="20"/>
    </w:rPr>
  </w:style>
  <w:style w:type="character" w:customStyle="1" w:styleId="JobTitleChar">
    <w:name w:val="Job Title Char"/>
    <w:basedOn w:val="DefaultParagraphFont"/>
    <w:link w:val="JobTitle"/>
    <w:rsid w:val="00314FDA"/>
    <w:rPr>
      <w:rFonts w:ascii="ArialMT-Light" w:hAnsi="ArialMT-Light" w:cs="ArialMT-Light"/>
      <w:color w:val="82B3D3"/>
      <w:sz w:val="20"/>
      <w:szCs w:val="20"/>
    </w:rPr>
  </w:style>
  <w:style w:type="paragraph" w:styleId="TOCHeading">
    <w:name w:val="TOC Heading"/>
    <w:basedOn w:val="Heading1"/>
    <w:next w:val="Normal"/>
    <w:uiPriority w:val="39"/>
    <w:unhideWhenUsed/>
    <w:qFormat/>
    <w:rsid w:val="004729BD"/>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link w:val="TOC1Char"/>
    <w:uiPriority w:val="39"/>
    <w:qFormat/>
    <w:rsid w:val="00D427C6"/>
    <w:pPr>
      <w:tabs>
        <w:tab w:val="left" w:pos="284"/>
        <w:tab w:val="right" w:leader="dot" w:pos="10195"/>
      </w:tabs>
      <w:spacing w:after="100"/>
      <w:ind w:left="284" w:hanging="284"/>
    </w:pPr>
    <w:rPr>
      <w:rFonts w:ascii="ITCAvantGardeStd-Bold" w:hAnsi="ITCAvantGardeStd-Bold"/>
      <w:sz w:val="24"/>
    </w:rPr>
  </w:style>
  <w:style w:type="paragraph" w:styleId="TOC2">
    <w:name w:val="toc 2"/>
    <w:basedOn w:val="Normal"/>
    <w:next w:val="Normal"/>
    <w:link w:val="TOC2Char"/>
    <w:uiPriority w:val="39"/>
    <w:qFormat/>
    <w:rsid w:val="00D427C6"/>
    <w:pPr>
      <w:tabs>
        <w:tab w:val="left" w:pos="851"/>
        <w:tab w:val="right" w:leader="dot" w:pos="10195"/>
      </w:tabs>
      <w:spacing w:after="100"/>
      <w:ind w:left="851" w:hanging="567"/>
    </w:pPr>
    <w:rPr>
      <w:rFonts w:ascii="ITCAvantGardeStd-Bold" w:hAnsi="ITCAvantGardeStd-Bold"/>
    </w:rPr>
  </w:style>
  <w:style w:type="paragraph" w:styleId="TOC3">
    <w:name w:val="toc 3"/>
    <w:basedOn w:val="Normal"/>
    <w:next w:val="Normal"/>
    <w:link w:val="TOC3Char"/>
    <w:uiPriority w:val="39"/>
    <w:qFormat/>
    <w:rsid w:val="00D427C6"/>
    <w:pPr>
      <w:tabs>
        <w:tab w:val="left" w:pos="851"/>
        <w:tab w:val="right" w:leader="dot" w:pos="10206"/>
      </w:tabs>
      <w:spacing w:after="100"/>
      <w:ind w:left="851" w:hanging="567"/>
    </w:pPr>
    <w:rPr>
      <w:rFonts w:ascii="ITCAvantGardeStd-Md" w:hAnsi="ITCAvantGardeStd-Md"/>
    </w:rPr>
  </w:style>
  <w:style w:type="paragraph" w:customStyle="1" w:styleId="TOCLevel1">
    <w:name w:val="TOCLevel1"/>
    <w:basedOn w:val="TOC1"/>
    <w:link w:val="TOCLevel1Char"/>
    <w:qFormat/>
    <w:rsid w:val="00253FC7"/>
    <w:pPr>
      <w:tabs>
        <w:tab w:val="clear" w:pos="10195"/>
        <w:tab w:val="right" w:leader="dot" w:pos="10206"/>
      </w:tabs>
    </w:pPr>
    <w:rPr>
      <w:noProof/>
      <w:color w:val="82B3D3"/>
    </w:rPr>
  </w:style>
  <w:style w:type="paragraph" w:customStyle="1" w:styleId="TOCLevel2">
    <w:name w:val="TOCLevel2"/>
    <w:basedOn w:val="TOC2"/>
    <w:link w:val="TOCLevel2Char"/>
    <w:qFormat/>
    <w:rsid w:val="00253FC7"/>
    <w:pPr>
      <w:tabs>
        <w:tab w:val="clear" w:pos="10195"/>
        <w:tab w:val="right" w:leader="dot" w:pos="10206"/>
      </w:tabs>
    </w:pPr>
    <w:rPr>
      <w:b/>
      <w:noProof/>
      <w:color w:val="82B3D3"/>
      <w:szCs w:val="20"/>
    </w:rPr>
  </w:style>
  <w:style w:type="character" w:customStyle="1" w:styleId="TOC1Char">
    <w:name w:val="TOC 1 Char"/>
    <w:basedOn w:val="DefaultParagraphFont"/>
    <w:link w:val="TOC1"/>
    <w:uiPriority w:val="39"/>
    <w:rsid w:val="00D427C6"/>
    <w:rPr>
      <w:rFonts w:ascii="ITCAvantGardeStd-Bold" w:hAnsi="ITCAvantGardeStd-Bold"/>
      <w:sz w:val="24"/>
    </w:rPr>
  </w:style>
  <w:style w:type="character" w:customStyle="1" w:styleId="TOCLevel1Char">
    <w:name w:val="TOCLevel1 Char"/>
    <w:basedOn w:val="TOC1Char"/>
    <w:link w:val="TOCLevel1"/>
    <w:rsid w:val="00253FC7"/>
    <w:rPr>
      <w:rFonts w:ascii="ITCAvantGardeStd-Bold" w:hAnsi="ITCAvantGardeStd-Bold"/>
      <w:noProof/>
      <w:color w:val="82B3D3"/>
      <w:sz w:val="24"/>
    </w:rPr>
  </w:style>
  <w:style w:type="paragraph" w:customStyle="1" w:styleId="TOCLevel3">
    <w:name w:val="TOCLevel3"/>
    <w:basedOn w:val="TOC3"/>
    <w:link w:val="TOCLevel3Char"/>
    <w:qFormat/>
    <w:rsid w:val="00253FC7"/>
    <w:rPr>
      <w:noProof/>
      <w:szCs w:val="20"/>
    </w:rPr>
  </w:style>
  <w:style w:type="character" w:customStyle="1" w:styleId="TOC2Char">
    <w:name w:val="TOC 2 Char"/>
    <w:basedOn w:val="DefaultParagraphFont"/>
    <w:link w:val="TOC2"/>
    <w:uiPriority w:val="39"/>
    <w:rsid w:val="00D427C6"/>
    <w:rPr>
      <w:rFonts w:ascii="ITCAvantGardeStd-Bold" w:hAnsi="ITCAvantGardeStd-Bold"/>
      <w:sz w:val="20"/>
    </w:rPr>
  </w:style>
  <w:style w:type="character" w:customStyle="1" w:styleId="TOCLevel2Char">
    <w:name w:val="TOCLevel2 Char"/>
    <w:basedOn w:val="TOC2Char"/>
    <w:link w:val="TOCLevel2"/>
    <w:rsid w:val="00253FC7"/>
    <w:rPr>
      <w:rFonts w:ascii="ITCAvantGardeStd-Bold" w:hAnsi="ITCAvantGardeStd-Bold"/>
      <w:b/>
      <w:noProof/>
      <w:color w:val="82B3D3"/>
      <w:sz w:val="20"/>
      <w:szCs w:val="20"/>
    </w:rPr>
  </w:style>
  <w:style w:type="table" w:styleId="TableColorful2">
    <w:name w:val="Table Colorful 2"/>
    <w:basedOn w:val="TableNormal"/>
    <w:rsid w:val="00BC18B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basedOn w:val="DefaultParagraphFont"/>
    <w:link w:val="TOC3"/>
    <w:uiPriority w:val="39"/>
    <w:rsid w:val="00D427C6"/>
    <w:rPr>
      <w:rFonts w:ascii="ITCAvantGardeStd-Md" w:hAnsi="ITCAvantGardeStd-Md"/>
      <w:sz w:val="20"/>
    </w:rPr>
  </w:style>
  <w:style w:type="character" w:customStyle="1" w:styleId="TOCLevel3Char">
    <w:name w:val="TOCLevel3 Char"/>
    <w:basedOn w:val="TOC3Char"/>
    <w:link w:val="TOCLevel3"/>
    <w:rsid w:val="00253FC7"/>
    <w:rPr>
      <w:rFonts w:ascii="ITCAvantGardeStd-Md" w:hAnsi="ITCAvantGardeStd-Md"/>
      <w:noProof/>
      <w:sz w:val="20"/>
      <w:szCs w:val="20"/>
    </w:rPr>
  </w:style>
  <w:style w:type="numbering" w:customStyle="1" w:styleId="Style1">
    <w:name w:val="Style1"/>
    <w:uiPriority w:val="99"/>
    <w:rsid w:val="00935BAE"/>
    <w:pPr>
      <w:numPr>
        <w:numId w:val="3"/>
      </w:numPr>
    </w:pPr>
  </w:style>
  <w:style w:type="numbering" w:customStyle="1" w:styleId="Bodybullets">
    <w:name w:val="Bodybullets"/>
    <w:uiPriority w:val="99"/>
    <w:rsid w:val="008711C4"/>
    <w:pPr>
      <w:numPr>
        <w:numId w:val="12"/>
      </w:numPr>
    </w:pPr>
  </w:style>
  <w:style w:type="numbering" w:customStyle="1" w:styleId="Keyfindingsbullets">
    <w:name w:val="Keyfindingsbullets"/>
    <w:uiPriority w:val="99"/>
    <w:rsid w:val="0078578B"/>
    <w:pPr>
      <w:numPr>
        <w:numId w:val="13"/>
      </w:numPr>
    </w:pPr>
  </w:style>
  <w:style w:type="paragraph" w:customStyle="1" w:styleId="ImageCaption">
    <w:name w:val="Image Caption"/>
    <w:basedOn w:val="Heading3"/>
    <w:next w:val="NormalBodyText"/>
    <w:link w:val="ImageCaptionChar"/>
    <w:qFormat/>
    <w:rsid w:val="0057480F"/>
    <w:pPr>
      <w:numPr>
        <w:ilvl w:val="0"/>
        <w:numId w:val="0"/>
      </w:numPr>
      <w:ind w:left="1224" w:hanging="1224"/>
    </w:pPr>
  </w:style>
  <w:style w:type="paragraph" w:styleId="TableofFigures">
    <w:name w:val="table of figures"/>
    <w:basedOn w:val="Normal"/>
    <w:next w:val="Normal"/>
    <w:uiPriority w:val="99"/>
    <w:qFormat/>
    <w:rsid w:val="00253FC7"/>
    <w:pPr>
      <w:tabs>
        <w:tab w:val="right" w:leader="dot" w:pos="10206"/>
      </w:tabs>
    </w:pPr>
    <w:rPr>
      <w:rFonts w:ascii="ITCAvantGardeStd-Bold" w:hAnsi="ITCAvantGardeStd-Bold"/>
    </w:rPr>
  </w:style>
  <w:style w:type="character" w:customStyle="1" w:styleId="Heading3Char">
    <w:name w:val="Heading 3 Char"/>
    <w:basedOn w:val="DefaultParagraphFont"/>
    <w:link w:val="Heading3"/>
    <w:rsid w:val="000A3401"/>
    <w:rPr>
      <w:rFonts w:ascii="ITCAvantGardeStd-Md" w:hAnsi="ITCAvantGardeStd-Md"/>
      <w:color w:val="82B3D3"/>
      <w:sz w:val="20"/>
      <w:szCs w:val="20"/>
    </w:rPr>
  </w:style>
  <w:style w:type="character" w:customStyle="1" w:styleId="ImageCaptionChar">
    <w:name w:val="Image Caption Char"/>
    <w:basedOn w:val="Heading3Char"/>
    <w:link w:val="ImageCaption"/>
    <w:rsid w:val="0057480F"/>
    <w:rPr>
      <w:rFonts w:ascii="ITCAvantGardeStd-Md" w:hAnsi="ITCAvantGardeStd-Md"/>
      <w:color w:val="82B3D3"/>
      <w:sz w:val="20"/>
      <w:szCs w:val="20"/>
    </w:rPr>
  </w:style>
  <w:style w:type="paragraph" w:customStyle="1" w:styleId="TableCaption">
    <w:name w:val="Table Caption"/>
    <w:basedOn w:val="Heading3"/>
    <w:next w:val="NormalBodyText"/>
    <w:link w:val="TableCaptionChar"/>
    <w:qFormat/>
    <w:rsid w:val="0057480F"/>
    <w:pPr>
      <w:numPr>
        <w:ilvl w:val="0"/>
        <w:numId w:val="0"/>
      </w:numPr>
      <w:ind w:left="1224" w:hanging="1224"/>
    </w:pPr>
  </w:style>
  <w:style w:type="character" w:customStyle="1" w:styleId="TableCaptionChar">
    <w:name w:val="Table Caption Char"/>
    <w:basedOn w:val="Heading3Char"/>
    <w:link w:val="TableCaption"/>
    <w:rsid w:val="0057480F"/>
    <w:rPr>
      <w:rFonts w:ascii="ITCAvantGardeStd-Md" w:hAnsi="ITCAvantGardeStd-Md"/>
      <w:color w:val="82B3D3"/>
      <w:sz w:val="20"/>
      <w:szCs w:val="20"/>
    </w:rPr>
  </w:style>
  <w:style w:type="paragraph" w:styleId="Caption">
    <w:name w:val="caption"/>
    <w:basedOn w:val="Normal"/>
    <w:next w:val="Normal"/>
    <w:unhideWhenUsed/>
    <w:qFormat/>
    <w:rsid w:val="000F22FB"/>
    <w:pPr>
      <w:spacing w:after="200"/>
    </w:pPr>
    <w:rPr>
      <w:b/>
      <w:bCs/>
      <w:color w:val="4F81BD" w:themeColor="accent1"/>
      <w:sz w:val="18"/>
      <w:szCs w:val="18"/>
    </w:rPr>
  </w:style>
  <w:style w:type="paragraph" w:customStyle="1" w:styleId="NormalBodyText">
    <w:name w:val="Normal Body Text"/>
    <w:basedOn w:val="Normal"/>
    <w:link w:val="NormalBodyTextChar"/>
    <w:qFormat/>
    <w:rsid w:val="0078578B"/>
    <w:pPr>
      <w:numPr>
        <w:numId w:val="10"/>
      </w:numPr>
      <w:spacing w:after="240" w:line="288" w:lineRule="auto"/>
    </w:pPr>
    <w:rPr>
      <w:szCs w:val="20"/>
    </w:rPr>
  </w:style>
  <w:style w:type="character" w:customStyle="1" w:styleId="NormalBodyTextChar">
    <w:name w:val="Normal Body Text Char"/>
    <w:basedOn w:val="DefaultParagraphFont"/>
    <w:link w:val="NormalBodyText"/>
    <w:rsid w:val="0078578B"/>
    <w:rPr>
      <w:rFonts w:ascii="Arial MT Std Light" w:hAnsi="Arial MT Std Light"/>
      <w:sz w:val="20"/>
      <w:szCs w:val="20"/>
    </w:rPr>
  </w:style>
  <w:style w:type="paragraph" w:customStyle="1" w:styleId="TableFooter">
    <w:name w:val="Table Footer"/>
    <w:basedOn w:val="Normal"/>
    <w:link w:val="TableFooterChar"/>
    <w:qFormat/>
    <w:rsid w:val="00EB2F74"/>
    <w:pPr>
      <w:pBdr>
        <w:bottom w:val="single" w:sz="12" w:space="1" w:color="82B3D3"/>
      </w:pBdr>
      <w:spacing w:before="240" w:after="240" w:line="288" w:lineRule="auto"/>
    </w:pPr>
    <w:rPr>
      <w:szCs w:val="20"/>
    </w:rPr>
  </w:style>
  <w:style w:type="paragraph" w:styleId="FootnoteText">
    <w:name w:val="footnote text"/>
    <w:basedOn w:val="Normal"/>
    <w:link w:val="FootnoteTextChar"/>
    <w:rsid w:val="00C52DA9"/>
    <w:rPr>
      <w:sz w:val="16"/>
      <w:szCs w:val="20"/>
    </w:rPr>
  </w:style>
  <w:style w:type="character" w:customStyle="1" w:styleId="TableFooterChar">
    <w:name w:val="Table Footer Char"/>
    <w:basedOn w:val="DefaultParagraphFont"/>
    <w:link w:val="TableFooter"/>
    <w:rsid w:val="00EB2F74"/>
    <w:rPr>
      <w:rFonts w:ascii="Arial MT Light" w:hAnsi="Arial MT Light"/>
      <w:sz w:val="20"/>
      <w:szCs w:val="20"/>
    </w:rPr>
  </w:style>
  <w:style w:type="character" w:customStyle="1" w:styleId="FootnoteTextChar">
    <w:name w:val="Footnote Text Char"/>
    <w:basedOn w:val="DefaultParagraphFont"/>
    <w:link w:val="FootnoteText"/>
    <w:rsid w:val="00C52DA9"/>
    <w:rPr>
      <w:rFonts w:ascii="Arial MT Light" w:hAnsi="Arial MT Light"/>
      <w:sz w:val="16"/>
      <w:szCs w:val="20"/>
    </w:rPr>
  </w:style>
  <w:style w:type="character" w:styleId="FootnoteReference">
    <w:name w:val="footnote reference"/>
    <w:basedOn w:val="DefaultParagraphFont"/>
    <w:rsid w:val="0029619B"/>
    <w:rPr>
      <w:vertAlign w:val="superscript"/>
    </w:rPr>
  </w:style>
  <w:style w:type="paragraph" w:customStyle="1" w:styleId="Heading1no-number">
    <w:name w:val="Heading 1 no-number"/>
    <w:basedOn w:val="Heading1"/>
    <w:next w:val="NormalBodyText"/>
    <w:link w:val="Heading1no-numberChar"/>
    <w:qFormat/>
    <w:rsid w:val="002478C1"/>
    <w:pPr>
      <w:numPr>
        <w:numId w:val="0"/>
      </w:numPr>
    </w:pPr>
  </w:style>
  <w:style w:type="paragraph" w:customStyle="1" w:styleId="Heading2no-number">
    <w:name w:val="Heading 2 no-number"/>
    <w:basedOn w:val="Heading2"/>
    <w:next w:val="NormalBodyText"/>
    <w:link w:val="Heading2no-numberChar"/>
    <w:qFormat/>
    <w:rsid w:val="002478C1"/>
    <w:pPr>
      <w:numPr>
        <w:ilvl w:val="0"/>
        <w:numId w:val="0"/>
      </w:numPr>
    </w:pPr>
  </w:style>
  <w:style w:type="character" w:customStyle="1" w:styleId="Heading1no-numberChar">
    <w:name w:val="Heading 1 no-number Char"/>
    <w:basedOn w:val="Heading1Char"/>
    <w:link w:val="Heading1no-number"/>
    <w:rsid w:val="002478C1"/>
    <w:rPr>
      <w:rFonts w:ascii="ITCAvantGardeStd-Bold" w:hAnsi="ITCAvantGardeStd-Bold"/>
      <w:color w:val="82B3D3"/>
      <w:sz w:val="48"/>
      <w:szCs w:val="48"/>
    </w:rPr>
  </w:style>
  <w:style w:type="paragraph" w:customStyle="1" w:styleId="Heading3no-number">
    <w:name w:val="Heading 3 no-number"/>
    <w:basedOn w:val="Heading3"/>
    <w:next w:val="NormalBodyText"/>
    <w:link w:val="Heading3no-numberChar"/>
    <w:qFormat/>
    <w:rsid w:val="002478C1"/>
    <w:pPr>
      <w:numPr>
        <w:ilvl w:val="0"/>
        <w:numId w:val="0"/>
      </w:numPr>
    </w:pPr>
  </w:style>
  <w:style w:type="character" w:customStyle="1" w:styleId="Heading2Char">
    <w:name w:val="Heading 2 Char"/>
    <w:basedOn w:val="DefaultParagraphFont"/>
    <w:link w:val="Heading2"/>
    <w:rsid w:val="000A3401"/>
    <w:rPr>
      <w:rFonts w:ascii="ITCAvantGardeStd-Bold" w:hAnsi="ITCAvantGardeStd-Bold"/>
      <w:color w:val="82B3D3"/>
      <w:sz w:val="24"/>
    </w:rPr>
  </w:style>
  <w:style w:type="character" w:customStyle="1" w:styleId="Heading2no-numberChar">
    <w:name w:val="Heading 2 no-number Char"/>
    <w:basedOn w:val="Heading2Char"/>
    <w:link w:val="Heading2no-number"/>
    <w:rsid w:val="002478C1"/>
    <w:rPr>
      <w:rFonts w:ascii="ITCAvantGardeStd-Bold" w:hAnsi="ITCAvantGardeStd-Bold"/>
      <w:color w:val="82B3D3"/>
      <w:sz w:val="24"/>
    </w:rPr>
  </w:style>
  <w:style w:type="paragraph" w:customStyle="1" w:styleId="Longquote">
    <w:name w:val="Long quote"/>
    <w:basedOn w:val="NormalBodyText"/>
    <w:next w:val="Longquotesource"/>
    <w:link w:val="LongquoteChar"/>
    <w:qFormat/>
    <w:rsid w:val="00275829"/>
    <w:pPr>
      <w:spacing w:after="0"/>
    </w:pPr>
    <w:rPr>
      <w:rFonts w:ascii="ITCAvantGardeStd-Bold" w:hAnsi="ITCAvantGardeStd-Bold"/>
      <w:i/>
    </w:rPr>
  </w:style>
  <w:style w:type="character" w:customStyle="1" w:styleId="Heading3no-numberChar">
    <w:name w:val="Heading 3 no-number Char"/>
    <w:basedOn w:val="Heading3Char"/>
    <w:link w:val="Heading3no-number"/>
    <w:rsid w:val="002478C1"/>
    <w:rPr>
      <w:rFonts w:ascii="ITCAvantGardeStd-Md" w:hAnsi="ITCAvantGardeStd-Md"/>
      <w:color w:val="82B3D3"/>
      <w:sz w:val="20"/>
      <w:szCs w:val="20"/>
    </w:rPr>
  </w:style>
  <w:style w:type="paragraph" w:customStyle="1" w:styleId="Longquotesource">
    <w:name w:val="Long quote source"/>
    <w:basedOn w:val="Longquote"/>
    <w:next w:val="NormalBodyText"/>
    <w:link w:val="LongquotesourceChar"/>
    <w:qFormat/>
    <w:rsid w:val="0004569F"/>
    <w:pPr>
      <w:spacing w:after="240"/>
    </w:pPr>
    <w:rPr>
      <w:rFonts w:ascii="Arial MT Std Light" w:hAnsi="Arial MT Std Light"/>
      <w:i w:val="0"/>
    </w:rPr>
  </w:style>
  <w:style w:type="character" w:customStyle="1" w:styleId="LongquoteChar">
    <w:name w:val="Long quote Char"/>
    <w:basedOn w:val="NormalBodyTextChar"/>
    <w:link w:val="Longquote"/>
    <w:rsid w:val="00275829"/>
    <w:rPr>
      <w:rFonts w:ascii="ITCAvantGardeStd-Bold" w:hAnsi="ITCAvantGardeStd-Bold"/>
      <w:i/>
      <w:sz w:val="20"/>
      <w:szCs w:val="20"/>
    </w:rPr>
  </w:style>
  <w:style w:type="character" w:customStyle="1" w:styleId="LongquotesourceChar">
    <w:name w:val="Long quote source Char"/>
    <w:basedOn w:val="LongquoteChar"/>
    <w:link w:val="Longquotesource"/>
    <w:rsid w:val="0004569F"/>
    <w:rPr>
      <w:rFonts w:ascii="Arial MT Std Light" w:hAnsi="Arial MT Std Light"/>
      <w:i w:val="0"/>
      <w:sz w:val="20"/>
      <w:szCs w:val="20"/>
    </w:rPr>
  </w:style>
  <w:style w:type="paragraph" w:customStyle="1" w:styleId="BulletLevel1">
    <w:name w:val="BulletLevel1"/>
    <w:basedOn w:val="ListParagraph"/>
    <w:link w:val="BulletLevel1Char"/>
    <w:qFormat/>
    <w:rsid w:val="008711C4"/>
    <w:pPr>
      <w:numPr>
        <w:numId w:val="12"/>
      </w:numPr>
      <w:spacing w:after="240" w:line="288" w:lineRule="auto"/>
      <w:contextualSpacing w:val="0"/>
    </w:pPr>
    <w:rPr>
      <w:szCs w:val="20"/>
    </w:rPr>
  </w:style>
  <w:style w:type="paragraph" w:customStyle="1" w:styleId="BulletLevel2">
    <w:name w:val="BulletLevel2"/>
    <w:basedOn w:val="NumberedListLevel1Cool"/>
    <w:link w:val="BulletLevel2Char"/>
    <w:qFormat/>
    <w:rsid w:val="008711C4"/>
    <w:pPr>
      <w:numPr>
        <w:numId w:val="12"/>
      </w:numPr>
    </w:pPr>
  </w:style>
  <w:style w:type="character" w:customStyle="1" w:styleId="ListParagraphChar">
    <w:name w:val="List Paragraph Char"/>
    <w:basedOn w:val="DefaultParagraphFont"/>
    <w:link w:val="ListParagraph"/>
    <w:uiPriority w:val="34"/>
    <w:rsid w:val="00D1310B"/>
    <w:rPr>
      <w:rFonts w:ascii="Arial MT Light" w:hAnsi="Arial MT Light"/>
      <w:sz w:val="20"/>
    </w:rPr>
  </w:style>
  <w:style w:type="character" w:customStyle="1" w:styleId="BulletLevel1Char">
    <w:name w:val="BulletLevel1 Char"/>
    <w:basedOn w:val="ListParagraphChar"/>
    <w:link w:val="BulletLevel1"/>
    <w:rsid w:val="008711C4"/>
    <w:rPr>
      <w:rFonts w:ascii="Arial MT Std Light" w:hAnsi="Arial MT Std Light"/>
      <w:sz w:val="20"/>
      <w:szCs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qFormat/>
    <w:rsid w:val="00E14C72"/>
  </w:style>
  <w:style w:type="paragraph" w:customStyle="1" w:styleId="TOFTitle">
    <w:name w:val="TOF Title"/>
    <w:basedOn w:val="Heading2no-number"/>
    <w:link w:val="TOFTitleChar"/>
    <w:qFormat/>
    <w:rsid w:val="00E14C72"/>
  </w:style>
  <w:style w:type="character" w:customStyle="1" w:styleId="TOCTitleChar">
    <w:name w:val="TOCTitle Char"/>
    <w:basedOn w:val="Heading1no-numberChar"/>
    <w:link w:val="TOCTitle"/>
    <w:rsid w:val="00E14C72"/>
    <w:rPr>
      <w:rFonts w:ascii="ITCAvantGardeStd-Bold" w:hAnsi="ITCAvantGardeStd-Bold"/>
      <w:color w:val="82B3D3"/>
      <w:sz w:val="48"/>
      <w:szCs w:val="48"/>
    </w:rPr>
  </w:style>
  <w:style w:type="character" w:customStyle="1" w:styleId="TOFTitleChar">
    <w:name w:val="TOF Title Char"/>
    <w:basedOn w:val="Heading2no-numberChar"/>
    <w:link w:val="TOFTitle"/>
    <w:rsid w:val="00E14C72"/>
    <w:rPr>
      <w:rFonts w:ascii="ITCAvantGardeStd-Bold" w:hAnsi="ITCAvantGardeStd-Bold"/>
      <w:color w:val="82B3D3"/>
      <w:sz w:val="24"/>
    </w:rPr>
  </w:style>
  <w:style w:type="paragraph" w:customStyle="1" w:styleId="NumberedListLevel2">
    <w:name w:val="NumberedListLevel2"/>
    <w:basedOn w:val="ListParagraph"/>
    <w:link w:val="NumberedListLevel2Char"/>
    <w:rsid w:val="00FD6117"/>
    <w:pPr>
      <w:numPr>
        <w:numId w:val="1"/>
      </w:numPr>
      <w:spacing w:after="240" w:line="288" w:lineRule="auto"/>
      <w:ind w:left="709" w:hanging="349"/>
      <w:contextualSpacing w:val="0"/>
    </w:pPr>
    <w:rPr>
      <w:b/>
      <w:szCs w:val="20"/>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qFormat/>
    <w:rsid w:val="0078578B"/>
    <w:pPr>
      <w:numPr>
        <w:ilvl w:val="1"/>
        <w:numId w:val="10"/>
      </w:numPr>
    </w:pPr>
    <w:rPr>
      <w:b w:val="0"/>
    </w:rPr>
  </w:style>
  <w:style w:type="paragraph" w:customStyle="1" w:styleId="NumberedListLev2">
    <w:name w:val="NumberedListLev2"/>
    <w:basedOn w:val="ListParagraph"/>
    <w:link w:val="NumberedListLev2Char"/>
    <w:qFormat/>
    <w:rsid w:val="0078578B"/>
    <w:pPr>
      <w:numPr>
        <w:ilvl w:val="2"/>
        <w:numId w:val="10"/>
      </w:numPr>
      <w:spacing w:after="240" w:line="288" w:lineRule="auto"/>
      <w:contextualSpacing w:val="0"/>
    </w:pPr>
    <w:rPr>
      <w:szCs w:val="20"/>
    </w:r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qFormat/>
    <w:rsid w:val="00752BB8"/>
    <w:pPr>
      <w:numPr>
        <w:numId w:val="5"/>
      </w:numPr>
      <w:ind w:left="568" w:hanging="284"/>
    </w:pPr>
  </w:style>
  <w:style w:type="paragraph" w:customStyle="1" w:styleId="NumberedListLevel1Urban">
    <w:name w:val="NumberedListLevel1Urban"/>
    <w:basedOn w:val="NumberedListLevel1"/>
    <w:link w:val="NumberedListLevel1UrbanChar"/>
    <w:qFormat/>
    <w:rsid w:val="00752BB8"/>
    <w:pPr>
      <w:numPr>
        <w:numId w:val="8"/>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qFormat/>
    <w:rsid w:val="00752BB8"/>
    <w:pPr>
      <w:numPr>
        <w:numId w:val="6"/>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qFormat/>
    <w:rsid w:val="00752BB8"/>
    <w:pPr>
      <w:numPr>
        <w:numId w:val="4"/>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qFormat/>
    <w:rsid w:val="00752BB8"/>
    <w:pPr>
      <w:numPr>
        <w:numId w:val="11"/>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qFormat/>
    <w:rsid w:val="00752BB8"/>
    <w:pPr>
      <w:numPr>
        <w:numId w:val="7"/>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qFormat/>
    <w:rsid w:val="00A60B7F"/>
    <w:rPr>
      <w:color w:val="82B3D3"/>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qFormat/>
    <w:rsid w:val="00A60B7F"/>
  </w:style>
  <w:style w:type="character" w:customStyle="1" w:styleId="LongQuoteCorporateChar">
    <w:name w:val="LongQuoteCorporate Char"/>
    <w:basedOn w:val="LongquoteChar"/>
    <w:link w:val="LongQuoteCorporate"/>
    <w:rsid w:val="00A60B7F"/>
    <w:rPr>
      <w:rFonts w:ascii="ITCAvantGardeStd-Bold" w:hAnsi="ITCAvantGardeStd-Bold"/>
      <w:i/>
      <w:color w:val="82B3D3"/>
      <w:sz w:val="20"/>
      <w:szCs w:val="20"/>
    </w:rPr>
  </w:style>
  <w:style w:type="paragraph" w:customStyle="1" w:styleId="LongQuoteWhite">
    <w:name w:val="LongQuoteWhite"/>
    <w:basedOn w:val="Longquote"/>
    <w:next w:val="LongQuoteSourceWhite"/>
    <w:link w:val="LongQuoteWhiteChar"/>
    <w:qFormat/>
    <w:rsid w:val="00A60B7F"/>
    <w:rPr>
      <w:color w:val="82B3D3"/>
    </w:rPr>
  </w:style>
  <w:style w:type="character" w:customStyle="1" w:styleId="LongQuoteTechChar">
    <w:name w:val="LongQuoteTech Char"/>
    <w:basedOn w:val="LongQuoteCorporateChar"/>
    <w:link w:val="LongQuoteTech"/>
    <w:rsid w:val="00A60B7F"/>
    <w:rPr>
      <w:rFonts w:ascii="ITCAvantGardeStd-Bold" w:hAnsi="ITCAvantGardeStd-Bold"/>
      <w:i/>
      <w:color w:val="82B3D3"/>
      <w:sz w:val="20"/>
      <w:szCs w:val="20"/>
    </w:rPr>
  </w:style>
  <w:style w:type="paragraph" w:customStyle="1" w:styleId="LongQuoteCool">
    <w:name w:val="LongQuoteCool"/>
    <w:basedOn w:val="Longquote"/>
    <w:next w:val="LongQuoteSourceCool"/>
    <w:link w:val="LongQuoteCoolChar"/>
    <w:qFormat/>
    <w:rsid w:val="00A60B7F"/>
    <w:rPr>
      <w:color w:val="82B3D3"/>
    </w:rPr>
  </w:style>
  <w:style w:type="character" w:customStyle="1" w:styleId="LongQuoteWhiteChar">
    <w:name w:val="LongQuoteWhite Char"/>
    <w:basedOn w:val="LongQuoteTechChar"/>
    <w:link w:val="LongQuoteWhite"/>
    <w:rsid w:val="00A60B7F"/>
    <w:rPr>
      <w:rFonts w:ascii="ITCAvantGardeStd-Bold" w:hAnsi="ITCAvantGardeStd-Bold"/>
      <w:i/>
      <w:color w:val="82B3D3"/>
      <w:sz w:val="20"/>
      <w:szCs w:val="20"/>
    </w:rPr>
  </w:style>
  <w:style w:type="paragraph" w:customStyle="1" w:styleId="LongQuoteUrban">
    <w:name w:val="LongQuoteUrban"/>
    <w:basedOn w:val="Longquote"/>
    <w:next w:val="LongQuoteSourceUrban"/>
    <w:link w:val="LongQuoteUrbanChar"/>
    <w:qFormat/>
    <w:rsid w:val="00A60B7F"/>
    <w:rPr>
      <w:color w:val="82B3D3"/>
    </w:rPr>
  </w:style>
  <w:style w:type="character" w:customStyle="1" w:styleId="LongQuoteCoolChar">
    <w:name w:val="LongQuoteCool Char"/>
    <w:basedOn w:val="LongQuoteWhiteChar"/>
    <w:link w:val="LongQuoteCool"/>
    <w:rsid w:val="00A60B7F"/>
    <w:rPr>
      <w:rFonts w:ascii="ITCAvantGardeStd-Bold" w:hAnsi="ITCAvantGardeStd-Bold"/>
      <w:i/>
      <w:color w:val="82B3D3"/>
      <w:sz w:val="20"/>
      <w:szCs w:val="20"/>
    </w:rPr>
  </w:style>
  <w:style w:type="paragraph" w:customStyle="1" w:styleId="LongQuoteMuted">
    <w:name w:val="LongQuoteMuted"/>
    <w:basedOn w:val="Longquote"/>
    <w:next w:val="LongQuoteSourceMuted"/>
    <w:link w:val="LongQuoteMutedChar"/>
    <w:qFormat/>
    <w:rsid w:val="00A60B7F"/>
    <w:rPr>
      <w:color w:val="82B3D3"/>
    </w:rPr>
  </w:style>
  <w:style w:type="character" w:customStyle="1" w:styleId="LongQuoteUrbanChar">
    <w:name w:val="LongQuoteUrban Char"/>
    <w:basedOn w:val="LongQuoteCoolChar"/>
    <w:link w:val="LongQuoteUrban"/>
    <w:rsid w:val="00A60B7F"/>
    <w:rPr>
      <w:rFonts w:ascii="ITCAvantGardeStd-Bold" w:hAnsi="ITCAvantGardeStd-Bold"/>
      <w:i/>
      <w:color w:val="82B3D3"/>
      <w:sz w:val="20"/>
      <w:szCs w:val="20"/>
    </w:rPr>
  </w:style>
  <w:style w:type="paragraph" w:customStyle="1" w:styleId="LongQuoteSourceCorporate">
    <w:name w:val="LongQuoteSourceCorporate"/>
    <w:basedOn w:val="Longquotesource"/>
    <w:next w:val="NormalBodyText"/>
    <w:link w:val="LongQuoteSourceCorporateChar"/>
    <w:qFormat/>
    <w:rsid w:val="00A60B7F"/>
    <w:rPr>
      <w:color w:val="82B3D3"/>
    </w:rPr>
  </w:style>
  <w:style w:type="character" w:customStyle="1" w:styleId="LongQuoteMutedChar">
    <w:name w:val="LongQuoteMuted Char"/>
    <w:basedOn w:val="LongQuoteUrbanChar"/>
    <w:link w:val="LongQuoteMuted"/>
    <w:rsid w:val="00A60B7F"/>
    <w:rPr>
      <w:rFonts w:ascii="ITCAvantGardeStd-Bold" w:hAnsi="ITCAvantGardeStd-Bold"/>
      <w:i/>
      <w:color w:val="82B3D3"/>
      <w:sz w:val="20"/>
      <w:szCs w:val="20"/>
    </w:rPr>
  </w:style>
  <w:style w:type="paragraph" w:customStyle="1" w:styleId="LongQuoteSourceTech">
    <w:name w:val="LongQuoteSourceTech"/>
    <w:basedOn w:val="LongQuoteSourceCorporate"/>
    <w:next w:val="NormalBodyText"/>
    <w:link w:val="LongQuoteSourceTechChar"/>
    <w:qFormat/>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82B3D3"/>
      <w:sz w:val="20"/>
      <w:szCs w:val="20"/>
    </w:rPr>
  </w:style>
  <w:style w:type="paragraph" w:customStyle="1" w:styleId="LongQuoteSourceWhite">
    <w:name w:val="LongQuoteSourceWhite"/>
    <w:basedOn w:val="LongQuoteSourceTech"/>
    <w:next w:val="NormalBodyText"/>
    <w:link w:val="LongQuoteSourceWhiteChar"/>
    <w:qFormat/>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82B3D3"/>
      <w:sz w:val="20"/>
      <w:szCs w:val="20"/>
    </w:rPr>
  </w:style>
  <w:style w:type="paragraph" w:customStyle="1" w:styleId="LongQuoteSourceCool">
    <w:name w:val="LongQuoteSourceCool"/>
    <w:basedOn w:val="LongQuoteSourceWhite"/>
    <w:next w:val="NormalBodyText"/>
    <w:link w:val="LongQuoteSourceCoolChar"/>
    <w:qFormat/>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82B3D3"/>
      <w:sz w:val="20"/>
      <w:szCs w:val="20"/>
    </w:rPr>
  </w:style>
  <w:style w:type="paragraph" w:customStyle="1" w:styleId="LongQuoteSourceUrban">
    <w:name w:val="LongQuoteSourceUrban"/>
    <w:basedOn w:val="LongQuoteSourceCool"/>
    <w:next w:val="NormalBodyText"/>
    <w:link w:val="LongQuoteSourceUrbanChar"/>
    <w:qFormat/>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82B3D3"/>
      <w:sz w:val="20"/>
      <w:szCs w:val="20"/>
    </w:rPr>
  </w:style>
  <w:style w:type="paragraph" w:customStyle="1" w:styleId="LongQuoteSourceMuted">
    <w:name w:val="LongQuoteSourceMuted"/>
    <w:basedOn w:val="LongQuoteSourceUrban"/>
    <w:next w:val="NormalBodyText"/>
    <w:link w:val="LongQuoteSourceMutedChar"/>
    <w:qFormat/>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82B3D3"/>
      <w:sz w:val="20"/>
      <w:szCs w:val="20"/>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82B3D3"/>
      <w:sz w:val="20"/>
      <w:szCs w:val="20"/>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qFormat/>
    <w:rsid w:val="00E17B97"/>
  </w:style>
  <w:style w:type="character" w:customStyle="1" w:styleId="TableSourceChar">
    <w:name w:val="Table Source Char"/>
    <w:basedOn w:val="TableFooterChar"/>
    <w:link w:val="TableSource"/>
    <w:rsid w:val="00E17B97"/>
    <w:rPr>
      <w:rFonts w:ascii="Arial MT Std Light" w:hAnsi="Arial MT Std Light"/>
      <w:sz w:val="20"/>
      <w:szCs w:val="20"/>
    </w:rPr>
  </w:style>
  <w:style w:type="numbering" w:customStyle="1" w:styleId="Style2">
    <w:name w:val="Style2"/>
    <w:uiPriority w:val="99"/>
    <w:rsid w:val="006B25C5"/>
    <w:pPr>
      <w:numPr>
        <w:numId w:val="9"/>
      </w:numPr>
    </w:pPr>
  </w:style>
  <w:style w:type="paragraph" w:customStyle="1" w:styleId="ExampleImageWhiteBottom">
    <w:name w:val="ExampleImageWhiteBottom"/>
    <w:rsid w:val="00D44196"/>
    <w:pPr>
      <w:spacing w:after="240" w:line="288" w:lineRule="auto"/>
    </w:pPr>
    <w:rPr>
      <w:rFonts w:ascii="Arial MT Std Light" w:hAnsi="Arial MT Std Light"/>
      <w:sz w:val="20"/>
      <w:szCs w:val="20"/>
    </w:rPr>
  </w:style>
  <w:style w:type="paragraph" w:customStyle="1" w:styleId="KeyFindingsHeading">
    <w:name w:val="KeyFindingsHeading"/>
    <w:basedOn w:val="Normal"/>
    <w:link w:val="KeyFindingsHeadingChar"/>
    <w:qFormat/>
    <w:rsid w:val="00D55AAB"/>
    <w:pPr>
      <w:spacing w:after="240" w:line="288" w:lineRule="auto"/>
    </w:pPr>
    <w:rPr>
      <w:rFonts w:ascii="ITCAvantGardeStd-Md" w:hAnsi="ITCAvantGardeStd-Md"/>
      <w:color w:val="FFFFFF" w:themeColor="background1"/>
      <w:sz w:val="24"/>
      <w:szCs w:val="20"/>
    </w:rPr>
  </w:style>
  <w:style w:type="paragraph" w:customStyle="1" w:styleId="KeyFindingsBody">
    <w:name w:val="KeyFindingsBody"/>
    <w:basedOn w:val="Normal"/>
    <w:link w:val="KeyFindingsBodyChar"/>
    <w:qFormat/>
    <w:rsid w:val="0078578B"/>
    <w:pPr>
      <w:numPr>
        <w:numId w:val="13"/>
      </w:numPr>
      <w:spacing w:after="240" w:line="288" w:lineRule="auto"/>
    </w:pPr>
    <w:rPr>
      <w:color w:val="FFFFFF" w:themeColor="background1"/>
      <w:szCs w:val="20"/>
    </w:rPr>
  </w:style>
  <w:style w:type="character" w:customStyle="1" w:styleId="KeyFindingsHeadingChar">
    <w:name w:val="KeyFindingsHeading Char"/>
    <w:basedOn w:val="DefaultParagraphFont"/>
    <w:link w:val="KeyFindingsHeading"/>
    <w:rsid w:val="00D55AAB"/>
    <w:rPr>
      <w:rFonts w:ascii="ITCAvantGardeStd-Md" w:hAnsi="ITCAvantGardeStd-Md"/>
      <w:color w:val="FFFFFF" w:themeColor="background1"/>
      <w:sz w:val="24"/>
      <w:szCs w:val="20"/>
    </w:rPr>
  </w:style>
  <w:style w:type="paragraph" w:customStyle="1" w:styleId="KeyFindingsBullet1">
    <w:name w:val="KeyFindingsBullet1"/>
    <w:basedOn w:val="ListParagraph"/>
    <w:link w:val="KeyFindingsBullet1Char"/>
    <w:qFormat/>
    <w:rsid w:val="0078578B"/>
    <w:pPr>
      <w:numPr>
        <w:ilvl w:val="1"/>
        <w:numId w:val="13"/>
      </w:numPr>
      <w:spacing w:after="240" w:line="288" w:lineRule="auto"/>
      <w:contextualSpacing w:val="0"/>
    </w:pPr>
    <w:rPr>
      <w:color w:val="FFFFFF" w:themeColor="background1"/>
      <w:szCs w:val="20"/>
    </w:rPr>
  </w:style>
  <w:style w:type="character" w:customStyle="1" w:styleId="KeyFindingsBodyChar">
    <w:name w:val="KeyFindingsBody Char"/>
    <w:basedOn w:val="DefaultParagraphFont"/>
    <w:link w:val="KeyFindingsBody"/>
    <w:rsid w:val="0078578B"/>
    <w:rPr>
      <w:rFonts w:ascii="Arial MT Std Light" w:hAnsi="Arial MT Std Light"/>
      <w:color w:val="FFFFFF" w:themeColor="background1"/>
      <w:sz w:val="20"/>
      <w:szCs w:val="20"/>
    </w:rPr>
  </w:style>
  <w:style w:type="paragraph" w:customStyle="1" w:styleId="KeyFindingsBullet2">
    <w:name w:val="KeyFindingsBullet2"/>
    <w:basedOn w:val="ListParagraph"/>
    <w:link w:val="KeyFindingsBullet2Char"/>
    <w:qFormat/>
    <w:rsid w:val="0078578B"/>
    <w:pPr>
      <w:numPr>
        <w:ilvl w:val="2"/>
        <w:numId w:val="13"/>
      </w:numPr>
      <w:spacing w:after="240" w:line="288" w:lineRule="auto"/>
      <w:contextualSpacing w:val="0"/>
    </w:pPr>
    <w:rPr>
      <w:color w:val="FFFFFF" w:themeColor="background1"/>
      <w:szCs w:val="20"/>
    </w:rPr>
  </w:style>
  <w:style w:type="character" w:customStyle="1" w:styleId="KeyFindingsBullet1Char">
    <w:name w:val="KeyFindingsBullet1 Char"/>
    <w:basedOn w:val="ListParagraphChar"/>
    <w:link w:val="KeyFindingsBullet1"/>
    <w:rsid w:val="0078578B"/>
    <w:rPr>
      <w:rFonts w:ascii="Arial MT Std Light" w:hAnsi="Arial MT Std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Arial MT Std Light" w:hAnsi="Arial MT Std Light"/>
      <w:color w:val="FFFFFF" w:themeColor="background1"/>
      <w:sz w:val="20"/>
      <w:szCs w:val="20"/>
    </w:rPr>
  </w:style>
  <w:style w:type="paragraph" w:customStyle="1" w:styleId="MoreInformationText">
    <w:name w:val="MoreInformationText"/>
    <w:basedOn w:val="Normal"/>
    <w:link w:val="MoreInformationTextChar"/>
    <w:qFormat/>
    <w:rsid w:val="00D3016F"/>
    <w:pPr>
      <w:spacing w:line="264" w:lineRule="auto"/>
    </w:pPr>
    <w:rPr>
      <w:rFonts w:cs="ArialMT-Light"/>
      <w:color w:val="FFFFFF"/>
      <w:szCs w:val="20"/>
    </w:rPr>
  </w:style>
  <w:style w:type="paragraph" w:customStyle="1" w:styleId="LegalDisclaimerText">
    <w:name w:val="LegalDisclaimerText"/>
    <w:basedOn w:val="LegalText"/>
    <w:link w:val="LegalDisclaimerTextChar"/>
    <w:qFormat/>
    <w:rsid w:val="00433EB2"/>
    <w:rPr>
      <w:rFonts w:ascii="Arial MT Std Light" w:hAnsi="Arial MT Std Light"/>
    </w:rPr>
  </w:style>
  <w:style w:type="character" w:customStyle="1" w:styleId="MoreInformationTextChar">
    <w:name w:val="MoreInformationText Char"/>
    <w:basedOn w:val="DefaultParagraphFont"/>
    <w:link w:val="MoreInformationText"/>
    <w:rsid w:val="00D3016F"/>
    <w:rPr>
      <w:rFonts w:ascii="Arial MT Std Light" w:hAnsi="Arial MT Std Light" w:cs="ArialMT-Light"/>
      <w:color w:val="FFFFFF"/>
      <w:sz w:val="20"/>
      <w:szCs w:val="20"/>
    </w:rPr>
  </w:style>
  <w:style w:type="paragraph" w:customStyle="1" w:styleId="MoreInformationWeb">
    <w:name w:val="MoreInformationWeb"/>
    <w:basedOn w:val="Normal"/>
    <w:link w:val="MoreInformationWebChar"/>
    <w:qFormat/>
    <w:rsid w:val="002F200C"/>
    <w:pPr>
      <w:spacing w:after="240" w:line="264" w:lineRule="auto"/>
    </w:pPr>
    <w:rPr>
      <w:rFonts w:ascii="ITCAvantGardeStd-Bold" w:hAnsi="ITCAvantGardeStd-Bold" w:cs="ArialMT-Light"/>
      <w:color w:val="FFFFFF"/>
      <w:sz w:val="24"/>
      <w:szCs w:val="20"/>
    </w:rPr>
  </w:style>
  <w:style w:type="character" w:customStyle="1" w:styleId="LegalDisclaimerTextChar">
    <w:name w:val="LegalDisclaimerText Char"/>
    <w:basedOn w:val="LegalTextChar"/>
    <w:link w:val="LegalDisclaimerText"/>
    <w:rsid w:val="00433EB2"/>
    <w:rPr>
      <w:rFonts w:ascii="Arial MT Std Light" w:hAnsi="Arial MT Std Light" w:cs="ArialMT-Light"/>
      <w:color w:val="82B3D3"/>
      <w:sz w:val="20"/>
      <w:szCs w:val="20"/>
    </w:rPr>
  </w:style>
  <w:style w:type="character" w:customStyle="1" w:styleId="MoreInformationWebChar">
    <w:name w:val="MoreInformationWeb Char"/>
    <w:basedOn w:val="DefaultParagraphFont"/>
    <w:link w:val="MoreInformationWeb"/>
    <w:rsid w:val="002F200C"/>
    <w:rPr>
      <w:rFonts w:ascii="ITCAvantGardeStd-Bold" w:hAnsi="ITCAvantGardeStd-Bold" w:cs="ArialMT-Light"/>
      <w:color w:val="FFFFFF"/>
      <w:sz w:val="24"/>
      <w:szCs w:val="20"/>
    </w:rPr>
  </w:style>
  <w:style w:type="numbering" w:customStyle="1" w:styleId="JayeshNavinShahEasterEgg">
    <w:name w:val="JayeshNavinShahEasterEgg"/>
    <w:uiPriority w:val="99"/>
    <w:rsid w:val="0078578B"/>
    <w:pPr>
      <w:numPr>
        <w:numId w:val="10"/>
      </w:numPr>
    </w:pPr>
  </w:style>
  <w:style w:type="paragraph" w:styleId="CommentText">
    <w:name w:val="annotation text"/>
    <w:basedOn w:val="Normal"/>
    <w:link w:val="CommentTextChar"/>
    <w:semiHidden/>
    <w:unhideWhenUsed/>
    <w:rsid w:val="00300B6C"/>
    <w:rPr>
      <w:szCs w:val="20"/>
    </w:rPr>
  </w:style>
  <w:style w:type="character" w:customStyle="1" w:styleId="CommentTextChar">
    <w:name w:val="Comment Text Char"/>
    <w:basedOn w:val="DefaultParagraphFont"/>
    <w:link w:val="CommentText"/>
    <w:semiHidden/>
    <w:rsid w:val="00300B6C"/>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300B6C"/>
    <w:rPr>
      <w:b/>
      <w:bCs/>
    </w:rPr>
  </w:style>
  <w:style w:type="character" w:customStyle="1" w:styleId="CommentSubjectChar">
    <w:name w:val="Comment Subject Char"/>
    <w:basedOn w:val="CommentTextChar"/>
    <w:link w:val="CommentSubject"/>
    <w:semiHidden/>
    <w:rsid w:val="00300B6C"/>
    <w:rPr>
      <w:rFonts w:ascii="Arial MT Std Light" w:hAnsi="Arial MT Std Light"/>
      <w:b/>
      <w:bCs/>
      <w:sz w:val="20"/>
      <w:szCs w:val="20"/>
    </w:rPr>
  </w:style>
  <w:style w:type="paragraph" w:styleId="Revision">
    <w:name w:val="Revision"/>
    <w:hidden/>
    <w:uiPriority w:val="99"/>
    <w:semiHidden/>
    <w:rsid w:val="009A1E57"/>
    <w:rPr>
      <w:rFonts w:ascii="Arial MT Std Light" w:hAnsi="Arial MT Std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6606">
      <w:bodyDiv w:val="1"/>
      <w:marLeft w:val="0"/>
      <w:marRight w:val="0"/>
      <w:marTop w:val="0"/>
      <w:marBottom w:val="0"/>
      <w:divBdr>
        <w:top w:val="none" w:sz="0" w:space="0" w:color="auto"/>
        <w:left w:val="none" w:sz="0" w:space="0" w:color="auto"/>
        <w:bottom w:val="none" w:sz="0" w:space="0" w:color="auto"/>
        <w:right w:val="none" w:sz="0" w:space="0" w:color="auto"/>
      </w:divBdr>
    </w:div>
    <w:div w:id="505243601">
      <w:bodyDiv w:val="1"/>
      <w:marLeft w:val="0"/>
      <w:marRight w:val="0"/>
      <w:marTop w:val="0"/>
      <w:marBottom w:val="0"/>
      <w:divBdr>
        <w:top w:val="none" w:sz="0" w:space="0" w:color="auto"/>
        <w:left w:val="none" w:sz="0" w:space="0" w:color="auto"/>
        <w:bottom w:val="none" w:sz="0" w:space="0" w:color="auto"/>
        <w:right w:val="none" w:sz="0" w:space="0" w:color="auto"/>
      </w:divBdr>
    </w:div>
    <w:div w:id="640227890">
      <w:bodyDiv w:val="1"/>
      <w:marLeft w:val="0"/>
      <w:marRight w:val="0"/>
      <w:marTop w:val="0"/>
      <w:marBottom w:val="0"/>
      <w:divBdr>
        <w:top w:val="none" w:sz="0" w:space="0" w:color="auto"/>
        <w:left w:val="none" w:sz="0" w:space="0" w:color="auto"/>
        <w:bottom w:val="none" w:sz="0" w:space="0" w:color="auto"/>
        <w:right w:val="none" w:sz="0" w:space="0" w:color="auto"/>
      </w:divBdr>
    </w:div>
    <w:div w:id="1081828659">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300305292">
      <w:bodyDiv w:val="1"/>
      <w:marLeft w:val="0"/>
      <w:marRight w:val="0"/>
      <w:marTop w:val="0"/>
      <w:marBottom w:val="0"/>
      <w:divBdr>
        <w:top w:val="none" w:sz="0" w:space="0" w:color="auto"/>
        <w:left w:val="none" w:sz="0" w:space="0" w:color="auto"/>
        <w:bottom w:val="none" w:sz="0" w:space="0" w:color="auto"/>
        <w:right w:val="none" w:sz="0" w:space="0" w:color="auto"/>
      </w:divBdr>
    </w:div>
    <w:div w:id="1597518536">
      <w:bodyDiv w:val="1"/>
      <w:marLeft w:val="0"/>
      <w:marRight w:val="0"/>
      <w:marTop w:val="0"/>
      <w:marBottom w:val="0"/>
      <w:divBdr>
        <w:top w:val="none" w:sz="0" w:space="0" w:color="auto"/>
        <w:left w:val="none" w:sz="0" w:space="0" w:color="auto"/>
        <w:bottom w:val="none" w:sz="0" w:space="0" w:color="auto"/>
        <w:right w:val="none" w:sz="0" w:space="0" w:color="auto"/>
      </w:divBdr>
    </w:div>
    <w:div w:id="1655522435">
      <w:bodyDiv w:val="1"/>
      <w:marLeft w:val="0"/>
      <w:marRight w:val="0"/>
      <w:marTop w:val="0"/>
      <w:marBottom w:val="0"/>
      <w:divBdr>
        <w:top w:val="none" w:sz="0" w:space="0" w:color="auto"/>
        <w:left w:val="none" w:sz="0" w:space="0" w:color="auto"/>
        <w:bottom w:val="none" w:sz="0" w:space="0" w:color="auto"/>
        <w:right w:val="none" w:sz="0" w:space="0" w:color="auto"/>
      </w:divBdr>
    </w:div>
    <w:div w:id="1908764023">
      <w:bodyDiv w:val="1"/>
      <w:marLeft w:val="0"/>
      <w:marRight w:val="0"/>
      <w:marTop w:val="0"/>
      <w:marBottom w:val="0"/>
      <w:divBdr>
        <w:top w:val="none" w:sz="0" w:space="0" w:color="auto"/>
        <w:left w:val="none" w:sz="0" w:space="0" w:color="auto"/>
        <w:bottom w:val="none" w:sz="0" w:space="0" w:color="auto"/>
        <w:right w:val="none" w:sz="0" w:space="0" w:color="auto"/>
      </w:divBdr>
    </w:div>
    <w:div w:id="21142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IPSOSMORITEMPLATES\Ipsos%20MORI%20Report%20&amp;%20Proposal%20Template%20201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26B35-3C2B-4641-BBCC-5EADD818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MORI Report &amp; Proposal Template 2014.dotm</Template>
  <TotalTime>0</TotalTime>
  <Pages>1</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Normal dot (Rev02 January 2009)</vt:lpstr>
    </vt:vector>
  </TitlesOfParts>
  <Company>IPSOS</Company>
  <LinksUpToDate>false</LinksUpToDate>
  <CharactersWithSpaces>11186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dot (Rev02 January 2009)</dc:title>
  <dc:subject>Universal Normal Template</dc:subject>
  <dc:creator>Charles Levy</dc:creator>
  <cp:lastModifiedBy>Geddes Graham (Finance &amp; Information Services)</cp:lastModifiedBy>
  <cp:revision>1</cp:revision>
  <cp:lastPrinted>2015-04-13T08:33:00Z</cp:lastPrinted>
  <dcterms:created xsi:type="dcterms:W3CDTF">2015-06-02T17:28:00Z</dcterms:created>
  <dcterms:modified xsi:type="dcterms:W3CDTF">2015-06-02T17:28:00Z</dcterms:modified>
</cp:coreProperties>
</file>