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ext1"/>
    <w:p w14:paraId="0D18ACC7" w14:textId="003BC875" w:rsidR="000528D9" w:rsidRDefault="001C6E1B" w:rsidP="00AE02E3">
      <w:pPr>
        <w:pStyle w:val="StyleLeft125mmRight5m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CAD59" w14:textId="7A681F90" w:rsidR="00F33241" w:rsidRPr="0084708B" w:rsidRDefault="00D128A2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Tree Health Laboratories</w:t>
                            </w:r>
                          </w:p>
                          <w:p w14:paraId="5BCE882B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bookmarkStart w:id="1" w:name="_Hlk55989690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1D4AC31F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</w:p>
                          <w:p w14:paraId="582C4C82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368005AC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68666748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 4LH</w:t>
                            </w:r>
                            <w:bookmarkEnd w:id="1"/>
                          </w:p>
                          <w:p w14:paraId="3B952028" w14:textId="77777777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62FF60B1" w14:textId="7708EAAF" w:rsidR="009C32A4" w:rsidRDefault="009C32A4" w:rsidP="009C32A4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Tel </w:t>
                            </w:r>
                            <w:r w:rsidR="00697A31" w:rsidRPr="00697A31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300 067 5764</w:t>
                            </w:r>
                          </w:p>
                          <w:p w14:paraId="3BC94C41" w14:textId="1868C185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180B7656" w14:textId="35FE4522" w:rsidR="00F33241" w:rsidRPr="0084708B" w:rsidRDefault="009B751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Laboratory Manager</w:t>
                            </w:r>
                          </w:p>
                          <w:p w14:paraId="0AC77BB1" w14:textId="21C03948" w:rsidR="009574B5" w:rsidRDefault="009B7517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James Snowden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" stroked="f">
                <v:textbox inset="0,0,0,0">
                  <w:txbxContent>
                    <w:p w14:paraId="7F5CAD59" w14:textId="7A681F90" w:rsidR="00F33241" w:rsidRPr="0084708B" w:rsidRDefault="00D128A2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Tree Health Laboratories</w:t>
                      </w:r>
                    </w:p>
                    <w:p w14:paraId="5BCE882B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bookmarkStart w:id="2" w:name="_Hlk55989690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1D4AC31F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  <w:proofErr w:type="spellEnd"/>
                    </w:p>
                    <w:p w14:paraId="582C4C82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368005AC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68666748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 4LH</w:t>
                      </w:r>
                      <w:bookmarkEnd w:id="2"/>
                    </w:p>
                    <w:p w14:paraId="3B952028" w14:textId="77777777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62FF60B1" w14:textId="7708EAAF" w:rsidR="009C32A4" w:rsidRDefault="009C32A4" w:rsidP="009C32A4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Tel </w:t>
                      </w:r>
                      <w:r w:rsidR="00697A31" w:rsidRPr="00697A31">
                        <w:rPr>
                          <w:rFonts w:ascii="Verdana" w:hAnsi="Verdana"/>
                          <w:color w:val="auto"/>
                          <w:szCs w:val="20"/>
                        </w:rPr>
                        <w:t>300 067 5764</w:t>
                      </w:r>
                    </w:p>
                    <w:p w14:paraId="3BC94C41" w14:textId="1868C185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180B7656" w14:textId="35FE4522" w:rsidR="00F33241" w:rsidRPr="0084708B" w:rsidRDefault="009B751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Laboratory Manager</w:t>
                      </w:r>
                    </w:p>
                    <w:p w14:paraId="0AC77BB1" w14:textId="21C03948" w:rsidR="009574B5" w:rsidRDefault="009B7517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James Snowden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02E3">
        <w:t xml:space="preserve">TO: </w:t>
      </w:r>
      <w:r w:rsidR="003C7A5E">
        <w:t>Suppliers</w:t>
      </w:r>
      <w:bookmarkEnd w:id="0"/>
    </w:p>
    <w:p w14:paraId="69B76632" w14:textId="77777777" w:rsidR="00AE02E3" w:rsidRDefault="00AE02E3" w:rsidP="00AE02E3">
      <w:pPr>
        <w:pStyle w:val="StyleLeft125mmRight5mm"/>
      </w:pPr>
    </w:p>
    <w:p w14:paraId="79ED4D97" w14:textId="77777777" w:rsidR="00AE02E3" w:rsidRDefault="00AE02E3" w:rsidP="00AE02E3">
      <w:pPr>
        <w:pStyle w:val="StyleLeft125mmRight5mm"/>
      </w:pPr>
    </w:p>
    <w:p w14:paraId="15555908" w14:textId="77777777" w:rsidR="00AE02E3" w:rsidRPr="00ED210F" w:rsidRDefault="00AE02E3" w:rsidP="00AE02E3">
      <w:pPr>
        <w:pStyle w:val="StyleLeft125mmRight5mm"/>
      </w:pPr>
    </w:p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6428DEBB" w14:textId="38AEC28D" w:rsidR="000528D9" w:rsidRDefault="00121345">
      <w:pPr>
        <w:rPr>
          <w:rFonts w:cs="Times New Roman"/>
          <w:szCs w:val="20"/>
        </w:rPr>
      </w:pPr>
      <w:bookmarkStart w:id="2" w:name="Text5"/>
      <w:r>
        <w:rPr>
          <w:rFonts w:cs="Times New Roman"/>
          <w:szCs w:val="20"/>
        </w:rPr>
        <w:t>2</w:t>
      </w:r>
      <w:r w:rsidR="00252526">
        <w:rPr>
          <w:rFonts w:cs="Times New Roman"/>
          <w:szCs w:val="20"/>
        </w:rPr>
        <w:t>6</w:t>
      </w:r>
      <w:r w:rsidR="00EC3659">
        <w:rPr>
          <w:rFonts w:cs="Times New Roman"/>
          <w:szCs w:val="20"/>
        </w:rPr>
        <w:t xml:space="preserve"> Novem</w:t>
      </w:r>
      <w:r w:rsidR="007C5BC3">
        <w:rPr>
          <w:rFonts w:cs="Times New Roman"/>
          <w:szCs w:val="20"/>
        </w:rPr>
        <w:t>ber 2024</w:t>
      </w:r>
      <w:bookmarkEnd w:id="2"/>
    </w:p>
    <w:p w14:paraId="42539984" w14:textId="77777777" w:rsidR="007C5BC3" w:rsidRDefault="007C5BC3">
      <w:pPr>
        <w:rPr>
          <w:rFonts w:cs="Times New Roman"/>
          <w:szCs w:val="20"/>
        </w:rPr>
      </w:pPr>
    </w:p>
    <w:p w14:paraId="3EDA6E8F" w14:textId="77777777" w:rsidR="007C5BC3" w:rsidRDefault="007C5BC3">
      <w:pPr>
        <w:rPr>
          <w:rFonts w:cs="Times New Roman"/>
          <w:szCs w:val="20"/>
        </w:rPr>
      </w:pPr>
    </w:p>
    <w:p w14:paraId="0EF5A70B" w14:textId="77777777" w:rsidR="000528D9" w:rsidRDefault="000528D9"/>
    <w:bookmarkStart w:id="3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3"/>
    </w:p>
    <w:p w14:paraId="47376ACA" w14:textId="77777777" w:rsidR="000528D9" w:rsidRDefault="000528D9"/>
    <w:p w14:paraId="698E3EF9" w14:textId="4ADCE580" w:rsidR="00A13A9C" w:rsidRPr="00A13A9C" w:rsidRDefault="000A7784" w:rsidP="00C62515">
      <w:pPr>
        <w:jc w:val="both"/>
        <w:rPr>
          <w:b/>
          <w:color w:val="008000"/>
          <w:szCs w:val="20"/>
          <w:lang w:eastAsia="en-US"/>
        </w:rPr>
      </w:pPr>
      <w:r>
        <w:rPr>
          <w:b/>
          <w:szCs w:val="20"/>
          <w:lang w:eastAsia="en-US"/>
        </w:rPr>
        <w:t>REQUEST FOR QUOTATION</w:t>
      </w:r>
      <w:r w:rsidR="0007003C" w:rsidRPr="0007003C">
        <w:rPr>
          <w:b/>
          <w:szCs w:val="20"/>
          <w:lang w:eastAsia="en-US"/>
        </w:rPr>
        <w:t xml:space="preserve"> FOR </w:t>
      </w:r>
      <w:r w:rsidR="000238D0">
        <w:rPr>
          <w:b/>
          <w:szCs w:val="20"/>
          <w:lang w:eastAsia="en-US"/>
        </w:rPr>
        <w:t xml:space="preserve">SUPPLY </w:t>
      </w:r>
      <w:r w:rsidR="00DD7816">
        <w:rPr>
          <w:b/>
          <w:szCs w:val="20"/>
          <w:lang w:eastAsia="en-US"/>
        </w:rPr>
        <w:t>OF 2 (TWO)</w:t>
      </w:r>
      <w:r w:rsidR="00B25E2C">
        <w:rPr>
          <w:b/>
          <w:szCs w:val="20"/>
          <w:lang w:eastAsia="en-US"/>
        </w:rPr>
        <w:t xml:space="preserve"> </w:t>
      </w:r>
      <w:r w:rsidR="00A13A9C">
        <w:rPr>
          <w:b/>
          <w:szCs w:val="20"/>
          <w:lang w:eastAsia="en-US"/>
        </w:rPr>
        <w:t>PORTABLE/RELOCATABLE</w:t>
      </w:r>
      <w:r w:rsidR="00C62515">
        <w:rPr>
          <w:b/>
          <w:szCs w:val="20"/>
          <w:lang w:eastAsia="en-US"/>
        </w:rPr>
        <w:t>,</w:t>
      </w:r>
      <w:r w:rsidR="00A13A9C">
        <w:rPr>
          <w:b/>
          <w:szCs w:val="20"/>
          <w:lang w:eastAsia="en-US"/>
        </w:rPr>
        <w:t xml:space="preserve"> EXTERNAL</w:t>
      </w:r>
      <w:r w:rsidR="00C62515">
        <w:rPr>
          <w:b/>
          <w:szCs w:val="20"/>
          <w:lang w:eastAsia="en-US"/>
        </w:rPr>
        <w:t>,</w:t>
      </w:r>
      <w:r w:rsidR="00A13A9C">
        <w:rPr>
          <w:b/>
          <w:szCs w:val="20"/>
          <w:lang w:eastAsia="en-US"/>
        </w:rPr>
        <w:t xml:space="preserve"> WEATHER-RESISTANT GROWTH CHAMBERS FOR PLANTS/SAPLINGS</w:t>
      </w:r>
      <w:r w:rsidR="00DD7816">
        <w:rPr>
          <w:b/>
          <w:szCs w:val="20"/>
          <w:lang w:eastAsia="en-US"/>
        </w:rPr>
        <w:t xml:space="preserve"> </w:t>
      </w:r>
    </w:p>
    <w:p w14:paraId="15865F56" w14:textId="77777777" w:rsidR="00A13A9C" w:rsidRPr="00A13A9C" w:rsidRDefault="00A13A9C" w:rsidP="00C62515">
      <w:pPr>
        <w:jc w:val="both"/>
        <w:rPr>
          <w:b/>
          <w:color w:val="008000"/>
          <w:szCs w:val="20"/>
          <w:lang w:eastAsia="en-US"/>
        </w:rPr>
      </w:pPr>
    </w:p>
    <w:p w14:paraId="573B5B88" w14:textId="15EB83B9" w:rsidR="0007003C" w:rsidRPr="0007003C" w:rsidRDefault="0007003C" w:rsidP="00C62515">
      <w:pPr>
        <w:jc w:val="both"/>
        <w:rPr>
          <w:b/>
          <w:color w:val="008000"/>
          <w:szCs w:val="20"/>
          <w:lang w:eastAsia="en-US"/>
        </w:rPr>
      </w:pPr>
      <w:r w:rsidRPr="0007003C">
        <w:rPr>
          <w:b/>
          <w:szCs w:val="20"/>
          <w:lang w:eastAsia="en-US"/>
        </w:rPr>
        <w:t>REF NO:</w:t>
      </w:r>
      <w:r w:rsidRPr="0007003C">
        <w:rPr>
          <w:b/>
          <w:color w:val="008000"/>
          <w:szCs w:val="20"/>
          <w:lang w:eastAsia="en-US"/>
        </w:rPr>
        <w:t xml:space="preserve"> </w:t>
      </w:r>
      <w:r w:rsidR="005D38BB" w:rsidRPr="005D38BB">
        <w:rPr>
          <w:b/>
          <w:szCs w:val="20"/>
          <w:lang w:eastAsia="en-US"/>
        </w:rPr>
        <w:t>CR2024/25/0</w:t>
      </w:r>
      <w:r w:rsidR="00A13A9C">
        <w:rPr>
          <w:b/>
          <w:szCs w:val="20"/>
          <w:lang w:eastAsia="en-US"/>
        </w:rPr>
        <w:t>61</w:t>
      </w:r>
    </w:p>
    <w:p w14:paraId="20362D05" w14:textId="336949D6" w:rsidR="00056A5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You are invited to submit a quotation for </w:t>
      </w:r>
      <w:r w:rsidR="00C93714">
        <w:rPr>
          <w:szCs w:val="20"/>
          <w:lang w:eastAsia="en-US"/>
        </w:rPr>
        <w:t xml:space="preserve">design, </w:t>
      </w:r>
      <w:r w:rsidR="005F634B">
        <w:rPr>
          <w:szCs w:val="20"/>
          <w:lang w:eastAsia="en-US"/>
        </w:rPr>
        <w:t xml:space="preserve">supply and delivery of two </w:t>
      </w:r>
      <w:r w:rsidR="00C62515">
        <w:rPr>
          <w:szCs w:val="20"/>
          <w:lang w:eastAsia="en-US"/>
        </w:rPr>
        <w:t>self-contained relocatable</w:t>
      </w:r>
      <w:r w:rsidR="005F634B">
        <w:rPr>
          <w:szCs w:val="20"/>
          <w:lang w:eastAsia="en-US"/>
        </w:rPr>
        <w:t xml:space="preserve"> </w:t>
      </w:r>
      <w:r w:rsidR="00C62515">
        <w:rPr>
          <w:szCs w:val="20"/>
          <w:lang w:eastAsia="en-US"/>
        </w:rPr>
        <w:t>g</w:t>
      </w:r>
      <w:r w:rsidR="005F634B">
        <w:rPr>
          <w:szCs w:val="20"/>
          <w:lang w:eastAsia="en-US"/>
        </w:rPr>
        <w:t xml:space="preserve">rowth </w:t>
      </w:r>
      <w:r w:rsidR="00C62515">
        <w:rPr>
          <w:szCs w:val="20"/>
          <w:lang w:eastAsia="en-US"/>
        </w:rPr>
        <w:t>c</w:t>
      </w:r>
      <w:r w:rsidR="005F634B">
        <w:rPr>
          <w:szCs w:val="20"/>
          <w:lang w:eastAsia="en-US"/>
        </w:rPr>
        <w:t>hambers</w:t>
      </w:r>
      <w:r w:rsidR="00C93714">
        <w:rPr>
          <w:szCs w:val="20"/>
          <w:lang w:eastAsia="en-US"/>
        </w:rPr>
        <w:t>, as de</w:t>
      </w:r>
      <w:r w:rsidR="00D241D1">
        <w:rPr>
          <w:szCs w:val="20"/>
          <w:lang w:eastAsia="en-US"/>
        </w:rPr>
        <w:t xml:space="preserve">tailed </w:t>
      </w:r>
      <w:r w:rsidR="000A4D74">
        <w:rPr>
          <w:szCs w:val="20"/>
          <w:lang w:eastAsia="en-US"/>
        </w:rPr>
        <w:t xml:space="preserve">in the </w:t>
      </w:r>
      <w:r w:rsidR="00C62515">
        <w:rPr>
          <w:szCs w:val="20"/>
          <w:lang w:eastAsia="en-US"/>
        </w:rPr>
        <w:t>s</w:t>
      </w:r>
      <w:r w:rsidR="000A4D74">
        <w:rPr>
          <w:szCs w:val="20"/>
          <w:lang w:eastAsia="en-US"/>
        </w:rPr>
        <w:t xml:space="preserve">pecification </w:t>
      </w:r>
      <w:r w:rsidR="00D241D1">
        <w:rPr>
          <w:szCs w:val="20"/>
          <w:lang w:eastAsia="en-US"/>
        </w:rPr>
        <w:t>below.</w:t>
      </w:r>
    </w:p>
    <w:p w14:paraId="298A6B47" w14:textId="3150DF0F" w:rsidR="00C875B9" w:rsidRPr="00C875B9" w:rsidRDefault="00C875B9" w:rsidP="00312E12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 xml:space="preserve">Delivery </w:t>
      </w:r>
      <w:r w:rsidR="00D24F2D">
        <w:rPr>
          <w:szCs w:val="20"/>
          <w:lang w:eastAsia="en-US"/>
        </w:rPr>
        <w:t xml:space="preserve">of both </w:t>
      </w:r>
      <w:r w:rsidR="00C62515">
        <w:rPr>
          <w:szCs w:val="20"/>
          <w:lang w:eastAsia="en-US"/>
        </w:rPr>
        <w:t>g</w:t>
      </w:r>
      <w:r w:rsidR="006B533B">
        <w:rPr>
          <w:szCs w:val="20"/>
          <w:lang w:eastAsia="en-US"/>
        </w:rPr>
        <w:t xml:space="preserve">rowth </w:t>
      </w:r>
      <w:r w:rsidR="00C62515">
        <w:rPr>
          <w:szCs w:val="20"/>
          <w:lang w:eastAsia="en-US"/>
        </w:rPr>
        <w:t>c</w:t>
      </w:r>
      <w:r w:rsidR="006B533B">
        <w:rPr>
          <w:szCs w:val="20"/>
          <w:lang w:eastAsia="en-US"/>
        </w:rPr>
        <w:t>hambers</w:t>
      </w:r>
      <w:r w:rsidR="009F4719">
        <w:rPr>
          <w:szCs w:val="20"/>
          <w:lang w:eastAsia="en-US"/>
        </w:rPr>
        <w:t xml:space="preserve"> </w:t>
      </w:r>
      <w:r w:rsidR="00381916">
        <w:rPr>
          <w:szCs w:val="20"/>
          <w:lang w:eastAsia="en-US"/>
        </w:rPr>
        <w:t>to</w:t>
      </w:r>
      <w:r w:rsidR="00D24F2D">
        <w:rPr>
          <w:szCs w:val="20"/>
          <w:lang w:eastAsia="en-US"/>
        </w:rPr>
        <w:t>:</w:t>
      </w:r>
      <w:r w:rsidR="00381916">
        <w:rPr>
          <w:szCs w:val="20"/>
          <w:lang w:eastAsia="en-US"/>
        </w:rPr>
        <w:t xml:space="preserve"> </w:t>
      </w:r>
      <w:r w:rsidR="00312E12" w:rsidRPr="00312E12">
        <w:rPr>
          <w:szCs w:val="20"/>
          <w:lang w:eastAsia="en-US"/>
        </w:rPr>
        <w:t>Alice Holt</w:t>
      </w:r>
      <w:r w:rsidR="00312E12">
        <w:rPr>
          <w:szCs w:val="20"/>
          <w:lang w:eastAsia="en-US"/>
        </w:rPr>
        <w:t xml:space="preserve"> Research Station</w:t>
      </w:r>
      <w:r w:rsidR="00734B3E">
        <w:rPr>
          <w:szCs w:val="20"/>
          <w:lang w:eastAsia="en-US"/>
        </w:rPr>
        <w:t xml:space="preserve">, </w:t>
      </w:r>
      <w:r w:rsidR="00312E12" w:rsidRPr="00312E12">
        <w:rPr>
          <w:szCs w:val="20"/>
          <w:lang w:eastAsia="en-US"/>
        </w:rPr>
        <w:t>Farnham</w:t>
      </w:r>
      <w:r w:rsidR="00734B3E">
        <w:rPr>
          <w:szCs w:val="20"/>
          <w:lang w:eastAsia="en-US"/>
        </w:rPr>
        <w:t xml:space="preserve">, </w:t>
      </w:r>
      <w:r w:rsidR="00312E12" w:rsidRPr="00312E12">
        <w:rPr>
          <w:szCs w:val="20"/>
          <w:lang w:eastAsia="en-US"/>
        </w:rPr>
        <w:t>Surrey</w:t>
      </w:r>
      <w:r w:rsidR="00734B3E">
        <w:rPr>
          <w:szCs w:val="20"/>
          <w:lang w:eastAsia="en-US"/>
        </w:rPr>
        <w:t xml:space="preserve"> </w:t>
      </w:r>
      <w:r w:rsidR="00312E12" w:rsidRPr="00312E12">
        <w:rPr>
          <w:szCs w:val="20"/>
          <w:lang w:eastAsia="en-US"/>
        </w:rPr>
        <w:t>GU10 4LH</w:t>
      </w:r>
      <w:r w:rsidR="00734B3E">
        <w:rPr>
          <w:szCs w:val="20"/>
          <w:lang w:eastAsia="en-US"/>
        </w:rPr>
        <w:t>.</w:t>
      </w:r>
    </w:p>
    <w:p w14:paraId="24AB4327" w14:textId="77777777" w:rsidR="00EE63E8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Please send your quotation and any enquires about this invitation </w:t>
      </w:r>
      <w:r w:rsidR="00C875B9">
        <w:rPr>
          <w:szCs w:val="20"/>
          <w:lang w:eastAsia="en-US"/>
        </w:rPr>
        <w:t xml:space="preserve">by email </w:t>
      </w:r>
      <w:r w:rsidRPr="0007003C">
        <w:rPr>
          <w:szCs w:val="20"/>
          <w:lang w:eastAsia="en-US"/>
        </w:rPr>
        <w:t xml:space="preserve">to: </w:t>
      </w:r>
    </w:p>
    <w:p w14:paraId="2A62E492" w14:textId="65BF4957" w:rsidR="0007003C" w:rsidRDefault="00D24F2D" w:rsidP="0007003C">
      <w:pPr>
        <w:spacing w:before="120" w:line="240" w:lineRule="atLeast"/>
        <w:jc w:val="both"/>
        <w:rPr>
          <w:color w:val="365F91"/>
          <w:szCs w:val="20"/>
          <w:lang w:eastAsia="en-US"/>
        </w:rPr>
      </w:pPr>
      <w:r>
        <w:rPr>
          <w:color w:val="365F91"/>
          <w:szCs w:val="20"/>
          <w:lang w:eastAsia="en-US"/>
        </w:rPr>
        <w:tab/>
      </w:r>
      <w:r>
        <w:rPr>
          <w:color w:val="365F91"/>
          <w:szCs w:val="20"/>
          <w:lang w:eastAsia="en-US"/>
        </w:rPr>
        <w:tab/>
      </w:r>
      <w:r>
        <w:rPr>
          <w:color w:val="365F91"/>
          <w:szCs w:val="20"/>
          <w:lang w:eastAsia="en-US"/>
        </w:rPr>
        <w:tab/>
      </w:r>
      <w:hyperlink r:id="rId11" w:history="1">
        <w:r w:rsidR="005C5817" w:rsidRPr="00BC5F13">
          <w:rPr>
            <w:rStyle w:val="Hyperlink"/>
            <w:szCs w:val="20"/>
            <w:lang w:eastAsia="en-US"/>
          </w:rPr>
          <w:t>procurement@forestresearch.gov.uk</w:t>
        </w:r>
      </w:hyperlink>
    </w:p>
    <w:p w14:paraId="033ECC7A" w14:textId="3EC76722" w:rsidR="0007003C" w:rsidRPr="0007003C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>
        <w:rPr>
          <w:szCs w:val="20"/>
          <w:lang w:eastAsia="en-US"/>
        </w:rPr>
        <w:t xml:space="preserve"> </w:t>
      </w:r>
      <w:r w:rsidR="008870A3">
        <w:rPr>
          <w:b/>
          <w:bCs/>
          <w:szCs w:val="20"/>
          <w:lang w:eastAsia="en-US"/>
        </w:rPr>
        <w:t>14.00</w:t>
      </w:r>
      <w:r w:rsidR="000002FE" w:rsidRPr="00F416A1">
        <w:rPr>
          <w:b/>
          <w:bCs/>
          <w:szCs w:val="20"/>
          <w:lang w:eastAsia="en-US"/>
        </w:rPr>
        <w:t xml:space="preserve"> hrs on </w:t>
      </w:r>
      <w:r w:rsidR="008870A3">
        <w:rPr>
          <w:b/>
          <w:bCs/>
          <w:szCs w:val="20"/>
          <w:lang w:eastAsia="en-US"/>
        </w:rPr>
        <w:t>9</w:t>
      </w:r>
      <w:r w:rsidR="008870A3" w:rsidRPr="008870A3">
        <w:rPr>
          <w:b/>
          <w:bCs/>
          <w:szCs w:val="20"/>
          <w:vertAlign w:val="superscript"/>
          <w:lang w:eastAsia="en-US"/>
        </w:rPr>
        <w:t>th</w:t>
      </w:r>
      <w:r w:rsidR="00D912F0" w:rsidRPr="00F416A1">
        <w:rPr>
          <w:b/>
          <w:bCs/>
          <w:szCs w:val="20"/>
          <w:lang w:eastAsia="en-US"/>
        </w:rPr>
        <w:t xml:space="preserve"> December</w:t>
      </w:r>
      <w:r w:rsidR="001410D5" w:rsidRPr="00F416A1">
        <w:rPr>
          <w:b/>
          <w:bCs/>
          <w:szCs w:val="20"/>
          <w:lang w:eastAsia="en-US"/>
        </w:rPr>
        <w:t xml:space="preserve"> </w:t>
      </w:r>
      <w:r w:rsidR="000002FE" w:rsidRPr="00F416A1">
        <w:rPr>
          <w:b/>
          <w:bCs/>
          <w:szCs w:val="20"/>
          <w:lang w:eastAsia="en-US"/>
        </w:rPr>
        <w:t>2024</w:t>
      </w:r>
      <w:r w:rsidRPr="0007003C">
        <w:rPr>
          <w:szCs w:val="20"/>
          <w:lang w:eastAsia="en-US"/>
        </w:rPr>
        <w:t xml:space="preserve">. </w:t>
      </w:r>
      <w:r w:rsidRPr="00C875B9">
        <w:rPr>
          <w:szCs w:val="20"/>
          <w:lang w:eastAsia="en-US"/>
        </w:rPr>
        <w:t>Late submissions will not be considered.</w:t>
      </w:r>
      <w:r w:rsidR="0007003C" w:rsidRPr="0007003C">
        <w:rPr>
          <w:szCs w:val="20"/>
          <w:lang w:eastAsia="en-US"/>
        </w:rPr>
        <w:t xml:space="preserve"> </w:t>
      </w:r>
    </w:p>
    <w:p w14:paraId="054CB481" w14:textId="77777777" w:rsidR="000002FE" w:rsidRDefault="000002F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4ABC985C" w14:textId="77777777" w:rsidR="00A162B5" w:rsidRDefault="00EE63E8" w:rsidP="00A162B5">
      <w:pPr>
        <w:rPr>
          <w:szCs w:val="20"/>
          <w:lang w:eastAsia="en-US"/>
        </w:rPr>
      </w:pPr>
      <w:r w:rsidRPr="009B3FDF">
        <w:rPr>
          <w:szCs w:val="20"/>
          <w:lang w:eastAsia="en-US"/>
        </w:rPr>
        <w:t>Quotations will be evaluated as de</w:t>
      </w:r>
      <w:r w:rsidR="009978E8" w:rsidRPr="009B3FDF">
        <w:rPr>
          <w:szCs w:val="20"/>
          <w:lang w:eastAsia="en-US"/>
        </w:rPr>
        <w:t>scribed</w:t>
      </w:r>
      <w:r w:rsidRPr="009B3FDF">
        <w:rPr>
          <w:szCs w:val="20"/>
          <w:lang w:eastAsia="en-US"/>
        </w:rPr>
        <w:t xml:space="preserve"> in the Evaluation </w:t>
      </w:r>
      <w:r w:rsidR="009978E8" w:rsidRPr="009B3FDF">
        <w:rPr>
          <w:szCs w:val="20"/>
          <w:lang w:eastAsia="en-US"/>
        </w:rPr>
        <w:t>section</w:t>
      </w:r>
      <w:r w:rsidRPr="009B3FDF">
        <w:rPr>
          <w:szCs w:val="20"/>
          <w:lang w:eastAsia="en-US"/>
        </w:rPr>
        <w:t xml:space="preserve"> below, and the selected quote</w:t>
      </w:r>
      <w:r w:rsidR="009B3FDF" w:rsidRPr="009B3FDF">
        <w:rPr>
          <w:szCs w:val="20"/>
          <w:lang w:eastAsia="en-US"/>
        </w:rPr>
        <w:t>(s)</w:t>
      </w:r>
      <w:r w:rsidRPr="009B3FDF">
        <w:rPr>
          <w:szCs w:val="20"/>
          <w:lang w:eastAsia="en-US"/>
        </w:rPr>
        <w:t>/supplier</w:t>
      </w:r>
      <w:r w:rsidR="009B3FDF" w:rsidRPr="009B3FDF">
        <w:rPr>
          <w:szCs w:val="20"/>
          <w:lang w:eastAsia="en-US"/>
        </w:rPr>
        <w:t>(s)</w:t>
      </w:r>
      <w:r w:rsidRPr="009B3FDF">
        <w:rPr>
          <w:szCs w:val="20"/>
          <w:lang w:eastAsia="en-US"/>
        </w:rPr>
        <w:t xml:space="preserve"> chosen accordingly.</w:t>
      </w:r>
      <w:r w:rsidR="00A162B5">
        <w:rPr>
          <w:szCs w:val="20"/>
          <w:lang w:eastAsia="en-US"/>
        </w:rPr>
        <w:t xml:space="preserve"> </w:t>
      </w:r>
    </w:p>
    <w:p w14:paraId="4F8CB192" w14:textId="77777777" w:rsidR="00A162B5" w:rsidRDefault="00A162B5" w:rsidP="00A162B5">
      <w:pPr>
        <w:rPr>
          <w:szCs w:val="20"/>
          <w:lang w:eastAsia="en-US"/>
        </w:rPr>
      </w:pPr>
    </w:p>
    <w:p w14:paraId="55CD4166" w14:textId="77777777" w:rsidR="00A162B5" w:rsidRDefault="00A162B5" w:rsidP="00A162B5">
      <w:pPr>
        <w:rPr>
          <w:szCs w:val="20"/>
          <w:lang w:eastAsia="en-US"/>
        </w:rPr>
      </w:pPr>
      <w:r>
        <w:rPr>
          <w:szCs w:val="20"/>
          <w:lang w:eastAsia="en-US"/>
        </w:rPr>
        <w:t>Please ensure your quote submission includes</w:t>
      </w:r>
    </w:p>
    <w:p w14:paraId="62528463" w14:textId="00DF4162" w:rsidR="00A162B5" w:rsidRDefault="00A162B5" w:rsidP="00A162B5">
      <w:pPr>
        <w:pStyle w:val="ListParagraph"/>
        <w:numPr>
          <w:ilvl w:val="0"/>
          <w:numId w:val="15"/>
        </w:numPr>
        <w:rPr>
          <w:szCs w:val="20"/>
          <w:lang w:eastAsia="en-US"/>
        </w:rPr>
      </w:pPr>
      <w:r w:rsidRPr="00A162B5">
        <w:rPr>
          <w:szCs w:val="20"/>
          <w:lang w:eastAsia="en-US"/>
        </w:rPr>
        <w:t>the ‘</w:t>
      </w:r>
      <w:r w:rsidRPr="00A162B5">
        <w:rPr>
          <w:i/>
          <w:iCs/>
          <w:szCs w:val="20"/>
          <w:lang w:eastAsia="en-US"/>
        </w:rPr>
        <w:t>Summary of requirements’</w:t>
      </w:r>
      <w:r w:rsidRPr="00A162B5">
        <w:rPr>
          <w:szCs w:val="20"/>
          <w:lang w:eastAsia="en-US"/>
        </w:rPr>
        <w:t xml:space="preserve"> table in the Specification section below, duly completed with the inf</w:t>
      </w:r>
      <w:r>
        <w:rPr>
          <w:szCs w:val="20"/>
          <w:lang w:eastAsia="en-US"/>
        </w:rPr>
        <w:t>ormation</w:t>
      </w:r>
      <w:r w:rsidRPr="00A162B5">
        <w:rPr>
          <w:szCs w:val="20"/>
          <w:lang w:eastAsia="en-US"/>
        </w:rPr>
        <w:t xml:space="preserve"> requested</w:t>
      </w:r>
      <w:r>
        <w:rPr>
          <w:szCs w:val="20"/>
          <w:lang w:eastAsia="en-US"/>
        </w:rPr>
        <w:t>, and</w:t>
      </w:r>
    </w:p>
    <w:p w14:paraId="58D1A2DF" w14:textId="7611E25A" w:rsidR="00455F97" w:rsidRPr="006007B2" w:rsidRDefault="0014449A" w:rsidP="006007B2">
      <w:pPr>
        <w:pStyle w:val="ListParagraph"/>
        <w:numPr>
          <w:ilvl w:val="0"/>
          <w:numId w:val="15"/>
        </w:numPr>
        <w:rPr>
          <w:szCs w:val="20"/>
          <w:lang w:eastAsia="en-US"/>
        </w:rPr>
      </w:pPr>
      <w:r>
        <w:rPr>
          <w:szCs w:val="20"/>
          <w:lang w:eastAsia="en-US"/>
        </w:rPr>
        <w:t>the ‘</w:t>
      </w:r>
      <w:r w:rsidRPr="0014449A">
        <w:rPr>
          <w:i/>
          <w:iCs/>
          <w:szCs w:val="20"/>
          <w:lang w:eastAsia="en-US"/>
        </w:rPr>
        <w:t>Product-specific information</w:t>
      </w:r>
      <w:r>
        <w:rPr>
          <w:szCs w:val="20"/>
          <w:lang w:eastAsia="en-US"/>
        </w:rPr>
        <w:t>’</w:t>
      </w:r>
      <w:r w:rsidRPr="0014449A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listed in the </w:t>
      </w:r>
      <w:r w:rsidRPr="00A162B5">
        <w:rPr>
          <w:szCs w:val="20"/>
          <w:lang w:eastAsia="en-US"/>
        </w:rPr>
        <w:t>Specification section below</w:t>
      </w:r>
      <w:r>
        <w:rPr>
          <w:szCs w:val="20"/>
          <w:lang w:eastAsia="en-US"/>
        </w:rPr>
        <w:t>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9B3FDF">
        <w:rPr>
          <w:szCs w:val="20"/>
          <w:lang w:eastAsia="en-US"/>
        </w:rPr>
        <w:t>Please note the following conditions:</w:t>
      </w:r>
    </w:p>
    <w:p w14:paraId="532FFA73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lang w:eastAsia="en-US"/>
        </w:rPr>
      </w:pPr>
      <w:r w:rsidRPr="21F0DDBC">
        <w:rPr>
          <w:lang w:eastAsia="en-US"/>
        </w:rPr>
        <w:t>Any contract concluded as a result of this RFQ shall be governed by English Law and the Forestry Commission’s Standard Terms and Conditions of Contract will apply</w:t>
      </w:r>
      <w:r w:rsidRPr="21F0DDBC">
        <w:rPr>
          <w:rStyle w:val="EndnoteReference"/>
          <w:lang w:eastAsia="en-US"/>
        </w:rPr>
        <w:endnoteReference w:id="2"/>
      </w:r>
      <w:r w:rsidRPr="21F0DDBC">
        <w:rPr>
          <w:lang w:eastAsia="en-US"/>
        </w:rPr>
        <w:t>. Your terms will not apply.</w:t>
      </w:r>
    </w:p>
    <w:p w14:paraId="72A7EEBB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The quotation and all accompanying documents are to be in English</w:t>
      </w:r>
    </w:p>
    <w:p w14:paraId="2F7E7DC9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22AC599E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Forest Research </w:t>
      </w:r>
      <w:r w:rsidRPr="00EE63E8">
        <w:rPr>
          <w:szCs w:val="20"/>
          <w:lang w:eastAsia="en-US"/>
        </w:rPr>
        <w:t>does not undertake to accept the lowest priced quotation, or part or all of any quotation</w:t>
      </w:r>
    </w:p>
    <w:p w14:paraId="48F6D4D2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parties</w:t>
      </w:r>
    </w:p>
    <w:p w14:paraId="404F4EA3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lastRenderedPageBreak/>
        <w:t>Once the contract has been awarded, any additional costs incurred which are not reflected in the quotation will not be accepted for payment</w:t>
      </w:r>
    </w:p>
    <w:p w14:paraId="3D888E98" w14:textId="77777777" w:rsidR="003F3CAD" w:rsidRPr="00EE63E8" w:rsidRDefault="003F3CAD" w:rsidP="003F3CAD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07982B0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13BBC904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3891EB2B" w14:textId="77777777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42D554FF" w14:textId="51A36021" w:rsidR="0016238E" w:rsidRDefault="005C4276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James Snowden</w:t>
      </w:r>
    </w:p>
    <w:p w14:paraId="6D3926AF" w14:textId="355C3770" w:rsidR="005C4276" w:rsidRDefault="005C4276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Laboratory Manager </w:t>
      </w:r>
    </w:p>
    <w:p w14:paraId="5DA29956" w14:textId="52C88326" w:rsidR="005C4276" w:rsidRDefault="005C4276" w:rsidP="0007003C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</w:p>
    <w:p w14:paraId="29ED131A" w14:textId="009790B4" w:rsidR="00FC7B80" w:rsidRDefault="00FC7B80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6FEBAF8E" w14:textId="21C827DD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79BF5EB9" w14:textId="7921C95D" w:rsidR="0016238E" w:rsidRDefault="0016238E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44A3536F" w14:textId="77777777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77777777" w:rsidR="00F71E88" w:rsidRDefault="00F71E88" w:rsidP="0007003C">
      <w:pPr>
        <w:spacing w:before="120" w:line="240" w:lineRule="atLeast"/>
        <w:jc w:val="both"/>
        <w:rPr>
          <w:szCs w:val="20"/>
          <w:lang w:eastAsia="en-US"/>
        </w:rPr>
        <w:sectPr w:rsidR="00F71E88" w:rsidSect="000528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5EADD5B6" w14:textId="77777777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DEC9855" w14:textId="77777777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089CE054" w14:textId="77777777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0556BC21" w14:textId="300A440D" w:rsidR="00655D7F" w:rsidRPr="00E04F0E" w:rsidRDefault="00655D7F" w:rsidP="00655D7F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Contract Price shall become payable on delivery of the Goods and payment will be made within </w:t>
      </w:r>
      <w:r w:rsidR="008722F0">
        <w:rPr>
          <w:szCs w:val="20"/>
          <w:lang w:eastAsia="en-US"/>
        </w:rPr>
        <w:t>7</w:t>
      </w:r>
      <w:r w:rsidRPr="00E04F0E">
        <w:rPr>
          <w:szCs w:val="20"/>
          <w:lang w:eastAsia="en-US"/>
        </w:rPr>
        <w:t xml:space="preserve"> days of receipt of invoice.</w:t>
      </w:r>
    </w:p>
    <w:p w14:paraId="6B7BE7A5" w14:textId="18E0511B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You are required to </w:t>
      </w:r>
      <w:r w:rsidR="00C62515">
        <w:rPr>
          <w:szCs w:val="20"/>
          <w:lang w:eastAsia="en-US"/>
        </w:rPr>
        <w:t>provide a</w:t>
      </w:r>
      <w:r w:rsidR="00F67D3F">
        <w:rPr>
          <w:szCs w:val="20"/>
          <w:lang w:eastAsia="en-US"/>
        </w:rPr>
        <w:t>n</w:t>
      </w:r>
      <w:r w:rsidR="00C62515">
        <w:rPr>
          <w:szCs w:val="20"/>
          <w:lang w:eastAsia="en-US"/>
        </w:rPr>
        <w:t xml:space="preserve"> itemised</w:t>
      </w:r>
      <w:r w:rsidRPr="00E04F0E">
        <w:rPr>
          <w:szCs w:val="20"/>
          <w:lang w:eastAsia="en-US"/>
        </w:rPr>
        <w:t xml:space="preserve"> pricing </w:t>
      </w:r>
      <w:r w:rsidR="00F61720" w:rsidRPr="00E04F0E">
        <w:rPr>
          <w:szCs w:val="20"/>
          <w:lang w:eastAsia="en-US"/>
        </w:rPr>
        <w:t>schedule</w:t>
      </w:r>
      <w:r w:rsidR="00F61720">
        <w:rPr>
          <w:szCs w:val="20"/>
          <w:lang w:eastAsia="en-US"/>
        </w:rPr>
        <w:t>,</w:t>
      </w:r>
      <w:r w:rsidR="00F61720" w:rsidRPr="00E04F0E">
        <w:rPr>
          <w:szCs w:val="20"/>
          <w:lang w:eastAsia="en-US"/>
        </w:rPr>
        <w:t xml:space="preserve"> covering</w:t>
      </w:r>
      <w:r w:rsidR="00F67D3F">
        <w:rPr>
          <w:szCs w:val="20"/>
          <w:lang w:eastAsia="en-US"/>
        </w:rPr>
        <w:t xml:space="preserve"> all elements of the requirement, from design th</w:t>
      </w:r>
      <w:r w:rsidR="008722F0">
        <w:rPr>
          <w:szCs w:val="20"/>
          <w:lang w:eastAsia="en-US"/>
        </w:rPr>
        <w:t>r</w:t>
      </w:r>
      <w:r w:rsidR="00F67D3F">
        <w:rPr>
          <w:szCs w:val="20"/>
          <w:lang w:eastAsia="en-US"/>
        </w:rPr>
        <w:t>ough to commissioning.</w:t>
      </w:r>
    </w:p>
    <w:p w14:paraId="5ECB5CC9" w14:textId="40311C9E" w:rsidR="00455F97" w:rsidRPr="0014449A" w:rsidRDefault="00655D7F" w:rsidP="0014449A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14449A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  <w:r w:rsidR="0014449A">
        <w:rPr>
          <w:szCs w:val="20"/>
          <w:lang w:eastAsia="en-US"/>
        </w:rPr>
        <w:t xml:space="preserve"> </w:t>
      </w:r>
      <w:r w:rsidR="00455F97" w:rsidRPr="0014449A">
        <w:rPr>
          <w:b/>
          <w:bCs/>
          <w:szCs w:val="20"/>
          <w:lang w:eastAsia="en-US"/>
        </w:rPr>
        <w:t>Note:</w:t>
      </w:r>
      <w:r w:rsidR="0014449A">
        <w:rPr>
          <w:b/>
          <w:bCs/>
          <w:szCs w:val="20"/>
          <w:lang w:eastAsia="en-US"/>
        </w:rPr>
        <w:t xml:space="preserve"> </w:t>
      </w:r>
      <w:r w:rsidR="0014449A">
        <w:rPr>
          <w:szCs w:val="20"/>
          <w:lang w:eastAsia="en-US"/>
        </w:rPr>
        <w:t xml:space="preserve">This includes providing a response to each item in </w:t>
      </w:r>
      <w:r w:rsidR="0014449A" w:rsidRPr="00A162B5">
        <w:rPr>
          <w:szCs w:val="20"/>
          <w:lang w:eastAsia="en-US"/>
        </w:rPr>
        <w:t>the ‘</w:t>
      </w:r>
      <w:r w:rsidR="0014449A" w:rsidRPr="00A162B5">
        <w:rPr>
          <w:i/>
          <w:iCs/>
          <w:szCs w:val="20"/>
          <w:lang w:eastAsia="en-US"/>
        </w:rPr>
        <w:t>Summary of requirements’</w:t>
      </w:r>
      <w:r w:rsidR="0014449A" w:rsidRPr="00A162B5">
        <w:rPr>
          <w:szCs w:val="20"/>
          <w:lang w:eastAsia="en-US"/>
        </w:rPr>
        <w:t xml:space="preserve"> table in the Specification section below</w:t>
      </w:r>
      <w:r w:rsidR="0014449A">
        <w:rPr>
          <w:szCs w:val="20"/>
          <w:lang w:eastAsia="en-US"/>
        </w:rPr>
        <w:t xml:space="preserve"> (preferably by completing and returning the table) and providing the Product-specific information also requested in the Specification section.</w:t>
      </w:r>
    </w:p>
    <w:p w14:paraId="482ACEB5" w14:textId="1536FF0D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State clearly the lead time (the time to deliver the Goods from receipt of order). </w:t>
      </w:r>
    </w:p>
    <w:p w14:paraId="2D48C03C" w14:textId="77777777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quotation please identify </w:t>
      </w:r>
    </w:p>
    <w:p w14:paraId="5B038667" w14:textId="77777777" w:rsidR="00655D7F" w:rsidRPr="00E04F0E" w:rsidRDefault="00655D7F" w:rsidP="00655D7F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3147F7A2" w14:textId="77777777" w:rsidR="00655D7F" w:rsidRPr="00E04F0E" w:rsidRDefault="00655D7F" w:rsidP="00655D7F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30F3D001" w14:textId="77777777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</w:p>
    <w:p w14:paraId="147F7B27" w14:textId="77777777" w:rsidR="00655D7F" w:rsidRPr="00E04F0E" w:rsidRDefault="00655D7F" w:rsidP="00655D7F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to provide the name and contact details of at least one recent customer who we may contact for a reference.</w:t>
      </w:r>
    </w:p>
    <w:p w14:paraId="3408A27F" w14:textId="1565C6FD" w:rsidR="00E04F0E" w:rsidRDefault="00E04F0E" w:rsidP="00A271B0">
      <w:pPr>
        <w:spacing w:before="120" w:line="240" w:lineRule="atLeast"/>
        <w:ind w:left="360"/>
        <w:jc w:val="both"/>
      </w:pPr>
      <w:r>
        <w:br w:type="page"/>
      </w:r>
    </w:p>
    <w:p w14:paraId="28A468AA" w14:textId="77777777" w:rsidR="00006375" w:rsidRDefault="00006375" w:rsidP="006007B2">
      <w:pPr>
        <w:spacing w:before="120" w:line="240" w:lineRule="atLeast"/>
        <w:ind w:left="720"/>
        <w:jc w:val="both"/>
      </w:pPr>
    </w:p>
    <w:p w14:paraId="22B48CF1" w14:textId="77777777" w:rsidR="00C6250D" w:rsidRDefault="00C6250D" w:rsidP="004364CC"/>
    <w:p w14:paraId="65DF55A9" w14:textId="701DF576" w:rsidR="00016D7F" w:rsidRPr="00E1407D" w:rsidRDefault="00016D7F" w:rsidP="00A271B0">
      <w:pPr>
        <w:rPr>
          <w:color w:val="008000"/>
          <w:sz w:val="36"/>
          <w:szCs w:val="36"/>
          <w:lang w:eastAsia="en-US"/>
        </w:rPr>
      </w:pPr>
      <w:r w:rsidRPr="00E1407D">
        <w:rPr>
          <w:color w:val="008000"/>
          <w:sz w:val="36"/>
          <w:szCs w:val="36"/>
          <w:lang w:eastAsia="en-US"/>
        </w:rPr>
        <w:t>Evaluation</w:t>
      </w:r>
    </w:p>
    <w:p w14:paraId="02FC1F99" w14:textId="090AB34B" w:rsidR="002E13E3" w:rsidRDefault="002E13E3" w:rsidP="002E13E3">
      <w:r w:rsidRPr="00782854">
        <w:t xml:space="preserve">The lowest priced compliant quotation that best meets the requirements specified in this RFQ will be selected for award of any </w:t>
      </w:r>
      <w:r>
        <w:t>cont</w:t>
      </w:r>
      <w:r w:rsidR="00E0544A">
        <w:t>ract/</w:t>
      </w:r>
      <w:r w:rsidRPr="00782854">
        <w:t>purchase order</w:t>
      </w:r>
      <w:r>
        <w:t>, based on:</w:t>
      </w:r>
    </w:p>
    <w:p w14:paraId="7076E9A2" w14:textId="77777777" w:rsidR="00722AD4" w:rsidRDefault="00722AD4" w:rsidP="002E13E3"/>
    <w:p w14:paraId="71A74CCA" w14:textId="77777777" w:rsidR="00D77158" w:rsidRDefault="00D77158" w:rsidP="002E13E3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694"/>
        <w:gridCol w:w="1701"/>
      </w:tblGrid>
      <w:tr w:rsidR="008722F0" w:rsidRPr="00347BAB" w14:paraId="7A5C3402" w14:textId="77777777" w:rsidTr="008722F0">
        <w:trPr>
          <w:trHeight w:val="401"/>
        </w:trPr>
        <w:tc>
          <w:tcPr>
            <w:tcW w:w="2694" w:type="dxa"/>
            <w:vAlign w:val="center"/>
          </w:tcPr>
          <w:p w14:paraId="376B0075" w14:textId="77777777" w:rsidR="008722F0" w:rsidRPr="00347BAB" w:rsidRDefault="008722F0" w:rsidP="008722F0">
            <w:pPr>
              <w:jc w:val="center"/>
              <w:rPr>
                <w:b/>
                <w:bCs/>
              </w:rPr>
            </w:pPr>
            <w:r w:rsidRPr="00347BAB">
              <w:rPr>
                <w:b/>
                <w:bCs/>
              </w:rPr>
              <w:t>Criteria</w:t>
            </w:r>
          </w:p>
        </w:tc>
        <w:tc>
          <w:tcPr>
            <w:tcW w:w="1701" w:type="dxa"/>
            <w:vAlign w:val="center"/>
          </w:tcPr>
          <w:p w14:paraId="1EFD66C4" w14:textId="77777777" w:rsidR="008722F0" w:rsidRPr="00347BAB" w:rsidRDefault="008722F0" w:rsidP="008722F0">
            <w:pPr>
              <w:jc w:val="center"/>
              <w:rPr>
                <w:b/>
                <w:bCs/>
              </w:rPr>
            </w:pPr>
            <w:r w:rsidRPr="00347BAB">
              <w:rPr>
                <w:b/>
                <w:bCs/>
              </w:rPr>
              <w:t>Weighting</w:t>
            </w:r>
          </w:p>
        </w:tc>
      </w:tr>
      <w:tr w:rsidR="008722F0" w:rsidRPr="00347BAB" w14:paraId="018A0BF5" w14:textId="77777777" w:rsidTr="008722F0">
        <w:trPr>
          <w:trHeight w:val="252"/>
        </w:trPr>
        <w:tc>
          <w:tcPr>
            <w:tcW w:w="2694" w:type="dxa"/>
            <w:vAlign w:val="center"/>
          </w:tcPr>
          <w:p w14:paraId="57136348" w14:textId="77777777" w:rsidR="008722F0" w:rsidRPr="00347BAB" w:rsidRDefault="008722F0" w:rsidP="00347BAB">
            <w:r w:rsidRPr="00347BAB">
              <w:t>Non-Price/Technical</w:t>
            </w:r>
          </w:p>
        </w:tc>
        <w:tc>
          <w:tcPr>
            <w:tcW w:w="1701" w:type="dxa"/>
            <w:vAlign w:val="center"/>
          </w:tcPr>
          <w:p w14:paraId="1DD4A351" w14:textId="30CAD630" w:rsidR="008722F0" w:rsidRPr="006D1ED9" w:rsidRDefault="004E39E7" w:rsidP="00347BAB">
            <w:r w:rsidRPr="006D1ED9">
              <w:t>60</w:t>
            </w:r>
            <w:r w:rsidR="008722F0" w:rsidRPr="006D1ED9">
              <w:t>%</w:t>
            </w:r>
          </w:p>
        </w:tc>
      </w:tr>
      <w:tr w:rsidR="008722F0" w:rsidRPr="00347BAB" w14:paraId="1B64F5D8" w14:textId="77777777" w:rsidTr="008722F0">
        <w:trPr>
          <w:trHeight w:val="251"/>
        </w:trPr>
        <w:tc>
          <w:tcPr>
            <w:tcW w:w="2694" w:type="dxa"/>
            <w:vAlign w:val="center"/>
          </w:tcPr>
          <w:p w14:paraId="26AF4117" w14:textId="77777777" w:rsidR="008722F0" w:rsidRPr="00347BAB" w:rsidRDefault="008722F0" w:rsidP="00347BAB">
            <w:r w:rsidRPr="00347BAB">
              <w:t>Price</w:t>
            </w:r>
          </w:p>
        </w:tc>
        <w:tc>
          <w:tcPr>
            <w:tcW w:w="1701" w:type="dxa"/>
            <w:vAlign w:val="center"/>
          </w:tcPr>
          <w:p w14:paraId="2C60DF58" w14:textId="36B338B2" w:rsidR="008722F0" w:rsidRPr="006D1ED9" w:rsidRDefault="004E39E7" w:rsidP="00347BAB">
            <w:r w:rsidRPr="006D1ED9">
              <w:t>40</w:t>
            </w:r>
            <w:r w:rsidR="008722F0" w:rsidRPr="006D1ED9">
              <w:t>%</w:t>
            </w:r>
          </w:p>
        </w:tc>
      </w:tr>
    </w:tbl>
    <w:p w14:paraId="133D11CE" w14:textId="77777777" w:rsidR="005E7998" w:rsidRDefault="005E7998" w:rsidP="002E13E3"/>
    <w:p w14:paraId="19571DBE" w14:textId="77777777" w:rsidR="00722AD4" w:rsidRDefault="00722AD4" w:rsidP="002E13E3"/>
    <w:p w14:paraId="55727DE4" w14:textId="12C04B6F" w:rsidR="00950CC0" w:rsidRDefault="000F5022" w:rsidP="002E13E3">
      <w:r>
        <w:t>T</w:t>
      </w:r>
      <w:r w:rsidR="005E7998" w:rsidRPr="005E7998">
        <w:t>he Non-Price/Technical</w:t>
      </w:r>
      <w:r w:rsidR="00CD3EC5">
        <w:t xml:space="preserve"> assessment </w:t>
      </w:r>
      <w:r w:rsidR="00722AD4">
        <w:t xml:space="preserve">will </w:t>
      </w:r>
      <w:r w:rsidR="00161522">
        <w:t>principally</w:t>
      </w:r>
      <w:r w:rsidR="00722AD4">
        <w:t xml:space="preserve"> </w:t>
      </w:r>
      <w:r w:rsidR="00787725">
        <w:t xml:space="preserve">be </w:t>
      </w:r>
      <w:r w:rsidR="00722AD4">
        <w:t>the e</w:t>
      </w:r>
      <w:r w:rsidR="00791EF3" w:rsidRPr="00791EF3">
        <w:t>xtent to which the equipment offered meets all of the requirements, characteristics and standards specified or referred to in this RFQ.</w:t>
      </w:r>
      <w:r w:rsidR="00CC3840">
        <w:t xml:space="preserve"> </w:t>
      </w:r>
      <w:r w:rsidR="00B658B0" w:rsidRPr="00B658B0">
        <w:t xml:space="preserve">The quotation will need to include sufficient information about the </w:t>
      </w:r>
      <w:r w:rsidR="00CC3840">
        <w:t>e</w:t>
      </w:r>
      <w:r w:rsidR="00B658B0" w:rsidRPr="00B658B0">
        <w:t>quipment to enable it to be compared to the requirements, characteristics and standards described</w:t>
      </w:r>
      <w:r w:rsidR="00CC3840">
        <w:t>.</w:t>
      </w:r>
    </w:p>
    <w:p w14:paraId="761A9655" w14:textId="77777777" w:rsidR="00950CC0" w:rsidRDefault="00950CC0">
      <w:r>
        <w:br w:type="page"/>
      </w:r>
    </w:p>
    <w:p w14:paraId="48363721" w14:textId="57EA4171" w:rsidR="0093777D" w:rsidRDefault="0093777D" w:rsidP="0093777D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>
        <w:rPr>
          <w:color w:val="008000"/>
          <w:sz w:val="36"/>
          <w:szCs w:val="36"/>
          <w:lang w:eastAsia="en-US"/>
        </w:rPr>
        <w:lastRenderedPageBreak/>
        <w:t>Specification</w:t>
      </w:r>
    </w:p>
    <w:p w14:paraId="3AD0327E" w14:textId="77777777" w:rsidR="00F62130" w:rsidRDefault="00F62130" w:rsidP="00F62130"/>
    <w:p w14:paraId="25E66AAD" w14:textId="4C278AEF" w:rsidR="00F62130" w:rsidRDefault="00F62130" w:rsidP="00F62130">
      <w:r>
        <w:t xml:space="preserve">Two (2) </w:t>
      </w:r>
      <w:r w:rsidRPr="00A578BA">
        <w:t>portable</w:t>
      </w:r>
      <w:r>
        <w:t>/relocatable</w:t>
      </w:r>
      <w:r w:rsidR="00521584">
        <w:t>,</w:t>
      </w:r>
      <w:r w:rsidRPr="00A578BA">
        <w:t xml:space="preserve"> </w:t>
      </w:r>
      <w:r w:rsidR="00521584">
        <w:t xml:space="preserve">self-contained, </w:t>
      </w:r>
      <w:r w:rsidRPr="00A578BA">
        <w:t xml:space="preserve">weather-resistant </w:t>
      </w:r>
      <w:r w:rsidR="008722F0">
        <w:t>(units will be sited outdoors) g</w:t>
      </w:r>
      <w:r w:rsidRPr="00A578BA">
        <w:t xml:space="preserve">rowth </w:t>
      </w:r>
      <w:r w:rsidR="008722F0">
        <w:t>c</w:t>
      </w:r>
      <w:r w:rsidRPr="00A578BA">
        <w:t>hamber</w:t>
      </w:r>
      <w:r w:rsidR="002A6518">
        <w:t>s</w:t>
      </w:r>
      <w:r w:rsidRPr="00A578BA">
        <w:t xml:space="preserve"> for </w:t>
      </w:r>
      <w:r w:rsidR="008722F0">
        <w:t>p</w:t>
      </w:r>
      <w:r w:rsidRPr="00A578BA">
        <w:t>lant</w:t>
      </w:r>
      <w:r w:rsidR="008722F0">
        <w:t>s</w:t>
      </w:r>
      <w:r w:rsidRPr="00A578BA">
        <w:t>/</w:t>
      </w:r>
      <w:r w:rsidR="0014449A">
        <w:t>s</w:t>
      </w:r>
      <w:r w:rsidRPr="00A578BA">
        <w:t>aplings</w:t>
      </w:r>
      <w:r w:rsidR="0014449A">
        <w:t>,</w:t>
      </w:r>
      <w:r w:rsidRPr="00A578BA">
        <w:t xml:space="preserve"> that </w:t>
      </w:r>
      <w:r>
        <w:t xml:space="preserve">each have </w:t>
      </w:r>
      <w:r w:rsidRPr="00A578BA">
        <w:t>external dim</w:t>
      </w:r>
      <w:r>
        <w:t>ension</w:t>
      </w:r>
      <w:r w:rsidRPr="00A578BA">
        <w:t>s of 4m x 12m x 2.35m (L x W x H).</w:t>
      </w:r>
    </w:p>
    <w:p w14:paraId="6B6EB70F" w14:textId="77777777" w:rsidR="00F62130" w:rsidRPr="00A578BA" w:rsidRDefault="00F62130" w:rsidP="00F62130"/>
    <w:p w14:paraId="51B4F34B" w14:textId="521BAB0F" w:rsidR="00F62130" w:rsidRDefault="00F62130" w:rsidP="00402E5D">
      <w:r w:rsidRPr="00A578BA">
        <w:t>1</w:t>
      </w:r>
      <w:r w:rsidR="00521584">
        <w:t xml:space="preserve"> x</w:t>
      </w:r>
      <w:r w:rsidRPr="00A578BA">
        <w:t xml:space="preserve"> </w:t>
      </w:r>
      <w:r>
        <w:t xml:space="preserve">growth chamber </w:t>
      </w:r>
      <w:r w:rsidR="00464E9E">
        <w:t>will be a</w:t>
      </w:r>
      <w:r>
        <w:t xml:space="preserve"> </w:t>
      </w:r>
      <w:r w:rsidRPr="00A578BA">
        <w:t xml:space="preserve">single bay </w:t>
      </w:r>
      <w:r w:rsidR="00F61720" w:rsidRPr="00A578BA">
        <w:t>unit,</w:t>
      </w:r>
      <w:r w:rsidRPr="00A578BA">
        <w:t xml:space="preserve"> and 1</w:t>
      </w:r>
      <w:r w:rsidR="00521584">
        <w:t xml:space="preserve"> x</w:t>
      </w:r>
      <w:r>
        <w:t xml:space="preserve"> growth chamber </w:t>
      </w:r>
      <w:r w:rsidR="00464E9E">
        <w:t>will be</w:t>
      </w:r>
      <w:r>
        <w:t xml:space="preserve"> a</w:t>
      </w:r>
      <w:r w:rsidRPr="00A578BA">
        <w:t xml:space="preserve"> double bay unit</w:t>
      </w:r>
      <w:r w:rsidR="00A46116">
        <w:t>.</w:t>
      </w:r>
    </w:p>
    <w:p w14:paraId="7C4ADA1B" w14:textId="77777777" w:rsidR="00A46116" w:rsidRDefault="00A46116" w:rsidP="00402E5D"/>
    <w:p w14:paraId="7EFA956E" w14:textId="0AA22975" w:rsidR="008C77E0" w:rsidRPr="00220A67" w:rsidRDefault="008C77E0" w:rsidP="008C77E0">
      <w:pPr>
        <w:jc w:val="both"/>
        <w:rPr>
          <w:sz w:val="16"/>
          <w:szCs w:val="20"/>
        </w:rPr>
      </w:pPr>
      <w:r w:rsidRPr="00220A67">
        <w:rPr>
          <w:szCs w:val="20"/>
        </w:rPr>
        <w:t xml:space="preserve">The scope of supply includes </w:t>
      </w:r>
      <w:r w:rsidR="00521584">
        <w:rPr>
          <w:szCs w:val="20"/>
        </w:rPr>
        <w:t>all</w:t>
      </w:r>
      <w:r w:rsidRPr="00220A67">
        <w:rPr>
          <w:szCs w:val="20"/>
        </w:rPr>
        <w:t xml:space="preserve"> design, </w:t>
      </w:r>
      <w:r w:rsidR="00521584">
        <w:rPr>
          <w:szCs w:val="20"/>
        </w:rPr>
        <w:t xml:space="preserve">fabrication, </w:t>
      </w:r>
      <w:r w:rsidR="0014449A">
        <w:rPr>
          <w:szCs w:val="20"/>
        </w:rPr>
        <w:t xml:space="preserve">supply, </w:t>
      </w:r>
      <w:r w:rsidRPr="00220A67">
        <w:rPr>
          <w:szCs w:val="20"/>
        </w:rPr>
        <w:t xml:space="preserve">pre-assembly, </w:t>
      </w:r>
      <w:r w:rsidR="00455F97">
        <w:rPr>
          <w:szCs w:val="20"/>
        </w:rPr>
        <w:t>fitting out</w:t>
      </w:r>
      <w:r w:rsidRPr="00220A67">
        <w:rPr>
          <w:szCs w:val="20"/>
        </w:rPr>
        <w:t xml:space="preserve">, transport to </w:t>
      </w:r>
      <w:r w:rsidR="00F61720" w:rsidRPr="00220A67">
        <w:rPr>
          <w:szCs w:val="20"/>
        </w:rPr>
        <w:t>site,</w:t>
      </w:r>
      <w:r w:rsidRPr="00220A67">
        <w:rPr>
          <w:szCs w:val="20"/>
        </w:rPr>
        <w:t xml:space="preserve"> off-loading, siting, post-assembly, connection</w:t>
      </w:r>
      <w:r w:rsidR="00521584">
        <w:rPr>
          <w:szCs w:val="20"/>
        </w:rPr>
        <w:t xml:space="preserve"> and</w:t>
      </w:r>
      <w:r w:rsidRPr="00220A67">
        <w:rPr>
          <w:szCs w:val="20"/>
        </w:rPr>
        <w:t xml:space="preserve"> </w:t>
      </w:r>
      <w:r w:rsidR="00F61720" w:rsidRPr="00220A67">
        <w:rPr>
          <w:szCs w:val="20"/>
        </w:rPr>
        <w:t>commissioning</w:t>
      </w:r>
      <w:r w:rsidR="00F61720">
        <w:rPr>
          <w:szCs w:val="20"/>
        </w:rPr>
        <w:t>.</w:t>
      </w:r>
    </w:p>
    <w:p w14:paraId="6E43906C" w14:textId="77777777" w:rsidR="008C77E0" w:rsidRPr="00220A67" w:rsidRDefault="008C77E0" w:rsidP="008C77E0">
      <w:pPr>
        <w:jc w:val="both"/>
        <w:rPr>
          <w:szCs w:val="20"/>
        </w:rPr>
      </w:pPr>
    </w:p>
    <w:p w14:paraId="31087BFE" w14:textId="4411992B" w:rsidR="008C77E0" w:rsidRDefault="008C77E0" w:rsidP="008C77E0">
      <w:pPr>
        <w:jc w:val="both"/>
        <w:rPr>
          <w:szCs w:val="20"/>
        </w:rPr>
      </w:pPr>
      <w:r w:rsidRPr="00220A67">
        <w:rPr>
          <w:szCs w:val="20"/>
        </w:rPr>
        <w:t>The groundworks and/or any foundations required for siting of the unit</w:t>
      </w:r>
      <w:r w:rsidR="00455F97">
        <w:rPr>
          <w:szCs w:val="20"/>
        </w:rPr>
        <w:t>s</w:t>
      </w:r>
      <w:r w:rsidRPr="00220A67">
        <w:rPr>
          <w:szCs w:val="20"/>
        </w:rPr>
        <w:t xml:space="preserve"> will be provided by Forest Research (to the spec</w:t>
      </w:r>
      <w:r w:rsidR="00455F97">
        <w:rPr>
          <w:szCs w:val="20"/>
        </w:rPr>
        <w:t>ification</w:t>
      </w:r>
      <w:r w:rsidRPr="00220A67">
        <w:rPr>
          <w:szCs w:val="20"/>
        </w:rPr>
        <w:t xml:space="preserve"> of the supplier). But scope of supply includes any fabricated items, equipment or structures (such as pads, legs, frame) required for siting the unit on the pre-prepared base.</w:t>
      </w:r>
    </w:p>
    <w:p w14:paraId="6BA499A2" w14:textId="77777777" w:rsidR="00A857F0" w:rsidRDefault="00A857F0" w:rsidP="008C77E0">
      <w:pPr>
        <w:jc w:val="both"/>
        <w:rPr>
          <w:szCs w:val="20"/>
        </w:rPr>
      </w:pPr>
    </w:p>
    <w:p w14:paraId="25105787" w14:textId="326BCD40" w:rsidR="008C77E0" w:rsidRDefault="00A857F0" w:rsidP="00A857F0">
      <w:pPr>
        <w:jc w:val="both"/>
        <w:rPr>
          <w:b/>
          <w:bCs/>
          <w:color w:val="000000"/>
          <w:sz w:val="28"/>
          <w:szCs w:val="28"/>
        </w:rPr>
      </w:pPr>
      <w:r w:rsidRPr="00402E5D">
        <w:rPr>
          <w:b/>
          <w:bCs/>
          <w:color w:val="000000"/>
          <w:sz w:val="28"/>
          <w:szCs w:val="28"/>
        </w:rPr>
        <w:t>Summary of requirements</w:t>
      </w:r>
    </w:p>
    <w:p w14:paraId="483098B6" w14:textId="77777777" w:rsidR="00A857F0" w:rsidRPr="00402E5D" w:rsidRDefault="00A857F0" w:rsidP="00A857F0">
      <w:pPr>
        <w:jc w:val="both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3450"/>
        <w:gridCol w:w="3446"/>
      </w:tblGrid>
      <w:tr w:rsidR="00F41E05" w:rsidRPr="00402E5D" w14:paraId="15252F2C" w14:textId="77777777" w:rsidTr="00E63997">
        <w:trPr>
          <w:trHeight w:val="360"/>
          <w:tblHeader/>
        </w:trPr>
        <w:tc>
          <w:tcPr>
            <w:tcW w:w="1472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8DE6" w14:textId="77777777" w:rsidR="00A52B29" w:rsidRPr="00402E5D" w:rsidRDefault="00A52B29" w:rsidP="00455F9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AAC3" w14:textId="1A0811E6" w:rsidR="00A52B29" w:rsidRPr="00402E5D" w:rsidRDefault="00E63997" w:rsidP="00455F97"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Forest Research </w:t>
            </w:r>
            <w:r w:rsidR="00A52B29" w:rsidRPr="00402E5D">
              <w:rPr>
                <w:b/>
                <w:bCs/>
                <w:color w:val="000000"/>
                <w:sz w:val="24"/>
              </w:rPr>
              <w:t>Requirement</w:t>
            </w:r>
          </w:p>
        </w:tc>
        <w:tc>
          <w:tcPr>
            <w:tcW w:w="17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3DE7F" w14:textId="63732225" w:rsidR="00A52B29" w:rsidRDefault="00A52B29" w:rsidP="00455F97">
            <w:pPr>
              <w:rPr>
                <w:b/>
                <w:bCs/>
                <w:color w:val="000000"/>
                <w:sz w:val="24"/>
              </w:rPr>
            </w:pPr>
            <w:r w:rsidRPr="00402E5D">
              <w:rPr>
                <w:b/>
                <w:bCs/>
                <w:color w:val="000000"/>
                <w:sz w:val="24"/>
              </w:rPr>
              <w:t>Supplier Response</w:t>
            </w:r>
          </w:p>
          <w:p w14:paraId="6E805E4C" w14:textId="77777777" w:rsidR="00E63997" w:rsidRDefault="00A52B29" w:rsidP="00455F97">
            <w:pPr>
              <w:rPr>
                <w:color w:val="000000"/>
                <w:szCs w:val="20"/>
              </w:rPr>
            </w:pPr>
            <w:r w:rsidRPr="00E63997">
              <w:rPr>
                <w:color w:val="000000"/>
                <w:szCs w:val="20"/>
              </w:rPr>
              <w:t xml:space="preserve">Supplier to provide </w:t>
            </w:r>
          </w:p>
          <w:p w14:paraId="67DD899F" w14:textId="77777777" w:rsidR="00E63997" w:rsidRDefault="00E63997" w:rsidP="00455F97">
            <w:pPr>
              <w:rPr>
                <w:color w:val="000000"/>
                <w:szCs w:val="20"/>
              </w:rPr>
            </w:pPr>
            <w:r w:rsidRPr="00E63997">
              <w:rPr>
                <w:color w:val="000000"/>
                <w:szCs w:val="20"/>
              </w:rPr>
              <w:t xml:space="preserve">(i) </w:t>
            </w:r>
            <w:r>
              <w:rPr>
                <w:color w:val="000000"/>
                <w:szCs w:val="20"/>
              </w:rPr>
              <w:t>c</w:t>
            </w:r>
            <w:r w:rsidRPr="00E63997">
              <w:rPr>
                <w:color w:val="000000"/>
                <w:szCs w:val="20"/>
              </w:rPr>
              <w:t>onfirmation that</w:t>
            </w:r>
            <w:r>
              <w:rPr>
                <w:color w:val="000000"/>
                <w:szCs w:val="20"/>
              </w:rPr>
              <w:t xml:space="preserve"> the Requirement can be met and </w:t>
            </w:r>
          </w:p>
          <w:p w14:paraId="68AB77F0" w14:textId="34B03B3E" w:rsidR="00A52B29" w:rsidRPr="00E63997" w:rsidRDefault="00E63997" w:rsidP="00455F97">
            <w:pPr>
              <w:rPr>
                <w:color w:val="000000"/>
                <w:sz w:val="24"/>
              </w:rPr>
            </w:pPr>
            <w:r>
              <w:rPr>
                <w:color w:val="000000"/>
                <w:szCs w:val="20"/>
              </w:rPr>
              <w:t xml:space="preserve">(ii) </w:t>
            </w:r>
            <w:r w:rsidR="00A52B29" w:rsidRPr="00E63997">
              <w:rPr>
                <w:color w:val="000000"/>
                <w:szCs w:val="20"/>
              </w:rPr>
              <w:t>details on how this will be achieved</w:t>
            </w:r>
          </w:p>
        </w:tc>
      </w:tr>
      <w:tr w:rsidR="00F41E05" w:rsidRPr="00402E5D" w14:paraId="1C74818D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5D8F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52817" w14:textId="58796667" w:rsidR="00A52B29" w:rsidRPr="00402E5D" w:rsidRDefault="00AD1098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External dimensions of 4m x 12m x </w:t>
            </w:r>
            <w:r w:rsidR="001D46FD">
              <w:rPr>
                <w:color w:val="000000"/>
                <w:szCs w:val="20"/>
              </w:rPr>
              <w:t>2.35</w:t>
            </w:r>
            <w:r w:rsidR="00780974">
              <w:rPr>
                <w:color w:val="000000"/>
                <w:szCs w:val="20"/>
              </w:rPr>
              <w:t>m</w:t>
            </w:r>
            <w:r w:rsidRPr="00402E5D">
              <w:rPr>
                <w:color w:val="000000"/>
                <w:szCs w:val="20"/>
              </w:rPr>
              <w:t xml:space="preserve"> (L x W x H)</w:t>
            </w:r>
            <w:r w:rsidR="00455F97">
              <w:rPr>
                <w:color w:val="000000"/>
                <w:szCs w:val="20"/>
              </w:rPr>
              <w:t xml:space="preserve"> each unit</w:t>
            </w:r>
          </w:p>
        </w:tc>
        <w:tc>
          <w:tcPr>
            <w:tcW w:w="1763" w:type="pct"/>
          </w:tcPr>
          <w:p w14:paraId="79DFDED5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00A6395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AE8D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Configuration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73722" w14:textId="76FE7F5C" w:rsidR="00A52B29" w:rsidRPr="00402E5D" w:rsidRDefault="00402E5D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1 single bay unit, 1 double bay unit</w:t>
            </w:r>
          </w:p>
        </w:tc>
        <w:tc>
          <w:tcPr>
            <w:tcW w:w="1763" w:type="pct"/>
          </w:tcPr>
          <w:p w14:paraId="1C7ADA03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43649F65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1157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Delivery Date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4F1A6" w14:textId="4488327E" w:rsidR="00A52B29" w:rsidRPr="00402E5D" w:rsidRDefault="00DC2A6B" w:rsidP="00F83B8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A52B29" w:rsidRPr="00402E5D">
              <w:rPr>
                <w:color w:val="000000"/>
                <w:szCs w:val="20"/>
              </w:rPr>
              <w:t>1 March 2025</w:t>
            </w:r>
            <w:r w:rsidR="00E63997">
              <w:rPr>
                <w:color w:val="000000"/>
                <w:szCs w:val="20"/>
              </w:rPr>
              <w:t xml:space="preserve"> latest</w:t>
            </w:r>
          </w:p>
        </w:tc>
        <w:tc>
          <w:tcPr>
            <w:tcW w:w="1763" w:type="pct"/>
          </w:tcPr>
          <w:p w14:paraId="0BE74C3E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CA89B44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BA5D" w14:textId="77777777" w:rsidR="00A52B29" w:rsidRPr="00521584" w:rsidRDefault="00A52B29" w:rsidP="00F83B8A">
            <w:pPr>
              <w:rPr>
                <w:rFonts w:eastAsiaTheme="minorHAnsi" w:cs="Aptos"/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Temperature range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13F00" w14:textId="29A12E3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-5C to 40C </w:t>
            </w:r>
            <w:r w:rsidR="001929AC">
              <w:rPr>
                <w:color w:val="000000"/>
                <w:szCs w:val="20"/>
              </w:rPr>
              <w:t>(controlled)</w:t>
            </w:r>
          </w:p>
        </w:tc>
        <w:tc>
          <w:tcPr>
            <w:tcW w:w="1763" w:type="pct"/>
          </w:tcPr>
          <w:p w14:paraId="1AEACC34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16603FDF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5845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Irrigation 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C1D5E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091F71DF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075BEF1F" w14:textId="77777777" w:rsidTr="00A857F0">
        <w:trPr>
          <w:trHeight w:val="360"/>
        </w:trPr>
        <w:tc>
          <w:tcPr>
            <w:tcW w:w="1472" w:type="pct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08E9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CO</w:t>
            </w:r>
            <w:r w:rsidRPr="00E63997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 control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57D47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1D23F432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49639EFE" w14:textId="77777777" w:rsidTr="00A857F0">
        <w:trPr>
          <w:trHeight w:val="360"/>
        </w:trPr>
        <w:tc>
          <w:tcPr>
            <w:tcW w:w="1472" w:type="pct"/>
            <w:tcBorders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1A47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Lighting 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0176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Dimmable plant growth &amp; maintenance lighting </w:t>
            </w:r>
          </w:p>
        </w:tc>
        <w:tc>
          <w:tcPr>
            <w:tcW w:w="1763" w:type="pct"/>
          </w:tcPr>
          <w:p w14:paraId="61670CD1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577ACE1A" w14:textId="77777777" w:rsidTr="00A857F0">
        <w:trPr>
          <w:trHeight w:val="576"/>
        </w:trPr>
        <w:tc>
          <w:tcPr>
            <w:tcW w:w="1472" w:type="pct"/>
            <w:tcBorders>
              <w:top w:val="nil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753CA" w14:textId="77777777" w:rsidR="00A52B29" w:rsidRPr="00521584" w:rsidRDefault="00A52B29" w:rsidP="00F83B8A">
            <w:pPr>
              <w:rPr>
                <w:color w:val="000000"/>
                <w:sz w:val="22"/>
                <w:szCs w:val="22"/>
              </w:rPr>
            </w:pPr>
            <w:r w:rsidRPr="005215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613DF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Need to be able to program differing light levels and temperatures for day and night.</w:t>
            </w:r>
          </w:p>
        </w:tc>
        <w:tc>
          <w:tcPr>
            <w:tcW w:w="1763" w:type="pct"/>
          </w:tcPr>
          <w:p w14:paraId="1C25214A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7FD2CC2A" w14:textId="77777777" w:rsidTr="00A857F0">
        <w:trPr>
          <w:trHeight w:val="2304"/>
        </w:trPr>
        <w:tc>
          <w:tcPr>
            <w:tcW w:w="1472" w:type="pct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19A75" w14:textId="7CE2F978" w:rsidR="00A52B29" w:rsidRPr="00521584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3A44" w14:textId="77777777" w:rsidR="00A52B29" w:rsidRPr="00402E5D" w:rsidRDefault="00A52B29" w:rsidP="00455F97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200-500 lux, </w:t>
            </w:r>
            <w:r w:rsidRPr="00402E5D">
              <w:rPr>
                <w:color w:val="000000"/>
                <w:szCs w:val="20"/>
              </w:rPr>
              <w:br/>
              <w:t>- full spectrum</w:t>
            </w:r>
            <w:r w:rsidRPr="00402E5D">
              <w:rPr>
                <w:color w:val="000000"/>
                <w:szCs w:val="20"/>
              </w:rPr>
              <w:br/>
              <w:t>- Fixed high-level lights</w:t>
            </w:r>
            <w:r w:rsidRPr="00402E5D">
              <w:rPr>
                <w:color w:val="000000"/>
                <w:szCs w:val="20"/>
              </w:rPr>
              <w:br/>
              <w:t>- Lights on flexible connections to raise / lower</w:t>
            </w:r>
            <w:r w:rsidRPr="00402E5D">
              <w:rPr>
                <w:color w:val="000000"/>
                <w:szCs w:val="20"/>
              </w:rPr>
              <w:br/>
              <w:t xml:space="preserve">- Dimmable </w:t>
            </w:r>
            <w:r w:rsidRPr="00402E5D">
              <w:rPr>
                <w:color w:val="000000"/>
                <w:szCs w:val="20"/>
              </w:rPr>
              <w:br/>
              <w:t>- programmable</w:t>
            </w:r>
            <w:r w:rsidRPr="00402E5D">
              <w:rPr>
                <w:color w:val="000000"/>
                <w:szCs w:val="20"/>
              </w:rPr>
              <w:br/>
              <w:t>- Daylight cycle &amp; ramped</w:t>
            </w:r>
          </w:p>
        </w:tc>
        <w:tc>
          <w:tcPr>
            <w:tcW w:w="1763" w:type="pct"/>
          </w:tcPr>
          <w:p w14:paraId="40FB32A5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77EB11C1" w14:textId="77777777" w:rsidTr="00A857F0">
        <w:trPr>
          <w:trHeight w:val="576"/>
        </w:trPr>
        <w:tc>
          <w:tcPr>
            <w:tcW w:w="147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5A7F" w14:textId="77777777" w:rsidR="00A52B29" w:rsidRPr="00521584" w:rsidRDefault="00A52B29" w:rsidP="00F83B8A">
            <w:pPr>
              <w:jc w:val="center"/>
              <w:rPr>
                <w:color w:val="000000"/>
                <w:sz w:val="22"/>
                <w:szCs w:val="22"/>
              </w:rPr>
            </w:pPr>
            <w:r w:rsidRPr="00521584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A20F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Candescent, fluorescent, and the option to swap out for other lighting needs that might take place in the future</w:t>
            </w:r>
          </w:p>
        </w:tc>
        <w:tc>
          <w:tcPr>
            <w:tcW w:w="1763" w:type="pct"/>
          </w:tcPr>
          <w:p w14:paraId="3EA9172E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79E13B37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51559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Dedicated RO supply 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0B11B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2DF70E02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BE5F36F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99AAD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Dew point conditions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FB5B1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2B0A0EC9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06AFEB34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CEEC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Humidity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73F9F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0-100%</w:t>
            </w:r>
          </w:p>
        </w:tc>
        <w:tc>
          <w:tcPr>
            <w:tcW w:w="1763" w:type="pct"/>
          </w:tcPr>
          <w:p w14:paraId="1580BBC3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7EF64D0D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E8AF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Foggers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13D4A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25E9372C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1B542B4A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6E328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Drainage 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5640E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758C1D7D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4CB735B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D787F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Waterproof 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465F9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Fully waterproof chamber</w:t>
            </w:r>
          </w:p>
        </w:tc>
        <w:tc>
          <w:tcPr>
            <w:tcW w:w="1763" w:type="pct"/>
          </w:tcPr>
          <w:p w14:paraId="3158C006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5EBA86C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54757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Insulated floor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EDA47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6CE8B16E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640C6C24" w14:textId="77777777" w:rsidTr="00A857F0">
        <w:trPr>
          <w:trHeight w:val="360"/>
        </w:trPr>
        <w:tc>
          <w:tcPr>
            <w:tcW w:w="1472" w:type="pct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8FA99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Power outlets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27E5F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Required</w:t>
            </w:r>
          </w:p>
        </w:tc>
        <w:tc>
          <w:tcPr>
            <w:tcW w:w="1763" w:type="pct"/>
          </w:tcPr>
          <w:p w14:paraId="19D6E498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4E34CC1C" w14:textId="77777777" w:rsidTr="006D1ED9">
        <w:trPr>
          <w:trHeight w:val="1110"/>
        </w:trPr>
        <w:tc>
          <w:tcPr>
            <w:tcW w:w="1472" w:type="pct"/>
            <w:tcBorders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80527" w14:textId="33F49BC2" w:rsidR="00A52B29" w:rsidRDefault="00F41E05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Growing s</w:t>
            </w:r>
            <w:r w:rsidR="00A52B29" w:rsidRPr="00521584">
              <w:rPr>
                <w:b/>
                <w:bCs/>
                <w:color w:val="000000"/>
                <w:sz w:val="22"/>
                <w:szCs w:val="22"/>
              </w:rPr>
              <w:t xml:space="preserve">amples </w:t>
            </w:r>
          </w:p>
          <w:p w14:paraId="2D65F3BA" w14:textId="79314A94" w:rsidR="00F41E05" w:rsidRDefault="00F41E05" w:rsidP="00F83B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growth chambers </w:t>
            </w:r>
          </w:p>
          <w:p w14:paraId="3AFBABE1" w14:textId="77777777" w:rsidR="00F41E05" w:rsidRDefault="00F41E05" w:rsidP="00F83B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will need to be able to </w:t>
            </w:r>
          </w:p>
          <w:p w14:paraId="12D6F8B2" w14:textId="77777777" w:rsidR="00F41E05" w:rsidRDefault="00F41E05" w:rsidP="00F83B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accommodate the </w:t>
            </w:r>
          </w:p>
          <w:p w14:paraId="4B9D8183" w14:textId="63FD98AC" w:rsidR="00F41E05" w:rsidRPr="00521584" w:rsidRDefault="00F41E05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following samples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4FA9" w14:textId="31A2432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Live trees in pots</w:t>
            </w:r>
            <w:r w:rsidR="00B127CC">
              <w:rPr>
                <w:color w:val="000000"/>
                <w:szCs w:val="20"/>
              </w:rPr>
              <w:t xml:space="preserve"> and </w:t>
            </w:r>
            <w:r w:rsidRPr="00402E5D">
              <w:rPr>
                <w:color w:val="000000"/>
                <w:szCs w:val="20"/>
              </w:rPr>
              <w:t xml:space="preserve">billets in trays of water </w:t>
            </w:r>
            <w:r w:rsidR="00B127CC">
              <w:rPr>
                <w:color w:val="000000"/>
                <w:szCs w:val="20"/>
              </w:rPr>
              <w:t xml:space="preserve">which </w:t>
            </w:r>
            <w:r w:rsidR="00C20803">
              <w:rPr>
                <w:color w:val="000000"/>
                <w:szCs w:val="20"/>
              </w:rPr>
              <w:t>may be up to</w:t>
            </w:r>
            <w:r w:rsidR="00B127CC">
              <w:rPr>
                <w:color w:val="000000"/>
                <w:szCs w:val="20"/>
              </w:rPr>
              <w:t xml:space="preserve"> 2 metres high. </w:t>
            </w:r>
          </w:p>
        </w:tc>
        <w:tc>
          <w:tcPr>
            <w:tcW w:w="1763" w:type="pct"/>
          </w:tcPr>
          <w:p w14:paraId="2CC2F4C4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134E104A" w14:textId="77777777" w:rsidTr="00A857F0">
        <w:trPr>
          <w:trHeight w:val="337"/>
        </w:trPr>
        <w:tc>
          <w:tcPr>
            <w:tcW w:w="1472" w:type="pct"/>
            <w:tcBorders>
              <w:top w:val="nil"/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71DE5" w14:textId="0DBABDDA" w:rsidR="00A52B29" w:rsidRPr="00521584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2BE39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Array of broadleaf or conifers </w:t>
            </w:r>
          </w:p>
        </w:tc>
        <w:tc>
          <w:tcPr>
            <w:tcW w:w="1763" w:type="pct"/>
          </w:tcPr>
          <w:p w14:paraId="749856FD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66E7823C" w14:textId="77777777" w:rsidTr="00A857F0">
        <w:trPr>
          <w:trHeight w:val="576"/>
        </w:trPr>
        <w:tc>
          <w:tcPr>
            <w:tcW w:w="1472" w:type="pct"/>
            <w:tcBorders>
              <w:top w:val="nil"/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39B69" w14:textId="77777777" w:rsidR="00A52B29" w:rsidRPr="00521584" w:rsidRDefault="00A52B29" w:rsidP="00F83B8A">
            <w:pPr>
              <w:rPr>
                <w:color w:val="000000"/>
                <w:sz w:val="22"/>
                <w:szCs w:val="22"/>
              </w:rPr>
            </w:pPr>
            <w:r w:rsidRPr="005215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DCB49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Saplings (conifer or broadleaved species), mostly shorter that 50 cm but occasionally slightly bigger (up to 150 cm).</w:t>
            </w:r>
          </w:p>
        </w:tc>
        <w:tc>
          <w:tcPr>
            <w:tcW w:w="1763" w:type="pct"/>
          </w:tcPr>
          <w:p w14:paraId="076C7595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00C9AFE1" w14:textId="77777777" w:rsidTr="00A857F0">
        <w:trPr>
          <w:trHeight w:val="288"/>
        </w:trPr>
        <w:tc>
          <w:tcPr>
            <w:tcW w:w="1472" w:type="pct"/>
            <w:tcBorders>
              <w:top w:val="nil"/>
              <w:bottom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C1EF9" w14:textId="77777777" w:rsidR="00A52B29" w:rsidRPr="00521584" w:rsidRDefault="00A52B29" w:rsidP="00F83B8A">
            <w:pPr>
              <w:rPr>
                <w:color w:val="000000"/>
                <w:sz w:val="22"/>
                <w:szCs w:val="22"/>
              </w:rPr>
            </w:pPr>
            <w:r w:rsidRPr="005215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D14DD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>Logs and seedlings</w:t>
            </w:r>
          </w:p>
        </w:tc>
        <w:tc>
          <w:tcPr>
            <w:tcW w:w="1763" w:type="pct"/>
          </w:tcPr>
          <w:p w14:paraId="7ED65D64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54595DC" w14:textId="77777777" w:rsidTr="00A857F0">
        <w:trPr>
          <w:trHeight w:val="288"/>
        </w:trPr>
        <w:tc>
          <w:tcPr>
            <w:tcW w:w="1472" w:type="pct"/>
            <w:tcBorders>
              <w:top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D099A" w14:textId="77777777" w:rsidR="00A52B29" w:rsidRPr="00521584" w:rsidRDefault="00A52B29" w:rsidP="00F83B8A">
            <w:pPr>
              <w:rPr>
                <w:color w:val="000000"/>
                <w:sz w:val="22"/>
                <w:szCs w:val="22"/>
              </w:rPr>
            </w:pPr>
            <w:r w:rsidRPr="005215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641FE" w14:textId="7B267E74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80-100 </w:t>
            </w:r>
            <w:r w:rsidR="00D9060E">
              <w:rPr>
                <w:color w:val="000000"/>
                <w:szCs w:val="20"/>
              </w:rPr>
              <w:t xml:space="preserve">of </w:t>
            </w:r>
            <w:r w:rsidRPr="00402E5D">
              <w:rPr>
                <w:color w:val="000000"/>
                <w:szCs w:val="20"/>
              </w:rPr>
              <w:t>30cm tall seedlings</w:t>
            </w:r>
          </w:p>
        </w:tc>
        <w:tc>
          <w:tcPr>
            <w:tcW w:w="1763" w:type="pct"/>
          </w:tcPr>
          <w:p w14:paraId="4EEEABE7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378258A7" w14:textId="77777777" w:rsidTr="00A857F0">
        <w:trPr>
          <w:trHeight w:val="288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2E3B3" w14:textId="77777777" w:rsidR="00A52B29" w:rsidRPr="00521584" w:rsidRDefault="00A52B29" w:rsidP="00F83B8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Plumbing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62E82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For drip irrigation, humidity and waste. </w:t>
            </w:r>
          </w:p>
        </w:tc>
        <w:tc>
          <w:tcPr>
            <w:tcW w:w="1763" w:type="pct"/>
          </w:tcPr>
          <w:p w14:paraId="70A2FAF4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6C65CF0F" w14:textId="77777777" w:rsidTr="00A857F0">
        <w:trPr>
          <w:trHeight w:val="288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FDBCE" w14:textId="77777777" w:rsidR="00A52B29" w:rsidRPr="00521584" w:rsidRDefault="00A52B29" w:rsidP="00F83B8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Anteroom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3F36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Required </w:t>
            </w:r>
          </w:p>
        </w:tc>
        <w:tc>
          <w:tcPr>
            <w:tcW w:w="1763" w:type="pct"/>
          </w:tcPr>
          <w:p w14:paraId="0EB5B823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27853094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56312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>Treatment*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65D50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Effluent treatment </w:t>
            </w:r>
          </w:p>
        </w:tc>
        <w:tc>
          <w:tcPr>
            <w:tcW w:w="1763" w:type="pct"/>
          </w:tcPr>
          <w:p w14:paraId="42E6B39C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  <w:tr w:rsidR="00F41E05" w:rsidRPr="00402E5D" w14:paraId="615C5E41" w14:textId="77777777" w:rsidTr="00A857F0">
        <w:trPr>
          <w:trHeight w:val="360"/>
        </w:trPr>
        <w:tc>
          <w:tcPr>
            <w:tcW w:w="147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56D7D" w14:textId="77777777" w:rsidR="00A52B29" w:rsidRPr="00521584" w:rsidRDefault="00A52B29" w:rsidP="00F83B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21584">
              <w:rPr>
                <w:b/>
                <w:bCs/>
                <w:color w:val="000000"/>
                <w:sz w:val="22"/>
                <w:szCs w:val="22"/>
              </w:rPr>
              <w:t xml:space="preserve">Air pressure </w:t>
            </w:r>
          </w:p>
        </w:tc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3870" w14:textId="77777777" w:rsidR="00A52B29" w:rsidRPr="00402E5D" w:rsidRDefault="00A52B29" w:rsidP="00F83B8A">
            <w:pPr>
              <w:rPr>
                <w:color w:val="000000"/>
                <w:szCs w:val="20"/>
              </w:rPr>
            </w:pPr>
            <w:r w:rsidRPr="00402E5D">
              <w:rPr>
                <w:color w:val="000000"/>
                <w:szCs w:val="20"/>
              </w:rPr>
              <w:t xml:space="preserve">Negative </w:t>
            </w:r>
          </w:p>
        </w:tc>
        <w:tc>
          <w:tcPr>
            <w:tcW w:w="1763" w:type="pct"/>
          </w:tcPr>
          <w:p w14:paraId="70900D55" w14:textId="77777777" w:rsidR="00A52B29" w:rsidRPr="00402E5D" w:rsidRDefault="00A52B29" w:rsidP="00F83B8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7543216" w14:textId="77777777" w:rsidR="00A52B29" w:rsidRPr="00402E5D" w:rsidRDefault="00A52B29" w:rsidP="00402E5D"/>
    <w:p w14:paraId="29E6EA72" w14:textId="77777777" w:rsidR="00A162B5" w:rsidRDefault="00A162B5" w:rsidP="00A162B5"/>
    <w:p w14:paraId="3FA91F47" w14:textId="0D02967B" w:rsidR="00A857F0" w:rsidRDefault="00A857F0" w:rsidP="00A857F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Product-specific information required</w:t>
      </w:r>
    </w:p>
    <w:p w14:paraId="47BFFBBE" w14:textId="77777777" w:rsidR="00A857F0" w:rsidRDefault="00A857F0" w:rsidP="00A162B5"/>
    <w:p w14:paraId="04124ABD" w14:textId="05FC7807" w:rsidR="00A52B29" w:rsidRDefault="00220A67" w:rsidP="00A857F0">
      <w:r>
        <w:t xml:space="preserve">The following </w:t>
      </w:r>
      <w:r w:rsidR="00A52B29">
        <w:t xml:space="preserve">information </w:t>
      </w:r>
      <w:r>
        <w:t>is</w:t>
      </w:r>
      <w:r w:rsidR="00DD0E71">
        <w:t xml:space="preserve"> also</w:t>
      </w:r>
      <w:r>
        <w:t xml:space="preserve"> </w:t>
      </w:r>
      <w:r w:rsidR="00A52B29">
        <w:t>to be provided</w:t>
      </w:r>
      <w:r w:rsidR="00961F87">
        <w:t xml:space="preserve"> by the supplier</w:t>
      </w:r>
      <w:r w:rsidR="00A857F0">
        <w:t xml:space="preserve"> (included in the quote response) for the equipment it has offered</w:t>
      </w:r>
      <w:r w:rsidR="00A52B29">
        <w:t xml:space="preserve">: </w:t>
      </w:r>
    </w:p>
    <w:p w14:paraId="4CC9F8D8" w14:textId="140B9FF9" w:rsidR="00A52B29" w:rsidRPr="00A578BA" w:rsidRDefault="00A52B29" w:rsidP="00A52B29">
      <w:pPr>
        <w:numPr>
          <w:ilvl w:val="0"/>
          <w:numId w:val="14"/>
        </w:numPr>
      </w:pPr>
      <w:r w:rsidRPr="00A578BA">
        <w:t xml:space="preserve">Weight of </w:t>
      </w:r>
      <w:r w:rsidR="00A857F0">
        <w:t xml:space="preserve">each </w:t>
      </w:r>
      <w:r w:rsidRPr="00A578BA">
        <w:t>unit.</w:t>
      </w:r>
    </w:p>
    <w:p w14:paraId="7B5C5B8B" w14:textId="77777777" w:rsidR="00A52B29" w:rsidRPr="00A578BA" w:rsidRDefault="00A52B29" w:rsidP="00A52B29">
      <w:pPr>
        <w:numPr>
          <w:ilvl w:val="0"/>
          <w:numId w:val="14"/>
        </w:numPr>
      </w:pPr>
      <w:r w:rsidRPr="00A578BA">
        <w:t>Footprint.</w:t>
      </w:r>
    </w:p>
    <w:p w14:paraId="2130E4F9" w14:textId="77777777" w:rsidR="00A52B29" w:rsidRPr="00A578BA" w:rsidRDefault="00A52B29" w:rsidP="00A52B29">
      <w:pPr>
        <w:numPr>
          <w:ilvl w:val="0"/>
          <w:numId w:val="14"/>
        </w:numPr>
      </w:pPr>
      <w:r w:rsidRPr="00A578BA">
        <w:lastRenderedPageBreak/>
        <w:t xml:space="preserve">Power supply input. </w:t>
      </w:r>
    </w:p>
    <w:p w14:paraId="6BCCF980" w14:textId="77777777" w:rsidR="00A52B29" w:rsidRPr="00A578BA" w:rsidRDefault="00A52B29" w:rsidP="00A52B29">
      <w:pPr>
        <w:numPr>
          <w:ilvl w:val="0"/>
          <w:numId w:val="14"/>
        </w:numPr>
      </w:pPr>
      <w:r w:rsidRPr="00A578BA">
        <w:t xml:space="preserve">Water volume capacity/usage. </w:t>
      </w:r>
    </w:p>
    <w:p w14:paraId="318C838F" w14:textId="77777777" w:rsidR="00A52B29" w:rsidRDefault="00A52B29" w:rsidP="00A52B29">
      <w:pPr>
        <w:numPr>
          <w:ilvl w:val="0"/>
          <w:numId w:val="14"/>
        </w:numPr>
      </w:pPr>
      <w:r w:rsidRPr="00A578BA">
        <w:t>An interlink building management system</w:t>
      </w:r>
    </w:p>
    <w:p w14:paraId="347F4D2B" w14:textId="4D4A852B" w:rsidR="00CC3840" w:rsidRDefault="00A52B29" w:rsidP="00220A67">
      <w:pPr>
        <w:numPr>
          <w:ilvl w:val="0"/>
          <w:numId w:val="14"/>
        </w:numPr>
      </w:pPr>
      <w:r>
        <w:t>*</w:t>
      </w:r>
      <w:r w:rsidRPr="00A578BA">
        <w:t xml:space="preserve"> </w:t>
      </w:r>
      <w:r>
        <w:t xml:space="preserve">If you are unable to provide the </w:t>
      </w:r>
      <w:r w:rsidRPr="00A578BA">
        <w:t>installation of an Effluent Treatment Plant (ETP) for the growth rooms</w:t>
      </w:r>
      <w:r>
        <w:t>, are you able to provide names of suitable suppliers who can</w:t>
      </w:r>
      <w:r w:rsidR="00543A08">
        <w:t>?</w:t>
      </w:r>
    </w:p>
    <w:p w14:paraId="55FCEB78" w14:textId="765A81CF" w:rsidR="00A67AD4" w:rsidRDefault="00A67AD4" w:rsidP="00220A67">
      <w:pPr>
        <w:numPr>
          <w:ilvl w:val="0"/>
          <w:numId w:val="14"/>
        </w:numPr>
      </w:pPr>
      <w:r>
        <w:t xml:space="preserve">Service costs of maintaining the Growth chambers. </w:t>
      </w:r>
    </w:p>
    <w:sectPr w:rsidR="00A67AD4" w:rsidSect="000528D9">
      <w:headerReference w:type="first" r:id="rId18"/>
      <w:footerReference w:type="first" r:id="rId19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F85E" w14:textId="77777777" w:rsidR="00F81B24" w:rsidRDefault="00F81B24">
      <w:r>
        <w:separator/>
      </w:r>
    </w:p>
  </w:endnote>
  <w:endnote w:type="continuationSeparator" w:id="0">
    <w:p w14:paraId="75B246A3" w14:textId="77777777" w:rsidR="00F81B24" w:rsidRDefault="00F81B24">
      <w:r>
        <w:continuationSeparator/>
      </w:r>
    </w:p>
  </w:endnote>
  <w:endnote w:type="continuationNotice" w:id="1">
    <w:p w14:paraId="43686DA0" w14:textId="77777777" w:rsidR="00F81B24" w:rsidRDefault="00F81B24"/>
  </w:endnote>
  <w:endnote w:id="2">
    <w:p w14:paraId="3AD32CB8" w14:textId="77777777" w:rsidR="003F3CAD" w:rsidRPr="000C3CE8" w:rsidRDefault="003F3CAD" w:rsidP="003F3CAD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 xml:space="preserve">Conditions of Contract for the Purchase of Goods (and any related Services) As amended (January 2016) which are available for viewing or to download </w:t>
      </w:r>
      <w:hyperlink r:id="rId1">
        <w:r w:rsidRPr="21F0DDBC">
          <w:rPr>
            <w:rStyle w:val="Hyperlink"/>
            <w:sz w:val="16"/>
            <w:szCs w:val="16"/>
          </w:rPr>
          <w:t>here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7B0E11CA" w14:textId="47DA7DAC" w:rsidR="00D23760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Ref </w:t>
    </w:r>
    <w:r w:rsidR="00F56550">
      <w:rPr>
        <w:sz w:val="18"/>
        <w:szCs w:val="18"/>
      </w:rPr>
      <w:t>CR2024/25/</w:t>
    </w:r>
    <w:r w:rsidR="003F505B">
      <w:rPr>
        <w:sz w:val="18"/>
        <w:szCs w:val="18"/>
      </w:rPr>
      <w:t>0</w:t>
    </w:r>
    <w:r w:rsidR="00B64775">
      <w:rPr>
        <w:sz w:val="18"/>
        <w:szCs w:val="18"/>
      </w:rPr>
      <w:t xml:space="preserve">61 </w:t>
    </w:r>
    <w:r w:rsidRPr="00984FAB">
      <w:rPr>
        <w:sz w:val="18"/>
        <w:szCs w:val="18"/>
      </w:rPr>
      <w:t xml:space="preserve">RFQ for </w:t>
    </w:r>
    <w:r w:rsidR="00147145">
      <w:rPr>
        <w:sz w:val="18"/>
        <w:szCs w:val="18"/>
      </w:rPr>
      <w:t>s</w:t>
    </w:r>
    <w:r w:rsidRPr="00984FAB">
      <w:rPr>
        <w:sz w:val="18"/>
        <w:szCs w:val="18"/>
      </w:rPr>
      <w:t>uppl</w:t>
    </w:r>
    <w:r w:rsidR="00147145">
      <w:rPr>
        <w:sz w:val="18"/>
        <w:szCs w:val="18"/>
      </w:rPr>
      <w:t xml:space="preserve">y of </w:t>
    </w:r>
    <w:r w:rsidR="00C24F7B">
      <w:rPr>
        <w:sz w:val="18"/>
        <w:szCs w:val="18"/>
      </w:rPr>
      <w:t xml:space="preserve">external growth chambers </w:t>
    </w:r>
    <w:r w:rsidR="00C24F7B">
      <w:rPr>
        <w:sz w:val="18"/>
        <w:szCs w:val="18"/>
      </w:rPr>
      <w:tab/>
    </w:r>
    <w:r w:rsidR="00A4196C">
      <w:rPr>
        <w:color w:val="365F91"/>
        <w:sz w:val="18"/>
        <w:szCs w:val="18"/>
        <w:lang w:eastAsia="en-US"/>
      </w:rPr>
      <w:tab/>
    </w:r>
    <w:r w:rsidR="00A4196C">
      <w:rPr>
        <w:color w:val="365F91"/>
        <w:sz w:val="18"/>
        <w:szCs w:val="18"/>
        <w:lang w:eastAsia="en-US"/>
      </w:rPr>
      <w:tab/>
    </w:r>
    <w:r w:rsidR="00A4196C">
      <w:rPr>
        <w:color w:val="365F91"/>
        <w:sz w:val="18"/>
        <w:szCs w:val="18"/>
        <w:lang w:eastAsia="en-US"/>
      </w:rPr>
      <w:tab/>
    </w:r>
    <w:r w:rsidR="00A4196C">
      <w:rPr>
        <w:color w:val="365F91"/>
        <w:sz w:val="18"/>
        <w:szCs w:val="18"/>
        <w:lang w:eastAsia="en-US"/>
      </w:rPr>
      <w:tab/>
    </w:r>
    <w:r w:rsidR="000A7F36" w:rsidRPr="00D16FBD">
      <w:rPr>
        <w:color w:val="365F91"/>
        <w:sz w:val="16"/>
        <w:szCs w:val="16"/>
        <w:lang w:eastAsia="en-US"/>
      </w:rPr>
      <w:t>v0</w:t>
    </w:r>
    <w:r w:rsidR="008A0F6C">
      <w:rPr>
        <w:color w:val="365F91"/>
        <w:sz w:val="16"/>
        <w:szCs w:val="16"/>
        <w:lang w:eastAsia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21F0DDBC" w14:paraId="395655CF" w14:textId="77777777" w:rsidTr="21F0DDBC">
      <w:tc>
        <w:tcPr>
          <w:tcW w:w="3255" w:type="dxa"/>
        </w:tcPr>
        <w:p w14:paraId="50667BF7" w14:textId="6F1242C9" w:rsidR="21F0DDBC" w:rsidRDefault="21F0DDBC" w:rsidP="21F0DDBC">
          <w:pPr>
            <w:pStyle w:val="Header"/>
            <w:ind w:left="-115"/>
          </w:pPr>
        </w:p>
      </w:tc>
      <w:tc>
        <w:tcPr>
          <w:tcW w:w="3255" w:type="dxa"/>
        </w:tcPr>
        <w:p w14:paraId="09BEBB3F" w14:textId="33B5632C" w:rsidR="21F0DDBC" w:rsidRDefault="21F0DDBC" w:rsidP="21F0DDBC">
          <w:pPr>
            <w:pStyle w:val="Header"/>
            <w:jc w:val="center"/>
          </w:pPr>
        </w:p>
      </w:tc>
      <w:tc>
        <w:tcPr>
          <w:tcW w:w="3255" w:type="dxa"/>
        </w:tcPr>
        <w:p w14:paraId="7E182765" w14:textId="6A43E8F2" w:rsidR="21F0DDBC" w:rsidRDefault="21F0DDBC" w:rsidP="21F0DDBC">
          <w:pPr>
            <w:pStyle w:val="Header"/>
            <w:ind w:right="-115"/>
            <w:jc w:val="right"/>
          </w:pPr>
        </w:p>
      </w:tc>
    </w:tr>
  </w:tbl>
  <w:p w14:paraId="3AD67328" w14:textId="3671681E" w:rsidR="21F0DDBC" w:rsidRDefault="21F0DDBC" w:rsidP="21F0DD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21F0DDBC" w14:paraId="28200803" w14:textId="77777777" w:rsidTr="21F0DDBC">
      <w:tc>
        <w:tcPr>
          <w:tcW w:w="3255" w:type="dxa"/>
        </w:tcPr>
        <w:p w14:paraId="33DAC724" w14:textId="107A01BB" w:rsidR="21F0DDBC" w:rsidRDefault="21F0DDBC" w:rsidP="21F0DDBC">
          <w:pPr>
            <w:pStyle w:val="Header"/>
            <w:ind w:left="-115"/>
          </w:pPr>
        </w:p>
      </w:tc>
      <w:tc>
        <w:tcPr>
          <w:tcW w:w="3255" w:type="dxa"/>
        </w:tcPr>
        <w:p w14:paraId="7A6A4BEB" w14:textId="4C84808A" w:rsidR="21F0DDBC" w:rsidRDefault="21F0DDBC" w:rsidP="21F0DDBC">
          <w:pPr>
            <w:pStyle w:val="Header"/>
            <w:jc w:val="center"/>
          </w:pPr>
        </w:p>
      </w:tc>
      <w:tc>
        <w:tcPr>
          <w:tcW w:w="3255" w:type="dxa"/>
        </w:tcPr>
        <w:p w14:paraId="68850D83" w14:textId="0346A1B4" w:rsidR="21F0DDBC" w:rsidRDefault="21F0DDBC" w:rsidP="21F0DDBC">
          <w:pPr>
            <w:pStyle w:val="Header"/>
            <w:ind w:right="-115"/>
            <w:jc w:val="right"/>
          </w:pPr>
        </w:p>
      </w:tc>
    </w:tr>
  </w:tbl>
  <w:p w14:paraId="4F13E4B3" w14:textId="5B4B6CC2" w:rsidR="21F0DDBC" w:rsidRDefault="21F0DDBC" w:rsidP="21F0D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58CB4" w14:textId="77777777" w:rsidR="00F81B24" w:rsidRDefault="00F81B24">
      <w:r>
        <w:separator/>
      </w:r>
    </w:p>
  </w:footnote>
  <w:footnote w:type="continuationSeparator" w:id="0">
    <w:p w14:paraId="7B0E7424" w14:textId="77777777" w:rsidR="00F81B24" w:rsidRDefault="00F81B24">
      <w:r>
        <w:continuationSeparator/>
      </w:r>
    </w:p>
  </w:footnote>
  <w:footnote w:type="continuationNotice" w:id="1">
    <w:p w14:paraId="00938E90" w14:textId="77777777" w:rsidR="00F81B24" w:rsidRDefault="00F81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24347271" name="Picture 24347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085868"/>
    <w:multiLevelType w:val="hybridMultilevel"/>
    <w:tmpl w:val="87183E3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91B03A8"/>
    <w:multiLevelType w:val="hybridMultilevel"/>
    <w:tmpl w:val="C4183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293370">
    <w:abstractNumId w:val="9"/>
  </w:num>
  <w:num w:numId="2" w16cid:durableId="1273975344">
    <w:abstractNumId w:val="7"/>
  </w:num>
  <w:num w:numId="3" w16cid:durableId="1653680283">
    <w:abstractNumId w:val="6"/>
  </w:num>
  <w:num w:numId="4" w16cid:durableId="882985418">
    <w:abstractNumId w:val="5"/>
  </w:num>
  <w:num w:numId="5" w16cid:durableId="27410888">
    <w:abstractNumId w:val="4"/>
  </w:num>
  <w:num w:numId="6" w16cid:durableId="339357115">
    <w:abstractNumId w:val="8"/>
  </w:num>
  <w:num w:numId="7" w16cid:durableId="254293430">
    <w:abstractNumId w:val="3"/>
  </w:num>
  <w:num w:numId="8" w16cid:durableId="1077246753">
    <w:abstractNumId w:val="2"/>
  </w:num>
  <w:num w:numId="9" w16cid:durableId="2145269893">
    <w:abstractNumId w:val="1"/>
  </w:num>
  <w:num w:numId="10" w16cid:durableId="1682200780">
    <w:abstractNumId w:val="0"/>
  </w:num>
  <w:num w:numId="11" w16cid:durableId="1198353685">
    <w:abstractNumId w:val="14"/>
  </w:num>
  <w:num w:numId="12" w16cid:durableId="179052677">
    <w:abstractNumId w:val="11"/>
  </w:num>
  <w:num w:numId="13" w16cid:durableId="1848205537">
    <w:abstractNumId w:val="10"/>
  </w:num>
  <w:num w:numId="14" w16cid:durableId="1840659769">
    <w:abstractNumId w:val="13"/>
  </w:num>
  <w:num w:numId="15" w16cid:durableId="939725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tDC0NDU3MzUxNzJU0lEKTi0uzszPAykwqgUAZrt2OiwAAAA="/>
  </w:docVars>
  <w:rsids>
    <w:rsidRoot w:val="004D42B6"/>
    <w:rsid w:val="000002FE"/>
    <w:rsid w:val="00006375"/>
    <w:rsid w:val="00006489"/>
    <w:rsid w:val="00016D7F"/>
    <w:rsid w:val="00017BC5"/>
    <w:rsid w:val="00021D70"/>
    <w:rsid w:val="000238D0"/>
    <w:rsid w:val="000246C2"/>
    <w:rsid w:val="00040FB2"/>
    <w:rsid w:val="00043A9D"/>
    <w:rsid w:val="000528D9"/>
    <w:rsid w:val="00056A5C"/>
    <w:rsid w:val="00065908"/>
    <w:rsid w:val="00065DE4"/>
    <w:rsid w:val="0007003C"/>
    <w:rsid w:val="00074133"/>
    <w:rsid w:val="0008084C"/>
    <w:rsid w:val="0008351F"/>
    <w:rsid w:val="000845FC"/>
    <w:rsid w:val="000A4D74"/>
    <w:rsid w:val="000A7784"/>
    <w:rsid w:val="000A7F36"/>
    <w:rsid w:val="000B1A59"/>
    <w:rsid w:val="000B1F46"/>
    <w:rsid w:val="000B4D91"/>
    <w:rsid w:val="000B5A9D"/>
    <w:rsid w:val="000C3CE8"/>
    <w:rsid w:val="000C6FEB"/>
    <w:rsid w:val="000C742C"/>
    <w:rsid w:val="000D3ABB"/>
    <w:rsid w:val="000E31A7"/>
    <w:rsid w:val="000E50AF"/>
    <w:rsid w:val="000E6EA8"/>
    <w:rsid w:val="000F174C"/>
    <w:rsid w:val="000F5022"/>
    <w:rsid w:val="0010522E"/>
    <w:rsid w:val="00121345"/>
    <w:rsid w:val="00127862"/>
    <w:rsid w:val="00131D2B"/>
    <w:rsid w:val="00132641"/>
    <w:rsid w:val="001410D5"/>
    <w:rsid w:val="0014449A"/>
    <w:rsid w:val="00147145"/>
    <w:rsid w:val="00152810"/>
    <w:rsid w:val="00161522"/>
    <w:rsid w:val="0016238E"/>
    <w:rsid w:val="00171E3E"/>
    <w:rsid w:val="00174E90"/>
    <w:rsid w:val="001806FD"/>
    <w:rsid w:val="001929AC"/>
    <w:rsid w:val="001A4967"/>
    <w:rsid w:val="001C6E1B"/>
    <w:rsid w:val="001D46FD"/>
    <w:rsid w:val="001D73E2"/>
    <w:rsid w:val="001E3B1A"/>
    <w:rsid w:val="001E5FF9"/>
    <w:rsid w:val="001E758F"/>
    <w:rsid w:val="001F5894"/>
    <w:rsid w:val="001F7026"/>
    <w:rsid w:val="0021202C"/>
    <w:rsid w:val="00220A67"/>
    <w:rsid w:val="00223BF2"/>
    <w:rsid w:val="00225EFE"/>
    <w:rsid w:val="0024099B"/>
    <w:rsid w:val="00245263"/>
    <w:rsid w:val="00246C8A"/>
    <w:rsid w:val="00247E4B"/>
    <w:rsid w:val="00252526"/>
    <w:rsid w:val="00252CAC"/>
    <w:rsid w:val="002666A1"/>
    <w:rsid w:val="00272558"/>
    <w:rsid w:val="00283DA0"/>
    <w:rsid w:val="0029097C"/>
    <w:rsid w:val="00297865"/>
    <w:rsid w:val="002A0C42"/>
    <w:rsid w:val="002A6518"/>
    <w:rsid w:val="002C4359"/>
    <w:rsid w:val="002D5009"/>
    <w:rsid w:val="002E13E3"/>
    <w:rsid w:val="002E1D17"/>
    <w:rsid w:val="002E68F7"/>
    <w:rsid w:val="00303F42"/>
    <w:rsid w:val="00312E12"/>
    <w:rsid w:val="0032041C"/>
    <w:rsid w:val="003411E6"/>
    <w:rsid w:val="00343BC9"/>
    <w:rsid w:val="00347BAB"/>
    <w:rsid w:val="00357C7B"/>
    <w:rsid w:val="003608CF"/>
    <w:rsid w:val="00361103"/>
    <w:rsid w:val="0036237D"/>
    <w:rsid w:val="00362EF7"/>
    <w:rsid w:val="003649A4"/>
    <w:rsid w:val="003717A0"/>
    <w:rsid w:val="0037508A"/>
    <w:rsid w:val="00376330"/>
    <w:rsid w:val="00377A36"/>
    <w:rsid w:val="00380384"/>
    <w:rsid w:val="00381916"/>
    <w:rsid w:val="00383750"/>
    <w:rsid w:val="00391C7A"/>
    <w:rsid w:val="003938FD"/>
    <w:rsid w:val="003B27B3"/>
    <w:rsid w:val="003B2F7B"/>
    <w:rsid w:val="003C7A5E"/>
    <w:rsid w:val="003E7A36"/>
    <w:rsid w:val="003E7B23"/>
    <w:rsid w:val="003F3CAD"/>
    <w:rsid w:val="003F505B"/>
    <w:rsid w:val="0040101E"/>
    <w:rsid w:val="00402E5D"/>
    <w:rsid w:val="004057A9"/>
    <w:rsid w:val="00414DE5"/>
    <w:rsid w:val="0041693A"/>
    <w:rsid w:val="00422CF7"/>
    <w:rsid w:val="00426420"/>
    <w:rsid w:val="004342BA"/>
    <w:rsid w:val="004344A4"/>
    <w:rsid w:val="004364CC"/>
    <w:rsid w:val="0044676A"/>
    <w:rsid w:val="004479BB"/>
    <w:rsid w:val="00455CFA"/>
    <w:rsid w:val="00455F97"/>
    <w:rsid w:val="00464E9E"/>
    <w:rsid w:val="004661DB"/>
    <w:rsid w:val="00467004"/>
    <w:rsid w:val="00472C3A"/>
    <w:rsid w:val="004745EB"/>
    <w:rsid w:val="004854D4"/>
    <w:rsid w:val="00486AD0"/>
    <w:rsid w:val="004979D6"/>
    <w:rsid w:val="004A549E"/>
    <w:rsid w:val="004A54C6"/>
    <w:rsid w:val="004B1DD8"/>
    <w:rsid w:val="004B5A4B"/>
    <w:rsid w:val="004D42B6"/>
    <w:rsid w:val="004E39E7"/>
    <w:rsid w:val="004E79A3"/>
    <w:rsid w:val="004F1857"/>
    <w:rsid w:val="004F294C"/>
    <w:rsid w:val="00500D27"/>
    <w:rsid w:val="005034A0"/>
    <w:rsid w:val="005105AD"/>
    <w:rsid w:val="00521584"/>
    <w:rsid w:val="005240DC"/>
    <w:rsid w:val="00530527"/>
    <w:rsid w:val="00541FCB"/>
    <w:rsid w:val="00543A08"/>
    <w:rsid w:val="005533AB"/>
    <w:rsid w:val="00567B9B"/>
    <w:rsid w:val="005937F4"/>
    <w:rsid w:val="0059498B"/>
    <w:rsid w:val="005A2CFF"/>
    <w:rsid w:val="005A5617"/>
    <w:rsid w:val="005A6618"/>
    <w:rsid w:val="005B0BF7"/>
    <w:rsid w:val="005B22B3"/>
    <w:rsid w:val="005C4276"/>
    <w:rsid w:val="005C5817"/>
    <w:rsid w:val="005D2D04"/>
    <w:rsid w:val="005D38BB"/>
    <w:rsid w:val="005E7998"/>
    <w:rsid w:val="005F634B"/>
    <w:rsid w:val="005F6E99"/>
    <w:rsid w:val="005F7A31"/>
    <w:rsid w:val="006007B2"/>
    <w:rsid w:val="00611F3E"/>
    <w:rsid w:val="00627608"/>
    <w:rsid w:val="0064557A"/>
    <w:rsid w:val="006526F4"/>
    <w:rsid w:val="00655D7F"/>
    <w:rsid w:val="00656949"/>
    <w:rsid w:val="00680219"/>
    <w:rsid w:val="006828F6"/>
    <w:rsid w:val="006848BD"/>
    <w:rsid w:val="00685248"/>
    <w:rsid w:val="00685F8A"/>
    <w:rsid w:val="00697A31"/>
    <w:rsid w:val="006A0BD5"/>
    <w:rsid w:val="006A43BB"/>
    <w:rsid w:val="006B2C8B"/>
    <w:rsid w:val="006B533B"/>
    <w:rsid w:val="006C2640"/>
    <w:rsid w:val="006D1ED9"/>
    <w:rsid w:val="006E0A88"/>
    <w:rsid w:val="006F7FE1"/>
    <w:rsid w:val="0071073C"/>
    <w:rsid w:val="00714A6F"/>
    <w:rsid w:val="0072292F"/>
    <w:rsid w:val="00722AD4"/>
    <w:rsid w:val="0072735D"/>
    <w:rsid w:val="00734B3E"/>
    <w:rsid w:val="00735406"/>
    <w:rsid w:val="00737679"/>
    <w:rsid w:val="00745929"/>
    <w:rsid w:val="007461BE"/>
    <w:rsid w:val="00754379"/>
    <w:rsid w:val="007656A0"/>
    <w:rsid w:val="00766D60"/>
    <w:rsid w:val="00780974"/>
    <w:rsid w:val="00787725"/>
    <w:rsid w:val="00791EF3"/>
    <w:rsid w:val="0079785E"/>
    <w:rsid w:val="007A0041"/>
    <w:rsid w:val="007A43BA"/>
    <w:rsid w:val="007A4608"/>
    <w:rsid w:val="007A6640"/>
    <w:rsid w:val="007B559C"/>
    <w:rsid w:val="007C5BC3"/>
    <w:rsid w:val="007C7E42"/>
    <w:rsid w:val="007D7067"/>
    <w:rsid w:val="007E76F9"/>
    <w:rsid w:val="007E7BDF"/>
    <w:rsid w:val="00811388"/>
    <w:rsid w:val="00820C6C"/>
    <w:rsid w:val="00826B66"/>
    <w:rsid w:val="0083693E"/>
    <w:rsid w:val="008456FE"/>
    <w:rsid w:val="00846B83"/>
    <w:rsid w:val="00865B9A"/>
    <w:rsid w:val="008715F2"/>
    <w:rsid w:val="008722F0"/>
    <w:rsid w:val="008806C0"/>
    <w:rsid w:val="00882D76"/>
    <w:rsid w:val="008870A3"/>
    <w:rsid w:val="008A0F6C"/>
    <w:rsid w:val="008A5556"/>
    <w:rsid w:val="008B0F23"/>
    <w:rsid w:val="008B1CEB"/>
    <w:rsid w:val="008B7828"/>
    <w:rsid w:val="008C33D5"/>
    <w:rsid w:val="008C5D3E"/>
    <w:rsid w:val="008C77E0"/>
    <w:rsid w:val="008D5AA5"/>
    <w:rsid w:val="008E08CF"/>
    <w:rsid w:val="00901653"/>
    <w:rsid w:val="009037AE"/>
    <w:rsid w:val="00904986"/>
    <w:rsid w:val="0091113B"/>
    <w:rsid w:val="00914ABC"/>
    <w:rsid w:val="0091580A"/>
    <w:rsid w:val="0093777D"/>
    <w:rsid w:val="00937BEA"/>
    <w:rsid w:val="00937F7B"/>
    <w:rsid w:val="009407AB"/>
    <w:rsid w:val="00944637"/>
    <w:rsid w:val="00950CC0"/>
    <w:rsid w:val="0095209B"/>
    <w:rsid w:val="00952F77"/>
    <w:rsid w:val="00954054"/>
    <w:rsid w:val="009574B5"/>
    <w:rsid w:val="00961F87"/>
    <w:rsid w:val="00962DF4"/>
    <w:rsid w:val="009650C1"/>
    <w:rsid w:val="00984FAB"/>
    <w:rsid w:val="0098512B"/>
    <w:rsid w:val="00994990"/>
    <w:rsid w:val="00994D03"/>
    <w:rsid w:val="009978E8"/>
    <w:rsid w:val="009B3FDF"/>
    <w:rsid w:val="009B7023"/>
    <w:rsid w:val="009B7517"/>
    <w:rsid w:val="009C32A4"/>
    <w:rsid w:val="009C5BD6"/>
    <w:rsid w:val="009D2DF2"/>
    <w:rsid w:val="009F0E9E"/>
    <w:rsid w:val="009F4104"/>
    <w:rsid w:val="009F4719"/>
    <w:rsid w:val="009F477C"/>
    <w:rsid w:val="00A012E6"/>
    <w:rsid w:val="00A03069"/>
    <w:rsid w:val="00A043DA"/>
    <w:rsid w:val="00A13A9C"/>
    <w:rsid w:val="00A13D1D"/>
    <w:rsid w:val="00A1573D"/>
    <w:rsid w:val="00A162B5"/>
    <w:rsid w:val="00A271B0"/>
    <w:rsid w:val="00A35569"/>
    <w:rsid w:val="00A4196C"/>
    <w:rsid w:val="00A46116"/>
    <w:rsid w:val="00A52B29"/>
    <w:rsid w:val="00A563F8"/>
    <w:rsid w:val="00A67AD4"/>
    <w:rsid w:val="00A72967"/>
    <w:rsid w:val="00A857F0"/>
    <w:rsid w:val="00A929BE"/>
    <w:rsid w:val="00AA1AB5"/>
    <w:rsid w:val="00AA4408"/>
    <w:rsid w:val="00AA7976"/>
    <w:rsid w:val="00AB3552"/>
    <w:rsid w:val="00AB6C4D"/>
    <w:rsid w:val="00AD0F6E"/>
    <w:rsid w:val="00AD1098"/>
    <w:rsid w:val="00AD6C86"/>
    <w:rsid w:val="00AE02E3"/>
    <w:rsid w:val="00AF0873"/>
    <w:rsid w:val="00B127CC"/>
    <w:rsid w:val="00B14A90"/>
    <w:rsid w:val="00B14E06"/>
    <w:rsid w:val="00B240B0"/>
    <w:rsid w:val="00B25CBE"/>
    <w:rsid w:val="00B25E2C"/>
    <w:rsid w:val="00B26E4D"/>
    <w:rsid w:val="00B31F3A"/>
    <w:rsid w:val="00B37BBF"/>
    <w:rsid w:val="00B42436"/>
    <w:rsid w:val="00B425B7"/>
    <w:rsid w:val="00B45EDD"/>
    <w:rsid w:val="00B5482E"/>
    <w:rsid w:val="00B57C8F"/>
    <w:rsid w:val="00B64775"/>
    <w:rsid w:val="00B658B0"/>
    <w:rsid w:val="00B84862"/>
    <w:rsid w:val="00B95554"/>
    <w:rsid w:val="00B97CBD"/>
    <w:rsid w:val="00B97D0C"/>
    <w:rsid w:val="00BA369A"/>
    <w:rsid w:val="00BA4A9C"/>
    <w:rsid w:val="00BB32D4"/>
    <w:rsid w:val="00BC57E6"/>
    <w:rsid w:val="00BC6A37"/>
    <w:rsid w:val="00BD0198"/>
    <w:rsid w:val="00BF0115"/>
    <w:rsid w:val="00BF3493"/>
    <w:rsid w:val="00BF36F5"/>
    <w:rsid w:val="00BF53A9"/>
    <w:rsid w:val="00BF6F77"/>
    <w:rsid w:val="00C001D0"/>
    <w:rsid w:val="00C03469"/>
    <w:rsid w:val="00C070B8"/>
    <w:rsid w:val="00C07A47"/>
    <w:rsid w:val="00C1157C"/>
    <w:rsid w:val="00C20803"/>
    <w:rsid w:val="00C24F7B"/>
    <w:rsid w:val="00C34133"/>
    <w:rsid w:val="00C35BE1"/>
    <w:rsid w:val="00C455BC"/>
    <w:rsid w:val="00C45BB7"/>
    <w:rsid w:val="00C45C1C"/>
    <w:rsid w:val="00C51CC4"/>
    <w:rsid w:val="00C6056D"/>
    <w:rsid w:val="00C6250D"/>
    <w:rsid w:val="00C62515"/>
    <w:rsid w:val="00C764CB"/>
    <w:rsid w:val="00C875B9"/>
    <w:rsid w:val="00C9124E"/>
    <w:rsid w:val="00C93714"/>
    <w:rsid w:val="00CA103C"/>
    <w:rsid w:val="00CB014A"/>
    <w:rsid w:val="00CB2860"/>
    <w:rsid w:val="00CB549D"/>
    <w:rsid w:val="00CB670E"/>
    <w:rsid w:val="00CC32D1"/>
    <w:rsid w:val="00CC3840"/>
    <w:rsid w:val="00CD2FDF"/>
    <w:rsid w:val="00CD3CCB"/>
    <w:rsid w:val="00CD3EC5"/>
    <w:rsid w:val="00CE355E"/>
    <w:rsid w:val="00CE4950"/>
    <w:rsid w:val="00CE7FD2"/>
    <w:rsid w:val="00D03E87"/>
    <w:rsid w:val="00D128A2"/>
    <w:rsid w:val="00D16FBD"/>
    <w:rsid w:val="00D20C14"/>
    <w:rsid w:val="00D23760"/>
    <w:rsid w:val="00D241D1"/>
    <w:rsid w:val="00D24F2D"/>
    <w:rsid w:val="00D25816"/>
    <w:rsid w:val="00D35B3C"/>
    <w:rsid w:val="00D427B9"/>
    <w:rsid w:val="00D46AD4"/>
    <w:rsid w:val="00D5140D"/>
    <w:rsid w:val="00D52AE0"/>
    <w:rsid w:val="00D553A0"/>
    <w:rsid w:val="00D560E3"/>
    <w:rsid w:val="00D6506D"/>
    <w:rsid w:val="00D7207D"/>
    <w:rsid w:val="00D77158"/>
    <w:rsid w:val="00D83918"/>
    <w:rsid w:val="00D8507B"/>
    <w:rsid w:val="00D9060E"/>
    <w:rsid w:val="00D912F0"/>
    <w:rsid w:val="00D92197"/>
    <w:rsid w:val="00DA0DE4"/>
    <w:rsid w:val="00DA3327"/>
    <w:rsid w:val="00DB2193"/>
    <w:rsid w:val="00DC2A6B"/>
    <w:rsid w:val="00DC2C9E"/>
    <w:rsid w:val="00DC2F80"/>
    <w:rsid w:val="00DC6E29"/>
    <w:rsid w:val="00DD0E71"/>
    <w:rsid w:val="00DD7816"/>
    <w:rsid w:val="00DE0CB0"/>
    <w:rsid w:val="00DF5A96"/>
    <w:rsid w:val="00E04F0E"/>
    <w:rsid w:val="00E0544A"/>
    <w:rsid w:val="00E13839"/>
    <w:rsid w:val="00E1407D"/>
    <w:rsid w:val="00E248B9"/>
    <w:rsid w:val="00E25E97"/>
    <w:rsid w:val="00E42713"/>
    <w:rsid w:val="00E5656F"/>
    <w:rsid w:val="00E61EEC"/>
    <w:rsid w:val="00E62E19"/>
    <w:rsid w:val="00E63997"/>
    <w:rsid w:val="00E6519C"/>
    <w:rsid w:val="00E74AAF"/>
    <w:rsid w:val="00E778C3"/>
    <w:rsid w:val="00E84AC1"/>
    <w:rsid w:val="00EA2F5D"/>
    <w:rsid w:val="00EB10A6"/>
    <w:rsid w:val="00EC1774"/>
    <w:rsid w:val="00EC2764"/>
    <w:rsid w:val="00EC3659"/>
    <w:rsid w:val="00EC3B8D"/>
    <w:rsid w:val="00EC5922"/>
    <w:rsid w:val="00ED128E"/>
    <w:rsid w:val="00EE63E8"/>
    <w:rsid w:val="00EF0487"/>
    <w:rsid w:val="00EF2CC3"/>
    <w:rsid w:val="00F03093"/>
    <w:rsid w:val="00F07AAC"/>
    <w:rsid w:val="00F14BD2"/>
    <w:rsid w:val="00F21CCC"/>
    <w:rsid w:val="00F33241"/>
    <w:rsid w:val="00F36945"/>
    <w:rsid w:val="00F416A1"/>
    <w:rsid w:val="00F41B2D"/>
    <w:rsid w:val="00F41DBF"/>
    <w:rsid w:val="00F41E05"/>
    <w:rsid w:val="00F47998"/>
    <w:rsid w:val="00F47D98"/>
    <w:rsid w:val="00F51578"/>
    <w:rsid w:val="00F51FB9"/>
    <w:rsid w:val="00F56550"/>
    <w:rsid w:val="00F61720"/>
    <w:rsid w:val="00F62130"/>
    <w:rsid w:val="00F67D3F"/>
    <w:rsid w:val="00F71E88"/>
    <w:rsid w:val="00F75559"/>
    <w:rsid w:val="00F81B24"/>
    <w:rsid w:val="00F8334B"/>
    <w:rsid w:val="00F849BF"/>
    <w:rsid w:val="00F85840"/>
    <w:rsid w:val="00F85E3B"/>
    <w:rsid w:val="00F86E51"/>
    <w:rsid w:val="00F879C5"/>
    <w:rsid w:val="00F91FA2"/>
    <w:rsid w:val="00F93429"/>
    <w:rsid w:val="00F94E59"/>
    <w:rsid w:val="00FA06B9"/>
    <w:rsid w:val="00FA25A3"/>
    <w:rsid w:val="00FB675B"/>
    <w:rsid w:val="00FB6DD6"/>
    <w:rsid w:val="00FC27FE"/>
    <w:rsid w:val="00FC7B80"/>
    <w:rsid w:val="00FF4B6A"/>
    <w:rsid w:val="00FF663F"/>
    <w:rsid w:val="21F0DDBC"/>
    <w:rsid w:val="3A920091"/>
    <w:rsid w:val="53950F07"/>
    <w:rsid w:val="5F273911"/>
    <w:rsid w:val="640A9D3D"/>
    <w:rsid w:val="79338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E6124"/>
  <w15:docId w15:val="{14FC950F-63E8-4998-9E83-30BF1048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2515"/>
    <w:rPr>
      <w:rFonts w:ascii="Verdana" w:hAnsi="Verdan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forestresearch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dn.forestresearch.gov.uk/2022/03/Goods_and_Services_ContractSchedule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49B32701B814FBB2DCAF21FEE0D35" ma:contentTypeVersion="4" ma:contentTypeDescription="Create a new document." ma:contentTypeScope="" ma:versionID="98488e342990d90879fab15672e90009">
  <xsd:schema xmlns:xsd="http://www.w3.org/2001/XMLSchema" xmlns:xs="http://www.w3.org/2001/XMLSchema" xmlns:p="http://schemas.microsoft.com/office/2006/metadata/properties" xmlns:ns2="aa6498ab-883c-44bd-9094-99b86d58f858" targetNamespace="http://schemas.microsoft.com/office/2006/metadata/properties" ma:root="true" ma:fieldsID="27891dac784304bddcc41a55888227c0" ns2:_="">
    <xsd:import namespace="aa6498ab-883c-44bd-9094-99b86d58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98ab-883c-44bd-9094-99b86d58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B04EE-2CEF-4049-B175-DCC04D51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98ab-883c-44bd-9094-99b86d58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439A3-1D50-4068-9DB0-56713AE1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Geoff McCatty</dc:creator>
  <cp:keywords/>
  <cp:lastModifiedBy>Lucy Penny</cp:lastModifiedBy>
  <cp:revision>7</cp:revision>
  <cp:lastPrinted>2019-07-15T07:34:00Z</cp:lastPrinted>
  <dcterms:created xsi:type="dcterms:W3CDTF">2024-11-26T11:30:00Z</dcterms:created>
  <dcterms:modified xsi:type="dcterms:W3CDTF">2024-11-26T13:41:00Z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0x0101005C649B32701B814FBB2DCAF21FEE0D35</vt:lpwstr>
  </property>
  <property fmtid="{D5CDD505-2E9C-101B-9397-08002B2CF9AE}" pid="3" name="MSIP_Label_008c3e54-1165-410a-969f-bee94a33b7d6_Enabled">
    <vt:lpwstr>true</vt:lpwstr>
  </property>
  <property fmtid="{D5CDD505-2E9C-101B-9397-08002B2CF9AE}" pid="4" name="MSIP_Label_008c3e54-1165-410a-969f-bee94a33b7d6_SetDate">
    <vt:lpwstr>2022-12-12T12:22:32Z</vt:lpwstr>
  </property>
  <property fmtid="{D5CDD505-2E9C-101B-9397-08002B2CF9AE}" pid="5" name="MSIP_Label_008c3e54-1165-410a-969f-bee94a33b7d6_Method">
    <vt:lpwstr>Standard</vt:lpwstr>
  </property>
  <property fmtid="{D5CDD505-2E9C-101B-9397-08002B2CF9AE}" pid="6" name="MSIP_Label_008c3e54-1165-410a-969f-bee94a33b7d6_Name">
    <vt:lpwstr>General</vt:lpwstr>
  </property>
  <property fmtid="{D5CDD505-2E9C-101B-9397-08002B2CF9AE}" pid="7" name="MSIP_Label_008c3e54-1165-410a-969f-bee94a33b7d6_SiteId">
    <vt:lpwstr>1b923567-07bd-4ac1-85f2-45eda26d837c</vt:lpwstr>
  </property>
  <property fmtid="{D5CDD505-2E9C-101B-9397-08002B2CF9AE}" pid="8" name="MSIP_Label_008c3e54-1165-410a-969f-bee94a33b7d6_ActionId">
    <vt:lpwstr>12f84783-564f-40cb-a6c1-ecfdf9bff18c</vt:lpwstr>
  </property>
  <property fmtid="{D5CDD505-2E9C-101B-9397-08002B2CF9AE}" pid="9" name="MSIP_Label_008c3e54-1165-410a-969f-bee94a33b7d6_ContentBits">
    <vt:lpwstr>0</vt:lpwstr>
  </property>
</Properties>
</file>