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16F7B55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485AF0">
              <w:rPr>
                <w:rFonts w:ascii="Arial" w:hAnsi="Arial" w:cs="Arial"/>
              </w:rPr>
              <w:t>3</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07953DDD"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2B0898">
        <w:rPr>
          <w:rFonts w:ascii="Arial" w:hAnsi="Arial" w:cs="Arial"/>
          <w:b/>
          <w:noProof w:val="0"/>
          <w:color w:val="FF0000"/>
          <w:sz w:val="22"/>
          <w:szCs w:val="22"/>
        </w:rPr>
        <w:t>5:00pm</w:t>
      </w:r>
      <w:r w:rsidR="008218DF" w:rsidRPr="002B0898">
        <w:rPr>
          <w:rFonts w:ascii="Arial" w:hAnsi="Arial" w:cs="Arial"/>
          <w:noProof w:val="0"/>
          <w:color w:val="FF0000"/>
          <w:sz w:val="22"/>
          <w:szCs w:val="22"/>
        </w:rPr>
        <w:t xml:space="preserve"> </w:t>
      </w:r>
      <w:r w:rsidR="00BF34D6">
        <w:rPr>
          <w:rFonts w:ascii="Arial" w:hAnsi="Arial" w:cs="Arial"/>
          <w:b/>
          <w:noProof w:val="0"/>
          <w:color w:val="FF0000"/>
          <w:sz w:val="22"/>
          <w:szCs w:val="22"/>
        </w:rPr>
        <w:t>Monday 7</w:t>
      </w:r>
      <w:r w:rsidR="00BF34D6" w:rsidRPr="00BF34D6">
        <w:rPr>
          <w:rFonts w:ascii="Arial" w:hAnsi="Arial" w:cs="Arial"/>
          <w:b/>
          <w:noProof w:val="0"/>
          <w:color w:val="FF0000"/>
          <w:sz w:val="22"/>
          <w:szCs w:val="22"/>
          <w:vertAlign w:val="superscript"/>
        </w:rPr>
        <w:t>th</w:t>
      </w:r>
      <w:r w:rsidR="00BF34D6">
        <w:rPr>
          <w:rFonts w:ascii="Arial" w:hAnsi="Arial" w:cs="Arial"/>
          <w:b/>
          <w:noProof w:val="0"/>
          <w:color w:val="FF0000"/>
          <w:sz w:val="22"/>
          <w:szCs w:val="22"/>
        </w:rPr>
        <w:t xml:space="preserve"> November 2022</w:t>
      </w:r>
      <w:r w:rsidR="00C77528" w:rsidRPr="002B0898">
        <w:rPr>
          <w:rFonts w:ascii="Arial" w:hAnsi="Arial" w:cs="Arial"/>
          <w:b/>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lastRenderedPageBreak/>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B93730B"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2B0898">
        <w:rPr>
          <w:rFonts w:ascii="Arial" w:hAnsi="Arial" w:cs="Arial"/>
          <w:b/>
          <w:bCs/>
          <w:color w:val="FF0000"/>
        </w:rPr>
        <w:t xml:space="preserve">5:00pm on </w:t>
      </w:r>
      <w:r w:rsidR="00936160" w:rsidRPr="002B0898">
        <w:rPr>
          <w:rFonts w:ascii="Arial" w:hAnsi="Arial" w:cs="Arial"/>
          <w:b/>
          <w:bCs/>
          <w:color w:val="FF0000"/>
        </w:rPr>
        <w:t xml:space="preserve">Monday </w:t>
      </w:r>
      <w:r w:rsidR="0094781F">
        <w:rPr>
          <w:rFonts w:ascii="Arial" w:hAnsi="Arial" w:cs="Arial"/>
          <w:b/>
          <w:bCs/>
          <w:color w:val="FF0000"/>
        </w:rPr>
        <w:t>14</w:t>
      </w:r>
      <w:r w:rsidR="0094781F" w:rsidRPr="0094781F">
        <w:rPr>
          <w:rFonts w:ascii="Arial" w:hAnsi="Arial" w:cs="Arial"/>
          <w:b/>
          <w:bCs/>
          <w:color w:val="FF0000"/>
          <w:vertAlign w:val="superscript"/>
        </w:rPr>
        <w:t>th</w:t>
      </w:r>
      <w:r w:rsidR="0094781F">
        <w:rPr>
          <w:rFonts w:ascii="Arial" w:hAnsi="Arial" w:cs="Arial"/>
          <w:b/>
          <w:bCs/>
          <w:color w:val="FF0000"/>
        </w:rPr>
        <w:t xml:space="preserve"> November 2022</w:t>
      </w:r>
      <w:r w:rsidR="008425F0" w:rsidRPr="002B0898">
        <w:rPr>
          <w:rFonts w:ascii="Arial" w:hAnsi="Arial" w:cs="Arial"/>
          <w:b/>
          <w:bCs/>
          <w:color w:val="FF0000"/>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lastRenderedPageBreak/>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w:t>
            </w:r>
            <w:bookmarkStart w:id="0" w:name="_GoBack"/>
            <w:r w:rsidRPr="008F26CE">
              <w:rPr>
                <w:rFonts w:ascii="Arial" w:hAnsi="Arial" w:cs="Arial"/>
                <w:b/>
              </w:rPr>
              <w:t>Eu</w:t>
            </w:r>
            <w:bookmarkEnd w:id="0"/>
            <w:r w:rsidRPr="008F26CE">
              <w:rPr>
                <w:rFonts w:ascii="Arial" w:hAnsi="Arial" w:cs="Arial"/>
                <w:b/>
              </w:rPr>
              <w:t xml:space="preserve">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lastRenderedPageBreak/>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lastRenderedPageBreak/>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lastRenderedPageBreak/>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63B1" w14:textId="77777777" w:rsidR="007E6DC0" w:rsidRDefault="007E6DC0" w:rsidP="00B2540E">
      <w:pPr>
        <w:spacing w:after="0" w:line="240" w:lineRule="auto"/>
      </w:pPr>
      <w:r>
        <w:separator/>
      </w:r>
    </w:p>
  </w:endnote>
  <w:endnote w:type="continuationSeparator" w:id="0">
    <w:p w14:paraId="566ACA82" w14:textId="77777777" w:rsidR="007E6DC0" w:rsidRDefault="007E6DC0"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69DC" w14:textId="4E622712" w:rsidR="00485AF0" w:rsidRDefault="00485AF0">
    <w:pPr>
      <w:pStyle w:val="Footer"/>
    </w:pPr>
    <w:r>
      <w:t>Oct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CFCB" w14:textId="77777777" w:rsidR="007E6DC0" w:rsidRDefault="007E6DC0" w:rsidP="00B2540E">
      <w:pPr>
        <w:spacing w:after="0" w:line="240" w:lineRule="auto"/>
      </w:pPr>
      <w:r>
        <w:separator/>
      </w:r>
    </w:p>
  </w:footnote>
  <w:footnote w:type="continuationSeparator" w:id="0">
    <w:p w14:paraId="78304ED7" w14:textId="77777777" w:rsidR="007E6DC0" w:rsidRDefault="007E6DC0"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06802"/>
    <w:rsid w:val="001326E7"/>
    <w:rsid w:val="001A4947"/>
    <w:rsid w:val="001D15A3"/>
    <w:rsid w:val="001E0FC2"/>
    <w:rsid w:val="001E2B02"/>
    <w:rsid w:val="001F565B"/>
    <w:rsid w:val="0022104A"/>
    <w:rsid w:val="0023280D"/>
    <w:rsid w:val="00245630"/>
    <w:rsid w:val="00290AD4"/>
    <w:rsid w:val="002949F3"/>
    <w:rsid w:val="002960D3"/>
    <w:rsid w:val="002B0898"/>
    <w:rsid w:val="002B23EE"/>
    <w:rsid w:val="00311CC7"/>
    <w:rsid w:val="00311FD9"/>
    <w:rsid w:val="00350F88"/>
    <w:rsid w:val="00361ADE"/>
    <w:rsid w:val="003634FE"/>
    <w:rsid w:val="003733D7"/>
    <w:rsid w:val="003900B5"/>
    <w:rsid w:val="00394A9B"/>
    <w:rsid w:val="003B21F5"/>
    <w:rsid w:val="003C7F18"/>
    <w:rsid w:val="00422A5D"/>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218DF"/>
    <w:rsid w:val="008425F0"/>
    <w:rsid w:val="00866106"/>
    <w:rsid w:val="008B70A4"/>
    <w:rsid w:val="008D463B"/>
    <w:rsid w:val="008F26CE"/>
    <w:rsid w:val="00901412"/>
    <w:rsid w:val="00910D51"/>
    <w:rsid w:val="00936160"/>
    <w:rsid w:val="0094781F"/>
    <w:rsid w:val="009558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05125"/>
    <w:rsid w:val="00B204B5"/>
    <w:rsid w:val="00B20651"/>
    <w:rsid w:val="00B2236D"/>
    <w:rsid w:val="00B228EB"/>
    <w:rsid w:val="00B25214"/>
    <w:rsid w:val="00B2540E"/>
    <w:rsid w:val="00B83A61"/>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2730</Words>
  <Characters>15562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cp:revision>
  <dcterms:created xsi:type="dcterms:W3CDTF">2022-10-24T18:33:00Z</dcterms:created>
  <dcterms:modified xsi:type="dcterms:W3CDTF">2022-10-24T18:33:00Z</dcterms:modified>
</cp:coreProperties>
</file>