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53658C8A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3E0912" w:rsidRPr="00881455">
        <w:rPr>
          <w:rFonts w:ascii="Arial" w:hAnsi="Arial" w:cs="Arial"/>
          <w:sz w:val="24"/>
          <w:szCs w:val="24"/>
        </w:rPr>
        <w:t>CCIS21A20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7EFE3902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0912">
        <w:rPr>
          <w:rFonts w:ascii="Arial" w:hAnsi="Arial" w:cs="Arial"/>
          <w:sz w:val="24"/>
          <w:szCs w:val="24"/>
        </w:rPr>
        <w:t>Ministry of Defence (Defence Digital)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B3868CC" w14:textId="5E00F36C" w:rsidR="00FE264D" w:rsidRPr="009F273E" w:rsidRDefault="00FE264D" w:rsidP="006219F7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6219F7">
        <w:rPr>
          <w:rFonts w:ascii="Arial" w:hAnsi="Arial" w:cs="Arial"/>
          <w:sz w:val="24"/>
          <w:szCs w:val="24"/>
        </w:rPr>
        <w:t>REDACTION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007DA464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3E0912" w:rsidRPr="00881455">
        <w:rPr>
          <w:rFonts w:ascii="Arial" w:hAnsi="Arial" w:cs="Arial"/>
          <w:sz w:val="24"/>
          <w:szCs w:val="24"/>
        </w:rPr>
        <w:t>Boxxe</w:t>
      </w:r>
      <w:proofErr w:type="spellEnd"/>
      <w:r w:rsidR="003E0912" w:rsidRPr="00881455">
        <w:rPr>
          <w:rFonts w:ascii="Arial" w:hAnsi="Arial" w:cs="Arial"/>
          <w:sz w:val="24"/>
          <w:szCs w:val="24"/>
        </w:rPr>
        <w:t xml:space="preserve"> Limited</w:t>
      </w:r>
    </w:p>
    <w:p w14:paraId="1B6A5052" w14:textId="60E4C805" w:rsidR="004A4734" w:rsidRPr="009F273E" w:rsidRDefault="00D500B0" w:rsidP="00721690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6219F7">
        <w:rPr>
          <w:rFonts w:ascii="Arial" w:hAnsi="Arial" w:cs="Arial"/>
          <w:sz w:val="24"/>
          <w:szCs w:val="24"/>
        </w:rPr>
        <w:t>REDACTION</w:t>
      </w:r>
    </w:p>
    <w:p w14:paraId="58981C2D" w14:textId="361305A0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3E0912" w:rsidRPr="00881455">
        <w:rPr>
          <w:rFonts w:ascii="Arial" w:hAnsi="Arial" w:cs="Arial"/>
          <w:sz w:val="24"/>
          <w:szCs w:val="24"/>
        </w:rPr>
        <w:t>02109168</w:t>
      </w:r>
      <w:r w:rsidR="003E0912" w:rsidRPr="00881455" w:rsidDel="003E0912">
        <w:rPr>
          <w:rFonts w:ascii="Arial" w:hAnsi="Arial" w:cs="Arial"/>
          <w:sz w:val="24"/>
          <w:szCs w:val="24"/>
        </w:rPr>
        <w:t xml:space="preserve"> </w:t>
      </w:r>
      <w:r w:rsidR="007D2E98" w:rsidRPr="00881455">
        <w:rPr>
          <w:rFonts w:ascii="Arial" w:hAnsi="Arial" w:cs="Arial"/>
          <w:sz w:val="24"/>
          <w:szCs w:val="24"/>
        </w:rPr>
        <w:t xml:space="preserve"> </w:t>
      </w:r>
    </w:p>
    <w:p w14:paraId="5E7DC1A3" w14:textId="0B6FA365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EE50C6">
        <w:rPr>
          <w:rFonts w:ascii="Arial" w:hAnsi="Arial" w:cs="Arial"/>
          <w:sz w:val="24"/>
          <w:szCs w:val="24"/>
        </w:rPr>
        <w:t>390295056</w:t>
      </w:r>
    </w:p>
    <w:p w14:paraId="197A7B82" w14:textId="1B508102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3E0912">
        <w:rPr>
          <w:rFonts w:ascii="Arial" w:hAnsi="Arial" w:cs="Arial"/>
          <w:sz w:val="24"/>
          <w:szCs w:val="24"/>
        </w:rPr>
        <w:t>unknown</w:t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445171B0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Pr="00721690" w:rsidRDefault="003E73F1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21690">
        <w:rPr>
          <w:rFonts w:ascii="Arial" w:hAnsi="Arial" w:cs="Arial"/>
          <w:b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70E1F62" w14:textId="5D5954B7" w:rsidR="00EE50C6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881455">
        <w:rPr>
          <w:rFonts w:ascii="Arial" w:hAnsi="Arial" w:cs="Arial"/>
          <w:sz w:val="24"/>
          <w:szCs w:val="24"/>
        </w:rPr>
        <w:t>Wednesday 30</w:t>
      </w:r>
      <w:r w:rsidR="00F36AB1" w:rsidRPr="00721690">
        <w:rPr>
          <w:rFonts w:ascii="Arial" w:hAnsi="Arial" w:cs="Arial"/>
          <w:sz w:val="24"/>
          <w:szCs w:val="24"/>
          <w:vertAlign w:val="superscript"/>
        </w:rPr>
        <w:t>th</w:t>
      </w:r>
      <w:r w:rsidR="00F36AB1">
        <w:rPr>
          <w:rFonts w:ascii="Arial" w:hAnsi="Arial" w:cs="Arial"/>
          <w:sz w:val="24"/>
          <w:szCs w:val="24"/>
        </w:rPr>
        <w:t xml:space="preserve"> June 2021.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Pr="00881455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CALL-OFF LOT(S):</w:t>
      </w:r>
    </w:p>
    <w:p w14:paraId="44A53B19" w14:textId="77777777" w:rsidR="002315F2" w:rsidRDefault="002315F2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55C73349" w14:textId="485F1B1A" w:rsidR="004A4734" w:rsidRPr="00212484" w:rsidRDefault="002315F2" w:rsidP="00ED3390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i/>
          <w:sz w:val="24"/>
          <w:szCs w:val="24"/>
        </w:rPr>
      </w:pPr>
      <w:r w:rsidRPr="00212484">
        <w:rPr>
          <w:rFonts w:ascii="Arial" w:eastAsia="STZhongsong" w:hAnsi="Arial" w:cs="Arial"/>
          <w:sz w:val="24"/>
          <w:szCs w:val="24"/>
          <w:lang w:eastAsia="zh-CN"/>
        </w:rPr>
        <w:t>Lot 4 Information Assured Products &amp; Associated Services</w:t>
      </w:r>
      <w:r w:rsidR="007941E3" w:rsidRPr="00212484">
        <w:rPr>
          <w:rFonts w:ascii="Arial" w:hAnsi="Arial" w:cs="Arial"/>
          <w:sz w:val="24"/>
          <w:szCs w:val="24"/>
        </w:rPr>
        <w:t>]</w:t>
      </w:r>
    </w:p>
    <w:p w14:paraId="560765F6" w14:textId="039F9B07" w:rsidR="00110B3B" w:rsidRPr="00881455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881455" w:rsidRDefault="00CB39A4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46A69A43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78C3E7" w14:textId="07B8304F" w:rsidR="0054312C" w:rsidRPr="00212484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212484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212484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 w:rsidRPr="00212484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212484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21248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212484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212484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212484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41774CB0" w14:textId="3DCC2203" w:rsidR="004A4734" w:rsidRPr="00212484" w:rsidRDefault="00CB39A4" w:rsidP="0072169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12484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212484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  <w:r w:rsidR="00C54131" w:rsidRPr="00212484" w:rsidDel="00C5413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76EF38C0" w14:textId="77777777" w:rsidR="005C0DB5" w:rsidRPr="00212484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7777777" w:rsidR="0054312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12484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11A2FB5" w14:textId="1012A8D2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</w:t>
      </w:r>
      <w:r w:rsidR="00C54131">
        <w:rPr>
          <w:rStyle w:val="Emphasis"/>
          <w:rFonts w:ascii="Arial" w:hAnsi="Arial" w:cs="Arial"/>
          <w:i w:val="0"/>
          <w:iCs w:val="0"/>
          <w:sz w:val="24"/>
          <w:szCs w:val="24"/>
        </w:rPr>
        <w:t>CIS21A20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]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11867EA" w14:textId="7BCAC0AB" w:rsidR="004A4734" w:rsidRPr="00212484" w:rsidRDefault="00C54131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12484" w:rsidDel="00C5413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3D7714" w:rsidRPr="00212484">
        <w:rPr>
          <w:rStyle w:val="Emphasis"/>
          <w:rFonts w:ascii="Arial" w:hAnsi="Arial" w:cs="Arial"/>
          <w:i w:val="0"/>
          <w:sz w:val="24"/>
          <w:szCs w:val="24"/>
        </w:rPr>
        <w:t>[Call-Off Schedule 5</w:t>
      </w:r>
      <w:r w:rsidR="00CB39A4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212484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422D16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                     </w:t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6B41B6F" w14:textId="78957293" w:rsidR="004A4734" w:rsidRPr="00212484" w:rsidRDefault="00C54131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12484" w:rsidDel="00C5413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212484">
        <w:rPr>
          <w:rStyle w:val="Emphasis"/>
          <w:rFonts w:ascii="Arial" w:hAnsi="Arial" w:cs="Arial"/>
          <w:i w:val="0"/>
          <w:sz w:val="24"/>
          <w:szCs w:val="24"/>
        </w:rPr>
        <w:t>[Call-Of</w:t>
      </w:r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212484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 xml:space="preserve">D Terms) </w:t>
      </w:r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proofErr w:type="gramStart"/>
      <w:r w:rsidR="005C303F" w:rsidRPr="00212484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CB39A4" w:rsidRPr="00212484">
        <w:rPr>
          <w:rStyle w:val="Emphasis"/>
          <w:rFonts w:ascii="Arial" w:hAnsi="Arial" w:cs="Arial"/>
          <w:i w:val="0"/>
          <w:sz w:val="24"/>
          <w:szCs w:val="24"/>
        </w:rPr>
        <w:t>]</w:t>
      </w:r>
      <w:proofErr w:type="gramEnd"/>
    </w:p>
    <w:p w14:paraId="45B83CDD" w14:textId="198D74DD" w:rsidR="004A4734" w:rsidRPr="00212484" w:rsidRDefault="00C54131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12484" w:rsidDel="00C5413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212484">
        <w:rPr>
          <w:rStyle w:val="Emphasis"/>
          <w:rFonts w:ascii="Arial" w:hAnsi="Arial" w:cs="Arial"/>
          <w:i w:val="0"/>
          <w:sz w:val="24"/>
          <w:szCs w:val="24"/>
        </w:rPr>
        <w:t>[</w:t>
      </w:r>
      <w:r w:rsidR="003D7714" w:rsidRPr="00212484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212484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212484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212484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12484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212484">
        <w:rPr>
          <w:rStyle w:val="Emphasis"/>
          <w:rFonts w:ascii="Arial" w:hAnsi="Arial" w:cs="Arial"/>
          <w:i w:val="0"/>
          <w:sz w:val="24"/>
          <w:szCs w:val="24"/>
        </w:rPr>
        <w:t>]</w:t>
      </w:r>
    </w:p>
    <w:p w14:paraId="6EBB5B4D" w14:textId="77777777" w:rsidR="00C54131" w:rsidRDefault="00C54131" w:rsidP="0021248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bookmarkStart w:id="0" w:name="LASTCURSORPOSITION"/>
      <w:bookmarkEnd w:id="0"/>
    </w:p>
    <w:p w14:paraId="4E61396B" w14:textId="242E6F3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CALL-OFF START DATE</w:t>
      </w:r>
      <w:r w:rsidRPr="003809EC">
        <w:rPr>
          <w:rFonts w:ascii="Arial" w:hAnsi="Arial" w:cs="Arial"/>
          <w:sz w:val="24"/>
          <w:szCs w:val="24"/>
        </w:rPr>
        <w:t>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0532B">
        <w:rPr>
          <w:rFonts w:ascii="Arial" w:hAnsi="Arial" w:cs="Arial"/>
          <w:sz w:val="24"/>
          <w:szCs w:val="24"/>
        </w:rPr>
        <w:t>1</w:t>
      </w:r>
      <w:r w:rsidR="00D0532B" w:rsidRPr="00721690">
        <w:rPr>
          <w:rFonts w:ascii="Arial" w:hAnsi="Arial" w:cs="Arial"/>
          <w:sz w:val="24"/>
          <w:szCs w:val="24"/>
          <w:vertAlign w:val="superscript"/>
        </w:rPr>
        <w:t>st</w:t>
      </w:r>
      <w:r w:rsidR="00D0532B">
        <w:rPr>
          <w:rFonts w:ascii="Arial" w:hAnsi="Arial" w:cs="Arial"/>
          <w:sz w:val="24"/>
          <w:szCs w:val="24"/>
        </w:rPr>
        <w:t xml:space="preserve"> July 2021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697FD67F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CALL-OFF EXPIRY DATE:</w:t>
      </w:r>
      <w:r w:rsidRPr="003809EC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0532B">
        <w:rPr>
          <w:rFonts w:ascii="Arial" w:hAnsi="Arial" w:cs="Arial"/>
          <w:sz w:val="24"/>
          <w:szCs w:val="24"/>
        </w:rPr>
        <w:t>30</w:t>
      </w:r>
      <w:r w:rsidR="00D0532B" w:rsidRPr="00721690">
        <w:rPr>
          <w:rFonts w:ascii="Arial" w:hAnsi="Arial" w:cs="Arial"/>
          <w:sz w:val="24"/>
          <w:szCs w:val="24"/>
          <w:vertAlign w:val="superscript"/>
        </w:rPr>
        <w:t>th</w:t>
      </w:r>
      <w:r w:rsidR="00F95350">
        <w:rPr>
          <w:rFonts w:ascii="Arial" w:hAnsi="Arial" w:cs="Arial"/>
          <w:sz w:val="24"/>
          <w:szCs w:val="24"/>
        </w:rPr>
        <w:t xml:space="preserve"> June 202</w:t>
      </w:r>
      <w:r w:rsidR="00AF770E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</w:p>
    <w:p w14:paraId="4375190F" w14:textId="77777777" w:rsidR="004A4734" w:rsidRPr="00881455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E4F200C" w14:textId="77386A93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0532B" w:rsidRPr="00212484">
        <w:rPr>
          <w:rFonts w:ascii="Arial" w:hAnsi="Arial" w:cs="Arial"/>
          <w:sz w:val="24"/>
          <w:szCs w:val="24"/>
        </w:rPr>
        <w:t xml:space="preserve">Three (3) </w:t>
      </w:r>
      <w:r w:rsidR="009F273E" w:rsidRPr="00212484">
        <w:rPr>
          <w:rFonts w:ascii="Arial" w:hAnsi="Arial" w:cs="Arial"/>
          <w:sz w:val="24"/>
          <w:szCs w:val="24"/>
        </w:rPr>
        <w:t>Years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313F55FB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D0532B">
        <w:rPr>
          <w:rFonts w:ascii="Arial" w:hAnsi="Arial" w:cs="Arial"/>
          <w:sz w:val="24"/>
          <w:szCs w:val="24"/>
        </w:rPr>
        <w:t>No option to extend.</w:t>
      </w:r>
    </w:p>
    <w:p w14:paraId="666F9572" w14:textId="47D5AEB1" w:rsidR="00FB6CC0" w:rsidRPr="00881455" w:rsidRDefault="00FB6CC0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PERIOD</w:t>
      </w:r>
      <w:r w:rsidR="00881455">
        <w:rPr>
          <w:rFonts w:ascii="Arial" w:hAnsi="Arial" w:cs="Arial"/>
          <w:b/>
          <w:sz w:val="24"/>
          <w:szCs w:val="24"/>
        </w:rPr>
        <w:t>: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881455" w:rsidRDefault="001D084D" w:rsidP="001D08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5CDB7C5" w14:textId="77777777" w:rsidR="00C54131" w:rsidRPr="00212484" w:rsidRDefault="00EE50C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12484">
        <w:rPr>
          <w:rFonts w:ascii="Arial" w:hAnsi="Arial" w:cs="Arial"/>
          <w:sz w:val="24"/>
          <w:szCs w:val="24"/>
        </w:rPr>
        <w:t>See details in Call-Off Schedule 20 (Call off Specification) which will be completed at Contract Award with the Statement of Requirements.</w:t>
      </w:r>
    </w:p>
    <w:p w14:paraId="02361021" w14:textId="77777777" w:rsidR="001D084D" w:rsidRPr="00721690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09381A" w14:textId="77777777" w:rsidR="006635AE" w:rsidRPr="00881455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LOCATION FOR DELIVERY</w:t>
      </w:r>
    </w:p>
    <w:p w14:paraId="11A6F9B4" w14:textId="31B5DE62" w:rsidR="00881455" w:rsidRDefault="006219F7" w:rsidP="00C5413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3776F50B" w14:textId="15B66756" w:rsidR="00C54131" w:rsidRPr="00C54131" w:rsidRDefault="00C54131" w:rsidP="00C5413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BDF914" w14:textId="75B21E18" w:rsidR="00EE50C6" w:rsidRDefault="00EE50C6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753930" w14:textId="5F0967DA" w:rsidR="006635AE" w:rsidRDefault="00C5413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 w:rsidDel="00EE50C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E50C6" w:rsidDel="00EE50C6">
        <w:rPr>
          <w:rFonts w:ascii="Arial" w:hAnsi="Arial" w:cs="Arial"/>
          <w:sz w:val="24"/>
          <w:szCs w:val="24"/>
        </w:rPr>
        <w:t xml:space="preserve"> </w:t>
      </w:r>
    </w:p>
    <w:p w14:paraId="431F8CCD" w14:textId="77777777" w:rsidR="006635AE" w:rsidRPr="00881455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DATES FOR DELIVERY OF THE DELIVERABLES</w:t>
      </w:r>
    </w:p>
    <w:p w14:paraId="026368B6" w14:textId="77777777" w:rsidR="000F60BB" w:rsidRPr="000F60BB" w:rsidRDefault="000F60BB" w:rsidP="000F60B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10065" w:type="dxa"/>
        <w:tblInd w:w="-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229"/>
        <w:gridCol w:w="4291"/>
        <w:gridCol w:w="2127"/>
      </w:tblGrid>
      <w:tr w:rsidR="000F60BB" w:rsidRPr="000F60BB" w14:paraId="2BE68FF0" w14:textId="77777777" w:rsidTr="000C44FF">
        <w:tc>
          <w:tcPr>
            <w:tcW w:w="1418" w:type="dxa"/>
            <w:shd w:val="clear" w:color="auto" w:fill="B8CCE4"/>
          </w:tcPr>
          <w:p w14:paraId="3AB4B72E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KPI/SLA</w:t>
            </w:r>
          </w:p>
        </w:tc>
        <w:tc>
          <w:tcPr>
            <w:tcW w:w="2229" w:type="dxa"/>
            <w:shd w:val="clear" w:color="auto" w:fill="B8CCE4"/>
          </w:tcPr>
          <w:p w14:paraId="41E427DF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Service Area</w:t>
            </w:r>
          </w:p>
        </w:tc>
        <w:tc>
          <w:tcPr>
            <w:tcW w:w="4291" w:type="dxa"/>
            <w:shd w:val="clear" w:color="auto" w:fill="B8CCE4"/>
          </w:tcPr>
          <w:p w14:paraId="68DA5D6B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KPI/SLA description</w:t>
            </w:r>
          </w:p>
        </w:tc>
        <w:tc>
          <w:tcPr>
            <w:tcW w:w="2127" w:type="dxa"/>
            <w:shd w:val="clear" w:color="auto" w:fill="B8CCE4"/>
          </w:tcPr>
          <w:p w14:paraId="1C3EAFAF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</w:tr>
      <w:tr w:rsidR="000F60BB" w:rsidRPr="000F60BB" w14:paraId="124F7535" w14:textId="77777777" w:rsidTr="000C44FF">
        <w:tc>
          <w:tcPr>
            <w:tcW w:w="1418" w:type="dxa"/>
          </w:tcPr>
          <w:p w14:paraId="472CA8FA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14:paraId="175B60E7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Delivery Timescales</w:t>
            </w:r>
          </w:p>
        </w:tc>
        <w:tc>
          <w:tcPr>
            <w:tcW w:w="4291" w:type="dxa"/>
          </w:tcPr>
          <w:p w14:paraId="27A14ED8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MoD to be informed of order by the vendor within five (5) working days of contract award.</w:t>
            </w:r>
          </w:p>
        </w:tc>
        <w:tc>
          <w:tcPr>
            <w:tcW w:w="2127" w:type="dxa"/>
            <w:shd w:val="clear" w:color="auto" w:fill="auto"/>
          </w:tcPr>
          <w:p w14:paraId="725A6E89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  <w:tr w:rsidR="000F60BB" w:rsidRPr="000F60BB" w14:paraId="00398B36" w14:textId="77777777" w:rsidTr="000C44FF">
        <w:tc>
          <w:tcPr>
            <w:tcW w:w="1418" w:type="dxa"/>
          </w:tcPr>
          <w:p w14:paraId="0D503A6A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29" w:type="dxa"/>
          </w:tcPr>
          <w:p w14:paraId="59DDA4E9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Delivery Timescales</w:t>
            </w:r>
          </w:p>
        </w:tc>
        <w:tc>
          <w:tcPr>
            <w:tcW w:w="4291" w:type="dxa"/>
            <w:vAlign w:val="center"/>
          </w:tcPr>
          <w:p w14:paraId="270C6586" w14:textId="1386E819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 xml:space="preserve">Delivery of </w:t>
            </w:r>
            <w:r w:rsidR="00212484" w:rsidRPr="00212484">
              <w:rPr>
                <w:rFonts w:ascii="Arial" w:hAnsi="Arial" w:cs="Arial"/>
                <w:b/>
                <w:sz w:val="24"/>
                <w:szCs w:val="24"/>
              </w:rPr>
              <w:t>licences</w:t>
            </w:r>
            <w:r w:rsidRPr="00212484">
              <w:rPr>
                <w:rFonts w:ascii="Arial" w:hAnsi="Arial" w:cs="Arial"/>
                <w:b/>
                <w:sz w:val="24"/>
                <w:szCs w:val="24"/>
              </w:rPr>
              <w:t xml:space="preserve"> within </w:t>
            </w:r>
            <w:r w:rsidR="00212484" w:rsidRPr="00212484">
              <w:rPr>
                <w:rFonts w:ascii="Arial" w:hAnsi="Arial" w:cs="Arial"/>
                <w:b/>
                <w:sz w:val="24"/>
                <w:szCs w:val="24"/>
              </w:rPr>
              <w:t>one</w:t>
            </w:r>
            <w:r w:rsidRPr="002124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2484" w:rsidRPr="00212484">
              <w:rPr>
                <w:rFonts w:ascii="Arial" w:hAnsi="Arial" w:cs="Arial"/>
                <w:b/>
                <w:sz w:val="24"/>
                <w:szCs w:val="24"/>
              </w:rPr>
              <w:t>(1)</w:t>
            </w:r>
            <w:r w:rsidRPr="00212484">
              <w:rPr>
                <w:rFonts w:ascii="Arial" w:hAnsi="Arial" w:cs="Arial"/>
                <w:b/>
                <w:sz w:val="24"/>
                <w:szCs w:val="24"/>
              </w:rPr>
              <w:t xml:space="preserve"> week following Contract Award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F8838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  <w:tr w:rsidR="00212484" w:rsidRPr="000F60BB" w14:paraId="1486CC73" w14:textId="77777777" w:rsidTr="000C44FF">
        <w:tc>
          <w:tcPr>
            <w:tcW w:w="1418" w:type="dxa"/>
          </w:tcPr>
          <w:p w14:paraId="6D83FB4C" w14:textId="125E2508" w:rsidR="00212484" w:rsidRPr="00212484" w:rsidRDefault="00212484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14:paraId="7B4C80C0" w14:textId="4BAF34D9" w:rsidR="00212484" w:rsidRPr="00212484" w:rsidRDefault="00212484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Delivery Timescales</w:t>
            </w:r>
          </w:p>
        </w:tc>
        <w:tc>
          <w:tcPr>
            <w:tcW w:w="4291" w:type="dxa"/>
            <w:vAlign w:val="center"/>
          </w:tcPr>
          <w:p w14:paraId="40F4468D" w14:textId="29004543" w:rsidR="00212484" w:rsidRPr="00212484" w:rsidRDefault="00212484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Delivery of licences within twelve (12) weeks following Contract Award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43725A" w14:textId="7B6F9ABB" w:rsidR="00212484" w:rsidRPr="00212484" w:rsidRDefault="00212484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  <w:tr w:rsidR="000F60BB" w:rsidRPr="000F60BB" w14:paraId="36F36250" w14:textId="77777777" w:rsidTr="000C44FF">
        <w:tc>
          <w:tcPr>
            <w:tcW w:w="1418" w:type="dxa"/>
          </w:tcPr>
          <w:p w14:paraId="3A9E594E" w14:textId="0917AA4D" w:rsidR="000F60BB" w:rsidRPr="00212484" w:rsidRDefault="00212484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14:paraId="67D4D223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Service Delivery</w:t>
            </w:r>
          </w:p>
        </w:tc>
        <w:tc>
          <w:tcPr>
            <w:tcW w:w="4291" w:type="dxa"/>
          </w:tcPr>
          <w:p w14:paraId="6A8E77E8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 xml:space="preserve">Weekly product updates to be received during the </w:t>
            </w:r>
          </w:p>
          <w:p w14:paraId="769AEE66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Contract term.</w:t>
            </w:r>
          </w:p>
        </w:tc>
        <w:tc>
          <w:tcPr>
            <w:tcW w:w="2127" w:type="dxa"/>
            <w:shd w:val="clear" w:color="auto" w:fill="auto"/>
          </w:tcPr>
          <w:p w14:paraId="30B8A735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  <w:tr w:rsidR="000F60BB" w:rsidRPr="000F60BB" w14:paraId="3A54E9EC" w14:textId="77777777" w:rsidTr="000C44FF">
        <w:tc>
          <w:tcPr>
            <w:tcW w:w="1418" w:type="dxa"/>
          </w:tcPr>
          <w:p w14:paraId="320F6A89" w14:textId="7E640CB2" w:rsidR="000F60BB" w:rsidRPr="00212484" w:rsidRDefault="00212484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14:paraId="1476CA96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Service Delivery</w:t>
            </w:r>
          </w:p>
        </w:tc>
        <w:tc>
          <w:tcPr>
            <w:tcW w:w="4291" w:type="dxa"/>
          </w:tcPr>
          <w:p w14:paraId="2C46948A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Response resolution to queries and issues raised within 24 hours.</w:t>
            </w:r>
          </w:p>
        </w:tc>
        <w:tc>
          <w:tcPr>
            <w:tcW w:w="2127" w:type="dxa"/>
          </w:tcPr>
          <w:p w14:paraId="2ABD46E1" w14:textId="77777777" w:rsidR="000F60BB" w:rsidRPr="00212484" w:rsidRDefault="000F60BB" w:rsidP="000F60BB">
            <w:pPr>
              <w:tabs>
                <w:tab w:val="left" w:pos="2257"/>
              </w:tabs>
              <w:spacing w:after="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484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14:paraId="6BA7B12D" w14:textId="3282DB11" w:rsidR="00ED6C41" w:rsidRPr="00881455" w:rsidRDefault="000F60BB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60BB" w:rsidDel="000F60BB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0F062EB" w14:textId="4977D867" w:rsidR="006635AE" w:rsidRPr="00881455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TESTING OF DELIVERABLES</w:t>
      </w:r>
    </w:p>
    <w:p w14:paraId="35EEE061" w14:textId="77777777" w:rsidR="000F60BB" w:rsidRPr="00212484" w:rsidRDefault="000F60BB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12484">
        <w:rPr>
          <w:rFonts w:ascii="Arial" w:hAnsi="Arial" w:cs="Arial"/>
          <w:b/>
          <w:sz w:val="24"/>
          <w:szCs w:val="24"/>
        </w:rPr>
        <w:t>None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881455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>WARRANTY PERIOD</w:t>
      </w:r>
    </w:p>
    <w:p w14:paraId="4F073449" w14:textId="4B2B660A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="000F60BB">
        <w:rPr>
          <w:rFonts w:ascii="Arial" w:hAnsi="Arial" w:cs="Arial"/>
          <w:sz w:val="24"/>
          <w:szCs w:val="24"/>
        </w:rPr>
        <w:t>standard manufacturer’s warranty for all goods.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881455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81455"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A90FF42" w14:textId="77777777" w:rsidR="001D084D" w:rsidRPr="00B47EBC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77777777" w:rsidR="001D084D" w:rsidRPr="00B47EB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CALL-OFF CHARGES</w:t>
      </w:r>
    </w:p>
    <w:p w14:paraId="27792537" w14:textId="795D5D7C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</w:t>
      </w:r>
      <w:r w:rsidR="000F60BB">
        <w:rPr>
          <w:rFonts w:ascii="Arial" w:hAnsi="Arial" w:cs="Arial"/>
          <w:sz w:val="24"/>
          <w:szCs w:val="24"/>
        </w:rPr>
        <w:t xml:space="preserve"> – To be completed at Contract Award</w:t>
      </w:r>
    </w:p>
    <w:p w14:paraId="76E37876" w14:textId="77777777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580CF1" w:rsidDel="000434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63DA9A6" w14:textId="77777777" w:rsidR="001D084D" w:rsidRPr="00B47EB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6A21C4C" w14:textId="77777777" w:rsidR="001D084D" w:rsidRPr="00B47EB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REIMBURSABLE EXPENSES</w:t>
      </w:r>
    </w:p>
    <w:p w14:paraId="34246507" w14:textId="0ACFEBCF" w:rsidR="001D084D" w:rsidRPr="009F273E" w:rsidRDefault="000F60B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12484">
        <w:rPr>
          <w:rFonts w:ascii="Arial" w:hAnsi="Arial" w:cs="Arial"/>
          <w:sz w:val="24"/>
          <w:szCs w:val="24"/>
        </w:rPr>
        <w:t>None</w:t>
      </w:r>
    </w:p>
    <w:p w14:paraId="73449A14" w14:textId="77777777" w:rsidR="001D084D" w:rsidRPr="00B47EB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47EB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PAYMENT METHOD</w:t>
      </w:r>
    </w:p>
    <w:p w14:paraId="4A425793" w14:textId="5965A9DD" w:rsidR="000F60BB" w:rsidRPr="00212484" w:rsidRDefault="000F60BB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12484">
        <w:rPr>
          <w:rFonts w:ascii="Arial" w:hAnsi="Arial" w:cs="Arial"/>
          <w:sz w:val="24"/>
          <w:szCs w:val="24"/>
        </w:rPr>
        <w:t>Payment will be made via MoD’s internal requisition to pay process (CP&amp;F). Payment will be made thirty (30) days following receipt of valid invoice.</w:t>
      </w:r>
    </w:p>
    <w:p w14:paraId="2C326764" w14:textId="19F29F5B" w:rsidR="008E6826" w:rsidRDefault="008E6826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BD82706" w14:textId="3DF47843" w:rsidR="008E6826" w:rsidRDefault="008E6826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6B66699" w14:textId="2B051A38" w:rsidR="008E6826" w:rsidRDefault="008E6826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DCB9342" w14:textId="1C5195DC" w:rsidR="008E6826" w:rsidRDefault="008E6826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0EEE581" w14:textId="77777777" w:rsidR="008E6826" w:rsidRPr="000F60BB" w:rsidRDefault="008E6826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E267FE9" w14:textId="4735C917" w:rsidR="000F60BB" w:rsidRDefault="000F60BB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570516B" w14:textId="03C45DBB" w:rsidR="00881455" w:rsidRDefault="00881455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F4C8269" w14:textId="77777777" w:rsidR="00881455" w:rsidRPr="000F60BB" w:rsidRDefault="00881455" w:rsidP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14FC78F" w14:textId="296FDC8E" w:rsidR="004A4734" w:rsidRPr="009F273E" w:rsidRDefault="000F60B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0F60BB" w:rsidDel="000F60B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342FA50" w14:textId="65F3E227" w:rsidR="00B47EBC" w:rsidRPr="00B47EB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BUYER</w:t>
      </w:r>
      <w:r w:rsidR="00BC41BF" w:rsidRPr="00B47EBC">
        <w:rPr>
          <w:rFonts w:ascii="Arial" w:hAnsi="Arial" w:cs="Arial"/>
          <w:b/>
          <w:sz w:val="24"/>
          <w:szCs w:val="24"/>
        </w:rPr>
        <w:t>’S</w:t>
      </w:r>
      <w:r w:rsidRPr="00B47EBC">
        <w:rPr>
          <w:rFonts w:ascii="Arial" w:hAnsi="Arial" w:cs="Arial"/>
          <w:b/>
          <w:sz w:val="24"/>
          <w:szCs w:val="24"/>
        </w:rPr>
        <w:t xml:space="preserve"> INVOIC</w:t>
      </w:r>
      <w:r w:rsidR="00BC41BF" w:rsidRPr="00B47EBC">
        <w:rPr>
          <w:rFonts w:ascii="Arial" w:hAnsi="Arial" w:cs="Arial"/>
          <w:b/>
          <w:sz w:val="24"/>
          <w:szCs w:val="24"/>
        </w:rPr>
        <w:t>E</w:t>
      </w:r>
      <w:r w:rsidR="00B47EBC">
        <w:rPr>
          <w:rFonts w:ascii="Arial" w:hAnsi="Arial" w:cs="Arial"/>
          <w:b/>
          <w:sz w:val="24"/>
          <w:szCs w:val="24"/>
        </w:rPr>
        <w:t xml:space="preserve"> ADDRESS</w:t>
      </w:r>
    </w:p>
    <w:p w14:paraId="50DE8B86" w14:textId="5AF7F346" w:rsidR="000F60BB" w:rsidRDefault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CP &amp; F</w:t>
      </w:r>
      <w:r w:rsidR="00C4481D">
        <w:rPr>
          <w:rFonts w:ascii="Arial" w:hAnsi="Arial" w:cs="Arial"/>
          <w:sz w:val="24"/>
          <w:szCs w:val="24"/>
        </w:rPr>
        <w:t xml:space="preserve"> (submitted electronically through EXOSTAR)</w:t>
      </w:r>
    </w:p>
    <w:p w14:paraId="72203086" w14:textId="68474FCC" w:rsidR="000F60BB" w:rsidRDefault="000F60B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9F1753" w14:textId="62A068D2" w:rsidR="00B47EBC" w:rsidRPr="00B47EB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BUYER</w:t>
      </w:r>
      <w:r w:rsidR="00BC41BF" w:rsidRPr="00B47EBC">
        <w:rPr>
          <w:rFonts w:ascii="Arial" w:hAnsi="Arial" w:cs="Arial"/>
          <w:b/>
          <w:sz w:val="24"/>
          <w:szCs w:val="24"/>
        </w:rPr>
        <w:t>’S AUTHORISED REPRESENTATIVE</w:t>
      </w:r>
    </w:p>
    <w:p w14:paraId="79864EAF" w14:textId="61B6EFBF" w:rsidR="008B5AA5" w:rsidRPr="009F273E" w:rsidRDefault="006219F7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  <w:r w:rsidR="000C44FF" w:rsidDel="000C44F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08599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EB38C7" w14:textId="7CDB4655" w:rsidR="00B47EBC" w:rsidRPr="00B47EBC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BUYER</w:t>
      </w:r>
      <w:r w:rsidR="00BC41BF" w:rsidRPr="00B47EBC">
        <w:rPr>
          <w:rFonts w:ascii="Arial" w:hAnsi="Arial" w:cs="Arial"/>
          <w:b/>
          <w:sz w:val="24"/>
          <w:szCs w:val="24"/>
        </w:rPr>
        <w:t>’S ENVIRONMENTAL POLICY</w:t>
      </w:r>
    </w:p>
    <w:p w14:paraId="5DC27357" w14:textId="77777777" w:rsidR="000C44FF" w:rsidRPr="00212484" w:rsidRDefault="000C44F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12484">
        <w:rPr>
          <w:rFonts w:ascii="Arial" w:hAnsi="Arial" w:cs="Arial"/>
          <w:sz w:val="24"/>
          <w:szCs w:val="24"/>
        </w:rPr>
        <w:t>As per Call-Off Schedule 17 (MOD) Terms</w:t>
      </w:r>
    </w:p>
    <w:p w14:paraId="5F916F5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B99579C" w14:textId="4FB74C98" w:rsidR="00B47EBC" w:rsidRPr="00B47EB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BUYER</w:t>
      </w:r>
      <w:r w:rsidR="00BC41BF" w:rsidRPr="00B47EBC">
        <w:rPr>
          <w:rFonts w:ascii="Arial" w:hAnsi="Arial" w:cs="Arial"/>
          <w:b/>
          <w:sz w:val="24"/>
          <w:szCs w:val="24"/>
        </w:rPr>
        <w:t>’S SECURITY POLICY</w:t>
      </w:r>
    </w:p>
    <w:p w14:paraId="29173AAD" w14:textId="77777777" w:rsidR="000C44FF" w:rsidRPr="00212484" w:rsidRDefault="000C44F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12484">
        <w:rPr>
          <w:rFonts w:ascii="Arial" w:hAnsi="Arial" w:cs="Arial"/>
          <w:sz w:val="24"/>
          <w:szCs w:val="24"/>
        </w:rPr>
        <w:t>As per Call-Off Schedule 17 (MOD) TERMS</w:t>
      </w:r>
    </w:p>
    <w:p w14:paraId="62C5774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89C83C0" w14:textId="09AF5E44" w:rsidR="00B47EBC" w:rsidRPr="00B47EBC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SUPP</w:t>
      </w:r>
      <w:r w:rsidR="00BC41BF" w:rsidRPr="00B47EBC">
        <w:rPr>
          <w:rFonts w:ascii="Arial" w:hAnsi="Arial" w:cs="Arial"/>
          <w:b/>
          <w:sz w:val="24"/>
          <w:szCs w:val="24"/>
        </w:rPr>
        <w:t>LIER’S</w:t>
      </w:r>
      <w:r w:rsidR="00A340BA" w:rsidRPr="00B47EBC">
        <w:rPr>
          <w:rFonts w:ascii="Arial" w:hAnsi="Arial" w:cs="Arial"/>
          <w:b/>
          <w:sz w:val="24"/>
          <w:szCs w:val="24"/>
        </w:rPr>
        <w:t xml:space="preserve"> AUTHORISED REPRESENTATIVE</w:t>
      </w:r>
    </w:p>
    <w:p w14:paraId="0CC7FB94" w14:textId="546851AA" w:rsidR="008B5AA5" w:rsidRPr="00B47EBC" w:rsidRDefault="006219F7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108DDBE4" w14:textId="09CF13A0" w:rsidR="00B47EBC" w:rsidRPr="00B47EBC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SUPPLIER’S CONTRACT MANAGER</w:t>
      </w:r>
    </w:p>
    <w:p w14:paraId="30F2C8C4" w14:textId="7D0ECC7F" w:rsidR="008B4367" w:rsidRPr="00B47EBC" w:rsidRDefault="008B4367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7EBC">
        <w:rPr>
          <w:rFonts w:ascii="Arial" w:hAnsi="Arial" w:cs="Arial"/>
          <w:sz w:val="24"/>
          <w:szCs w:val="24"/>
        </w:rPr>
        <w:t>Supplier to provide if different from authorised representative.</w:t>
      </w:r>
    </w:p>
    <w:p w14:paraId="74AC4D0B" w14:textId="77777777" w:rsidR="006D0F65" w:rsidRPr="00B47EBC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544055C" w14:textId="0420B289" w:rsidR="00B47EBC" w:rsidRPr="00B47EB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PROGRESS REPORT FREQUENCY</w:t>
      </w:r>
    </w:p>
    <w:p w14:paraId="5C241C31" w14:textId="147AD367" w:rsidR="004A4734" w:rsidRPr="00B47EBC" w:rsidRDefault="0021248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7EBC">
        <w:rPr>
          <w:rFonts w:ascii="Arial" w:hAnsi="Arial" w:cs="Arial"/>
          <w:sz w:val="24"/>
          <w:szCs w:val="24"/>
        </w:rPr>
        <w:t>Weekly each Monday</w:t>
      </w:r>
      <w:r w:rsidR="00B47EBC">
        <w:rPr>
          <w:rFonts w:ascii="Arial" w:hAnsi="Arial" w:cs="Arial"/>
          <w:sz w:val="24"/>
          <w:szCs w:val="24"/>
        </w:rPr>
        <w:t>.</w:t>
      </w:r>
    </w:p>
    <w:p w14:paraId="705A644E" w14:textId="77777777" w:rsidR="004A4734" w:rsidRPr="00B47EB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DB2C0F7" w14:textId="27429A00" w:rsidR="00B47EBC" w:rsidRPr="00B47EB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PROGRESS MEETING FREQUENCY</w:t>
      </w:r>
    </w:p>
    <w:p w14:paraId="3528CFD3" w14:textId="61EDC436" w:rsidR="008B4367" w:rsidRPr="009F273E" w:rsidRDefault="0021248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7EBC">
        <w:rPr>
          <w:rFonts w:ascii="Arial" w:hAnsi="Arial" w:cs="Arial"/>
          <w:sz w:val="24"/>
          <w:szCs w:val="24"/>
        </w:rPr>
        <w:t>None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7777777" w:rsidR="004A4734" w:rsidRPr="00B47EB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KEY STAFF</w:t>
      </w:r>
    </w:p>
    <w:p w14:paraId="6633A9DE" w14:textId="77777777" w:rsidR="008B4367" w:rsidRDefault="008B436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B47EBC">
        <w:rPr>
          <w:rFonts w:ascii="Arial" w:hAnsi="Arial" w:cs="Arial"/>
          <w:sz w:val="24"/>
          <w:szCs w:val="24"/>
        </w:rPr>
        <w:t>Supplier details to be confirmed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B47EB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KEY SUBCONTRACTOR</w:t>
      </w:r>
      <w:r w:rsidR="00BC41BF" w:rsidRPr="00B47EBC">
        <w:rPr>
          <w:rFonts w:ascii="Arial" w:hAnsi="Arial" w:cs="Arial"/>
          <w:b/>
          <w:sz w:val="24"/>
          <w:szCs w:val="24"/>
        </w:rPr>
        <w:t>(</w:t>
      </w:r>
      <w:r w:rsidRPr="00B47EBC">
        <w:rPr>
          <w:rFonts w:ascii="Arial" w:hAnsi="Arial" w:cs="Arial"/>
          <w:b/>
          <w:sz w:val="24"/>
          <w:szCs w:val="24"/>
        </w:rPr>
        <w:t>S</w:t>
      </w:r>
      <w:r w:rsidR="00BC41BF" w:rsidRPr="00B47EBC">
        <w:rPr>
          <w:rFonts w:ascii="Arial" w:hAnsi="Arial" w:cs="Arial"/>
          <w:b/>
          <w:sz w:val="24"/>
          <w:szCs w:val="24"/>
        </w:rPr>
        <w:t>)</w:t>
      </w:r>
    </w:p>
    <w:p w14:paraId="1AD503A9" w14:textId="7A0FE603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73CB52" w14:textId="77777777" w:rsidR="000C44FF" w:rsidRPr="00B47EB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COM</w:t>
      </w:r>
      <w:r w:rsidR="00A340BA" w:rsidRPr="00B47EBC">
        <w:rPr>
          <w:rFonts w:ascii="Arial" w:hAnsi="Arial" w:cs="Arial"/>
          <w:b/>
          <w:sz w:val="24"/>
          <w:szCs w:val="24"/>
        </w:rPr>
        <w:t>MERCIALLY SENSITIVE INFORMATIO</w:t>
      </w:r>
      <w:r w:rsidR="000C44FF" w:rsidRPr="00B47EBC">
        <w:rPr>
          <w:rFonts w:ascii="Arial" w:hAnsi="Arial" w:cs="Arial"/>
          <w:b/>
          <w:sz w:val="24"/>
          <w:szCs w:val="24"/>
        </w:rPr>
        <w:t>N</w:t>
      </w:r>
    </w:p>
    <w:p w14:paraId="7B125AB6" w14:textId="6113D308" w:rsidR="004A4734" w:rsidRPr="009F273E" w:rsidRDefault="000C44F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of the </w:t>
      </w:r>
      <w:r w:rsidR="00A340BA">
        <w:rPr>
          <w:rFonts w:ascii="Arial" w:hAnsi="Arial" w:cs="Arial"/>
          <w:sz w:val="24"/>
          <w:szCs w:val="24"/>
        </w:rPr>
        <w:t>Supplier’s Commerc</w:t>
      </w:r>
      <w:r>
        <w:rPr>
          <w:rFonts w:ascii="Arial" w:hAnsi="Arial" w:cs="Arial"/>
          <w:sz w:val="24"/>
          <w:szCs w:val="24"/>
        </w:rPr>
        <w:t>ial Pricing</w:t>
      </w:r>
      <w:r w:rsidR="00CB39A4" w:rsidRPr="00563DA5">
        <w:rPr>
          <w:rFonts w:ascii="Arial" w:hAnsi="Arial" w:cs="Arial"/>
          <w:sz w:val="24"/>
          <w:szCs w:val="24"/>
        </w:rPr>
        <w:t xml:space="preserve">  </w:t>
      </w:r>
    </w:p>
    <w:p w14:paraId="0A2EE66A" w14:textId="77777777" w:rsidR="004A4734" w:rsidRPr="00B47EB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B47EBC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SERVICE CREDITS</w:t>
      </w:r>
    </w:p>
    <w:p w14:paraId="60FE628A" w14:textId="77777777" w:rsidR="000C44FF" w:rsidRPr="00B47EBC" w:rsidRDefault="000C44FF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7EBC">
        <w:rPr>
          <w:rFonts w:ascii="Arial" w:hAnsi="Arial" w:cs="Arial"/>
          <w:sz w:val="24"/>
          <w:szCs w:val="24"/>
        </w:rPr>
        <w:t>Not applicable</w:t>
      </w:r>
    </w:p>
    <w:p w14:paraId="34ACED3B" w14:textId="77777777" w:rsidR="002D516A" w:rsidRPr="00B47EBC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2FFC58F" w14:textId="1EC592C6" w:rsidR="000C44FF" w:rsidRPr="00B47EBC" w:rsidRDefault="00D24C81" w:rsidP="0072169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B47EBC">
        <w:rPr>
          <w:rFonts w:ascii="Arial" w:hAnsi="Arial" w:cs="Arial"/>
          <w:b/>
          <w:sz w:val="24"/>
          <w:szCs w:val="24"/>
        </w:rPr>
        <w:t>ADDITIONAL INSURANCES</w:t>
      </w:r>
    </w:p>
    <w:p w14:paraId="1E33CCEA" w14:textId="77777777" w:rsidR="000C44FF" w:rsidRPr="00212484" w:rsidRDefault="000C44FF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484">
        <w:rPr>
          <w:rFonts w:ascii="Arial" w:hAnsi="Arial" w:cs="Arial"/>
          <w:sz w:val="24"/>
          <w:szCs w:val="24"/>
        </w:rPr>
        <w:t>Not applicable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Pr="00B47EBC" w:rsidRDefault="008C1605" w:rsidP="00430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GUARANTEE</w:t>
      </w:r>
    </w:p>
    <w:p w14:paraId="6A18EBA5" w14:textId="5663E928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Pr="00B47EBC" w:rsidRDefault="00CB39A4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7EBC">
        <w:rPr>
          <w:rFonts w:ascii="Arial" w:hAnsi="Arial" w:cs="Arial"/>
          <w:b/>
          <w:sz w:val="24"/>
          <w:szCs w:val="24"/>
        </w:rPr>
        <w:t>SOCIAL VALUE COMMITMENT</w:t>
      </w:r>
    </w:p>
    <w:p w14:paraId="2D3E62EA" w14:textId="2A3F2E1F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82F379A" w14:textId="77777777" w:rsidR="003B6DBC" w:rsidRPr="00B47EBC" w:rsidRDefault="003B6DBC" w:rsidP="00B47EBC">
      <w:pPr>
        <w:spacing w:after="0" w:line="240" w:lineRule="auto"/>
        <w:jc w:val="both"/>
        <w:rPr>
          <w:rFonts w:ascii="Arial" w:hAnsi="Arial" w:cs="Arial"/>
          <w:color w:val="1F497D"/>
          <w:sz w:val="24"/>
          <w:szCs w:val="24"/>
          <w:highlight w:val="yellow"/>
        </w:rPr>
      </w:pPr>
      <w:r w:rsidRPr="00B47EBC">
        <w:rPr>
          <w:rFonts w:ascii="Arial" w:hAnsi="Arial" w:cs="Arial"/>
          <w:sz w:val="24"/>
          <w:szCs w:val="24"/>
        </w:rPr>
        <w:t>[</w:t>
      </w:r>
      <w:r w:rsidR="00E077F1" w:rsidRPr="00B47EBC">
        <w:rPr>
          <w:rFonts w:ascii="Arial" w:hAnsi="Arial" w:cs="Arial"/>
          <w:sz w:val="24"/>
          <w:szCs w:val="24"/>
        </w:rPr>
        <w:t>Buyer g</w:t>
      </w:r>
      <w:r w:rsidRPr="00B47EBC">
        <w:rPr>
          <w:rFonts w:ascii="Arial" w:hAnsi="Arial" w:cs="Arial"/>
          <w:sz w:val="24"/>
          <w:szCs w:val="24"/>
        </w:rPr>
        <w:t>uidance</w:t>
      </w:r>
      <w:r w:rsidR="00544956" w:rsidRPr="00B47EBC">
        <w:rPr>
          <w:rFonts w:ascii="Arial" w:hAnsi="Arial" w:cs="Arial"/>
          <w:sz w:val="24"/>
          <w:szCs w:val="24"/>
        </w:rPr>
        <w:t>:</w:t>
      </w:r>
      <w:r w:rsidRPr="00B47EBC">
        <w:rPr>
          <w:rFonts w:ascii="Arial" w:hAnsi="Arial" w:cs="Arial"/>
          <w:sz w:val="24"/>
          <w:szCs w:val="24"/>
        </w:rPr>
        <w:t xml:space="preserve"> execution by seal / deed where required by the Buyer].</w:t>
      </w:r>
    </w:p>
    <w:p w14:paraId="7674F465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7FD0C4A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714D4D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5353EE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6BAE9C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BA64FAD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4B936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621A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A9BA84D" w14:textId="77777777" w:rsidR="004A4734" w:rsidRDefault="004A4734">
      <w:pPr>
        <w:tabs>
          <w:tab w:val="left" w:pos="2257"/>
        </w:tabs>
        <w:spacing w:after="0" w:line="259" w:lineRule="auto"/>
      </w:pPr>
    </w:p>
    <w:p w14:paraId="20946585" w14:textId="77777777" w:rsidR="004A4734" w:rsidRDefault="004A4734">
      <w:pPr>
        <w:tabs>
          <w:tab w:val="left" w:pos="2257"/>
        </w:tabs>
        <w:spacing w:after="0" w:line="259" w:lineRule="auto"/>
      </w:pPr>
    </w:p>
    <w:p w14:paraId="78076718" w14:textId="77777777" w:rsidR="004A4734" w:rsidRDefault="004A4734">
      <w:pPr>
        <w:tabs>
          <w:tab w:val="left" w:pos="2257"/>
        </w:tabs>
        <w:spacing w:after="0" w:line="259" w:lineRule="auto"/>
      </w:pPr>
    </w:p>
    <w:p w14:paraId="4F0B045F" w14:textId="77777777" w:rsidR="004A4734" w:rsidRDefault="004A4734">
      <w:pPr>
        <w:tabs>
          <w:tab w:val="left" w:pos="2257"/>
        </w:tabs>
        <w:spacing w:after="0" w:line="259" w:lineRule="auto"/>
      </w:pPr>
    </w:p>
    <w:p w14:paraId="74B385B4" w14:textId="77777777" w:rsidR="004A4734" w:rsidRDefault="004A4734">
      <w:pPr>
        <w:tabs>
          <w:tab w:val="left" w:pos="2257"/>
        </w:tabs>
        <w:spacing w:after="0" w:line="259" w:lineRule="auto"/>
      </w:pPr>
    </w:p>
    <w:p w14:paraId="261D3863" w14:textId="77777777" w:rsidR="004A4734" w:rsidRDefault="004A4734">
      <w:pPr>
        <w:tabs>
          <w:tab w:val="left" w:pos="2257"/>
        </w:tabs>
        <w:spacing w:after="0" w:line="259" w:lineRule="auto"/>
      </w:pPr>
    </w:p>
    <w:p w14:paraId="4A08FA51" w14:textId="77777777" w:rsidR="004A4734" w:rsidRDefault="004A4734">
      <w:pPr>
        <w:tabs>
          <w:tab w:val="left" w:pos="2257"/>
        </w:tabs>
        <w:spacing w:after="0" w:line="259" w:lineRule="auto"/>
      </w:pPr>
    </w:p>
    <w:p w14:paraId="5577D2C9" w14:textId="77777777" w:rsidR="004A4734" w:rsidRDefault="004A4734">
      <w:pPr>
        <w:tabs>
          <w:tab w:val="left" w:pos="2257"/>
        </w:tabs>
        <w:spacing w:after="0" w:line="259" w:lineRule="auto"/>
      </w:pPr>
    </w:p>
    <w:p w14:paraId="70DE4F4B" w14:textId="77777777" w:rsidR="004A4734" w:rsidRDefault="004A4734">
      <w:pPr>
        <w:tabs>
          <w:tab w:val="left" w:pos="2257"/>
        </w:tabs>
        <w:spacing w:after="0" w:line="259" w:lineRule="auto"/>
      </w:pPr>
    </w:p>
    <w:p w14:paraId="1B94EE21" w14:textId="77777777" w:rsidR="004A4734" w:rsidRDefault="004A4734">
      <w:pPr>
        <w:tabs>
          <w:tab w:val="left" w:pos="2257"/>
        </w:tabs>
        <w:spacing w:after="0" w:line="259" w:lineRule="auto"/>
      </w:pPr>
    </w:p>
    <w:p w14:paraId="3B802175" w14:textId="77777777" w:rsidR="004A4734" w:rsidRDefault="004A4734">
      <w:pPr>
        <w:tabs>
          <w:tab w:val="left" w:pos="2257"/>
        </w:tabs>
        <w:spacing w:after="0" w:line="259" w:lineRule="auto"/>
      </w:pPr>
    </w:p>
    <w:p w14:paraId="3D906B8F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5CBCE" w16cex:dateUtc="2021-06-29T15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44F4A" w14:textId="77777777" w:rsidR="00C2561D" w:rsidRDefault="00C2561D">
      <w:pPr>
        <w:spacing w:after="0" w:line="240" w:lineRule="auto"/>
      </w:pPr>
      <w:r>
        <w:separator/>
      </w:r>
    </w:p>
  </w:endnote>
  <w:endnote w:type="continuationSeparator" w:id="0">
    <w:p w14:paraId="1785B189" w14:textId="77777777" w:rsidR="00C2561D" w:rsidRDefault="00C2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E34B" w14:textId="77777777" w:rsidR="000C44FF" w:rsidRPr="00623ED5" w:rsidRDefault="000C44FF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181D8D8E" w:rsidR="000C44FF" w:rsidRPr="00623ED5" w:rsidRDefault="000C44FF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</w:t>
    </w:r>
    <w:r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 w:rsidR="006219F7">
      <w:rPr>
        <w:rFonts w:ascii="Arial" w:hAnsi="Arial" w:cs="Arial"/>
        <w:noProof/>
        <w:sz w:val="20"/>
        <w:szCs w:val="20"/>
      </w:rPr>
      <w:t>3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0C44FF" w:rsidRPr="00623ED5" w:rsidRDefault="000C44FF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v3.2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55AD" w14:textId="77777777" w:rsidR="000C44FF" w:rsidRPr="008A7999" w:rsidRDefault="000C44FF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0C44FF" w:rsidRPr="00623ED5" w:rsidRDefault="000C44FF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0C44FF" w:rsidRPr="00623ED5" w:rsidRDefault="000C44FF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0C44FF" w:rsidRPr="00623ED5" w:rsidRDefault="000C44FF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84B4" w14:textId="77777777" w:rsidR="00C2561D" w:rsidRDefault="00C2561D">
      <w:pPr>
        <w:spacing w:after="0" w:line="240" w:lineRule="auto"/>
      </w:pPr>
      <w:r>
        <w:separator/>
      </w:r>
    </w:p>
  </w:footnote>
  <w:footnote w:type="continuationSeparator" w:id="0">
    <w:p w14:paraId="30CB7AE3" w14:textId="77777777" w:rsidR="00C2561D" w:rsidRDefault="00C2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CEA1" w14:textId="77777777" w:rsidR="000C44FF" w:rsidRPr="00623ED5" w:rsidRDefault="000C44FF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0C44FF" w:rsidRPr="00623ED5" w:rsidRDefault="000C44FF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4DA4" w14:textId="77777777" w:rsidR="000C44FF" w:rsidRPr="00623ED5" w:rsidRDefault="000C44FF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0C44FF" w:rsidRPr="00623ED5" w:rsidRDefault="000C44FF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B303B"/>
    <w:rsid w:val="000C44FF"/>
    <w:rsid w:val="000C6319"/>
    <w:rsid w:val="000C665A"/>
    <w:rsid w:val="000F60BB"/>
    <w:rsid w:val="00110B3B"/>
    <w:rsid w:val="00126B1A"/>
    <w:rsid w:val="001320FC"/>
    <w:rsid w:val="00162E55"/>
    <w:rsid w:val="00183C8E"/>
    <w:rsid w:val="0019744D"/>
    <w:rsid w:val="001D084D"/>
    <w:rsid w:val="001D1CA4"/>
    <w:rsid w:val="001E0368"/>
    <w:rsid w:val="001E4597"/>
    <w:rsid w:val="001F5BDD"/>
    <w:rsid w:val="00212484"/>
    <w:rsid w:val="00225271"/>
    <w:rsid w:val="002315F2"/>
    <w:rsid w:val="002322D4"/>
    <w:rsid w:val="00232CB2"/>
    <w:rsid w:val="00246BD7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676A4"/>
    <w:rsid w:val="00377A85"/>
    <w:rsid w:val="003809EC"/>
    <w:rsid w:val="003A2178"/>
    <w:rsid w:val="003B1167"/>
    <w:rsid w:val="003B6DBC"/>
    <w:rsid w:val="003C50AE"/>
    <w:rsid w:val="003D7714"/>
    <w:rsid w:val="003E0912"/>
    <w:rsid w:val="003E73F1"/>
    <w:rsid w:val="003E7CBB"/>
    <w:rsid w:val="003F3877"/>
    <w:rsid w:val="003F397E"/>
    <w:rsid w:val="003F4954"/>
    <w:rsid w:val="003F583A"/>
    <w:rsid w:val="00400E8E"/>
    <w:rsid w:val="00422D16"/>
    <w:rsid w:val="004304AB"/>
    <w:rsid w:val="0043710D"/>
    <w:rsid w:val="00463599"/>
    <w:rsid w:val="00475B07"/>
    <w:rsid w:val="00486B15"/>
    <w:rsid w:val="004A3795"/>
    <w:rsid w:val="004A4734"/>
    <w:rsid w:val="004B2DEC"/>
    <w:rsid w:val="004B7595"/>
    <w:rsid w:val="004F26E1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19F7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21690"/>
    <w:rsid w:val="00741E22"/>
    <w:rsid w:val="007619A9"/>
    <w:rsid w:val="00770631"/>
    <w:rsid w:val="007733CD"/>
    <w:rsid w:val="007763FC"/>
    <w:rsid w:val="00783044"/>
    <w:rsid w:val="007941E3"/>
    <w:rsid w:val="00796FC9"/>
    <w:rsid w:val="007C6148"/>
    <w:rsid w:val="007D2E98"/>
    <w:rsid w:val="00802637"/>
    <w:rsid w:val="00825518"/>
    <w:rsid w:val="00831729"/>
    <w:rsid w:val="00850788"/>
    <w:rsid w:val="00853A9B"/>
    <w:rsid w:val="008572AF"/>
    <w:rsid w:val="00873886"/>
    <w:rsid w:val="00881455"/>
    <w:rsid w:val="008861B9"/>
    <w:rsid w:val="008925D4"/>
    <w:rsid w:val="00895069"/>
    <w:rsid w:val="008A2560"/>
    <w:rsid w:val="008A7999"/>
    <w:rsid w:val="008B4367"/>
    <w:rsid w:val="008B5AA5"/>
    <w:rsid w:val="008B7262"/>
    <w:rsid w:val="008C1605"/>
    <w:rsid w:val="008C5D8E"/>
    <w:rsid w:val="008D4A20"/>
    <w:rsid w:val="008D5AF0"/>
    <w:rsid w:val="008D6250"/>
    <w:rsid w:val="008E3131"/>
    <w:rsid w:val="008E6826"/>
    <w:rsid w:val="0090151D"/>
    <w:rsid w:val="009437E0"/>
    <w:rsid w:val="00957E10"/>
    <w:rsid w:val="00957FC0"/>
    <w:rsid w:val="0096468C"/>
    <w:rsid w:val="00983172"/>
    <w:rsid w:val="00992643"/>
    <w:rsid w:val="009A32AB"/>
    <w:rsid w:val="009B0D98"/>
    <w:rsid w:val="009B52EA"/>
    <w:rsid w:val="009E0D6A"/>
    <w:rsid w:val="009F273E"/>
    <w:rsid w:val="009F27E0"/>
    <w:rsid w:val="00A33B01"/>
    <w:rsid w:val="00A340BA"/>
    <w:rsid w:val="00A4458B"/>
    <w:rsid w:val="00A56C49"/>
    <w:rsid w:val="00A621D7"/>
    <w:rsid w:val="00A70226"/>
    <w:rsid w:val="00A82F1C"/>
    <w:rsid w:val="00AA20E4"/>
    <w:rsid w:val="00AB0BC2"/>
    <w:rsid w:val="00AB4ED6"/>
    <w:rsid w:val="00AC0970"/>
    <w:rsid w:val="00AE585A"/>
    <w:rsid w:val="00AF770E"/>
    <w:rsid w:val="00B05637"/>
    <w:rsid w:val="00B16AD6"/>
    <w:rsid w:val="00B25F4F"/>
    <w:rsid w:val="00B47EBC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C2561D"/>
    <w:rsid w:val="00C41001"/>
    <w:rsid w:val="00C42BF4"/>
    <w:rsid w:val="00C4481D"/>
    <w:rsid w:val="00C54131"/>
    <w:rsid w:val="00C543F9"/>
    <w:rsid w:val="00C92729"/>
    <w:rsid w:val="00CB23C3"/>
    <w:rsid w:val="00CB39A4"/>
    <w:rsid w:val="00CD7897"/>
    <w:rsid w:val="00CE6859"/>
    <w:rsid w:val="00CF2A02"/>
    <w:rsid w:val="00D0532B"/>
    <w:rsid w:val="00D17FF8"/>
    <w:rsid w:val="00D2166E"/>
    <w:rsid w:val="00D24C81"/>
    <w:rsid w:val="00D3696B"/>
    <w:rsid w:val="00D409B8"/>
    <w:rsid w:val="00D500B0"/>
    <w:rsid w:val="00D51727"/>
    <w:rsid w:val="00D52B71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849F2"/>
    <w:rsid w:val="00E9588A"/>
    <w:rsid w:val="00EC0702"/>
    <w:rsid w:val="00ED3177"/>
    <w:rsid w:val="00ED3390"/>
    <w:rsid w:val="00ED6C41"/>
    <w:rsid w:val="00EE50C6"/>
    <w:rsid w:val="00F00201"/>
    <w:rsid w:val="00F255B3"/>
    <w:rsid w:val="00F36AB1"/>
    <w:rsid w:val="00F624A8"/>
    <w:rsid w:val="00F63402"/>
    <w:rsid w:val="00F914EA"/>
    <w:rsid w:val="00F91DD8"/>
    <w:rsid w:val="00F95350"/>
    <w:rsid w:val="00FB0503"/>
    <w:rsid w:val="00FB201C"/>
    <w:rsid w:val="00FB406A"/>
    <w:rsid w:val="00FB6C6C"/>
    <w:rsid w:val="00FB6CC0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5453-B1F6-41A1-A76A-34C898BB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2021-06-30T16:20:00Z</dcterms:created>
  <dcterms:modified xsi:type="dcterms:W3CDTF">2021-07-06T14:07:00Z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