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62C2" w14:textId="77777777" w:rsidR="00481CB2" w:rsidRPr="00061979" w:rsidRDefault="00481CB2">
      <w:pPr>
        <w:pStyle w:val="Title"/>
        <w:rPr>
          <w:rFonts w:ascii="Arial" w:hAnsi="Arial" w:cs="Arial"/>
          <w:b/>
          <w:bCs/>
          <w:sz w:val="22"/>
          <w:szCs w:val="22"/>
          <w:lang w:val="en-GB"/>
        </w:rPr>
      </w:pPr>
      <w:r w:rsidRPr="00061979">
        <w:rPr>
          <w:rFonts w:ascii="Arial" w:hAnsi="Arial" w:cs="Arial"/>
          <w:b/>
          <w:bCs/>
          <w:sz w:val="22"/>
          <w:szCs w:val="22"/>
          <w:lang w:val="en-GB"/>
        </w:rPr>
        <w:t xml:space="preserve">Request for Quotes </w:t>
      </w:r>
    </w:p>
    <w:p w14:paraId="7E7F62C3" w14:textId="53113BC6" w:rsidR="00A10484" w:rsidRPr="00061979" w:rsidRDefault="00207A32" w:rsidP="004F5BAE">
      <w:pPr>
        <w:pStyle w:val="Title"/>
        <w:tabs>
          <w:tab w:val="left" w:pos="7470"/>
          <w:tab w:val="right" w:pos="9360"/>
        </w:tabs>
        <w:rPr>
          <w:rFonts w:ascii="Arial" w:hAnsi="Arial" w:cs="Arial"/>
          <w:b/>
          <w:sz w:val="22"/>
          <w:szCs w:val="22"/>
        </w:rPr>
      </w:pPr>
      <w:r w:rsidRPr="00061979">
        <w:rPr>
          <w:rFonts w:ascii="Arial" w:hAnsi="Arial" w:cs="Arial"/>
          <w:b/>
          <w:sz w:val="22"/>
          <w:szCs w:val="22"/>
        </w:rPr>
        <w:t xml:space="preserve">Energy and Sustainability Support for the </w:t>
      </w:r>
      <w:r w:rsidR="005915A7" w:rsidRPr="00061979">
        <w:rPr>
          <w:rFonts w:ascii="Arial" w:hAnsi="Arial" w:cs="Arial"/>
          <w:b/>
          <w:sz w:val="22"/>
          <w:szCs w:val="22"/>
        </w:rPr>
        <w:t>Planning</w:t>
      </w:r>
      <w:r w:rsidR="000A0030" w:rsidRPr="00061979">
        <w:rPr>
          <w:rFonts w:ascii="Arial" w:hAnsi="Arial" w:cs="Arial"/>
          <w:b/>
          <w:sz w:val="22"/>
          <w:szCs w:val="22"/>
        </w:rPr>
        <w:t xml:space="preserve"> </w:t>
      </w:r>
      <w:r w:rsidR="004F5BAE" w:rsidRPr="00061979">
        <w:rPr>
          <w:rFonts w:ascii="Arial" w:hAnsi="Arial" w:cs="Arial"/>
          <w:b/>
          <w:sz w:val="22"/>
          <w:szCs w:val="22"/>
        </w:rPr>
        <w:t>Development Management team</w:t>
      </w:r>
      <w:r w:rsidR="004F5BAE" w:rsidRPr="00061979">
        <w:rPr>
          <w:rFonts w:ascii="Arial" w:hAnsi="Arial" w:cs="Arial"/>
          <w:b/>
          <w:sz w:val="22"/>
          <w:szCs w:val="22"/>
        </w:rPr>
        <w:tab/>
      </w:r>
      <w:r w:rsidR="004F5BAE" w:rsidRPr="00061979">
        <w:rPr>
          <w:rFonts w:ascii="Arial" w:hAnsi="Arial" w:cs="Arial"/>
          <w:b/>
          <w:sz w:val="22"/>
          <w:szCs w:val="22"/>
        </w:rPr>
        <w:tab/>
      </w:r>
    </w:p>
    <w:p w14:paraId="7E7F62C4" w14:textId="413E645B" w:rsidR="00207A32" w:rsidRPr="00061979" w:rsidRDefault="00207A32" w:rsidP="00207A32">
      <w:pPr>
        <w:pStyle w:val="Title"/>
        <w:rPr>
          <w:rFonts w:ascii="Arial" w:hAnsi="Arial" w:cs="Arial"/>
          <w:b/>
          <w:sz w:val="22"/>
          <w:szCs w:val="22"/>
        </w:rPr>
      </w:pPr>
      <w:r w:rsidRPr="00061979">
        <w:rPr>
          <w:rFonts w:ascii="Arial" w:hAnsi="Arial" w:cs="Arial"/>
          <w:b/>
          <w:bCs/>
          <w:sz w:val="22"/>
          <w:szCs w:val="22"/>
          <w:lang w:val="en-GB"/>
        </w:rPr>
        <w:t xml:space="preserve">Contract Period: </w:t>
      </w:r>
      <w:r w:rsidR="00DC77D1" w:rsidRPr="00061979">
        <w:rPr>
          <w:rFonts w:ascii="Arial" w:hAnsi="Arial" w:cs="Arial"/>
          <w:b/>
          <w:bCs/>
          <w:sz w:val="22"/>
          <w:szCs w:val="22"/>
          <w:lang w:val="en-GB"/>
        </w:rPr>
        <w:t>1</w:t>
      </w:r>
      <w:r w:rsidR="00275016" w:rsidRPr="00061979">
        <w:rPr>
          <w:rFonts w:ascii="Arial" w:hAnsi="Arial" w:cs="Arial"/>
          <w:b/>
          <w:bCs/>
          <w:sz w:val="22"/>
          <w:szCs w:val="22"/>
          <w:lang w:val="en-GB"/>
        </w:rPr>
        <w:t>0</w:t>
      </w:r>
      <w:r w:rsidR="00DC77D1" w:rsidRPr="00061979">
        <w:rPr>
          <w:rFonts w:ascii="Arial" w:hAnsi="Arial" w:cs="Arial"/>
          <w:b/>
          <w:bCs/>
          <w:sz w:val="22"/>
          <w:szCs w:val="22"/>
          <w:lang w:val="en-GB"/>
        </w:rPr>
        <w:t xml:space="preserve"> June 2023 to </w:t>
      </w:r>
      <w:r w:rsidR="00275016" w:rsidRPr="00061979">
        <w:rPr>
          <w:rFonts w:ascii="Arial" w:hAnsi="Arial" w:cs="Arial"/>
          <w:b/>
          <w:bCs/>
          <w:sz w:val="22"/>
          <w:szCs w:val="22"/>
          <w:lang w:val="en-GB"/>
        </w:rPr>
        <w:t>9</w:t>
      </w:r>
      <w:r w:rsidR="00CE024F" w:rsidRPr="00061979">
        <w:rPr>
          <w:rFonts w:ascii="Arial" w:hAnsi="Arial" w:cs="Arial"/>
          <w:b/>
          <w:bCs/>
          <w:sz w:val="22"/>
          <w:szCs w:val="22"/>
          <w:lang w:val="en-GB"/>
        </w:rPr>
        <w:t xml:space="preserve"> </w:t>
      </w:r>
      <w:r w:rsidR="00275016" w:rsidRPr="00061979">
        <w:rPr>
          <w:rFonts w:ascii="Arial" w:hAnsi="Arial" w:cs="Arial"/>
          <w:b/>
          <w:bCs/>
          <w:sz w:val="22"/>
          <w:szCs w:val="22"/>
          <w:lang w:val="en-GB"/>
        </w:rPr>
        <w:t>June 2025</w:t>
      </w:r>
      <w:r w:rsidR="00DC77D1" w:rsidRPr="00061979">
        <w:rPr>
          <w:rFonts w:ascii="Arial" w:hAnsi="Arial" w:cs="Arial"/>
          <w:b/>
          <w:bCs/>
          <w:sz w:val="22"/>
          <w:szCs w:val="22"/>
          <w:lang w:val="en-GB"/>
        </w:rPr>
        <w:t xml:space="preserve"> </w:t>
      </w:r>
    </w:p>
    <w:p w14:paraId="7E7F62C5" w14:textId="77777777" w:rsidR="00855982" w:rsidRPr="00061979" w:rsidRDefault="00D872AC" w:rsidP="00855982">
      <w:pPr>
        <w:pStyle w:val="Heading1"/>
        <w:rPr>
          <w:rFonts w:ascii="Arial" w:hAnsi="Arial" w:cs="Arial"/>
          <w:sz w:val="22"/>
          <w:szCs w:val="22"/>
        </w:rPr>
      </w:pPr>
      <w:r w:rsidRPr="00061979">
        <w:rPr>
          <w:rFonts w:ascii="Arial" w:hAnsi="Arial" w:cs="Arial"/>
          <w:sz w:val="22"/>
          <w:szCs w:val="22"/>
        </w:rPr>
        <w:t>Summary</w:t>
      </w:r>
    </w:p>
    <w:p w14:paraId="7E7F62C6" w14:textId="273C61FE" w:rsidR="00D872AC" w:rsidRPr="00061979" w:rsidRDefault="00D872AC" w:rsidP="00D872AC">
      <w:pPr>
        <w:pStyle w:val="Default"/>
        <w:numPr>
          <w:ilvl w:val="0"/>
          <w:numId w:val="30"/>
        </w:numPr>
        <w:ind w:left="567" w:hanging="567"/>
        <w:rPr>
          <w:rFonts w:ascii="Arial" w:hAnsi="Arial" w:cs="Arial"/>
          <w:sz w:val="22"/>
          <w:szCs w:val="22"/>
        </w:rPr>
      </w:pPr>
      <w:r w:rsidRPr="00061979">
        <w:rPr>
          <w:rFonts w:ascii="Arial" w:hAnsi="Arial" w:cs="Arial"/>
          <w:sz w:val="22"/>
          <w:szCs w:val="22"/>
        </w:rPr>
        <w:t xml:space="preserve">Lambeth are seeking to appoint a consultancy to provide support </w:t>
      </w:r>
      <w:r w:rsidR="004C2144" w:rsidRPr="00061979">
        <w:rPr>
          <w:rFonts w:ascii="Arial" w:hAnsi="Arial" w:cs="Arial"/>
          <w:sz w:val="22"/>
          <w:szCs w:val="22"/>
        </w:rPr>
        <w:t>to the P</w:t>
      </w:r>
      <w:r w:rsidR="001E581A" w:rsidRPr="00061979">
        <w:rPr>
          <w:rFonts w:ascii="Arial" w:hAnsi="Arial" w:cs="Arial"/>
          <w:sz w:val="22"/>
          <w:szCs w:val="22"/>
        </w:rPr>
        <w:t>lanning</w:t>
      </w:r>
      <w:r w:rsidR="00C74695" w:rsidRPr="00061979">
        <w:rPr>
          <w:rFonts w:ascii="Arial" w:hAnsi="Arial" w:cs="Arial"/>
          <w:sz w:val="22"/>
          <w:szCs w:val="22"/>
        </w:rPr>
        <w:t xml:space="preserve"> </w:t>
      </w:r>
      <w:r w:rsidR="00C465D6" w:rsidRPr="00061979">
        <w:rPr>
          <w:rFonts w:ascii="Arial" w:hAnsi="Arial" w:cs="Arial"/>
          <w:sz w:val="22"/>
          <w:szCs w:val="22"/>
        </w:rPr>
        <w:t xml:space="preserve">service </w:t>
      </w:r>
      <w:r w:rsidR="00E624C5" w:rsidRPr="00061979">
        <w:rPr>
          <w:rFonts w:ascii="Arial" w:hAnsi="Arial" w:cs="Arial"/>
          <w:sz w:val="22"/>
          <w:szCs w:val="22"/>
        </w:rPr>
        <w:t xml:space="preserve">for </w:t>
      </w:r>
      <w:r w:rsidR="00275016" w:rsidRPr="00061979">
        <w:rPr>
          <w:rFonts w:ascii="Arial" w:hAnsi="Arial" w:cs="Arial"/>
          <w:sz w:val="22"/>
          <w:szCs w:val="22"/>
        </w:rPr>
        <w:t>2</w:t>
      </w:r>
      <w:r w:rsidR="00E624C5" w:rsidRPr="00061979">
        <w:rPr>
          <w:rFonts w:ascii="Arial" w:hAnsi="Arial" w:cs="Arial"/>
          <w:sz w:val="22"/>
          <w:szCs w:val="22"/>
        </w:rPr>
        <w:t xml:space="preserve"> years.</w:t>
      </w:r>
      <w:r w:rsidR="001E581A" w:rsidRPr="00061979">
        <w:rPr>
          <w:rFonts w:ascii="Arial" w:hAnsi="Arial" w:cs="Arial"/>
          <w:sz w:val="22"/>
          <w:szCs w:val="22"/>
        </w:rPr>
        <w:t xml:space="preserve"> </w:t>
      </w:r>
      <w:r w:rsidR="00BA196C" w:rsidRPr="00061979">
        <w:rPr>
          <w:rFonts w:ascii="Arial" w:hAnsi="Arial" w:cs="Arial"/>
          <w:sz w:val="22"/>
          <w:szCs w:val="22"/>
        </w:rPr>
        <w:t>The support would be</w:t>
      </w:r>
      <w:r w:rsidR="001E581A" w:rsidRPr="00061979">
        <w:rPr>
          <w:rFonts w:ascii="Arial" w:hAnsi="Arial" w:cs="Arial"/>
          <w:sz w:val="22"/>
          <w:szCs w:val="22"/>
        </w:rPr>
        <w:t xml:space="preserve"> </w:t>
      </w:r>
      <w:r w:rsidRPr="00061979">
        <w:rPr>
          <w:rFonts w:ascii="Arial" w:hAnsi="Arial" w:cs="Arial"/>
          <w:sz w:val="22"/>
          <w:szCs w:val="22"/>
        </w:rPr>
        <w:t xml:space="preserve">primarily to </w:t>
      </w:r>
      <w:r w:rsidR="00C465D6" w:rsidRPr="00061979">
        <w:rPr>
          <w:rFonts w:ascii="Arial" w:hAnsi="Arial" w:cs="Arial"/>
          <w:sz w:val="22"/>
          <w:szCs w:val="22"/>
        </w:rPr>
        <w:t xml:space="preserve">the </w:t>
      </w:r>
      <w:r w:rsidRPr="00061979">
        <w:rPr>
          <w:rFonts w:ascii="Arial" w:hAnsi="Arial" w:cs="Arial"/>
          <w:sz w:val="22"/>
          <w:szCs w:val="22"/>
        </w:rPr>
        <w:t xml:space="preserve">Development Management </w:t>
      </w:r>
      <w:r w:rsidR="004C2144" w:rsidRPr="00061979">
        <w:rPr>
          <w:rFonts w:ascii="Arial" w:hAnsi="Arial" w:cs="Arial"/>
          <w:sz w:val="22"/>
          <w:szCs w:val="22"/>
        </w:rPr>
        <w:t xml:space="preserve">team </w:t>
      </w:r>
      <w:r w:rsidRPr="00061979">
        <w:rPr>
          <w:rFonts w:ascii="Arial" w:hAnsi="Arial" w:cs="Arial"/>
          <w:sz w:val="22"/>
          <w:szCs w:val="22"/>
        </w:rPr>
        <w:t>to enable it to deliver against its current planning policies and service delivery targets. Th</w:t>
      </w:r>
      <w:r w:rsidR="00F21061" w:rsidRPr="00061979">
        <w:rPr>
          <w:rFonts w:ascii="Arial" w:hAnsi="Arial" w:cs="Arial"/>
          <w:sz w:val="22"/>
          <w:szCs w:val="22"/>
        </w:rPr>
        <w:t>is</w:t>
      </w:r>
      <w:r w:rsidRPr="00061979">
        <w:rPr>
          <w:rFonts w:ascii="Arial" w:hAnsi="Arial" w:cs="Arial"/>
          <w:sz w:val="22"/>
          <w:szCs w:val="22"/>
        </w:rPr>
        <w:t xml:space="preserve"> support will comprise of assessment of energy and sustainability submissions that accompany relevant planning applications (excluding </w:t>
      </w:r>
      <w:r w:rsidR="00DC77D1" w:rsidRPr="00061979">
        <w:rPr>
          <w:rFonts w:ascii="Arial" w:hAnsi="Arial" w:cs="Arial"/>
          <w:sz w:val="22"/>
          <w:szCs w:val="22"/>
        </w:rPr>
        <w:t>pre-</w:t>
      </w:r>
      <w:r w:rsidRPr="00061979">
        <w:rPr>
          <w:rFonts w:ascii="Arial" w:hAnsi="Arial" w:cs="Arial"/>
          <w:sz w:val="22"/>
          <w:szCs w:val="22"/>
        </w:rPr>
        <w:t xml:space="preserve">applications </w:t>
      </w:r>
      <w:r w:rsidR="00DC77D1" w:rsidRPr="00061979">
        <w:rPr>
          <w:rFonts w:ascii="Arial" w:hAnsi="Arial" w:cs="Arial"/>
          <w:sz w:val="22"/>
          <w:szCs w:val="22"/>
        </w:rPr>
        <w:t>and those</w:t>
      </w:r>
      <w:r w:rsidRPr="00061979">
        <w:rPr>
          <w:rFonts w:ascii="Arial" w:hAnsi="Arial" w:cs="Arial"/>
          <w:sz w:val="22"/>
          <w:szCs w:val="22"/>
        </w:rPr>
        <w:t xml:space="preserve"> subject to Planning Performance Agreements) and condition/s106 discharge applications</w:t>
      </w:r>
      <w:r w:rsidR="00E5532D" w:rsidRPr="00061979">
        <w:rPr>
          <w:rFonts w:ascii="Arial" w:hAnsi="Arial" w:cs="Arial"/>
          <w:sz w:val="22"/>
          <w:szCs w:val="22"/>
        </w:rPr>
        <w:t>.</w:t>
      </w:r>
    </w:p>
    <w:p w14:paraId="7E7F62C7" w14:textId="77777777" w:rsidR="00D872AC" w:rsidRPr="00061979" w:rsidRDefault="00D872AC" w:rsidP="00D872AC">
      <w:pPr>
        <w:pStyle w:val="Default"/>
        <w:ind w:left="567" w:hanging="567"/>
        <w:rPr>
          <w:rFonts w:ascii="Arial" w:hAnsi="Arial" w:cs="Arial"/>
          <w:sz w:val="22"/>
          <w:szCs w:val="22"/>
        </w:rPr>
      </w:pPr>
    </w:p>
    <w:p w14:paraId="7E7F62C8" w14:textId="77777777" w:rsidR="00D872AC" w:rsidRPr="00061979" w:rsidRDefault="00D872AC" w:rsidP="00D872AC">
      <w:pPr>
        <w:pStyle w:val="Default"/>
        <w:numPr>
          <w:ilvl w:val="0"/>
          <w:numId w:val="30"/>
        </w:numPr>
        <w:ind w:left="567" w:hanging="567"/>
        <w:rPr>
          <w:rFonts w:ascii="Arial" w:hAnsi="Arial" w:cs="Arial"/>
          <w:sz w:val="22"/>
          <w:szCs w:val="22"/>
        </w:rPr>
      </w:pPr>
      <w:r w:rsidRPr="00061979">
        <w:rPr>
          <w:rFonts w:ascii="Arial" w:hAnsi="Arial" w:cs="Arial"/>
          <w:sz w:val="22"/>
          <w:szCs w:val="22"/>
        </w:rPr>
        <w:t>This brief sets out:</w:t>
      </w:r>
    </w:p>
    <w:p w14:paraId="7E7F62C9" w14:textId="77777777" w:rsidR="00D872AC" w:rsidRPr="00061979" w:rsidRDefault="00D872AC" w:rsidP="00675156">
      <w:pPr>
        <w:pStyle w:val="ListParagraph"/>
        <w:spacing w:after="0" w:line="240" w:lineRule="auto"/>
        <w:ind w:left="567" w:hanging="567"/>
        <w:rPr>
          <w:rFonts w:ascii="Arial" w:hAnsi="Arial" w:cs="Arial"/>
        </w:rPr>
      </w:pPr>
    </w:p>
    <w:p w14:paraId="2CA0962E" w14:textId="7148839B" w:rsidR="003957EF" w:rsidRPr="00061979" w:rsidRDefault="00D872AC" w:rsidP="00623D28">
      <w:pPr>
        <w:pStyle w:val="Default"/>
        <w:numPr>
          <w:ilvl w:val="1"/>
          <w:numId w:val="47"/>
        </w:numPr>
        <w:rPr>
          <w:rFonts w:ascii="Arial" w:hAnsi="Arial" w:cs="Arial"/>
          <w:sz w:val="22"/>
          <w:szCs w:val="22"/>
        </w:rPr>
      </w:pPr>
      <w:r w:rsidRPr="00061979">
        <w:rPr>
          <w:rFonts w:ascii="Arial" w:hAnsi="Arial" w:cs="Arial"/>
          <w:sz w:val="22"/>
          <w:szCs w:val="22"/>
        </w:rPr>
        <w:t>Context</w:t>
      </w:r>
      <w:r w:rsidR="005504C0" w:rsidRPr="00061979">
        <w:rPr>
          <w:rFonts w:ascii="Arial" w:hAnsi="Arial" w:cs="Arial"/>
          <w:sz w:val="22"/>
          <w:szCs w:val="22"/>
        </w:rPr>
        <w:t xml:space="preserve"> – the backg</w:t>
      </w:r>
      <w:r w:rsidR="00C3307F" w:rsidRPr="00061979">
        <w:rPr>
          <w:rFonts w:ascii="Arial" w:hAnsi="Arial" w:cs="Arial"/>
          <w:sz w:val="22"/>
          <w:szCs w:val="22"/>
        </w:rPr>
        <w:t>r</w:t>
      </w:r>
      <w:r w:rsidR="005504C0" w:rsidRPr="00061979">
        <w:rPr>
          <w:rFonts w:ascii="Arial" w:hAnsi="Arial" w:cs="Arial"/>
          <w:sz w:val="22"/>
          <w:szCs w:val="22"/>
        </w:rPr>
        <w:t xml:space="preserve">ound </w:t>
      </w:r>
      <w:r w:rsidR="004B7B2E" w:rsidRPr="00061979">
        <w:rPr>
          <w:rFonts w:ascii="Arial" w:hAnsi="Arial" w:cs="Arial"/>
          <w:sz w:val="22"/>
          <w:szCs w:val="22"/>
        </w:rPr>
        <w:t>and context of the opportunity</w:t>
      </w:r>
    </w:p>
    <w:p w14:paraId="7941BB52" w14:textId="76678D56" w:rsidR="00C3307F" w:rsidRPr="00061979" w:rsidRDefault="003957EF" w:rsidP="00623D28">
      <w:pPr>
        <w:pStyle w:val="Default"/>
        <w:numPr>
          <w:ilvl w:val="1"/>
          <w:numId w:val="47"/>
        </w:numPr>
        <w:rPr>
          <w:rFonts w:ascii="Arial" w:hAnsi="Arial" w:cs="Arial"/>
          <w:sz w:val="22"/>
          <w:szCs w:val="22"/>
        </w:rPr>
      </w:pPr>
      <w:r w:rsidRPr="00061979">
        <w:rPr>
          <w:rFonts w:ascii="Arial" w:hAnsi="Arial" w:cs="Arial"/>
          <w:sz w:val="22"/>
          <w:szCs w:val="22"/>
        </w:rPr>
        <w:t>Specification</w:t>
      </w:r>
      <w:r w:rsidR="00D872AC" w:rsidRPr="00061979">
        <w:rPr>
          <w:rFonts w:ascii="Arial" w:hAnsi="Arial" w:cs="Arial"/>
          <w:sz w:val="22"/>
          <w:szCs w:val="22"/>
        </w:rPr>
        <w:t xml:space="preserve"> </w:t>
      </w:r>
      <w:r w:rsidR="00C3307F" w:rsidRPr="00061979">
        <w:rPr>
          <w:rFonts w:ascii="Arial" w:hAnsi="Arial" w:cs="Arial"/>
          <w:sz w:val="22"/>
          <w:szCs w:val="22"/>
        </w:rPr>
        <w:t>–</w:t>
      </w:r>
      <w:r w:rsidR="004B7B2E" w:rsidRPr="00061979">
        <w:rPr>
          <w:rFonts w:ascii="Arial" w:hAnsi="Arial" w:cs="Arial"/>
          <w:sz w:val="22"/>
          <w:szCs w:val="22"/>
        </w:rPr>
        <w:t xml:space="preserve"> what</w:t>
      </w:r>
      <w:r w:rsidR="00C3307F" w:rsidRPr="00061979">
        <w:rPr>
          <w:rFonts w:ascii="Arial" w:hAnsi="Arial" w:cs="Arial"/>
          <w:sz w:val="22"/>
          <w:szCs w:val="22"/>
        </w:rPr>
        <w:t xml:space="preserve"> </w:t>
      </w:r>
      <w:r w:rsidR="004B7B2E" w:rsidRPr="00061979">
        <w:rPr>
          <w:rFonts w:ascii="Arial" w:hAnsi="Arial" w:cs="Arial"/>
          <w:sz w:val="22"/>
          <w:szCs w:val="22"/>
        </w:rPr>
        <w:t xml:space="preserve">we are looking </w:t>
      </w:r>
      <w:proofErr w:type="gramStart"/>
      <w:r w:rsidR="004B7B2E" w:rsidRPr="00061979">
        <w:rPr>
          <w:rFonts w:ascii="Arial" w:hAnsi="Arial" w:cs="Arial"/>
          <w:sz w:val="22"/>
          <w:szCs w:val="22"/>
        </w:rPr>
        <w:t>for</w:t>
      </w:r>
      <w:proofErr w:type="gramEnd"/>
    </w:p>
    <w:p w14:paraId="33439BA8" w14:textId="67045C3F" w:rsidR="00CA235F" w:rsidRPr="00061979" w:rsidRDefault="007A763D" w:rsidP="00623D28">
      <w:pPr>
        <w:pStyle w:val="Default"/>
        <w:numPr>
          <w:ilvl w:val="1"/>
          <w:numId w:val="47"/>
        </w:numPr>
        <w:rPr>
          <w:rFonts w:ascii="Arial" w:hAnsi="Arial" w:cs="Arial"/>
          <w:sz w:val="22"/>
          <w:szCs w:val="22"/>
        </w:rPr>
      </w:pPr>
      <w:r w:rsidRPr="00061979">
        <w:rPr>
          <w:rFonts w:ascii="Arial" w:hAnsi="Arial" w:cs="Arial"/>
          <w:sz w:val="22"/>
          <w:szCs w:val="22"/>
        </w:rPr>
        <w:t>T</w:t>
      </w:r>
      <w:r w:rsidR="00CA235F" w:rsidRPr="00061979">
        <w:rPr>
          <w:rFonts w:ascii="Arial" w:hAnsi="Arial" w:cs="Arial"/>
          <w:sz w:val="22"/>
          <w:szCs w:val="22"/>
        </w:rPr>
        <w:t>imescales</w:t>
      </w:r>
      <w:r w:rsidRPr="00061979">
        <w:rPr>
          <w:rFonts w:ascii="Arial" w:hAnsi="Arial" w:cs="Arial"/>
          <w:sz w:val="22"/>
          <w:szCs w:val="22"/>
        </w:rPr>
        <w:t xml:space="preserve"> </w:t>
      </w:r>
      <w:r w:rsidR="00FB4845" w:rsidRPr="00061979">
        <w:rPr>
          <w:rFonts w:ascii="Arial" w:hAnsi="Arial" w:cs="Arial"/>
          <w:sz w:val="22"/>
          <w:szCs w:val="22"/>
        </w:rPr>
        <w:t>–</w:t>
      </w:r>
      <w:r w:rsidRPr="00061979">
        <w:rPr>
          <w:rFonts w:ascii="Arial" w:hAnsi="Arial" w:cs="Arial"/>
          <w:sz w:val="22"/>
          <w:szCs w:val="22"/>
        </w:rPr>
        <w:t xml:space="preserve"> </w:t>
      </w:r>
      <w:r w:rsidR="00FB4845" w:rsidRPr="00061979">
        <w:rPr>
          <w:rFonts w:ascii="Arial" w:hAnsi="Arial" w:cs="Arial"/>
          <w:sz w:val="22"/>
          <w:szCs w:val="22"/>
        </w:rPr>
        <w:t>response deadlines</w:t>
      </w:r>
      <w:r w:rsidR="000C62BF" w:rsidRPr="00061979">
        <w:rPr>
          <w:rFonts w:ascii="Arial" w:hAnsi="Arial" w:cs="Arial"/>
          <w:sz w:val="22"/>
          <w:szCs w:val="22"/>
        </w:rPr>
        <w:t xml:space="preserve">, </w:t>
      </w:r>
      <w:r w:rsidR="00BA6C69" w:rsidRPr="00061979">
        <w:rPr>
          <w:rFonts w:ascii="Arial" w:hAnsi="Arial" w:cs="Arial"/>
          <w:sz w:val="22"/>
          <w:szCs w:val="22"/>
        </w:rPr>
        <w:t>evaluation timescales</w:t>
      </w:r>
      <w:r w:rsidR="000C62BF" w:rsidRPr="00061979">
        <w:rPr>
          <w:rFonts w:ascii="Arial" w:hAnsi="Arial" w:cs="Arial"/>
          <w:sz w:val="22"/>
          <w:szCs w:val="22"/>
        </w:rPr>
        <w:t>, and proposed start date</w:t>
      </w:r>
    </w:p>
    <w:p w14:paraId="7E7F62CB" w14:textId="53316995" w:rsidR="00D872AC" w:rsidRPr="00061979" w:rsidRDefault="007A763D" w:rsidP="00623D28">
      <w:pPr>
        <w:pStyle w:val="Default"/>
        <w:numPr>
          <w:ilvl w:val="1"/>
          <w:numId w:val="47"/>
        </w:numPr>
        <w:rPr>
          <w:rFonts w:ascii="Arial" w:hAnsi="Arial" w:cs="Arial"/>
          <w:sz w:val="22"/>
          <w:szCs w:val="22"/>
        </w:rPr>
      </w:pPr>
      <w:r w:rsidRPr="00061979">
        <w:rPr>
          <w:rFonts w:ascii="Arial" w:hAnsi="Arial" w:cs="Arial"/>
          <w:sz w:val="22"/>
          <w:szCs w:val="22"/>
        </w:rPr>
        <w:t xml:space="preserve">Tender Evaluation </w:t>
      </w:r>
      <w:r w:rsidR="00D872AC" w:rsidRPr="00061979">
        <w:rPr>
          <w:rFonts w:ascii="Arial" w:hAnsi="Arial" w:cs="Arial"/>
          <w:sz w:val="22"/>
          <w:szCs w:val="22"/>
        </w:rPr>
        <w:t xml:space="preserve">process </w:t>
      </w:r>
    </w:p>
    <w:p w14:paraId="7E7F62CC" w14:textId="77777777" w:rsidR="00D872AC" w:rsidRPr="00061979" w:rsidRDefault="00D872AC" w:rsidP="00D872AC">
      <w:pPr>
        <w:pStyle w:val="Default"/>
        <w:ind w:left="567" w:hanging="567"/>
        <w:rPr>
          <w:rFonts w:ascii="Arial" w:hAnsi="Arial" w:cs="Arial"/>
          <w:sz w:val="22"/>
          <w:szCs w:val="22"/>
        </w:rPr>
      </w:pPr>
    </w:p>
    <w:p w14:paraId="7E7F62CD" w14:textId="77777777" w:rsidR="00D872AC" w:rsidRPr="00061979" w:rsidRDefault="00D872AC" w:rsidP="00D872AC">
      <w:pPr>
        <w:pStyle w:val="Heading1"/>
        <w:ind w:left="567" w:hanging="567"/>
        <w:rPr>
          <w:rFonts w:ascii="Arial" w:hAnsi="Arial" w:cs="Arial"/>
          <w:sz w:val="22"/>
          <w:szCs w:val="22"/>
        </w:rPr>
      </w:pPr>
      <w:r w:rsidRPr="00061979">
        <w:rPr>
          <w:rFonts w:ascii="Arial" w:hAnsi="Arial" w:cs="Arial"/>
          <w:sz w:val="22"/>
          <w:szCs w:val="22"/>
        </w:rPr>
        <w:t>Context</w:t>
      </w:r>
    </w:p>
    <w:p w14:paraId="1BF753ED" w14:textId="29AC51B2" w:rsidR="00E8651C" w:rsidRPr="00061979" w:rsidRDefault="00A139E6" w:rsidP="00C52CA1">
      <w:pPr>
        <w:pStyle w:val="Default"/>
        <w:numPr>
          <w:ilvl w:val="0"/>
          <w:numId w:val="30"/>
        </w:numPr>
        <w:ind w:left="567" w:hanging="567"/>
        <w:rPr>
          <w:rFonts w:ascii="Arial" w:hAnsi="Arial" w:cs="Arial"/>
          <w:sz w:val="22"/>
          <w:szCs w:val="22"/>
        </w:rPr>
      </w:pPr>
      <w:r w:rsidRPr="00061979">
        <w:rPr>
          <w:rFonts w:ascii="Arial" w:hAnsi="Arial" w:cs="Arial"/>
          <w:sz w:val="22"/>
          <w:szCs w:val="22"/>
        </w:rPr>
        <w:t>Lambeth</w:t>
      </w:r>
      <w:r w:rsidR="00E8651C" w:rsidRPr="00061979">
        <w:rPr>
          <w:rFonts w:ascii="Arial" w:hAnsi="Arial" w:cs="Arial"/>
          <w:sz w:val="22"/>
          <w:szCs w:val="22"/>
        </w:rPr>
        <w:t xml:space="preserve"> was one of the first councils to declare a climate emergency.  Lambeth’s buildings are a physical embodiment of the Council’s commitment to sustainability, tackling and adapting to climate change. Lambeth is a central London authority that deals with a wide range of planning applications; ranging from large scale redevelopment projects in the London Plan designated Waterloo and Vauxhall opportunity areas; to estate renewal schemes; to residential extensions and alterations.</w:t>
      </w:r>
    </w:p>
    <w:p w14:paraId="5B2A279D" w14:textId="77777777" w:rsidR="00E8651C" w:rsidRPr="00061979" w:rsidRDefault="00E8651C" w:rsidP="005D6BBE">
      <w:pPr>
        <w:pStyle w:val="Default"/>
        <w:ind w:left="567"/>
        <w:rPr>
          <w:rFonts w:ascii="Arial" w:hAnsi="Arial" w:cs="Arial"/>
          <w:sz w:val="22"/>
          <w:szCs w:val="22"/>
        </w:rPr>
      </w:pPr>
    </w:p>
    <w:p w14:paraId="05920CCB" w14:textId="1496E433" w:rsidR="00E8651C" w:rsidRPr="00061979" w:rsidRDefault="00D872AC">
      <w:pPr>
        <w:pStyle w:val="Default"/>
        <w:numPr>
          <w:ilvl w:val="0"/>
          <w:numId w:val="30"/>
        </w:numPr>
        <w:ind w:left="567" w:hanging="567"/>
        <w:rPr>
          <w:rFonts w:ascii="Arial" w:hAnsi="Arial" w:cs="Arial"/>
          <w:sz w:val="22"/>
          <w:szCs w:val="22"/>
        </w:rPr>
      </w:pPr>
      <w:r w:rsidRPr="00061979">
        <w:rPr>
          <w:rFonts w:ascii="Arial" w:hAnsi="Arial" w:cs="Arial"/>
          <w:sz w:val="22"/>
          <w:szCs w:val="22"/>
        </w:rPr>
        <w:t xml:space="preserve">Lambeth Council, through the exercise of its Development Management function, seeks to ensure that future development within the borough achieves the highest standards of sustainable design and construction and subsequent operation.  </w:t>
      </w:r>
      <w:proofErr w:type="gramStart"/>
      <w:r w:rsidRPr="00061979">
        <w:rPr>
          <w:rFonts w:ascii="Arial" w:hAnsi="Arial" w:cs="Arial"/>
          <w:sz w:val="22"/>
          <w:szCs w:val="22"/>
        </w:rPr>
        <w:t>In particular</w:t>
      </w:r>
      <w:r w:rsidR="00A139E6" w:rsidRPr="00061979">
        <w:rPr>
          <w:rFonts w:ascii="Arial" w:hAnsi="Arial" w:cs="Arial"/>
          <w:sz w:val="22"/>
          <w:szCs w:val="22"/>
        </w:rPr>
        <w:t>,</w:t>
      </w:r>
      <w:r w:rsidRPr="00061979">
        <w:rPr>
          <w:rFonts w:ascii="Arial" w:hAnsi="Arial" w:cs="Arial"/>
          <w:sz w:val="22"/>
          <w:szCs w:val="22"/>
        </w:rPr>
        <w:t xml:space="preserve"> Lambeth</w:t>
      </w:r>
      <w:proofErr w:type="gramEnd"/>
      <w:r w:rsidRPr="00061979">
        <w:rPr>
          <w:rFonts w:ascii="Arial" w:hAnsi="Arial" w:cs="Arial"/>
          <w:sz w:val="22"/>
          <w:szCs w:val="22"/>
        </w:rPr>
        <w:t xml:space="preserve"> requires all major developments to achieve a reduction in carbon dioxide emissions in line with London Plan targets through energy efficient design, decentralised heat, cooling and power systems, and on-site renewable energy generation; and requires all other developments to achieve the maximum feasible reduction in carbon dioxide emissions through these measures.</w:t>
      </w:r>
    </w:p>
    <w:p w14:paraId="7DCB2D2D" w14:textId="77777777" w:rsidR="00AE54B3" w:rsidRPr="00061979" w:rsidRDefault="00AE54B3" w:rsidP="00AE54B3">
      <w:pPr>
        <w:pStyle w:val="Default"/>
        <w:ind w:left="567"/>
        <w:rPr>
          <w:rFonts w:ascii="Arial" w:hAnsi="Arial" w:cs="Arial"/>
          <w:sz w:val="22"/>
          <w:szCs w:val="22"/>
        </w:rPr>
      </w:pPr>
    </w:p>
    <w:p w14:paraId="7E7F62D6" w14:textId="20766401" w:rsidR="0062190C" w:rsidRPr="00061979" w:rsidRDefault="00D872AC" w:rsidP="008116BD">
      <w:pPr>
        <w:pStyle w:val="Default"/>
        <w:numPr>
          <w:ilvl w:val="0"/>
          <w:numId w:val="30"/>
        </w:numPr>
        <w:ind w:left="567" w:hanging="567"/>
        <w:rPr>
          <w:rFonts w:ascii="Arial" w:hAnsi="Arial" w:cs="Arial"/>
          <w:sz w:val="22"/>
          <w:szCs w:val="22"/>
        </w:rPr>
      </w:pPr>
      <w:r w:rsidRPr="00061979">
        <w:rPr>
          <w:rFonts w:ascii="Arial" w:hAnsi="Arial" w:cs="Arial"/>
          <w:sz w:val="22"/>
          <w:szCs w:val="22"/>
        </w:rPr>
        <w:t xml:space="preserve">Lambeth </w:t>
      </w:r>
      <w:r w:rsidR="0062190C" w:rsidRPr="00061979">
        <w:rPr>
          <w:rFonts w:ascii="Arial" w:hAnsi="Arial" w:cs="Arial"/>
          <w:sz w:val="22"/>
          <w:szCs w:val="22"/>
        </w:rPr>
        <w:t xml:space="preserve">referred </w:t>
      </w:r>
      <w:r w:rsidR="006A0846" w:rsidRPr="00061979">
        <w:rPr>
          <w:rFonts w:ascii="Arial" w:hAnsi="Arial" w:cs="Arial"/>
          <w:sz w:val="22"/>
          <w:szCs w:val="22"/>
        </w:rPr>
        <w:t>a</w:t>
      </w:r>
      <w:r w:rsidR="00DC77D1" w:rsidRPr="00061979">
        <w:rPr>
          <w:rFonts w:ascii="Arial" w:hAnsi="Arial" w:cs="Arial"/>
          <w:sz w:val="22"/>
          <w:szCs w:val="22"/>
        </w:rPr>
        <w:t xml:space="preserve">pproximately 750 </w:t>
      </w:r>
      <w:r w:rsidR="0062190C" w:rsidRPr="00061979">
        <w:rPr>
          <w:rFonts w:ascii="Arial" w:hAnsi="Arial" w:cs="Arial"/>
          <w:sz w:val="22"/>
          <w:szCs w:val="22"/>
        </w:rPr>
        <w:t>applications for</w:t>
      </w:r>
      <w:r w:rsidRPr="00061979">
        <w:rPr>
          <w:rFonts w:ascii="Arial" w:hAnsi="Arial" w:cs="Arial"/>
          <w:sz w:val="22"/>
          <w:szCs w:val="22"/>
        </w:rPr>
        <w:t xml:space="preserve"> independent sustainability advice</w:t>
      </w:r>
      <w:r w:rsidR="00E84F2A" w:rsidRPr="00061979">
        <w:rPr>
          <w:rFonts w:ascii="Arial" w:hAnsi="Arial" w:cs="Arial"/>
          <w:sz w:val="22"/>
          <w:szCs w:val="22"/>
        </w:rPr>
        <w:t xml:space="preserve"> </w:t>
      </w:r>
      <w:r w:rsidR="00DC77D1" w:rsidRPr="00061979">
        <w:rPr>
          <w:rFonts w:ascii="Arial" w:hAnsi="Arial" w:cs="Arial"/>
          <w:sz w:val="22"/>
          <w:szCs w:val="22"/>
        </w:rPr>
        <w:t>over the last three years.  These</w:t>
      </w:r>
      <w:r w:rsidR="003E01A8" w:rsidRPr="00061979">
        <w:rPr>
          <w:rFonts w:ascii="Arial" w:hAnsi="Arial" w:cs="Arial"/>
          <w:sz w:val="22"/>
          <w:szCs w:val="22"/>
        </w:rPr>
        <w:t xml:space="preserve"> </w:t>
      </w:r>
      <w:r w:rsidR="0062190C" w:rsidRPr="00061979">
        <w:rPr>
          <w:rFonts w:ascii="Arial" w:hAnsi="Arial" w:cs="Arial"/>
          <w:sz w:val="22"/>
          <w:szCs w:val="22"/>
        </w:rPr>
        <w:t>were</w:t>
      </w:r>
      <w:r w:rsidR="005963FA" w:rsidRPr="00061979">
        <w:rPr>
          <w:rFonts w:ascii="Arial" w:hAnsi="Arial" w:cs="Arial"/>
          <w:sz w:val="22"/>
          <w:szCs w:val="22"/>
        </w:rPr>
        <w:t xml:space="preserve"> made up of:</w:t>
      </w:r>
    </w:p>
    <w:p w14:paraId="7E7F62D7" w14:textId="77777777" w:rsidR="005963FA" w:rsidRPr="00061979" w:rsidRDefault="005963FA" w:rsidP="005963FA">
      <w:pPr>
        <w:pStyle w:val="Default"/>
        <w:rPr>
          <w:rFonts w:ascii="Arial" w:hAnsi="Arial" w:cs="Arial"/>
          <w:sz w:val="22"/>
          <w:szCs w:val="22"/>
        </w:rPr>
      </w:pPr>
    </w:p>
    <w:p w14:paraId="7E7F62D8" w14:textId="31864B3F" w:rsidR="0062190C" w:rsidRPr="00061979" w:rsidRDefault="00DC77D1" w:rsidP="00623D28">
      <w:pPr>
        <w:pStyle w:val="Default"/>
        <w:numPr>
          <w:ilvl w:val="1"/>
          <w:numId w:val="46"/>
        </w:numPr>
        <w:rPr>
          <w:rFonts w:ascii="Arial" w:hAnsi="Arial" w:cs="Arial"/>
          <w:sz w:val="22"/>
          <w:szCs w:val="22"/>
        </w:rPr>
      </w:pPr>
      <w:r w:rsidRPr="00061979">
        <w:rPr>
          <w:rFonts w:ascii="Arial" w:hAnsi="Arial" w:cs="Arial"/>
          <w:sz w:val="22"/>
          <w:szCs w:val="22"/>
        </w:rPr>
        <w:t>18.5</w:t>
      </w:r>
      <w:r w:rsidR="007437B4" w:rsidRPr="00061979">
        <w:rPr>
          <w:rFonts w:ascii="Arial" w:hAnsi="Arial" w:cs="Arial"/>
          <w:sz w:val="22"/>
          <w:szCs w:val="22"/>
        </w:rPr>
        <w:t>%</w:t>
      </w:r>
      <w:r w:rsidR="00D872AC" w:rsidRPr="00061979">
        <w:rPr>
          <w:rFonts w:ascii="Arial" w:hAnsi="Arial" w:cs="Arial"/>
          <w:sz w:val="22"/>
          <w:szCs w:val="22"/>
        </w:rPr>
        <w:t xml:space="preserve"> Major </w:t>
      </w:r>
      <w:proofErr w:type="gramStart"/>
      <w:r w:rsidR="00D872AC" w:rsidRPr="00061979">
        <w:rPr>
          <w:rFonts w:ascii="Arial" w:hAnsi="Arial" w:cs="Arial"/>
          <w:sz w:val="22"/>
          <w:szCs w:val="22"/>
        </w:rPr>
        <w:t>applications</w:t>
      </w:r>
      <w:r w:rsidR="0062190C" w:rsidRPr="00061979">
        <w:rPr>
          <w:rFonts w:ascii="Arial" w:hAnsi="Arial" w:cs="Arial"/>
          <w:sz w:val="22"/>
          <w:szCs w:val="22"/>
        </w:rPr>
        <w:t>;</w:t>
      </w:r>
      <w:proofErr w:type="gramEnd"/>
    </w:p>
    <w:p w14:paraId="7E7F62D9" w14:textId="05CA1304" w:rsidR="0062190C" w:rsidRPr="00061979" w:rsidRDefault="00DC77D1" w:rsidP="00623D28">
      <w:pPr>
        <w:pStyle w:val="Default"/>
        <w:numPr>
          <w:ilvl w:val="1"/>
          <w:numId w:val="46"/>
        </w:numPr>
        <w:rPr>
          <w:rFonts w:ascii="Arial" w:hAnsi="Arial" w:cs="Arial"/>
          <w:sz w:val="22"/>
          <w:szCs w:val="22"/>
        </w:rPr>
      </w:pPr>
      <w:r w:rsidRPr="00061979">
        <w:rPr>
          <w:rFonts w:ascii="Arial" w:hAnsi="Arial" w:cs="Arial"/>
          <w:sz w:val="22"/>
          <w:szCs w:val="22"/>
        </w:rPr>
        <w:t>21</w:t>
      </w:r>
      <w:r w:rsidR="007437B4" w:rsidRPr="00061979">
        <w:rPr>
          <w:rFonts w:ascii="Arial" w:hAnsi="Arial" w:cs="Arial"/>
          <w:sz w:val="22"/>
          <w:szCs w:val="22"/>
        </w:rPr>
        <w:t>%</w:t>
      </w:r>
      <w:r w:rsidR="00D872AC" w:rsidRPr="00061979">
        <w:rPr>
          <w:rFonts w:ascii="Arial" w:hAnsi="Arial" w:cs="Arial"/>
          <w:sz w:val="22"/>
          <w:szCs w:val="22"/>
        </w:rPr>
        <w:t xml:space="preserve"> </w:t>
      </w:r>
      <w:proofErr w:type="gramStart"/>
      <w:r w:rsidR="000111C6" w:rsidRPr="00061979">
        <w:rPr>
          <w:rFonts w:ascii="Arial" w:hAnsi="Arial" w:cs="Arial"/>
          <w:sz w:val="22"/>
          <w:szCs w:val="22"/>
        </w:rPr>
        <w:t>M</w:t>
      </w:r>
      <w:r w:rsidR="00D872AC" w:rsidRPr="00061979">
        <w:rPr>
          <w:rFonts w:ascii="Arial" w:hAnsi="Arial" w:cs="Arial"/>
          <w:sz w:val="22"/>
          <w:szCs w:val="22"/>
        </w:rPr>
        <w:t>inor</w:t>
      </w:r>
      <w:r w:rsidR="0062190C" w:rsidRPr="00061979">
        <w:rPr>
          <w:rFonts w:ascii="Arial" w:hAnsi="Arial" w:cs="Arial"/>
          <w:sz w:val="22"/>
          <w:szCs w:val="22"/>
        </w:rPr>
        <w:t>;</w:t>
      </w:r>
      <w:proofErr w:type="gramEnd"/>
    </w:p>
    <w:p w14:paraId="7E7F62DA" w14:textId="25FD4D47" w:rsidR="0062190C" w:rsidRPr="00061979" w:rsidRDefault="00DC77D1" w:rsidP="00623D28">
      <w:pPr>
        <w:pStyle w:val="Default"/>
        <w:numPr>
          <w:ilvl w:val="1"/>
          <w:numId w:val="46"/>
        </w:numPr>
        <w:rPr>
          <w:rFonts w:ascii="Arial" w:hAnsi="Arial" w:cs="Arial"/>
          <w:sz w:val="22"/>
          <w:szCs w:val="22"/>
        </w:rPr>
      </w:pPr>
      <w:r w:rsidRPr="00061979">
        <w:rPr>
          <w:rFonts w:ascii="Arial" w:hAnsi="Arial" w:cs="Arial"/>
          <w:sz w:val="22"/>
          <w:szCs w:val="22"/>
        </w:rPr>
        <w:t>3.5</w:t>
      </w:r>
      <w:r w:rsidR="0062190C" w:rsidRPr="00061979">
        <w:rPr>
          <w:rFonts w:ascii="Arial" w:hAnsi="Arial" w:cs="Arial"/>
          <w:sz w:val="22"/>
          <w:szCs w:val="22"/>
        </w:rPr>
        <w:t>% ‘</w:t>
      </w:r>
      <w:r w:rsidR="000111C6" w:rsidRPr="00061979">
        <w:rPr>
          <w:rFonts w:ascii="Arial" w:hAnsi="Arial" w:cs="Arial"/>
          <w:sz w:val="22"/>
          <w:szCs w:val="22"/>
        </w:rPr>
        <w:t>O</w:t>
      </w:r>
      <w:r w:rsidR="0062190C" w:rsidRPr="00061979">
        <w:rPr>
          <w:rFonts w:ascii="Arial" w:hAnsi="Arial" w:cs="Arial"/>
          <w:sz w:val="22"/>
          <w:szCs w:val="22"/>
        </w:rPr>
        <w:t xml:space="preserve">ther’ </w:t>
      </w:r>
      <w:proofErr w:type="gramStart"/>
      <w:r w:rsidR="0062190C" w:rsidRPr="00061979">
        <w:rPr>
          <w:rFonts w:ascii="Arial" w:hAnsi="Arial" w:cs="Arial"/>
          <w:sz w:val="22"/>
          <w:szCs w:val="22"/>
        </w:rPr>
        <w:t>applications;</w:t>
      </w:r>
      <w:proofErr w:type="gramEnd"/>
    </w:p>
    <w:p w14:paraId="7E7F62DB" w14:textId="371DDD8D" w:rsidR="0062190C" w:rsidRPr="00061979" w:rsidRDefault="00DC77D1" w:rsidP="00623D28">
      <w:pPr>
        <w:pStyle w:val="Default"/>
        <w:numPr>
          <w:ilvl w:val="1"/>
          <w:numId w:val="46"/>
        </w:numPr>
        <w:rPr>
          <w:rFonts w:ascii="Arial" w:hAnsi="Arial" w:cs="Arial"/>
          <w:sz w:val="22"/>
          <w:szCs w:val="22"/>
        </w:rPr>
      </w:pPr>
      <w:r w:rsidRPr="00061979">
        <w:rPr>
          <w:rFonts w:ascii="Arial" w:hAnsi="Arial" w:cs="Arial"/>
          <w:sz w:val="22"/>
          <w:szCs w:val="22"/>
        </w:rPr>
        <w:t>53</w:t>
      </w:r>
      <w:r w:rsidR="0062190C" w:rsidRPr="00061979">
        <w:rPr>
          <w:rFonts w:ascii="Arial" w:hAnsi="Arial" w:cs="Arial"/>
          <w:sz w:val="22"/>
          <w:szCs w:val="22"/>
        </w:rPr>
        <w:t>%</w:t>
      </w:r>
      <w:r w:rsidR="007437B4" w:rsidRPr="00061979">
        <w:rPr>
          <w:rFonts w:ascii="Arial" w:hAnsi="Arial" w:cs="Arial"/>
          <w:sz w:val="22"/>
          <w:szCs w:val="22"/>
        </w:rPr>
        <w:t xml:space="preserve"> </w:t>
      </w:r>
      <w:r w:rsidR="006C606B" w:rsidRPr="00061979">
        <w:rPr>
          <w:rFonts w:ascii="Arial" w:hAnsi="Arial" w:cs="Arial"/>
          <w:sz w:val="22"/>
          <w:szCs w:val="22"/>
        </w:rPr>
        <w:t>D</w:t>
      </w:r>
      <w:r w:rsidR="00D872AC" w:rsidRPr="00061979">
        <w:rPr>
          <w:rFonts w:ascii="Arial" w:hAnsi="Arial" w:cs="Arial"/>
          <w:sz w:val="22"/>
          <w:szCs w:val="22"/>
        </w:rPr>
        <w:t>ischarge of condition applications</w:t>
      </w:r>
      <w:r w:rsidR="0062190C" w:rsidRPr="00061979">
        <w:rPr>
          <w:rFonts w:ascii="Arial" w:hAnsi="Arial" w:cs="Arial"/>
          <w:sz w:val="22"/>
          <w:szCs w:val="22"/>
        </w:rPr>
        <w:t>; and</w:t>
      </w:r>
    </w:p>
    <w:p w14:paraId="2A7942B0" w14:textId="77777777" w:rsidR="00275016" w:rsidRPr="00061979" w:rsidRDefault="005963FA" w:rsidP="00623D28">
      <w:pPr>
        <w:pStyle w:val="Default"/>
        <w:numPr>
          <w:ilvl w:val="1"/>
          <w:numId w:val="46"/>
        </w:numPr>
        <w:rPr>
          <w:rFonts w:ascii="Arial" w:hAnsi="Arial" w:cs="Arial"/>
          <w:sz w:val="22"/>
          <w:szCs w:val="22"/>
        </w:rPr>
      </w:pPr>
      <w:r w:rsidRPr="00061979">
        <w:rPr>
          <w:rFonts w:ascii="Arial" w:hAnsi="Arial" w:cs="Arial"/>
          <w:sz w:val="22"/>
          <w:szCs w:val="22"/>
        </w:rPr>
        <w:t>t</w:t>
      </w:r>
      <w:r w:rsidR="0062190C" w:rsidRPr="00061979">
        <w:rPr>
          <w:rFonts w:ascii="Arial" w:hAnsi="Arial" w:cs="Arial"/>
          <w:sz w:val="22"/>
          <w:szCs w:val="22"/>
        </w:rPr>
        <w:t xml:space="preserve">he remainder being </w:t>
      </w:r>
      <w:r w:rsidR="00DC77D1" w:rsidRPr="00061979">
        <w:rPr>
          <w:rFonts w:ascii="Arial" w:hAnsi="Arial" w:cs="Arial"/>
          <w:sz w:val="22"/>
          <w:szCs w:val="22"/>
        </w:rPr>
        <w:t xml:space="preserve">a mix of NMCs, EIA </w:t>
      </w:r>
      <w:proofErr w:type="spellStart"/>
      <w:r w:rsidR="00DC77D1" w:rsidRPr="00061979">
        <w:rPr>
          <w:rFonts w:ascii="Arial" w:hAnsi="Arial" w:cs="Arial"/>
          <w:sz w:val="22"/>
          <w:szCs w:val="22"/>
        </w:rPr>
        <w:t>scopings</w:t>
      </w:r>
      <w:proofErr w:type="spellEnd"/>
      <w:r w:rsidR="00DC77D1" w:rsidRPr="00061979">
        <w:rPr>
          <w:rFonts w:ascii="Arial" w:hAnsi="Arial" w:cs="Arial"/>
          <w:sz w:val="22"/>
          <w:szCs w:val="22"/>
        </w:rPr>
        <w:t xml:space="preserve">, Variations to S106 Agreements and </w:t>
      </w:r>
      <w:r w:rsidR="00275016" w:rsidRPr="00061979">
        <w:rPr>
          <w:rFonts w:ascii="Arial" w:hAnsi="Arial" w:cs="Arial"/>
          <w:sz w:val="22"/>
          <w:szCs w:val="22"/>
        </w:rPr>
        <w:t xml:space="preserve">Prior approvals.  </w:t>
      </w:r>
    </w:p>
    <w:p w14:paraId="7E7F62DC" w14:textId="6FDF2E9A" w:rsidR="0062190C" w:rsidRPr="00061979" w:rsidRDefault="00275016" w:rsidP="00623D28">
      <w:pPr>
        <w:pStyle w:val="Default"/>
        <w:numPr>
          <w:ilvl w:val="1"/>
          <w:numId w:val="46"/>
        </w:numPr>
        <w:rPr>
          <w:rFonts w:ascii="Arial" w:hAnsi="Arial" w:cs="Arial"/>
          <w:sz w:val="22"/>
          <w:szCs w:val="22"/>
        </w:rPr>
      </w:pPr>
      <w:r w:rsidRPr="00061979">
        <w:rPr>
          <w:rFonts w:ascii="Arial" w:hAnsi="Arial" w:cs="Arial"/>
          <w:sz w:val="22"/>
          <w:szCs w:val="22"/>
        </w:rPr>
        <w:lastRenderedPageBreak/>
        <w:t xml:space="preserve">The service has also received and obtain independent sustainability advice for 26 </w:t>
      </w:r>
      <w:r w:rsidR="0062190C" w:rsidRPr="00061979">
        <w:rPr>
          <w:rFonts w:ascii="Arial" w:hAnsi="Arial" w:cs="Arial"/>
          <w:sz w:val="22"/>
          <w:szCs w:val="22"/>
        </w:rPr>
        <w:t>pre-application requests</w:t>
      </w:r>
      <w:r w:rsidRPr="00061979">
        <w:rPr>
          <w:rFonts w:ascii="Arial" w:hAnsi="Arial" w:cs="Arial"/>
          <w:sz w:val="22"/>
          <w:szCs w:val="22"/>
        </w:rPr>
        <w:t xml:space="preserve"> in </w:t>
      </w:r>
      <w:r w:rsidR="004F5BAE" w:rsidRPr="00061979">
        <w:rPr>
          <w:rFonts w:ascii="Arial" w:hAnsi="Arial" w:cs="Arial"/>
          <w:sz w:val="22"/>
          <w:szCs w:val="22"/>
        </w:rPr>
        <w:t>the last</w:t>
      </w:r>
      <w:r w:rsidRPr="00061979">
        <w:rPr>
          <w:rFonts w:ascii="Arial" w:hAnsi="Arial" w:cs="Arial"/>
          <w:sz w:val="22"/>
          <w:szCs w:val="22"/>
        </w:rPr>
        <w:t xml:space="preserve"> </w:t>
      </w:r>
      <w:r w:rsidR="004F5BAE" w:rsidRPr="00061979">
        <w:rPr>
          <w:rFonts w:ascii="Arial" w:hAnsi="Arial" w:cs="Arial"/>
          <w:sz w:val="22"/>
          <w:szCs w:val="22"/>
        </w:rPr>
        <w:t>3-year</w:t>
      </w:r>
      <w:r w:rsidRPr="00061979">
        <w:rPr>
          <w:rFonts w:ascii="Arial" w:hAnsi="Arial" w:cs="Arial"/>
          <w:sz w:val="22"/>
          <w:szCs w:val="22"/>
        </w:rPr>
        <w:t xml:space="preserve"> period.</w:t>
      </w:r>
    </w:p>
    <w:p w14:paraId="7E7F62DD" w14:textId="77777777" w:rsidR="0062190C" w:rsidRPr="00061979" w:rsidRDefault="0062190C" w:rsidP="0062190C">
      <w:pPr>
        <w:pStyle w:val="Default"/>
        <w:rPr>
          <w:rFonts w:ascii="Arial" w:hAnsi="Arial" w:cs="Arial"/>
          <w:sz w:val="22"/>
          <w:szCs w:val="22"/>
        </w:rPr>
      </w:pPr>
    </w:p>
    <w:p w14:paraId="6FC69E50" w14:textId="7D7243F7" w:rsidR="004F3E22" w:rsidRPr="00061979" w:rsidRDefault="00275016" w:rsidP="0062190C">
      <w:pPr>
        <w:pStyle w:val="Default"/>
        <w:ind w:left="567"/>
        <w:rPr>
          <w:rFonts w:ascii="Arial" w:hAnsi="Arial" w:cs="Arial"/>
          <w:sz w:val="22"/>
          <w:szCs w:val="22"/>
        </w:rPr>
      </w:pPr>
      <w:bookmarkStart w:id="0" w:name="_Hlk133411419"/>
      <w:r w:rsidRPr="00061979">
        <w:rPr>
          <w:rFonts w:ascii="Arial" w:hAnsi="Arial" w:cs="Arial"/>
          <w:sz w:val="22"/>
          <w:szCs w:val="22"/>
        </w:rPr>
        <w:t>T</w:t>
      </w:r>
      <w:r w:rsidR="00967DCB" w:rsidRPr="00061979">
        <w:rPr>
          <w:rFonts w:ascii="Arial" w:hAnsi="Arial" w:cs="Arial"/>
          <w:sz w:val="22"/>
          <w:szCs w:val="22"/>
        </w:rPr>
        <w:t xml:space="preserve">he number of applications </w:t>
      </w:r>
      <w:r w:rsidR="00A27A1C" w:rsidRPr="00061979">
        <w:rPr>
          <w:rFonts w:ascii="Arial" w:hAnsi="Arial" w:cs="Arial"/>
          <w:sz w:val="22"/>
          <w:szCs w:val="22"/>
        </w:rPr>
        <w:t>previously referred</w:t>
      </w:r>
      <w:r w:rsidR="006A2C27" w:rsidRPr="00061979">
        <w:rPr>
          <w:rFonts w:ascii="Arial" w:hAnsi="Arial" w:cs="Arial"/>
          <w:sz w:val="22"/>
          <w:szCs w:val="22"/>
        </w:rPr>
        <w:t xml:space="preserve"> may be higher</w:t>
      </w:r>
      <w:r w:rsidR="001A263C" w:rsidRPr="00061979">
        <w:rPr>
          <w:rFonts w:ascii="Arial" w:hAnsi="Arial" w:cs="Arial"/>
          <w:sz w:val="22"/>
          <w:szCs w:val="22"/>
        </w:rPr>
        <w:t xml:space="preserve"> or lower</w:t>
      </w:r>
      <w:r w:rsidR="006A2C27" w:rsidRPr="00061979">
        <w:rPr>
          <w:rFonts w:ascii="Arial" w:hAnsi="Arial" w:cs="Arial"/>
          <w:sz w:val="22"/>
          <w:szCs w:val="22"/>
        </w:rPr>
        <w:t xml:space="preserve"> than that over </w:t>
      </w:r>
      <w:r w:rsidRPr="00061979">
        <w:rPr>
          <w:rFonts w:ascii="Arial" w:hAnsi="Arial" w:cs="Arial"/>
          <w:sz w:val="22"/>
          <w:szCs w:val="22"/>
        </w:rPr>
        <w:t>any</w:t>
      </w:r>
      <w:r w:rsidR="006A2C27" w:rsidRPr="00061979">
        <w:rPr>
          <w:rFonts w:ascii="Arial" w:hAnsi="Arial" w:cs="Arial"/>
          <w:sz w:val="22"/>
          <w:szCs w:val="22"/>
        </w:rPr>
        <w:t xml:space="preserve"> new contract period</w:t>
      </w:r>
      <w:r w:rsidR="001A263C" w:rsidRPr="00061979">
        <w:rPr>
          <w:rFonts w:ascii="Arial" w:hAnsi="Arial" w:cs="Arial"/>
          <w:sz w:val="22"/>
          <w:szCs w:val="22"/>
        </w:rPr>
        <w:t xml:space="preserve">. </w:t>
      </w:r>
      <w:r w:rsidRPr="00061979">
        <w:rPr>
          <w:rFonts w:ascii="Arial" w:hAnsi="Arial" w:cs="Arial"/>
          <w:sz w:val="22"/>
          <w:szCs w:val="22"/>
        </w:rPr>
        <w:t xml:space="preserve">The provision will not be </w:t>
      </w:r>
      <w:proofErr w:type="gramStart"/>
      <w:r w:rsidRPr="00061979">
        <w:rPr>
          <w:rFonts w:ascii="Arial" w:hAnsi="Arial" w:cs="Arial"/>
          <w:sz w:val="22"/>
          <w:szCs w:val="22"/>
        </w:rPr>
        <w:t>exclusive</w:t>
      </w:r>
      <w:proofErr w:type="gramEnd"/>
      <w:r w:rsidRPr="00061979">
        <w:rPr>
          <w:rFonts w:ascii="Arial" w:hAnsi="Arial" w:cs="Arial"/>
          <w:sz w:val="22"/>
          <w:szCs w:val="22"/>
        </w:rPr>
        <w:t xml:space="preserve"> and </w:t>
      </w:r>
      <w:r w:rsidR="00233DE7" w:rsidRPr="00061979">
        <w:rPr>
          <w:rFonts w:ascii="Arial" w:hAnsi="Arial" w:cs="Arial"/>
          <w:sz w:val="22"/>
          <w:szCs w:val="22"/>
        </w:rPr>
        <w:t xml:space="preserve">Lambeth may also </w:t>
      </w:r>
      <w:r w:rsidRPr="00061979">
        <w:rPr>
          <w:rFonts w:ascii="Arial" w:hAnsi="Arial" w:cs="Arial"/>
          <w:sz w:val="22"/>
          <w:szCs w:val="22"/>
        </w:rPr>
        <w:t>use</w:t>
      </w:r>
      <w:r w:rsidR="00233DE7" w:rsidRPr="00061979">
        <w:rPr>
          <w:rFonts w:ascii="Arial" w:hAnsi="Arial" w:cs="Arial"/>
          <w:sz w:val="22"/>
          <w:szCs w:val="22"/>
        </w:rPr>
        <w:t xml:space="preserve"> in-house capacity </w:t>
      </w:r>
      <w:r w:rsidR="00202F4C" w:rsidRPr="00061979">
        <w:rPr>
          <w:rFonts w:ascii="Arial" w:hAnsi="Arial" w:cs="Arial"/>
          <w:sz w:val="22"/>
          <w:szCs w:val="22"/>
        </w:rPr>
        <w:t>during the contract period</w:t>
      </w:r>
      <w:r w:rsidRPr="00061979">
        <w:rPr>
          <w:rFonts w:ascii="Arial" w:hAnsi="Arial" w:cs="Arial"/>
          <w:sz w:val="22"/>
          <w:szCs w:val="22"/>
        </w:rPr>
        <w:t xml:space="preserve"> and/or may from time to time procure a one-off service from other providers where time constraints or client request dictates.</w:t>
      </w:r>
    </w:p>
    <w:bookmarkEnd w:id="0"/>
    <w:p w14:paraId="6D9F187C" w14:textId="77777777" w:rsidR="004F3E22" w:rsidRPr="00061979" w:rsidRDefault="004F3E22" w:rsidP="0062190C">
      <w:pPr>
        <w:pStyle w:val="Default"/>
        <w:ind w:left="567"/>
        <w:rPr>
          <w:rFonts w:ascii="Arial" w:hAnsi="Arial" w:cs="Arial"/>
          <w:sz w:val="22"/>
          <w:szCs w:val="22"/>
        </w:rPr>
      </w:pPr>
    </w:p>
    <w:p w14:paraId="7E7F62DE" w14:textId="31B45149" w:rsidR="008116BD" w:rsidRPr="00061979" w:rsidRDefault="00D872AC" w:rsidP="0062190C">
      <w:pPr>
        <w:pStyle w:val="Default"/>
        <w:ind w:left="567"/>
        <w:rPr>
          <w:rFonts w:ascii="Arial" w:hAnsi="Arial" w:cs="Arial"/>
          <w:sz w:val="22"/>
          <w:szCs w:val="22"/>
        </w:rPr>
      </w:pPr>
      <w:r w:rsidRPr="00061979">
        <w:rPr>
          <w:rFonts w:ascii="Arial" w:hAnsi="Arial" w:cs="Arial"/>
          <w:sz w:val="22"/>
          <w:szCs w:val="22"/>
        </w:rPr>
        <w:t>The applications are of varying complexity. It should be noted that not all applications submitted to the council will include energy and sustainability submissions and not all applications including energy and sustainability submissions will necessarily be passed for external assessment.</w:t>
      </w:r>
    </w:p>
    <w:p w14:paraId="1971F42B" w14:textId="43B0E32C" w:rsidR="003063E2" w:rsidRPr="00061979" w:rsidRDefault="003063E2" w:rsidP="0062190C">
      <w:pPr>
        <w:pStyle w:val="Default"/>
        <w:ind w:left="567"/>
        <w:rPr>
          <w:rFonts w:ascii="Arial" w:hAnsi="Arial" w:cs="Arial"/>
          <w:sz w:val="22"/>
          <w:szCs w:val="22"/>
        </w:rPr>
      </w:pPr>
    </w:p>
    <w:p w14:paraId="7E7F62DF" w14:textId="77777777" w:rsidR="00683EB8" w:rsidRPr="00061979" w:rsidRDefault="00683EB8" w:rsidP="00BC375F">
      <w:pPr>
        <w:pStyle w:val="Default"/>
        <w:rPr>
          <w:rFonts w:ascii="Arial" w:hAnsi="Arial" w:cs="Arial"/>
          <w:sz w:val="22"/>
          <w:szCs w:val="22"/>
        </w:rPr>
      </w:pPr>
    </w:p>
    <w:p w14:paraId="7E7F62EA" w14:textId="10709D89" w:rsidR="00D872AC" w:rsidRPr="00061979" w:rsidRDefault="00FA28A6" w:rsidP="00D872AC">
      <w:pPr>
        <w:pStyle w:val="Heading1"/>
        <w:ind w:left="567" w:hanging="567"/>
        <w:rPr>
          <w:rFonts w:ascii="Arial" w:hAnsi="Arial" w:cs="Arial"/>
          <w:sz w:val="22"/>
          <w:szCs w:val="22"/>
        </w:rPr>
      </w:pPr>
      <w:r w:rsidRPr="00061979">
        <w:rPr>
          <w:rFonts w:ascii="Arial" w:hAnsi="Arial" w:cs="Arial"/>
          <w:sz w:val="22"/>
          <w:szCs w:val="22"/>
        </w:rPr>
        <w:t>Specification</w:t>
      </w:r>
    </w:p>
    <w:p w14:paraId="7E7F62EB" w14:textId="77777777" w:rsidR="00D872AC" w:rsidRPr="00061979" w:rsidRDefault="00D872AC" w:rsidP="00D872AC">
      <w:pPr>
        <w:pStyle w:val="Default"/>
        <w:ind w:left="567" w:hanging="567"/>
        <w:rPr>
          <w:rFonts w:ascii="Arial" w:hAnsi="Arial" w:cs="Arial"/>
          <w:sz w:val="22"/>
          <w:szCs w:val="22"/>
        </w:rPr>
      </w:pPr>
    </w:p>
    <w:p w14:paraId="0C76B1D5" w14:textId="4409E3FE" w:rsidR="005E129B" w:rsidRPr="00061979" w:rsidRDefault="001E7473" w:rsidP="00503C72">
      <w:pPr>
        <w:pStyle w:val="Default"/>
        <w:numPr>
          <w:ilvl w:val="0"/>
          <w:numId w:val="30"/>
        </w:numPr>
        <w:ind w:left="567" w:hanging="567"/>
        <w:rPr>
          <w:rFonts w:ascii="Arial" w:hAnsi="Arial" w:cs="Arial"/>
          <w:sz w:val="22"/>
          <w:szCs w:val="22"/>
        </w:rPr>
      </w:pPr>
      <w:bookmarkStart w:id="1" w:name="_Hlk133411224"/>
      <w:r w:rsidRPr="00061979">
        <w:rPr>
          <w:rFonts w:ascii="Arial" w:hAnsi="Arial" w:cs="Arial"/>
          <w:bCs/>
          <w:sz w:val="22"/>
          <w:szCs w:val="22"/>
        </w:rPr>
        <w:t>Lambeth are seeking to appoint a consultancy to provide support</w:t>
      </w:r>
      <w:r w:rsidR="002A5F4A" w:rsidRPr="00061979">
        <w:rPr>
          <w:rFonts w:ascii="Arial" w:hAnsi="Arial" w:cs="Arial"/>
          <w:bCs/>
          <w:sz w:val="22"/>
          <w:szCs w:val="22"/>
        </w:rPr>
        <w:t xml:space="preserve"> to</w:t>
      </w:r>
      <w:r w:rsidRPr="00061979">
        <w:rPr>
          <w:rFonts w:ascii="Arial" w:hAnsi="Arial" w:cs="Arial"/>
          <w:bCs/>
          <w:sz w:val="22"/>
          <w:szCs w:val="22"/>
        </w:rPr>
        <w:t xml:space="preserve"> its </w:t>
      </w:r>
      <w:r w:rsidR="00275016" w:rsidRPr="00061979">
        <w:rPr>
          <w:rFonts w:ascii="Arial" w:hAnsi="Arial" w:cs="Arial"/>
          <w:bCs/>
          <w:sz w:val="22"/>
          <w:szCs w:val="22"/>
        </w:rPr>
        <w:t>Development Management team.</w:t>
      </w:r>
    </w:p>
    <w:p w14:paraId="5AA741F6" w14:textId="7C4C708D" w:rsidR="001E7473" w:rsidRPr="00061979" w:rsidRDefault="001E7473" w:rsidP="00275016">
      <w:pPr>
        <w:pStyle w:val="Default"/>
        <w:rPr>
          <w:rFonts w:ascii="Arial" w:hAnsi="Arial" w:cs="Arial"/>
          <w:sz w:val="22"/>
          <w:szCs w:val="22"/>
        </w:rPr>
      </w:pPr>
    </w:p>
    <w:p w14:paraId="44E9354E" w14:textId="38566253" w:rsidR="00C0279F" w:rsidRPr="00061979" w:rsidRDefault="00C0279F" w:rsidP="005A690E">
      <w:pPr>
        <w:pStyle w:val="Default"/>
        <w:numPr>
          <w:ilvl w:val="0"/>
          <w:numId w:val="30"/>
        </w:numPr>
        <w:ind w:left="567" w:hanging="567"/>
        <w:rPr>
          <w:rFonts w:ascii="Arial" w:hAnsi="Arial" w:cs="Arial"/>
          <w:sz w:val="22"/>
          <w:szCs w:val="22"/>
        </w:rPr>
      </w:pPr>
      <w:r w:rsidRPr="00061979">
        <w:rPr>
          <w:rFonts w:ascii="Arial" w:hAnsi="Arial" w:cs="Arial"/>
          <w:sz w:val="22"/>
          <w:szCs w:val="22"/>
        </w:rPr>
        <w:t xml:space="preserve">This support will comprise of assessment of energy and sustainability submissions that accompany relevant planning applications (excluding applications which are subject to Planning Performance Agreements) and condition/s106 discharge applications. </w:t>
      </w:r>
    </w:p>
    <w:p w14:paraId="6506DF58" w14:textId="77777777" w:rsidR="00275016" w:rsidRPr="00061979" w:rsidRDefault="00275016" w:rsidP="00275016">
      <w:pPr>
        <w:pStyle w:val="Default"/>
        <w:rPr>
          <w:rFonts w:ascii="Arial" w:hAnsi="Arial" w:cs="Arial"/>
          <w:sz w:val="22"/>
          <w:szCs w:val="22"/>
        </w:rPr>
      </w:pPr>
    </w:p>
    <w:p w14:paraId="048C07B5" w14:textId="2ABD8DB0" w:rsidR="001E7473" w:rsidRPr="00061979" w:rsidRDefault="001E7473" w:rsidP="001E7473">
      <w:pPr>
        <w:pStyle w:val="Default"/>
        <w:numPr>
          <w:ilvl w:val="0"/>
          <w:numId w:val="30"/>
        </w:numPr>
        <w:ind w:left="567" w:hanging="567"/>
        <w:rPr>
          <w:rFonts w:ascii="Arial" w:hAnsi="Arial" w:cs="Arial"/>
          <w:sz w:val="22"/>
          <w:szCs w:val="22"/>
        </w:rPr>
      </w:pPr>
      <w:r w:rsidRPr="00061979">
        <w:rPr>
          <w:rFonts w:ascii="Arial" w:hAnsi="Arial" w:cs="Arial"/>
          <w:sz w:val="22"/>
          <w:szCs w:val="22"/>
        </w:rPr>
        <w:t xml:space="preserve">Following assessment, the Council will require you to advise on the degree of compliance with current planning policy requirements, on potential amendments that would further improve the performance of the developments and on suggested conditions and planning obligations that would ensure the delivery of the highest standards of sustainable design and construction and subsequent operation.  </w:t>
      </w:r>
      <w:r w:rsidR="00275016" w:rsidRPr="00061979">
        <w:rPr>
          <w:rFonts w:ascii="Arial" w:hAnsi="Arial" w:cs="Arial"/>
          <w:sz w:val="22"/>
          <w:szCs w:val="22"/>
        </w:rPr>
        <w:t xml:space="preserve">Timing of responses </w:t>
      </w:r>
      <w:r w:rsidRPr="00061979">
        <w:rPr>
          <w:rFonts w:ascii="Arial" w:hAnsi="Arial" w:cs="Arial"/>
          <w:sz w:val="22"/>
          <w:szCs w:val="22"/>
        </w:rPr>
        <w:t xml:space="preserve">to all consultations </w:t>
      </w:r>
      <w:r w:rsidR="00275016" w:rsidRPr="00061979">
        <w:rPr>
          <w:rFonts w:ascii="Arial" w:hAnsi="Arial" w:cs="Arial"/>
          <w:sz w:val="22"/>
          <w:szCs w:val="22"/>
        </w:rPr>
        <w:t>are</w:t>
      </w:r>
      <w:r w:rsidRPr="00061979">
        <w:rPr>
          <w:rFonts w:ascii="Arial" w:hAnsi="Arial" w:cs="Arial"/>
          <w:sz w:val="22"/>
          <w:szCs w:val="22"/>
        </w:rPr>
        <w:t xml:space="preserve"> expected to</w:t>
      </w:r>
      <w:r w:rsidR="00275016" w:rsidRPr="00061979">
        <w:rPr>
          <w:rFonts w:ascii="Arial" w:hAnsi="Arial" w:cs="Arial"/>
          <w:sz w:val="22"/>
          <w:szCs w:val="22"/>
        </w:rPr>
        <w:t xml:space="preserve"> be as swift as possible, to</w:t>
      </w:r>
      <w:r w:rsidRPr="00061979">
        <w:rPr>
          <w:rFonts w:ascii="Arial" w:hAnsi="Arial" w:cs="Arial"/>
          <w:sz w:val="22"/>
          <w:szCs w:val="22"/>
        </w:rPr>
        <w:t xml:space="preserve"> enable the </w:t>
      </w:r>
      <w:r w:rsidR="00B04736" w:rsidRPr="00061979">
        <w:rPr>
          <w:rFonts w:ascii="Arial" w:hAnsi="Arial" w:cs="Arial"/>
          <w:sz w:val="22"/>
          <w:szCs w:val="22"/>
        </w:rPr>
        <w:t>c</w:t>
      </w:r>
      <w:r w:rsidRPr="00061979">
        <w:rPr>
          <w:rFonts w:ascii="Arial" w:hAnsi="Arial" w:cs="Arial"/>
          <w:sz w:val="22"/>
          <w:szCs w:val="22"/>
        </w:rPr>
        <w:t>ouncil to deliver against its statutory planning application performance targets – 8 weeks for minor and other applications and 13 weeks for major applications</w:t>
      </w:r>
      <w:r w:rsidR="00275016" w:rsidRPr="00061979">
        <w:rPr>
          <w:rFonts w:ascii="Arial" w:hAnsi="Arial" w:cs="Arial"/>
          <w:sz w:val="22"/>
          <w:szCs w:val="22"/>
        </w:rPr>
        <w:t xml:space="preserve"> and should form part of your proposal.</w:t>
      </w:r>
    </w:p>
    <w:p w14:paraId="60C758D1" w14:textId="77777777" w:rsidR="001E7473" w:rsidRPr="00061979" w:rsidRDefault="001E7473" w:rsidP="000A6B2E">
      <w:pPr>
        <w:pStyle w:val="ListParagraph"/>
        <w:ind w:left="567"/>
        <w:rPr>
          <w:rFonts w:ascii="Arial" w:hAnsi="Arial" w:cs="Arial"/>
        </w:rPr>
      </w:pPr>
    </w:p>
    <w:p w14:paraId="7E7F62EC" w14:textId="10B77DD9" w:rsidR="00D872AC" w:rsidRPr="00061979" w:rsidRDefault="00D872AC" w:rsidP="00D872AC">
      <w:pPr>
        <w:pStyle w:val="ListParagraph"/>
        <w:numPr>
          <w:ilvl w:val="0"/>
          <w:numId w:val="30"/>
        </w:numPr>
        <w:ind w:left="567" w:hanging="567"/>
        <w:rPr>
          <w:rFonts w:ascii="Arial" w:hAnsi="Arial" w:cs="Arial"/>
        </w:rPr>
      </w:pPr>
      <w:r w:rsidRPr="00061979">
        <w:rPr>
          <w:rFonts w:ascii="Arial" w:hAnsi="Arial" w:cs="Arial"/>
        </w:rPr>
        <w:t>The selected contractor delivering the service will be required to collaborate</w:t>
      </w:r>
      <w:r w:rsidR="00207A32" w:rsidRPr="00061979">
        <w:rPr>
          <w:rFonts w:ascii="Arial" w:hAnsi="Arial" w:cs="Arial"/>
        </w:rPr>
        <w:t xml:space="preserve"> remotely</w:t>
      </w:r>
      <w:r w:rsidRPr="00061979">
        <w:rPr>
          <w:rFonts w:ascii="Arial" w:hAnsi="Arial" w:cs="Arial"/>
        </w:rPr>
        <w:t xml:space="preserve"> with officers within the Development Management service.</w:t>
      </w:r>
      <w:r w:rsidR="00207A32" w:rsidRPr="00061979">
        <w:rPr>
          <w:rFonts w:ascii="Arial" w:hAnsi="Arial" w:cs="Arial"/>
        </w:rPr>
        <w:t xml:space="preserve">  The provision will be for an off-site, electronic service.</w:t>
      </w:r>
      <w:r w:rsidR="00683EB8" w:rsidRPr="00061979">
        <w:rPr>
          <w:rFonts w:ascii="Arial" w:hAnsi="Arial" w:cs="Arial"/>
        </w:rPr>
        <w:t xml:space="preserve">  Meetings and site visits for more complex sites may also be required from time to time</w:t>
      </w:r>
      <w:r w:rsidR="00275016" w:rsidRPr="00061979">
        <w:rPr>
          <w:rFonts w:ascii="Arial" w:hAnsi="Arial" w:cs="Arial"/>
        </w:rPr>
        <w:t xml:space="preserve"> along with occasional attendance at the council’s Planning Applications Committee.</w:t>
      </w:r>
    </w:p>
    <w:p w14:paraId="7E7F62ED" w14:textId="77777777" w:rsidR="00D872AC" w:rsidRPr="00061979" w:rsidRDefault="00D872AC" w:rsidP="00D872AC">
      <w:pPr>
        <w:pStyle w:val="ListParagraph"/>
        <w:ind w:left="567" w:hanging="567"/>
        <w:rPr>
          <w:rFonts w:ascii="Arial" w:hAnsi="Arial" w:cs="Arial"/>
        </w:rPr>
      </w:pPr>
    </w:p>
    <w:p w14:paraId="7E7F62EE" w14:textId="534E9099" w:rsidR="00D872AC" w:rsidRPr="00061979" w:rsidRDefault="00D872AC" w:rsidP="00D872AC">
      <w:pPr>
        <w:pStyle w:val="ListParagraph"/>
        <w:numPr>
          <w:ilvl w:val="0"/>
          <w:numId w:val="30"/>
        </w:numPr>
        <w:ind w:left="567" w:hanging="567"/>
        <w:rPr>
          <w:rFonts w:ascii="Arial" w:hAnsi="Arial" w:cs="Arial"/>
        </w:rPr>
      </w:pPr>
      <w:r w:rsidRPr="00061979">
        <w:rPr>
          <w:rFonts w:ascii="Arial" w:hAnsi="Arial" w:cs="Arial"/>
          <w:lang w:val="en-GB"/>
        </w:rPr>
        <w:t xml:space="preserve">It is not possible to predict an exact workflow arising from planning applications. Lambeth will therefore require a degree of flexibility to account for peaks and troughs of submission, </w:t>
      </w:r>
      <w:proofErr w:type="gramStart"/>
      <w:r w:rsidRPr="00061979">
        <w:rPr>
          <w:rFonts w:ascii="Arial" w:hAnsi="Arial" w:cs="Arial"/>
          <w:lang w:val="en-GB"/>
        </w:rPr>
        <w:t>so as to</w:t>
      </w:r>
      <w:proofErr w:type="gramEnd"/>
      <w:r w:rsidRPr="00061979">
        <w:rPr>
          <w:rFonts w:ascii="Arial" w:hAnsi="Arial" w:cs="Arial"/>
          <w:lang w:val="en-GB"/>
        </w:rPr>
        <w:t xml:space="preserve"> ensure optimum service delivery.  The full value of the contract cannot however be exceeded in the </w:t>
      </w:r>
      <w:proofErr w:type="gramStart"/>
      <w:r w:rsidR="004F5BAE" w:rsidRPr="00061979">
        <w:rPr>
          <w:rFonts w:ascii="Arial" w:hAnsi="Arial" w:cs="Arial"/>
          <w:lang w:val="en-GB"/>
        </w:rPr>
        <w:t>2</w:t>
      </w:r>
      <w:r w:rsidRPr="00061979">
        <w:rPr>
          <w:rFonts w:ascii="Arial" w:hAnsi="Arial" w:cs="Arial"/>
          <w:lang w:val="en-GB"/>
        </w:rPr>
        <w:t xml:space="preserve"> year</w:t>
      </w:r>
      <w:proofErr w:type="gramEnd"/>
      <w:r w:rsidRPr="00061979">
        <w:rPr>
          <w:rFonts w:ascii="Arial" w:hAnsi="Arial" w:cs="Arial"/>
          <w:lang w:val="en-GB"/>
        </w:rPr>
        <w:t xml:space="preserve"> period. The cost of the contract will be monitored </w:t>
      </w:r>
      <w:proofErr w:type="gramStart"/>
      <w:r w:rsidRPr="00061979">
        <w:rPr>
          <w:rFonts w:ascii="Arial" w:hAnsi="Arial" w:cs="Arial"/>
          <w:lang w:val="en-GB"/>
        </w:rPr>
        <w:t>on a monthly basis</w:t>
      </w:r>
      <w:proofErr w:type="gramEnd"/>
      <w:r w:rsidRPr="00061979">
        <w:rPr>
          <w:rFonts w:ascii="Arial" w:hAnsi="Arial" w:cs="Arial"/>
          <w:lang w:val="en-GB"/>
        </w:rPr>
        <w:t>, along with the quality of advice being provided.</w:t>
      </w:r>
    </w:p>
    <w:p w14:paraId="7E7F62EF" w14:textId="77777777" w:rsidR="00520F6B" w:rsidRPr="00061979" w:rsidRDefault="00520F6B" w:rsidP="00520F6B">
      <w:pPr>
        <w:pStyle w:val="ListParagraph"/>
        <w:rPr>
          <w:rFonts w:ascii="Arial" w:hAnsi="Arial" w:cs="Arial"/>
        </w:rPr>
      </w:pPr>
    </w:p>
    <w:p w14:paraId="7E7F62F0" w14:textId="77777777" w:rsidR="003E01A8" w:rsidRPr="00061979" w:rsidRDefault="003E01A8" w:rsidP="003E01A8">
      <w:pPr>
        <w:pStyle w:val="ListParagraph"/>
        <w:numPr>
          <w:ilvl w:val="0"/>
          <w:numId w:val="30"/>
        </w:numPr>
        <w:autoSpaceDE w:val="0"/>
        <w:autoSpaceDN w:val="0"/>
        <w:adjustRightInd w:val="0"/>
        <w:spacing w:after="0" w:line="240" w:lineRule="auto"/>
        <w:ind w:left="567" w:hanging="567"/>
        <w:rPr>
          <w:rFonts w:ascii="Arial" w:hAnsi="Arial" w:cs="Arial"/>
          <w:color w:val="000000"/>
          <w:lang w:val="en-GB"/>
        </w:rPr>
      </w:pPr>
      <w:r w:rsidRPr="00061979">
        <w:rPr>
          <w:rFonts w:ascii="Arial" w:hAnsi="Arial" w:cs="Arial"/>
        </w:rPr>
        <w:t>Key outputs will include:</w:t>
      </w:r>
    </w:p>
    <w:p w14:paraId="7E7F62F1" w14:textId="77777777" w:rsidR="003E01A8" w:rsidRPr="00061979" w:rsidRDefault="003E01A8" w:rsidP="003E01A8">
      <w:pPr>
        <w:pStyle w:val="ListParagraph"/>
        <w:rPr>
          <w:rFonts w:ascii="Arial" w:hAnsi="Arial" w:cs="Arial"/>
          <w:color w:val="000000"/>
          <w:lang w:val="en-GB"/>
        </w:rPr>
      </w:pPr>
    </w:p>
    <w:p w14:paraId="7E7F62F2" w14:textId="77777777" w:rsidR="003E01A8" w:rsidRPr="00061979" w:rsidRDefault="003E01A8" w:rsidP="00623D28">
      <w:pPr>
        <w:pStyle w:val="ListParagraph"/>
        <w:numPr>
          <w:ilvl w:val="1"/>
          <w:numId w:val="50"/>
        </w:num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lastRenderedPageBreak/>
        <w:t>Assessment of the energy and sustainability submissions of planning applications for compliance with Lambeth Council and London Plan policy.</w:t>
      </w:r>
    </w:p>
    <w:p w14:paraId="7E7F62F3" w14:textId="77777777" w:rsidR="003E01A8" w:rsidRPr="00061979" w:rsidRDefault="003E01A8" w:rsidP="00623D28">
      <w:pPr>
        <w:pStyle w:val="ListParagraph"/>
        <w:numPr>
          <w:ilvl w:val="1"/>
          <w:numId w:val="50"/>
        </w:numPr>
        <w:autoSpaceDE w:val="0"/>
        <w:autoSpaceDN w:val="0"/>
        <w:adjustRightInd w:val="0"/>
        <w:spacing w:after="269" w:line="240" w:lineRule="auto"/>
        <w:rPr>
          <w:rFonts w:ascii="Arial" w:hAnsi="Arial" w:cs="Arial"/>
          <w:color w:val="000000"/>
          <w:lang w:val="en-GB"/>
        </w:rPr>
      </w:pPr>
      <w:r w:rsidRPr="00061979">
        <w:rPr>
          <w:rFonts w:ascii="Arial" w:hAnsi="Arial" w:cs="Arial"/>
          <w:color w:val="000000"/>
          <w:lang w:val="en-GB"/>
        </w:rPr>
        <w:t xml:space="preserve">Assessment of condition discharge and S106 discharge applications. </w:t>
      </w:r>
    </w:p>
    <w:p w14:paraId="7E7F62F4" w14:textId="77777777" w:rsidR="003E01A8" w:rsidRPr="00061979" w:rsidRDefault="003E01A8" w:rsidP="00623D28">
      <w:pPr>
        <w:pStyle w:val="ListParagraph"/>
        <w:numPr>
          <w:ilvl w:val="1"/>
          <w:numId w:val="50"/>
        </w:num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Input into the development of standard conditions for energy and sustainability. </w:t>
      </w:r>
    </w:p>
    <w:p w14:paraId="7E7F62F7" w14:textId="77777777" w:rsidR="003E01A8" w:rsidRPr="00061979" w:rsidRDefault="003E01A8" w:rsidP="00596D55">
      <w:pPr>
        <w:spacing w:after="0" w:line="240" w:lineRule="auto"/>
        <w:rPr>
          <w:rFonts w:ascii="Arial" w:hAnsi="Arial" w:cs="Arial"/>
        </w:rPr>
      </w:pPr>
    </w:p>
    <w:p w14:paraId="7E7F62F8" w14:textId="57E1FBBC" w:rsidR="003E01A8" w:rsidRPr="00061979" w:rsidRDefault="003E01A8" w:rsidP="003E01A8">
      <w:pPr>
        <w:pStyle w:val="ListParagraph"/>
        <w:numPr>
          <w:ilvl w:val="0"/>
          <w:numId w:val="30"/>
        </w:numPr>
        <w:ind w:left="567" w:hanging="567"/>
        <w:rPr>
          <w:rFonts w:ascii="Arial" w:hAnsi="Arial" w:cs="Arial"/>
        </w:rPr>
      </w:pPr>
      <w:r w:rsidRPr="00061979">
        <w:rPr>
          <w:rFonts w:ascii="Arial" w:hAnsi="Arial" w:cs="Arial"/>
        </w:rPr>
        <w:t xml:space="preserve">The types of applications requiring assessment will fall into </w:t>
      </w:r>
      <w:r w:rsidR="006B0119" w:rsidRPr="00061979">
        <w:rPr>
          <w:rFonts w:ascii="Arial" w:hAnsi="Arial" w:cs="Arial"/>
        </w:rPr>
        <w:t>5</w:t>
      </w:r>
      <w:r w:rsidRPr="00061979">
        <w:rPr>
          <w:rFonts w:ascii="Arial" w:hAnsi="Arial" w:cs="Arial"/>
        </w:rPr>
        <w:t xml:space="preserve"> main </w:t>
      </w:r>
      <w:r w:rsidR="004F5BAE" w:rsidRPr="00061979">
        <w:rPr>
          <w:rFonts w:ascii="Arial" w:hAnsi="Arial" w:cs="Arial"/>
        </w:rPr>
        <w:t>category</w:t>
      </w:r>
      <w:r w:rsidRPr="00061979">
        <w:rPr>
          <w:rFonts w:ascii="Arial" w:hAnsi="Arial" w:cs="Arial"/>
        </w:rPr>
        <w:t xml:space="preserve"> areas:</w:t>
      </w:r>
    </w:p>
    <w:p w14:paraId="337BFC8B" w14:textId="5F4368A3" w:rsidR="005A6E40" w:rsidRPr="00061979" w:rsidRDefault="003E01A8" w:rsidP="000E6D2F">
      <w:pPr>
        <w:spacing w:after="0" w:line="240" w:lineRule="auto"/>
        <w:ind w:left="567"/>
        <w:rPr>
          <w:rFonts w:ascii="Arial" w:hAnsi="Arial" w:cs="Arial"/>
        </w:rPr>
      </w:pPr>
      <w:r w:rsidRPr="00061979">
        <w:rPr>
          <w:rFonts w:ascii="Arial" w:hAnsi="Arial" w:cs="Arial"/>
        </w:rPr>
        <w:t>Major, Minor, Other</w:t>
      </w:r>
      <w:r w:rsidR="00E7446C" w:rsidRPr="00061979">
        <w:rPr>
          <w:rFonts w:ascii="Arial" w:hAnsi="Arial" w:cs="Arial"/>
        </w:rPr>
        <w:t xml:space="preserve">, </w:t>
      </w:r>
      <w:r w:rsidR="00EB2DB9" w:rsidRPr="00061979">
        <w:rPr>
          <w:rFonts w:ascii="Arial" w:hAnsi="Arial" w:cs="Arial"/>
        </w:rPr>
        <w:t xml:space="preserve">Discharge of </w:t>
      </w:r>
      <w:r w:rsidRPr="00061979">
        <w:rPr>
          <w:rFonts w:ascii="Arial" w:hAnsi="Arial" w:cs="Arial"/>
        </w:rPr>
        <w:t xml:space="preserve">Conditions </w:t>
      </w:r>
      <w:r w:rsidR="00EB2DB9" w:rsidRPr="00061979">
        <w:rPr>
          <w:rFonts w:ascii="Arial" w:hAnsi="Arial" w:cs="Arial"/>
        </w:rPr>
        <w:t>(Approval of details)</w:t>
      </w:r>
      <w:r w:rsidR="00E7446C" w:rsidRPr="00061979">
        <w:rPr>
          <w:rFonts w:ascii="Arial" w:hAnsi="Arial" w:cs="Arial"/>
        </w:rPr>
        <w:t xml:space="preserve">, and </w:t>
      </w:r>
      <w:r w:rsidR="00275016" w:rsidRPr="00061979">
        <w:rPr>
          <w:rFonts w:ascii="Arial" w:hAnsi="Arial" w:cs="Arial"/>
        </w:rPr>
        <w:t>EIA Scoping/screenings</w:t>
      </w:r>
      <w:r w:rsidR="00EB2DB9" w:rsidRPr="00061979">
        <w:rPr>
          <w:rFonts w:ascii="Arial" w:hAnsi="Arial" w:cs="Arial"/>
        </w:rPr>
        <w:t>.</w:t>
      </w:r>
      <w:r w:rsidRPr="00061979">
        <w:rPr>
          <w:rFonts w:ascii="Arial" w:hAnsi="Arial" w:cs="Arial"/>
        </w:rPr>
        <w:t xml:space="preserve">  </w:t>
      </w:r>
    </w:p>
    <w:p w14:paraId="58201348" w14:textId="77777777" w:rsidR="005A6E40" w:rsidRPr="00061979" w:rsidRDefault="005A6E40" w:rsidP="000E6D2F">
      <w:pPr>
        <w:spacing w:after="0" w:line="240" w:lineRule="auto"/>
        <w:ind w:left="567"/>
        <w:rPr>
          <w:rFonts w:ascii="Arial" w:hAnsi="Arial" w:cs="Arial"/>
        </w:rPr>
      </w:pPr>
    </w:p>
    <w:p w14:paraId="1F1AF70C" w14:textId="16F4B248" w:rsidR="000F5759" w:rsidRPr="00061979" w:rsidRDefault="000F5759" w:rsidP="0028052A">
      <w:pPr>
        <w:pStyle w:val="ListParagraph"/>
        <w:ind w:left="567"/>
        <w:rPr>
          <w:rFonts w:ascii="Arial" w:hAnsi="Arial" w:cs="Arial"/>
        </w:rPr>
      </w:pPr>
      <w:r w:rsidRPr="00061979">
        <w:rPr>
          <w:rFonts w:ascii="Arial" w:hAnsi="Arial" w:cs="Arial"/>
        </w:rPr>
        <w:t xml:space="preserve">Major, Minor and Other applications are </w:t>
      </w:r>
      <w:r w:rsidR="00757342" w:rsidRPr="00061979">
        <w:rPr>
          <w:rFonts w:ascii="Arial" w:hAnsi="Arial" w:cs="Arial"/>
        </w:rPr>
        <w:t xml:space="preserve">as </w:t>
      </w:r>
      <w:r w:rsidRPr="00061979">
        <w:rPr>
          <w:rFonts w:ascii="Arial" w:hAnsi="Arial" w:cs="Arial"/>
        </w:rPr>
        <w:t>defined in the MHCLG PS1, PS2 returns guide</w:t>
      </w:r>
      <w:r w:rsidR="005B7850" w:rsidRPr="00061979">
        <w:rPr>
          <w:rFonts w:ascii="Arial" w:hAnsi="Arial" w:cs="Arial"/>
        </w:rPr>
        <w:t>:</w:t>
      </w:r>
    </w:p>
    <w:bookmarkEnd w:id="1"/>
    <w:p w14:paraId="3E35B69A" w14:textId="77777777" w:rsidR="002F09D9" w:rsidRDefault="002F09D9" w:rsidP="002F09D9">
      <w:pPr>
        <w:ind w:left="567"/>
      </w:pPr>
      <w:r>
        <w:fldChar w:fldCharType="begin"/>
      </w:r>
      <w:r>
        <w:instrText xml:space="preserve"> HYPERLINK "https://eur03.safelinks.protection.outlook.com/?url=https%3A%2F%2Fwww.gov.uk%2Fgovernment%2Fpublications%2Fdistrict-planning-matters-return-ps1-and-ps2%2Fps1-and-ps2-district-planning-matters-return-guidance-notes%23appendix&amp;data=05%7C01%7CCNeal%40lambeth.gov.uk%7Cde6ba504a4bd43ebbb9108db47ff5966%7Cc4f22780485f4507af4a60a971d6f7fe%7C0%7C0%7C638182934260393594%7CUnknown%7CTWFpbGZsb3d8eyJWIjoiMC4wLjAwMDAiLCJQIjoiV2luMzIiLCJBTiI6Ik1haWwiLCJXVCI6Mn0%3D%7C3000%7C%7C%7C&amp;sdata=kOCcJ5kQC%2BtEmk%2Byl5IFFvuBvuu58i1gSCIZf63wPRg%3D&amp;reserved=0" </w:instrText>
      </w:r>
      <w:r>
        <w:fldChar w:fldCharType="separate"/>
      </w:r>
      <w:r>
        <w:rPr>
          <w:rStyle w:val="Hyperlink"/>
        </w:rPr>
        <w:t>https://www.gov.uk/government/publications/district-planning-matters-return-ps1-and-ps2/ps1-and-ps2-district-planning-matters-return-guidance-notes#appendix</w:t>
      </w:r>
      <w:r>
        <w:fldChar w:fldCharType="end"/>
      </w:r>
    </w:p>
    <w:p w14:paraId="4D66B41E" w14:textId="77777777" w:rsidR="000F5759" w:rsidRPr="00061979" w:rsidRDefault="000F5759" w:rsidP="005B7850">
      <w:pPr>
        <w:pStyle w:val="ListParagraph"/>
        <w:ind w:left="567"/>
        <w:rPr>
          <w:rFonts w:ascii="Arial" w:hAnsi="Arial" w:cs="Arial"/>
        </w:rPr>
      </w:pPr>
    </w:p>
    <w:p w14:paraId="53405270" w14:textId="606EADEE" w:rsidR="005A6E40" w:rsidRPr="00061979" w:rsidRDefault="003F6D54" w:rsidP="005A6E40">
      <w:pPr>
        <w:pStyle w:val="ListParagraph"/>
        <w:numPr>
          <w:ilvl w:val="0"/>
          <w:numId w:val="30"/>
        </w:numPr>
        <w:ind w:left="567" w:hanging="567"/>
        <w:rPr>
          <w:rFonts w:ascii="Arial" w:hAnsi="Arial" w:cs="Arial"/>
        </w:rPr>
      </w:pPr>
      <w:r w:rsidRPr="00061979">
        <w:rPr>
          <w:rFonts w:ascii="Arial" w:hAnsi="Arial" w:cs="Arial"/>
        </w:rPr>
        <w:t>Proposals should include an estimate of the average time to provide assessment on the 5 different application categor</w:t>
      </w:r>
      <w:r w:rsidR="00555169" w:rsidRPr="00061979">
        <w:rPr>
          <w:rFonts w:ascii="Arial" w:hAnsi="Arial" w:cs="Arial"/>
        </w:rPr>
        <w:t>ies</w:t>
      </w:r>
      <w:r w:rsidRPr="00061979">
        <w:rPr>
          <w:rFonts w:ascii="Arial" w:hAnsi="Arial" w:cs="Arial"/>
        </w:rPr>
        <w:t xml:space="preserve"> along with an hourly rate.</w:t>
      </w:r>
    </w:p>
    <w:p w14:paraId="0A3669F7" w14:textId="77777777" w:rsidR="00B60EC2" w:rsidRPr="00061979" w:rsidRDefault="00B60EC2" w:rsidP="008119FD">
      <w:pPr>
        <w:pStyle w:val="ListParagraph"/>
        <w:ind w:left="567"/>
        <w:rPr>
          <w:rFonts w:ascii="Arial" w:hAnsi="Arial" w:cs="Arial"/>
        </w:rPr>
      </w:pPr>
    </w:p>
    <w:p w14:paraId="4FCDE35C" w14:textId="13D3892A" w:rsidR="00AB6C64" w:rsidRPr="00061979" w:rsidRDefault="00386B6C" w:rsidP="00C013C6">
      <w:pPr>
        <w:pStyle w:val="ListParagraph"/>
        <w:numPr>
          <w:ilvl w:val="0"/>
          <w:numId w:val="30"/>
        </w:numPr>
        <w:spacing w:after="0" w:line="240" w:lineRule="auto"/>
        <w:ind w:left="567" w:hanging="567"/>
        <w:rPr>
          <w:rFonts w:ascii="Arial" w:hAnsi="Arial" w:cs="Arial"/>
        </w:rPr>
      </w:pPr>
      <w:r w:rsidRPr="00061979">
        <w:rPr>
          <w:rFonts w:ascii="Arial" w:hAnsi="Arial" w:cs="Arial"/>
        </w:rPr>
        <w:t xml:space="preserve">The selected contractors delivering the service </w:t>
      </w:r>
      <w:r w:rsidR="00275016" w:rsidRPr="00061979">
        <w:rPr>
          <w:rFonts w:ascii="Arial" w:hAnsi="Arial" w:cs="Arial"/>
        </w:rPr>
        <w:t xml:space="preserve">will </w:t>
      </w:r>
      <w:r w:rsidRPr="00061979">
        <w:rPr>
          <w:rFonts w:ascii="Arial" w:hAnsi="Arial" w:cs="Arial"/>
        </w:rPr>
        <w:t xml:space="preserve">be required to submit a detailed timesheet, including a breakdown of hours worked on each task, alongside their monthly invoice. Additionally, the supplier </w:t>
      </w:r>
      <w:r w:rsidR="00275016" w:rsidRPr="00061979">
        <w:rPr>
          <w:rFonts w:ascii="Arial" w:hAnsi="Arial" w:cs="Arial"/>
        </w:rPr>
        <w:t>will need to</w:t>
      </w:r>
      <w:r w:rsidRPr="00061979">
        <w:rPr>
          <w:rFonts w:ascii="Arial" w:hAnsi="Arial" w:cs="Arial"/>
        </w:rPr>
        <w:t xml:space="preserve"> provide a comprehensive breakdown of staff resources allocated to this project. </w:t>
      </w:r>
    </w:p>
    <w:p w14:paraId="243499AF" w14:textId="77777777" w:rsidR="00386B6C" w:rsidRPr="00061979" w:rsidRDefault="00386B6C" w:rsidP="00386B6C">
      <w:pPr>
        <w:pStyle w:val="ListParagraph"/>
        <w:rPr>
          <w:rFonts w:ascii="Arial" w:hAnsi="Arial" w:cs="Arial"/>
        </w:rPr>
      </w:pPr>
    </w:p>
    <w:p w14:paraId="1DBE2F98" w14:textId="77777777" w:rsidR="00386B6C" w:rsidRPr="00061979" w:rsidRDefault="00386B6C" w:rsidP="00386B6C">
      <w:pPr>
        <w:pStyle w:val="ListParagraph"/>
        <w:spacing w:after="0" w:line="240" w:lineRule="auto"/>
        <w:ind w:left="567"/>
        <w:rPr>
          <w:rFonts w:ascii="Arial" w:hAnsi="Arial" w:cs="Arial"/>
        </w:rPr>
      </w:pPr>
    </w:p>
    <w:p w14:paraId="5406ACFC" w14:textId="1E754828" w:rsidR="00B73459" w:rsidRPr="00061979" w:rsidRDefault="00B73459" w:rsidP="00B73459">
      <w:pPr>
        <w:pStyle w:val="ListParagraph"/>
        <w:ind w:left="567"/>
        <w:rPr>
          <w:rFonts w:ascii="Arial" w:hAnsi="Arial" w:cs="Arial"/>
          <w:b/>
          <w:bCs/>
        </w:rPr>
      </w:pPr>
      <w:r w:rsidRPr="00061979">
        <w:rPr>
          <w:rFonts w:ascii="Arial" w:hAnsi="Arial" w:cs="Arial"/>
          <w:b/>
          <w:bCs/>
        </w:rPr>
        <w:t>Your quote</w:t>
      </w:r>
    </w:p>
    <w:p w14:paraId="145DFAC1" w14:textId="77777777" w:rsidR="00B73459" w:rsidRPr="00061979" w:rsidRDefault="00B73459" w:rsidP="0010537E">
      <w:pPr>
        <w:pStyle w:val="ListParagraph"/>
        <w:ind w:left="567"/>
        <w:rPr>
          <w:rFonts w:ascii="Arial" w:hAnsi="Arial" w:cs="Arial"/>
          <w:b/>
          <w:bCs/>
        </w:rPr>
      </w:pPr>
    </w:p>
    <w:p w14:paraId="55609131" w14:textId="4783157A" w:rsidR="00A542AE" w:rsidRPr="00061979" w:rsidRDefault="00B73459" w:rsidP="005D6A89">
      <w:pPr>
        <w:pStyle w:val="ListParagraph"/>
        <w:numPr>
          <w:ilvl w:val="0"/>
          <w:numId w:val="30"/>
        </w:numPr>
        <w:ind w:left="567" w:hanging="567"/>
        <w:rPr>
          <w:rFonts w:ascii="Arial" w:hAnsi="Arial" w:cs="Arial"/>
        </w:rPr>
      </w:pPr>
      <w:r w:rsidRPr="00061979">
        <w:rPr>
          <w:rFonts w:ascii="Arial" w:hAnsi="Arial" w:cs="Arial"/>
        </w:rPr>
        <w:t xml:space="preserve">Proposals should cover the </w:t>
      </w:r>
      <w:r w:rsidR="004D282E" w:rsidRPr="00061979">
        <w:rPr>
          <w:rFonts w:ascii="Arial" w:hAnsi="Arial" w:cs="Arial"/>
        </w:rPr>
        <w:t xml:space="preserve">all the </w:t>
      </w:r>
      <w:r w:rsidRPr="00061979">
        <w:rPr>
          <w:rFonts w:ascii="Arial" w:hAnsi="Arial" w:cs="Arial"/>
        </w:rPr>
        <w:t xml:space="preserve">components identified in the </w:t>
      </w:r>
      <w:r w:rsidR="004D282E" w:rsidRPr="00061979">
        <w:rPr>
          <w:rFonts w:ascii="Arial" w:hAnsi="Arial" w:cs="Arial"/>
        </w:rPr>
        <w:t>specification</w:t>
      </w:r>
      <w:r w:rsidRPr="00061979">
        <w:rPr>
          <w:rFonts w:ascii="Arial" w:hAnsi="Arial" w:cs="Arial"/>
        </w:rPr>
        <w:t xml:space="preserve">.  It is recommended that proposals are kept to a maximum of </w:t>
      </w:r>
      <w:r w:rsidR="00275016" w:rsidRPr="00061979">
        <w:rPr>
          <w:rFonts w:ascii="Arial" w:hAnsi="Arial" w:cs="Arial"/>
        </w:rPr>
        <w:t xml:space="preserve">6 </w:t>
      </w:r>
      <w:r w:rsidRPr="00061979">
        <w:rPr>
          <w:rFonts w:ascii="Arial" w:hAnsi="Arial" w:cs="Arial"/>
        </w:rPr>
        <w:t>pages</w:t>
      </w:r>
      <w:r w:rsidR="00CE024F" w:rsidRPr="00061979">
        <w:rPr>
          <w:rFonts w:ascii="Arial" w:hAnsi="Arial" w:cs="Arial"/>
        </w:rPr>
        <w:t xml:space="preserve"> (using a minimum of font size 11, Arial – single line spacing)</w:t>
      </w:r>
      <w:r w:rsidRPr="00061979">
        <w:rPr>
          <w:rFonts w:ascii="Arial" w:hAnsi="Arial" w:cs="Arial"/>
        </w:rPr>
        <w:t>, excluding CVs.</w:t>
      </w:r>
    </w:p>
    <w:p w14:paraId="17F44D1B" w14:textId="77777777" w:rsidR="004D282E" w:rsidRPr="00061979" w:rsidRDefault="004D282E" w:rsidP="0010537E">
      <w:pPr>
        <w:pStyle w:val="ListParagraph"/>
        <w:ind w:left="567"/>
        <w:rPr>
          <w:rFonts w:ascii="Arial" w:hAnsi="Arial" w:cs="Arial"/>
        </w:rPr>
      </w:pPr>
    </w:p>
    <w:p w14:paraId="59EBF66E" w14:textId="72D93963" w:rsidR="004D282E" w:rsidRPr="00061979" w:rsidRDefault="004D282E" w:rsidP="005D6A89">
      <w:pPr>
        <w:pStyle w:val="ListParagraph"/>
        <w:numPr>
          <w:ilvl w:val="0"/>
          <w:numId w:val="30"/>
        </w:numPr>
        <w:ind w:left="567" w:hanging="567"/>
        <w:rPr>
          <w:rFonts w:ascii="Arial" w:hAnsi="Arial" w:cs="Arial"/>
        </w:rPr>
      </w:pPr>
      <w:r w:rsidRPr="00061979">
        <w:rPr>
          <w:rFonts w:ascii="Arial" w:hAnsi="Arial" w:cs="Arial"/>
        </w:rPr>
        <w:t xml:space="preserve">The proposals presented should not exceed £99,000 (excluding VAT) for </w:t>
      </w:r>
      <w:r w:rsidR="00275016" w:rsidRPr="00061979">
        <w:rPr>
          <w:rFonts w:ascii="Arial" w:hAnsi="Arial" w:cs="Arial"/>
        </w:rPr>
        <w:t xml:space="preserve">a </w:t>
      </w:r>
      <w:proofErr w:type="gramStart"/>
      <w:r w:rsidR="00275016" w:rsidRPr="00061979">
        <w:rPr>
          <w:rFonts w:ascii="Arial" w:hAnsi="Arial" w:cs="Arial"/>
        </w:rPr>
        <w:t xml:space="preserve">2 </w:t>
      </w:r>
      <w:r w:rsidRPr="00061979">
        <w:rPr>
          <w:rFonts w:ascii="Arial" w:hAnsi="Arial" w:cs="Arial"/>
        </w:rPr>
        <w:t>year</w:t>
      </w:r>
      <w:proofErr w:type="gramEnd"/>
      <w:r w:rsidRPr="00061979">
        <w:rPr>
          <w:rFonts w:ascii="Arial" w:hAnsi="Arial" w:cs="Arial"/>
        </w:rPr>
        <w:t xml:space="preserve"> period. Proposals that exceed that amount cannot be considered for an award.</w:t>
      </w:r>
    </w:p>
    <w:p w14:paraId="7E7F62FC" w14:textId="3B0DCE7D" w:rsidR="003E01A8" w:rsidRPr="00061979" w:rsidRDefault="00931D44" w:rsidP="000A6B2E">
      <w:pPr>
        <w:autoSpaceDE w:val="0"/>
        <w:autoSpaceDN w:val="0"/>
        <w:adjustRightInd w:val="0"/>
        <w:spacing w:after="0" w:line="240" w:lineRule="auto"/>
        <w:rPr>
          <w:rFonts w:ascii="Arial" w:hAnsi="Arial" w:cs="Arial"/>
          <w:color w:val="000000"/>
          <w:lang w:val="en-GB"/>
        </w:rPr>
      </w:pPr>
      <w:r w:rsidRPr="00061979">
        <w:rPr>
          <w:rFonts w:ascii="Arial" w:hAnsi="Arial" w:cs="Arial"/>
        </w:rPr>
        <w:t xml:space="preserve">  </w:t>
      </w:r>
    </w:p>
    <w:p w14:paraId="7E7F62FE" w14:textId="39D51F60" w:rsidR="00520F6B" w:rsidRPr="00061979" w:rsidRDefault="004E5791" w:rsidP="002813B1">
      <w:pPr>
        <w:pStyle w:val="Heading1"/>
        <w:ind w:left="567" w:hanging="567"/>
        <w:rPr>
          <w:rFonts w:ascii="Arial" w:hAnsi="Arial" w:cs="Arial"/>
          <w:sz w:val="22"/>
          <w:szCs w:val="22"/>
        </w:rPr>
      </w:pPr>
      <w:r w:rsidRPr="00061979">
        <w:rPr>
          <w:rFonts w:ascii="Arial" w:hAnsi="Arial" w:cs="Arial"/>
          <w:sz w:val="22"/>
          <w:szCs w:val="22"/>
        </w:rPr>
        <w:t>Timescales</w:t>
      </w:r>
    </w:p>
    <w:p w14:paraId="7E7F6302" w14:textId="18522D0F" w:rsidR="00520F6B" w:rsidRPr="00061979" w:rsidRDefault="00520F6B" w:rsidP="00520F6B">
      <w:pPr>
        <w:pStyle w:val="ListParagraph"/>
        <w:numPr>
          <w:ilvl w:val="0"/>
          <w:numId w:val="30"/>
        </w:numPr>
        <w:ind w:left="567" w:hanging="567"/>
        <w:rPr>
          <w:rFonts w:ascii="Arial" w:hAnsi="Arial" w:cs="Arial"/>
        </w:rPr>
      </w:pPr>
      <w:r w:rsidRPr="00061979">
        <w:rPr>
          <w:rFonts w:ascii="Arial" w:hAnsi="Arial" w:cs="Arial"/>
        </w:rPr>
        <w:t>A timetable for the selection process is detailed below:</w:t>
      </w:r>
    </w:p>
    <w:p w14:paraId="7E7F6303" w14:textId="1EE58AC6" w:rsidR="00520F6B" w:rsidRPr="00061979" w:rsidRDefault="00520F8C" w:rsidP="00061979">
      <w:pPr>
        <w:rPr>
          <w:rFonts w:ascii="Arial" w:hAnsi="Arial" w:cs="Arial"/>
        </w:rPr>
      </w:pPr>
      <w:r w:rsidRPr="00061979">
        <w:rPr>
          <w:rFonts w:ascii="Arial" w:hAnsi="Arial" w:cs="Arial"/>
          <w:b/>
          <w:bCs/>
        </w:rPr>
        <w:t>Table 1</w:t>
      </w:r>
    </w:p>
    <w:tbl>
      <w:tblPr>
        <w:tblStyle w:val="TableGrid"/>
        <w:tblW w:w="0" w:type="auto"/>
        <w:tblInd w:w="562" w:type="dxa"/>
        <w:tblLook w:val="04A0" w:firstRow="1" w:lastRow="0" w:firstColumn="1" w:lastColumn="0" w:noHBand="0" w:noVBand="1"/>
      </w:tblPr>
      <w:tblGrid>
        <w:gridCol w:w="2552"/>
        <w:gridCol w:w="3544"/>
        <w:gridCol w:w="2409"/>
      </w:tblGrid>
      <w:tr w:rsidR="00520F6B" w:rsidRPr="008A568A" w14:paraId="7E7F6307" w14:textId="77777777" w:rsidTr="009B48AC">
        <w:tc>
          <w:tcPr>
            <w:tcW w:w="2552" w:type="dxa"/>
          </w:tcPr>
          <w:p w14:paraId="7E7F6304" w14:textId="77777777" w:rsidR="00520F6B" w:rsidRPr="00061979" w:rsidRDefault="00520F6B" w:rsidP="009B48AC">
            <w:pPr>
              <w:ind w:left="27"/>
              <w:rPr>
                <w:rFonts w:ascii="Arial" w:hAnsi="Arial" w:cs="Arial"/>
                <w:b/>
              </w:rPr>
            </w:pPr>
            <w:r w:rsidRPr="00061979">
              <w:rPr>
                <w:rFonts w:ascii="Arial" w:hAnsi="Arial" w:cs="Arial"/>
                <w:b/>
              </w:rPr>
              <w:t>Stage</w:t>
            </w:r>
          </w:p>
        </w:tc>
        <w:tc>
          <w:tcPr>
            <w:tcW w:w="3544" w:type="dxa"/>
          </w:tcPr>
          <w:p w14:paraId="7E7F6305" w14:textId="77777777" w:rsidR="00520F6B" w:rsidRPr="00061979" w:rsidRDefault="00520F6B" w:rsidP="00520F6B">
            <w:pPr>
              <w:rPr>
                <w:rFonts w:ascii="Arial" w:hAnsi="Arial" w:cs="Arial"/>
                <w:b/>
              </w:rPr>
            </w:pPr>
            <w:r w:rsidRPr="00061979">
              <w:rPr>
                <w:rFonts w:ascii="Arial" w:hAnsi="Arial" w:cs="Arial"/>
                <w:b/>
              </w:rPr>
              <w:t>Component</w:t>
            </w:r>
          </w:p>
        </w:tc>
        <w:tc>
          <w:tcPr>
            <w:tcW w:w="2409" w:type="dxa"/>
          </w:tcPr>
          <w:p w14:paraId="7E7F6306" w14:textId="77777777" w:rsidR="00520F6B" w:rsidRPr="00061979" w:rsidRDefault="00520F6B" w:rsidP="00520F6B">
            <w:pPr>
              <w:rPr>
                <w:rFonts w:ascii="Arial" w:hAnsi="Arial" w:cs="Arial"/>
                <w:b/>
              </w:rPr>
            </w:pPr>
            <w:r w:rsidRPr="00061979">
              <w:rPr>
                <w:rFonts w:ascii="Arial" w:hAnsi="Arial" w:cs="Arial"/>
                <w:b/>
              </w:rPr>
              <w:t>Indicative timescale</w:t>
            </w:r>
          </w:p>
        </w:tc>
      </w:tr>
      <w:tr w:rsidR="0096199F" w:rsidRPr="008A568A" w14:paraId="7E7F630B" w14:textId="77777777" w:rsidTr="009B48AC">
        <w:tc>
          <w:tcPr>
            <w:tcW w:w="2552" w:type="dxa"/>
            <w:vMerge w:val="restart"/>
          </w:tcPr>
          <w:p w14:paraId="7E7F6308" w14:textId="77777777" w:rsidR="0096199F" w:rsidRPr="00061979" w:rsidRDefault="0096199F" w:rsidP="00520F6B">
            <w:pPr>
              <w:rPr>
                <w:rFonts w:ascii="Arial" w:hAnsi="Arial" w:cs="Arial"/>
              </w:rPr>
            </w:pPr>
            <w:r w:rsidRPr="00061979">
              <w:rPr>
                <w:rFonts w:ascii="Arial" w:hAnsi="Arial" w:cs="Arial"/>
              </w:rPr>
              <w:t>Request for quotation</w:t>
            </w:r>
          </w:p>
        </w:tc>
        <w:tc>
          <w:tcPr>
            <w:tcW w:w="3544" w:type="dxa"/>
          </w:tcPr>
          <w:p w14:paraId="7E7F6309" w14:textId="77777777" w:rsidR="0096199F" w:rsidRPr="00061979" w:rsidRDefault="0096199F" w:rsidP="00520F6B">
            <w:pPr>
              <w:rPr>
                <w:rFonts w:ascii="Arial" w:hAnsi="Arial" w:cs="Arial"/>
              </w:rPr>
            </w:pPr>
            <w:r w:rsidRPr="00061979">
              <w:rPr>
                <w:rFonts w:ascii="Arial" w:hAnsi="Arial" w:cs="Arial"/>
              </w:rPr>
              <w:t>Requests distributed</w:t>
            </w:r>
          </w:p>
        </w:tc>
        <w:tc>
          <w:tcPr>
            <w:tcW w:w="2409" w:type="dxa"/>
          </w:tcPr>
          <w:p w14:paraId="7E7F630A" w14:textId="010C8CF7" w:rsidR="0096199F" w:rsidRPr="00061979" w:rsidRDefault="00275016" w:rsidP="00520F6B">
            <w:pPr>
              <w:rPr>
                <w:rFonts w:ascii="Arial" w:hAnsi="Arial" w:cs="Arial"/>
              </w:rPr>
            </w:pPr>
            <w:r w:rsidRPr="00061979">
              <w:rPr>
                <w:rFonts w:ascii="Arial" w:hAnsi="Arial" w:cs="Arial"/>
              </w:rPr>
              <w:t>28</w:t>
            </w:r>
            <w:r w:rsidRPr="00061979">
              <w:rPr>
                <w:rFonts w:ascii="Arial" w:hAnsi="Arial" w:cs="Arial"/>
                <w:vertAlign w:val="superscript"/>
              </w:rPr>
              <w:t>th</w:t>
            </w:r>
            <w:r w:rsidRPr="00061979">
              <w:rPr>
                <w:rFonts w:ascii="Arial" w:hAnsi="Arial" w:cs="Arial"/>
              </w:rPr>
              <w:t xml:space="preserve"> April 2023</w:t>
            </w:r>
          </w:p>
        </w:tc>
      </w:tr>
      <w:tr w:rsidR="007A63E4" w:rsidRPr="008A568A" w14:paraId="5EC306AD" w14:textId="77777777" w:rsidTr="009B48AC">
        <w:tc>
          <w:tcPr>
            <w:tcW w:w="2552" w:type="dxa"/>
            <w:vMerge/>
          </w:tcPr>
          <w:p w14:paraId="2E4B5510" w14:textId="77777777" w:rsidR="007A63E4" w:rsidRPr="00061979" w:rsidRDefault="007A63E4" w:rsidP="00520F6B">
            <w:pPr>
              <w:rPr>
                <w:rFonts w:ascii="Arial" w:hAnsi="Arial" w:cs="Arial"/>
              </w:rPr>
            </w:pPr>
          </w:p>
        </w:tc>
        <w:tc>
          <w:tcPr>
            <w:tcW w:w="3544" w:type="dxa"/>
          </w:tcPr>
          <w:p w14:paraId="1B0B132B" w14:textId="1036E714" w:rsidR="007A63E4" w:rsidRPr="00061979" w:rsidRDefault="007A63E4" w:rsidP="00520F6B">
            <w:pPr>
              <w:rPr>
                <w:rFonts w:ascii="Arial" w:hAnsi="Arial" w:cs="Arial"/>
              </w:rPr>
            </w:pPr>
            <w:r w:rsidRPr="00061979">
              <w:rPr>
                <w:rFonts w:ascii="Arial" w:hAnsi="Arial" w:cs="Arial"/>
              </w:rPr>
              <w:t>Cl</w:t>
            </w:r>
            <w:r w:rsidR="00387056" w:rsidRPr="00061979">
              <w:rPr>
                <w:rFonts w:ascii="Arial" w:hAnsi="Arial" w:cs="Arial"/>
              </w:rPr>
              <w:t>arification question closing date</w:t>
            </w:r>
          </w:p>
        </w:tc>
        <w:tc>
          <w:tcPr>
            <w:tcW w:w="2409" w:type="dxa"/>
          </w:tcPr>
          <w:p w14:paraId="12EB0F9F" w14:textId="74B56034" w:rsidR="007A63E4" w:rsidRPr="00061979" w:rsidRDefault="00275016" w:rsidP="00520F6B">
            <w:pPr>
              <w:rPr>
                <w:rFonts w:ascii="Arial" w:hAnsi="Arial" w:cs="Arial"/>
              </w:rPr>
            </w:pPr>
            <w:r w:rsidRPr="00061979">
              <w:rPr>
                <w:rFonts w:ascii="Arial" w:hAnsi="Arial" w:cs="Arial"/>
              </w:rPr>
              <w:t>12</w:t>
            </w:r>
            <w:r w:rsidRPr="00061979">
              <w:rPr>
                <w:rFonts w:ascii="Arial" w:hAnsi="Arial" w:cs="Arial"/>
                <w:vertAlign w:val="superscript"/>
              </w:rPr>
              <w:t>th</w:t>
            </w:r>
            <w:r w:rsidRPr="00061979">
              <w:rPr>
                <w:rFonts w:ascii="Arial" w:hAnsi="Arial" w:cs="Arial"/>
              </w:rPr>
              <w:t xml:space="preserve"> May 2023</w:t>
            </w:r>
          </w:p>
        </w:tc>
      </w:tr>
      <w:tr w:rsidR="0096199F" w:rsidRPr="008A568A" w14:paraId="7E7F630F" w14:textId="77777777" w:rsidTr="009B48AC">
        <w:tc>
          <w:tcPr>
            <w:tcW w:w="2552" w:type="dxa"/>
            <w:vMerge/>
          </w:tcPr>
          <w:p w14:paraId="7E7F630C" w14:textId="77777777" w:rsidR="0096199F" w:rsidRPr="00061979" w:rsidRDefault="0096199F" w:rsidP="00520F6B">
            <w:pPr>
              <w:rPr>
                <w:rFonts w:ascii="Arial" w:hAnsi="Arial" w:cs="Arial"/>
              </w:rPr>
            </w:pPr>
          </w:p>
        </w:tc>
        <w:tc>
          <w:tcPr>
            <w:tcW w:w="3544" w:type="dxa"/>
          </w:tcPr>
          <w:p w14:paraId="7E7F630D" w14:textId="77777777" w:rsidR="0096199F" w:rsidRPr="00061979" w:rsidRDefault="0096199F" w:rsidP="00520F6B">
            <w:pPr>
              <w:rPr>
                <w:rFonts w:ascii="Arial" w:hAnsi="Arial" w:cs="Arial"/>
              </w:rPr>
            </w:pPr>
            <w:r w:rsidRPr="00061979">
              <w:rPr>
                <w:rFonts w:ascii="Arial" w:hAnsi="Arial" w:cs="Arial"/>
              </w:rPr>
              <w:t>Proposal submission deadline</w:t>
            </w:r>
            <w:r w:rsidR="00481CB2" w:rsidRPr="00061979">
              <w:rPr>
                <w:rFonts w:ascii="Arial" w:hAnsi="Arial" w:cs="Arial"/>
              </w:rPr>
              <w:t xml:space="preserve"> (Closing date)</w:t>
            </w:r>
          </w:p>
        </w:tc>
        <w:tc>
          <w:tcPr>
            <w:tcW w:w="2409" w:type="dxa"/>
          </w:tcPr>
          <w:p w14:paraId="7E7F630E" w14:textId="5473BB84" w:rsidR="0096199F" w:rsidRPr="00061979" w:rsidRDefault="00275016" w:rsidP="00520F6B">
            <w:pPr>
              <w:rPr>
                <w:rFonts w:ascii="Arial" w:hAnsi="Arial" w:cs="Arial"/>
              </w:rPr>
            </w:pPr>
            <w:r w:rsidRPr="00061979">
              <w:rPr>
                <w:rFonts w:ascii="Arial" w:hAnsi="Arial" w:cs="Arial"/>
              </w:rPr>
              <w:t>26</w:t>
            </w:r>
            <w:r w:rsidRPr="00061979">
              <w:rPr>
                <w:rFonts w:ascii="Arial" w:hAnsi="Arial" w:cs="Arial"/>
                <w:vertAlign w:val="superscript"/>
              </w:rPr>
              <w:t>th</w:t>
            </w:r>
            <w:r w:rsidRPr="00061979">
              <w:rPr>
                <w:rFonts w:ascii="Arial" w:hAnsi="Arial" w:cs="Arial"/>
              </w:rPr>
              <w:t xml:space="preserve"> May 2023</w:t>
            </w:r>
          </w:p>
        </w:tc>
      </w:tr>
      <w:tr w:rsidR="0096199F" w:rsidRPr="008A568A" w14:paraId="7E7F6313" w14:textId="77777777" w:rsidTr="009B48AC">
        <w:tc>
          <w:tcPr>
            <w:tcW w:w="2552" w:type="dxa"/>
            <w:vMerge w:val="restart"/>
          </w:tcPr>
          <w:p w14:paraId="7E7F6310" w14:textId="77777777" w:rsidR="0096199F" w:rsidRPr="00061979" w:rsidRDefault="0096199F" w:rsidP="00520F6B">
            <w:pPr>
              <w:rPr>
                <w:rFonts w:ascii="Arial" w:hAnsi="Arial" w:cs="Arial"/>
              </w:rPr>
            </w:pPr>
            <w:r w:rsidRPr="00061979">
              <w:rPr>
                <w:rFonts w:ascii="Arial" w:hAnsi="Arial" w:cs="Arial"/>
              </w:rPr>
              <w:t>Selection</w:t>
            </w:r>
          </w:p>
        </w:tc>
        <w:tc>
          <w:tcPr>
            <w:tcW w:w="3544" w:type="dxa"/>
          </w:tcPr>
          <w:p w14:paraId="7E7F6311" w14:textId="73C1986C" w:rsidR="0096199F" w:rsidRPr="00061979" w:rsidRDefault="00CE024F" w:rsidP="00520F6B">
            <w:pPr>
              <w:rPr>
                <w:rFonts w:ascii="Arial" w:hAnsi="Arial" w:cs="Arial"/>
              </w:rPr>
            </w:pPr>
            <w:r w:rsidRPr="00061979">
              <w:rPr>
                <w:rFonts w:ascii="Arial" w:hAnsi="Arial" w:cs="Arial"/>
              </w:rPr>
              <w:t>Commencement of Evaluation</w:t>
            </w:r>
          </w:p>
        </w:tc>
        <w:tc>
          <w:tcPr>
            <w:tcW w:w="2409" w:type="dxa"/>
          </w:tcPr>
          <w:p w14:paraId="7E7F6312" w14:textId="057BF10C" w:rsidR="0096199F" w:rsidRPr="00061979" w:rsidRDefault="00275016" w:rsidP="00520F6B">
            <w:pPr>
              <w:rPr>
                <w:rFonts w:ascii="Arial" w:hAnsi="Arial" w:cs="Arial"/>
              </w:rPr>
            </w:pPr>
            <w:r w:rsidRPr="00061979">
              <w:rPr>
                <w:rFonts w:ascii="Arial" w:hAnsi="Arial" w:cs="Arial"/>
              </w:rPr>
              <w:t>4</w:t>
            </w:r>
            <w:r w:rsidRPr="00061979">
              <w:rPr>
                <w:rFonts w:ascii="Arial" w:hAnsi="Arial" w:cs="Arial"/>
                <w:vertAlign w:val="superscript"/>
              </w:rPr>
              <w:t>th</w:t>
            </w:r>
            <w:r w:rsidRPr="00061979">
              <w:rPr>
                <w:rFonts w:ascii="Arial" w:hAnsi="Arial" w:cs="Arial"/>
              </w:rPr>
              <w:t xml:space="preserve"> June 2023</w:t>
            </w:r>
          </w:p>
        </w:tc>
      </w:tr>
      <w:tr w:rsidR="0096199F" w:rsidRPr="008A568A" w14:paraId="7E7F6317" w14:textId="77777777" w:rsidTr="009B48AC">
        <w:tc>
          <w:tcPr>
            <w:tcW w:w="2552" w:type="dxa"/>
            <w:vMerge/>
          </w:tcPr>
          <w:p w14:paraId="7E7F6314" w14:textId="77777777" w:rsidR="0096199F" w:rsidRPr="00061979" w:rsidRDefault="0096199F" w:rsidP="00520F6B">
            <w:pPr>
              <w:rPr>
                <w:rFonts w:ascii="Arial" w:hAnsi="Arial" w:cs="Arial"/>
              </w:rPr>
            </w:pPr>
          </w:p>
        </w:tc>
        <w:tc>
          <w:tcPr>
            <w:tcW w:w="3544" w:type="dxa"/>
          </w:tcPr>
          <w:p w14:paraId="7E7F6315" w14:textId="77777777" w:rsidR="0096199F" w:rsidRPr="00061979" w:rsidRDefault="0096199F" w:rsidP="00520F6B">
            <w:pPr>
              <w:rPr>
                <w:rFonts w:ascii="Arial" w:hAnsi="Arial" w:cs="Arial"/>
              </w:rPr>
            </w:pPr>
            <w:r w:rsidRPr="00061979">
              <w:rPr>
                <w:rFonts w:ascii="Arial" w:hAnsi="Arial" w:cs="Arial"/>
              </w:rPr>
              <w:t>Successful applicant selected and confirmed</w:t>
            </w:r>
          </w:p>
        </w:tc>
        <w:tc>
          <w:tcPr>
            <w:tcW w:w="2409" w:type="dxa"/>
          </w:tcPr>
          <w:p w14:paraId="7E7F6316" w14:textId="6C94742D" w:rsidR="0096199F" w:rsidRPr="00061979" w:rsidRDefault="00275016" w:rsidP="00520F6B">
            <w:pPr>
              <w:rPr>
                <w:rFonts w:ascii="Arial" w:hAnsi="Arial" w:cs="Arial"/>
              </w:rPr>
            </w:pPr>
            <w:r w:rsidRPr="00061979">
              <w:rPr>
                <w:rFonts w:ascii="Arial" w:hAnsi="Arial" w:cs="Arial"/>
              </w:rPr>
              <w:t>7</w:t>
            </w:r>
            <w:r w:rsidRPr="00061979">
              <w:rPr>
                <w:rFonts w:ascii="Arial" w:hAnsi="Arial" w:cs="Arial"/>
                <w:vertAlign w:val="superscript"/>
              </w:rPr>
              <w:t>th</w:t>
            </w:r>
            <w:r w:rsidRPr="00061979">
              <w:rPr>
                <w:rFonts w:ascii="Arial" w:hAnsi="Arial" w:cs="Arial"/>
              </w:rPr>
              <w:t xml:space="preserve"> June 2023 </w:t>
            </w:r>
          </w:p>
        </w:tc>
      </w:tr>
      <w:tr w:rsidR="0096199F" w:rsidRPr="008A568A" w14:paraId="7E7F631B" w14:textId="77777777" w:rsidTr="009B48AC">
        <w:tc>
          <w:tcPr>
            <w:tcW w:w="2552" w:type="dxa"/>
          </w:tcPr>
          <w:p w14:paraId="7E7F6318" w14:textId="77777777" w:rsidR="0096199F" w:rsidRPr="00061979" w:rsidRDefault="00C12A00" w:rsidP="00520F6B">
            <w:pPr>
              <w:rPr>
                <w:rFonts w:ascii="Arial" w:hAnsi="Arial" w:cs="Arial"/>
              </w:rPr>
            </w:pPr>
            <w:r w:rsidRPr="00061979">
              <w:rPr>
                <w:rFonts w:ascii="Arial" w:hAnsi="Arial" w:cs="Arial"/>
              </w:rPr>
              <w:t>Contract Commencement</w:t>
            </w:r>
          </w:p>
        </w:tc>
        <w:tc>
          <w:tcPr>
            <w:tcW w:w="3544" w:type="dxa"/>
          </w:tcPr>
          <w:p w14:paraId="7E7F6319" w14:textId="77777777" w:rsidR="0096199F" w:rsidRPr="00061979" w:rsidRDefault="0096199F" w:rsidP="00520F6B">
            <w:pPr>
              <w:rPr>
                <w:rFonts w:ascii="Arial" w:hAnsi="Arial" w:cs="Arial"/>
              </w:rPr>
            </w:pPr>
            <w:r w:rsidRPr="00061979">
              <w:rPr>
                <w:rFonts w:ascii="Arial" w:hAnsi="Arial" w:cs="Arial"/>
              </w:rPr>
              <w:t>Successful applicant commences contract</w:t>
            </w:r>
          </w:p>
        </w:tc>
        <w:tc>
          <w:tcPr>
            <w:tcW w:w="2409" w:type="dxa"/>
          </w:tcPr>
          <w:p w14:paraId="7E7F631A" w14:textId="5052F315" w:rsidR="0096199F" w:rsidRPr="00061979" w:rsidRDefault="00275016" w:rsidP="00520F6B">
            <w:pPr>
              <w:rPr>
                <w:rFonts w:ascii="Arial" w:hAnsi="Arial" w:cs="Arial"/>
              </w:rPr>
            </w:pPr>
            <w:r w:rsidRPr="00061979">
              <w:rPr>
                <w:rFonts w:ascii="Arial" w:hAnsi="Arial" w:cs="Arial"/>
              </w:rPr>
              <w:t>10</w:t>
            </w:r>
            <w:r w:rsidRPr="00061979">
              <w:rPr>
                <w:rFonts w:ascii="Arial" w:hAnsi="Arial" w:cs="Arial"/>
                <w:vertAlign w:val="superscript"/>
              </w:rPr>
              <w:t>th</w:t>
            </w:r>
            <w:r w:rsidRPr="00061979">
              <w:rPr>
                <w:rFonts w:ascii="Arial" w:hAnsi="Arial" w:cs="Arial"/>
              </w:rPr>
              <w:t xml:space="preserve"> June 2023</w:t>
            </w:r>
          </w:p>
        </w:tc>
      </w:tr>
    </w:tbl>
    <w:p w14:paraId="7E7F631C" w14:textId="6501675C" w:rsidR="00520F6B" w:rsidRPr="00061979" w:rsidRDefault="00520F6B" w:rsidP="00061979">
      <w:pPr>
        <w:rPr>
          <w:rFonts w:ascii="Arial" w:hAnsi="Arial" w:cs="Arial"/>
        </w:rPr>
      </w:pPr>
    </w:p>
    <w:p w14:paraId="56CF3A0B" w14:textId="77777777" w:rsidR="00076C88" w:rsidRPr="00061979" w:rsidRDefault="00076C88" w:rsidP="008119FD">
      <w:pPr>
        <w:pStyle w:val="ListParagraph"/>
        <w:ind w:left="567"/>
        <w:rPr>
          <w:rFonts w:ascii="Arial" w:hAnsi="Arial" w:cs="Arial"/>
        </w:rPr>
      </w:pPr>
    </w:p>
    <w:p w14:paraId="742D1821" w14:textId="50D98BE0" w:rsidR="005C3956" w:rsidRPr="00061979" w:rsidRDefault="005C3956" w:rsidP="005C3956">
      <w:pPr>
        <w:pStyle w:val="ListParagraph"/>
        <w:numPr>
          <w:ilvl w:val="0"/>
          <w:numId w:val="30"/>
        </w:numPr>
        <w:ind w:left="567" w:hanging="567"/>
        <w:rPr>
          <w:rFonts w:ascii="Arial" w:eastAsia="Arial" w:hAnsi="Arial" w:cs="Arial"/>
        </w:rPr>
      </w:pPr>
      <w:r w:rsidRPr="00061979">
        <w:rPr>
          <w:rFonts w:ascii="Arial" w:eastAsia="Arial" w:hAnsi="Arial" w:cs="Arial"/>
        </w:rPr>
        <w:t>Any clarifications questions and proposal should be submitted to</w:t>
      </w:r>
      <w:r w:rsidR="00275016" w:rsidRPr="00061979">
        <w:rPr>
          <w:rFonts w:ascii="Arial" w:eastAsia="Arial" w:hAnsi="Arial" w:cs="Arial"/>
        </w:rPr>
        <w:t xml:space="preserve"> </w:t>
      </w:r>
      <w:hyperlink r:id="rId10" w:history="1">
        <w:r w:rsidR="004F5BAE" w:rsidRPr="00061979">
          <w:rPr>
            <w:rStyle w:val="Hyperlink"/>
            <w:rFonts w:ascii="Arial" w:eastAsia="Arial" w:hAnsi="Arial" w:cs="Arial"/>
          </w:rPr>
          <w:t>cneal@lambeth.gov.uk</w:t>
        </w:r>
      </w:hyperlink>
      <w:r w:rsidR="004F5BAE" w:rsidRPr="00061979">
        <w:rPr>
          <w:rFonts w:ascii="Arial" w:eastAsia="Arial" w:hAnsi="Arial" w:cs="Arial"/>
        </w:rPr>
        <w:t xml:space="preserve"> </w:t>
      </w:r>
      <w:r w:rsidRPr="00061979">
        <w:rPr>
          <w:rFonts w:ascii="Arial" w:eastAsia="Arial" w:hAnsi="Arial" w:cs="Arial"/>
        </w:rPr>
        <w:t>by the relevant deadlines as per Table 1 above.</w:t>
      </w:r>
    </w:p>
    <w:p w14:paraId="79C9DD84" w14:textId="77777777" w:rsidR="00757342" w:rsidRPr="00061979" w:rsidRDefault="00757342" w:rsidP="00757342">
      <w:pPr>
        <w:pStyle w:val="ListParagraph"/>
        <w:ind w:left="567"/>
        <w:rPr>
          <w:rFonts w:ascii="Arial" w:eastAsia="Arial" w:hAnsi="Arial" w:cs="Arial"/>
        </w:rPr>
      </w:pPr>
    </w:p>
    <w:p w14:paraId="27A4AF47" w14:textId="538BFB94" w:rsidR="00076C88" w:rsidRPr="00061979" w:rsidRDefault="00076C88" w:rsidP="00076C88">
      <w:pPr>
        <w:pStyle w:val="ListParagraph"/>
        <w:numPr>
          <w:ilvl w:val="0"/>
          <w:numId w:val="30"/>
        </w:numPr>
        <w:ind w:left="567" w:hanging="567"/>
        <w:rPr>
          <w:rFonts w:ascii="Arial" w:hAnsi="Arial" w:cs="Arial"/>
        </w:rPr>
      </w:pPr>
      <w:r w:rsidRPr="00061979">
        <w:rPr>
          <w:rFonts w:ascii="Arial" w:hAnsi="Arial" w:cs="Arial"/>
        </w:rPr>
        <w:t xml:space="preserve">The proposed period of the contract </w:t>
      </w:r>
      <w:r w:rsidR="001E5C4E" w:rsidRPr="00061979">
        <w:rPr>
          <w:rFonts w:ascii="Arial" w:hAnsi="Arial" w:cs="Arial"/>
        </w:rPr>
        <w:t>is expected to run from</w:t>
      </w:r>
      <w:r w:rsidRPr="00061979">
        <w:rPr>
          <w:rFonts w:ascii="Arial" w:hAnsi="Arial" w:cs="Arial"/>
        </w:rPr>
        <w:t xml:space="preserve"> </w:t>
      </w:r>
      <w:r w:rsidR="009803EE" w:rsidRPr="00061979">
        <w:rPr>
          <w:rFonts w:ascii="Arial" w:hAnsi="Arial" w:cs="Arial"/>
        </w:rPr>
        <w:t>10</w:t>
      </w:r>
      <w:r w:rsidR="009803EE" w:rsidRPr="00061979">
        <w:rPr>
          <w:rFonts w:ascii="Arial" w:hAnsi="Arial" w:cs="Arial"/>
          <w:vertAlign w:val="superscript"/>
        </w:rPr>
        <w:t>th</w:t>
      </w:r>
      <w:r w:rsidR="009803EE" w:rsidRPr="00061979">
        <w:rPr>
          <w:rFonts w:ascii="Arial" w:hAnsi="Arial" w:cs="Arial"/>
        </w:rPr>
        <w:t xml:space="preserve"> June 2023 to 9</w:t>
      </w:r>
      <w:r w:rsidR="009803EE" w:rsidRPr="00061979">
        <w:rPr>
          <w:rFonts w:ascii="Arial" w:hAnsi="Arial" w:cs="Arial"/>
          <w:vertAlign w:val="superscript"/>
        </w:rPr>
        <w:t>th</w:t>
      </w:r>
      <w:r w:rsidR="009803EE" w:rsidRPr="00061979">
        <w:rPr>
          <w:rFonts w:ascii="Arial" w:hAnsi="Arial" w:cs="Arial"/>
        </w:rPr>
        <w:t xml:space="preserve"> June 2025.</w:t>
      </w:r>
      <w:r w:rsidRPr="00061979">
        <w:rPr>
          <w:rFonts w:ascii="Arial" w:hAnsi="Arial" w:cs="Arial"/>
        </w:rPr>
        <w:t xml:space="preserve"> </w:t>
      </w:r>
    </w:p>
    <w:p w14:paraId="7E7F6327" w14:textId="3584383E" w:rsidR="00931D44" w:rsidRPr="00061979" w:rsidRDefault="00931D44">
      <w:pPr>
        <w:rPr>
          <w:rFonts w:ascii="Arial" w:hAnsi="Arial" w:cs="Arial"/>
        </w:rPr>
      </w:pPr>
    </w:p>
    <w:p w14:paraId="7E7F6328" w14:textId="77777777" w:rsidR="0002564A" w:rsidRPr="00061979" w:rsidRDefault="0002564A" w:rsidP="0002564A">
      <w:pPr>
        <w:pStyle w:val="Heading1"/>
        <w:ind w:left="567" w:hanging="567"/>
        <w:rPr>
          <w:rFonts w:ascii="Arial" w:hAnsi="Arial" w:cs="Arial"/>
          <w:sz w:val="22"/>
          <w:szCs w:val="22"/>
        </w:rPr>
      </w:pPr>
      <w:r w:rsidRPr="00061979">
        <w:rPr>
          <w:rFonts w:ascii="Arial" w:hAnsi="Arial" w:cs="Arial"/>
          <w:sz w:val="22"/>
          <w:szCs w:val="22"/>
        </w:rPr>
        <w:t>Tender Evaluation</w:t>
      </w:r>
    </w:p>
    <w:p w14:paraId="7E7F6329" w14:textId="77777777" w:rsidR="0002564A" w:rsidRPr="00061979" w:rsidRDefault="0002564A" w:rsidP="0002564A">
      <w:pPr>
        <w:autoSpaceDE w:val="0"/>
        <w:autoSpaceDN w:val="0"/>
        <w:adjustRightInd w:val="0"/>
        <w:spacing w:after="0" w:line="240" w:lineRule="auto"/>
        <w:rPr>
          <w:rFonts w:ascii="Arial" w:hAnsi="Arial" w:cs="Arial"/>
        </w:rPr>
      </w:pPr>
    </w:p>
    <w:p w14:paraId="7E7F632A" w14:textId="1B9BC9AA" w:rsidR="0002564A" w:rsidRPr="00061979" w:rsidRDefault="0002564A" w:rsidP="00BE6422">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The </w:t>
      </w:r>
      <w:r w:rsidR="00C12A00" w:rsidRPr="00061979">
        <w:rPr>
          <w:rFonts w:ascii="Arial" w:hAnsi="Arial" w:cs="Arial"/>
        </w:rPr>
        <w:t>ratio</w:t>
      </w:r>
      <w:r w:rsidRPr="00061979">
        <w:rPr>
          <w:rFonts w:ascii="Arial" w:hAnsi="Arial" w:cs="Arial"/>
        </w:rPr>
        <w:t xml:space="preserve"> that will be used to evaluate the tenders is as follows:</w:t>
      </w:r>
    </w:p>
    <w:p w14:paraId="7E7F632B" w14:textId="77777777" w:rsidR="0002564A" w:rsidRPr="00061979" w:rsidRDefault="0002564A" w:rsidP="0002564A">
      <w:pPr>
        <w:pStyle w:val="ListParagraph"/>
        <w:autoSpaceDE w:val="0"/>
        <w:autoSpaceDN w:val="0"/>
        <w:adjustRightInd w:val="0"/>
        <w:spacing w:after="0" w:line="240" w:lineRule="auto"/>
        <w:rPr>
          <w:rFonts w:ascii="Arial" w:hAnsi="Arial" w:cs="Arial"/>
        </w:rPr>
      </w:pPr>
    </w:p>
    <w:p w14:paraId="7E7F632D" w14:textId="2E5AB2A1" w:rsidR="0002564A" w:rsidRPr="00061979" w:rsidRDefault="0002564A" w:rsidP="008119FD">
      <w:pPr>
        <w:pStyle w:val="ListParagraph"/>
        <w:numPr>
          <w:ilvl w:val="1"/>
          <w:numId w:val="51"/>
        </w:numPr>
        <w:autoSpaceDE w:val="0"/>
        <w:autoSpaceDN w:val="0"/>
        <w:adjustRightInd w:val="0"/>
        <w:spacing w:after="0" w:line="240" w:lineRule="auto"/>
        <w:rPr>
          <w:rFonts w:ascii="Arial" w:hAnsi="Arial" w:cs="Arial"/>
        </w:rPr>
      </w:pPr>
      <w:r w:rsidRPr="00061979">
        <w:rPr>
          <w:rFonts w:ascii="Arial" w:hAnsi="Arial" w:cs="Arial"/>
        </w:rPr>
        <w:t xml:space="preserve">Quality – </w:t>
      </w:r>
      <w:r w:rsidR="007C2A78" w:rsidRPr="00061979">
        <w:rPr>
          <w:rFonts w:ascii="Arial" w:hAnsi="Arial" w:cs="Arial"/>
        </w:rPr>
        <w:t>6</w:t>
      </w:r>
      <w:r w:rsidRPr="00061979">
        <w:rPr>
          <w:rFonts w:ascii="Arial" w:hAnsi="Arial" w:cs="Arial"/>
        </w:rPr>
        <w:t>0%</w:t>
      </w:r>
    </w:p>
    <w:p w14:paraId="1B34904D" w14:textId="68838C46" w:rsidR="007C2A78" w:rsidRPr="00061979" w:rsidRDefault="007C2A78" w:rsidP="008119FD">
      <w:pPr>
        <w:pStyle w:val="ListParagraph"/>
        <w:numPr>
          <w:ilvl w:val="1"/>
          <w:numId w:val="51"/>
        </w:numPr>
        <w:autoSpaceDE w:val="0"/>
        <w:autoSpaceDN w:val="0"/>
        <w:adjustRightInd w:val="0"/>
        <w:spacing w:after="0" w:line="240" w:lineRule="auto"/>
        <w:rPr>
          <w:rFonts w:ascii="Arial" w:hAnsi="Arial" w:cs="Arial"/>
        </w:rPr>
      </w:pPr>
      <w:r w:rsidRPr="00061979">
        <w:rPr>
          <w:rFonts w:ascii="Arial" w:hAnsi="Arial" w:cs="Arial"/>
        </w:rPr>
        <w:t>Price – 40%</w:t>
      </w:r>
    </w:p>
    <w:p w14:paraId="7F6D049D" w14:textId="77777777" w:rsidR="007C2A78" w:rsidRPr="00061979" w:rsidRDefault="007C2A78" w:rsidP="009B48AC">
      <w:pPr>
        <w:pStyle w:val="ListParagraph"/>
        <w:autoSpaceDE w:val="0"/>
        <w:autoSpaceDN w:val="0"/>
        <w:adjustRightInd w:val="0"/>
        <w:spacing w:after="0" w:line="240" w:lineRule="auto"/>
        <w:ind w:left="1440"/>
        <w:rPr>
          <w:rFonts w:ascii="Arial" w:hAnsi="Arial" w:cs="Arial"/>
        </w:rPr>
      </w:pPr>
    </w:p>
    <w:p w14:paraId="53D80C53" w14:textId="77777777" w:rsidR="008948CC" w:rsidRPr="00061979" w:rsidRDefault="008948CC" w:rsidP="008948CC">
      <w:pPr>
        <w:autoSpaceDE w:val="0"/>
        <w:autoSpaceDN w:val="0"/>
        <w:adjustRightInd w:val="0"/>
        <w:spacing w:after="0" w:line="240" w:lineRule="auto"/>
        <w:rPr>
          <w:rFonts w:ascii="Arial" w:hAnsi="Arial" w:cs="Arial"/>
          <w:b/>
          <w:bCs/>
        </w:rPr>
      </w:pPr>
    </w:p>
    <w:p w14:paraId="7E7F632E" w14:textId="46F68C9B" w:rsidR="0002564A" w:rsidRPr="00061979" w:rsidRDefault="00D96CD1" w:rsidP="00354215">
      <w:pPr>
        <w:autoSpaceDE w:val="0"/>
        <w:autoSpaceDN w:val="0"/>
        <w:adjustRightInd w:val="0"/>
        <w:spacing w:after="0" w:line="240" w:lineRule="auto"/>
        <w:ind w:left="567"/>
        <w:rPr>
          <w:rFonts w:ascii="Arial" w:hAnsi="Arial" w:cs="Arial"/>
          <w:b/>
          <w:bCs/>
        </w:rPr>
      </w:pPr>
      <w:r w:rsidRPr="00061979">
        <w:rPr>
          <w:rFonts w:ascii="Arial" w:hAnsi="Arial" w:cs="Arial"/>
          <w:b/>
          <w:bCs/>
        </w:rPr>
        <w:t>a</w:t>
      </w:r>
      <w:r w:rsidR="008948CC" w:rsidRPr="00061979">
        <w:rPr>
          <w:rFonts w:ascii="Arial" w:hAnsi="Arial" w:cs="Arial"/>
          <w:b/>
          <w:bCs/>
        </w:rPr>
        <w:t>. Quality evaluation</w:t>
      </w:r>
    </w:p>
    <w:p w14:paraId="086F5417" w14:textId="77777777" w:rsidR="008948CC" w:rsidRPr="00061979" w:rsidRDefault="008948CC" w:rsidP="00623D28">
      <w:pPr>
        <w:autoSpaceDE w:val="0"/>
        <w:autoSpaceDN w:val="0"/>
        <w:adjustRightInd w:val="0"/>
        <w:spacing w:after="0" w:line="240" w:lineRule="auto"/>
        <w:rPr>
          <w:rFonts w:ascii="Arial" w:hAnsi="Arial" w:cs="Arial"/>
        </w:rPr>
      </w:pPr>
    </w:p>
    <w:p w14:paraId="4FD2FE5B" w14:textId="0642662D" w:rsidR="00BE6422" w:rsidRPr="00061979" w:rsidRDefault="00BE6422" w:rsidP="0028052A">
      <w:pPr>
        <w:pStyle w:val="ListParagraph"/>
        <w:numPr>
          <w:ilvl w:val="0"/>
          <w:numId w:val="30"/>
        </w:numPr>
        <w:ind w:left="567" w:hanging="567"/>
        <w:rPr>
          <w:rFonts w:ascii="Arial" w:hAnsi="Arial" w:cs="Arial"/>
        </w:rPr>
      </w:pPr>
      <w:r w:rsidRPr="00061979">
        <w:rPr>
          <w:rFonts w:ascii="Arial" w:hAnsi="Arial" w:cs="Arial"/>
        </w:rPr>
        <w:t xml:space="preserve">Proposals should </w:t>
      </w:r>
      <w:proofErr w:type="gramStart"/>
      <w:r w:rsidRPr="00061979">
        <w:rPr>
          <w:rFonts w:ascii="Arial" w:hAnsi="Arial" w:cs="Arial"/>
        </w:rPr>
        <w:t>take into account</w:t>
      </w:r>
      <w:proofErr w:type="gramEnd"/>
      <w:r w:rsidRPr="00061979">
        <w:rPr>
          <w:rFonts w:ascii="Arial" w:hAnsi="Arial" w:cs="Arial"/>
        </w:rPr>
        <w:t xml:space="preserve"> the requirements laid out in the specification section of this document.</w:t>
      </w:r>
    </w:p>
    <w:p w14:paraId="3C56831F" w14:textId="77777777" w:rsidR="00BE6422" w:rsidRPr="00061979" w:rsidRDefault="00BE6422" w:rsidP="00757342">
      <w:pPr>
        <w:pStyle w:val="ListParagraph"/>
        <w:ind w:left="567"/>
        <w:rPr>
          <w:rFonts w:ascii="Arial" w:hAnsi="Arial" w:cs="Arial"/>
        </w:rPr>
      </w:pPr>
    </w:p>
    <w:p w14:paraId="7E7F632F" w14:textId="2D7BF670" w:rsidR="0002564A" w:rsidRPr="00061979" w:rsidRDefault="00365482" w:rsidP="00BE6422">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w:t>
      </w:r>
      <w:r w:rsidR="0002564A" w:rsidRPr="00061979">
        <w:rPr>
          <w:rFonts w:ascii="Arial" w:hAnsi="Arial" w:cs="Arial"/>
        </w:rPr>
        <w:t xml:space="preserve">he proposal components along with the minimum acceptable score, </w:t>
      </w:r>
      <w:r w:rsidR="00520F8C" w:rsidRPr="00061979">
        <w:rPr>
          <w:rFonts w:ascii="Arial" w:hAnsi="Arial" w:cs="Arial"/>
        </w:rPr>
        <w:t xml:space="preserve">the </w:t>
      </w:r>
      <w:r w:rsidR="002F09D9" w:rsidRPr="00061979">
        <w:rPr>
          <w:rFonts w:ascii="Arial" w:hAnsi="Arial" w:cs="Arial"/>
        </w:rPr>
        <w:t>marks available</w:t>
      </w:r>
      <w:r w:rsidR="0002564A" w:rsidRPr="00061979">
        <w:rPr>
          <w:rFonts w:ascii="Arial" w:hAnsi="Arial" w:cs="Arial"/>
        </w:rPr>
        <w:t xml:space="preserve"> and weighting</w:t>
      </w:r>
      <w:r w:rsidR="00520F8C" w:rsidRPr="00061979">
        <w:rPr>
          <w:rFonts w:ascii="Arial" w:hAnsi="Arial" w:cs="Arial"/>
        </w:rPr>
        <w:t>s</w:t>
      </w:r>
      <w:r w:rsidR="0002564A" w:rsidRPr="00061979">
        <w:rPr>
          <w:rFonts w:ascii="Arial" w:hAnsi="Arial" w:cs="Arial"/>
        </w:rPr>
        <w:t xml:space="preserve"> are set out below:</w:t>
      </w:r>
    </w:p>
    <w:p w14:paraId="7E7F6331" w14:textId="2C462BF6" w:rsidR="00764B4F" w:rsidRDefault="00764B4F">
      <w:pPr>
        <w:rPr>
          <w:rFonts w:ascii="Arial" w:hAnsi="Arial" w:cs="Arial"/>
        </w:rPr>
      </w:pPr>
    </w:p>
    <w:p w14:paraId="1B113E75" w14:textId="110D7A22" w:rsidR="002F09D9" w:rsidRPr="002F09D9" w:rsidRDefault="002F09D9" w:rsidP="002F09D9">
      <w:pPr>
        <w:ind w:left="567"/>
        <w:rPr>
          <w:rFonts w:ascii="Arial" w:hAnsi="Arial" w:cs="Arial"/>
          <w:b/>
          <w:bCs/>
        </w:rPr>
      </w:pPr>
      <w:r w:rsidRPr="002F09D9">
        <w:rPr>
          <w:rFonts w:ascii="Arial" w:hAnsi="Arial" w:cs="Arial"/>
          <w:b/>
          <w:bCs/>
        </w:rPr>
        <w:t>Table 2</w:t>
      </w:r>
    </w:p>
    <w:tbl>
      <w:tblPr>
        <w:tblStyle w:val="TableGrid"/>
        <w:tblW w:w="0" w:type="auto"/>
        <w:tblInd w:w="704" w:type="dxa"/>
        <w:tblLook w:val="04A0" w:firstRow="1" w:lastRow="0" w:firstColumn="1" w:lastColumn="0" w:noHBand="0" w:noVBand="1"/>
      </w:tblPr>
      <w:tblGrid>
        <w:gridCol w:w="1684"/>
        <w:gridCol w:w="4212"/>
        <w:gridCol w:w="1214"/>
        <w:gridCol w:w="1536"/>
      </w:tblGrid>
      <w:tr w:rsidR="00636AA5" w:rsidRPr="008A568A" w14:paraId="7E7F6339" w14:textId="77777777" w:rsidTr="004F5BAE">
        <w:tc>
          <w:tcPr>
            <w:tcW w:w="0" w:type="auto"/>
          </w:tcPr>
          <w:p w14:paraId="7E7F6332" w14:textId="77777777" w:rsidR="00636AA5" w:rsidRPr="00061979" w:rsidRDefault="00636AA5" w:rsidP="00202360">
            <w:pPr>
              <w:autoSpaceDE w:val="0"/>
              <w:autoSpaceDN w:val="0"/>
              <w:adjustRightInd w:val="0"/>
              <w:rPr>
                <w:rFonts w:ascii="Arial" w:hAnsi="Arial" w:cs="Arial"/>
                <w:b/>
              </w:rPr>
            </w:pPr>
            <w:bookmarkStart w:id="2" w:name="OLE_LINK1"/>
            <w:r w:rsidRPr="00061979">
              <w:rPr>
                <w:rFonts w:ascii="Arial" w:hAnsi="Arial" w:cs="Arial"/>
                <w:b/>
              </w:rPr>
              <w:t>Type</w:t>
            </w:r>
          </w:p>
        </w:tc>
        <w:tc>
          <w:tcPr>
            <w:tcW w:w="0" w:type="auto"/>
          </w:tcPr>
          <w:p w14:paraId="7E7F6333" w14:textId="77777777" w:rsidR="00636AA5" w:rsidRPr="00061979" w:rsidRDefault="00636AA5" w:rsidP="00202360">
            <w:pPr>
              <w:autoSpaceDE w:val="0"/>
              <w:autoSpaceDN w:val="0"/>
              <w:adjustRightInd w:val="0"/>
              <w:rPr>
                <w:rFonts w:ascii="Arial" w:hAnsi="Arial" w:cs="Arial"/>
                <w:b/>
              </w:rPr>
            </w:pPr>
            <w:r w:rsidRPr="00061979">
              <w:rPr>
                <w:rFonts w:ascii="Arial" w:hAnsi="Arial" w:cs="Arial"/>
                <w:b/>
              </w:rPr>
              <w:t>Questions</w:t>
            </w:r>
          </w:p>
        </w:tc>
        <w:tc>
          <w:tcPr>
            <w:tcW w:w="0" w:type="auto"/>
          </w:tcPr>
          <w:p w14:paraId="7E7F6335" w14:textId="59973B4D" w:rsidR="00636AA5" w:rsidRPr="00061979" w:rsidRDefault="00520F8C" w:rsidP="00636AA5">
            <w:pPr>
              <w:autoSpaceDE w:val="0"/>
              <w:autoSpaceDN w:val="0"/>
              <w:adjustRightInd w:val="0"/>
              <w:jc w:val="center"/>
              <w:rPr>
                <w:rFonts w:ascii="Arial" w:hAnsi="Arial" w:cs="Arial"/>
                <w:b/>
              </w:rPr>
            </w:pPr>
            <w:r w:rsidRPr="00061979">
              <w:rPr>
                <w:rFonts w:ascii="Arial" w:hAnsi="Arial" w:cs="Arial"/>
                <w:b/>
              </w:rPr>
              <w:t>Marks Available</w:t>
            </w:r>
            <w:r w:rsidR="00636AA5" w:rsidRPr="00061979">
              <w:rPr>
                <w:rFonts w:ascii="Arial" w:hAnsi="Arial" w:cs="Arial"/>
                <w:b/>
              </w:rPr>
              <w:t xml:space="preserve">  </w:t>
            </w:r>
          </w:p>
        </w:tc>
        <w:tc>
          <w:tcPr>
            <w:tcW w:w="0" w:type="auto"/>
          </w:tcPr>
          <w:p w14:paraId="7E7F6336" w14:textId="18D1DB86" w:rsidR="00636AA5" w:rsidRPr="00061979" w:rsidRDefault="00636AA5" w:rsidP="00845E0F">
            <w:pPr>
              <w:autoSpaceDE w:val="0"/>
              <w:autoSpaceDN w:val="0"/>
              <w:adjustRightInd w:val="0"/>
              <w:jc w:val="center"/>
              <w:rPr>
                <w:rFonts w:ascii="Arial" w:hAnsi="Arial" w:cs="Arial"/>
                <w:b/>
              </w:rPr>
            </w:pPr>
            <w:r w:rsidRPr="00061979">
              <w:rPr>
                <w:rFonts w:ascii="Arial" w:hAnsi="Arial" w:cs="Arial"/>
                <w:b/>
              </w:rPr>
              <w:t>Weight</w:t>
            </w:r>
            <w:r w:rsidR="00520F8C" w:rsidRPr="00061979">
              <w:rPr>
                <w:rFonts w:ascii="Arial" w:hAnsi="Arial" w:cs="Arial"/>
                <w:b/>
              </w:rPr>
              <w:t>ing</w:t>
            </w:r>
            <w:r w:rsidRPr="00061979">
              <w:rPr>
                <w:rFonts w:ascii="Arial" w:hAnsi="Arial" w:cs="Arial"/>
                <w:b/>
              </w:rPr>
              <w:t xml:space="preserve"> % </w:t>
            </w:r>
          </w:p>
        </w:tc>
      </w:tr>
      <w:tr w:rsidR="00636AA5" w:rsidRPr="008A568A" w14:paraId="7E7F6342" w14:textId="77777777" w:rsidTr="004F5BAE">
        <w:tc>
          <w:tcPr>
            <w:tcW w:w="0" w:type="auto"/>
          </w:tcPr>
          <w:p w14:paraId="7E7F633A" w14:textId="77777777" w:rsidR="00636AA5" w:rsidRPr="00061979" w:rsidRDefault="00636AA5" w:rsidP="009933EC">
            <w:pPr>
              <w:autoSpaceDE w:val="0"/>
              <w:autoSpaceDN w:val="0"/>
              <w:adjustRightInd w:val="0"/>
              <w:rPr>
                <w:rFonts w:ascii="Arial" w:hAnsi="Arial" w:cs="Arial"/>
                <w:b/>
              </w:rPr>
            </w:pPr>
            <w:r w:rsidRPr="00061979">
              <w:rPr>
                <w:rFonts w:ascii="Arial" w:hAnsi="Arial" w:cs="Arial"/>
                <w:b/>
              </w:rPr>
              <w:t>Methodology</w:t>
            </w:r>
          </w:p>
          <w:p w14:paraId="7E7F633B" w14:textId="77777777" w:rsidR="00636AA5" w:rsidRPr="00061979" w:rsidRDefault="00636AA5" w:rsidP="009933EC">
            <w:pPr>
              <w:autoSpaceDE w:val="0"/>
              <w:autoSpaceDN w:val="0"/>
              <w:adjustRightInd w:val="0"/>
              <w:rPr>
                <w:rFonts w:ascii="Arial" w:hAnsi="Arial" w:cs="Arial"/>
                <w:b/>
              </w:rPr>
            </w:pPr>
          </w:p>
        </w:tc>
        <w:tc>
          <w:tcPr>
            <w:tcW w:w="0" w:type="auto"/>
          </w:tcPr>
          <w:p w14:paraId="7E7F633C" w14:textId="45DF713B"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detail </w:t>
            </w:r>
            <w:proofErr w:type="spellStart"/>
            <w:r w:rsidR="00520F8C" w:rsidRPr="00061979">
              <w:rPr>
                <w:rFonts w:ascii="Arial" w:hAnsi="Arial" w:cs="Arial"/>
              </w:rPr>
              <w:t>your</w:t>
            </w:r>
            <w:r w:rsidRPr="00061979">
              <w:rPr>
                <w:rFonts w:ascii="Arial" w:hAnsi="Arial" w:cs="Arial"/>
              </w:rPr>
              <w:t>knowledge</w:t>
            </w:r>
            <w:proofErr w:type="spellEnd"/>
            <w:r w:rsidRPr="00061979">
              <w:rPr>
                <w:rFonts w:ascii="Arial" w:hAnsi="Arial" w:cs="Arial"/>
              </w:rPr>
              <w:t xml:space="preserve"> of the policy requirements of the emerging London Plan, Local Plan, emerging Building Regulations and Future Homes Standard 2025</w:t>
            </w:r>
            <w:r w:rsidR="00520F8C" w:rsidRPr="00061979">
              <w:rPr>
                <w:rFonts w:ascii="Arial" w:hAnsi="Arial" w:cs="Arial"/>
              </w:rPr>
              <w:t xml:space="preserve"> for application to the Brief</w:t>
            </w:r>
            <w:r w:rsidRPr="00061979">
              <w:rPr>
                <w:rFonts w:ascii="Arial" w:hAnsi="Arial" w:cs="Arial"/>
              </w:rPr>
              <w:t xml:space="preserve">.  </w:t>
            </w:r>
          </w:p>
          <w:p w14:paraId="7E7F633D" w14:textId="77777777" w:rsidR="00636AA5" w:rsidRPr="00061979" w:rsidRDefault="00636AA5" w:rsidP="00B72851">
            <w:pPr>
              <w:autoSpaceDE w:val="0"/>
              <w:autoSpaceDN w:val="0"/>
              <w:adjustRightInd w:val="0"/>
              <w:ind w:left="318" w:hanging="284"/>
              <w:rPr>
                <w:rFonts w:ascii="Arial" w:hAnsi="Arial" w:cs="Arial"/>
                <w:b/>
              </w:rPr>
            </w:pPr>
          </w:p>
        </w:tc>
        <w:tc>
          <w:tcPr>
            <w:tcW w:w="0" w:type="auto"/>
          </w:tcPr>
          <w:p w14:paraId="35D43C2F" w14:textId="77777777" w:rsidR="00520F8C" w:rsidRPr="00061979" w:rsidRDefault="00520F8C" w:rsidP="000607A0">
            <w:pPr>
              <w:autoSpaceDE w:val="0"/>
              <w:autoSpaceDN w:val="0"/>
              <w:adjustRightInd w:val="0"/>
              <w:jc w:val="center"/>
              <w:rPr>
                <w:rFonts w:ascii="Arial" w:hAnsi="Arial" w:cs="Arial"/>
              </w:rPr>
            </w:pPr>
          </w:p>
          <w:p w14:paraId="10C1435D" w14:textId="77777777" w:rsidR="00520F8C" w:rsidRPr="00061979" w:rsidRDefault="00520F8C" w:rsidP="000607A0">
            <w:pPr>
              <w:autoSpaceDE w:val="0"/>
              <w:autoSpaceDN w:val="0"/>
              <w:adjustRightInd w:val="0"/>
              <w:jc w:val="center"/>
              <w:rPr>
                <w:rFonts w:ascii="Arial" w:hAnsi="Arial" w:cs="Arial"/>
              </w:rPr>
            </w:pPr>
          </w:p>
          <w:p w14:paraId="7E7F633E" w14:textId="07F9AF28"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w:t>
            </w:r>
            <w:r w:rsidR="00636AA5" w:rsidRPr="00061979">
              <w:rPr>
                <w:rFonts w:ascii="Arial" w:hAnsi="Arial" w:cs="Arial"/>
              </w:rPr>
              <w:t>5</w:t>
            </w:r>
          </w:p>
        </w:tc>
        <w:tc>
          <w:tcPr>
            <w:tcW w:w="0" w:type="auto"/>
          </w:tcPr>
          <w:p w14:paraId="1AAB8EB7" w14:textId="77777777" w:rsidR="00520F8C" w:rsidRPr="00061979" w:rsidRDefault="00520F8C" w:rsidP="000607A0">
            <w:pPr>
              <w:autoSpaceDE w:val="0"/>
              <w:autoSpaceDN w:val="0"/>
              <w:adjustRightInd w:val="0"/>
              <w:jc w:val="center"/>
              <w:rPr>
                <w:rFonts w:ascii="Arial" w:hAnsi="Arial" w:cs="Arial"/>
              </w:rPr>
            </w:pPr>
          </w:p>
          <w:p w14:paraId="20008D18" w14:textId="77777777" w:rsidR="00520F8C" w:rsidRPr="00061979" w:rsidRDefault="00520F8C" w:rsidP="000607A0">
            <w:pPr>
              <w:autoSpaceDE w:val="0"/>
              <w:autoSpaceDN w:val="0"/>
              <w:adjustRightInd w:val="0"/>
              <w:jc w:val="center"/>
              <w:rPr>
                <w:rFonts w:ascii="Arial" w:hAnsi="Arial" w:cs="Arial"/>
              </w:rPr>
            </w:pPr>
          </w:p>
          <w:p w14:paraId="7E7F633F" w14:textId="5FE99B88"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4A" w14:textId="77777777" w:rsidTr="004F5BAE">
        <w:tc>
          <w:tcPr>
            <w:tcW w:w="0" w:type="auto"/>
          </w:tcPr>
          <w:p w14:paraId="7E7F6343" w14:textId="77777777" w:rsidR="00636AA5" w:rsidRPr="00061979" w:rsidRDefault="00636AA5" w:rsidP="00764B4F">
            <w:pPr>
              <w:pStyle w:val="ListParagraph"/>
              <w:autoSpaceDE w:val="0"/>
              <w:autoSpaceDN w:val="0"/>
              <w:adjustRightInd w:val="0"/>
              <w:ind w:left="360"/>
              <w:rPr>
                <w:rFonts w:ascii="Arial" w:hAnsi="Arial" w:cs="Arial"/>
              </w:rPr>
            </w:pPr>
          </w:p>
        </w:tc>
        <w:tc>
          <w:tcPr>
            <w:tcW w:w="0" w:type="auto"/>
          </w:tcPr>
          <w:p w14:paraId="7E7F6344" w14:textId="5A42B912"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provide detail of how you would approach providing advice and support in relation to policies relevant to sustainable design and construction and providing site-specific advice of how to best achieve relevant and best practice </w:t>
            </w:r>
            <w:r w:rsidRPr="00061979">
              <w:rPr>
                <w:rFonts w:ascii="Arial" w:hAnsi="Arial" w:cs="Arial"/>
              </w:rPr>
              <w:lastRenderedPageBreak/>
              <w:t>standards of sustainable design and construction.</w:t>
            </w:r>
          </w:p>
          <w:p w14:paraId="7E7F6345"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53C696C2" w14:textId="77777777" w:rsidR="00520F8C" w:rsidRPr="00061979" w:rsidRDefault="00520F8C" w:rsidP="000607A0">
            <w:pPr>
              <w:autoSpaceDE w:val="0"/>
              <w:autoSpaceDN w:val="0"/>
              <w:adjustRightInd w:val="0"/>
              <w:jc w:val="center"/>
              <w:rPr>
                <w:rFonts w:ascii="Arial" w:hAnsi="Arial" w:cs="Arial"/>
              </w:rPr>
            </w:pPr>
          </w:p>
          <w:p w14:paraId="6DC9BC0A" w14:textId="77777777" w:rsidR="00520F8C" w:rsidRPr="00061979" w:rsidRDefault="00520F8C" w:rsidP="000607A0">
            <w:pPr>
              <w:autoSpaceDE w:val="0"/>
              <w:autoSpaceDN w:val="0"/>
              <w:adjustRightInd w:val="0"/>
              <w:jc w:val="center"/>
              <w:rPr>
                <w:rFonts w:ascii="Arial" w:hAnsi="Arial" w:cs="Arial"/>
              </w:rPr>
            </w:pPr>
          </w:p>
          <w:p w14:paraId="3CCCF794" w14:textId="77777777" w:rsidR="00520F8C" w:rsidRPr="00061979" w:rsidRDefault="00520F8C" w:rsidP="000607A0">
            <w:pPr>
              <w:autoSpaceDE w:val="0"/>
              <w:autoSpaceDN w:val="0"/>
              <w:adjustRightInd w:val="0"/>
              <w:jc w:val="center"/>
              <w:rPr>
                <w:rFonts w:ascii="Arial" w:hAnsi="Arial" w:cs="Arial"/>
              </w:rPr>
            </w:pPr>
          </w:p>
          <w:p w14:paraId="7E7F6346" w14:textId="2807BE33"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23F66FCD" w14:textId="77777777" w:rsidR="00520F8C" w:rsidRPr="00061979" w:rsidRDefault="00520F8C" w:rsidP="000607A0">
            <w:pPr>
              <w:autoSpaceDE w:val="0"/>
              <w:autoSpaceDN w:val="0"/>
              <w:adjustRightInd w:val="0"/>
              <w:jc w:val="center"/>
              <w:rPr>
                <w:rFonts w:ascii="Arial" w:hAnsi="Arial" w:cs="Arial"/>
              </w:rPr>
            </w:pPr>
          </w:p>
          <w:p w14:paraId="26DA3825" w14:textId="77777777" w:rsidR="00520F8C" w:rsidRPr="00061979" w:rsidRDefault="00520F8C" w:rsidP="000607A0">
            <w:pPr>
              <w:autoSpaceDE w:val="0"/>
              <w:autoSpaceDN w:val="0"/>
              <w:adjustRightInd w:val="0"/>
              <w:jc w:val="center"/>
              <w:rPr>
                <w:rFonts w:ascii="Arial" w:hAnsi="Arial" w:cs="Arial"/>
              </w:rPr>
            </w:pPr>
          </w:p>
          <w:p w14:paraId="289B0754" w14:textId="77777777" w:rsidR="00520F8C" w:rsidRPr="00061979" w:rsidRDefault="00520F8C" w:rsidP="000607A0">
            <w:pPr>
              <w:autoSpaceDE w:val="0"/>
              <w:autoSpaceDN w:val="0"/>
              <w:adjustRightInd w:val="0"/>
              <w:jc w:val="center"/>
              <w:rPr>
                <w:rFonts w:ascii="Arial" w:hAnsi="Arial" w:cs="Arial"/>
              </w:rPr>
            </w:pPr>
          </w:p>
          <w:p w14:paraId="7E7F6347" w14:textId="43C646E8"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54" w14:textId="77777777" w:rsidTr="004F5BAE">
        <w:tc>
          <w:tcPr>
            <w:tcW w:w="0" w:type="auto"/>
          </w:tcPr>
          <w:p w14:paraId="7E7F634B" w14:textId="77777777" w:rsidR="00636AA5" w:rsidRPr="00061979" w:rsidRDefault="00636AA5" w:rsidP="009933EC">
            <w:pPr>
              <w:autoSpaceDE w:val="0"/>
              <w:autoSpaceDN w:val="0"/>
              <w:adjustRightInd w:val="0"/>
              <w:rPr>
                <w:rFonts w:ascii="Arial" w:hAnsi="Arial" w:cs="Arial"/>
                <w:b/>
              </w:rPr>
            </w:pPr>
            <w:r w:rsidRPr="00061979">
              <w:rPr>
                <w:rFonts w:ascii="Arial" w:hAnsi="Arial" w:cs="Arial"/>
                <w:b/>
              </w:rPr>
              <w:t xml:space="preserve">Service Management and Delivery </w:t>
            </w:r>
          </w:p>
          <w:p w14:paraId="7E7F634C" w14:textId="77777777" w:rsidR="00636AA5" w:rsidRPr="00061979" w:rsidRDefault="00636AA5" w:rsidP="00B045EC">
            <w:pPr>
              <w:autoSpaceDE w:val="0"/>
              <w:autoSpaceDN w:val="0"/>
              <w:adjustRightInd w:val="0"/>
              <w:rPr>
                <w:rFonts w:ascii="Arial" w:hAnsi="Arial" w:cs="Arial"/>
                <w:b/>
              </w:rPr>
            </w:pPr>
          </w:p>
        </w:tc>
        <w:tc>
          <w:tcPr>
            <w:tcW w:w="0" w:type="auto"/>
          </w:tcPr>
          <w:p w14:paraId="7E7F634D" w14:textId="5880A9E8" w:rsidR="00636AA5" w:rsidRPr="00061979" w:rsidRDefault="00636AA5" w:rsidP="00B72851">
            <w:pPr>
              <w:pStyle w:val="ListParagraph"/>
              <w:numPr>
                <w:ilvl w:val="0"/>
                <w:numId w:val="52"/>
              </w:numPr>
              <w:autoSpaceDE w:val="0"/>
              <w:autoSpaceDN w:val="0"/>
              <w:adjustRightInd w:val="0"/>
              <w:ind w:left="318" w:hanging="284"/>
              <w:rPr>
                <w:rFonts w:ascii="Arial" w:hAnsi="Arial" w:cs="Arial"/>
                <w:b/>
              </w:rPr>
            </w:pPr>
            <w:r w:rsidRPr="00061979">
              <w:rPr>
                <w:rFonts w:ascii="Arial" w:hAnsi="Arial" w:cs="Arial"/>
              </w:rPr>
              <w:t xml:space="preserve">Please describe your availability and capacity to start work and deliver to </w:t>
            </w:r>
            <w:proofErr w:type="gramStart"/>
            <w:r w:rsidRPr="00061979">
              <w:rPr>
                <w:rFonts w:ascii="Arial" w:hAnsi="Arial" w:cs="Arial"/>
              </w:rPr>
              <w:t>timescales</w:t>
            </w:r>
            <w:proofErr w:type="gramEnd"/>
          </w:p>
          <w:p w14:paraId="7E7F634F"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53714870" w14:textId="77777777" w:rsidR="00520F8C" w:rsidRPr="00061979" w:rsidRDefault="00520F8C" w:rsidP="000607A0">
            <w:pPr>
              <w:autoSpaceDE w:val="0"/>
              <w:autoSpaceDN w:val="0"/>
              <w:adjustRightInd w:val="0"/>
              <w:jc w:val="center"/>
              <w:rPr>
                <w:rFonts w:ascii="Arial" w:hAnsi="Arial" w:cs="Arial"/>
              </w:rPr>
            </w:pPr>
          </w:p>
          <w:p w14:paraId="28FFEFF1" w14:textId="77777777" w:rsidR="00520F8C" w:rsidRPr="00061979" w:rsidRDefault="00520F8C" w:rsidP="000607A0">
            <w:pPr>
              <w:autoSpaceDE w:val="0"/>
              <w:autoSpaceDN w:val="0"/>
              <w:adjustRightInd w:val="0"/>
              <w:jc w:val="center"/>
              <w:rPr>
                <w:rFonts w:ascii="Arial" w:hAnsi="Arial" w:cs="Arial"/>
              </w:rPr>
            </w:pPr>
          </w:p>
          <w:p w14:paraId="7E7F6350" w14:textId="4C18753B"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203C0A60" w14:textId="77777777" w:rsidR="00520F8C" w:rsidRPr="00061979" w:rsidRDefault="00520F8C" w:rsidP="000607A0">
            <w:pPr>
              <w:autoSpaceDE w:val="0"/>
              <w:autoSpaceDN w:val="0"/>
              <w:adjustRightInd w:val="0"/>
              <w:jc w:val="center"/>
              <w:rPr>
                <w:rFonts w:ascii="Arial" w:hAnsi="Arial" w:cs="Arial"/>
              </w:rPr>
            </w:pPr>
          </w:p>
          <w:p w14:paraId="0FA2B604" w14:textId="77777777" w:rsidR="00520F8C" w:rsidRPr="00061979" w:rsidRDefault="00520F8C" w:rsidP="000607A0">
            <w:pPr>
              <w:autoSpaceDE w:val="0"/>
              <w:autoSpaceDN w:val="0"/>
              <w:adjustRightInd w:val="0"/>
              <w:jc w:val="center"/>
              <w:rPr>
                <w:rFonts w:ascii="Arial" w:hAnsi="Arial" w:cs="Arial"/>
              </w:rPr>
            </w:pPr>
          </w:p>
          <w:p w14:paraId="7E7F6351" w14:textId="3BC85647"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5C" w14:textId="77777777" w:rsidTr="004F5BAE">
        <w:tc>
          <w:tcPr>
            <w:tcW w:w="0" w:type="auto"/>
          </w:tcPr>
          <w:p w14:paraId="7E7F6355" w14:textId="77777777" w:rsidR="00636AA5" w:rsidRPr="00061979" w:rsidRDefault="00636AA5" w:rsidP="009933EC">
            <w:pPr>
              <w:autoSpaceDE w:val="0"/>
              <w:autoSpaceDN w:val="0"/>
              <w:adjustRightInd w:val="0"/>
              <w:rPr>
                <w:rFonts w:ascii="Arial" w:hAnsi="Arial" w:cs="Arial"/>
                <w:b/>
              </w:rPr>
            </w:pPr>
          </w:p>
        </w:tc>
        <w:tc>
          <w:tcPr>
            <w:tcW w:w="0" w:type="auto"/>
          </w:tcPr>
          <w:p w14:paraId="7E7F6356" w14:textId="3B2CEF4A"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 xml:space="preserve">Please outline the monitoring systems that you will use to manage and record </w:t>
            </w:r>
            <w:proofErr w:type="gramStart"/>
            <w:r w:rsidRPr="00061979">
              <w:rPr>
                <w:rFonts w:ascii="Arial" w:hAnsi="Arial" w:cs="Arial"/>
              </w:rPr>
              <w:t>applications</w:t>
            </w:r>
            <w:proofErr w:type="gramEnd"/>
            <w:r w:rsidRPr="00061979">
              <w:rPr>
                <w:rFonts w:ascii="Arial" w:hAnsi="Arial" w:cs="Arial"/>
              </w:rPr>
              <w:t xml:space="preserve"> </w:t>
            </w:r>
          </w:p>
          <w:p w14:paraId="7E7F6357"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22C218AA" w14:textId="77777777" w:rsidR="00520F8C" w:rsidRPr="00061979" w:rsidRDefault="00520F8C" w:rsidP="000607A0">
            <w:pPr>
              <w:autoSpaceDE w:val="0"/>
              <w:autoSpaceDN w:val="0"/>
              <w:adjustRightInd w:val="0"/>
              <w:jc w:val="center"/>
              <w:rPr>
                <w:rFonts w:ascii="Arial" w:hAnsi="Arial" w:cs="Arial"/>
              </w:rPr>
            </w:pPr>
          </w:p>
          <w:p w14:paraId="7E7F6358" w14:textId="615635F1"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27D58811" w14:textId="77777777" w:rsidR="00520F8C" w:rsidRPr="00061979" w:rsidRDefault="00520F8C" w:rsidP="000607A0">
            <w:pPr>
              <w:autoSpaceDE w:val="0"/>
              <w:autoSpaceDN w:val="0"/>
              <w:adjustRightInd w:val="0"/>
              <w:jc w:val="center"/>
              <w:rPr>
                <w:rFonts w:ascii="Arial" w:hAnsi="Arial" w:cs="Arial"/>
              </w:rPr>
            </w:pPr>
          </w:p>
          <w:p w14:paraId="39E29B31" w14:textId="77777777" w:rsidR="00520F8C" w:rsidRPr="00061979" w:rsidRDefault="00520F8C" w:rsidP="000607A0">
            <w:pPr>
              <w:autoSpaceDE w:val="0"/>
              <w:autoSpaceDN w:val="0"/>
              <w:adjustRightInd w:val="0"/>
              <w:jc w:val="center"/>
              <w:rPr>
                <w:rFonts w:ascii="Arial" w:hAnsi="Arial" w:cs="Arial"/>
              </w:rPr>
            </w:pPr>
          </w:p>
          <w:p w14:paraId="7E7F6359" w14:textId="44B39EDF"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65" w14:textId="77777777" w:rsidTr="004F5BAE">
        <w:tc>
          <w:tcPr>
            <w:tcW w:w="0" w:type="auto"/>
          </w:tcPr>
          <w:p w14:paraId="7E7F635D" w14:textId="76DAD6A1" w:rsidR="00636AA5" w:rsidRPr="00061979" w:rsidRDefault="00636AA5" w:rsidP="007D35EA">
            <w:pPr>
              <w:autoSpaceDE w:val="0"/>
              <w:autoSpaceDN w:val="0"/>
              <w:adjustRightInd w:val="0"/>
              <w:rPr>
                <w:rFonts w:ascii="Arial" w:hAnsi="Arial" w:cs="Arial"/>
                <w:b/>
              </w:rPr>
            </w:pPr>
            <w:r w:rsidRPr="00061979">
              <w:rPr>
                <w:rFonts w:ascii="Arial" w:hAnsi="Arial" w:cs="Arial"/>
                <w:b/>
              </w:rPr>
              <w:t>Provision and Quality of Service</w:t>
            </w:r>
          </w:p>
          <w:p w14:paraId="7E7F635E" w14:textId="77777777" w:rsidR="00636AA5" w:rsidRPr="00061979" w:rsidRDefault="00636AA5" w:rsidP="00B045EC">
            <w:pPr>
              <w:autoSpaceDE w:val="0"/>
              <w:autoSpaceDN w:val="0"/>
              <w:adjustRightInd w:val="0"/>
              <w:rPr>
                <w:rFonts w:ascii="Arial" w:hAnsi="Arial" w:cs="Arial"/>
                <w:b/>
              </w:rPr>
            </w:pPr>
          </w:p>
        </w:tc>
        <w:tc>
          <w:tcPr>
            <w:tcW w:w="0" w:type="auto"/>
          </w:tcPr>
          <w:p w14:paraId="7E7F635F" w14:textId="506B57A9"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Please provide the names, CV’s, professional membership details, roles and the technical expertise &amp; experience of the consultants that will be assigned to this project and their experience in providing assessments. Please also state if any aspects of the brief scope are to be subcontracted to external and/or subsidiary companies/</w:t>
            </w:r>
            <w:proofErr w:type="spellStart"/>
            <w:r w:rsidRPr="00061979">
              <w:rPr>
                <w:rFonts w:ascii="Arial" w:hAnsi="Arial" w:cs="Arial"/>
              </w:rPr>
              <w:t>organisation</w:t>
            </w:r>
            <w:proofErr w:type="spellEnd"/>
            <w:r w:rsidRPr="00061979">
              <w:rPr>
                <w:rFonts w:ascii="Arial" w:hAnsi="Arial" w:cs="Arial"/>
              </w:rPr>
              <w:t xml:space="preserve">.  </w:t>
            </w:r>
          </w:p>
          <w:p w14:paraId="7E7F6360" w14:textId="77777777" w:rsidR="00636AA5" w:rsidRPr="00061979" w:rsidRDefault="00636AA5" w:rsidP="00B72851">
            <w:pPr>
              <w:autoSpaceDE w:val="0"/>
              <w:autoSpaceDN w:val="0"/>
              <w:adjustRightInd w:val="0"/>
              <w:ind w:left="318" w:hanging="284"/>
              <w:rPr>
                <w:rFonts w:ascii="Arial" w:hAnsi="Arial" w:cs="Arial"/>
                <w:b/>
              </w:rPr>
            </w:pPr>
          </w:p>
        </w:tc>
        <w:tc>
          <w:tcPr>
            <w:tcW w:w="0" w:type="auto"/>
          </w:tcPr>
          <w:p w14:paraId="6E9D3189" w14:textId="77777777" w:rsidR="00520F8C" w:rsidRPr="00061979" w:rsidRDefault="00520F8C" w:rsidP="00764B4F">
            <w:pPr>
              <w:autoSpaceDE w:val="0"/>
              <w:autoSpaceDN w:val="0"/>
              <w:adjustRightInd w:val="0"/>
              <w:jc w:val="right"/>
              <w:rPr>
                <w:rFonts w:ascii="Arial" w:hAnsi="Arial" w:cs="Arial"/>
              </w:rPr>
            </w:pPr>
          </w:p>
          <w:p w14:paraId="79674805" w14:textId="77777777" w:rsidR="00520F8C" w:rsidRPr="00061979" w:rsidRDefault="00520F8C" w:rsidP="00764B4F">
            <w:pPr>
              <w:autoSpaceDE w:val="0"/>
              <w:autoSpaceDN w:val="0"/>
              <w:adjustRightInd w:val="0"/>
              <w:jc w:val="right"/>
              <w:rPr>
                <w:rFonts w:ascii="Arial" w:hAnsi="Arial" w:cs="Arial"/>
              </w:rPr>
            </w:pPr>
          </w:p>
          <w:p w14:paraId="4B6FAB93" w14:textId="77777777" w:rsidR="00520F8C" w:rsidRPr="00061979" w:rsidRDefault="00520F8C" w:rsidP="00764B4F">
            <w:pPr>
              <w:autoSpaceDE w:val="0"/>
              <w:autoSpaceDN w:val="0"/>
              <w:adjustRightInd w:val="0"/>
              <w:jc w:val="right"/>
              <w:rPr>
                <w:rFonts w:ascii="Arial" w:hAnsi="Arial" w:cs="Arial"/>
              </w:rPr>
            </w:pPr>
          </w:p>
          <w:p w14:paraId="5E98CD42" w14:textId="77777777" w:rsidR="00520F8C" w:rsidRPr="00061979" w:rsidRDefault="00520F8C" w:rsidP="00764B4F">
            <w:pPr>
              <w:autoSpaceDE w:val="0"/>
              <w:autoSpaceDN w:val="0"/>
              <w:adjustRightInd w:val="0"/>
              <w:jc w:val="right"/>
              <w:rPr>
                <w:rFonts w:ascii="Arial" w:hAnsi="Arial" w:cs="Arial"/>
              </w:rPr>
            </w:pPr>
          </w:p>
          <w:p w14:paraId="7E7F6361" w14:textId="436052C4"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1B888183" w14:textId="77777777" w:rsidR="00520F8C" w:rsidRPr="00061979" w:rsidRDefault="00520F8C" w:rsidP="000607A0">
            <w:pPr>
              <w:autoSpaceDE w:val="0"/>
              <w:autoSpaceDN w:val="0"/>
              <w:adjustRightInd w:val="0"/>
              <w:jc w:val="center"/>
              <w:rPr>
                <w:rFonts w:ascii="Arial" w:hAnsi="Arial" w:cs="Arial"/>
              </w:rPr>
            </w:pPr>
          </w:p>
          <w:p w14:paraId="5610CD73" w14:textId="77777777" w:rsidR="00520F8C" w:rsidRPr="00061979" w:rsidRDefault="00520F8C" w:rsidP="000607A0">
            <w:pPr>
              <w:autoSpaceDE w:val="0"/>
              <w:autoSpaceDN w:val="0"/>
              <w:adjustRightInd w:val="0"/>
              <w:jc w:val="center"/>
              <w:rPr>
                <w:rFonts w:ascii="Arial" w:hAnsi="Arial" w:cs="Arial"/>
              </w:rPr>
            </w:pPr>
          </w:p>
          <w:p w14:paraId="775E0A48" w14:textId="77777777" w:rsidR="00520F8C" w:rsidRPr="00061979" w:rsidRDefault="00520F8C" w:rsidP="000607A0">
            <w:pPr>
              <w:autoSpaceDE w:val="0"/>
              <w:autoSpaceDN w:val="0"/>
              <w:adjustRightInd w:val="0"/>
              <w:jc w:val="center"/>
              <w:rPr>
                <w:rFonts w:ascii="Arial" w:hAnsi="Arial" w:cs="Arial"/>
              </w:rPr>
            </w:pPr>
          </w:p>
          <w:p w14:paraId="0B39E4A4" w14:textId="77777777" w:rsidR="00520F8C" w:rsidRPr="00061979" w:rsidRDefault="00520F8C" w:rsidP="000607A0">
            <w:pPr>
              <w:autoSpaceDE w:val="0"/>
              <w:autoSpaceDN w:val="0"/>
              <w:adjustRightInd w:val="0"/>
              <w:jc w:val="center"/>
              <w:rPr>
                <w:rFonts w:ascii="Arial" w:hAnsi="Arial" w:cs="Arial"/>
              </w:rPr>
            </w:pPr>
          </w:p>
          <w:p w14:paraId="7E7F6362" w14:textId="7EE751CB"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6D" w14:textId="77777777" w:rsidTr="004F5BAE">
        <w:tc>
          <w:tcPr>
            <w:tcW w:w="0" w:type="auto"/>
          </w:tcPr>
          <w:p w14:paraId="7E7F6366" w14:textId="77777777" w:rsidR="00636AA5" w:rsidRPr="00061979" w:rsidRDefault="00636AA5" w:rsidP="00B045EC">
            <w:pPr>
              <w:autoSpaceDE w:val="0"/>
              <w:autoSpaceDN w:val="0"/>
              <w:adjustRightInd w:val="0"/>
              <w:rPr>
                <w:rFonts w:ascii="Arial" w:hAnsi="Arial" w:cs="Arial"/>
                <w:b/>
              </w:rPr>
            </w:pPr>
          </w:p>
        </w:tc>
        <w:tc>
          <w:tcPr>
            <w:tcW w:w="0" w:type="auto"/>
          </w:tcPr>
          <w:p w14:paraId="7E7F6367" w14:textId="1766EAC6" w:rsidR="00636AA5" w:rsidRPr="00061979" w:rsidRDefault="00636AA5" w:rsidP="00B72851">
            <w:pPr>
              <w:pStyle w:val="ListParagraph"/>
              <w:numPr>
                <w:ilvl w:val="0"/>
                <w:numId w:val="52"/>
              </w:numPr>
              <w:autoSpaceDE w:val="0"/>
              <w:autoSpaceDN w:val="0"/>
              <w:adjustRightInd w:val="0"/>
              <w:ind w:left="318" w:hanging="284"/>
              <w:rPr>
                <w:rFonts w:ascii="Arial" w:hAnsi="Arial" w:cs="Arial"/>
              </w:rPr>
            </w:pPr>
            <w:r w:rsidRPr="00061979">
              <w:rPr>
                <w:rFonts w:ascii="Arial" w:hAnsi="Arial" w:cs="Arial"/>
              </w:rPr>
              <w:t>Please provide evidence of delivering sustainable design and construction support to planners and developers</w:t>
            </w:r>
          </w:p>
          <w:p w14:paraId="7E7F6368" w14:textId="77777777" w:rsidR="00636AA5" w:rsidRPr="00061979" w:rsidRDefault="00636AA5" w:rsidP="00B72851">
            <w:pPr>
              <w:autoSpaceDE w:val="0"/>
              <w:autoSpaceDN w:val="0"/>
              <w:adjustRightInd w:val="0"/>
              <w:ind w:left="318" w:hanging="284"/>
              <w:rPr>
                <w:rFonts w:ascii="Arial" w:hAnsi="Arial" w:cs="Arial"/>
              </w:rPr>
            </w:pPr>
          </w:p>
        </w:tc>
        <w:tc>
          <w:tcPr>
            <w:tcW w:w="0" w:type="auto"/>
          </w:tcPr>
          <w:p w14:paraId="3D5C4ABE" w14:textId="77777777" w:rsidR="00520F8C" w:rsidRPr="00061979" w:rsidRDefault="00520F8C" w:rsidP="000607A0">
            <w:pPr>
              <w:autoSpaceDE w:val="0"/>
              <w:autoSpaceDN w:val="0"/>
              <w:adjustRightInd w:val="0"/>
              <w:jc w:val="center"/>
              <w:rPr>
                <w:rFonts w:ascii="Arial" w:hAnsi="Arial" w:cs="Arial"/>
              </w:rPr>
            </w:pPr>
          </w:p>
          <w:p w14:paraId="7E7F6369" w14:textId="6153F87A"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0" w:type="auto"/>
          </w:tcPr>
          <w:p w14:paraId="6065AF7C" w14:textId="77777777" w:rsidR="00520F8C" w:rsidRPr="00061979" w:rsidRDefault="00520F8C" w:rsidP="000607A0">
            <w:pPr>
              <w:autoSpaceDE w:val="0"/>
              <w:autoSpaceDN w:val="0"/>
              <w:adjustRightInd w:val="0"/>
              <w:jc w:val="center"/>
              <w:rPr>
                <w:rFonts w:ascii="Arial" w:hAnsi="Arial" w:cs="Arial"/>
              </w:rPr>
            </w:pPr>
          </w:p>
          <w:p w14:paraId="7E7F636A" w14:textId="654698ED"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636AA5" w:rsidRPr="008A568A" w14:paraId="7E7F6374" w14:textId="77777777" w:rsidTr="004F5BAE">
        <w:tc>
          <w:tcPr>
            <w:tcW w:w="0" w:type="auto"/>
          </w:tcPr>
          <w:p w14:paraId="7E7F636E" w14:textId="16D7D945" w:rsidR="00636AA5" w:rsidRPr="00061979" w:rsidRDefault="00636AA5" w:rsidP="002B0638">
            <w:pPr>
              <w:autoSpaceDE w:val="0"/>
              <w:autoSpaceDN w:val="0"/>
              <w:adjustRightInd w:val="0"/>
              <w:rPr>
                <w:rFonts w:ascii="Arial" w:hAnsi="Arial" w:cs="Arial"/>
              </w:rPr>
            </w:pPr>
            <w:r w:rsidRPr="00061979">
              <w:rPr>
                <w:rFonts w:ascii="Arial" w:hAnsi="Arial" w:cs="Arial"/>
              </w:rPr>
              <w:t>Total</w:t>
            </w:r>
          </w:p>
        </w:tc>
        <w:tc>
          <w:tcPr>
            <w:tcW w:w="0" w:type="auto"/>
          </w:tcPr>
          <w:p w14:paraId="7E7F636F" w14:textId="06D21703" w:rsidR="00636AA5" w:rsidRPr="00061979" w:rsidRDefault="00636AA5" w:rsidP="002B0638">
            <w:pPr>
              <w:autoSpaceDE w:val="0"/>
              <w:autoSpaceDN w:val="0"/>
              <w:adjustRightInd w:val="0"/>
              <w:rPr>
                <w:rFonts w:ascii="Arial" w:hAnsi="Arial" w:cs="Arial"/>
              </w:rPr>
            </w:pPr>
          </w:p>
        </w:tc>
        <w:tc>
          <w:tcPr>
            <w:tcW w:w="0" w:type="auto"/>
          </w:tcPr>
          <w:p w14:paraId="7E7F6370" w14:textId="77777777" w:rsidR="00636AA5" w:rsidRPr="00061979" w:rsidRDefault="00636AA5" w:rsidP="00764B4F">
            <w:pPr>
              <w:autoSpaceDE w:val="0"/>
              <w:autoSpaceDN w:val="0"/>
              <w:adjustRightInd w:val="0"/>
              <w:jc w:val="right"/>
              <w:rPr>
                <w:rFonts w:ascii="Arial" w:hAnsi="Arial" w:cs="Arial"/>
              </w:rPr>
            </w:pPr>
          </w:p>
        </w:tc>
        <w:tc>
          <w:tcPr>
            <w:tcW w:w="0" w:type="auto"/>
          </w:tcPr>
          <w:p w14:paraId="7E7F6371" w14:textId="6DA98320" w:rsidR="00636AA5" w:rsidRPr="00061979" w:rsidRDefault="00520F8C" w:rsidP="00061979">
            <w:pPr>
              <w:autoSpaceDE w:val="0"/>
              <w:autoSpaceDN w:val="0"/>
              <w:adjustRightInd w:val="0"/>
              <w:jc w:val="center"/>
              <w:rPr>
                <w:rFonts w:ascii="Arial" w:hAnsi="Arial" w:cs="Arial"/>
                <w:b/>
                <w:bCs/>
              </w:rPr>
            </w:pPr>
            <w:r w:rsidRPr="00061979">
              <w:rPr>
                <w:rFonts w:ascii="Arial" w:hAnsi="Arial" w:cs="Arial"/>
                <w:b/>
                <w:bCs/>
              </w:rPr>
              <w:t>60%</w:t>
            </w:r>
          </w:p>
        </w:tc>
      </w:tr>
      <w:bookmarkEnd w:id="2"/>
    </w:tbl>
    <w:p w14:paraId="7E7F6376" w14:textId="77777777" w:rsidR="0002564A" w:rsidRPr="00061979" w:rsidRDefault="0002564A" w:rsidP="0002564A">
      <w:pPr>
        <w:autoSpaceDE w:val="0"/>
        <w:autoSpaceDN w:val="0"/>
        <w:adjustRightInd w:val="0"/>
        <w:spacing w:after="0" w:line="240" w:lineRule="auto"/>
        <w:rPr>
          <w:rFonts w:ascii="Arial" w:hAnsi="Arial" w:cs="Arial"/>
        </w:rPr>
      </w:pPr>
    </w:p>
    <w:p w14:paraId="7E7F6377" w14:textId="77777777" w:rsidR="0002564A" w:rsidRPr="00061979" w:rsidRDefault="0002564A" w:rsidP="0002564A">
      <w:pPr>
        <w:autoSpaceDE w:val="0"/>
        <w:autoSpaceDN w:val="0"/>
        <w:adjustRightInd w:val="0"/>
        <w:spacing w:after="0" w:line="240" w:lineRule="auto"/>
        <w:rPr>
          <w:rFonts w:ascii="Arial" w:hAnsi="Arial" w:cs="Arial"/>
        </w:rPr>
      </w:pPr>
    </w:p>
    <w:p w14:paraId="7E7F6378" w14:textId="4F3765D7"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The components which are indicated with appropriate weightings will be evaluated by the panel and the appropriate score will be agreed and added to form the total Quality Evaluati</w:t>
      </w:r>
      <w:r w:rsidR="00207378" w:rsidRPr="00061979">
        <w:rPr>
          <w:rFonts w:ascii="Arial" w:hAnsi="Arial" w:cs="Arial"/>
        </w:rPr>
        <w:t>on Mark.  The score achieved for</w:t>
      </w:r>
      <w:r w:rsidRPr="00061979">
        <w:rPr>
          <w:rFonts w:ascii="Arial" w:hAnsi="Arial" w:cs="Arial"/>
        </w:rPr>
        <w:t xml:space="preserve"> this section, Quality Evaluation Mark, will be weighted at </w:t>
      </w:r>
      <w:r w:rsidR="003D7B4A" w:rsidRPr="00061979">
        <w:rPr>
          <w:rFonts w:ascii="Arial" w:hAnsi="Arial" w:cs="Arial"/>
        </w:rPr>
        <w:t>6</w:t>
      </w:r>
      <w:r w:rsidRPr="00061979">
        <w:rPr>
          <w:rFonts w:ascii="Arial" w:hAnsi="Arial" w:cs="Arial"/>
        </w:rPr>
        <w:t>0% to give the final score for quality (Quality Score)</w:t>
      </w:r>
      <w:r w:rsidR="00443411" w:rsidRPr="00061979">
        <w:rPr>
          <w:rFonts w:ascii="Arial" w:hAnsi="Arial" w:cs="Arial"/>
        </w:rPr>
        <w:t>.</w:t>
      </w:r>
    </w:p>
    <w:p w14:paraId="7E7F6379" w14:textId="77777777" w:rsidR="00EC308F" w:rsidRPr="00061979" w:rsidRDefault="00EC308F" w:rsidP="00EC308F">
      <w:pPr>
        <w:pStyle w:val="ListParagraph"/>
        <w:autoSpaceDE w:val="0"/>
        <w:autoSpaceDN w:val="0"/>
        <w:adjustRightInd w:val="0"/>
        <w:spacing w:after="0" w:line="240" w:lineRule="auto"/>
        <w:ind w:left="567"/>
        <w:rPr>
          <w:rFonts w:ascii="Arial" w:hAnsi="Arial" w:cs="Arial"/>
        </w:rPr>
      </w:pPr>
    </w:p>
    <w:p w14:paraId="7E7F637A" w14:textId="77777777"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The council reserves the right to ch</w:t>
      </w:r>
      <w:r w:rsidR="00207378" w:rsidRPr="00061979">
        <w:rPr>
          <w:rFonts w:ascii="Arial" w:hAnsi="Arial" w:cs="Arial"/>
        </w:rPr>
        <w:t>allenge any information provide</w:t>
      </w:r>
      <w:r w:rsidRPr="00061979">
        <w:rPr>
          <w:rFonts w:ascii="Arial" w:hAnsi="Arial" w:cs="Arial"/>
        </w:rPr>
        <w:t>d</w:t>
      </w:r>
      <w:r w:rsidR="00207378" w:rsidRPr="00061979">
        <w:rPr>
          <w:rFonts w:ascii="Arial" w:hAnsi="Arial" w:cs="Arial"/>
        </w:rPr>
        <w:t xml:space="preserve"> </w:t>
      </w:r>
      <w:r w:rsidRPr="00061979">
        <w:rPr>
          <w:rFonts w:ascii="Arial" w:hAnsi="Arial" w:cs="Arial"/>
        </w:rPr>
        <w:t>in response to the RFQ and request further information in support of any statements made therein.</w:t>
      </w:r>
    </w:p>
    <w:p w14:paraId="7E7F637B" w14:textId="77777777" w:rsidR="00EC308F" w:rsidRPr="00061979" w:rsidRDefault="00EC308F" w:rsidP="00EC308F">
      <w:pPr>
        <w:pStyle w:val="ListParagraph"/>
        <w:rPr>
          <w:rFonts w:ascii="Arial" w:hAnsi="Arial" w:cs="Arial"/>
        </w:rPr>
      </w:pPr>
    </w:p>
    <w:p w14:paraId="7E7F637C" w14:textId="3C520065"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Potential providers must achieve the minimum acceptable </w:t>
      </w:r>
      <w:r w:rsidR="009B3F31" w:rsidRPr="00061979">
        <w:rPr>
          <w:rFonts w:ascii="Arial" w:hAnsi="Arial" w:cs="Arial"/>
        </w:rPr>
        <w:t xml:space="preserve">Quality </w:t>
      </w:r>
      <w:r w:rsidR="00871EBB" w:rsidRPr="00061979">
        <w:rPr>
          <w:rFonts w:ascii="Arial" w:hAnsi="Arial" w:cs="Arial"/>
        </w:rPr>
        <w:t>S</w:t>
      </w:r>
      <w:r w:rsidRPr="00061979">
        <w:rPr>
          <w:rFonts w:ascii="Arial" w:hAnsi="Arial" w:cs="Arial"/>
        </w:rPr>
        <w:t>core</w:t>
      </w:r>
      <w:r w:rsidR="009B3F31" w:rsidRPr="00061979">
        <w:rPr>
          <w:rFonts w:ascii="Arial" w:hAnsi="Arial" w:cs="Arial"/>
        </w:rPr>
        <w:t xml:space="preserve"> of 3</w:t>
      </w:r>
      <w:r w:rsidRPr="00061979">
        <w:rPr>
          <w:rFonts w:ascii="Arial" w:hAnsi="Arial" w:cs="Arial"/>
        </w:rPr>
        <w:t xml:space="preserve">, for each of the component areas in the table above.  Only those responses which achieve </w:t>
      </w:r>
      <w:r w:rsidR="00156242" w:rsidRPr="00061979">
        <w:rPr>
          <w:rFonts w:ascii="Arial" w:hAnsi="Arial" w:cs="Arial"/>
        </w:rPr>
        <w:t xml:space="preserve">or exceed </w:t>
      </w:r>
      <w:r w:rsidRPr="00061979">
        <w:rPr>
          <w:rFonts w:ascii="Arial" w:hAnsi="Arial" w:cs="Arial"/>
        </w:rPr>
        <w:t xml:space="preserve">the minimum </w:t>
      </w:r>
      <w:r w:rsidR="00871EBB" w:rsidRPr="00061979">
        <w:rPr>
          <w:rFonts w:ascii="Arial" w:hAnsi="Arial" w:cs="Arial"/>
        </w:rPr>
        <w:t>for all component areas</w:t>
      </w:r>
      <w:r w:rsidRPr="00061979">
        <w:rPr>
          <w:rFonts w:ascii="Arial" w:hAnsi="Arial" w:cs="Arial"/>
        </w:rPr>
        <w:t xml:space="preserve"> will be included in the Price Evaluation Process.</w:t>
      </w:r>
    </w:p>
    <w:p w14:paraId="7E7F637D" w14:textId="77777777" w:rsidR="00EC308F" w:rsidRPr="00061979" w:rsidRDefault="00EC308F" w:rsidP="00EC308F">
      <w:pPr>
        <w:pStyle w:val="ListParagraph"/>
        <w:rPr>
          <w:rFonts w:ascii="Arial" w:hAnsi="Arial" w:cs="Arial"/>
        </w:rPr>
      </w:pPr>
    </w:p>
    <w:p w14:paraId="7E7F637E" w14:textId="30E5FEC8" w:rsidR="00EC308F" w:rsidRPr="00061979" w:rsidRDefault="00EC308F"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Where only one (1) submission is received </w:t>
      </w:r>
      <w:r w:rsidR="00270AD5" w:rsidRPr="00061979">
        <w:rPr>
          <w:rFonts w:ascii="Arial" w:hAnsi="Arial" w:cs="Arial"/>
        </w:rPr>
        <w:t xml:space="preserve">and it </w:t>
      </w:r>
      <w:r w:rsidRPr="00061979">
        <w:rPr>
          <w:rFonts w:ascii="Arial" w:hAnsi="Arial" w:cs="Arial"/>
        </w:rPr>
        <w:t xml:space="preserve">does not meet the minimum acceptable score, the council reserve the right to </w:t>
      </w:r>
      <w:proofErr w:type="gramStart"/>
      <w:r w:rsidRPr="00061979">
        <w:rPr>
          <w:rFonts w:ascii="Arial" w:hAnsi="Arial" w:cs="Arial"/>
        </w:rPr>
        <w:t>enter into</w:t>
      </w:r>
      <w:proofErr w:type="gramEnd"/>
      <w:r w:rsidRPr="00061979">
        <w:rPr>
          <w:rFonts w:ascii="Arial" w:hAnsi="Arial" w:cs="Arial"/>
        </w:rPr>
        <w:t xml:space="preserve"> dialogue and seek </w:t>
      </w:r>
      <w:r w:rsidR="00207378" w:rsidRPr="00061979">
        <w:rPr>
          <w:rFonts w:ascii="Arial" w:hAnsi="Arial" w:cs="Arial"/>
        </w:rPr>
        <w:t>assurances regarding the delive</w:t>
      </w:r>
      <w:r w:rsidRPr="00061979">
        <w:rPr>
          <w:rFonts w:ascii="Arial" w:hAnsi="Arial" w:cs="Arial"/>
        </w:rPr>
        <w:t>ry of the requirement.</w:t>
      </w:r>
    </w:p>
    <w:p w14:paraId="7E7F637F" w14:textId="77777777" w:rsidR="00EC308F" w:rsidRPr="00061979" w:rsidRDefault="00EC308F" w:rsidP="00EC308F">
      <w:pPr>
        <w:pStyle w:val="ListParagraph"/>
        <w:rPr>
          <w:rFonts w:ascii="Arial" w:hAnsi="Arial" w:cs="Arial"/>
        </w:rPr>
      </w:pPr>
    </w:p>
    <w:p w14:paraId="7E7F6380" w14:textId="77777777" w:rsidR="00EC308F" w:rsidRPr="00061979" w:rsidRDefault="00137489" w:rsidP="00EC308F">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The scoring matrix:</w:t>
      </w:r>
    </w:p>
    <w:p w14:paraId="7E7F6381" w14:textId="5D740416" w:rsidR="00137489" w:rsidRPr="002F09D9" w:rsidRDefault="00137489" w:rsidP="00137489">
      <w:pPr>
        <w:pStyle w:val="ListParagraph"/>
        <w:rPr>
          <w:rFonts w:ascii="Arial" w:hAnsi="Arial" w:cs="Arial"/>
          <w:b/>
          <w:bCs/>
        </w:rPr>
      </w:pPr>
    </w:p>
    <w:p w14:paraId="46CDB854" w14:textId="7BFEC2C8" w:rsidR="002F09D9" w:rsidRPr="002F09D9" w:rsidRDefault="002F09D9" w:rsidP="00137489">
      <w:pPr>
        <w:pStyle w:val="ListParagraph"/>
        <w:rPr>
          <w:rFonts w:ascii="Arial" w:hAnsi="Arial" w:cs="Arial"/>
          <w:b/>
          <w:bCs/>
        </w:rPr>
      </w:pPr>
      <w:r w:rsidRPr="002F09D9">
        <w:rPr>
          <w:rFonts w:ascii="Arial" w:hAnsi="Arial" w:cs="Arial"/>
          <w:b/>
          <w:bCs/>
        </w:rPr>
        <w:t>Table 3</w:t>
      </w:r>
    </w:p>
    <w:tbl>
      <w:tblPr>
        <w:tblW w:w="82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806"/>
      </w:tblGrid>
      <w:tr w:rsidR="00137489" w:rsidRPr="008A568A" w14:paraId="7E7F6384" w14:textId="77777777" w:rsidTr="00CE122A">
        <w:trPr>
          <w:trHeight w:val="120"/>
        </w:trPr>
        <w:tc>
          <w:tcPr>
            <w:tcW w:w="426" w:type="dxa"/>
          </w:tcPr>
          <w:p w14:paraId="7E7F6382"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0 </w:t>
            </w:r>
          </w:p>
        </w:tc>
        <w:tc>
          <w:tcPr>
            <w:tcW w:w="7806" w:type="dxa"/>
          </w:tcPr>
          <w:p w14:paraId="7E7F6383"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Failed to address the question/issue. </w:t>
            </w:r>
          </w:p>
        </w:tc>
      </w:tr>
      <w:tr w:rsidR="00137489" w:rsidRPr="008A568A" w14:paraId="7E7F6387" w14:textId="77777777" w:rsidTr="00CE122A">
        <w:trPr>
          <w:trHeight w:val="266"/>
        </w:trPr>
        <w:tc>
          <w:tcPr>
            <w:tcW w:w="426" w:type="dxa"/>
          </w:tcPr>
          <w:p w14:paraId="7E7F6385"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lastRenderedPageBreak/>
              <w:t xml:space="preserve">1 </w:t>
            </w:r>
          </w:p>
        </w:tc>
        <w:tc>
          <w:tcPr>
            <w:tcW w:w="7806" w:type="dxa"/>
          </w:tcPr>
          <w:p w14:paraId="7E7F6386"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An unfavourable response/answer/solution. There is limited or poor evidence of skill/experience sought; a high risk that relevant skills will not be available. </w:t>
            </w:r>
          </w:p>
        </w:tc>
      </w:tr>
      <w:tr w:rsidR="00137489" w:rsidRPr="008A568A" w14:paraId="7E7F638A" w14:textId="77777777" w:rsidTr="00CE122A">
        <w:trPr>
          <w:trHeight w:val="560"/>
        </w:trPr>
        <w:tc>
          <w:tcPr>
            <w:tcW w:w="426" w:type="dxa"/>
          </w:tcPr>
          <w:p w14:paraId="7E7F6388"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2 </w:t>
            </w:r>
          </w:p>
        </w:tc>
        <w:tc>
          <w:tcPr>
            <w:tcW w:w="7806" w:type="dxa"/>
          </w:tcPr>
          <w:p w14:paraId="7E7F6389"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8A568A" w14:paraId="7E7F638D" w14:textId="77777777" w:rsidTr="00CE122A">
        <w:trPr>
          <w:trHeight w:val="266"/>
        </w:trPr>
        <w:tc>
          <w:tcPr>
            <w:tcW w:w="426" w:type="dxa"/>
          </w:tcPr>
          <w:p w14:paraId="7E7F638B"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3 </w:t>
            </w:r>
          </w:p>
        </w:tc>
        <w:tc>
          <w:tcPr>
            <w:tcW w:w="7806" w:type="dxa"/>
          </w:tcPr>
          <w:p w14:paraId="7E7F638C"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Acceptable response/answer/solution/information to the </w:t>
            </w:r>
            <w:proofErr w:type="gramStart"/>
            <w:r w:rsidRPr="00061979">
              <w:rPr>
                <w:rFonts w:ascii="Arial" w:hAnsi="Arial" w:cs="Arial"/>
                <w:color w:val="000000"/>
                <w:lang w:val="en-GB"/>
              </w:rPr>
              <w:t>particular aspect</w:t>
            </w:r>
            <w:proofErr w:type="gramEnd"/>
            <w:r w:rsidRPr="00061979">
              <w:rPr>
                <w:rFonts w:ascii="Arial" w:hAnsi="Arial" w:cs="Arial"/>
                <w:color w:val="000000"/>
                <w:lang w:val="en-GB"/>
              </w:rPr>
              <w:t xml:space="preserve"> of the requirement; evidence has been given of skill/experience sought. </w:t>
            </w:r>
          </w:p>
        </w:tc>
      </w:tr>
      <w:tr w:rsidR="00137489" w:rsidRPr="008A568A" w14:paraId="7E7F6390" w14:textId="77777777" w:rsidTr="00CE122A">
        <w:trPr>
          <w:trHeight w:val="559"/>
        </w:trPr>
        <w:tc>
          <w:tcPr>
            <w:tcW w:w="426" w:type="dxa"/>
          </w:tcPr>
          <w:p w14:paraId="7E7F638E"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4 </w:t>
            </w:r>
          </w:p>
        </w:tc>
        <w:tc>
          <w:tcPr>
            <w:tcW w:w="7806" w:type="dxa"/>
          </w:tcPr>
          <w:p w14:paraId="7E7F638F"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8A568A" w14:paraId="7E7F6393" w14:textId="77777777" w:rsidTr="00CE122A">
        <w:trPr>
          <w:trHeight w:val="559"/>
        </w:trPr>
        <w:tc>
          <w:tcPr>
            <w:tcW w:w="426" w:type="dxa"/>
          </w:tcPr>
          <w:p w14:paraId="7E7F6391"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5 </w:t>
            </w:r>
          </w:p>
        </w:tc>
        <w:tc>
          <w:tcPr>
            <w:tcW w:w="7806" w:type="dxa"/>
          </w:tcPr>
          <w:p w14:paraId="7E7F6392"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7E7F6394" w14:textId="55247C78" w:rsidR="00137489" w:rsidRPr="00061979" w:rsidRDefault="00137489" w:rsidP="00CE122A">
      <w:pPr>
        <w:autoSpaceDE w:val="0"/>
        <w:autoSpaceDN w:val="0"/>
        <w:adjustRightInd w:val="0"/>
        <w:spacing w:after="0" w:line="240" w:lineRule="auto"/>
        <w:ind w:firstLine="567"/>
        <w:rPr>
          <w:rFonts w:ascii="Arial" w:hAnsi="Arial" w:cs="Arial"/>
          <w:color w:val="000000"/>
          <w:lang w:val="en-GB"/>
        </w:rPr>
      </w:pPr>
    </w:p>
    <w:p w14:paraId="0E7F7BB7" w14:textId="77777777" w:rsidR="002775A3" w:rsidRPr="00061979" w:rsidRDefault="002775A3" w:rsidP="00137489">
      <w:pPr>
        <w:autoSpaceDE w:val="0"/>
        <w:autoSpaceDN w:val="0"/>
        <w:adjustRightInd w:val="0"/>
        <w:spacing w:after="0" w:line="240" w:lineRule="auto"/>
        <w:rPr>
          <w:rFonts w:ascii="Arial" w:hAnsi="Arial" w:cs="Arial"/>
          <w:color w:val="000000"/>
          <w:lang w:val="en-GB"/>
        </w:rPr>
      </w:pPr>
    </w:p>
    <w:p w14:paraId="372AC79E" w14:textId="76FF91B3" w:rsidR="00BE6422" w:rsidRPr="00061979" w:rsidRDefault="00BE6422" w:rsidP="00137489">
      <w:pPr>
        <w:autoSpaceDE w:val="0"/>
        <w:autoSpaceDN w:val="0"/>
        <w:adjustRightInd w:val="0"/>
        <w:spacing w:after="0" w:line="240" w:lineRule="auto"/>
        <w:rPr>
          <w:rFonts w:ascii="Arial" w:hAnsi="Arial" w:cs="Arial"/>
        </w:rPr>
      </w:pPr>
    </w:p>
    <w:p w14:paraId="7D5F96D2" w14:textId="0BE84F27" w:rsidR="008948CC" w:rsidRPr="00061979" w:rsidRDefault="00D96CD1" w:rsidP="00B72851">
      <w:pPr>
        <w:autoSpaceDE w:val="0"/>
        <w:autoSpaceDN w:val="0"/>
        <w:adjustRightInd w:val="0"/>
        <w:spacing w:after="0" w:line="240" w:lineRule="auto"/>
        <w:ind w:left="567"/>
        <w:rPr>
          <w:rFonts w:ascii="Arial" w:hAnsi="Arial" w:cs="Arial"/>
          <w:b/>
          <w:bCs/>
        </w:rPr>
      </w:pPr>
      <w:r w:rsidRPr="00061979">
        <w:rPr>
          <w:rFonts w:ascii="Arial" w:hAnsi="Arial" w:cs="Arial"/>
          <w:b/>
          <w:bCs/>
        </w:rPr>
        <w:t>b</w:t>
      </w:r>
      <w:r w:rsidR="008948CC" w:rsidRPr="00061979">
        <w:rPr>
          <w:rFonts w:ascii="Arial" w:hAnsi="Arial" w:cs="Arial"/>
          <w:b/>
          <w:bCs/>
        </w:rPr>
        <w:t xml:space="preserve">. </w:t>
      </w:r>
      <w:r w:rsidR="001671AE" w:rsidRPr="00061979">
        <w:rPr>
          <w:rFonts w:ascii="Arial" w:hAnsi="Arial" w:cs="Arial"/>
          <w:b/>
          <w:bCs/>
        </w:rPr>
        <w:t>Price Evaluation</w:t>
      </w:r>
    </w:p>
    <w:p w14:paraId="71267DD5" w14:textId="77777777" w:rsidR="001671AE" w:rsidRPr="00061979" w:rsidRDefault="001671AE" w:rsidP="00623D28">
      <w:pPr>
        <w:autoSpaceDE w:val="0"/>
        <w:autoSpaceDN w:val="0"/>
        <w:adjustRightInd w:val="0"/>
        <w:spacing w:after="0" w:line="240" w:lineRule="auto"/>
        <w:rPr>
          <w:rFonts w:ascii="Arial" w:hAnsi="Arial" w:cs="Arial"/>
        </w:rPr>
      </w:pPr>
    </w:p>
    <w:p w14:paraId="1152CDF5" w14:textId="670BB6FC" w:rsidR="009638E6" w:rsidRPr="00061979" w:rsidRDefault="009638E6"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For the price evaluation, each submission will be assessed on the total cost of delivering the </w:t>
      </w:r>
      <w:proofErr w:type="spellStart"/>
      <w:r w:rsidRPr="00061979">
        <w:rPr>
          <w:rFonts w:ascii="Arial" w:hAnsi="Arial" w:cs="Arial"/>
        </w:rPr>
        <w:t>programme</w:t>
      </w:r>
      <w:proofErr w:type="spellEnd"/>
      <w:r w:rsidRPr="00061979">
        <w:rPr>
          <w:rFonts w:ascii="Arial" w:hAnsi="Arial" w:cs="Arial"/>
        </w:rPr>
        <w:t xml:space="preserve"> over the </w:t>
      </w:r>
      <w:r w:rsidR="00E32838" w:rsidRPr="00061979">
        <w:rPr>
          <w:rFonts w:ascii="Arial" w:hAnsi="Arial" w:cs="Arial"/>
        </w:rPr>
        <w:t xml:space="preserve">2 </w:t>
      </w:r>
      <w:r w:rsidR="006B6EF3" w:rsidRPr="00061979">
        <w:rPr>
          <w:rFonts w:ascii="Arial" w:hAnsi="Arial" w:cs="Arial"/>
        </w:rPr>
        <w:t>years.</w:t>
      </w:r>
    </w:p>
    <w:p w14:paraId="0CADA313" w14:textId="77777777" w:rsidR="009B27FF" w:rsidRPr="00061979" w:rsidRDefault="009B27FF" w:rsidP="00B72851">
      <w:pPr>
        <w:pStyle w:val="ListParagraph"/>
        <w:autoSpaceDE w:val="0"/>
        <w:autoSpaceDN w:val="0"/>
        <w:adjustRightInd w:val="0"/>
        <w:spacing w:after="0" w:line="240" w:lineRule="auto"/>
        <w:ind w:left="567" w:hanging="567"/>
        <w:rPr>
          <w:rFonts w:ascii="Arial" w:hAnsi="Arial" w:cs="Arial"/>
        </w:rPr>
      </w:pPr>
    </w:p>
    <w:p w14:paraId="50CA4575" w14:textId="2C5C5797" w:rsidR="00AD0681" w:rsidRPr="00061979" w:rsidRDefault="006B6EF3"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To allow us to evaluate the price all proposals should include a detailed summary of the proposed costs for the three requested areas of work, as described in the specification. </w:t>
      </w:r>
      <w:r w:rsidR="005B7850" w:rsidRPr="00061979">
        <w:rPr>
          <w:rFonts w:ascii="Arial" w:hAnsi="Arial" w:cs="Arial"/>
        </w:rPr>
        <w:t>For the avoidance of doubt, we expect all proposals to include clear costs for the items</w:t>
      </w:r>
      <w:r w:rsidR="00901B07" w:rsidRPr="00061979">
        <w:rPr>
          <w:rFonts w:ascii="Arial" w:hAnsi="Arial" w:cs="Arial"/>
        </w:rPr>
        <w:t xml:space="preserve"> in tables </w:t>
      </w:r>
      <w:r w:rsidR="002F09D9">
        <w:rPr>
          <w:rFonts w:ascii="Arial" w:hAnsi="Arial" w:cs="Arial"/>
        </w:rPr>
        <w:t>4</w:t>
      </w:r>
      <w:r w:rsidR="00AD0681" w:rsidRPr="00061979">
        <w:rPr>
          <w:rFonts w:ascii="Arial" w:hAnsi="Arial" w:cs="Arial"/>
        </w:rPr>
        <w:t xml:space="preserve"> and </w:t>
      </w:r>
      <w:r w:rsidR="002F09D9">
        <w:rPr>
          <w:rFonts w:ascii="Arial" w:hAnsi="Arial" w:cs="Arial"/>
        </w:rPr>
        <w:t>5</w:t>
      </w:r>
      <w:r w:rsidR="00AD0681" w:rsidRPr="00061979">
        <w:rPr>
          <w:rFonts w:ascii="Arial" w:hAnsi="Arial" w:cs="Arial"/>
        </w:rPr>
        <w:t xml:space="preserve"> below.</w:t>
      </w:r>
    </w:p>
    <w:p w14:paraId="34DB7F64" w14:textId="77777777" w:rsidR="00AD0681" w:rsidRPr="00061979" w:rsidRDefault="00AD0681" w:rsidP="00B72851">
      <w:pPr>
        <w:pStyle w:val="ListParagraph"/>
        <w:autoSpaceDE w:val="0"/>
        <w:autoSpaceDN w:val="0"/>
        <w:adjustRightInd w:val="0"/>
        <w:spacing w:after="0" w:line="240" w:lineRule="auto"/>
        <w:ind w:left="567" w:hanging="567"/>
        <w:rPr>
          <w:rFonts w:ascii="Arial" w:hAnsi="Arial" w:cs="Arial"/>
        </w:rPr>
      </w:pPr>
    </w:p>
    <w:p w14:paraId="6053CD35" w14:textId="1E95F134" w:rsidR="005B7850" w:rsidRPr="00061979" w:rsidRDefault="005B7850" w:rsidP="00BC57F6">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Assessment of energy and sustainability submissions that accompany relevant planning applications, along with provision of advice on the degree of compliance with current policy requirements and potential amendments to improve performance. For each application type please provide an estimate of the average time to provide assessment on the 5 different types of application category along with an hourly rate:</w:t>
      </w:r>
    </w:p>
    <w:p w14:paraId="09F466DD" w14:textId="1226BFEB" w:rsidR="005B7850" w:rsidRDefault="005B7850" w:rsidP="005B7850">
      <w:pPr>
        <w:pStyle w:val="ListParagraph"/>
        <w:autoSpaceDE w:val="0"/>
        <w:autoSpaceDN w:val="0"/>
        <w:adjustRightInd w:val="0"/>
        <w:spacing w:after="0" w:line="240" w:lineRule="auto"/>
        <w:ind w:left="426"/>
        <w:rPr>
          <w:rFonts w:ascii="Arial" w:hAnsi="Arial" w:cs="Arial"/>
        </w:rPr>
      </w:pPr>
    </w:p>
    <w:p w14:paraId="739D4B12" w14:textId="55627988" w:rsidR="00061979" w:rsidRPr="002F09D9" w:rsidRDefault="00061979" w:rsidP="005B7850">
      <w:pPr>
        <w:pStyle w:val="ListParagraph"/>
        <w:autoSpaceDE w:val="0"/>
        <w:autoSpaceDN w:val="0"/>
        <w:adjustRightInd w:val="0"/>
        <w:spacing w:after="0" w:line="240" w:lineRule="auto"/>
        <w:ind w:left="426"/>
        <w:rPr>
          <w:rFonts w:ascii="Arial" w:hAnsi="Arial" w:cs="Arial"/>
          <w:b/>
          <w:bCs/>
        </w:rPr>
      </w:pPr>
      <w:r w:rsidRPr="002F09D9">
        <w:rPr>
          <w:rFonts w:ascii="Arial" w:hAnsi="Arial" w:cs="Arial"/>
          <w:b/>
          <w:bCs/>
        </w:rPr>
        <w:t xml:space="preserve">Table </w:t>
      </w:r>
      <w:r w:rsidR="002F09D9" w:rsidRPr="002F09D9">
        <w:rPr>
          <w:rFonts w:ascii="Arial" w:hAnsi="Arial" w:cs="Arial"/>
          <w:b/>
          <w:bCs/>
        </w:rPr>
        <w:t>4</w:t>
      </w:r>
    </w:p>
    <w:tbl>
      <w:tblPr>
        <w:tblW w:w="0" w:type="auto"/>
        <w:tblInd w:w="421" w:type="dxa"/>
        <w:tblLook w:val="04A0" w:firstRow="1" w:lastRow="0" w:firstColumn="1" w:lastColumn="0" w:noHBand="0" w:noVBand="1"/>
      </w:tblPr>
      <w:tblGrid>
        <w:gridCol w:w="3543"/>
        <w:gridCol w:w="5386"/>
      </w:tblGrid>
      <w:tr w:rsidR="005B7850" w:rsidRPr="00061979" w14:paraId="173EAE28" w14:textId="77777777" w:rsidTr="00061979">
        <w:trPr>
          <w:trHeight w:val="36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E263" w14:textId="77777777" w:rsidR="005B7850" w:rsidRPr="00061979" w:rsidRDefault="005B7850" w:rsidP="007C7CF0">
            <w:pPr>
              <w:spacing w:after="0" w:line="240" w:lineRule="auto"/>
              <w:rPr>
                <w:rFonts w:ascii="Arial" w:eastAsia="Times New Roman" w:hAnsi="Arial" w:cs="Arial"/>
                <w:b/>
                <w:bCs/>
                <w:color w:val="000000"/>
                <w:sz w:val="20"/>
                <w:szCs w:val="20"/>
                <w:lang w:val="en-GB" w:eastAsia="en-GB"/>
              </w:rPr>
            </w:pPr>
            <w:r w:rsidRPr="00061979">
              <w:rPr>
                <w:rFonts w:ascii="Arial" w:eastAsia="Times New Roman" w:hAnsi="Arial" w:cs="Arial"/>
                <w:b/>
                <w:bCs/>
                <w:color w:val="000000"/>
                <w:sz w:val="20"/>
                <w:szCs w:val="20"/>
                <w:lang w:val="en-GB" w:eastAsia="en-GB"/>
              </w:rPr>
              <w:t>Application type</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226BA8FD" w14:textId="21AD6B26" w:rsidR="005B7850" w:rsidRPr="00061979" w:rsidRDefault="005B7850" w:rsidP="007C7CF0">
            <w:pPr>
              <w:spacing w:after="0" w:line="240" w:lineRule="auto"/>
              <w:rPr>
                <w:rFonts w:ascii="Arial" w:eastAsia="Times New Roman" w:hAnsi="Arial" w:cs="Arial"/>
                <w:b/>
                <w:bCs/>
                <w:color w:val="000000"/>
                <w:sz w:val="20"/>
                <w:szCs w:val="20"/>
                <w:lang w:val="en-GB" w:eastAsia="en-GB"/>
              </w:rPr>
            </w:pPr>
            <w:r w:rsidRPr="00061979">
              <w:rPr>
                <w:rFonts w:ascii="Arial" w:eastAsia="Times New Roman" w:hAnsi="Arial" w:cs="Arial"/>
                <w:b/>
                <w:bCs/>
                <w:color w:val="000000"/>
                <w:sz w:val="20"/>
                <w:szCs w:val="20"/>
                <w:lang w:val="en-GB" w:eastAsia="en-GB"/>
              </w:rPr>
              <w:t>Required submissions</w:t>
            </w:r>
          </w:p>
        </w:tc>
      </w:tr>
      <w:tr w:rsidR="005B7850" w:rsidRPr="00061979" w14:paraId="66E4E143"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5AABF7E4"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Major</w:t>
            </w:r>
          </w:p>
        </w:tc>
        <w:tc>
          <w:tcPr>
            <w:tcW w:w="5386" w:type="dxa"/>
            <w:tcBorders>
              <w:top w:val="nil"/>
              <w:left w:val="nil"/>
              <w:bottom w:val="single" w:sz="4" w:space="0" w:color="auto"/>
              <w:right w:val="single" w:sz="4" w:space="0" w:color="auto"/>
            </w:tcBorders>
            <w:shd w:val="clear" w:color="auto" w:fill="auto"/>
            <w:noWrap/>
            <w:vAlign w:val="bottom"/>
            <w:hideMark/>
          </w:tcPr>
          <w:p w14:paraId="1251CAFC"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34EE9F19"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75A2BE9F"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7F77E08E"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r w:rsidR="005B7850" w:rsidRPr="00061979" w14:paraId="051C64EB"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415A5122"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Minor</w:t>
            </w:r>
          </w:p>
        </w:tc>
        <w:tc>
          <w:tcPr>
            <w:tcW w:w="5386" w:type="dxa"/>
            <w:tcBorders>
              <w:top w:val="nil"/>
              <w:left w:val="nil"/>
              <w:bottom w:val="single" w:sz="4" w:space="0" w:color="auto"/>
              <w:right w:val="single" w:sz="4" w:space="0" w:color="auto"/>
            </w:tcBorders>
            <w:shd w:val="clear" w:color="auto" w:fill="auto"/>
            <w:noWrap/>
            <w:vAlign w:val="bottom"/>
            <w:hideMark/>
          </w:tcPr>
          <w:p w14:paraId="40E75108"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6666BBF6"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2D584A03"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2F1C293C" w14:textId="7680C5C6"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w:t>
            </w:r>
            <w:r w:rsidR="00970E0F" w:rsidRPr="00061979">
              <w:rPr>
                <w:rFonts w:ascii="Arial" w:eastAsia="Times New Roman" w:hAnsi="Arial" w:cs="Arial"/>
                <w:color w:val="000000"/>
                <w:sz w:val="20"/>
                <w:szCs w:val="20"/>
                <w:lang w:val="en-GB" w:eastAsia="en-GB"/>
              </w:rPr>
              <w:t xml:space="preserve"> </w:t>
            </w:r>
            <w:r w:rsidRPr="00061979">
              <w:rPr>
                <w:rFonts w:ascii="Arial" w:eastAsia="Times New Roman" w:hAnsi="Arial" w:cs="Arial"/>
                <w:color w:val="000000"/>
                <w:sz w:val="20"/>
                <w:szCs w:val="20"/>
                <w:lang w:val="en-GB" w:eastAsia="en-GB"/>
              </w:rPr>
              <w:t>excl. VAT)</w:t>
            </w:r>
          </w:p>
        </w:tc>
      </w:tr>
      <w:tr w:rsidR="005B7850" w:rsidRPr="00061979" w14:paraId="1A3870F6"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0E45AC0E"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Other</w:t>
            </w:r>
          </w:p>
        </w:tc>
        <w:tc>
          <w:tcPr>
            <w:tcW w:w="5386" w:type="dxa"/>
            <w:tcBorders>
              <w:top w:val="nil"/>
              <w:left w:val="nil"/>
              <w:bottom w:val="single" w:sz="4" w:space="0" w:color="auto"/>
              <w:right w:val="single" w:sz="4" w:space="0" w:color="auto"/>
            </w:tcBorders>
            <w:shd w:val="clear" w:color="auto" w:fill="auto"/>
            <w:noWrap/>
            <w:vAlign w:val="bottom"/>
            <w:hideMark/>
          </w:tcPr>
          <w:p w14:paraId="21E646D7"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361422C7"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02525275"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2B31F1C0"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r w:rsidR="005B7850" w:rsidRPr="00061979" w14:paraId="0A41046D"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3D86F679"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Conditions</w:t>
            </w:r>
          </w:p>
        </w:tc>
        <w:tc>
          <w:tcPr>
            <w:tcW w:w="5386" w:type="dxa"/>
            <w:tcBorders>
              <w:top w:val="nil"/>
              <w:left w:val="nil"/>
              <w:bottom w:val="single" w:sz="4" w:space="0" w:color="auto"/>
              <w:right w:val="single" w:sz="4" w:space="0" w:color="auto"/>
            </w:tcBorders>
            <w:shd w:val="clear" w:color="auto" w:fill="auto"/>
            <w:noWrap/>
            <w:vAlign w:val="bottom"/>
            <w:hideMark/>
          </w:tcPr>
          <w:p w14:paraId="7DAA530D"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2D7CFB30"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7B536FE2"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4AF82A56"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r w:rsidR="005B7850" w:rsidRPr="00061979" w14:paraId="6FB55477" w14:textId="77777777" w:rsidTr="00061979">
        <w:trPr>
          <w:trHeight w:val="360"/>
        </w:trPr>
        <w:tc>
          <w:tcPr>
            <w:tcW w:w="3543" w:type="dxa"/>
            <w:vMerge w:val="restart"/>
            <w:tcBorders>
              <w:top w:val="nil"/>
              <w:left w:val="single" w:sz="4" w:space="0" w:color="auto"/>
              <w:bottom w:val="single" w:sz="4" w:space="0" w:color="auto"/>
              <w:right w:val="single" w:sz="4" w:space="0" w:color="auto"/>
            </w:tcBorders>
            <w:shd w:val="clear" w:color="auto" w:fill="auto"/>
            <w:noWrap/>
            <w:hideMark/>
          </w:tcPr>
          <w:p w14:paraId="2EBD2107" w14:textId="65537174" w:rsidR="005B7850" w:rsidRPr="00061979" w:rsidRDefault="00061979"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 xml:space="preserve">NMCs, EIA </w:t>
            </w:r>
            <w:proofErr w:type="spellStart"/>
            <w:r w:rsidRPr="00061979">
              <w:rPr>
                <w:rFonts w:ascii="Arial" w:eastAsia="Times New Roman" w:hAnsi="Arial" w:cs="Arial"/>
                <w:color w:val="000000"/>
                <w:sz w:val="20"/>
                <w:szCs w:val="20"/>
                <w:lang w:val="en-GB" w:eastAsia="en-GB"/>
              </w:rPr>
              <w:t>scopings</w:t>
            </w:r>
            <w:proofErr w:type="spellEnd"/>
            <w:r w:rsidRPr="00061979">
              <w:rPr>
                <w:rFonts w:ascii="Arial" w:eastAsia="Times New Roman" w:hAnsi="Arial" w:cs="Arial"/>
                <w:color w:val="000000"/>
                <w:sz w:val="20"/>
                <w:szCs w:val="20"/>
                <w:lang w:val="en-GB" w:eastAsia="en-GB"/>
              </w:rPr>
              <w:t>, Variations to S106 Agreements and Prior approvals</w:t>
            </w:r>
          </w:p>
        </w:tc>
        <w:tc>
          <w:tcPr>
            <w:tcW w:w="5386" w:type="dxa"/>
            <w:tcBorders>
              <w:top w:val="nil"/>
              <w:left w:val="nil"/>
              <w:bottom w:val="single" w:sz="4" w:space="0" w:color="auto"/>
              <w:right w:val="single" w:sz="4" w:space="0" w:color="auto"/>
            </w:tcBorders>
            <w:shd w:val="clear" w:color="auto" w:fill="auto"/>
            <w:noWrap/>
            <w:vAlign w:val="bottom"/>
            <w:hideMark/>
          </w:tcPr>
          <w:p w14:paraId="28A8D30D"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Average hours per application (hr)</w:t>
            </w:r>
          </w:p>
        </w:tc>
      </w:tr>
      <w:tr w:rsidR="005B7850" w:rsidRPr="00061979" w14:paraId="6DFDD922" w14:textId="77777777" w:rsidTr="00061979">
        <w:trPr>
          <w:trHeight w:val="360"/>
        </w:trPr>
        <w:tc>
          <w:tcPr>
            <w:tcW w:w="3543" w:type="dxa"/>
            <w:vMerge/>
            <w:tcBorders>
              <w:top w:val="nil"/>
              <w:left w:val="single" w:sz="4" w:space="0" w:color="auto"/>
              <w:bottom w:val="single" w:sz="4" w:space="0" w:color="auto"/>
              <w:right w:val="single" w:sz="4" w:space="0" w:color="auto"/>
            </w:tcBorders>
            <w:vAlign w:val="center"/>
            <w:hideMark/>
          </w:tcPr>
          <w:p w14:paraId="1A7642A8" w14:textId="77777777" w:rsidR="005B7850" w:rsidRPr="00061979" w:rsidRDefault="005B7850" w:rsidP="007C7CF0">
            <w:pPr>
              <w:spacing w:after="0" w:line="240" w:lineRule="auto"/>
              <w:rPr>
                <w:rFonts w:ascii="Arial" w:eastAsia="Times New Roman" w:hAnsi="Arial" w:cs="Arial"/>
                <w:color w:val="000000"/>
                <w:sz w:val="20"/>
                <w:szCs w:val="20"/>
                <w:lang w:val="en-GB" w:eastAsia="en-GB"/>
              </w:rPr>
            </w:pPr>
          </w:p>
        </w:tc>
        <w:tc>
          <w:tcPr>
            <w:tcW w:w="5386" w:type="dxa"/>
            <w:tcBorders>
              <w:top w:val="nil"/>
              <w:left w:val="nil"/>
              <w:bottom w:val="single" w:sz="4" w:space="0" w:color="auto"/>
              <w:right w:val="single" w:sz="4" w:space="0" w:color="auto"/>
            </w:tcBorders>
            <w:shd w:val="clear" w:color="auto" w:fill="auto"/>
            <w:noWrap/>
            <w:vAlign w:val="bottom"/>
            <w:hideMark/>
          </w:tcPr>
          <w:p w14:paraId="45E7F063" w14:textId="68E9493B" w:rsidR="005B7850" w:rsidRPr="00061979" w:rsidRDefault="00061979" w:rsidP="007C7CF0">
            <w:pPr>
              <w:spacing w:after="0" w:line="240" w:lineRule="auto"/>
              <w:rPr>
                <w:rFonts w:ascii="Arial" w:eastAsia="Times New Roman" w:hAnsi="Arial" w:cs="Arial"/>
                <w:color w:val="000000"/>
                <w:sz w:val="20"/>
                <w:szCs w:val="20"/>
                <w:lang w:val="en-GB" w:eastAsia="en-GB"/>
              </w:rPr>
            </w:pPr>
            <w:r w:rsidRPr="00061979">
              <w:rPr>
                <w:rFonts w:ascii="Arial" w:eastAsia="Times New Roman" w:hAnsi="Arial" w:cs="Arial"/>
                <w:color w:val="000000"/>
                <w:sz w:val="20"/>
                <w:szCs w:val="20"/>
                <w:lang w:val="en-GB" w:eastAsia="en-GB"/>
              </w:rPr>
              <w:t>Cost per hour (£ excl. VAT)</w:t>
            </w:r>
          </w:p>
        </w:tc>
      </w:tr>
    </w:tbl>
    <w:p w14:paraId="6AB54D48" w14:textId="77777777" w:rsidR="00061979" w:rsidRPr="002F09D9" w:rsidRDefault="00061979" w:rsidP="005B7850">
      <w:pPr>
        <w:pStyle w:val="ListParagraph"/>
        <w:autoSpaceDE w:val="0"/>
        <w:autoSpaceDN w:val="0"/>
        <w:adjustRightInd w:val="0"/>
        <w:spacing w:after="0" w:line="240" w:lineRule="auto"/>
        <w:ind w:left="426"/>
        <w:rPr>
          <w:rFonts w:ascii="Arial" w:hAnsi="Arial" w:cs="Arial"/>
          <w:b/>
          <w:bCs/>
        </w:rPr>
      </w:pPr>
    </w:p>
    <w:p w14:paraId="3E7FDF05" w14:textId="1FEB9880" w:rsidR="005B7850" w:rsidRPr="002F09D9" w:rsidRDefault="005B7850" w:rsidP="005B7850">
      <w:pPr>
        <w:pStyle w:val="ListParagraph"/>
        <w:autoSpaceDE w:val="0"/>
        <w:autoSpaceDN w:val="0"/>
        <w:adjustRightInd w:val="0"/>
        <w:spacing w:after="0" w:line="240" w:lineRule="auto"/>
        <w:ind w:left="426"/>
        <w:rPr>
          <w:rFonts w:ascii="Arial" w:hAnsi="Arial" w:cs="Arial"/>
          <w:b/>
          <w:bCs/>
        </w:rPr>
      </w:pPr>
      <w:r w:rsidRPr="002F09D9">
        <w:rPr>
          <w:rFonts w:ascii="Arial" w:hAnsi="Arial" w:cs="Arial"/>
          <w:b/>
          <w:bCs/>
        </w:rPr>
        <w:t xml:space="preserve"> Table </w:t>
      </w:r>
      <w:r w:rsidR="002F09D9" w:rsidRPr="002F09D9">
        <w:rPr>
          <w:rFonts w:ascii="Arial" w:hAnsi="Arial" w:cs="Arial"/>
          <w:b/>
          <w:bCs/>
        </w:rPr>
        <w:t>5</w:t>
      </w:r>
    </w:p>
    <w:tbl>
      <w:tblPr>
        <w:tblStyle w:val="TableGrid"/>
        <w:tblW w:w="0" w:type="auto"/>
        <w:tblInd w:w="567" w:type="dxa"/>
        <w:tblLook w:val="04A0" w:firstRow="1" w:lastRow="0" w:firstColumn="1" w:lastColumn="0" w:noHBand="0" w:noVBand="1"/>
      </w:tblPr>
      <w:tblGrid>
        <w:gridCol w:w="2547"/>
        <w:gridCol w:w="1843"/>
        <w:gridCol w:w="2242"/>
        <w:gridCol w:w="2151"/>
      </w:tblGrid>
      <w:tr w:rsidR="00FE0D25" w:rsidRPr="00061979" w14:paraId="3CAE59B7" w14:textId="77777777" w:rsidTr="00061979">
        <w:tc>
          <w:tcPr>
            <w:tcW w:w="2547" w:type="dxa"/>
          </w:tcPr>
          <w:p w14:paraId="465563DF"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 xml:space="preserve">Type </w:t>
            </w:r>
          </w:p>
        </w:tc>
        <w:tc>
          <w:tcPr>
            <w:tcW w:w="1843" w:type="dxa"/>
          </w:tcPr>
          <w:p w14:paraId="54E5448B"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Estimated volume per annum*</w:t>
            </w:r>
          </w:p>
          <w:p w14:paraId="1C8E785B"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20AC0E75"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(X)</w:t>
            </w:r>
          </w:p>
        </w:tc>
        <w:tc>
          <w:tcPr>
            <w:tcW w:w="2242" w:type="dxa"/>
          </w:tcPr>
          <w:p w14:paraId="03B3585A"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 xml:space="preserve">Cost per </w:t>
            </w:r>
            <w:proofErr w:type="gramStart"/>
            <w:r w:rsidRPr="00061979">
              <w:rPr>
                <w:rFonts w:ascii="Arial" w:hAnsi="Arial" w:cs="Arial"/>
                <w:color w:val="000000"/>
                <w:sz w:val="20"/>
                <w:szCs w:val="20"/>
                <w:lang w:val="en-GB"/>
              </w:rPr>
              <w:t>consultation</w:t>
            </w:r>
            <w:proofErr w:type="gramEnd"/>
          </w:p>
          <w:p w14:paraId="4FCC62A7"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6EF18EBC"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43FDBBFB"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(Y)</w:t>
            </w:r>
          </w:p>
        </w:tc>
        <w:tc>
          <w:tcPr>
            <w:tcW w:w="2151" w:type="dxa"/>
          </w:tcPr>
          <w:p w14:paraId="7821656C"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Total cost</w:t>
            </w:r>
          </w:p>
          <w:p w14:paraId="343CC6E3"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0B1E27D7"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p>
          <w:p w14:paraId="1EEB1C6E" w14:textId="77777777" w:rsidR="00FE0D25" w:rsidRPr="00061979" w:rsidRDefault="00FE0D25" w:rsidP="00DE3AC1">
            <w:pPr>
              <w:pStyle w:val="ListParagraph"/>
              <w:autoSpaceDE w:val="0"/>
              <w:autoSpaceDN w:val="0"/>
              <w:adjustRightInd w:val="0"/>
              <w:ind w:left="0"/>
              <w:jc w:val="center"/>
              <w:rPr>
                <w:rFonts w:ascii="Arial" w:hAnsi="Arial" w:cs="Arial"/>
                <w:color w:val="000000"/>
                <w:sz w:val="20"/>
                <w:szCs w:val="20"/>
                <w:lang w:val="en-GB"/>
              </w:rPr>
            </w:pPr>
            <w:r w:rsidRPr="00061979">
              <w:rPr>
                <w:rFonts w:ascii="Arial" w:hAnsi="Arial" w:cs="Arial"/>
                <w:color w:val="000000"/>
                <w:sz w:val="20"/>
                <w:szCs w:val="20"/>
                <w:lang w:val="en-GB"/>
              </w:rPr>
              <w:t>(X * Y)</w:t>
            </w:r>
          </w:p>
        </w:tc>
      </w:tr>
      <w:tr w:rsidR="00061979" w:rsidRPr="00061979" w14:paraId="2ADCD8D8" w14:textId="77777777" w:rsidTr="00061979">
        <w:tc>
          <w:tcPr>
            <w:tcW w:w="2547" w:type="dxa"/>
            <w:vAlign w:val="center"/>
          </w:tcPr>
          <w:p w14:paraId="07B48C56" w14:textId="5B3AAB6D"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Major</w:t>
            </w:r>
          </w:p>
        </w:tc>
        <w:tc>
          <w:tcPr>
            <w:tcW w:w="1843" w:type="dxa"/>
            <w:vAlign w:val="center"/>
          </w:tcPr>
          <w:p w14:paraId="34788454" w14:textId="74CF58C6" w:rsidR="00061979" w:rsidRPr="00061979" w:rsidRDefault="00061979" w:rsidP="00061979">
            <w:pPr>
              <w:pStyle w:val="ListParagraph"/>
              <w:autoSpaceDE w:val="0"/>
              <w:autoSpaceDN w:val="0"/>
              <w:adjustRightInd w:val="0"/>
              <w:ind w:left="0"/>
              <w:jc w:val="right"/>
              <w:rPr>
                <w:rFonts w:ascii="Arial" w:hAnsi="Arial" w:cs="Arial"/>
                <w:color w:val="000000"/>
                <w:sz w:val="20"/>
                <w:szCs w:val="20"/>
                <w:lang w:val="en-GB"/>
              </w:rPr>
            </w:pPr>
            <w:r w:rsidRPr="00061979">
              <w:rPr>
                <w:rFonts w:ascii="Arial" w:hAnsi="Arial" w:cs="Arial"/>
                <w:color w:val="000000"/>
                <w:sz w:val="20"/>
                <w:szCs w:val="20"/>
              </w:rPr>
              <w:t>46.25</w:t>
            </w:r>
          </w:p>
        </w:tc>
        <w:tc>
          <w:tcPr>
            <w:tcW w:w="2242" w:type="dxa"/>
            <w:shd w:val="clear" w:color="auto" w:fill="92D050"/>
          </w:tcPr>
          <w:p w14:paraId="0E795021"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5F03ABA6"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041B8687" w14:textId="77777777" w:rsidTr="00061979">
        <w:tc>
          <w:tcPr>
            <w:tcW w:w="2547" w:type="dxa"/>
            <w:vAlign w:val="center"/>
          </w:tcPr>
          <w:p w14:paraId="7577B2A1" w14:textId="518D9E83"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Minor</w:t>
            </w:r>
          </w:p>
        </w:tc>
        <w:tc>
          <w:tcPr>
            <w:tcW w:w="1843" w:type="dxa"/>
            <w:vAlign w:val="center"/>
          </w:tcPr>
          <w:p w14:paraId="0C0CB45E" w14:textId="4106E7B9" w:rsidR="00061979" w:rsidRPr="00061979" w:rsidRDefault="00061979" w:rsidP="00061979">
            <w:pPr>
              <w:pStyle w:val="ListParagraph"/>
              <w:autoSpaceDE w:val="0"/>
              <w:autoSpaceDN w:val="0"/>
              <w:adjustRightInd w:val="0"/>
              <w:ind w:left="0"/>
              <w:jc w:val="right"/>
              <w:rPr>
                <w:rFonts w:ascii="Arial" w:hAnsi="Arial" w:cs="Arial"/>
                <w:color w:val="000000"/>
                <w:sz w:val="20"/>
                <w:szCs w:val="20"/>
                <w:lang w:val="en-GB"/>
              </w:rPr>
            </w:pPr>
            <w:r w:rsidRPr="00061979">
              <w:rPr>
                <w:rFonts w:ascii="Arial" w:hAnsi="Arial" w:cs="Arial"/>
                <w:color w:val="000000"/>
                <w:sz w:val="20"/>
                <w:szCs w:val="20"/>
              </w:rPr>
              <w:t>52.5</w:t>
            </w:r>
          </w:p>
        </w:tc>
        <w:tc>
          <w:tcPr>
            <w:tcW w:w="2242" w:type="dxa"/>
            <w:shd w:val="clear" w:color="auto" w:fill="92D050"/>
          </w:tcPr>
          <w:p w14:paraId="5E702096"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0E9EFB4E"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2290C2EA" w14:textId="77777777" w:rsidTr="00061979">
        <w:tc>
          <w:tcPr>
            <w:tcW w:w="2547" w:type="dxa"/>
            <w:vAlign w:val="center"/>
          </w:tcPr>
          <w:p w14:paraId="2F049C72" w14:textId="40F47FC5"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Other</w:t>
            </w:r>
          </w:p>
        </w:tc>
        <w:tc>
          <w:tcPr>
            <w:tcW w:w="1843" w:type="dxa"/>
            <w:vAlign w:val="center"/>
          </w:tcPr>
          <w:p w14:paraId="5EF28C1E" w14:textId="7ED6810E" w:rsidR="00061979" w:rsidRPr="00061979" w:rsidRDefault="00061979" w:rsidP="00061979">
            <w:pPr>
              <w:pStyle w:val="ListParagraph"/>
              <w:autoSpaceDE w:val="0"/>
              <w:autoSpaceDN w:val="0"/>
              <w:adjustRightInd w:val="0"/>
              <w:ind w:left="0"/>
              <w:jc w:val="right"/>
              <w:rPr>
                <w:rFonts w:ascii="Arial" w:hAnsi="Arial" w:cs="Arial"/>
                <w:color w:val="000000"/>
                <w:sz w:val="20"/>
                <w:szCs w:val="20"/>
                <w:lang w:val="en-GB"/>
              </w:rPr>
            </w:pPr>
            <w:r w:rsidRPr="00061979">
              <w:rPr>
                <w:rFonts w:ascii="Arial" w:hAnsi="Arial" w:cs="Arial"/>
                <w:color w:val="000000"/>
                <w:sz w:val="20"/>
                <w:szCs w:val="20"/>
              </w:rPr>
              <w:t>8.75</w:t>
            </w:r>
          </w:p>
        </w:tc>
        <w:tc>
          <w:tcPr>
            <w:tcW w:w="2242" w:type="dxa"/>
            <w:shd w:val="clear" w:color="auto" w:fill="92D050"/>
          </w:tcPr>
          <w:p w14:paraId="19F63869"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15DEE1FF"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76E8ED24" w14:textId="77777777" w:rsidTr="00061979">
        <w:tc>
          <w:tcPr>
            <w:tcW w:w="2547" w:type="dxa"/>
            <w:vAlign w:val="center"/>
          </w:tcPr>
          <w:p w14:paraId="2692453B" w14:textId="0621E3C9"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Conditions</w:t>
            </w:r>
          </w:p>
        </w:tc>
        <w:tc>
          <w:tcPr>
            <w:tcW w:w="1843" w:type="dxa"/>
            <w:vAlign w:val="center"/>
          </w:tcPr>
          <w:p w14:paraId="5476A114" w14:textId="5D2C467F" w:rsidR="00061979" w:rsidRPr="00061979" w:rsidRDefault="00061979" w:rsidP="00061979">
            <w:pPr>
              <w:pStyle w:val="ListParagraph"/>
              <w:autoSpaceDE w:val="0"/>
              <w:autoSpaceDN w:val="0"/>
              <w:adjustRightInd w:val="0"/>
              <w:ind w:left="0"/>
              <w:jc w:val="right"/>
              <w:rPr>
                <w:rFonts w:ascii="Arial" w:hAnsi="Arial" w:cs="Arial"/>
                <w:color w:val="000000"/>
                <w:sz w:val="20"/>
                <w:szCs w:val="20"/>
                <w:lang w:val="en-GB"/>
              </w:rPr>
            </w:pPr>
            <w:r w:rsidRPr="00061979">
              <w:rPr>
                <w:rFonts w:ascii="Arial" w:hAnsi="Arial" w:cs="Arial"/>
                <w:color w:val="000000"/>
                <w:sz w:val="20"/>
                <w:szCs w:val="20"/>
              </w:rPr>
              <w:t>132.5</w:t>
            </w:r>
          </w:p>
        </w:tc>
        <w:tc>
          <w:tcPr>
            <w:tcW w:w="2242" w:type="dxa"/>
            <w:shd w:val="clear" w:color="auto" w:fill="92D050"/>
          </w:tcPr>
          <w:p w14:paraId="660E6264"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50E18645"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061979" w:rsidRPr="00061979" w14:paraId="1C3A5A03" w14:textId="77777777" w:rsidTr="00061979">
        <w:tc>
          <w:tcPr>
            <w:tcW w:w="2547" w:type="dxa"/>
            <w:vAlign w:val="center"/>
          </w:tcPr>
          <w:p w14:paraId="60DE6361" w14:textId="069963FC"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rPr>
              <w:t xml:space="preserve">NMCs, EIA </w:t>
            </w:r>
            <w:proofErr w:type="spellStart"/>
            <w:r w:rsidRPr="00061979">
              <w:rPr>
                <w:rFonts w:ascii="Arial" w:hAnsi="Arial" w:cs="Arial"/>
                <w:color w:val="000000"/>
                <w:sz w:val="20"/>
                <w:szCs w:val="20"/>
              </w:rPr>
              <w:t>scopings</w:t>
            </w:r>
            <w:proofErr w:type="spellEnd"/>
            <w:r w:rsidRPr="00061979">
              <w:rPr>
                <w:rFonts w:ascii="Arial" w:hAnsi="Arial" w:cs="Arial"/>
                <w:color w:val="000000"/>
                <w:sz w:val="20"/>
                <w:szCs w:val="20"/>
              </w:rPr>
              <w:t>, Variations to S106 Agreements and Prior approvals</w:t>
            </w:r>
          </w:p>
        </w:tc>
        <w:tc>
          <w:tcPr>
            <w:tcW w:w="1843" w:type="dxa"/>
            <w:vAlign w:val="center"/>
          </w:tcPr>
          <w:p w14:paraId="4E977041" w14:textId="459D78F6" w:rsidR="00061979" w:rsidRPr="00061979" w:rsidRDefault="00061979" w:rsidP="00061979">
            <w:pPr>
              <w:pStyle w:val="ListParagraph"/>
              <w:autoSpaceDE w:val="0"/>
              <w:autoSpaceDN w:val="0"/>
              <w:adjustRightInd w:val="0"/>
              <w:ind w:left="0"/>
              <w:jc w:val="right"/>
              <w:rPr>
                <w:rFonts w:ascii="Arial" w:hAnsi="Arial" w:cs="Arial"/>
                <w:color w:val="000000"/>
                <w:sz w:val="20"/>
                <w:szCs w:val="20"/>
                <w:lang w:val="en-GB"/>
              </w:rPr>
            </w:pPr>
            <w:r w:rsidRPr="00061979">
              <w:rPr>
                <w:rFonts w:ascii="Arial" w:hAnsi="Arial" w:cs="Arial"/>
                <w:color w:val="000000"/>
                <w:sz w:val="20"/>
                <w:szCs w:val="20"/>
              </w:rPr>
              <w:t>10</w:t>
            </w:r>
          </w:p>
        </w:tc>
        <w:tc>
          <w:tcPr>
            <w:tcW w:w="2242" w:type="dxa"/>
            <w:shd w:val="clear" w:color="auto" w:fill="92D050"/>
          </w:tcPr>
          <w:p w14:paraId="22BA5CA9"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c>
          <w:tcPr>
            <w:tcW w:w="2151" w:type="dxa"/>
            <w:shd w:val="clear" w:color="auto" w:fill="92D050"/>
          </w:tcPr>
          <w:p w14:paraId="62817A36" w14:textId="77777777" w:rsidR="00061979" w:rsidRPr="00061979" w:rsidRDefault="00061979" w:rsidP="00061979">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FE0D25" w:rsidRPr="00061979" w14:paraId="5E2D41EB" w14:textId="77777777" w:rsidTr="00DE3AC1">
        <w:tc>
          <w:tcPr>
            <w:tcW w:w="6632" w:type="dxa"/>
            <w:gridSpan w:val="3"/>
          </w:tcPr>
          <w:p w14:paraId="059BEA41"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Total Annual Cost</w:t>
            </w:r>
          </w:p>
        </w:tc>
        <w:tc>
          <w:tcPr>
            <w:tcW w:w="2151" w:type="dxa"/>
            <w:shd w:val="clear" w:color="auto" w:fill="92D050"/>
          </w:tcPr>
          <w:p w14:paraId="497665D4"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color w:val="000000"/>
                <w:sz w:val="20"/>
                <w:szCs w:val="20"/>
                <w:lang w:val="en-GB"/>
              </w:rPr>
              <w:t>£</w:t>
            </w:r>
          </w:p>
        </w:tc>
      </w:tr>
      <w:tr w:rsidR="00FE0D25" w:rsidRPr="00061979" w14:paraId="43819D2A" w14:textId="77777777" w:rsidTr="00DE3AC1">
        <w:tc>
          <w:tcPr>
            <w:tcW w:w="6632" w:type="dxa"/>
            <w:gridSpan w:val="3"/>
          </w:tcPr>
          <w:p w14:paraId="0946AE4A" w14:textId="77777777" w:rsidR="00FE0D25" w:rsidRPr="00061979" w:rsidRDefault="00FE0D25" w:rsidP="00DE3AC1">
            <w:pPr>
              <w:pStyle w:val="ListParagraph"/>
              <w:autoSpaceDE w:val="0"/>
              <w:autoSpaceDN w:val="0"/>
              <w:adjustRightInd w:val="0"/>
              <w:ind w:left="0"/>
              <w:rPr>
                <w:rFonts w:ascii="Arial" w:hAnsi="Arial" w:cs="Arial"/>
                <w:color w:val="000000"/>
                <w:sz w:val="20"/>
                <w:szCs w:val="20"/>
                <w:lang w:val="en-GB"/>
              </w:rPr>
            </w:pPr>
            <w:r w:rsidRPr="00061979">
              <w:rPr>
                <w:rFonts w:ascii="Arial" w:hAnsi="Arial" w:cs="Arial"/>
                <w:b/>
                <w:color w:val="000000"/>
                <w:sz w:val="20"/>
                <w:szCs w:val="20"/>
                <w:lang w:val="en-GB"/>
              </w:rPr>
              <w:t>Total Contract Cost</w:t>
            </w:r>
            <w:r w:rsidRPr="00061979">
              <w:rPr>
                <w:rFonts w:ascii="Arial" w:hAnsi="Arial" w:cs="Arial"/>
                <w:color w:val="000000"/>
                <w:sz w:val="20"/>
                <w:szCs w:val="20"/>
                <w:lang w:val="en-GB"/>
              </w:rPr>
              <w:t xml:space="preserve"> (X * Y) * 2 </w:t>
            </w:r>
            <w:proofErr w:type="gramStart"/>
            <w:r w:rsidRPr="00061979">
              <w:rPr>
                <w:rFonts w:ascii="Arial" w:hAnsi="Arial" w:cs="Arial"/>
                <w:color w:val="000000"/>
                <w:sz w:val="20"/>
                <w:szCs w:val="20"/>
                <w:lang w:val="en-GB"/>
              </w:rPr>
              <w:t xml:space="preserve">years  </w:t>
            </w:r>
            <w:r w:rsidRPr="00061979">
              <w:rPr>
                <w:rFonts w:ascii="Arial" w:hAnsi="Arial" w:cs="Arial"/>
                <w:b/>
                <w:color w:val="000000"/>
                <w:sz w:val="20"/>
                <w:szCs w:val="20"/>
                <w:lang w:val="en-GB"/>
              </w:rPr>
              <w:t>(</w:t>
            </w:r>
            <w:proofErr w:type="gramEnd"/>
            <w:r w:rsidRPr="00061979">
              <w:rPr>
                <w:rFonts w:ascii="Arial" w:hAnsi="Arial" w:cs="Arial"/>
                <w:b/>
                <w:color w:val="000000"/>
                <w:sz w:val="20"/>
                <w:szCs w:val="20"/>
                <w:lang w:val="en-GB"/>
              </w:rPr>
              <w:t>For Evaluation)</w:t>
            </w:r>
          </w:p>
        </w:tc>
        <w:tc>
          <w:tcPr>
            <w:tcW w:w="2151" w:type="dxa"/>
            <w:shd w:val="clear" w:color="auto" w:fill="92D050"/>
          </w:tcPr>
          <w:p w14:paraId="7798FF28" w14:textId="77777777" w:rsidR="00FE0D25" w:rsidRPr="00061979" w:rsidRDefault="00FE0D25" w:rsidP="00DE3AC1">
            <w:pPr>
              <w:pStyle w:val="ListParagraph"/>
              <w:autoSpaceDE w:val="0"/>
              <w:autoSpaceDN w:val="0"/>
              <w:adjustRightInd w:val="0"/>
              <w:ind w:left="0"/>
              <w:rPr>
                <w:rFonts w:ascii="Arial" w:hAnsi="Arial" w:cs="Arial"/>
                <w:b/>
                <w:color w:val="000000"/>
                <w:sz w:val="20"/>
                <w:szCs w:val="20"/>
                <w:lang w:val="en-GB"/>
              </w:rPr>
            </w:pPr>
            <w:r w:rsidRPr="00061979">
              <w:rPr>
                <w:rFonts w:ascii="Arial" w:hAnsi="Arial" w:cs="Arial"/>
                <w:b/>
                <w:color w:val="000000"/>
                <w:sz w:val="20"/>
                <w:szCs w:val="20"/>
                <w:lang w:val="en-GB"/>
              </w:rPr>
              <w:t>£</w:t>
            </w:r>
          </w:p>
        </w:tc>
      </w:tr>
    </w:tbl>
    <w:p w14:paraId="295D14B0" w14:textId="77777777" w:rsidR="00FE0D25" w:rsidRPr="00061979" w:rsidRDefault="00FE0D25" w:rsidP="005B7850">
      <w:pPr>
        <w:pStyle w:val="ListParagraph"/>
        <w:autoSpaceDE w:val="0"/>
        <w:autoSpaceDN w:val="0"/>
        <w:adjustRightInd w:val="0"/>
        <w:spacing w:after="0" w:line="240" w:lineRule="auto"/>
        <w:ind w:left="426"/>
        <w:rPr>
          <w:rFonts w:ascii="Arial" w:hAnsi="Arial" w:cs="Arial"/>
        </w:rPr>
      </w:pPr>
    </w:p>
    <w:p w14:paraId="6652DD9D" w14:textId="77777777" w:rsidR="00DD3A30" w:rsidRPr="00061979" w:rsidRDefault="00DD3A30" w:rsidP="00B72851">
      <w:pPr>
        <w:pStyle w:val="ListParagraph"/>
        <w:autoSpaceDE w:val="0"/>
        <w:autoSpaceDN w:val="0"/>
        <w:adjustRightInd w:val="0"/>
        <w:spacing w:after="0" w:line="240" w:lineRule="auto"/>
        <w:ind w:left="567" w:hanging="567"/>
        <w:rPr>
          <w:rFonts w:ascii="Arial" w:hAnsi="Arial" w:cs="Arial"/>
        </w:rPr>
      </w:pPr>
    </w:p>
    <w:p w14:paraId="11C25D38" w14:textId="7F17D334" w:rsidR="00A80305" w:rsidRPr="00061979" w:rsidRDefault="00164873"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To calculate the Price </w:t>
      </w:r>
      <w:proofErr w:type="gramStart"/>
      <w:r w:rsidRPr="00061979">
        <w:rPr>
          <w:rFonts w:ascii="Arial" w:hAnsi="Arial" w:cs="Arial"/>
        </w:rPr>
        <w:t>Score</w:t>
      </w:r>
      <w:proofErr w:type="gramEnd"/>
      <w:r w:rsidRPr="00061979">
        <w:rPr>
          <w:rFonts w:ascii="Arial" w:hAnsi="Arial" w:cs="Arial"/>
        </w:rPr>
        <w:t xml:space="preserve"> we</w:t>
      </w:r>
      <w:r w:rsidR="00A80305" w:rsidRPr="00061979">
        <w:rPr>
          <w:rFonts w:ascii="Arial" w:hAnsi="Arial" w:cs="Arial"/>
        </w:rPr>
        <w:t xml:space="preserve"> will use the ‘difference from the lowest tendered price’ method and the following equation:</w:t>
      </w:r>
    </w:p>
    <w:p w14:paraId="687EFA25" w14:textId="77777777" w:rsidR="00A80305" w:rsidRPr="00061979" w:rsidRDefault="00A80305" w:rsidP="00B72851">
      <w:pPr>
        <w:pStyle w:val="ListParagraph"/>
        <w:autoSpaceDE w:val="0"/>
        <w:autoSpaceDN w:val="0"/>
        <w:adjustRightInd w:val="0"/>
        <w:spacing w:after="0" w:line="240" w:lineRule="auto"/>
        <w:ind w:left="567" w:hanging="567"/>
        <w:jc w:val="both"/>
        <w:rPr>
          <w:rFonts w:ascii="Arial" w:hAnsi="Arial" w:cs="Arial"/>
        </w:rPr>
      </w:pPr>
      <w:r w:rsidRPr="00061979">
        <w:rPr>
          <w:rFonts w:ascii="Arial" w:hAnsi="Arial" w:cs="Arial"/>
        </w:rPr>
        <w:t xml:space="preserve">   </w:t>
      </w:r>
      <w:r w:rsidRPr="00061979">
        <w:rPr>
          <w:rFonts w:ascii="Arial" w:hAnsi="Arial" w:cs="Arial"/>
        </w:rPr>
        <w:tab/>
      </w:r>
      <w:r w:rsidRPr="00061979">
        <w:rPr>
          <w:rFonts w:ascii="Arial" w:hAnsi="Arial" w:cs="Arial"/>
        </w:rPr>
        <w:tab/>
      </w:r>
      <w:r w:rsidRPr="00061979">
        <w:rPr>
          <w:rFonts w:ascii="Arial" w:hAnsi="Arial" w:cs="Arial"/>
        </w:rPr>
        <w:tab/>
      </w:r>
    </w:p>
    <w:p w14:paraId="6A4F3E3F" w14:textId="5945D679" w:rsidR="00A80305" w:rsidRPr="00061979" w:rsidRDefault="00DD3A30" w:rsidP="00B72851">
      <w:pPr>
        <w:spacing w:after="0" w:line="240" w:lineRule="auto"/>
        <w:ind w:left="567"/>
        <w:rPr>
          <w:rFonts w:ascii="Arial" w:hAnsi="Arial" w:cs="Arial"/>
        </w:rPr>
      </w:pPr>
      <w:r w:rsidRPr="00061979">
        <w:rPr>
          <w:rFonts w:ascii="Arial" w:hAnsi="Arial" w:cs="Arial"/>
        </w:rPr>
        <w:t xml:space="preserve">     </w:t>
      </w:r>
      <w:r w:rsidR="00A80305" w:rsidRPr="00061979">
        <w:rPr>
          <w:rFonts w:ascii="Arial" w:hAnsi="Arial" w:cs="Arial"/>
        </w:rPr>
        <w:t xml:space="preserve">Price Score % = (100% - ((Quote Price – Lowest Price)/ (Lowest Price))) multiplied by 40 </w:t>
      </w:r>
    </w:p>
    <w:p w14:paraId="7D13EACC" w14:textId="77777777" w:rsidR="00A80305" w:rsidRPr="00061979" w:rsidRDefault="00A80305" w:rsidP="00B72851">
      <w:pPr>
        <w:ind w:left="567" w:hanging="567"/>
        <w:rPr>
          <w:rFonts w:ascii="Arial" w:hAnsi="Arial" w:cs="Arial"/>
        </w:rPr>
      </w:pPr>
      <w:r w:rsidRPr="00061979">
        <w:rPr>
          <w:rFonts w:ascii="Arial" w:hAnsi="Arial" w:cs="Arial"/>
        </w:rPr>
        <w:tab/>
      </w:r>
      <w:r w:rsidRPr="00061979">
        <w:rPr>
          <w:rFonts w:ascii="Arial" w:hAnsi="Arial" w:cs="Arial"/>
        </w:rPr>
        <w:tab/>
      </w:r>
      <w:r w:rsidRPr="00061979">
        <w:rPr>
          <w:rFonts w:ascii="Arial" w:hAnsi="Arial" w:cs="Arial"/>
        </w:rPr>
        <w:tab/>
        <w:t xml:space="preserve">    </w:t>
      </w:r>
    </w:p>
    <w:p w14:paraId="0023943E" w14:textId="77777777" w:rsidR="00A80305" w:rsidRPr="00061979" w:rsidRDefault="00A80305" w:rsidP="00B72851">
      <w:pPr>
        <w:autoSpaceDE w:val="0"/>
        <w:autoSpaceDN w:val="0"/>
        <w:adjustRightInd w:val="0"/>
        <w:spacing w:after="0" w:line="240" w:lineRule="auto"/>
        <w:ind w:left="567"/>
        <w:rPr>
          <w:rFonts w:ascii="Arial" w:hAnsi="Arial" w:cs="Arial"/>
        </w:rPr>
      </w:pPr>
      <w:r w:rsidRPr="00061979">
        <w:rPr>
          <w:rFonts w:ascii="Arial" w:hAnsi="Arial" w:cs="Arial"/>
        </w:rPr>
        <w:t>The Lowest Price in the equation above will be the quote with the submitted lowest price where the Council believes, from the information submitted in the quote, that the services can be delivered in accordance with the minimum acceptable quality score in each area and contract terms and conditions.</w:t>
      </w:r>
    </w:p>
    <w:p w14:paraId="7522BEF8" w14:textId="77777777" w:rsidR="00A80305" w:rsidRPr="00061979" w:rsidRDefault="00A80305" w:rsidP="00B72851">
      <w:pPr>
        <w:pStyle w:val="ListParagraph"/>
        <w:autoSpaceDE w:val="0"/>
        <w:autoSpaceDN w:val="0"/>
        <w:adjustRightInd w:val="0"/>
        <w:spacing w:after="0" w:line="240" w:lineRule="auto"/>
        <w:ind w:left="567" w:hanging="567"/>
        <w:rPr>
          <w:rFonts w:ascii="Arial" w:hAnsi="Arial" w:cs="Arial"/>
        </w:rPr>
      </w:pPr>
    </w:p>
    <w:p w14:paraId="0E460786" w14:textId="06C48ED3" w:rsidR="00E9291E" w:rsidRPr="00061979" w:rsidRDefault="005B7850" w:rsidP="00B72851">
      <w:pPr>
        <w:pStyle w:val="ListParagraph"/>
        <w:numPr>
          <w:ilvl w:val="0"/>
          <w:numId w:val="30"/>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The proposals presented should not exceed £99,000 (excluding VAT) for </w:t>
      </w:r>
      <w:r w:rsidR="0028052A" w:rsidRPr="00061979">
        <w:rPr>
          <w:rFonts w:ascii="Arial" w:hAnsi="Arial" w:cs="Arial"/>
        </w:rPr>
        <w:t>the</w:t>
      </w:r>
      <w:r w:rsidRPr="00061979">
        <w:rPr>
          <w:rFonts w:ascii="Arial" w:hAnsi="Arial" w:cs="Arial"/>
        </w:rPr>
        <w:t xml:space="preserve"> </w:t>
      </w:r>
      <w:r w:rsidR="009803EE" w:rsidRPr="00061979">
        <w:rPr>
          <w:rFonts w:ascii="Arial" w:hAnsi="Arial" w:cs="Arial"/>
        </w:rPr>
        <w:t>2</w:t>
      </w:r>
      <w:r w:rsidRPr="00061979">
        <w:rPr>
          <w:rFonts w:ascii="Arial" w:hAnsi="Arial" w:cs="Arial"/>
        </w:rPr>
        <w:t>-year period.</w:t>
      </w:r>
      <w:r w:rsidR="00757342" w:rsidRPr="00061979">
        <w:rPr>
          <w:rFonts w:ascii="Arial" w:hAnsi="Arial" w:cs="Arial"/>
        </w:rPr>
        <w:t xml:space="preserve"> Proposals that exceed that amount cannot be considered</w:t>
      </w:r>
      <w:r w:rsidR="0028052A" w:rsidRPr="00061979">
        <w:rPr>
          <w:rFonts w:ascii="Arial" w:hAnsi="Arial" w:cs="Arial"/>
        </w:rPr>
        <w:t xml:space="preserve"> for an award</w:t>
      </w:r>
      <w:r w:rsidR="00757342" w:rsidRPr="00061979">
        <w:rPr>
          <w:rFonts w:ascii="Arial" w:hAnsi="Arial" w:cs="Arial"/>
        </w:rPr>
        <w:t>.</w:t>
      </w:r>
    </w:p>
    <w:p w14:paraId="0813DD4E" w14:textId="77777777" w:rsidR="00757342" w:rsidRPr="00061979" w:rsidRDefault="00757342" w:rsidP="00B72851">
      <w:pPr>
        <w:pStyle w:val="ListParagraph"/>
        <w:autoSpaceDE w:val="0"/>
        <w:autoSpaceDN w:val="0"/>
        <w:adjustRightInd w:val="0"/>
        <w:spacing w:after="0" w:line="240" w:lineRule="auto"/>
        <w:ind w:left="567" w:hanging="567"/>
        <w:rPr>
          <w:rFonts w:ascii="Arial" w:hAnsi="Arial" w:cs="Arial"/>
        </w:rPr>
      </w:pPr>
    </w:p>
    <w:p w14:paraId="235AAD31" w14:textId="77777777" w:rsidR="00757342" w:rsidRPr="00061979" w:rsidRDefault="00757342" w:rsidP="00B72851">
      <w:pPr>
        <w:pStyle w:val="ListParagraph"/>
        <w:autoSpaceDE w:val="0"/>
        <w:autoSpaceDN w:val="0"/>
        <w:adjustRightInd w:val="0"/>
        <w:spacing w:after="0" w:line="240" w:lineRule="auto"/>
        <w:ind w:left="567" w:hanging="567"/>
        <w:rPr>
          <w:rFonts w:ascii="Arial" w:hAnsi="Arial" w:cs="Arial"/>
          <w:b/>
          <w:bCs/>
        </w:rPr>
      </w:pPr>
    </w:p>
    <w:p w14:paraId="1A4FED36" w14:textId="7776CB1A" w:rsidR="005B7850" w:rsidRPr="00061979" w:rsidRDefault="005B7850" w:rsidP="00B72851">
      <w:pPr>
        <w:pStyle w:val="ListParagraph"/>
        <w:numPr>
          <w:ilvl w:val="0"/>
          <w:numId w:val="30"/>
        </w:numPr>
        <w:autoSpaceDE w:val="0"/>
        <w:autoSpaceDN w:val="0"/>
        <w:adjustRightInd w:val="0"/>
        <w:spacing w:after="0" w:line="240" w:lineRule="auto"/>
        <w:ind w:left="567" w:hanging="567"/>
        <w:rPr>
          <w:rFonts w:ascii="Arial" w:hAnsi="Arial" w:cs="Arial"/>
          <w:b/>
          <w:bCs/>
        </w:rPr>
      </w:pPr>
      <w:r w:rsidRPr="00061979">
        <w:rPr>
          <w:rFonts w:ascii="Arial" w:hAnsi="Arial" w:cs="Arial"/>
          <w:b/>
          <w:bCs/>
        </w:rPr>
        <w:t>Final Score</w:t>
      </w:r>
    </w:p>
    <w:p w14:paraId="7E7F63AF" w14:textId="77777777" w:rsidR="00137489" w:rsidRPr="00061979" w:rsidRDefault="00137489" w:rsidP="00B72851">
      <w:pPr>
        <w:autoSpaceDE w:val="0"/>
        <w:autoSpaceDN w:val="0"/>
        <w:adjustRightInd w:val="0"/>
        <w:spacing w:after="0" w:line="240" w:lineRule="auto"/>
        <w:ind w:left="567" w:hanging="567"/>
        <w:rPr>
          <w:rFonts w:ascii="Arial" w:hAnsi="Arial" w:cs="Arial"/>
        </w:rPr>
      </w:pPr>
    </w:p>
    <w:p w14:paraId="7E7F63B0" w14:textId="38823633" w:rsidR="00137489" w:rsidRPr="00061979" w:rsidRDefault="00912100" w:rsidP="00B72851">
      <w:pPr>
        <w:autoSpaceDE w:val="0"/>
        <w:autoSpaceDN w:val="0"/>
        <w:adjustRightInd w:val="0"/>
        <w:spacing w:after="0" w:line="240" w:lineRule="auto"/>
        <w:ind w:left="567"/>
        <w:rPr>
          <w:rFonts w:ascii="Arial" w:hAnsi="Arial" w:cs="Arial"/>
        </w:rPr>
      </w:pPr>
      <w:proofErr w:type="gramStart"/>
      <w:r w:rsidRPr="00061979">
        <w:rPr>
          <w:rFonts w:ascii="Arial" w:hAnsi="Arial" w:cs="Arial"/>
        </w:rPr>
        <w:t>The Price</w:t>
      </w:r>
      <w:r w:rsidR="00137489" w:rsidRPr="00061979">
        <w:rPr>
          <w:rFonts w:ascii="Arial" w:hAnsi="Arial" w:cs="Arial"/>
        </w:rPr>
        <w:t xml:space="preserve"> Score (</w:t>
      </w:r>
      <w:r w:rsidR="00707F26" w:rsidRPr="00061979">
        <w:rPr>
          <w:rFonts w:ascii="Arial" w:hAnsi="Arial" w:cs="Arial"/>
        </w:rPr>
        <w:t>4</w:t>
      </w:r>
      <w:r w:rsidR="00137489" w:rsidRPr="00061979">
        <w:rPr>
          <w:rFonts w:ascii="Arial" w:hAnsi="Arial" w:cs="Arial"/>
        </w:rPr>
        <w:t>0% weighting applied),</w:t>
      </w:r>
      <w:proofErr w:type="gramEnd"/>
      <w:r w:rsidR="00137489" w:rsidRPr="00061979">
        <w:rPr>
          <w:rFonts w:ascii="Arial" w:hAnsi="Arial" w:cs="Arial"/>
        </w:rPr>
        <w:t xml:space="preserve"> is added to the overall Quality Score (</w:t>
      </w:r>
      <w:r w:rsidR="00707F26" w:rsidRPr="00061979">
        <w:rPr>
          <w:rFonts w:ascii="Arial" w:hAnsi="Arial" w:cs="Arial"/>
        </w:rPr>
        <w:t>6</w:t>
      </w:r>
      <w:r w:rsidR="00137489" w:rsidRPr="00061979">
        <w:rPr>
          <w:rFonts w:ascii="Arial" w:hAnsi="Arial" w:cs="Arial"/>
        </w:rPr>
        <w:t>0% weighting applied), to give a final score for each Potential Provider (Final Score)</w:t>
      </w:r>
      <w:r w:rsidR="00BC7F1F" w:rsidRPr="00061979">
        <w:rPr>
          <w:rFonts w:ascii="Arial" w:hAnsi="Arial" w:cs="Arial"/>
        </w:rPr>
        <w:t>.</w:t>
      </w:r>
    </w:p>
    <w:p w14:paraId="7E7F63B1" w14:textId="77777777" w:rsidR="00137489" w:rsidRPr="00061979" w:rsidRDefault="00137489" w:rsidP="00B72851">
      <w:pPr>
        <w:autoSpaceDE w:val="0"/>
        <w:autoSpaceDN w:val="0"/>
        <w:adjustRightInd w:val="0"/>
        <w:spacing w:after="0" w:line="240" w:lineRule="auto"/>
        <w:ind w:left="567" w:hanging="567"/>
        <w:rPr>
          <w:rFonts w:ascii="Arial" w:hAnsi="Arial" w:cs="Arial"/>
        </w:rPr>
      </w:pPr>
    </w:p>
    <w:p w14:paraId="7E7F63B2" w14:textId="31882CD2" w:rsidR="00137489" w:rsidRPr="00061979" w:rsidRDefault="00137489" w:rsidP="00B72851">
      <w:pPr>
        <w:autoSpaceDE w:val="0"/>
        <w:autoSpaceDN w:val="0"/>
        <w:adjustRightInd w:val="0"/>
        <w:spacing w:after="0" w:line="240" w:lineRule="auto"/>
        <w:ind w:left="567"/>
        <w:rPr>
          <w:rFonts w:ascii="Arial" w:hAnsi="Arial" w:cs="Arial"/>
        </w:rPr>
      </w:pPr>
      <w:r w:rsidRPr="00061979">
        <w:rPr>
          <w:rFonts w:ascii="Arial" w:hAnsi="Arial" w:cs="Arial"/>
        </w:rPr>
        <w:t>The contract will be awarded to the supplier with the highest Final Score. Feedback will be supplied to unsuccessful bidders</w:t>
      </w:r>
      <w:r w:rsidR="000A54C7" w:rsidRPr="00061979">
        <w:rPr>
          <w:rFonts w:ascii="Arial" w:hAnsi="Arial" w:cs="Arial"/>
        </w:rPr>
        <w:t xml:space="preserve"> on request</w:t>
      </w:r>
      <w:r w:rsidRPr="00061979">
        <w:rPr>
          <w:rFonts w:ascii="Arial" w:hAnsi="Arial" w:cs="Arial"/>
        </w:rPr>
        <w:t>.</w:t>
      </w:r>
    </w:p>
    <w:p w14:paraId="7E7F63B3" w14:textId="7268FB29" w:rsidR="00137489" w:rsidRPr="00061979" w:rsidRDefault="00137489" w:rsidP="000A54C7">
      <w:pPr>
        <w:autoSpaceDE w:val="0"/>
        <w:autoSpaceDN w:val="0"/>
        <w:adjustRightInd w:val="0"/>
        <w:spacing w:after="0" w:line="240" w:lineRule="auto"/>
        <w:ind w:left="426"/>
        <w:rPr>
          <w:rFonts w:ascii="Arial" w:hAnsi="Arial" w:cs="Arial"/>
        </w:rPr>
      </w:pPr>
    </w:p>
    <w:p w14:paraId="4078359A" w14:textId="2B973625" w:rsidR="00586810" w:rsidRPr="00061979" w:rsidRDefault="00586810" w:rsidP="00CE122A">
      <w:pPr>
        <w:autoSpaceDE w:val="0"/>
        <w:autoSpaceDN w:val="0"/>
        <w:adjustRightInd w:val="0"/>
        <w:spacing w:after="0" w:line="240" w:lineRule="auto"/>
        <w:ind w:left="426"/>
        <w:rPr>
          <w:rFonts w:ascii="Arial" w:hAnsi="Arial" w:cs="Arial"/>
        </w:rPr>
      </w:pPr>
    </w:p>
    <w:sectPr w:rsidR="00586810" w:rsidRPr="00061979" w:rsidSect="00855982">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1093" w14:textId="77777777" w:rsidR="004105B0" w:rsidRDefault="004105B0" w:rsidP="00855982">
      <w:pPr>
        <w:spacing w:after="0" w:line="240" w:lineRule="auto"/>
      </w:pPr>
      <w:r>
        <w:separator/>
      </w:r>
    </w:p>
  </w:endnote>
  <w:endnote w:type="continuationSeparator" w:id="0">
    <w:p w14:paraId="6B7424CC" w14:textId="77777777" w:rsidR="004105B0" w:rsidRDefault="004105B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1"/>
      <w:docPartObj>
        <w:docPartGallery w:val="Page Numbers (Bottom of Page)"/>
        <w:docPartUnique/>
      </w:docPartObj>
    </w:sdtPr>
    <w:sdtEndPr>
      <w:rPr>
        <w:noProof/>
      </w:rPr>
    </w:sdtEndPr>
    <w:sdtContent>
      <w:p w14:paraId="7E7F63BC" w14:textId="77777777" w:rsidR="00855982" w:rsidRDefault="00855982">
        <w:pPr>
          <w:pStyle w:val="Footer"/>
        </w:pPr>
        <w:r>
          <w:fldChar w:fldCharType="begin"/>
        </w:r>
        <w:r>
          <w:instrText xml:space="preserve"> PAGE   \* MERGEFORMAT </w:instrText>
        </w:r>
        <w:r>
          <w:fldChar w:fldCharType="separate"/>
        </w:r>
        <w:r w:rsidR="00A1228C">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6571" w14:textId="77777777" w:rsidR="004105B0" w:rsidRDefault="004105B0" w:rsidP="00855982">
      <w:pPr>
        <w:spacing w:after="0" w:line="240" w:lineRule="auto"/>
      </w:pPr>
      <w:r>
        <w:separator/>
      </w:r>
    </w:p>
  </w:footnote>
  <w:footnote w:type="continuationSeparator" w:id="0">
    <w:p w14:paraId="45F2266F" w14:textId="77777777" w:rsidR="004105B0" w:rsidRDefault="004105B0"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DD6101"/>
    <w:multiLevelType w:val="hybridMultilevel"/>
    <w:tmpl w:val="66BE1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86ADF"/>
    <w:multiLevelType w:val="hybridMultilevel"/>
    <w:tmpl w:val="5DEA4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1651FF"/>
    <w:multiLevelType w:val="hybridMultilevel"/>
    <w:tmpl w:val="F4EEFBE6"/>
    <w:lvl w:ilvl="0" w:tplc="0809000F">
      <w:start w:val="1"/>
      <w:numFmt w:val="decimal"/>
      <w:lvlText w:val="%1."/>
      <w:lvlJc w:val="left"/>
      <w:pPr>
        <w:ind w:left="720" w:hanging="360"/>
      </w:pPr>
    </w:lvl>
    <w:lvl w:ilvl="1" w:tplc="A580A6C0">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746EF0"/>
    <w:multiLevelType w:val="hybridMultilevel"/>
    <w:tmpl w:val="5582D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0DC687A"/>
    <w:multiLevelType w:val="hybridMultilevel"/>
    <w:tmpl w:val="A06E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584294E"/>
    <w:multiLevelType w:val="hybridMultilevel"/>
    <w:tmpl w:val="A76A0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99030F"/>
    <w:multiLevelType w:val="hybridMultilevel"/>
    <w:tmpl w:val="10387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220C49"/>
    <w:multiLevelType w:val="hybridMultilevel"/>
    <w:tmpl w:val="2076D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CD77A3"/>
    <w:multiLevelType w:val="hybridMultilevel"/>
    <w:tmpl w:val="13120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786578"/>
    <w:multiLevelType w:val="hybridMultilevel"/>
    <w:tmpl w:val="02106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6D5369"/>
    <w:multiLevelType w:val="hybridMultilevel"/>
    <w:tmpl w:val="4B9E4D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6711E7"/>
    <w:multiLevelType w:val="hybridMultilevel"/>
    <w:tmpl w:val="08D64B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C2642E0"/>
    <w:multiLevelType w:val="hybridMultilevel"/>
    <w:tmpl w:val="C0A624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4176376"/>
    <w:multiLevelType w:val="hybridMultilevel"/>
    <w:tmpl w:val="F18C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545C1F"/>
    <w:multiLevelType w:val="hybridMultilevel"/>
    <w:tmpl w:val="C258656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906781"/>
    <w:multiLevelType w:val="hybridMultilevel"/>
    <w:tmpl w:val="381CD3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5F622BF"/>
    <w:multiLevelType w:val="hybridMultilevel"/>
    <w:tmpl w:val="732C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AA3EDE"/>
    <w:multiLevelType w:val="hybridMultilevel"/>
    <w:tmpl w:val="1110D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351B52"/>
    <w:multiLevelType w:val="hybridMultilevel"/>
    <w:tmpl w:val="AB24F1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4465558"/>
    <w:multiLevelType w:val="hybridMultilevel"/>
    <w:tmpl w:val="2EA03988"/>
    <w:lvl w:ilvl="0" w:tplc="8C261AD8">
      <w:start w:val="1"/>
      <w:numFmt w:val="upperLetter"/>
      <w:lvlText w:val="%1-"/>
      <w:lvlJc w:val="left"/>
      <w:pPr>
        <w:ind w:left="2493" w:hanging="360"/>
      </w:pPr>
      <w:rPr>
        <w:rFonts w:hint="default"/>
      </w:rPr>
    </w:lvl>
    <w:lvl w:ilvl="1" w:tplc="08090019" w:tentative="1">
      <w:start w:val="1"/>
      <w:numFmt w:val="lowerLetter"/>
      <w:lvlText w:val="%2."/>
      <w:lvlJc w:val="left"/>
      <w:pPr>
        <w:ind w:left="3213" w:hanging="360"/>
      </w:pPr>
    </w:lvl>
    <w:lvl w:ilvl="2" w:tplc="0809001B" w:tentative="1">
      <w:start w:val="1"/>
      <w:numFmt w:val="lowerRoman"/>
      <w:lvlText w:val="%3."/>
      <w:lvlJc w:val="right"/>
      <w:pPr>
        <w:ind w:left="3933" w:hanging="180"/>
      </w:pPr>
    </w:lvl>
    <w:lvl w:ilvl="3" w:tplc="0809000F" w:tentative="1">
      <w:start w:val="1"/>
      <w:numFmt w:val="decimal"/>
      <w:lvlText w:val="%4."/>
      <w:lvlJc w:val="left"/>
      <w:pPr>
        <w:ind w:left="4653" w:hanging="360"/>
      </w:pPr>
    </w:lvl>
    <w:lvl w:ilvl="4" w:tplc="08090019" w:tentative="1">
      <w:start w:val="1"/>
      <w:numFmt w:val="lowerLetter"/>
      <w:lvlText w:val="%5."/>
      <w:lvlJc w:val="left"/>
      <w:pPr>
        <w:ind w:left="5373" w:hanging="360"/>
      </w:pPr>
    </w:lvl>
    <w:lvl w:ilvl="5" w:tplc="0809001B" w:tentative="1">
      <w:start w:val="1"/>
      <w:numFmt w:val="lowerRoman"/>
      <w:lvlText w:val="%6."/>
      <w:lvlJc w:val="right"/>
      <w:pPr>
        <w:ind w:left="6093" w:hanging="180"/>
      </w:pPr>
    </w:lvl>
    <w:lvl w:ilvl="6" w:tplc="0809000F" w:tentative="1">
      <w:start w:val="1"/>
      <w:numFmt w:val="decimal"/>
      <w:lvlText w:val="%7."/>
      <w:lvlJc w:val="left"/>
      <w:pPr>
        <w:ind w:left="6813" w:hanging="360"/>
      </w:pPr>
    </w:lvl>
    <w:lvl w:ilvl="7" w:tplc="08090019" w:tentative="1">
      <w:start w:val="1"/>
      <w:numFmt w:val="lowerLetter"/>
      <w:lvlText w:val="%8."/>
      <w:lvlJc w:val="left"/>
      <w:pPr>
        <w:ind w:left="7533" w:hanging="360"/>
      </w:pPr>
    </w:lvl>
    <w:lvl w:ilvl="8" w:tplc="0809001B" w:tentative="1">
      <w:start w:val="1"/>
      <w:numFmt w:val="lowerRoman"/>
      <w:lvlText w:val="%9."/>
      <w:lvlJc w:val="right"/>
      <w:pPr>
        <w:ind w:left="8253" w:hanging="180"/>
      </w:pPr>
    </w:lvl>
  </w:abstractNum>
  <w:abstractNum w:abstractNumId="38" w15:restartNumberingAfterBreak="0">
    <w:nsid w:val="61AF4121"/>
    <w:multiLevelType w:val="hybridMultilevel"/>
    <w:tmpl w:val="BB52DEFC"/>
    <w:lvl w:ilvl="0" w:tplc="0809000F">
      <w:start w:val="1"/>
      <w:numFmt w:val="decimal"/>
      <w:lvlText w:val="%1."/>
      <w:lvlJc w:val="left"/>
      <w:pPr>
        <w:ind w:left="720" w:hanging="360"/>
      </w:pPr>
    </w:lvl>
    <w:lvl w:ilvl="1" w:tplc="A580A6C0">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05A82"/>
    <w:multiLevelType w:val="hybridMultilevel"/>
    <w:tmpl w:val="043A6C24"/>
    <w:lvl w:ilvl="0" w:tplc="3E220902">
      <w:start w:val="1"/>
      <w:numFmt w:val="decimal"/>
      <w:lvlText w:val="%1."/>
      <w:lvlJc w:val="left"/>
      <w:pPr>
        <w:ind w:left="720" w:hanging="360"/>
      </w:pPr>
      <w:rPr>
        <w:rFonts w:asciiTheme="minorHAnsi" w:hAnsiTheme="minorHAnsi" w:hint="default"/>
        <w:sz w:val="22"/>
        <w:szCs w:val="22"/>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93743A"/>
    <w:multiLevelType w:val="hybridMultilevel"/>
    <w:tmpl w:val="E41EF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BC5474"/>
    <w:multiLevelType w:val="hybridMultilevel"/>
    <w:tmpl w:val="7D9082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436350">
    <w:abstractNumId w:val="19"/>
  </w:num>
  <w:num w:numId="2" w16cid:durableId="534971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841524">
    <w:abstractNumId w:val="19"/>
  </w:num>
  <w:num w:numId="4" w16cid:durableId="1507744893">
    <w:abstractNumId w:val="19"/>
  </w:num>
  <w:num w:numId="5" w16cid:durableId="1831674705">
    <w:abstractNumId w:val="19"/>
  </w:num>
  <w:num w:numId="6" w16cid:durableId="478576038">
    <w:abstractNumId w:val="19"/>
  </w:num>
  <w:num w:numId="7" w16cid:durableId="394007097">
    <w:abstractNumId w:val="19"/>
  </w:num>
  <w:num w:numId="8" w16cid:durableId="1569726609">
    <w:abstractNumId w:val="19"/>
  </w:num>
  <w:num w:numId="9" w16cid:durableId="17437901">
    <w:abstractNumId w:val="19"/>
  </w:num>
  <w:num w:numId="10" w16cid:durableId="214051968">
    <w:abstractNumId w:val="19"/>
  </w:num>
  <w:num w:numId="11" w16cid:durableId="1269891215">
    <w:abstractNumId w:val="19"/>
  </w:num>
  <w:num w:numId="12" w16cid:durableId="1475754526">
    <w:abstractNumId w:val="19"/>
  </w:num>
  <w:num w:numId="13" w16cid:durableId="439254330">
    <w:abstractNumId w:val="10"/>
  </w:num>
  <w:num w:numId="14" w16cid:durableId="425927761">
    <w:abstractNumId w:val="34"/>
  </w:num>
  <w:num w:numId="15" w16cid:durableId="839589006">
    <w:abstractNumId w:val="12"/>
  </w:num>
  <w:num w:numId="16" w16cid:durableId="1544826730">
    <w:abstractNumId w:val="13"/>
  </w:num>
  <w:num w:numId="17" w16cid:durableId="1626155352">
    <w:abstractNumId w:val="9"/>
  </w:num>
  <w:num w:numId="18" w16cid:durableId="1363284627">
    <w:abstractNumId w:val="7"/>
  </w:num>
  <w:num w:numId="19" w16cid:durableId="1551578071">
    <w:abstractNumId w:val="6"/>
  </w:num>
  <w:num w:numId="20" w16cid:durableId="1456754823">
    <w:abstractNumId w:val="5"/>
  </w:num>
  <w:num w:numId="21" w16cid:durableId="176817494">
    <w:abstractNumId w:val="4"/>
  </w:num>
  <w:num w:numId="22" w16cid:durableId="189296991">
    <w:abstractNumId w:val="8"/>
  </w:num>
  <w:num w:numId="23" w16cid:durableId="1066604771">
    <w:abstractNumId w:val="3"/>
  </w:num>
  <w:num w:numId="24" w16cid:durableId="1245141186">
    <w:abstractNumId w:val="2"/>
  </w:num>
  <w:num w:numId="25" w16cid:durableId="1195189257">
    <w:abstractNumId w:val="1"/>
  </w:num>
  <w:num w:numId="26" w16cid:durableId="1209150422">
    <w:abstractNumId w:val="0"/>
  </w:num>
  <w:num w:numId="27" w16cid:durableId="522599399">
    <w:abstractNumId w:val="14"/>
  </w:num>
  <w:num w:numId="28" w16cid:durableId="891965893">
    <w:abstractNumId w:val="20"/>
  </w:num>
  <w:num w:numId="29" w16cid:durableId="1756441575">
    <w:abstractNumId w:val="29"/>
  </w:num>
  <w:num w:numId="30" w16cid:durableId="371805981">
    <w:abstractNumId w:val="39"/>
  </w:num>
  <w:num w:numId="31" w16cid:durableId="542406786">
    <w:abstractNumId w:val="30"/>
  </w:num>
  <w:num w:numId="32" w16cid:durableId="406533807">
    <w:abstractNumId w:val="28"/>
  </w:num>
  <w:num w:numId="33" w16cid:durableId="1015109889">
    <w:abstractNumId w:val="36"/>
  </w:num>
  <w:num w:numId="34" w16cid:durableId="888151106">
    <w:abstractNumId w:val="23"/>
  </w:num>
  <w:num w:numId="35" w16cid:durableId="1924021785">
    <w:abstractNumId w:val="15"/>
  </w:num>
  <w:num w:numId="36" w16cid:durableId="2016418048">
    <w:abstractNumId w:val="18"/>
  </w:num>
  <w:num w:numId="37" w16cid:durableId="1372654280">
    <w:abstractNumId w:val="21"/>
  </w:num>
  <w:num w:numId="38" w16cid:durableId="2109278046">
    <w:abstractNumId w:val="17"/>
  </w:num>
  <w:num w:numId="39" w16cid:durableId="597641557">
    <w:abstractNumId w:val="24"/>
  </w:num>
  <w:num w:numId="40" w16cid:durableId="546261626">
    <w:abstractNumId w:val="33"/>
  </w:num>
  <w:num w:numId="41" w16cid:durableId="593703674">
    <w:abstractNumId w:val="37"/>
  </w:num>
  <w:num w:numId="42" w16cid:durableId="490214307">
    <w:abstractNumId w:val="35"/>
  </w:num>
  <w:num w:numId="43" w16cid:durableId="1279992300">
    <w:abstractNumId w:val="27"/>
  </w:num>
  <w:num w:numId="44" w16cid:durableId="1727680592">
    <w:abstractNumId w:val="32"/>
  </w:num>
  <w:num w:numId="45" w16cid:durableId="2123180476">
    <w:abstractNumId w:val="22"/>
  </w:num>
  <w:num w:numId="46" w16cid:durableId="807210027">
    <w:abstractNumId w:val="38"/>
  </w:num>
  <w:num w:numId="47" w16cid:durableId="816150315">
    <w:abstractNumId w:val="16"/>
  </w:num>
  <w:num w:numId="48" w16cid:durableId="937172765">
    <w:abstractNumId w:val="41"/>
  </w:num>
  <w:num w:numId="49" w16cid:durableId="1785803040">
    <w:abstractNumId w:val="25"/>
  </w:num>
  <w:num w:numId="50" w16cid:durableId="971063088">
    <w:abstractNumId w:val="31"/>
  </w:num>
  <w:num w:numId="51" w16cid:durableId="1801262405">
    <w:abstractNumId w:val="11"/>
  </w:num>
  <w:num w:numId="52" w16cid:durableId="112332377">
    <w:abstractNumId w:val="40"/>
  </w:num>
  <w:num w:numId="53" w16cid:durableId="20826762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111C6"/>
    <w:rsid w:val="00014A23"/>
    <w:rsid w:val="00021A50"/>
    <w:rsid w:val="0002564A"/>
    <w:rsid w:val="000312EF"/>
    <w:rsid w:val="00033234"/>
    <w:rsid w:val="00046064"/>
    <w:rsid w:val="00054671"/>
    <w:rsid w:val="000607A0"/>
    <w:rsid w:val="00061979"/>
    <w:rsid w:val="00071327"/>
    <w:rsid w:val="000722F3"/>
    <w:rsid w:val="00075ADC"/>
    <w:rsid w:val="00076C88"/>
    <w:rsid w:val="000A0030"/>
    <w:rsid w:val="000A0560"/>
    <w:rsid w:val="000A0CD0"/>
    <w:rsid w:val="000A54C7"/>
    <w:rsid w:val="000A5950"/>
    <w:rsid w:val="000A6B2E"/>
    <w:rsid w:val="000B2296"/>
    <w:rsid w:val="000B69B4"/>
    <w:rsid w:val="000C3158"/>
    <w:rsid w:val="000C62BF"/>
    <w:rsid w:val="000D493A"/>
    <w:rsid w:val="000D5626"/>
    <w:rsid w:val="000D6F8D"/>
    <w:rsid w:val="000D7213"/>
    <w:rsid w:val="000E32F9"/>
    <w:rsid w:val="000E6D2F"/>
    <w:rsid w:val="000F37ED"/>
    <w:rsid w:val="000F5759"/>
    <w:rsid w:val="000F68F8"/>
    <w:rsid w:val="00105115"/>
    <w:rsid w:val="0010537E"/>
    <w:rsid w:val="00112480"/>
    <w:rsid w:val="00115DF6"/>
    <w:rsid w:val="001323CA"/>
    <w:rsid w:val="00137489"/>
    <w:rsid w:val="0014616B"/>
    <w:rsid w:val="00146562"/>
    <w:rsid w:val="00152427"/>
    <w:rsid w:val="00155937"/>
    <w:rsid w:val="00156242"/>
    <w:rsid w:val="00164873"/>
    <w:rsid w:val="001671AE"/>
    <w:rsid w:val="00167F32"/>
    <w:rsid w:val="00174899"/>
    <w:rsid w:val="00175318"/>
    <w:rsid w:val="00181B00"/>
    <w:rsid w:val="00181ED0"/>
    <w:rsid w:val="001838B7"/>
    <w:rsid w:val="001A09B0"/>
    <w:rsid w:val="001A263C"/>
    <w:rsid w:val="001A31E1"/>
    <w:rsid w:val="001B039F"/>
    <w:rsid w:val="001B1DE2"/>
    <w:rsid w:val="001C049A"/>
    <w:rsid w:val="001C05EF"/>
    <w:rsid w:val="001C1F8B"/>
    <w:rsid w:val="001C3060"/>
    <w:rsid w:val="001C4552"/>
    <w:rsid w:val="001C6B6A"/>
    <w:rsid w:val="001D1078"/>
    <w:rsid w:val="001D4362"/>
    <w:rsid w:val="001E54C3"/>
    <w:rsid w:val="001E581A"/>
    <w:rsid w:val="001E5C4E"/>
    <w:rsid w:val="001E6E39"/>
    <w:rsid w:val="001E7473"/>
    <w:rsid w:val="001F3CE9"/>
    <w:rsid w:val="001F4380"/>
    <w:rsid w:val="00202F29"/>
    <w:rsid w:val="00202F4C"/>
    <w:rsid w:val="002049A4"/>
    <w:rsid w:val="00207378"/>
    <w:rsid w:val="00207A32"/>
    <w:rsid w:val="002139EB"/>
    <w:rsid w:val="0021597B"/>
    <w:rsid w:val="002172F4"/>
    <w:rsid w:val="00223AFA"/>
    <w:rsid w:val="00233DE7"/>
    <w:rsid w:val="002377AF"/>
    <w:rsid w:val="0024287A"/>
    <w:rsid w:val="00247915"/>
    <w:rsid w:val="00247D8A"/>
    <w:rsid w:val="002529F9"/>
    <w:rsid w:val="00261623"/>
    <w:rsid w:val="00270AD5"/>
    <w:rsid w:val="00275016"/>
    <w:rsid w:val="002775A3"/>
    <w:rsid w:val="00280147"/>
    <w:rsid w:val="0028052A"/>
    <w:rsid w:val="002813B1"/>
    <w:rsid w:val="002838E7"/>
    <w:rsid w:val="00293E8B"/>
    <w:rsid w:val="0029574E"/>
    <w:rsid w:val="002A5F4A"/>
    <w:rsid w:val="002B0638"/>
    <w:rsid w:val="002B5A4E"/>
    <w:rsid w:val="002C3297"/>
    <w:rsid w:val="002D0C49"/>
    <w:rsid w:val="002D5253"/>
    <w:rsid w:val="002F09D9"/>
    <w:rsid w:val="002F6DEE"/>
    <w:rsid w:val="003063E2"/>
    <w:rsid w:val="003245B5"/>
    <w:rsid w:val="0034255B"/>
    <w:rsid w:val="00342E1E"/>
    <w:rsid w:val="00352623"/>
    <w:rsid w:val="00354215"/>
    <w:rsid w:val="00355885"/>
    <w:rsid w:val="00365482"/>
    <w:rsid w:val="003765E9"/>
    <w:rsid w:val="00386B6C"/>
    <w:rsid w:val="00387056"/>
    <w:rsid w:val="003919C0"/>
    <w:rsid w:val="003957EF"/>
    <w:rsid w:val="003B36DE"/>
    <w:rsid w:val="003C0977"/>
    <w:rsid w:val="003C7142"/>
    <w:rsid w:val="003C7A25"/>
    <w:rsid w:val="003D2607"/>
    <w:rsid w:val="003D5095"/>
    <w:rsid w:val="003D5CC5"/>
    <w:rsid w:val="003D621F"/>
    <w:rsid w:val="003D690A"/>
    <w:rsid w:val="003D7B4A"/>
    <w:rsid w:val="003E01A8"/>
    <w:rsid w:val="003F6D54"/>
    <w:rsid w:val="004105B0"/>
    <w:rsid w:val="00412594"/>
    <w:rsid w:val="00431121"/>
    <w:rsid w:val="00443411"/>
    <w:rsid w:val="00452C7D"/>
    <w:rsid w:val="00453E38"/>
    <w:rsid w:val="004569A5"/>
    <w:rsid w:val="00460798"/>
    <w:rsid w:val="004610A8"/>
    <w:rsid w:val="00473F49"/>
    <w:rsid w:val="00475412"/>
    <w:rsid w:val="00481CB2"/>
    <w:rsid w:val="004825E5"/>
    <w:rsid w:val="00490D96"/>
    <w:rsid w:val="004B7B2E"/>
    <w:rsid w:val="004C1D77"/>
    <w:rsid w:val="004C2144"/>
    <w:rsid w:val="004C34BE"/>
    <w:rsid w:val="004C4B1C"/>
    <w:rsid w:val="004C672D"/>
    <w:rsid w:val="004D222F"/>
    <w:rsid w:val="004D282E"/>
    <w:rsid w:val="004E2FEC"/>
    <w:rsid w:val="004E5791"/>
    <w:rsid w:val="004F0E2A"/>
    <w:rsid w:val="004F3E22"/>
    <w:rsid w:val="004F5BAE"/>
    <w:rsid w:val="00507F8C"/>
    <w:rsid w:val="00512DC2"/>
    <w:rsid w:val="00520F6B"/>
    <w:rsid w:val="00520F8C"/>
    <w:rsid w:val="00521930"/>
    <w:rsid w:val="00531040"/>
    <w:rsid w:val="00541C16"/>
    <w:rsid w:val="005504C0"/>
    <w:rsid w:val="00551413"/>
    <w:rsid w:val="00551863"/>
    <w:rsid w:val="00554CC1"/>
    <w:rsid w:val="00555169"/>
    <w:rsid w:val="005649CE"/>
    <w:rsid w:val="00586810"/>
    <w:rsid w:val="005915A7"/>
    <w:rsid w:val="00594D72"/>
    <w:rsid w:val="005963FA"/>
    <w:rsid w:val="005965E2"/>
    <w:rsid w:val="00596D55"/>
    <w:rsid w:val="005A6E40"/>
    <w:rsid w:val="005A7218"/>
    <w:rsid w:val="005B4CA9"/>
    <w:rsid w:val="005B7850"/>
    <w:rsid w:val="005C3956"/>
    <w:rsid w:val="005C4E1B"/>
    <w:rsid w:val="005C7CB6"/>
    <w:rsid w:val="005D1425"/>
    <w:rsid w:val="005D6A89"/>
    <w:rsid w:val="005D6BBE"/>
    <w:rsid w:val="005E129B"/>
    <w:rsid w:val="005E55C8"/>
    <w:rsid w:val="005E6CDB"/>
    <w:rsid w:val="005E6D8A"/>
    <w:rsid w:val="005F2617"/>
    <w:rsid w:val="005F5201"/>
    <w:rsid w:val="006042FA"/>
    <w:rsid w:val="00611ADD"/>
    <w:rsid w:val="00614F44"/>
    <w:rsid w:val="00616941"/>
    <w:rsid w:val="00616A2F"/>
    <w:rsid w:val="0062190C"/>
    <w:rsid w:val="00623D28"/>
    <w:rsid w:val="00624B95"/>
    <w:rsid w:val="0063090E"/>
    <w:rsid w:val="00636AA5"/>
    <w:rsid w:val="00660752"/>
    <w:rsid w:val="00675156"/>
    <w:rsid w:val="00677401"/>
    <w:rsid w:val="00683EB8"/>
    <w:rsid w:val="00686427"/>
    <w:rsid w:val="006A0846"/>
    <w:rsid w:val="006A2C27"/>
    <w:rsid w:val="006A2EC8"/>
    <w:rsid w:val="006B0119"/>
    <w:rsid w:val="006B4250"/>
    <w:rsid w:val="006B6EF3"/>
    <w:rsid w:val="006C4F65"/>
    <w:rsid w:val="006C5223"/>
    <w:rsid w:val="006C606B"/>
    <w:rsid w:val="006D4CAB"/>
    <w:rsid w:val="006E1767"/>
    <w:rsid w:val="00707F26"/>
    <w:rsid w:val="00720280"/>
    <w:rsid w:val="00727A50"/>
    <w:rsid w:val="007312D6"/>
    <w:rsid w:val="007401B2"/>
    <w:rsid w:val="0074219E"/>
    <w:rsid w:val="007437B4"/>
    <w:rsid w:val="00743982"/>
    <w:rsid w:val="00747C61"/>
    <w:rsid w:val="00755EF1"/>
    <w:rsid w:val="00757342"/>
    <w:rsid w:val="007610AF"/>
    <w:rsid w:val="007615B9"/>
    <w:rsid w:val="00764B4F"/>
    <w:rsid w:val="00770C86"/>
    <w:rsid w:val="00772D15"/>
    <w:rsid w:val="007833A7"/>
    <w:rsid w:val="007A63E4"/>
    <w:rsid w:val="007A763D"/>
    <w:rsid w:val="007B18F8"/>
    <w:rsid w:val="007C03C3"/>
    <w:rsid w:val="007C0416"/>
    <w:rsid w:val="007C2A78"/>
    <w:rsid w:val="007C405A"/>
    <w:rsid w:val="007C686C"/>
    <w:rsid w:val="007D150D"/>
    <w:rsid w:val="007D35EA"/>
    <w:rsid w:val="007D6373"/>
    <w:rsid w:val="007D6756"/>
    <w:rsid w:val="007F19F3"/>
    <w:rsid w:val="008003A0"/>
    <w:rsid w:val="00800A43"/>
    <w:rsid w:val="008039A0"/>
    <w:rsid w:val="00805C77"/>
    <w:rsid w:val="008116BD"/>
    <w:rsid w:val="008119FD"/>
    <w:rsid w:val="00814E4F"/>
    <w:rsid w:val="0082287B"/>
    <w:rsid w:val="0083017E"/>
    <w:rsid w:val="00832F11"/>
    <w:rsid w:val="00842CD6"/>
    <w:rsid w:val="00845E0F"/>
    <w:rsid w:val="00855982"/>
    <w:rsid w:val="008568A8"/>
    <w:rsid w:val="008605A6"/>
    <w:rsid w:val="00864C5F"/>
    <w:rsid w:val="00867559"/>
    <w:rsid w:val="008706AE"/>
    <w:rsid w:val="008706EB"/>
    <w:rsid w:val="00871EBB"/>
    <w:rsid w:val="008725E5"/>
    <w:rsid w:val="00873D00"/>
    <w:rsid w:val="00882E40"/>
    <w:rsid w:val="00891BDE"/>
    <w:rsid w:val="00893E57"/>
    <w:rsid w:val="008948CC"/>
    <w:rsid w:val="008A568A"/>
    <w:rsid w:val="008B22AF"/>
    <w:rsid w:val="008C0B1B"/>
    <w:rsid w:val="008E6826"/>
    <w:rsid w:val="008E7D1D"/>
    <w:rsid w:val="008F3A27"/>
    <w:rsid w:val="00901B07"/>
    <w:rsid w:val="009074FD"/>
    <w:rsid w:val="0091025F"/>
    <w:rsid w:val="00911D51"/>
    <w:rsid w:val="00912100"/>
    <w:rsid w:val="00913237"/>
    <w:rsid w:val="00917926"/>
    <w:rsid w:val="0092335D"/>
    <w:rsid w:val="00924B39"/>
    <w:rsid w:val="00931D44"/>
    <w:rsid w:val="0093257C"/>
    <w:rsid w:val="009357E5"/>
    <w:rsid w:val="00945C35"/>
    <w:rsid w:val="0095140A"/>
    <w:rsid w:val="00956754"/>
    <w:rsid w:val="0096199F"/>
    <w:rsid w:val="009637AC"/>
    <w:rsid w:val="009638E6"/>
    <w:rsid w:val="00967DCB"/>
    <w:rsid w:val="00970E0F"/>
    <w:rsid w:val="00974388"/>
    <w:rsid w:val="009803EE"/>
    <w:rsid w:val="009933EC"/>
    <w:rsid w:val="00996250"/>
    <w:rsid w:val="009B27FF"/>
    <w:rsid w:val="009B38A3"/>
    <w:rsid w:val="009B3F31"/>
    <w:rsid w:val="009B48AC"/>
    <w:rsid w:val="009D346B"/>
    <w:rsid w:val="009E1667"/>
    <w:rsid w:val="009F0C33"/>
    <w:rsid w:val="009F750C"/>
    <w:rsid w:val="009F7A5F"/>
    <w:rsid w:val="00A01CED"/>
    <w:rsid w:val="00A076E5"/>
    <w:rsid w:val="00A10484"/>
    <w:rsid w:val="00A11891"/>
    <w:rsid w:val="00A1228C"/>
    <w:rsid w:val="00A139E6"/>
    <w:rsid w:val="00A25987"/>
    <w:rsid w:val="00A27A1C"/>
    <w:rsid w:val="00A542AE"/>
    <w:rsid w:val="00A555B3"/>
    <w:rsid w:val="00A56573"/>
    <w:rsid w:val="00A624EE"/>
    <w:rsid w:val="00A6270C"/>
    <w:rsid w:val="00A62948"/>
    <w:rsid w:val="00A64F72"/>
    <w:rsid w:val="00A6633F"/>
    <w:rsid w:val="00A7273C"/>
    <w:rsid w:val="00A73E61"/>
    <w:rsid w:val="00A7651F"/>
    <w:rsid w:val="00A76E2F"/>
    <w:rsid w:val="00A80305"/>
    <w:rsid w:val="00A82EB1"/>
    <w:rsid w:val="00A84077"/>
    <w:rsid w:val="00A872AD"/>
    <w:rsid w:val="00A9300C"/>
    <w:rsid w:val="00A9315A"/>
    <w:rsid w:val="00A93604"/>
    <w:rsid w:val="00A951E9"/>
    <w:rsid w:val="00A976B7"/>
    <w:rsid w:val="00AA1E18"/>
    <w:rsid w:val="00AB5AF2"/>
    <w:rsid w:val="00AB6C64"/>
    <w:rsid w:val="00AC67E0"/>
    <w:rsid w:val="00AD0681"/>
    <w:rsid w:val="00AD1D7D"/>
    <w:rsid w:val="00AD3207"/>
    <w:rsid w:val="00AE54B3"/>
    <w:rsid w:val="00B042EE"/>
    <w:rsid w:val="00B045EC"/>
    <w:rsid w:val="00B04736"/>
    <w:rsid w:val="00B06F22"/>
    <w:rsid w:val="00B100F3"/>
    <w:rsid w:val="00B107AE"/>
    <w:rsid w:val="00B14AFD"/>
    <w:rsid w:val="00B14CB5"/>
    <w:rsid w:val="00B336A8"/>
    <w:rsid w:val="00B3459C"/>
    <w:rsid w:val="00B3751D"/>
    <w:rsid w:val="00B468D4"/>
    <w:rsid w:val="00B46B12"/>
    <w:rsid w:val="00B51514"/>
    <w:rsid w:val="00B55975"/>
    <w:rsid w:val="00B60EC2"/>
    <w:rsid w:val="00B711FA"/>
    <w:rsid w:val="00B72851"/>
    <w:rsid w:val="00B73459"/>
    <w:rsid w:val="00B74F87"/>
    <w:rsid w:val="00B77192"/>
    <w:rsid w:val="00B95608"/>
    <w:rsid w:val="00BA0F38"/>
    <w:rsid w:val="00BA196C"/>
    <w:rsid w:val="00BA6C69"/>
    <w:rsid w:val="00BB08F8"/>
    <w:rsid w:val="00BC375F"/>
    <w:rsid w:val="00BC3ECF"/>
    <w:rsid w:val="00BC7F1F"/>
    <w:rsid w:val="00BD1489"/>
    <w:rsid w:val="00BD4929"/>
    <w:rsid w:val="00BE08D9"/>
    <w:rsid w:val="00BE1985"/>
    <w:rsid w:val="00BE1FFD"/>
    <w:rsid w:val="00BE366B"/>
    <w:rsid w:val="00BE6422"/>
    <w:rsid w:val="00BF3C3D"/>
    <w:rsid w:val="00C0279F"/>
    <w:rsid w:val="00C029E4"/>
    <w:rsid w:val="00C048D6"/>
    <w:rsid w:val="00C12A00"/>
    <w:rsid w:val="00C16895"/>
    <w:rsid w:val="00C21C51"/>
    <w:rsid w:val="00C2648A"/>
    <w:rsid w:val="00C3307F"/>
    <w:rsid w:val="00C37CA5"/>
    <w:rsid w:val="00C400EF"/>
    <w:rsid w:val="00C43549"/>
    <w:rsid w:val="00C465D6"/>
    <w:rsid w:val="00C5113B"/>
    <w:rsid w:val="00C52CA1"/>
    <w:rsid w:val="00C54565"/>
    <w:rsid w:val="00C74613"/>
    <w:rsid w:val="00C74695"/>
    <w:rsid w:val="00C83D56"/>
    <w:rsid w:val="00CA235F"/>
    <w:rsid w:val="00CA25FE"/>
    <w:rsid w:val="00CB3D79"/>
    <w:rsid w:val="00CC2035"/>
    <w:rsid w:val="00CC4A92"/>
    <w:rsid w:val="00CC768F"/>
    <w:rsid w:val="00CD46DC"/>
    <w:rsid w:val="00CD4F95"/>
    <w:rsid w:val="00CE024F"/>
    <w:rsid w:val="00CE122A"/>
    <w:rsid w:val="00CE274D"/>
    <w:rsid w:val="00CF0BEE"/>
    <w:rsid w:val="00CF5012"/>
    <w:rsid w:val="00D00D8B"/>
    <w:rsid w:val="00D05700"/>
    <w:rsid w:val="00D05C9B"/>
    <w:rsid w:val="00D07D14"/>
    <w:rsid w:val="00D12F51"/>
    <w:rsid w:val="00D23269"/>
    <w:rsid w:val="00D3297F"/>
    <w:rsid w:val="00D42F14"/>
    <w:rsid w:val="00D46DE2"/>
    <w:rsid w:val="00D47ED0"/>
    <w:rsid w:val="00D50465"/>
    <w:rsid w:val="00D5515B"/>
    <w:rsid w:val="00D5539D"/>
    <w:rsid w:val="00D554B0"/>
    <w:rsid w:val="00D6766C"/>
    <w:rsid w:val="00D70BB2"/>
    <w:rsid w:val="00D71067"/>
    <w:rsid w:val="00D73F9C"/>
    <w:rsid w:val="00D8222D"/>
    <w:rsid w:val="00D83BC0"/>
    <w:rsid w:val="00D85A65"/>
    <w:rsid w:val="00D872AC"/>
    <w:rsid w:val="00D8736B"/>
    <w:rsid w:val="00D959B7"/>
    <w:rsid w:val="00D96CD1"/>
    <w:rsid w:val="00DA255B"/>
    <w:rsid w:val="00DA5DBF"/>
    <w:rsid w:val="00DA7B07"/>
    <w:rsid w:val="00DB31F4"/>
    <w:rsid w:val="00DC77D1"/>
    <w:rsid w:val="00DD02B1"/>
    <w:rsid w:val="00DD3A30"/>
    <w:rsid w:val="00DD4662"/>
    <w:rsid w:val="00DD6C3F"/>
    <w:rsid w:val="00DE4523"/>
    <w:rsid w:val="00DE494C"/>
    <w:rsid w:val="00DE6FF0"/>
    <w:rsid w:val="00DF7844"/>
    <w:rsid w:val="00E06E56"/>
    <w:rsid w:val="00E24239"/>
    <w:rsid w:val="00E2506B"/>
    <w:rsid w:val="00E26380"/>
    <w:rsid w:val="00E2764E"/>
    <w:rsid w:val="00E32838"/>
    <w:rsid w:val="00E4722B"/>
    <w:rsid w:val="00E5532D"/>
    <w:rsid w:val="00E60CE4"/>
    <w:rsid w:val="00E624C5"/>
    <w:rsid w:val="00E74288"/>
    <w:rsid w:val="00E7446C"/>
    <w:rsid w:val="00E77ED8"/>
    <w:rsid w:val="00E84F2A"/>
    <w:rsid w:val="00E8651C"/>
    <w:rsid w:val="00E9291E"/>
    <w:rsid w:val="00EA4779"/>
    <w:rsid w:val="00EB2DB9"/>
    <w:rsid w:val="00EB5086"/>
    <w:rsid w:val="00EC308F"/>
    <w:rsid w:val="00ED1399"/>
    <w:rsid w:val="00ED4516"/>
    <w:rsid w:val="00ED53D1"/>
    <w:rsid w:val="00ED7C52"/>
    <w:rsid w:val="00EF2E93"/>
    <w:rsid w:val="00EF5A54"/>
    <w:rsid w:val="00EF778D"/>
    <w:rsid w:val="00F01271"/>
    <w:rsid w:val="00F1172B"/>
    <w:rsid w:val="00F12EDB"/>
    <w:rsid w:val="00F21061"/>
    <w:rsid w:val="00F33C33"/>
    <w:rsid w:val="00F442C2"/>
    <w:rsid w:val="00F70916"/>
    <w:rsid w:val="00F76812"/>
    <w:rsid w:val="00F84FE6"/>
    <w:rsid w:val="00F8728E"/>
    <w:rsid w:val="00F900EA"/>
    <w:rsid w:val="00F91C43"/>
    <w:rsid w:val="00F962AC"/>
    <w:rsid w:val="00FA28A6"/>
    <w:rsid w:val="00FA7415"/>
    <w:rsid w:val="00FB14AB"/>
    <w:rsid w:val="00FB4845"/>
    <w:rsid w:val="00FB5D46"/>
    <w:rsid w:val="00FD262C"/>
    <w:rsid w:val="00FD7E5F"/>
    <w:rsid w:val="00FE0D25"/>
    <w:rsid w:val="00FE2CC7"/>
    <w:rsid w:val="00FE3CC0"/>
    <w:rsid w:val="00FF0F27"/>
    <w:rsid w:val="00FF2BFF"/>
    <w:rsid w:val="00FF76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6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1F"/>
    <w:pPr>
      <w:spacing w:after="0" w:line="240" w:lineRule="auto"/>
    </w:pPr>
  </w:style>
  <w:style w:type="character" w:styleId="UnresolvedMention">
    <w:name w:val="Unresolved Mention"/>
    <w:basedOn w:val="DefaultParagraphFont"/>
    <w:uiPriority w:val="99"/>
    <w:semiHidden/>
    <w:unhideWhenUsed/>
    <w:rsid w:val="005C3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701">
      <w:bodyDiv w:val="1"/>
      <w:marLeft w:val="0"/>
      <w:marRight w:val="0"/>
      <w:marTop w:val="0"/>
      <w:marBottom w:val="0"/>
      <w:divBdr>
        <w:top w:val="none" w:sz="0" w:space="0" w:color="auto"/>
        <w:left w:val="none" w:sz="0" w:space="0" w:color="auto"/>
        <w:bottom w:val="none" w:sz="0" w:space="0" w:color="auto"/>
        <w:right w:val="none" w:sz="0" w:space="0" w:color="auto"/>
      </w:divBdr>
    </w:div>
    <w:div w:id="37527575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40183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neal@lambeth.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FC14E1122294D87D9F3678EAA869C" ma:contentTypeVersion="6" ma:contentTypeDescription="Create a new document." ma:contentTypeScope="" ma:versionID="37ca257de0a17224bfb12f8991830f8c">
  <xsd:schema xmlns:xsd="http://www.w3.org/2001/XMLSchema" xmlns:xs="http://www.w3.org/2001/XMLSchema" xmlns:p="http://schemas.microsoft.com/office/2006/metadata/properties" xmlns:ns2="c68ffc25-69d9-475c-96c8-41ee8c7452b4" xmlns:ns3="d8ce0592-1ae4-48fc-896e-bf86ccaddf77" targetNamespace="http://schemas.microsoft.com/office/2006/metadata/properties" ma:root="true" ma:fieldsID="bad538a538113e76b15026a397cb6e15" ns2:_="" ns3:_="">
    <xsd:import namespace="c68ffc25-69d9-475c-96c8-41ee8c7452b4"/>
    <xsd:import namespace="d8ce0592-1ae4-48fc-896e-bf86ccadd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ffc25-69d9-475c-96c8-41ee8c7452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073E9-F125-49C3-93C9-B01718B6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ffc25-69d9-475c-96c8-41ee8c7452b4"/>
    <ds:schemaRef ds:uri="d8ce0592-1ae4-48fc-896e-bf86ccadd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C1EF5-4D0A-452B-BDA4-30EAEACF0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79FE8B-4A0A-4F46-A629-C092D8C72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2160</Words>
  <Characters>12313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2023-05-05T13:40:00Z</dcterms:created>
  <dcterms:modified xsi:type="dcterms:W3CDTF">2023-05-05T13:40:00Z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0x010100E98FC14E1122294D87D9F3678EAA869C</vt:lpwstr>
  </property>
</Properties>
</file>