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4E1570">
          <w:pPr>
            <w:pStyle w:val="Heading1"/>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47A30906" w:rsidR="00FC6860" w:rsidRPr="00574B16" w:rsidRDefault="00514820" w:rsidP="00C71C4F">
          <w:pPr>
            <w:pStyle w:val="Heading1"/>
            <w:rPr>
              <w:rStyle w:val="chrSubTitle"/>
              <w:color w:val="B1173B"/>
            </w:rPr>
          </w:pPr>
          <w:r w:rsidRPr="00514820">
            <w:rPr>
              <w:rStyle w:val="chrSubTitle"/>
              <w:color w:val="B1173B"/>
            </w:rPr>
            <w:t>French / English interpretation and translation services</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3-01-11T00:00:00Z">
          <w:dateFormat w:val="dd MMMM yyyy"/>
          <w:lid w:val="en-GB"/>
          <w:storeMappedDataAs w:val="dateTime"/>
          <w:calendar w:val="gregorian"/>
        </w:date>
      </w:sdtPr>
      <w:sdtEndPr/>
      <w:sdtContent>
        <w:p w14:paraId="38D7D855" w14:textId="44AA7F39" w:rsidR="00FC6860" w:rsidRDefault="00D07EC9" w:rsidP="00C71C4F">
          <w:pPr>
            <w:pStyle w:val="Date"/>
          </w:pPr>
          <w:r>
            <w:rPr>
              <w:bCs/>
            </w:rPr>
            <w:t>1</w:t>
          </w:r>
          <w:r w:rsidR="00156F9A">
            <w:rPr>
              <w:bCs/>
            </w:rPr>
            <w:t>1 January 2023</w:t>
          </w:r>
        </w:p>
      </w:sdtContent>
    </w:sdt>
    <w:p w14:paraId="512B2E87" w14:textId="77777777" w:rsidR="003E5612" w:rsidRDefault="003E5612" w:rsidP="003E5612"/>
    <w:p w14:paraId="0B23CADF" w14:textId="33C15808" w:rsidR="003E5612" w:rsidRDefault="003E5612" w:rsidP="003E5612">
      <w:pPr>
        <w:pStyle w:val="NormalBulletround"/>
        <w:rPr>
          <w:b/>
          <w:bCs/>
          <w:color w:val="B1173B"/>
        </w:rPr>
      </w:pPr>
      <w:r w:rsidRPr="003E5612">
        <w:rPr>
          <w:b/>
          <w:bCs/>
        </w:rPr>
        <w:t xml:space="preserve">CPV Code: </w:t>
      </w:r>
      <w:r w:rsidR="00162632">
        <w:rPr>
          <w:b/>
          <w:bCs/>
          <w:color w:val="B1173B"/>
        </w:rPr>
        <w:t>79530000</w:t>
      </w:r>
    </w:p>
    <w:p w14:paraId="1B5AFD2E" w14:textId="133CFF49" w:rsidR="00386188" w:rsidRPr="00574B16" w:rsidRDefault="00386188" w:rsidP="003E5612">
      <w:pPr>
        <w:pStyle w:val="NormalBulletround"/>
        <w:rPr>
          <w:b/>
          <w:bCs/>
          <w:color w:val="B1173B"/>
        </w:rPr>
      </w:pPr>
      <w:r>
        <w:rPr>
          <w:b/>
          <w:bCs/>
        </w:rPr>
        <w:t>Supplementary code:</w:t>
      </w:r>
      <w:r>
        <w:rPr>
          <w:b/>
          <w:bCs/>
          <w:color w:val="B1173B"/>
        </w:rPr>
        <w:t xml:space="preserve"> </w:t>
      </w:r>
      <w:r w:rsidRPr="00386188">
        <w:rPr>
          <w:b/>
          <w:bCs/>
          <w:color w:val="B1173B"/>
        </w:rPr>
        <w:t>79540000</w:t>
      </w:r>
    </w:p>
    <w:p w14:paraId="60F6998D" w14:textId="2889C959" w:rsidR="003E5612" w:rsidRDefault="003E5612" w:rsidP="002A01AA">
      <w:pPr>
        <w:pStyle w:val="NormalBulletround"/>
        <w:sectPr w:rsidR="003E5612" w:rsidSect="00FC6860">
          <w:headerReference w:type="even" r:id="rId9"/>
          <w:headerReference w:type="default" r:id="rId10"/>
          <w:footerReference w:type="even" r:id="rId11"/>
          <w:footerReference w:type="default" r:id="rId12"/>
          <w:headerReference w:type="first" r:id="rId13"/>
          <w:footerReference w:type="first" r:id="rId14"/>
          <w:pgSz w:w="11906" w:h="16838" w:code="9"/>
          <w:pgMar w:top="5443" w:right="1134" w:bottom="1134" w:left="1134" w:header="709" w:footer="709" w:gutter="0"/>
          <w:pgNumType w:start="1"/>
          <w:cols w:space="708"/>
          <w:titlePg/>
          <w:docGrid w:linePitch="360"/>
        </w:sectPr>
      </w:pPr>
      <w:r w:rsidRPr="00162632">
        <w:rPr>
          <w:b/>
          <w:bCs/>
        </w:rPr>
        <w:t>Tender Reference:</w:t>
      </w:r>
      <w:r w:rsidRPr="00162632">
        <w:rPr>
          <w:b/>
          <w:bCs/>
          <w:color w:val="B1173B"/>
        </w:rPr>
        <w:t xml:space="preserve"> </w:t>
      </w:r>
      <w:r w:rsidR="00162632">
        <w:rPr>
          <w:b/>
          <w:bCs/>
          <w:color w:val="B1173B"/>
        </w:rPr>
        <w:t>ORR/CT/22</w:t>
      </w:r>
      <w:r w:rsidR="00156F9A">
        <w:rPr>
          <w:b/>
          <w:bCs/>
          <w:color w:val="B1173B"/>
        </w:rPr>
        <w:t>-</w:t>
      </w:r>
      <w:r w:rsidR="00162632">
        <w:rPr>
          <w:b/>
          <w:bCs/>
          <w:color w:val="B1173B"/>
        </w:rPr>
        <w:t>63</w:t>
      </w:r>
    </w:p>
    <w:p w14:paraId="687151DC" w14:textId="62B49D7F" w:rsidR="0079264A" w:rsidRPr="00A325B7" w:rsidRDefault="00FC6860" w:rsidP="00A325B7">
      <w:pPr>
        <w:pStyle w:val="Heading2NoToc"/>
      </w:pPr>
      <w:r>
        <w:lastRenderedPageBreak/>
        <w:t>Contents</w:t>
      </w:r>
      <w:r>
        <w:rPr>
          <w:bCs/>
          <w:noProof/>
          <w:color w:val="731472"/>
        </w:rPr>
        <w:fldChar w:fldCharType="begin"/>
      </w:r>
      <w:r w:rsidR="00D25F7E">
        <w:instrText xml:space="preserve"> TOC \f \h \z \t "Heading 2,1,Heading 2NoNumb,1,Heading 2 (Single),1,Annex H2,1,Annex H3,2,Heading 3,2" </w:instrText>
      </w:r>
      <w:r>
        <w:rPr>
          <w:bCs/>
          <w:noProof/>
          <w:color w:val="731472"/>
        </w:rPr>
        <w:fldChar w:fldCharType="separate"/>
      </w:r>
    </w:p>
    <w:p w14:paraId="5E5E5324" w14:textId="56140CFC" w:rsidR="0079264A" w:rsidRDefault="00D07EC9">
      <w:pPr>
        <w:pStyle w:val="TOC1"/>
        <w:rPr>
          <w:rFonts w:asciiTheme="minorHAnsi" w:eastAsiaTheme="minorEastAsia" w:hAnsiTheme="minorHAnsi"/>
          <w:b w:val="0"/>
          <w:bCs w:val="0"/>
          <w:color w:val="auto"/>
          <w:sz w:val="22"/>
          <w:lang w:eastAsia="en-GB"/>
        </w:rPr>
      </w:pPr>
      <w:hyperlink w:anchor="_Toc111551913" w:history="1">
        <w:r w:rsidR="0079264A" w:rsidRPr="000C347F">
          <w:rPr>
            <w:rStyle w:val="Hyperlink"/>
          </w:rPr>
          <w:t>Purpose of the document</w:t>
        </w:r>
        <w:r w:rsidR="0079264A">
          <w:rPr>
            <w:webHidden/>
          </w:rPr>
          <w:tab/>
        </w:r>
        <w:r w:rsidR="0079264A">
          <w:rPr>
            <w:webHidden/>
          </w:rPr>
          <w:fldChar w:fldCharType="begin"/>
        </w:r>
        <w:r w:rsidR="0079264A">
          <w:rPr>
            <w:webHidden/>
          </w:rPr>
          <w:instrText xml:space="preserve"> PAGEREF _Toc111551913 \h </w:instrText>
        </w:r>
        <w:r w:rsidR="0079264A">
          <w:rPr>
            <w:webHidden/>
          </w:rPr>
        </w:r>
        <w:r w:rsidR="0079264A">
          <w:rPr>
            <w:webHidden/>
          </w:rPr>
          <w:fldChar w:fldCharType="separate"/>
        </w:r>
        <w:r w:rsidR="0079264A">
          <w:rPr>
            <w:webHidden/>
          </w:rPr>
          <w:t>5</w:t>
        </w:r>
        <w:r w:rsidR="0079264A">
          <w:rPr>
            <w:webHidden/>
          </w:rPr>
          <w:fldChar w:fldCharType="end"/>
        </w:r>
      </w:hyperlink>
    </w:p>
    <w:p w14:paraId="63A86D55" w14:textId="7B2F34A8" w:rsidR="0079264A" w:rsidRDefault="00D07EC9">
      <w:pPr>
        <w:pStyle w:val="TOC1"/>
        <w:rPr>
          <w:rFonts w:asciiTheme="minorHAnsi" w:eastAsiaTheme="minorEastAsia" w:hAnsiTheme="minorHAnsi"/>
          <w:b w:val="0"/>
          <w:bCs w:val="0"/>
          <w:color w:val="auto"/>
          <w:sz w:val="22"/>
          <w:lang w:eastAsia="en-GB"/>
        </w:rPr>
      </w:pPr>
      <w:hyperlink w:anchor="_Toc111551914" w:history="1">
        <w:r w:rsidR="0079264A" w:rsidRPr="000C347F">
          <w:rPr>
            <w:rStyle w:val="Hyperlink"/>
          </w:rPr>
          <w:t>1.</w:t>
        </w:r>
        <w:r w:rsidR="0079264A">
          <w:rPr>
            <w:rFonts w:asciiTheme="minorHAnsi" w:eastAsiaTheme="minorEastAsia" w:hAnsiTheme="minorHAnsi"/>
            <w:b w:val="0"/>
            <w:bCs w:val="0"/>
            <w:color w:val="auto"/>
            <w:sz w:val="22"/>
            <w:lang w:eastAsia="en-GB"/>
          </w:rPr>
          <w:tab/>
        </w:r>
        <w:r w:rsidR="0079264A" w:rsidRPr="000C347F">
          <w:rPr>
            <w:rStyle w:val="Hyperlink"/>
          </w:rPr>
          <w:t>Introduction to the Office of Rail and Road</w:t>
        </w:r>
        <w:r w:rsidR="0079264A">
          <w:rPr>
            <w:webHidden/>
          </w:rPr>
          <w:tab/>
        </w:r>
        <w:r w:rsidR="0079264A">
          <w:rPr>
            <w:webHidden/>
          </w:rPr>
          <w:fldChar w:fldCharType="begin"/>
        </w:r>
        <w:r w:rsidR="0079264A">
          <w:rPr>
            <w:webHidden/>
          </w:rPr>
          <w:instrText xml:space="preserve"> PAGEREF _Toc111551914 \h </w:instrText>
        </w:r>
        <w:r w:rsidR="0079264A">
          <w:rPr>
            <w:webHidden/>
          </w:rPr>
        </w:r>
        <w:r w:rsidR="0079264A">
          <w:rPr>
            <w:webHidden/>
          </w:rPr>
          <w:fldChar w:fldCharType="separate"/>
        </w:r>
        <w:r w:rsidR="0079264A">
          <w:rPr>
            <w:webHidden/>
          </w:rPr>
          <w:t>6</w:t>
        </w:r>
        <w:r w:rsidR="0079264A">
          <w:rPr>
            <w:webHidden/>
          </w:rPr>
          <w:fldChar w:fldCharType="end"/>
        </w:r>
      </w:hyperlink>
    </w:p>
    <w:p w14:paraId="4F774D3D" w14:textId="31E39395" w:rsidR="0079264A" w:rsidRDefault="00D07EC9">
      <w:pPr>
        <w:pStyle w:val="TOC2"/>
        <w:tabs>
          <w:tab w:val="right" w:pos="9628"/>
        </w:tabs>
        <w:rPr>
          <w:rFonts w:asciiTheme="minorHAnsi" w:eastAsiaTheme="minorEastAsia" w:hAnsiTheme="minorHAnsi"/>
          <w:noProof/>
          <w:sz w:val="22"/>
          <w:lang w:eastAsia="en-GB"/>
        </w:rPr>
      </w:pPr>
      <w:hyperlink w:anchor="_Toc111551915" w:history="1">
        <w:r w:rsidR="0079264A" w:rsidRPr="000C347F">
          <w:rPr>
            <w:rStyle w:val="Hyperlink"/>
            <w:noProof/>
          </w:rPr>
          <w:t>Our strategic objectives</w:t>
        </w:r>
        <w:r w:rsidR="0079264A">
          <w:rPr>
            <w:noProof/>
            <w:webHidden/>
          </w:rPr>
          <w:tab/>
        </w:r>
        <w:r w:rsidR="0079264A">
          <w:rPr>
            <w:noProof/>
            <w:webHidden/>
          </w:rPr>
          <w:fldChar w:fldCharType="begin"/>
        </w:r>
        <w:r w:rsidR="0079264A">
          <w:rPr>
            <w:noProof/>
            <w:webHidden/>
          </w:rPr>
          <w:instrText xml:space="preserve"> PAGEREF _Toc111551915 \h </w:instrText>
        </w:r>
        <w:r w:rsidR="0079264A">
          <w:rPr>
            <w:noProof/>
            <w:webHidden/>
          </w:rPr>
        </w:r>
        <w:r w:rsidR="0079264A">
          <w:rPr>
            <w:noProof/>
            <w:webHidden/>
          </w:rPr>
          <w:fldChar w:fldCharType="separate"/>
        </w:r>
        <w:r w:rsidR="0079264A">
          <w:rPr>
            <w:noProof/>
            <w:webHidden/>
          </w:rPr>
          <w:t>6</w:t>
        </w:r>
        <w:r w:rsidR="0079264A">
          <w:rPr>
            <w:noProof/>
            <w:webHidden/>
          </w:rPr>
          <w:fldChar w:fldCharType="end"/>
        </w:r>
      </w:hyperlink>
    </w:p>
    <w:p w14:paraId="2EDB0490" w14:textId="483045E0" w:rsidR="0079264A" w:rsidRDefault="00D07EC9">
      <w:pPr>
        <w:pStyle w:val="TOC2"/>
        <w:tabs>
          <w:tab w:val="right" w:pos="9628"/>
        </w:tabs>
        <w:rPr>
          <w:rFonts w:asciiTheme="minorHAnsi" w:eastAsiaTheme="minorEastAsia" w:hAnsiTheme="minorHAnsi"/>
          <w:noProof/>
          <w:sz w:val="22"/>
          <w:lang w:eastAsia="en-GB"/>
        </w:rPr>
      </w:pPr>
      <w:hyperlink w:anchor="_Toc111551916" w:history="1">
        <w:r w:rsidR="0079264A" w:rsidRPr="000C347F">
          <w:rPr>
            <w:rStyle w:val="Hyperlink"/>
            <w:noProof/>
          </w:rPr>
          <w:t>Supplying ORR</w:t>
        </w:r>
        <w:r w:rsidR="0079264A">
          <w:rPr>
            <w:noProof/>
            <w:webHidden/>
          </w:rPr>
          <w:tab/>
        </w:r>
        <w:r w:rsidR="0079264A">
          <w:rPr>
            <w:noProof/>
            <w:webHidden/>
          </w:rPr>
          <w:fldChar w:fldCharType="begin"/>
        </w:r>
        <w:r w:rsidR="0079264A">
          <w:rPr>
            <w:noProof/>
            <w:webHidden/>
          </w:rPr>
          <w:instrText xml:space="preserve"> PAGEREF _Toc111551916 \h </w:instrText>
        </w:r>
        <w:r w:rsidR="0079264A">
          <w:rPr>
            <w:noProof/>
            <w:webHidden/>
          </w:rPr>
        </w:r>
        <w:r w:rsidR="0079264A">
          <w:rPr>
            <w:noProof/>
            <w:webHidden/>
          </w:rPr>
          <w:fldChar w:fldCharType="separate"/>
        </w:r>
        <w:r w:rsidR="0079264A">
          <w:rPr>
            <w:noProof/>
            <w:webHidden/>
          </w:rPr>
          <w:t>6</w:t>
        </w:r>
        <w:r w:rsidR="0079264A">
          <w:rPr>
            <w:noProof/>
            <w:webHidden/>
          </w:rPr>
          <w:fldChar w:fldCharType="end"/>
        </w:r>
      </w:hyperlink>
    </w:p>
    <w:p w14:paraId="234AD544" w14:textId="37367FC3" w:rsidR="0079264A" w:rsidRDefault="00D07EC9">
      <w:pPr>
        <w:pStyle w:val="TOC1"/>
        <w:rPr>
          <w:rFonts w:asciiTheme="minorHAnsi" w:eastAsiaTheme="minorEastAsia" w:hAnsiTheme="minorHAnsi"/>
          <w:b w:val="0"/>
          <w:bCs w:val="0"/>
          <w:color w:val="auto"/>
          <w:sz w:val="22"/>
          <w:lang w:eastAsia="en-GB"/>
        </w:rPr>
      </w:pPr>
      <w:hyperlink w:anchor="_Toc111551917" w:history="1">
        <w:r w:rsidR="0079264A" w:rsidRPr="000C347F">
          <w:rPr>
            <w:rStyle w:val="Hyperlink"/>
          </w:rPr>
          <w:t>Small and Medium Enterprises</w:t>
        </w:r>
        <w:r w:rsidR="0079264A">
          <w:rPr>
            <w:webHidden/>
          </w:rPr>
          <w:tab/>
        </w:r>
        <w:r w:rsidR="0079264A">
          <w:rPr>
            <w:webHidden/>
          </w:rPr>
          <w:fldChar w:fldCharType="begin"/>
        </w:r>
        <w:r w:rsidR="0079264A">
          <w:rPr>
            <w:webHidden/>
          </w:rPr>
          <w:instrText xml:space="preserve"> PAGEREF _Toc111551917 \h </w:instrText>
        </w:r>
        <w:r w:rsidR="0079264A">
          <w:rPr>
            <w:webHidden/>
          </w:rPr>
        </w:r>
        <w:r w:rsidR="0079264A">
          <w:rPr>
            <w:webHidden/>
          </w:rPr>
          <w:fldChar w:fldCharType="separate"/>
        </w:r>
        <w:r w:rsidR="0079264A">
          <w:rPr>
            <w:webHidden/>
          </w:rPr>
          <w:t>8</w:t>
        </w:r>
        <w:r w:rsidR="0079264A">
          <w:rPr>
            <w:webHidden/>
          </w:rPr>
          <w:fldChar w:fldCharType="end"/>
        </w:r>
      </w:hyperlink>
    </w:p>
    <w:p w14:paraId="08E45A16" w14:textId="0FA4F6E4" w:rsidR="0079264A" w:rsidRDefault="00D07EC9">
      <w:pPr>
        <w:pStyle w:val="TOC1"/>
        <w:rPr>
          <w:rFonts w:asciiTheme="minorHAnsi" w:eastAsiaTheme="minorEastAsia" w:hAnsiTheme="minorHAnsi"/>
          <w:b w:val="0"/>
          <w:bCs w:val="0"/>
          <w:color w:val="auto"/>
          <w:sz w:val="22"/>
          <w:lang w:eastAsia="en-GB"/>
        </w:rPr>
      </w:pPr>
      <w:hyperlink w:anchor="_Toc111551918" w:history="1">
        <w:r w:rsidR="0079264A" w:rsidRPr="000C347F">
          <w:rPr>
            <w:rStyle w:val="Hyperlink"/>
          </w:rPr>
          <w:t>2.</w:t>
        </w:r>
        <w:r w:rsidR="0079264A">
          <w:rPr>
            <w:rFonts w:asciiTheme="minorHAnsi" w:eastAsiaTheme="minorEastAsia" w:hAnsiTheme="minorHAnsi"/>
            <w:b w:val="0"/>
            <w:bCs w:val="0"/>
            <w:color w:val="auto"/>
            <w:sz w:val="22"/>
            <w:lang w:eastAsia="en-GB"/>
          </w:rPr>
          <w:tab/>
        </w:r>
        <w:r w:rsidR="0079264A" w:rsidRPr="000C347F">
          <w:rPr>
            <w:rStyle w:val="Hyperlink"/>
          </w:rPr>
          <w:t>Statement of Requirement</w:t>
        </w:r>
        <w:r w:rsidR="0079264A">
          <w:rPr>
            <w:webHidden/>
          </w:rPr>
          <w:tab/>
        </w:r>
        <w:r w:rsidR="0079264A">
          <w:rPr>
            <w:webHidden/>
          </w:rPr>
          <w:fldChar w:fldCharType="begin"/>
        </w:r>
        <w:r w:rsidR="0079264A">
          <w:rPr>
            <w:webHidden/>
          </w:rPr>
          <w:instrText xml:space="preserve"> PAGEREF _Toc111551918 \h </w:instrText>
        </w:r>
        <w:r w:rsidR="0079264A">
          <w:rPr>
            <w:webHidden/>
          </w:rPr>
        </w:r>
        <w:r w:rsidR="0079264A">
          <w:rPr>
            <w:webHidden/>
          </w:rPr>
          <w:fldChar w:fldCharType="separate"/>
        </w:r>
        <w:r w:rsidR="0079264A">
          <w:rPr>
            <w:webHidden/>
          </w:rPr>
          <w:t>10</w:t>
        </w:r>
        <w:r w:rsidR="0079264A">
          <w:rPr>
            <w:webHidden/>
          </w:rPr>
          <w:fldChar w:fldCharType="end"/>
        </w:r>
      </w:hyperlink>
    </w:p>
    <w:p w14:paraId="3B60C34D" w14:textId="3CB68232" w:rsidR="0079264A" w:rsidRDefault="00D07EC9">
      <w:pPr>
        <w:pStyle w:val="TOC2"/>
        <w:tabs>
          <w:tab w:val="right" w:pos="9628"/>
        </w:tabs>
        <w:rPr>
          <w:rFonts w:asciiTheme="minorHAnsi" w:eastAsiaTheme="minorEastAsia" w:hAnsiTheme="minorHAnsi"/>
          <w:noProof/>
          <w:sz w:val="22"/>
          <w:lang w:eastAsia="en-GB"/>
        </w:rPr>
      </w:pPr>
      <w:hyperlink w:anchor="_Toc111551919" w:history="1">
        <w:r w:rsidR="0079264A" w:rsidRPr="000C347F">
          <w:rPr>
            <w:rStyle w:val="Hyperlink"/>
            <w:noProof/>
          </w:rPr>
          <w:t>2.1 Background of the project</w:t>
        </w:r>
        <w:r w:rsidR="0079264A">
          <w:rPr>
            <w:noProof/>
            <w:webHidden/>
          </w:rPr>
          <w:tab/>
        </w:r>
        <w:r w:rsidR="0079264A">
          <w:rPr>
            <w:noProof/>
            <w:webHidden/>
          </w:rPr>
          <w:fldChar w:fldCharType="begin"/>
        </w:r>
        <w:r w:rsidR="0079264A">
          <w:rPr>
            <w:noProof/>
            <w:webHidden/>
          </w:rPr>
          <w:instrText xml:space="preserve"> PAGEREF _Toc111551919 \h </w:instrText>
        </w:r>
        <w:r w:rsidR="0079264A">
          <w:rPr>
            <w:noProof/>
            <w:webHidden/>
          </w:rPr>
        </w:r>
        <w:r w:rsidR="0079264A">
          <w:rPr>
            <w:noProof/>
            <w:webHidden/>
          </w:rPr>
          <w:fldChar w:fldCharType="separate"/>
        </w:r>
        <w:r w:rsidR="0079264A">
          <w:rPr>
            <w:noProof/>
            <w:webHidden/>
          </w:rPr>
          <w:t>10</w:t>
        </w:r>
        <w:r w:rsidR="0079264A">
          <w:rPr>
            <w:noProof/>
            <w:webHidden/>
          </w:rPr>
          <w:fldChar w:fldCharType="end"/>
        </w:r>
      </w:hyperlink>
    </w:p>
    <w:p w14:paraId="0A313B7D" w14:textId="65C3A45A" w:rsidR="0079264A" w:rsidRDefault="00D07EC9">
      <w:pPr>
        <w:pStyle w:val="TOC2"/>
        <w:tabs>
          <w:tab w:val="right" w:pos="9628"/>
        </w:tabs>
        <w:rPr>
          <w:rFonts w:asciiTheme="minorHAnsi" w:eastAsiaTheme="minorEastAsia" w:hAnsiTheme="minorHAnsi"/>
          <w:noProof/>
          <w:sz w:val="22"/>
          <w:lang w:eastAsia="en-GB"/>
        </w:rPr>
      </w:pPr>
      <w:hyperlink w:anchor="_Toc111551920" w:history="1">
        <w:r w:rsidR="0079264A" w:rsidRPr="000C347F">
          <w:rPr>
            <w:rStyle w:val="Hyperlink"/>
            <w:noProof/>
          </w:rPr>
          <w:t>2.2 Project Objectives and Scope</w:t>
        </w:r>
        <w:r w:rsidR="0079264A">
          <w:rPr>
            <w:noProof/>
            <w:webHidden/>
          </w:rPr>
          <w:tab/>
        </w:r>
        <w:r w:rsidR="0079264A">
          <w:rPr>
            <w:noProof/>
            <w:webHidden/>
          </w:rPr>
          <w:fldChar w:fldCharType="begin"/>
        </w:r>
        <w:r w:rsidR="0079264A">
          <w:rPr>
            <w:noProof/>
            <w:webHidden/>
          </w:rPr>
          <w:instrText xml:space="preserve"> PAGEREF _Toc111551920 \h </w:instrText>
        </w:r>
        <w:r w:rsidR="0079264A">
          <w:rPr>
            <w:noProof/>
            <w:webHidden/>
          </w:rPr>
        </w:r>
        <w:r w:rsidR="0079264A">
          <w:rPr>
            <w:noProof/>
            <w:webHidden/>
          </w:rPr>
          <w:fldChar w:fldCharType="separate"/>
        </w:r>
        <w:r w:rsidR="0079264A">
          <w:rPr>
            <w:noProof/>
            <w:webHidden/>
          </w:rPr>
          <w:t>10</w:t>
        </w:r>
        <w:r w:rsidR="0079264A">
          <w:rPr>
            <w:noProof/>
            <w:webHidden/>
          </w:rPr>
          <w:fldChar w:fldCharType="end"/>
        </w:r>
      </w:hyperlink>
    </w:p>
    <w:p w14:paraId="1DC3EE13" w14:textId="7B86328E" w:rsidR="0079264A" w:rsidRDefault="00D07EC9">
      <w:pPr>
        <w:pStyle w:val="TOC2"/>
        <w:tabs>
          <w:tab w:val="right" w:pos="9628"/>
        </w:tabs>
        <w:rPr>
          <w:rFonts w:asciiTheme="minorHAnsi" w:eastAsiaTheme="minorEastAsia" w:hAnsiTheme="minorHAnsi"/>
          <w:noProof/>
          <w:sz w:val="22"/>
          <w:lang w:eastAsia="en-GB"/>
        </w:rPr>
      </w:pPr>
      <w:hyperlink w:anchor="_Toc111551921" w:history="1">
        <w:r w:rsidR="0079264A" w:rsidRPr="000C347F">
          <w:rPr>
            <w:rStyle w:val="Hyperlink"/>
            <w:noProof/>
          </w:rPr>
          <w:t>2.3 Project Outputs, Deliverables and Contract Management</w:t>
        </w:r>
        <w:r w:rsidR="0079264A">
          <w:rPr>
            <w:noProof/>
            <w:webHidden/>
          </w:rPr>
          <w:tab/>
        </w:r>
        <w:r w:rsidR="0079264A">
          <w:rPr>
            <w:noProof/>
            <w:webHidden/>
          </w:rPr>
          <w:fldChar w:fldCharType="begin"/>
        </w:r>
        <w:r w:rsidR="0079264A">
          <w:rPr>
            <w:noProof/>
            <w:webHidden/>
          </w:rPr>
          <w:instrText xml:space="preserve"> PAGEREF _Toc111551921 \h </w:instrText>
        </w:r>
        <w:r w:rsidR="0079264A">
          <w:rPr>
            <w:noProof/>
            <w:webHidden/>
          </w:rPr>
        </w:r>
        <w:r w:rsidR="0079264A">
          <w:rPr>
            <w:noProof/>
            <w:webHidden/>
          </w:rPr>
          <w:fldChar w:fldCharType="separate"/>
        </w:r>
        <w:r w:rsidR="0079264A">
          <w:rPr>
            <w:noProof/>
            <w:webHidden/>
          </w:rPr>
          <w:t>11</w:t>
        </w:r>
        <w:r w:rsidR="0079264A">
          <w:rPr>
            <w:noProof/>
            <w:webHidden/>
          </w:rPr>
          <w:fldChar w:fldCharType="end"/>
        </w:r>
      </w:hyperlink>
    </w:p>
    <w:p w14:paraId="00910335" w14:textId="52C1808B" w:rsidR="0079264A" w:rsidRDefault="00D07EC9">
      <w:pPr>
        <w:pStyle w:val="TOC2"/>
        <w:tabs>
          <w:tab w:val="right" w:pos="9628"/>
        </w:tabs>
        <w:rPr>
          <w:rFonts w:asciiTheme="minorHAnsi" w:eastAsiaTheme="minorEastAsia" w:hAnsiTheme="minorHAnsi"/>
          <w:noProof/>
          <w:sz w:val="22"/>
          <w:lang w:eastAsia="en-GB"/>
        </w:rPr>
      </w:pPr>
      <w:hyperlink w:anchor="_Toc111551922" w:history="1">
        <w:r w:rsidR="0079264A" w:rsidRPr="000C347F">
          <w:rPr>
            <w:rStyle w:val="Hyperlink"/>
            <w:noProof/>
          </w:rPr>
          <w:t>2.4 Project Timescales</w:t>
        </w:r>
        <w:r w:rsidR="0079264A">
          <w:rPr>
            <w:noProof/>
            <w:webHidden/>
          </w:rPr>
          <w:tab/>
        </w:r>
        <w:r w:rsidR="0079264A">
          <w:rPr>
            <w:noProof/>
            <w:webHidden/>
          </w:rPr>
          <w:fldChar w:fldCharType="begin"/>
        </w:r>
        <w:r w:rsidR="0079264A">
          <w:rPr>
            <w:noProof/>
            <w:webHidden/>
          </w:rPr>
          <w:instrText xml:space="preserve"> PAGEREF _Toc111551922 \h </w:instrText>
        </w:r>
        <w:r w:rsidR="0079264A">
          <w:rPr>
            <w:noProof/>
            <w:webHidden/>
          </w:rPr>
        </w:r>
        <w:r w:rsidR="0079264A">
          <w:rPr>
            <w:noProof/>
            <w:webHidden/>
          </w:rPr>
          <w:fldChar w:fldCharType="separate"/>
        </w:r>
        <w:r w:rsidR="0079264A">
          <w:rPr>
            <w:noProof/>
            <w:webHidden/>
          </w:rPr>
          <w:t>12</w:t>
        </w:r>
        <w:r w:rsidR="0079264A">
          <w:rPr>
            <w:noProof/>
            <w:webHidden/>
          </w:rPr>
          <w:fldChar w:fldCharType="end"/>
        </w:r>
      </w:hyperlink>
    </w:p>
    <w:p w14:paraId="5634B37D" w14:textId="2C40B131" w:rsidR="0079264A" w:rsidRDefault="00D07EC9">
      <w:pPr>
        <w:pStyle w:val="TOC2"/>
        <w:tabs>
          <w:tab w:val="right" w:pos="9628"/>
        </w:tabs>
        <w:rPr>
          <w:rFonts w:asciiTheme="minorHAnsi" w:eastAsiaTheme="minorEastAsia" w:hAnsiTheme="minorHAnsi"/>
          <w:noProof/>
          <w:sz w:val="22"/>
          <w:lang w:eastAsia="en-GB"/>
        </w:rPr>
      </w:pPr>
      <w:hyperlink w:anchor="_Toc111551923" w:history="1">
        <w:r w:rsidR="0079264A" w:rsidRPr="000C347F">
          <w:rPr>
            <w:rStyle w:val="Hyperlink"/>
            <w:noProof/>
          </w:rPr>
          <w:t>2.5 Budget and Payment Schedule</w:t>
        </w:r>
        <w:r w:rsidR="0079264A">
          <w:rPr>
            <w:noProof/>
            <w:webHidden/>
          </w:rPr>
          <w:tab/>
        </w:r>
        <w:r w:rsidR="0079264A">
          <w:rPr>
            <w:noProof/>
            <w:webHidden/>
          </w:rPr>
          <w:fldChar w:fldCharType="begin"/>
        </w:r>
        <w:r w:rsidR="0079264A">
          <w:rPr>
            <w:noProof/>
            <w:webHidden/>
          </w:rPr>
          <w:instrText xml:space="preserve"> PAGEREF _Toc111551923 \h </w:instrText>
        </w:r>
        <w:r w:rsidR="0079264A">
          <w:rPr>
            <w:noProof/>
            <w:webHidden/>
          </w:rPr>
        </w:r>
        <w:r w:rsidR="0079264A">
          <w:rPr>
            <w:noProof/>
            <w:webHidden/>
          </w:rPr>
          <w:fldChar w:fldCharType="separate"/>
        </w:r>
        <w:r w:rsidR="0079264A">
          <w:rPr>
            <w:noProof/>
            <w:webHidden/>
          </w:rPr>
          <w:t>13</w:t>
        </w:r>
        <w:r w:rsidR="0079264A">
          <w:rPr>
            <w:noProof/>
            <w:webHidden/>
          </w:rPr>
          <w:fldChar w:fldCharType="end"/>
        </w:r>
      </w:hyperlink>
    </w:p>
    <w:p w14:paraId="3ED694D5" w14:textId="3E2ADDB8" w:rsidR="0079264A" w:rsidRDefault="00D07EC9">
      <w:pPr>
        <w:pStyle w:val="TOC2"/>
        <w:tabs>
          <w:tab w:val="right" w:pos="9628"/>
        </w:tabs>
        <w:rPr>
          <w:rFonts w:asciiTheme="minorHAnsi" w:eastAsiaTheme="minorEastAsia" w:hAnsiTheme="minorHAnsi"/>
          <w:noProof/>
          <w:sz w:val="22"/>
          <w:lang w:eastAsia="en-GB"/>
        </w:rPr>
      </w:pPr>
      <w:hyperlink w:anchor="_Toc111551924" w:history="1">
        <w:r w:rsidR="0079264A" w:rsidRPr="000C347F">
          <w:rPr>
            <w:rStyle w:val="Hyperlink"/>
            <w:noProof/>
          </w:rPr>
          <w:t>2.6 Further project related information for bidders</w:t>
        </w:r>
        <w:r w:rsidR="0079264A">
          <w:rPr>
            <w:noProof/>
            <w:webHidden/>
          </w:rPr>
          <w:tab/>
        </w:r>
        <w:r w:rsidR="0079264A">
          <w:rPr>
            <w:noProof/>
            <w:webHidden/>
          </w:rPr>
          <w:fldChar w:fldCharType="begin"/>
        </w:r>
        <w:r w:rsidR="0079264A">
          <w:rPr>
            <w:noProof/>
            <w:webHidden/>
          </w:rPr>
          <w:instrText xml:space="preserve"> PAGEREF _Toc111551924 \h </w:instrText>
        </w:r>
        <w:r w:rsidR="0079264A">
          <w:rPr>
            <w:noProof/>
            <w:webHidden/>
          </w:rPr>
        </w:r>
        <w:r w:rsidR="0079264A">
          <w:rPr>
            <w:noProof/>
            <w:webHidden/>
          </w:rPr>
          <w:fldChar w:fldCharType="separate"/>
        </w:r>
        <w:r w:rsidR="0079264A">
          <w:rPr>
            <w:noProof/>
            <w:webHidden/>
          </w:rPr>
          <w:t>14</w:t>
        </w:r>
        <w:r w:rsidR="0079264A">
          <w:rPr>
            <w:noProof/>
            <w:webHidden/>
          </w:rPr>
          <w:fldChar w:fldCharType="end"/>
        </w:r>
      </w:hyperlink>
    </w:p>
    <w:p w14:paraId="49188D30" w14:textId="03037883" w:rsidR="0079264A" w:rsidRDefault="00D07EC9">
      <w:pPr>
        <w:pStyle w:val="TOC1"/>
        <w:rPr>
          <w:rFonts w:asciiTheme="minorHAnsi" w:eastAsiaTheme="minorEastAsia" w:hAnsiTheme="minorHAnsi"/>
          <w:b w:val="0"/>
          <w:bCs w:val="0"/>
          <w:color w:val="auto"/>
          <w:sz w:val="22"/>
          <w:lang w:eastAsia="en-GB"/>
        </w:rPr>
      </w:pPr>
      <w:hyperlink w:anchor="_Toc111551925" w:history="1">
        <w:r w:rsidR="0079264A" w:rsidRPr="000C347F">
          <w:rPr>
            <w:rStyle w:val="Hyperlink"/>
          </w:rPr>
          <w:t>3.</w:t>
        </w:r>
        <w:r w:rsidR="0079264A">
          <w:rPr>
            <w:rFonts w:asciiTheme="minorHAnsi" w:eastAsiaTheme="minorEastAsia" w:hAnsiTheme="minorHAnsi"/>
            <w:b w:val="0"/>
            <w:bCs w:val="0"/>
            <w:color w:val="auto"/>
            <w:sz w:val="22"/>
            <w:lang w:eastAsia="en-GB"/>
          </w:rPr>
          <w:tab/>
        </w:r>
        <w:r w:rsidR="0079264A" w:rsidRPr="000C347F">
          <w:rPr>
            <w:rStyle w:val="Hyperlink"/>
          </w:rPr>
          <w:t>Tender Response and Evaluation Criteria</w:t>
        </w:r>
        <w:r w:rsidR="0079264A">
          <w:rPr>
            <w:webHidden/>
          </w:rPr>
          <w:tab/>
        </w:r>
        <w:r w:rsidR="0079264A">
          <w:rPr>
            <w:webHidden/>
          </w:rPr>
          <w:fldChar w:fldCharType="begin"/>
        </w:r>
        <w:r w:rsidR="0079264A">
          <w:rPr>
            <w:webHidden/>
          </w:rPr>
          <w:instrText xml:space="preserve"> PAGEREF _Toc111551925 \h </w:instrText>
        </w:r>
        <w:r w:rsidR="0079264A">
          <w:rPr>
            <w:webHidden/>
          </w:rPr>
        </w:r>
        <w:r w:rsidR="0079264A">
          <w:rPr>
            <w:webHidden/>
          </w:rPr>
          <w:fldChar w:fldCharType="separate"/>
        </w:r>
        <w:r w:rsidR="0079264A">
          <w:rPr>
            <w:webHidden/>
          </w:rPr>
          <w:t>16</w:t>
        </w:r>
        <w:r w:rsidR="0079264A">
          <w:rPr>
            <w:webHidden/>
          </w:rPr>
          <w:fldChar w:fldCharType="end"/>
        </w:r>
      </w:hyperlink>
    </w:p>
    <w:p w14:paraId="4DED5429" w14:textId="00F4C96E" w:rsidR="0079264A" w:rsidRDefault="00D07EC9">
      <w:pPr>
        <w:pStyle w:val="TOC2"/>
        <w:tabs>
          <w:tab w:val="right" w:pos="9628"/>
        </w:tabs>
        <w:rPr>
          <w:rFonts w:asciiTheme="minorHAnsi" w:eastAsiaTheme="minorEastAsia" w:hAnsiTheme="minorHAnsi"/>
          <w:noProof/>
          <w:sz w:val="22"/>
          <w:lang w:eastAsia="en-GB"/>
        </w:rPr>
      </w:pPr>
      <w:hyperlink w:anchor="_Toc111551926" w:history="1">
        <w:r w:rsidR="0079264A" w:rsidRPr="000C347F">
          <w:rPr>
            <w:rStyle w:val="Hyperlink"/>
            <w:noProof/>
          </w:rPr>
          <w:t>3.1 The Tender Response</w:t>
        </w:r>
        <w:r w:rsidR="0079264A">
          <w:rPr>
            <w:noProof/>
            <w:webHidden/>
          </w:rPr>
          <w:tab/>
        </w:r>
        <w:r w:rsidR="0079264A">
          <w:rPr>
            <w:noProof/>
            <w:webHidden/>
          </w:rPr>
          <w:fldChar w:fldCharType="begin"/>
        </w:r>
        <w:r w:rsidR="0079264A">
          <w:rPr>
            <w:noProof/>
            <w:webHidden/>
          </w:rPr>
          <w:instrText xml:space="preserve"> PAGEREF _Toc111551926 \h </w:instrText>
        </w:r>
        <w:r w:rsidR="0079264A">
          <w:rPr>
            <w:noProof/>
            <w:webHidden/>
          </w:rPr>
        </w:r>
        <w:r w:rsidR="0079264A">
          <w:rPr>
            <w:noProof/>
            <w:webHidden/>
          </w:rPr>
          <w:fldChar w:fldCharType="separate"/>
        </w:r>
        <w:r w:rsidR="0079264A">
          <w:rPr>
            <w:noProof/>
            <w:webHidden/>
          </w:rPr>
          <w:t>16</w:t>
        </w:r>
        <w:r w:rsidR="0079264A">
          <w:rPr>
            <w:noProof/>
            <w:webHidden/>
          </w:rPr>
          <w:fldChar w:fldCharType="end"/>
        </w:r>
      </w:hyperlink>
    </w:p>
    <w:p w14:paraId="24C28E0D" w14:textId="15183F51" w:rsidR="0079264A" w:rsidRDefault="00D07EC9">
      <w:pPr>
        <w:pStyle w:val="TOC2"/>
        <w:tabs>
          <w:tab w:val="right" w:pos="9628"/>
        </w:tabs>
        <w:rPr>
          <w:rFonts w:asciiTheme="minorHAnsi" w:eastAsiaTheme="minorEastAsia" w:hAnsiTheme="minorHAnsi"/>
          <w:noProof/>
          <w:sz w:val="22"/>
          <w:lang w:eastAsia="en-GB"/>
        </w:rPr>
      </w:pPr>
      <w:hyperlink w:anchor="_Toc111551927" w:history="1">
        <w:r w:rsidR="0079264A" w:rsidRPr="000C347F">
          <w:rPr>
            <w:rStyle w:val="Hyperlink"/>
            <w:noProof/>
          </w:rPr>
          <w:t>3.2 Evaluation Criteria</w:t>
        </w:r>
        <w:r w:rsidR="0079264A">
          <w:rPr>
            <w:noProof/>
            <w:webHidden/>
          </w:rPr>
          <w:tab/>
        </w:r>
        <w:r w:rsidR="0079264A">
          <w:rPr>
            <w:noProof/>
            <w:webHidden/>
          </w:rPr>
          <w:fldChar w:fldCharType="begin"/>
        </w:r>
        <w:r w:rsidR="0079264A">
          <w:rPr>
            <w:noProof/>
            <w:webHidden/>
          </w:rPr>
          <w:instrText xml:space="preserve"> PAGEREF _Toc111551927 \h </w:instrText>
        </w:r>
        <w:r w:rsidR="0079264A">
          <w:rPr>
            <w:noProof/>
            <w:webHidden/>
          </w:rPr>
        </w:r>
        <w:r w:rsidR="0079264A">
          <w:rPr>
            <w:noProof/>
            <w:webHidden/>
          </w:rPr>
          <w:fldChar w:fldCharType="separate"/>
        </w:r>
        <w:r w:rsidR="0079264A">
          <w:rPr>
            <w:noProof/>
            <w:webHidden/>
          </w:rPr>
          <w:t>17</w:t>
        </w:r>
        <w:r w:rsidR="0079264A">
          <w:rPr>
            <w:noProof/>
            <w:webHidden/>
          </w:rPr>
          <w:fldChar w:fldCharType="end"/>
        </w:r>
      </w:hyperlink>
    </w:p>
    <w:p w14:paraId="56D04470" w14:textId="3033ED1C" w:rsidR="0079264A" w:rsidRDefault="00D07EC9">
      <w:pPr>
        <w:pStyle w:val="TOC1"/>
        <w:rPr>
          <w:rFonts w:asciiTheme="minorHAnsi" w:eastAsiaTheme="minorEastAsia" w:hAnsiTheme="minorHAnsi"/>
          <w:b w:val="0"/>
          <w:bCs w:val="0"/>
          <w:color w:val="auto"/>
          <w:sz w:val="22"/>
          <w:lang w:eastAsia="en-GB"/>
        </w:rPr>
      </w:pPr>
      <w:hyperlink w:anchor="_Toc111551928" w:history="1">
        <w:r w:rsidR="0079264A" w:rsidRPr="000C347F">
          <w:rPr>
            <w:rStyle w:val="Hyperlink"/>
          </w:rPr>
          <w:t>4.</w:t>
        </w:r>
        <w:r w:rsidR="0079264A">
          <w:rPr>
            <w:rFonts w:asciiTheme="minorHAnsi" w:eastAsiaTheme="minorEastAsia" w:hAnsiTheme="minorHAnsi"/>
            <w:b w:val="0"/>
            <w:bCs w:val="0"/>
            <w:color w:val="auto"/>
            <w:sz w:val="22"/>
            <w:lang w:eastAsia="en-GB"/>
          </w:rPr>
          <w:tab/>
        </w:r>
        <w:r w:rsidR="0079264A" w:rsidRPr="000C347F">
          <w:rPr>
            <w:rStyle w:val="Hyperlink"/>
          </w:rPr>
          <w:t>Procurement Procedures</w:t>
        </w:r>
        <w:r w:rsidR="0079264A">
          <w:rPr>
            <w:webHidden/>
          </w:rPr>
          <w:tab/>
        </w:r>
        <w:r w:rsidR="0079264A">
          <w:rPr>
            <w:webHidden/>
          </w:rPr>
          <w:fldChar w:fldCharType="begin"/>
        </w:r>
        <w:r w:rsidR="0079264A">
          <w:rPr>
            <w:webHidden/>
          </w:rPr>
          <w:instrText xml:space="preserve"> PAGEREF _Toc111551928 \h </w:instrText>
        </w:r>
        <w:r w:rsidR="0079264A">
          <w:rPr>
            <w:webHidden/>
          </w:rPr>
        </w:r>
        <w:r w:rsidR="0079264A">
          <w:rPr>
            <w:webHidden/>
          </w:rPr>
          <w:fldChar w:fldCharType="separate"/>
        </w:r>
        <w:r w:rsidR="0079264A">
          <w:rPr>
            <w:webHidden/>
          </w:rPr>
          <w:t>21</w:t>
        </w:r>
        <w:r w:rsidR="0079264A">
          <w:rPr>
            <w:webHidden/>
          </w:rPr>
          <w:fldChar w:fldCharType="end"/>
        </w:r>
      </w:hyperlink>
    </w:p>
    <w:p w14:paraId="0EDE73FA" w14:textId="3890DE96" w:rsidR="0079264A" w:rsidRDefault="00D07EC9">
      <w:pPr>
        <w:pStyle w:val="TOC2"/>
        <w:tabs>
          <w:tab w:val="right" w:pos="9628"/>
        </w:tabs>
        <w:rPr>
          <w:rFonts w:asciiTheme="minorHAnsi" w:eastAsiaTheme="minorEastAsia" w:hAnsiTheme="minorHAnsi"/>
          <w:noProof/>
          <w:sz w:val="22"/>
          <w:lang w:eastAsia="en-GB"/>
        </w:rPr>
      </w:pPr>
      <w:hyperlink w:anchor="_Toc111551929" w:history="1">
        <w:r w:rsidR="0079264A" w:rsidRPr="000C347F">
          <w:rPr>
            <w:rStyle w:val="Hyperlink"/>
            <w:noProof/>
          </w:rPr>
          <w:t>Tendering Timetable</w:t>
        </w:r>
        <w:r w:rsidR="0079264A">
          <w:rPr>
            <w:noProof/>
            <w:webHidden/>
          </w:rPr>
          <w:tab/>
        </w:r>
        <w:r w:rsidR="0079264A">
          <w:rPr>
            <w:noProof/>
            <w:webHidden/>
          </w:rPr>
          <w:fldChar w:fldCharType="begin"/>
        </w:r>
        <w:r w:rsidR="0079264A">
          <w:rPr>
            <w:noProof/>
            <w:webHidden/>
          </w:rPr>
          <w:instrText xml:space="preserve"> PAGEREF _Toc111551929 \h </w:instrText>
        </w:r>
        <w:r w:rsidR="0079264A">
          <w:rPr>
            <w:noProof/>
            <w:webHidden/>
          </w:rPr>
        </w:r>
        <w:r w:rsidR="0079264A">
          <w:rPr>
            <w:noProof/>
            <w:webHidden/>
          </w:rPr>
          <w:fldChar w:fldCharType="separate"/>
        </w:r>
        <w:r w:rsidR="0079264A">
          <w:rPr>
            <w:noProof/>
            <w:webHidden/>
          </w:rPr>
          <w:t>21</w:t>
        </w:r>
        <w:r w:rsidR="0079264A">
          <w:rPr>
            <w:noProof/>
            <w:webHidden/>
          </w:rPr>
          <w:fldChar w:fldCharType="end"/>
        </w:r>
      </w:hyperlink>
    </w:p>
    <w:p w14:paraId="0713F7E5" w14:textId="66E19FC9" w:rsidR="0079264A" w:rsidRDefault="00D07EC9">
      <w:pPr>
        <w:pStyle w:val="TOC2"/>
        <w:tabs>
          <w:tab w:val="right" w:pos="9628"/>
        </w:tabs>
        <w:rPr>
          <w:rFonts w:asciiTheme="minorHAnsi" w:eastAsiaTheme="minorEastAsia" w:hAnsiTheme="minorHAnsi"/>
          <w:noProof/>
          <w:sz w:val="22"/>
          <w:lang w:eastAsia="en-GB"/>
        </w:rPr>
      </w:pPr>
      <w:hyperlink w:anchor="_Toc111551930" w:history="1">
        <w:r w:rsidR="0079264A" w:rsidRPr="000C347F">
          <w:rPr>
            <w:rStyle w:val="Hyperlink"/>
            <w:noProof/>
          </w:rPr>
          <w:t>Tendering Instructions and Guidance</w:t>
        </w:r>
        <w:r w:rsidR="0079264A">
          <w:rPr>
            <w:noProof/>
            <w:webHidden/>
          </w:rPr>
          <w:tab/>
        </w:r>
        <w:r w:rsidR="0079264A">
          <w:rPr>
            <w:noProof/>
            <w:webHidden/>
          </w:rPr>
          <w:fldChar w:fldCharType="begin"/>
        </w:r>
        <w:r w:rsidR="0079264A">
          <w:rPr>
            <w:noProof/>
            <w:webHidden/>
          </w:rPr>
          <w:instrText xml:space="preserve"> PAGEREF _Toc111551930 \h </w:instrText>
        </w:r>
        <w:r w:rsidR="0079264A">
          <w:rPr>
            <w:noProof/>
            <w:webHidden/>
          </w:rPr>
        </w:r>
        <w:r w:rsidR="0079264A">
          <w:rPr>
            <w:noProof/>
            <w:webHidden/>
          </w:rPr>
          <w:fldChar w:fldCharType="separate"/>
        </w:r>
        <w:r w:rsidR="0079264A">
          <w:rPr>
            <w:noProof/>
            <w:webHidden/>
          </w:rPr>
          <w:t>21</w:t>
        </w:r>
        <w:r w:rsidR="0079264A">
          <w:rPr>
            <w:noProof/>
            <w:webHidden/>
          </w:rPr>
          <w:fldChar w:fldCharType="end"/>
        </w:r>
      </w:hyperlink>
    </w:p>
    <w:p w14:paraId="6B48D324" w14:textId="2419B6E7" w:rsidR="00FC6860" w:rsidRDefault="00FC6860" w:rsidP="004E1570">
      <w:pPr>
        <w:sectPr w:rsidR="00FC6860" w:rsidSect="004E1570">
          <w:headerReference w:type="even" r:id="rId15"/>
          <w:headerReference w:type="default" r:id="rId16"/>
          <w:footerReference w:type="even" r:id="rId17"/>
          <w:footerReference w:type="default" r:id="rId18"/>
          <w:headerReference w:type="first" r:id="rId19"/>
          <w:footerReference w:type="first" r:id="rId20"/>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11551913"/>
      <w:r>
        <w:lastRenderedPageBreak/>
        <w:t>Purpose of the document</w:t>
      </w:r>
      <w:bookmarkEnd w:id="4"/>
    </w:p>
    <w:p w14:paraId="5CB061E3" w14:textId="563E5B75" w:rsidR="00A02455" w:rsidRDefault="00A02455" w:rsidP="00A02455">
      <w:r>
        <w:t xml:space="preserve">The purpose of this document is to invite proposals for </w:t>
      </w:r>
      <w:r w:rsidR="00B04019" w:rsidRPr="00B04019">
        <w:t>French / English interpretation and translation services</w:t>
      </w:r>
      <w:r w:rsidRPr="00B04019">
        <w:t xml:space="preserve"> </w:t>
      </w:r>
      <w:r>
        <w:t xml:space="preserve">for the </w:t>
      </w:r>
      <w:r w:rsidR="00B04019" w:rsidRPr="00B04019">
        <w:t>UK delegation to the Channel Tunnel Intergovernmental Commission and the Safety Authority</w:t>
      </w:r>
      <w:r>
        <w:t>.</w:t>
      </w:r>
    </w:p>
    <w:p w14:paraId="75A839A6" w14:textId="77777777" w:rsidR="00A02455" w:rsidRDefault="00A02455" w:rsidP="00A02455">
      <w:r>
        <w:t>This document contains the following sections:</w:t>
      </w:r>
    </w:p>
    <w:p w14:paraId="51B87CA1" w14:textId="4E5FBBD3" w:rsidR="00A02455" w:rsidRDefault="00A02455" w:rsidP="00155088">
      <w:pPr>
        <w:pStyle w:val="NormalBulletnumber"/>
        <w:numPr>
          <w:ilvl w:val="3"/>
          <w:numId w:val="27"/>
        </w:numPr>
        <w:tabs>
          <w:tab w:val="clear" w:pos="2268"/>
        </w:tabs>
        <w:ind w:left="709"/>
      </w:pPr>
      <w:r>
        <w:t>Introduction to the Office of Rail and Road</w:t>
      </w:r>
      <w:r w:rsidR="00B04019">
        <w:t xml:space="preserve"> and the </w:t>
      </w:r>
      <w:r w:rsidR="00B04019" w:rsidRPr="00B04019">
        <w:t>Channel Tunnel Intergovernmental Commission (IGC) and Safety Authority (CTSA)</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11551914"/>
      <w:r>
        <w:lastRenderedPageBreak/>
        <w:t>Introduction to the Office of Rail and Road</w:t>
      </w:r>
      <w:bookmarkEnd w:id="5"/>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14:paraId="352A1B0F" w14:textId="77777777" w:rsidR="00490915" w:rsidRDefault="00490915" w:rsidP="00490915">
      <w:r>
        <w:t>ORR currently employs approximately 360 personnel and operates from 6 locations nationwide. The majority of personnel are located at ORR’s headquarters, 25 Cabot Square, London.</w:t>
      </w:r>
    </w:p>
    <w:p w14:paraId="2745252D" w14:textId="77777777" w:rsidR="00490915" w:rsidRDefault="00490915" w:rsidP="00490915">
      <w:pPr>
        <w:pStyle w:val="Heading3"/>
      </w:pPr>
      <w:bookmarkStart w:id="6" w:name="_Toc11155191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6F265FCC"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085995CD" w14:textId="26DF8FCA" w:rsidR="00B04019" w:rsidRDefault="00B04019" w:rsidP="00B04019">
      <w:r w:rsidRPr="00B04019">
        <w:rPr>
          <w:rFonts w:eastAsiaTheme="majorEastAsia" w:cstheme="majorBidi"/>
          <w:b/>
          <w:color w:val="253268" w:themeColor="text2"/>
          <w:sz w:val="36"/>
          <w:szCs w:val="24"/>
        </w:rPr>
        <w:t>Introduction to the Channel Tunnel Intergovernmental Commission (IGC) and Safety Authority (CTSA)</w:t>
      </w:r>
    </w:p>
    <w:p w14:paraId="6FD48A8C" w14:textId="77777777" w:rsidR="00B04019" w:rsidRDefault="00B04019" w:rsidP="00B04019">
      <w:r>
        <w:t xml:space="preserve">The bi-national Channel Tunnel Intergovernmental Commission (IGC) was set up under the Treaty of Canterbury to supervise, in the name and on behalf of the British and French </w:t>
      </w:r>
      <w:r>
        <w:lastRenderedPageBreak/>
        <w:t xml:space="preserve">Governments, all matters concerning the construction and operation of the Channel Tunnel, a critical national infrastructure.  The IGC is advised on health and safety matters by the CTSA, which has a similar bi-national structure. </w:t>
      </w:r>
    </w:p>
    <w:p w14:paraId="47D41C16" w14:textId="77777777" w:rsidR="00B04019" w:rsidRDefault="00B04019" w:rsidP="00B04019">
      <w:r>
        <w:t xml:space="preserve">The CTSA is a binational body established under Article 11 of the Treaty of Canterbury to advise and assist the IGC on all matters concerning safety in the construction and operation of the Channel Tunnel. In fulfilling its responsibilities, the CTSA provides advice in respect of issues such as infrastructure maintenance, authorisation of vehicles passing through the tunnel, safety certification of Eurotunnel and other tunnel operators, Health &amp; Safety management on the concession area and in relation to passenger and freight operators who use the tunnel, and the investigation of safety related incidents.  Working Group 1 (WG1) is a sub-group of the CTSA with responsibility for overseeing and advising on fire, rescue and public safety issues. </w:t>
      </w:r>
    </w:p>
    <w:p w14:paraId="2E35F53E" w14:textId="3A368D9A" w:rsidR="00B04019" w:rsidRDefault="00B04019" w:rsidP="00B04019">
      <w:r>
        <w:t xml:space="preserve">The IGC is currently the National Safety Authority (NSA) - as defined under EU law - for the UK half of the Channel Tunnel and works closely with the </w:t>
      </w:r>
      <w:proofErr w:type="spellStart"/>
      <w:r>
        <w:t>Établissement</w:t>
      </w:r>
      <w:proofErr w:type="spellEnd"/>
      <w:r>
        <w:t xml:space="preserve"> Public de </w:t>
      </w:r>
      <w:proofErr w:type="spellStart"/>
      <w:r>
        <w:t>Sécurité</w:t>
      </w:r>
      <w:proofErr w:type="spellEnd"/>
      <w:r>
        <w:t xml:space="preserve"> </w:t>
      </w:r>
      <w:proofErr w:type="spellStart"/>
      <w:r>
        <w:t>Ferroviaire</w:t>
      </w:r>
      <w:proofErr w:type="spellEnd"/>
      <w:r>
        <w:t xml:space="preserve"> (EPSF), which acts as the NSA for the French half of the Channel Tunnel.  </w:t>
      </w:r>
    </w:p>
    <w:p w14:paraId="3D22F1BB" w14:textId="0B0752EF" w:rsidR="00490915" w:rsidRDefault="00490915" w:rsidP="00490915">
      <w:pPr>
        <w:pStyle w:val="Heading3"/>
      </w:pPr>
      <w:bookmarkStart w:id="7" w:name="_Toc111551916"/>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to ensure that procurement is undertaken with regard to Law and best practice.</w:t>
      </w:r>
    </w:p>
    <w:p w14:paraId="06E7514B" w14:textId="04BD1B8A" w:rsidR="00490915" w:rsidRDefault="00490915" w:rsidP="00490915">
      <w:r>
        <w:t xml:space="preserve">For further information on ORR please visit our website: </w:t>
      </w:r>
      <w:hyperlink r:id="rId21"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11551917"/>
      <w:r>
        <w:lastRenderedPageBreak/>
        <w:t>Small and Medium Enterprises</w:t>
      </w:r>
      <w:bookmarkEnd w:id="8"/>
    </w:p>
    <w:p w14:paraId="37ED9C1E" w14:textId="77777777" w:rsidR="00D776B6" w:rsidRDefault="00D776B6" w:rsidP="00D776B6">
      <w:pPr>
        <w:pStyle w:val="Boxedparagraph"/>
      </w:pPr>
      <w: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25199D">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25199D">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25199D">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25199D">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25199D">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25199D">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25199D">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25199D">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25199D">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25199D">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25199D">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25199D">
            <w:pPr>
              <w:pStyle w:val="TblText"/>
            </w:pPr>
            <w:r w:rsidRPr="00D6160E">
              <w:t>≤ € 10 million</w:t>
            </w:r>
          </w:p>
        </w:tc>
        <w:tc>
          <w:tcPr>
            <w:tcW w:w="894" w:type="dxa"/>
            <w:shd w:val="clear" w:color="auto" w:fill="auto"/>
          </w:tcPr>
          <w:p w14:paraId="230AF2D1"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25199D">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25199D">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25199D">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25199D">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25199D">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25199D">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25199D">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25199D">
            <w:pPr>
              <w:pStyle w:val="TblText"/>
            </w:pPr>
            <w:r w:rsidRPr="00D6160E">
              <w:t>&gt; € 50 million</w:t>
            </w:r>
          </w:p>
        </w:tc>
        <w:tc>
          <w:tcPr>
            <w:tcW w:w="894" w:type="dxa"/>
            <w:shd w:val="clear" w:color="auto" w:fill="auto"/>
          </w:tcPr>
          <w:p w14:paraId="19BFF5EC"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25199D">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11551918"/>
      <w:r>
        <w:lastRenderedPageBreak/>
        <w:t>Statement of Requirement</w:t>
      </w:r>
      <w:bookmarkEnd w:id="9"/>
    </w:p>
    <w:p w14:paraId="0C918979" w14:textId="4CE3B4F2" w:rsidR="00F20E70" w:rsidRDefault="00F20E70" w:rsidP="00F20E70">
      <w:pPr>
        <w:pStyle w:val="Heading3"/>
      </w:pPr>
      <w:bookmarkStart w:id="10" w:name="_Toc111551919"/>
      <w:r>
        <w:t>2.1 Background of the project</w:t>
      </w:r>
      <w:bookmarkEnd w:id="10"/>
    </w:p>
    <w:p w14:paraId="53A1D0DC" w14:textId="77777777" w:rsidR="002A39E8" w:rsidRPr="002A39E8" w:rsidRDefault="002A39E8" w:rsidP="002A39E8">
      <w:pPr>
        <w:pStyle w:val="Heading3"/>
        <w:rPr>
          <w:rFonts w:eastAsiaTheme="minorHAnsi" w:cstheme="minorBidi"/>
          <w:b w:val="0"/>
          <w:color w:val="auto"/>
          <w:sz w:val="24"/>
          <w:szCs w:val="22"/>
        </w:rPr>
      </w:pPr>
      <w:bookmarkStart w:id="11" w:name="_Toc111551920"/>
      <w:r w:rsidRPr="00A5797D">
        <w:rPr>
          <w:rFonts w:eastAsiaTheme="minorHAnsi" w:cstheme="minorBidi"/>
          <w:b w:val="0"/>
          <w:color w:val="auto"/>
          <w:sz w:val="24"/>
          <w:szCs w:val="22"/>
        </w:rPr>
        <w:t>We currently have the need for interpretation (</w:t>
      </w:r>
      <w:proofErr w:type="gramStart"/>
      <w:r w:rsidRPr="00A5797D">
        <w:rPr>
          <w:rFonts w:eastAsiaTheme="minorHAnsi" w:cstheme="minorBidi"/>
          <w:b w:val="0"/>
          <w:color w:val="auto"/>
          <w:sz w:val="24"/>
          <w:szCs w:val="22"/>
        </w:rPr>
        <w:t>i.e.</w:t>
      </w:r>
      <w:proofErr w:type="gramEnd"/>
      <w:r w:rsidRPr="00A5797D">
        <w:rPr>
          <w:rFonts w:eastAsiaTheme="minorHAnsi" w:cstheme="minorBidi"/>
          <w:b w:val="0"/>
          <w:color w:val="auto"/>
          <w:sz w:val="24"/>
          <w:szCs w:val="22"/>
        </w:rPr>
        <w:t xml:space="preserve"> orally at meetings) and translation services (i.e. of written documents). There will be two separate contracts (one each for interpretation and translation services) commencing on 1 April 2023 for a period of </w:t>
      </w:r>
      <w:r>
        <w:rPr>
          <w:rFonts w:eastAsiaTheme="minorHAnsi" w:cstheme="minorBidi"/>
          <w:b w:val="0"/>
          <w:color w:val="auto"/>
          <w:sz w:val="24"/>
          <w:szCs w:val="22"/>
        </w:rPr>
        <w:t>5</w:t>
      </w:r>
      <w:r w:rsidRPr="00A5797D">
        <w:rPr>
          <w:rFonts w:eastAsiaTheme="minorHAnsi" w:cstheme="minorBidi"/>
          <w:b w:val="0"/>
          <w:color w:val="auto"/>
          <w:sz w:val="24"/>
          <w:szCs w:val="22"/>
        </w:rPr>
        <w:t xml:space="preserve"> years</w:t>
      </w:r>
      <w:r>
        <w:rPr>
          <w:rFonts w:ascii="Humnst777 Lt BT" w:hAnsi="Humnst777 Lt BT" w:cs="Arial"/>
          <w:sz w:val="22"/>
          <w:szCs w:val="22"/>
          <w:lang w:val="en-US"/>
        </w:rPr>
        <w:t xml:space="preserve"> </w:t>
      </w:r>
      <w:r w:rsidRPr="002A39E8">
        <w:rPr>
          <w:rFonts w:eastAsiaTheme="minorHAnsi" w:cstheme="minorBidi"/>
          <w:b w:val="0"/>
          <w:color w:val="auto"/>
          <w:sz w:val="24"/>
          <w:szCs w:val="22"/>
        </w:rPr>
        <w:t xml:space="preserve">(3 years + possible </w:t>
      </w:r>
      <w:proofErr w:type="gramStart"/>
      <w:r w:rsidRPr="002A39E8">
        <w:rPr>
          <w:rFonts w:eastAsiaTheme="minorHAnsi" w:cstheme="minorBidi"/>
          <w:b w:val="0"/>
          <w:color w:val="auto"/>
          <w:sz w:val="24"/>
          <w:szCs w:val="22"/>
        </w:rPr>
        <w:t>2 year</w:t>
      </w:r>
      <w:proofErr w:type="gramEnd"/>
      <w:r w:rsidRPr="002A39E8">
        <w:rPr>
          <w:rFonts w:eastAsiaTheme="minorHAnsi" w:cstheme="minorBidi"/>
          <w:b w:val="0"/>
          <w:color w:val="auto"/>
          <w:sz w:val="24"/>
          <w:szCs w:val="22"/>
        </w:rPr>
        <w:t xml:space="preserve"> extension contract). </w:t>
      </w:r>
    </w:p>
    <w:p w14:paraId="74919ACA" w14:textId="25E29717" w:rsidR="00F20E70" w:rsidRDefault="00F20E70" w:rsidP="00F20E70">
      <w:pPr>
        <w:pStyle w:val="Heading3"/>
      </w:pPr>
      <w:r>
        <w:t>2.2 Project Objectives and Scope</w:t>
      </w:r>
      <w:bookmarkEnd w:id="11"/>
    </w:p>
    <w:p w14:paraId="0BB0BDCA" w14:textId="77777777" w:rsidR="00A5797D" w:rsidRPr="00A5797D" w:rsidRDefault="00A5797D" w:rsidP="00A5797D">
      <w:pPr>
        <w:pStyle w:val="Heading3"/>
        <w:rPr>
          <w:rFonts w:eastAsiaTheme="minorHAnsi" w:cstheme="minorBidi"/>
          <w:b w:val="0"/>
          <w:color w:val="auto"/>
          <w:sz w:val="24"/>
          <w:szCs w:val="22"/>
        </w:rPr>
      </w:pPr>
      <w:bookmarkStart w:id="12" w:name="_Toc111551921"/>
      <w:r w:rsidRPr="00A5797D">
        <w:rPr>
          <w:rFonts w:eastAsiaTheme="minorHAnsi" w:cstheme="minorBidi"/>
          <w:b w:val="0"/>
          <w:color w:val="auto"/>
          <w:sz w:val="24"/>
          <w:szCs w:val="22"/>
        </w:rPr>
        <w:t xml:space="preserve">This tender is divided into two “Lots”; prospective suppliers may bid for both or either Lot. </w:t>
      </w:r>
    </w:p>
    <w:p w14:paraId="166DB305" w14:textId="77777777" w:rsidR="00A5797D" w:rsidRPr="00A5797D" w:rsidRDefault="00A5797D" w:rsidP="00A5797D">
      <w:pPr>
        <w:pStyle w:val="Heading3"/>
        <w:rPr>
          <w:rFonts w:eastAsiaTheme="minorHAnsi" w:cstheme="minorBidi"/>
          <w:b w:val="0"/>
          <w:color w:val="auto"/>
          <w:sz w:val="24"/>
          <w:szCs w:val="22"/>
        </w:rPr>
      </w:pPr>
      <w:r w:rsidRPr="00A5797D">
        <w:rPr>
          <w:rFonts w:eastAsiaTheme="minorHAnsi" w:cstheme="minorBidi"/>
          <w:b w:val="0"/>
          <w:color w:val="auto"/>
          <w:sz w:val="24"/>
          <w:szCs w:val="22"/>
        </w:rPr>
        <w:t>Lot 1: Simultaneous interpretation at meetings in both languages</w:t>
      </w:r>
    </w:p>
    <w:p w14:paraId="54E707D8" w14:textId="77777777" w:rsidR="00A5797D" w:rsidRPr="00A5797D" w:rsidRDefault="00A5797D" w:rsidP="00A5797D">
      <w:pPr>
        <w:pStyle w:val="Heading3"/>
        <w:rPr>
          <w:rFonts w:eastAsiaTheme="minorHAnsi" w:cstheme="minorBidi"/>
          <w:b w:val="0"/>
          <w:color w:val="auto"/>
          <w:sz w:val="24"/>
          <w:szCs w:val="22"/>
        </w:rPr>
      </w:pPr>
      <w:r w:rsidRPr="00A5797D">
        <w:rPr>
          <w:rFonts w:eastAsiaTheme="minorHAnsi" w:cstheme="minorBidi"/>
          <w:b w:val="0"/>
          <w:color w:val="auto"/>
          <w:sz w:val="24"/>
          <w:szCs w:val="22"/>
        </w:rPr>
        <w:t>Lot 2: Document translation from French into English only</w:t>
      </w:r>
    </w:p>
    <w:p w14:paraId="69A75C90" w14:textId="70E67A19" w:rsidR="003F3CB0" w:rsidRDefault="003F3CB0" w:rsidP="00A5797D">
      <w:pPr>
        <w:pStyle w:val="Heading3"/>
      </w:pPr>
      <w:r w:rsidRPr="003F3CB0">
        <w:t>2.3 Project Outputs, Deliverables and Contract Management</w:t>
      </w:r>
      <w:bookmarkEnd w:id="12"/>
    </w:p>
    <w:p w14:paraId="42D6C4C0" w14:textId="77777777" w:rsidR="00A5797D" w:rsidRPr="00A5797D" w:rsidRDefault="00A5797D" w:rsidP="00A5797D">
      <w:pPr>
        <w:pStyle w:val="Heading4"/>
        <w:rPr>
          <w:color w:val="auto"/>
        </w:rPr>
      </w:pPr>
      <w:r w:rsidRPr="00A5797D">
        <w:rPr>
          <w:color w:val="auto"/>
        </w:rPr>
        <w:t>Lot 1: Simultaneous interpretation at meetings</w:t>
      </w:r>
    </w:p>
    <w:p w14:paraId="4446E114" w14:textId="77777777" w:rsidR="00A5797D" w:rsidRPr="00A5797D" w:rsidRDefault="00A5797D" w:rsidP="00A5797D">
      <w:pPr>
        <w:pStyle w:val="Heading4"/>
        <w:rPr>
          <w:b w:val="0"/>
          <w:bCs/>
          <w:color w:val="auto"/>
          <w:sz w:val="24"/>
          <w:szCs w:val="24"/>
        </w:rPr>
      </w:pPr>
      <w:r w:rsidRPr="00A5797D">
        <w:rPr>
          <w:b w:val="0"/>
          <w:bCs/>
          <w:color w:val="auto"/>
          <w:sz w:val="24"/>
          <w:szCs w:val="24"/>
        </w:rPr>
        <w:t>Provision of simultaneous translation of spoken French into English and vice versa during meetings in the UK organised by the Intergovernmental Commission (IGC) and Channel Tunnel Safety Authority (CTSA).</w:t>
      </w:r>
    </w:p>
    <w:p w14:paraId="6E35823F" w14:textId="77777777" w:rsidR="00A5797D" w:rsidRPr="00A5797D" w:rsidRDefault="00A5797D" w:rsidP="00A5797D">
      <w:pPr>
        <w:pStyle w:val="Heading4"/>
        <w:rPr>
          <w:b w:val="0"/>
          <w:bCs/>
          <w:color w:val="auto"/>
          <w:sz w:val="24"/>
          <w:szCs w:val="24"/>
        </w:rPr>
      </w:pPr>
      <w:r w:rsidRPr="00A5797D">
        <w:rPr>
          <w:b w:val="0"/>
          <w:bCs/>
          <w:color w:val="auto"/>
          <w:sz w:val="24"/>
          <w:szCs w:val="24"/>
        </w:rPr>
        <w:t>Two translators are required for each meeting, working individually in 30 - 45 minutes stints each, to provide simultaneous translation from French into English and English into French. Occasionally consecutive translation may be required, depending on the circumstances of the meeting.</w:t>
      </w:r>
    </w:p>
    <w:p w14:paraId="15D29DC1" w14:textId="77777777" w:rsidR="00A5797D" w:rsidRPr="00A5797D" w:rsidRDefault="00A5797D" w:rsidP="00A5797D">
      <w:pPr>
        <w:pStyle w:val="Heading4"/>
        <w:rPr>
          <w:b w:val="0"/>
          <w:bCs/>
          <w:color w:val="auto"/>
          <w:sz w:val="24"/>
          <w:szCs w:val="24"/>
        </w:rPr>
      </w:pPr>
      <w:r w:rsidRPr="00A5797D">
        <w:rPr>
          <w:b w:val="0"/>
          <w:bCs/>
          <w:color w:val="auto"/>
          <w:sz w:val="24"/>
          <w:szCs w:val="24"/>
        </w:rPr>
        <w:t xml:space="preserve">For office-based meetings, we generally use the ‘tour guide’ equipment system (we provide the hardware). Following the Covid pandemic we now hold regular meetings via Microsoft Teams and translators will be required to use mobile telephones (or other proposed system accepted by the IGC and CTSA) to facilitate the translation of these meetings.  Meetings typically involve 12-20 participants, but can range in sizes of between 4 persons upwards to a maximum of 40 persons. </w:t>
      </w:r>
    </w:p>
    <w:p w14:paraId="4BFABA1F" w14:textId="77777777" w:rsidR="00A5797D" w:rsidRPr="00A5797D" w:rsidRDefault="00A5797D" w:rsidP="00A5797D">
      <w:pPr>
        <w:pStyle w:val="Heading4"/>
        <w:rPr>
          <w:b w:val="0"/>
          <w:bCs/>
          <w:color w:val="auto"/>
          <w:sz w:val="24"/>
          <w:szCs w:val="24"/>
        </w:rPr>
      </w:pPr>
      <w:r w:rsidRPr="00CC57BA">
        <w:rPr>
          <w:color w:val="auto"/>
          <w:sz w:val="24"/>
          <w:szCs w:val="24"/>
        </w:rPr>
        <w:t>Project timescales</w:t>
      </w:r>
      <w:r w:rsidRPr="00A5797D">
        <w:rPr>
          <w:b w:val="0"/>
          <w:bCs/>
          <w:color w:val="auto"/>
          <w:sz w:val="24"/>
          <w:szCs w:val="24"/>
        </w:rPr>
        <w:t xml:space="preserve"> – Approximately 14 x one or two day meetings per year – usually held during the working week in London – although on rare occasions either Folkestone, Dover and Maidstone – where necessary pre-agreed travel and subsistence costs will be reimbursed. We also occasionally have meetings that last from 1 hour to half a day, which can generally be carried out remotely.</w:t>
      </w:r>
    </w:p>
    <w:p w14:paraId="6CC31C43" w14:textId="77777777" w:rsidR="00A5797D" w:rsidRPr="00A5797D" w:rsidRDefault="00A5797D" w:rsidP="00A5797D">
      <w:pPr>
        <w:pStyle w:val="Heading4"/>
        <w:rPr>
          <w:b w:val="0"/>
          <w:bCs/>
          <w:color w:val="auto"/>
          <w:sz w:val="24"/>
          <w:szCs w:val="24"/>
        </w:rPr>
      </w:pPr>
      <w:r w:rsidRPr="00A5797D">
        <w:rPr>
          <w:b w:val="0"/>
          <w:bCs/>
          <w:color w:val="auto"/>
          <w:sz w:val="24"/>
          <w:szCs w:val="24"/>
        </w:rPr>
        <w:t>Interpreters may also be required to assist ORR / CTSA inspectors when they conduct on-site inspections and interviews with stakeholders whose first language isn’t English, for example as part of an investigation.</w:t>
      </w:r>
    </w:p>
    <w:p w14:paraId="142030DA" w14:textId="77777777" w:rsidR="00A5797D" w:rsidRPr="00A5797D" w:rsidRDefault="00A5797D" w:rsidP="00A5797D">
      <w:pPr>
        <w:pStyle w:val="Heading4"/>
        <w:rPr>
          <w:color w:val="auto"/>
          <w:sz w:val="24"/>
          <w:szCs w:val="24"/>
        </w:rPr>
      </w:pPr>
      <w:r w:rsidRPr="00A5797D">
        <w:rPr>
          <w:color w:val="auto"/>
          <w:sz w:val="24"/>
          <w:szCs w:val="24"/>
        </w:rPr>
        <w:lastRenderedPageBreak/>
        <w:t>Requirements: - For interpreters</w:t>
      </w:r>
    </w:p>
    <w:p w14:paraId="31FECE13" w14:textId="77777777" w:rsidR="00A5797D" w:rsidRPr="00A5797D" w:rsidRDefault="00A5797D" w:rsidP="00A5797D">
      <w:pPr>
        <w:pStyle w:val="Heading4"/>
        <w:rPr>
          <w:b w:val="0"/>
          <w:bCs/>
          <w:color w:val="auto"/>
          <w:sz w:val="24"/>
          <w:szCs w:val="24"/>
        </w:rPr>
      </w:pPr>
      <w:r w:rsidRPr="00A5797D">
        <w:rPr>
          <w:b w:val="0"/>
          <w:bCs/>
          <w:color w:val="auto"/>
          <w:sz w:val="24"/>
          <w:szCs w:val="24"/>
        </w:rPr>
        <w:t>To demonstrate previous experience of undertaking simultaneous translation and having an excellent spoken command of both English and French.</w:t>
      </w:r>
    </w:p>
    <w:p w14:paraId="17346F32" w14:textId="77777777" w:rsidR="00A5797D" w:rsidRPr="00A5797D" w:rsidRDefault="00A5797D" w:rsidP="00A5797D">
      <w:pPr>
        <w:pStyle w:val="Heading4"/>
        <w:rPr>
          <w:b w:val="0"/>
          <w:bCs/>
          <w:color w:val="auto"/>
          <w:sz w:val="24"/>
          <w:szCs w:val="24"/>
        </w:rPr>
      </w:pPr>
      <w:r w:rsidRPr="00A5797D">
        <w:rPr>
          <w:b w:val="0"/>
          <w:bCs/>
          <w:color w:val="auto"/>
          <w:sz w:val="24"/>
          <w:szCs w:val="24"/>
        </w:rPr>
        <w:t>To interpret accurately, precisely and faithfully what is said without anything being added, omitted or changed; in exceptional circumstances a summary may be given, if requested and consented to by both parties.</w:t>
      </w:r>
    </w:p>
    <w:p w14:paraId="519A7ECB" w14:textId="77777777" w:rsidR="00A5797D" w:rsidRPr="00A5797D" w:rsidRDefault="00A5797D" w:rsidP="00A5797D">
      <w:pPr>
        <w:pStyle w:val="Heading4"/>
        <w:rPr>
          <w:b w:val="0"/>
          <w:bCs/>
          <w:color w:val="auto"/>
          <w:sz w:val="24"/>
          <w:szCs w:val="24"/>
        </w:rPr>
      </w:pPr>
      <w:r w:rsidRPr="00A5797D">
        <w:rPr>
          <w:b w:val="0"/>
          <w:bCs/>
          <w:color w:val="auto"/>
          <w:sz w:val="24"/>
          <w:szCs w:val="24"/>
        </w:rPr>
        <w:t>To be flexible in their approach to providing interpretation services in terms of location and meeting style (office based ‘tour guide’ or remote mobile telephone translation).</w:t>
      </w:r>
    </w:p>
    <w:p w14:paraId="2EFF2357" w14:textId="77777777" w:rsidR="00A5797D" w:rsidRPr="00A5797D" w:rsidRDefault="00A5797D" w:rsidP="00A5797D">
      <w:pPr>
        <w:pStyle w:val="Heading4"/>
        <w:rPr>
          <w:b w:val="0"/>
          <w:bCs/>
          <w:color w:val="auto"/>
          <w:sz w:val="24"/>
          <w:szCs w:val="24"/>
        </w:rPr>
      </w:pPr>
      <w:r w:rsidRPr="00A5797D">
        <w:rPr>
          <w:b w:val="0"/>
          <w:bCs/>
          <w:color w:val="auto"/>
          <w:sz w:val="24"/>
          <w:szCs w:val="24"/>
        </w:rPr>
        <w:t>To always remain impartial and not enter into the discussion, give advice or express opinions or reactions to any of the parties.</w:t>
      </w:r>
    </w:p>
    <w:p w14:paraId="0CFB822C" w14:textId="77777777" w:rsidR="00A5797D" w:rsidRPr="00A5797D" w:rsidRDefault="00A5797D" w:rsidP="00A5797D">
      <w:pPr>
        <w:pStyle w:val="Heading4"/>
        <w:rPr>
          <w:b w:val="0"/>
          <w:bCs/>
          <w:color w:val="auto"/>
          <w:sz w:val="24"/>
          <w:szCs w:val="24"/>
        </w:rPr>
      </w:pPr>
      <w:r w:rsidRPr="00A5797D">
        <w:rPr>
          <w:b w:val="0"/>
          <w:bCs/>
          <w:color w:val="auto"/>
          <w:sz w:val="24"/>
          <w:szCs w:val="24"/>
        </w:rPr>
        <w:t>To intervene only to ask for clarification and ensure that interpreter intervention is done in a transparent manner so those present clearly understand the nature and relevance of that discussion or communication.</w:t>
      </w:r>
    </w:p>
    <w:p w14:paraId="27BD82FD" w14:textId="77777777" w:rsidR="00A5797D" w:rsidRPr="00A5797D" w:rsidRDefault="00A5797D" w:rsidP="00A5797D">
      <w:pPr>
        <w:pStyle w:val="Heading4"/>
        <w:rPr>
          <w:b w:val="0"/>
          <w:bCs/>
          <w:color w:val="auto"/>
          <w:sz w:val="24"/>
          <w:szCs w:val="24"/>
        </w:rPr>
      </w:pPr>
      <w:r w:rsidRPr="00A5797D">
        <w:rPr>
          <w:b w:val="0"/>
          <w:bCs/>
          <w:color w:val="auto"/>
          <w:sz w:val="24"/>
          <w:szCs w:val="24"/>
        </w:rPr>
        <w:t xml:space="preserve">To show a willingness and ability to develop an understanding of railway regulatory terminology (often of a technical and detailed nature) in general as well as that of the Channel Tunnel and its workings to be able to follow the discussions in the meeting. </w:t>
      </w:r>
    </w:p>
    <w:p w14:paraId="2C56F5CF" w14:textId="77777777" w:rsidR="00A5797D" w:rsidRPr="00A5797D" w:rsidRDefault="00A5797D" w:rsidP="00A5797D">
      <w:pPr>
        <w:pStyle w:val="Heading4"/>
        <w:rPr>
          <w:b w:val="0"/>
          <w:bCs/>
          <w:color w:val="auto"/>
          <w:sz w:val="24"/>
          <w:szCs w:val="24"/>
        </w:rPr>
      </w:pPr>
      <w:r w:rsidRPr="00A5797D">
        <w:rPr>
          <w:b w:val="0"/>
          <w:bCs/>
          <w:color w:val="auto"/>
          <w:sz w:val="24"/>
          <w:szCs w:val="24"/>
        </w:rPr>
        <w:t xml:space="preserve">Security clearance to Counter Terrorist (CTC) level preferable but not essential.  This is beneficial as classified, ‘commercially sensitive’ or security-related topics are discussed. </w:t>
      </w:r>
    </w:p>
    <w:p w14:paraId="1F20CE22" w14:textId="77777777" w:rsidR="00A5797D" w:rsidRPr="00A5797D" w:rsidRDefault="00A5797D" w:rsidP="00A5797D">
      <w:pPr>
        <w:pStyle w:val="Heading4"/>
        <w:rPr>
          <w:b w:val="0"/>
          <w:bCs/>
          <w:color w:val="auto"/>
          <w:sz w:val="24"/>
          <w:szCs w:val="24"/>
        </w:rPr>
      </w:pPr>
      <w:r w:rsidRPr="00A5797D">
        <w:rPr>
          <w:b w:val="0"/>
          <w:bCs/>
          <w:color w:val="auto"/>
          <w:sz w:val="24"/>
          <w:szCs w:val="24"/>
        </w:rPr>
        <w:t>Confidentiality must be maintained at all times and translators must not seek to take advantage of any information disclosed during their work and act impartially and professionally.</w:t>
      </w:r>
    </w:p>
    <w:p w14:paraId="4890B037" w14:textId="77777777" w:rsidR="00A5797D" w:rsidRPr="00A5797D" w:rsidRDefault="00A5797D" w:rsidP="00A5797D">
      <w:pPr>
        <w:pStyle w:val="Heading4"/>
        <w:rPr>
          <w:color w:val="auto"/>
          <w:sz w:val="24"/>
          <w:szCs w:val="24"/>
        </w:rPr>
      </w:pPr>
      <w:r w:rsidRPr="00A5797D">
        <w:rPr>
          <w:color w:val="auto"/>
          <w:sz w:val="24"/>
          <w:szCs w:val="24"/>
        </w:rPr>
        <w:t xml:space="preserve">Requirements: - For the supplier </w:t>
      </w:r>
    </w:p>
    <w:p w14:paraId="71C4FADB" w14:textId="77777777" w:rsidR="00A5797D" w:rsidRPr="00A5797D" w:rsidRDefault="00A5797D" w:rsidP="00A5797D">
      <w:pPr>
        <w:pStyle w:val="Heading4"/>
        <w:rPr>
          <w:b w:val="0"/>
          <w:bCs/>
          <w:color w:val="auto"/>
          <w:sz w:val="24"/>
          <w:szCs w:val="24"/>
        </w:rPr>
      </w:pPr>
      <w:r w:rsidRPr="00A5797D">
        <w:rPr>
          <w:b w:val="0"/>
          <w:bCs/>
          <w:color w:val="auto"/>
          <w:sz w:val="24"/>
          <w:szCs w:val="24"/>
        </w:rPr>
        <w:t>As far as reasonably practicable, to provide continuity of the individual interpreters involved.</w:t>
      </w:r>
    </w:p>
    <w:p w14:paraId="2CD88B56" w14:textId="77777777" w:rsidR="00A5797D" w:rsidRPr="00A5797D" w:rsidRDefault="00A5797D" w:rsidP="00A5797D">
      <w:pPr>
        <w:pStyle w:val="Heading4"/>
        <w:rPr>
          <w:b w:val="0"/>
          <w:bCs/>
          <w:color w:val="auto"/>
          <w:sz w:val="24"/>
          <w:szCs w:val="24"/>
        </w:rPr>
      </w:pPr>
      <w:r w:rsidRPr="00A5797D">
        <w:rPr>
          <w:b w:val="0"/>
          <w:bCs/>
          <w:color w:val="auto"/>
          <w:sz w:val="24"/>
          <w:szCs w:val="24"/>
        </w:rPr>
        <w:t>To be able to provide a suitably experienced substitute interpreter in case of illness or other unexpected absence at short notice if required.</w:t>
      </w:r>
    </w:p>
    <w:p w14:paraId="0A662BC0" w14:textId="77777777" w:rsidR="00A5797D" w:rsidRPr="00A5797D" w:rsidRDefault="00A5797D" w:rsidP="00A5797D">
      <w:pPr>
        <w:pStyle w:val="Heading4"/>
        <w:rPr>
          <w:b w:val="0"/>
          <w:bCs/>
          <w:color w:val="auto"/>
          <w:sz w:val="24"/>
          <w:szCs w:val="24"/>
        </w:rPr>
      </w:pPr>
      <w:r w:rsidRPr="00A5797D">
        <w:rPr>
          <w:b w:val="0"/>
          <w:bCs/>
          <w:color w:val="auto"/>
          <w:sz w:val="24"/>
          <w:szCs w:val="24"/>
        </w:rPr>
        <w:t xml:space="preserve">To be able to provisionally book interpreters without incurring cancellation fees. Reasonable notice allowed of cancellation of confirmed bookings without incurring charges. </w:t>
      </w:r>
    </w:p>
    <w:p w14:paraId="0CA91F7F" w14:textId="77777777" w:rsidR="00A5797D" w:rsidRPr="00A5797D" w:rsidRDefault="00A5797D" w:rsidP="00A5797D">
      <w:pPr>
        <w:pStyle w:val="Heading4"/>
        <w:rPr>
          <w:b w:val="0"/>
          <w:bCs/>
          <w:color w:val="auto"/>
          <w:sz w:val="24"/>
          <w:szCs w:val="24"/>
        </w:rPr>
      </w:pPr>
      <w:r w:rsidRPr="00A5797D">
        <w:rPr>
          <w:b w:val="0"/>
          <w:bCs/>
          <w:color w:val="auto"/>
          <w:sz w:val="24"/>
          <w:szCs w:val="24"/>
        </w:rPr>
        <w:t>To actively participate in management of the contract to ensure that it remains competitive, relevant and effective and value for money is being achieved.</w:t>
      </w:r>
    </w:p>
    <w:p w14:paraId="4F2A0E32" w14:textId="77777777" w:rsidR="00A5797D" w:rsidRPr="00A5797D" w:rsidRDefault="00A5797D" w:rsidP="00A5797D">
      <w:pPr>
        <w:pStyle w:val="Heading4"/>
        <w:rPr>
          <w:b w:val="0"/>
          <w:bCs/>
          <w:color w:val="auto"/>
          <w:sz w:val="24"/>
          <w:szCs w:val="24"/>
        </w:rPr>
      </w:pPr>
      <w:r w:rsidRPr="00A5797D">
        <w:rPr>
          <w:b w:val="0"/>
          <w:bCs/>
          <w:color w:val="auto"/>
          <w:sz w:val="24"/>
          <w:szCs w:val="24"/>
        </w:rPr>
        <w:t>It would be desirable if the supplier has experience of providing quality interpretation services to UK Government or regulatory authorities for the purposes of supporting international negotiations.</w:t>
      </w:r>
    </w:p>
    <w:p w14:paraId="1B6F83CF" w14:textId="77777777" w:rsidR="00A5797D" w:rsidRPr="00A5797D" w:rsidRDefault="00A5797D" w:rsidP="00A5797D">
      <w:pPr>
        <w:pStyle w:val="Heading4"/>
        <w:rPr>
          <w:color w:val="auto"/>
          <w:szCs w:val="28"/>
        </w:rPr>
      </w:pPr>
      <w:r w:rsidRPr="00A5797D">
        <w:rPr>
          <w:color w:val="auto"/>
          <w:szCs w:val="28"/>
        </w:rPr>
        <w:t>Lot 2 – Document translation</w:t>
      </w:r>
    </w:p>
    <w:p w14:paraId="20206867" w14:textId="77777777" w:rsidR="00A5797D" w:rsidRPr="00A5797D" w:rsidRDefault="00A5797D" w:rsidP="00A5797D">
      <w:pPr>
        <w:pStyle w:val="Heading4"/>
        <w:rPr>
          <w:b w:val="0"/>
          <w:bCs/>
          <w:color w:val="auto"/>
          <w:sz w:val="24"/>
          <w:szCs w:val="24"/>
        </w:rPr>
      </w:pPr>
      <w:r w:rsidRPr="00A5797D">
        <w:rPr>
          <w:b w:val="0"/>
          <w:bCs/>
          <w:color w:val="auto"/>
          <w:sz w:val="24"/>
          <w:szCs w:val="24"/>
        </w:rPr>
        <w:t>To provide accurate translation of documents from French into English within specified deadlines.</w:t>
      </w:r>
    </w:p>
    <w:p w14:paraId="165206D8" w14:textId="77777777" w:rsidR="00A5797D" w:rsidRPr="00A5797D" w:rsidRDefault="00A5797D" w:rsidP="00A5797D">
      <w:pPr>
        <w:pStyle w:val="Heading4"/>
        <w:rPr>
          <w:b w:val="0"/>
          <w:bCs/>
          <w:color w:val="auto"/>
          <w:sz w:val="24"/>
          <w:szCs w:val="24"/>
        </w:rPr>
      </w:pPr>
      <w:r w:rsidRPr="00CC57BA">
        <w:rPr>
          <w:color w:val="auto"/>
          <w:sz w:val="24"/>
          <w:szCs w:val="24"/>
        </w:rPr>
        <w:lastRenderedPageBreak/>
        <w:t>Project timescales</w:t>
      </w:r>
      <w:r w:rsidRPr="00A5797D">
        <w:rPr>
          <w:b w:val="0"/>
          <w:bCs/>
          <w:color w:val="auto"/>
          <w:sz w:val="24"/>
          <w:szCs w:val="24"/>
        </w:rPr>
        <w:t xml:space="preserve"> – Ongoing throughout the year. An average of 3 documents per week of varying length though often increasing in number both prior to and after meetings of the IGC and CTSA, or in relation to specific high-profile projects. Workload is significantly lighter in August.</w:t>
      </w:r>
    </w:p>
    <w:p w14:paraId="63DD549F" w14:textId="77777777" w:rsidR="00A5797D" w:rsidRPr="00A5797D" w:rsidRDefault="00A5797D" w:rsidP="00A5797D">
      <w:pPr>
        <w:pStyle w:val="Heading4"/>
        <w:rPr>
          <w:color w:val="auto"/>
          <w:sz w:val="24"/>
          <w:szCs w:val="24"/>
        </w:rPr>
      </w:pPr>
      <w:r w:rsidRPr="00A5797D">
        <w:rPr>
          <w:color w:val="auto"/>
          <w:sz w:val="24"/>
          <w:szCs w:val="24"/>
        </w:rPr>
        <w:t>Requirements: - For translators</w:t>
      </w:r>
    </w:p>
    <w:p w14:paraId="3D0454E4" w14:textId="77777777" w:rsidR="00A5797D" w:rsidRPr="00A5797D" w:rsidRDefault="00A5797D" w:rsidP="00A5797D">
      <w:pPr>
        <w:pStyle w:val="Heading4"/>
        <w:rPr>
          <w:b w:val="0"/>
          <w:bCs/>
          <w:color w:val="auto"/>
          <w:sz w:val="24"/>
          <w:szCs w:val="24"/>
        </w:rPr>
      </w:pPr>
      <w:r w:rsidRPr="00A5797D">
        <w:rPr>
          <w:b w:val="0"/>
          <w:bCs/>
          <w:color w:val="auto"/>
          <w:sz w:val="24"/>
          <w:szCs w:val="24"/>
        </w:rPr>
        <w:t>To provide accurate translation of written documents from French into English only within specified deadlines, which range from several days (usual) to several hours (occasional).</w:t>
      </w:r>
    </w:p>
    <w:p w14:paraId="6A3995B4" w14:textId="77777777" w:rsidR="00A5797D" w:rsidRPr="00A5797D" w:rsidRDefault="00A5797D" w:rsidP="00A5797D">
      <w:pPr>
        <w:pStyle w:val="Heading4"/>
        <w:rPr>
          <w:b w:val="0"/>
          <w:bCs/>
          <w:color w:val="auto"/>
          <w:sz w:val="24"/>
          <w:szCs w:val="24"/>
        </w:rPr>
      </w:pPr>
      <w:r w:rsidRPr="00A5797D">
        <w:rPr>
          <w:b w:val="0"/>
          <w:bCs/>
          <w:color w:val="auto"/>
          <w:sz w:val="24"/>
          <w:szCs w:val="24"/>
        </w:rPr>
        <w:t>To meet a very high standard of accuracy, commensurate with the requirement for the documents involved to form an auditable record of affairs of state and/or to deliver clear communication to stakeholders (including documents for publication).</w:t>
      </w:r>
    </w:p>
    <w:p w14:paraId="3E31034A" w14:textId="77777777" w:rsidR="00A5797D" w:rsidRPr="00A5797D" w:rsidRDefault="00A5797D" w:rsidP="00A5797D">
      <w:pPr>
        <w:pStyle w:val="Heading4"/>
        <w:rPr>
          <w:b w:val="0"/>
          <w:bCs/>
          <w:color w:val="auto"/>
          <w:sz w:val="24"/>
          <w:szCs w:val="24"/>
        </w:rPr>
      </w:pPr>
      <w:r w:rsidRPr="00A5797D">
        <w:rPr>
          <w:b w:val="0"/>
          <w:bCs/>
          <w:color w:val="auto"/>
          <w:sz w:val="24"/>
          <w:szCs w:val="24"/>
        </w:rPr>
        <w:t>To show a willingness and ability to develop understanding of railway regulatory terminology (often of a technical and detailed nature) in general as well as that of the Channel Tunnel and its workings so as to be able to translate with precision.</w:t>
      </w:r>
    </w:p>
    <w:p w14:paraId="7958131C" w14:textId="77777777" w:rsidR="00A5797D" w:rsidRPr="00A5797D" w:rsidRDefault="00A5797D" w:rsidP="00A5797D">
      <w:pPr>
        <w:pStyle w:val="Heading4"/>
        <w:rPr>
          <w:b w:val="0"/>
          <w:bCs/>
          <w:color w:val="auto"/>
          <w:sz w:val="24"/>
          <w:szCs w:val="24"/>
        </w:rPr>
      </w:pPr>
      <w:r w:rsidRPr="00A5797D">
        <w:rPr>
          <w:b w:val="0"/>
          <w:bCs/>
          <w:color w:val="auto"/>
          <w:sz w:val="24"/>
          <w:szCs w:val="24"/>
        </w:rPr>
        <w:t>Access to and knowledge of Microsoft software packages - Microsoft Word, Excel and Power Point. Communication is usually via telephone initially, followed up by e-mail.</w:t>
      </w:r>
    </w:p>
    <w:p w14:paraId="42E20239" w14:textId="77777777" w:rsidR="00A5797D" w:rsidRPr="00A5797D" w:rsidRDefault="00A5797D" w:rsidP="00A5797D">
      <w:pPr>
        <w:pStyle w:val="Heading4"/>
        <w:rPr>
          <w:b w:val="0"/>
          <w:bCs/>
          <w:color w:val="auto"/>
          <w:sz w:val="24"/>
          <w:szCs w:val="24"/>
        </w:rPr>
      </w:pPr>
      <w:r w:rsidRPr="00A5797D">
        <w:rPr>
          <w:b w:val="0"/>
          <w:bCs/>
          <w:color w:val="auto"/>
          <w:sz w:val="24"/>
          <w:szCs w:val="24"/>
        </w:rPr>
        <w:t xml:space="preserve">Security clearance to Counter Terrorist (CTC) level is preferred.  </w:t>
      </w:r>
    </w:p>
    <w:p w14:paraId="737C11A8" w14:textId="77777777" w:rsidR="00A5797D" w:rsidRPr="00A5797D" w:rsidRDefault="00A5797D" w:rsidP="00A5797D">
      <w:pPr>
        <w:pStyle w:val="Heading4"/>
        <w:rPr>
          <w:color w:val="auto"/>
          <w:sz w:val="24"/>
          <w:szCs w:val="24"/>
        </w:rPr>
      </w:pPr>
      <w:r w:rsidRPr="00A5797D">
        <w:rPr>
          <w:color w:val="auto"/>
          <w:sz w:val="24"/>
          <w:szCs w:val="24"/>
        </w:rPr>
        <w:t xml:space="preserve">Requirements: - For the supplier </w:t>
      </w:r>
    </w:p>
    <w:p w14:paraId="79BE48C6" w14:textId="77777777" w:rsidR="00A5797D" w:rsidRPr="00A5797D" w:rsidRDefault="00A5797D" w:rsidP="00A5797D">
      <w:pPr>
        <w:pStyle w:val="Heading4"/>
        <w:rPr>
          <w:b w:val="0"/>
          <w:bCs/>
          <w:color w:val="auto"/>
          <w:sz w:val="24"/>
          <w:szCs w:val="24"/>
        </w:rPr>
      </w:pPr>
      <w:r w:rsidRPr="00A5797D">
        <w:rPr>
          <w:b w:val="0"/>
          <w:bCs/>
          <w:color w:val="auto"/>
          <w:sz w:val="24"/>
          <w:szCs w:val="24"/>
        </w:rPr>
        <w:t>To be able to contact the translators directly and vice versa to answer any queries that they may have to avoid going through a third party.</w:t>
      </w:r>
    </w:p>
    <w:p w14:paraId="1830C034" w14:textId="77777777" w:rsidR="00A5797D" w:rsidRDefault="00A5797D" w:rsidP="00A5797D">
      <w:pPr>
        <w:pStyle w:val="Heading4"/>
        <w:rPr>
          <w:b w:val="0"/>
          <w:bCs/>
          <w:color w:val="auto"/>
          <w:sz w:val="24"/>
          <w:szCs w:val="24"/>
        </w:rPr>
      </w:pPr>
      <w:r w:rsidRPr="00A5797D">
        <w:rPr>
          <w:b w:val="0"/>
          <w:bCs/>
          <w:color w:val="auto"/>
          <w:sz w:val="24"/>
          <w:szCs w:val="24"/>
        </w:rPr>
        <w:t>To have robust arrangements to ensure that translations with a deadline of 24 hours or longer are provided with 100% reliability and translations with more urgent deadlines are provided with at least 90% reliability.</w:t>
      </w:r>
    </w:p>
    <w:p w14:paraId="76E3EE61" w14:textId="39051C29" w:rsidR="00AF7AF9" w:rsidRDefault="00AF7AF9" w:rsidP="00AF7AF9">
      <w:pPr>
        <w:pStyle w:val="Heading3"/>
      </w:pPr>
      <w:bookmarkStart w:id="13" w:name="_Toc111551923"/>
      <w:r w:rsidRPr="00AF7AF9">
        <w:t>2.</w:t>
      </w:r>
      <w:r w:rsidR="00A5797D">
        <w:t>4</w:t>
      </w:r>
      <w:r w:rsidRPr="00AF7AF9">
        <w:t xml:space="preserve"> Payment Schedule</w:t>
      </w:r>
      <w:bookmarkEnd w:id="13"/>
    </w:p>
    <w:p w14:paraId="4B21690E" w14:textId="77777777" w:rsidR="00A5797D" w:rsidRPr="00A5797D" w:rsidRDefault="00A5797D" w:rsidP="00A5797D">
      <w:pPr>
        <w:pStyle w:val="Heading4"/>
        <w:rPr>
          <w:rFonts w:eastAsiaTheme="minorHAnsi" w:cstheme="minorBidi"/>
          <w:b w:val="0"/>
          <w:iCs w:val="0"/>
          <w:color w:val="auto"/>
          <w:sz w:val="24"/>
        </w:rPr>
      </w:pPr>
      <w:r w:rsidRPr="00A5797D">
        <w:rPr>
          <w:rFonts w:eastAsiaTheme="minorHAnsi" w:cstheme="minorBidi"/>
          <w:b w:val="0"/>
          <w:iCs w:val="0"/>
          <w:color w:val="auto"/>
          <w:sz w:val="24"/>
        </w:rPr>
        <w:t>Payment of the total fee will be on the delivery and acceptance by ORR of all required outputs and/or deliverables.</w:t>
      </w:r>
    </w:p>
    <w:p w14:paraId="3BB5AE4A" w14:textId="01F210ED" w:rsidR="00AF7AF9" w:rsidRDefault="00AF7AF9" w:rsidP="00AF7AF9">
      <w:pPr>
        <w:pStyle w:val="Heading3"/>
      </w:pPr>
      <w:bookmarkStart w:id="14" w:name="_Toc111551924"/>
      <w:r w:rsidRPr="00AF7AF9">
        <w:t>2.</w:t>
      </w:r>
      <w:r w:rsidR="000F0A04">
        <w:t>5</w:t>
      </w:r>
      <w:r w:rsidRPr="00AF7AF9">
        <w:t xml:space="preserve"> Further project related information for bidders</w:t>
      </w:r>
      <w:bookmarkEnd w:id="14"/>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lastRenderedPageBreak/>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That the Contractor assumes unconditional responsibility for the overall work and its quality;</w:t>
      </w:r>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entering into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5" w:name="_Toc111551925"/>
      <w:r>
        <w:lastRenderedPageBreak/>
        <w:t>Tender Response and Evaluation Criteria</w:t>
      </w:r>
      <w:bookmarkEnd w:id="15"/>
    </w:p>
    <w:p w14:paraId="6C9F4B20" w14:textId="5CFF035D" w:rsidR="001768F1" w:rsidRDefault="001768F1" w:rsidP="001768F1">
      <w:pPr>
        <w:pStyle w:val="Heading3"/>
      </w:pPr>
      <w:bookmarkStart w:id="16" w:name="_Toc111551926"/>
      <w:r>
        <w:t>3.1 The Tender Response</w:t>
      </w:r>
      <w:bookmarkEnd w:id="16"/>
    </w:p>
    <w:p w14:paraId="33A2C61B" w14:textId="1EF2A3EF" w:rsidR="001768F1" w:rsidRDefault="001768F1" w:rsidP="001768F1">
      <w:r>
        <w:t xml:space="preserve">The proposals for this project should include an outline of how bidders will meet the requirement </w:t>
      </w:r>
      <w:r w:rsidRPr="008003E2">
        <w:t>outlined in section (ii) “Statement of Requirement”. The following information should be included:</w:t>
      </w:r>
    </w:p>
    <w:p w14:paraId="0696CABC" w14:textId="13E563FF" w:rsidR="001768F1" w:rsidRPr="001E7C87" w:rsidRDefault="001768F1" w:rsidP="00D07E76">
      <w:pPr>
        <w:pStyle w:val="NormalBulletalpha"/>
        <w:numPr>
          <w:ilvl w:val="1"/>
          <w:numId w:val="28"/>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555F3844" w:rsidR="001768F1" w:rsidRDefault="001768F1" w:rsidP="001E7C87">
      <w:pPr>
        <w:pStyle w:val="NormalBullet-"/>
      </w:pPr>
      <w:r>
        <w:t>Provide an explanation of the proposed approach  and any methodologies bidders will work to;</w:t>
      </w:r>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A project plan to show how outputs and deliverables will be produced within the required timescales, detailing the resources that will be allocated;</w:t>
      </w:r>
    </w:p>
    <w:p w14:paraId="10DC7C63" w14:textId="6ED9544E" w:rsidR="001768F1" w:rsidRDefault="001768F1" w:rsidP="001E7C87">
      <w:pPr>
        <w:pStyle w:val="NormalBullet-"/>
      </w:pPr>
      <w:r>
        <w:t>An understanding of the risks, and explain how they would be mitigated to ensure delivery</w:t>
      </w:r>
    </w:p>
    <w:p w14:paraId="759CAB3E" w14:textId="22843909" w:rsidR="001768F1" w:rsidRDefault="001768F1" w:rsidP="001E7C87">
      <w:pPr>
        <w:pStyle w:val="NormalBullet-"/>
      </w:pPr>
      <w:r>
        <w:t>Compliance  with any security requirements outlined in the SOR, including details of accreditation for systems (e.g. ISO27000, Cyber Essentials) etc.</w:t>
      </w:r>
    </w:p>
    <w:p w14:paraId="16625C17" w14:textId="458CDC1F" w:rsidR="001768F1" w:rsidRDefault="001768F1" w:rsidP="001E7C87">
      <w:pPr>
        <w:pStyle w:val="NormalBullet-"/>
      </w:pPr>
      <w:r>
        <w:t xml:space="preserve">What support bidders will require from </w:t>
      </w:r>
      <w:proofErr w:type="gramStart"/>
      <w:r>
        <w:t>ORR;</w:t>
      </w:r>
      <w:proofErr w:type="gramEnd"/>
      <w:r>
        <w:t xml:space="preserve"> </w:t>
      </w:r>
    </w:p>
    <w:p w14:paraId="5673ADDA" w14:textId="47E56089" w:rsidR="001768F1" w:rsidRPr="001E7C87" w:rsidRDefault="001768F1" w:rsidP="00D07E76">
      <w:pPr>
        <w:pStyle w:val="NormalBulletalpha"/>
        <w:rPr>
          <w:b/>
          <w:bCs/>
        </w:rPr>
      </w:pPr>
      <w:r w:rsidRPr="001E7C87">
        <w:rPr>
          <w:b/>
          <w:bCs/>
        </w:rPr>
        <w:t>Proposed delivery team</w:t>
      </w:r>
    </w:p>
    <w:p w14:paraId="5069A898" w14:textId="079E7589" w:rsidR="001768F1" w:rsidRDefault="001768F1" w:rsidP="001E7C87">
      <w:pPr>
        <w:pStyle w:val="NormalBullet-"/>
      </w:pPr>
      <w:r>
        <w:t xml:space="preserve">Key personnel including </w:t>
      </w:r>
      <w:r w:rsidR="008003E2">
        <w:t xml:space="preserve">CVs, </w:t>
      </w:r>
      <w:r>
        <w:t xml:space="preserve">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lastRenderedPageBreak/>
        <w:t>Confirmation that you have carried out the necessary employment checks (e.g. right to work in the UK)</w:t>
      </w:r>
    </w:p>
    <w:p w14:paraId="38CC0FC2" w14:textId="536CE257" w:rsidR="008C14F4" w:rsidRDefault="001768F1" w:rsidP="008C14F4">
      <w:pPr>
        <w:pStyle w:val="NormalBullet-"/>
      </w:pPr>
      <w:r>
        <w:t>Some relevant examples of previous work that</w:t>
      </w:r>
      <w:r w:rsidR="008003E2">
        <w:t xml:space="preserve"> the delivery team personnel</w:t>
      </w:r>
      <w:r>
        <w:t xml:space="preserve"> have carried out (</w:t>
      </w:r>
      <w:proofErr w:type="spellStart"/>
      <w:r>
        <w:t>eg.</w:t>
      </w:r>
      <w:proofErr w:type="spellEnd"/>
      <w:r>
        <w:t xml:space="preserve"> case studies)</w:t>
      </w:r>
      <w:r w:rsidRPr="004A24AB">
        <w:rPr>
          <w:color w:val="B1173B"/>
        </w:rPr>
        <w:t xml:space="preserve"> </w:t>
      </w:r>
    </w:p>
    <w:p w14:paraId="1C8F4186" w14:textId="6CC05A44" w:rsidR="001768F1" w:rsidRPr="001E7C87" w:rsidRDefault="001768F1" w:rsidP="00D07E76">
      <w:pPr>
        <w:pStyle w:val="NormalBulletalpha"/>
        <w:rPr>
          <w:b/>
          <w:bCs/>
        </w:rPr>
      </w:pPr>
      <w:r w:rsidRPr="001E7C87">
        <w:rPr>
          <w:b/>
          <w:bCs/>
        </w:rPr>
        <w:t>Pricing</w:t>
      </w:r>
    </w:p>
    <w:p w14:paraId="675DCD52" w14:textId="70BDCFCF" w:rsidR="008003E2" w:rsidRDefault="008003E2" w:rsidP="008C14F4">
      <w:pPr>
        <w:pStyle w:val="NormalBulletalpha"/>
        <w:numPr>
          <w:ilvl w:val="0"/>
          <w:numId w:val="0"/>
        </w:numPr>
      </w:pPr>
      <w:r w:rsidRPr="008003E2">
        <w:t>An itemised fee including the base fee for interpretation and/or translation service, which should include all administration costs. Please also include your proposed discount if you bid for and are awarded both Lots.</w:t>
      </w:r>
    </w:p>
    <w:p w14:paraId="4788C32C" w14:textId="56E341BD" w:rsidR="001768F1" w:rsidRPr="007062A6" w:rsidRDefault="001768F1" w:rsidP="008003E2">
      <w:pPr>
        <w:pStyle w:val="NormalBulletalpha"/>
        <w:numPr>
          <w:ilvl w:val="0"/>
          <w:numId w:val="0"/>
        </w:numPr>
        <w:ind w:left="567"/>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7" w:name="_Toc111551927"/>
      <w:r>
        <w:t>3.2 Evaluation Criteria</w:t>
      </w:r>
      <w:bookmarkEnd w:id="17"/>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2BEF4A6A" w:rsidR="005C29ED" w:rsidRDefault="005C29ED" w:rsidP="005C29ED">
      <w:pPr>
        <w:pStyle w:val="NormalBulletround"/>
      </w:pPr>
      <w:r>
        <w:t>Compliance with contractual arrangements.</w:t>
      </w:r>
    </w:p>
    <w:p w14:paraId="092980E7" w14:textId="77777777" w:rsidR="005C29ED" w:rsidRDefault="005C29ED" w:rsidP="005C29ED">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1188D4E1" w:rsidR="005C29ED" w:rsidRDefault="005C29ED" w:rsidP="005C29ED">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13A28A1E" w:rsidR="005C29ED" w:rsidRDefault="005C29ED" w:rsidP="00D61976">
      <w:pPr>
        <w:pStyle w:val="Heading4"/>
      </w:pPr>
      <w:r>
        <w:lastRenderedPageBreak/>
        <w:t xml:space="preserve">Methodology </w:t>
      </w:r>
      <w:r w:rsidRPr="00374BAE">
        <w:rPr>
          <w:color w:val="B1173B"/>
        </w:rPr>
        <w:t>(</w:t>
      </w:r>
      <w:r w:rsidR="008003E2">
        <w:rPr>
          <w:color w:val="B1173B"/>
        </w:rPr>
        <w:t>10</w:t>
      </w:r>
      <w:r w:rsidRPr="00374BAE">
        <w:rPr>
          <w:color w:val="B1173B"/>
        </w:rPr>
        <w:t>%)</w:t>
      </w:r>
    </w:p>
    <w:p w14:paraId="00314D37" w14:textId="77777777" w:rsidR="005C29ED" w:rsidRDefault="005C29ED" w:rsidP="005C29ED">
      <w:r>
        <w:t xml:space="preserve">The proposal should set out the methodology by which the project requirement will be initiated, </w:t>
      </w:r>
      <w:proofErr w:type="gramStart"/>
      <w:r>
        <w:t>delivered</w:t>
      </w:r>
      <w:proofErr w:type="gramEnd"/>
      <w:r>
        <w:t xml:space="preserve"> and concluded.  In particular, it must:</w:t>
      </w:r>
    </w:p>
    <w:p w14:paraId="7E6BD4F3" w14:textId="46E34B33" w:rsidR="005C29ED" w:rsidRDefault="005C29ED" w:rsidP="00D61976">
      <w:pPr>
        <w:pStyle w:val="NormalBulletalpha"/>
        <w:numPr>
          <w:ilvl w:val="1"/>
          <w:numId w:val="29"/>
        </w:numPr>
      </w:pPr>
      <w:r>
        <w:t xml:space="preserve">Explain the methodology and delivery mechanisms to ensure that the requirements of this specification are met in terms of </w:t>
      </w:r>
      <w:proofErr w:type="gramStart"/>
      <w:r>
        <w:t>quality;</w:t>
      </w:r>
      <w:proofErr w:type="gramEnd"/>
    </w:p>
    <w:p w14:paraId="278014BC" w14:textId="1D2374CE" w:rsidR="005C29ED" w:rsidRDefault="005C29ED" w:rsidP="008C14F4">
      <w:pPr>
        <w:pStyle w:val="NormalBulletalpha"/>
        <w:numPr>
          <w:ilvl w:val="1"/>
          <w:numId w:val="29"/>
        </w:numPr>
      </w:pPr>
      <w:r>
        <w:t>Explain how your organisation will work in partnership with ORR’s project manager to ensure that the requirement is met</w:t>
      </w:r>
    </w:p>
    <w:p w14:paraId="09DB644F" w14:textId="38D49E4F" w:rsidR="005C29ED" w:rsidRDefault="005C29ED" w:rsidP="00350594">
      <w:pPr>
        <w:pStyle w:val="Heading4"/>
      </w:pPr>
      <w:r>
        <w:t xml:space="preserve">Delivery </w:t>
      </w:r>
      <w:r w:rsidRPr="00374BAE">
        <w:rPr>
          <w:color w:val="B1173B"/>
        </w:rPr>
        <w:t>(</w:t>
      </w:r>
      <w:r w:rsidR="008003E2">
        <w:rPr>
          <w:color w:val="B1173B"/>
        </w:rPr>
        <w:t>20</w:t>
      </w:r>
      <w:r w:rsidRPr="00374BAE">
        <w:rPr>
          <w:color w:val="B1173B"/>
        </w:rPr>
        <w:t>%)</w:t>
      </w:r>
    </w:p>
    <w:p w14:paraId="40A3EF8F" w14:textId="77777777" w:rsidR="005C29ED" w:rsidRDefault="005C29ED" w:rsidP="005C29ED">
      <w:r>
        <w:t>The proposal should set out how and when the project requirement will be delivered.  In particular, it must:</w:t>
      </w:r>
    </w:p>
    <w:p w14:paraId="6C2A1803" w14:textId="7444C24C" w:rsidR="005C29ED" w:rsidRDefault="005C29ED" w:rsidP="008667A9">
      <w:pPr>
        <w:pStyle w:val="NormalBulletalpha"/>
        <w:numPr>
          <w:ilvl w:val="1"/>
          <w:numId w:val="30"/>
        </w:numPr>
      </w:pPr>
      <w:r>
        <w:t xml:space="preserve">Explain how this work will be delivered to timescale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52C5867C" w:rsidR="005C29ED" w:rsidRPr="00374BAE" w:rsidRDefault="005C29ED" w:rsidP="00350594">
      <w:pPr>
        <w:pStyle w:val="Heading4"/>
        <w:rPr>
          <w:color w:val="B1173B"/>
        </w:rPr>
      </w:pPr>
      <w:r>
        <w:t xml:space="preserve">Experience </w:t>
      </w:r>
      <w:r w:rsidRPr="00374BAE">
        <w:rPr>
          <w:color w:val="B1173B"/>
        </w:rPr>
        <w:t>(</w:t>
      </w:r>
      <w:r w:rsidR="008003E2">
        <w:rPr>
          <w:color w:val="B1173B"/>
        </w:rPr>
        <w:t>50</w:t>
      </w:r>
      <w:r w:rsidRPr="00374BAE">
        <w:rPr>
          <w:color w:val="B1173B"/>
        </w:rPr>
        <w:t>%)</w:t>
      </w:r>
    </w:p>
    <w:p w14:paraId="06C2BCDB" w14:textId="77777777" w:rsidR="005C29ED" w:rsidRDefault="005C29ED" w:rsidP="005C29ED">
      <w:r>
        <w:t>The proposal should set out any experience relevant to the project requirement.  In particular, it must:</w:t>
      </w:r>
    </w:p>
    <w:p w14:paraId="77D3BEAC" w14:textId="52FFA8B9" w:rsidR="005C29ED" w:rsidRDefault="005C29ED" w:rsidP="008667A9">
      <w:pPr>
        <w:pStyle w:val="NormalBulletalpha"/>
        <w:numPr>
          <w:ilvl w:val="1"/>
          <w:numId w:val="31"/>
        </w:numPr>
      </w:pPr>
      <w:r>
        <w:t xml:space="preserve">Provide CVs of the consultants who will be delivering the </w:t>
      </w:r>
      <w:proofErr w:type="gramStart"/>
      <w:r>
        <w:t>project;</w:t>
      </w:r>
      <w:proofErr w:type="gramEnd"/>
      <w:r>
        <w:t xml:space="preserve"> </w:t>
      </w:r>
    </w:p>
    <w:p w14:paraId="1146D7A1" w14:textId="34F8B340" w:rsidR="005C29ED" w:rsidRDefault="005C29ED" w:rsidP="008667A9">
      <w:pPr>
        <w:pStyle w:val="NormalBulletalpha"/>
        <w:numPr>
          <w:ilvl w:val="1"/>
          <w:numId w:val="31"/>
        </w:numPr>
      </w:pPr>
      <w:r>
        <w:t>Highlight the organisation’s relevant experience for this project, submitting examples of similar projects.</w:t>
      </w:r>
    </w:p>
    <w:p w14:paraId="3D4DC7FD" w14:textId="77777777" w:rsidR="00A001B0" w:rsidRDefault="00A001B0">
      <w:pPr>
        <w:spacing w:after="160" w:line="259" w:lineRule="auto"/>
        <w:rPr>
          <w:rFonts w:eastAsiaTheme="majorEastAsia" w:cstheme="majorBidi"/>
          <w:b/>
          <w:iCs/>
          <w:color w:val="253268" w:themeColor="text2"/>
          <w:sz w:val="28"/>
        </w:rPr>
      </w:pPr>
      <w:r>
        <w:br w:type="page"/>
      </w:r>
    </w:p>
    <w:p w14:paraId="370476F8" w14:textId="36964124" w:rsidR="005C29ED" w:rsidRDefault="005C29ED" w:rsidP="00350594">
      <w:pPr>
        <w:pStyle w:val="Heading4"/>
      </w:pPr>
      <w:r>
        <w:lastRenderedPageBreak/>
        <w:t xml:space="preserve">Cost / Value for money </w:t>
      </w:r>
      <w:r w:rsidRPr="00374BAE">
        <w:rPr>
          <w:color w:val="B1173B"/>
        </w:rPr>
        <w:t>(</w:t>
      </w:r>
      <w:r w:rsidR="008003E2">
        <w:rPr>
          <w:color w:val="B1173B"/>
        </w:rPr>
        <w:t>20</w:t>
      </w:r>
      <w:r w:rsidRPr="00374BAE">
        <w:rPr>
          <w:color w:val="B1173B"/>
        </w:rPr>
        <w:t>%)</w:t>
      </w:r>
    </w:p>
    <w:p w14:paraId="717E7AA1" w14:textId="72135F49" w:rsidR="00716CEC" w:rsidRDefault="00564100" w:rsidP="005C29ED">
      <w:r>
        <w:t>Details of the following rates for delivery of the project requirement that will apply for the lifetime of this contract. </w:t>
      </w:r>
    </w:p>
    <w:tbl>
      <w:tblPr>
        <w:tblW w:w="9756"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26"/>
        <w:gridCol w:w="1626"/>
        <w:gridCol w:w="1626"/>
        <w:gridCol w:w="1626"/>
        <w:gridCol w:w="1626"/>
        <w:gridCol w:w="1626"/>
      </w:tblGrid>
      <w:tr w:rsidR="00564100" w:rsidRPr="0020297B" w14:paraId="04F6334E" w14:textId="77777777" w:rsidTr="00564100">
        <w:trPr>
          <w:cantSplit/>
          <w:trHeight w:val="890"/>
          <w:tblHeader/>
          <w:jc w:val="center"/>
        </w:trPr>
        <w:tc>
          <w:tcPr>
            <w:tcW w:w="1626" w:type="dxa"/>
            <w:tcBorders>
              <w:bottom w:val="single" w:sz="12" w:space="0" w:color="FFFFFF"/>
            </w:tcBorders>
            <w:shd w:val="solid" w:color="253268" w:themeColor="dark2" w:fill="253268" w:themeFill="dark2"/>
          </w:tcPr>
          <w:p w14:paraId="65002CB6" w14:textId="1159ADF6" w:rsidR="00564100" w:rsidRPr="00A001B0" w:rsidRDefault="00564100" w:rsidP="0020297B">
            <w:pPr>
              <w:pStyle w:val="TblHeading"/>
              <w:rPr>
                <w:sz w:val="20"/>
                <w:szCs w:val="20"/>
              </w:rPr>
            </w:pPr>
            <w:bookmarkStart w:id="18" w:name="_Hlk124320516"/>
            <w:r>
              <w:rPr>
                <w:sz w:val="20"/>
                <w:szCs w:val="20"/>
              </w:rPr>
              <w:t>LOT 1</w:t>
            </w:r>
          </w:p>
        </w:tc>
        <w:tc>
          <w:tcPr>
            <w:tcW w:w="1626" w:type="dxa"/>
            <w:tcBorders>
              <w:bottom w:val="single" w:sz="12" w:space="0" w:color="FFFFFF"/>
            </w:tcBorders>
            <w:shd w:val="solid" w:color="253268" w:themeColor="dark2" w:fill="253268" w:themeFill="dark2"/>
          </w:tcPr>
          <w:p w14:paraId="12B15454" w14:textId="1E2DFAEE" w:rsidR="00564100" w:rsidRPr="00A001B0" w:rsidRDefault="00564100" w:rsidP="0020297B">
            <w:pPr>
              <w:pStyle w:val="TblHeading"/>
              <w:rPr>
                <w:sz w:val="20"/>
                <w:szCs w:val="20"/>
              </w:rPr>
            </w:pPr>
            <w:r w:rsidRPr="00A001B0">
              <w:rPr>
                <w:sz w:val="20"/>
                <w:szCs w:val="20"/>
              </w:rPr>
              <w:t>Name of consultant</w:t>
            </w:r>
          </w:p>
        </w:tc>
        <w:tc>
          <w:tcPr>
            <w:tcW w:w="1626" w:type="dxa"/>
            <w:tcBorders>
              <w:bottom w:val="single" w:sz="12" w:space="0" w:color="FFFFFF"/>
            </w:tcBorders>
            <w:shd w:val="solid" w:color="253268" w:themeColor="dark2" w:fill="253268" w:themeFill="dark2"/>
          </w:tcPr>
          <w:p w14:paraId="37FCE37F" w14:textId="77777777" w:rsidR="00564100" w:rsidRPr="00A001B0" w:rsidRDefault="00564100" w:rsidP="0020297B">
            <w:pPr>
              <w:pStyle w:val="TblHeading"/>
              <w:rPr>
                <w:sz w:val="20"/>
                <w:szCs w:val="20"/>
              </w:rPr>
            </w:pPr>
            <w:r w:rsidRPr="00A001B0">
              <w:rPr>
                <w:sz w:val="20"/>
                <w:szCs w:val="20"/>
              </w:rPr>
              <w:t>Grade</w:t>
            </w:r>
          </w:p>
        </w:tc>
        <w:tc>
          <w:tcPr>
            <w:tcW w:w="1626" w:type="dxa"/>
            <w:tcBorders>
              <w:bottom w:val="single" w:sz="12" w:space="0" w:color="FFFFFF"/>
            </w:tcBorders>
            <w:shd w:val="solid" w:color="253268" w:themeColor="dark2" w:fill="253268" w:themeFill="dark2"/>
          </w:tcPr>
          <w:p w14:paraId="7BB055D3" w14:textId="77777777" w:rsidR="00564100" w:rsidRPr="00A001B0" w:rsidRDefault="00564100" w:rsidP="0020297B">
            <w:pPr>
              <w:pStyle w:val="TblHeading"/>
              <w:rPr>
                <w:sz w:val="20"/>
                <w:szCs w:val="20"/>
              </w:rPr>
            </w:pPr>
            <w:r w:rsidRPr="00A001B0">
              <w:rPr>
                <w:sz w:val="20"/>
                <w:szCs w:val="20"/>
              </w:rPr>
              <w:t xml:space="preserve">Role </w:t>
            </w:r>
          </w:p>
        </w:tc>
        <w:tc>
          <w:tcPr>
            <w:tcW w:w="1626" w:type="dxa"/>
            <w:tcBorders>
              <w:bottom w:val="single" w:sz="12" w:space="0" w:color="FFFFFF"/>
            </w:tcBorders>
            <w:shd w:val="solid" w:color="253268" w:themeColor="dark2" w:fill="253268" w:themeFill="dark2"/>
          </w:tcPr>
          <w:p w14:paraId="36D985ED" w14:textId="77777777" w:rsidR="00564100" w:rsidRPr="00A001B0" w:rsidRDefault="00564100" w:rsidP="0020297B">
            <w:pPr>
              <w:pStyle w:val="TblHeading"/>
              <w:rPr>
                <w:sz w:val="20"/>
                <w:szCs w:val="20"/>
              </w:rPr>
            </w:pPr>
            <w:r w:rsidRPr="00A001B0">
              <w:rPr>
                <w:sz w:val="20"/>
                <w:szCs w:val="20"/>
              </w:rPr>
              <w:t>Day rate</w:t>
            </w:r>
          </w:p>
        </w:tc>
        <w:tc>
          <w:tcPr>
            <w:tcW w:w="1626" w:type="dxa"/>
            <w:tcBorders>
              <w:bottom w:val="single" w:sz="12" w:space="0" w:color="FFFFFF"/>
            </w:tcBorders>
            <w:shd w:val="solid" w:color="253268" w:themeColor="dark2" w:fill="253268" w:themeFill="dark2"/>
          </w:tcPr>
          <w:p w14:paraId="51F39BC1" w14:textId="69328A82" w:rsidR="00564100" w:rsidRPr="00A001B0" w:rsidRDefault="00564100" w:rsidP="0020297B">
            <w:pPr>
              <w:pStyle w:val="TblHeading"/>
              <w:rPr>
                <w:sz w:val="20"/>
                <w:szCs w:val="20"/>
              </w:rPr>
            </w:pPr>
            <w:r>
              <w:rPr>
                <w:sz w:val="20"/>
                <w:szCs w:val="20"/>
              </w:rPr>
              <w:t>Half Day rate</w:t>
            </w:r>
          </w:p>
        </w:tc>
      </w:tr>
      <w:tr w:rsidR="00564100" w:rsidRPr="0020297B" w14:paraId="351D9D87" w14:textId="77777777" w:rsidTr="00564100">
        <w:trPr>
          <w:cantSplit/>
          <w:trHeight w:val="874"/>
          <w:jc w:val="center"/>
        </w:trPr>
        <w:tc>
          <w:tcPr>
            <w:tcW w:w="1626" w:type="dxa"/>
            <w:tcBorders>
              <w:bottom w:val="single" w:sz="12" w:space="0" w:color="FFFFFF"/>
            </w:tcBorders>
            <w:shd w:val="solid" w:color="FFFFFF" w:fill="FFFFFF"/>
          </w:tcPr>
          <w:p w14:paraId="01C0D4C6" w14:textId="77777777" w:rsidR="00564100" w:rsidRPr="00A001B0" w:rsidRDefault="00564100" w:rsidP="00A001B0">
            <w:pPr>
              <w:pStyle w:val="TblHeading"/>
              <w:rPr>
                <w:sz w:val="20"/>
                <w:szCs w:val="20"/>
              </w:rPr>
            </w:pPr>
          </w:p>
        </w:tc>
        <w:tc>
          <w:tcPr>
            <w:tcW w:w="1626" w:type="dxa"/>
            <w:tcBorders>
              <w:bottom w:val="single" w:sz="12" w:space="0" w:color="FFFFFF"/>
            </w:tcBorders>
            <w:shd w:val="solid" w:color="FFFFFF" w:fill="FFFFFF"/>
          </w:tcPr>
          <w:p w14:paraId="741AF260" w14:textId="29A03292" w:rsidR="00564100" w:rsidRPr="00A001B0" w:rsidRDefault="00564100" w:rsidP="0020297B">
            <w:pPr>
              <w:pStyle w:val="TblText"/>
              <w:rPr>
                <w:sz w:val="20"/>
                <w:szCs w:val="20"/>
              </w:rPr>
            </w:pPr>
          </w:p>
        </w:tc>
        <w:tc>
          <w:tcPr>
            <w:tcW w:w="1626" w:type="dxa"/>
            <w:tcBorders>
              <w:bottom w:val="single" w:sz="12" w:space="0" w:color="FFFFFF"/>
            </w:tcBorders>
            <w:shd w:val="solid" w:color="FFFFFF" w:fill="FFFFFF"/>
          </w:tcPr>
          <w:p w14:paraId="48D1522C" w14:textId="77777777" w:rsidR="00564100" w:rsidRPr="00A001B0" w:rsidRDefault="00564100" w:rsidP="0020297B">
            <w:pPr>
              <w:pStyle w:val="TblText"/>
              <w:rPr>
                <w:sz w:val="20"/>
                <w:szCs w:val="20"/>
              </w:rPr>
            </w:pPr>
          </w:p>
        </w:tc>
        <w:tc>
          <w:tcPr>
            <w:tcW w:w="1626" w:type="dxa"/>
            <w:tcBorders>
              <w:bottom w:val="single" w:sz="12" w:space="0" w:color="FFFFFF"/>
            </w:tcBorders>
            <w:shd w:val="solid" w:color="FFFFFF" w:fill="FFFFFF"/>
          </w:tcPr>
          <w:p w14:paraId="214A4138" w14:textId="77777777" w:rsidR="00564100" w:rsidRPr="00A001B0" w:rsidRDefault="00564100" w:rsidP="0020297B">
            <w:pPr>
              <w:pStyle w:val="TblText"/>
              <w:rPr>
                <w:sz w:val="20"/>
                <w:szCs w:val="20"/>
              </w:rPr>
            </w:pPr>
          </w:p>
        </w:tc>
        <w:tc>
          <w:tcPr>
            <w:tcW w:w="1626" w:type="dxa"/>
            <w:tcBorders>
              <w:bottom w:val="single" w:sz="12" w:space="0" w:color="FFFFFF"/>
            </w:tcBorders>
            <w:shd w:val="solid" w:color="FFFFFF" w:fill="FFFFFF"/>
          </w:tcPr>
          <w:p w14:paraId="38B4D603" w14:textId="77777777" w:rsidR="00564100" w:rsidRPr="00A001B0" w:rsidRDefault="00564100" w:rsidP="0020297B">
            <w:pPr>
              <w:pStyle w:val="TblText"/>
              <w:rPr>
                <w:sz w:val="20"/>
                <w:szCs w:val="20"/>
              </w:rPr>
            </w:pPr>
          </w:p>
        </w:tc>
        <w:tc>
          <w:tcPr>
            <w:tcW w:w="1626" w:type="dxa"/>
            <w:tcBorders>
              <w:bottom w:val="single" w:sz="12" w:space="0" w:color="FFFFFF"/>
            </w:tcBorders>
            <w:shd w:val="solid" w:color="FFFFFF" w:fill="FFFFFF"/>
          </w:tcPr>
          <w:p w14:paraId="0C8314AC" w14:textId="77777777" w:rsidR="00564100" w:rsidRPr="00A001B0" w:rsidRDefault="00564100" w:rsidP="0020297B">
            <w:pPr>
              <w:pStyle w:val="TblText"/>
              <w:rPr>
                <w:sz w:val="20"/>
                <w:szCs w:val="20"/>
              </w:rPr>
            </w:pPr>
          </w:p>
        </w:tc>
      </w:tr>
      <w:tr w:rsidR="00564100" w:rsidRPr="0020297B" w14:paraId="76EFD0B0" w14:textId="77777777" w:rsidTr="00564100">
        <w:trPr>
          <w:cantSplit/>
          <w:trHeight w:val="874"/>
          <w:jc w:val="center"/>
        </w:trPr>
        <w:tc>
          <w:tcPr>
            <w:tcW w:w="1626" w:type="dxa"/>
            <w:tcBorders>
              <w:bottom w:val="single" w:sz="12" w:space="0" w:color="FFFFFF"/>
            </w:tcBorders>
            <w:shd w:val="solid" w:color="E4E7F5" w:themeColor="text2" w:themeTint="19" w:fill="E4E7F5" w:themeFill="text2" w:themeFillTint="19"/>
          </w:tcPr>
          <w:p w14:paraId="41E3495A" w14:textId="77777777" w:rsidR="00564100" w:rsidRPr="00A001B0" w:rsidRDefault="00564100" w:rsidP="00A001B0">
            <w:pPr>
              <w:pStyle w:val="TblHeading"/>
              <w:rPr>
                <w:sz w:val="20"/>
                <w:szCs w:val="20"/>
              </w:rPr>
            </w:pPr>
          </w:p>
        </w:tc>
        <w:tc>
          <w:tcPr>
            <w:tcW w:w="1626" w:type="dxa"/>
            <w:tcBorders>
              <w:bottom w:val="single" w:sz="12" w:space="0" w:color="FFFFFF"/>
            </w:tcBorders>
            <w:shd w:val="solid" w:color="E4E7F5" w:themeColor="text2" w:themeTint="19" w:fill="E4E7F5" w:themeFill="text2" w:themeFillTint="19"/>
          </w:tcPr>
          <w:p w14:paraId="4C311C9C" w14:textId="7E1D3766" w:rsidR="00564100" w:rsidRPr="00A001B0" w:rsidRDefault="00564100" w:rsidP="0020297B">
            <w:pPr>
              <w:pStyle w:val="TblText"/>
              <w:rPr>
                <w:sz w:val="20"/>
                <w:szCs w:val="20"/>
              </w:rPr>
            </w:pPr>
          </w:p>
        </w:tc>
        <w:tc>
          <w:tcPr>
            <w:tcW w:w="1626" w:type="dxa"/>
            <w:tcBorders>
              <w:bottom w:val="single" w:sz="12" w:space="0" w:color="FFFFFF"/>
            </w:tcBorders>
            <w:shd w:val="solid" w:color="E4E7F5" w:themeColor="text2" w:themeTint="19" w:fill="E4E7F5" w:themeFill="text2" w:themeFillTint="19"/>
          </w:tcPr>
          <w:p w14:paraId="13235AFA" w14:textId="77777777" w:rsidR="00564100" w:rsidRPr="00A001B0" w:rsidRDefault="00564100" w:rsidP="0020297B">
            <w:pPr>
              <w:pStyle w:val="TblText"/>
              <w:rPr>
                <w:sz w:val="20"/>
                <w:szCs w:val="20"/>
              </w:rPr>
            </w:pPr>
          </w:p>
        </w:tc>
        <w:tc>
          <w:tcPr>
            <w:tcW w:w="1626" w:type="dxa"/>
            <w:tcBorders>
              <w:bottom w:val="single" w:sz="12" w:space="0" w:color="FFFFFF"/>
            </w:tcBorders>
            <w:shd w:val="solid" w:color="E4E7F5" w:themeColor="text2" w:themeTint="19" w:fill="E4E7F5" w:themeFill="text2" w:themeFillTint="19"/>
          </w:tcPr>
          <w:p w14:paraId="4E65D52D" w14:textId="77777777" w:rsidR="00564100" w:rsidRPr="00A001B0" w:rsidRDefault="00564100" w:rsidP="0020297B">
            <w:pPr>
              <w:pStyle w:val="TblText"/>
              <w:rPr>
                <w:sz w:val="20"/>
                <w:szCs w:val="20"/>
              </w:rPr>
            </w:pPr>
          </w:p>
        </w:tc>
        <w:tc>
          <w:tcPr>
            <w:tcW w:w="1626" w:type="dxa"/>
            <w:tcBorders>
              <w:bottom w:val="single" w:sz="12" w:space="0" w:color="FFFFFF"/>
            </w:tcBorders>
            <w:shd w:val="solid" w:color="E4E7F5" w:themeColor="text2" w:themeTint="19" w:fill="E4E7F5" w:themeFill="text2" w:themeFillTint="19"/>
          </w:tcPr>
          <w:p w14:paraId="33B00D91" w14:textId="77777777" w:rsidR="00564100" w:rsidRPr="00A001B0" w:rsidRDefault="00564100" w:rsidP="0020297B">
            <w:pPr>
              <w:pStyle w:val="TblText"/>
              <w:rPr>
                <w:sz w:val="20"/>
                <w:szCs w:val="20"/>
              </w:rPr>
            </w:pPr>
          </w:p>
        </w:tc>
        <w:tc>
          <w:tcPr>
            <w:tcW w:w="1626" w:type="dxa"/>
            <w:tcBorders>
              <w:bottom w:val="single" w:sz="12" w:space="0" w:color="FFFFFF"/>
            </w:tcBorders>
            <w:shd w:val="solid" w:color="E4E7F5" w:themeColor="text2" w:themeTint="19" w:fill="E4E7F5" w:themeFill="text2" w:themeFillTint="19"/>
          </w:tcPr>
          <w:p w14:paraId="040554F0" w14:textId="77777777" w:rsidR="00564100" w:rsidRPr="00A001B0" w:rsidRDefault="00564100" w:rsidP="0020297B">
            <w:pPr>
              <w:pStyle w:val="TblText"/>
              <w:rPr>
                <w:sz w:val="20"/>
                <w:szCs w:val="20"/>
              </w:rPr>
            </w:pPr>
          </w:p>
        </w:tc>
      </w:tr>
      <w:tr w:rsidR="00564100" w:rsidRPr="0020297B" w14:paraId="53668481" w14:textId="77777777" w:rsidTr="00564100">
        <w:trPr>
          <w:cantSplit/>
          <w:trHeight w:val="874"/>
          <w:jc w:val="center"/>
        </w:trPr>
        <w:tc>
          <w:tcPr>
            <w:tcW w:w="1626" w:type="dxa"/>
            <w:shd w:val="solid" w:color="FFFFFF" w:fill="FFFFFF"/>
          </w:tcPr>
          <w:p w14:paraId="10781766" w14:textId="77777777" w:rsidR="00564100" w:rsidRDefault="00564100" w:rsidP="0020297B">
            <w:pPr>
              <w:pStyle w:val="TblText"/>
              <w:rPr>
                <w:sz w:val="20"/>
                <w:szCs w:val="20"/>
              </w:rPr>
            </w:pPr>
          </w:p>
          <w:p w14:paraId="5E1815A2" w14:textId="77777777" w:rsidR="00564100" w:rsidRDefault="00564100" w:rsidP="0020297B">
            <w:pPr>
              <w:pStyle w:val="TblText"/>
              <w:rPr>
                <w:sz w:val="20"/>
                <w:szCs w:val="20"/>
              </w:rPr>
            </w:pPr>
          </w:p>
          <w:p w14:paraId="7A9B1BDF" w14:textId="6A2665B1" w:rsidR="00564100" w:rsidRPr="00A001B0" w:rsidRDefault="00564100" w:rsidP="0020297B">
            <w:pPr>
              <w:pStyle w:val="TblText"/>
              <w:rPr>
                <w:sz w:val="20"/>
                <w:szCs w:val="20"/>
              </w:rPr>
            </w:pPr>
          </w:p>
        </w:tc>
        <w:tc>
          <w:tcPr>
            <w:tcW w:w="1626" w:type="dxa"/>
            <w:shd w:val="solid" w:color="FFFFFF" w:fill="FFFFFF"/>
          </w:tcPr>
          <w:p w14:paraId="6925E340" w14:textId="55E2D891" w:rsidR="00564100" w:rsidRPr="00A001B0" w:rsidRDefault="00564100" w:rsidP="0020297B">
            <w:pPr>
              <w:pStyle w:val="TblText"/>
              <w:rPr>
                <w:sz w:val="20"/>
                <w:szCs w:val="20"/>
              </w:rPr>
            </w:pPr>
          </w:p>
        </w:tc>
        <w:tc>
          <w:tcPr>
            <w:tcW w:w="1626" w:type="dxa"/>
            <w:shd w:val="solid" w:color="FFFFFF" w:fill="FFFFFF"/>
          </w:tcPr>
          <w:p w14:paraId="6D8BFD11" w14:textId="77777777" w:rsidR="00564100" w:rsidRPr="00A001B0" w:rsidRDefault="00564100" w:rsidP="0020297B">
            <w:pPr>
              <w:pStyle w:val="TblText"/>
              <w:rPr>
                <w:sz w:val="20"/>
                <w:szCs w:val="20"/>
              </w:rPr>
            </w:pPr>
          </w:p>
        </w:tc>
        <w:tc>
          <w:tcPr>
            <w:tcW w:w="1626" w:type="dxa"/>
            <w:shd w:val="solid" w:color="FFFFFF" w:fill="FFFFFF"/>
          </w:tcPr>
          <w:p w14:paraId="2E7867D1" w14:textId="77777777" w:rsidR="00564100" w:rsidRPr="00A001B0" w:rsidRDefault="00564100" w:rsidP="0020297B">
            <w:pPr>
              <w:pStyle w:val="TblText"/>
              <w:rPr>
                <w:sz w:val="20"/>
                <w:szCs w:val="20"/>
              </w:rPr>
            </w:pPr>
          </w:p>
        </w:tc>
        <w:tc>
          <w:tcPr>
            <w:tcW w:w="1626" w:type="dxa"/>
            <w:shd w:val="solid" w:color="FFFFFF" w:fill="FFFFFF"/>
          </w:tcPr>
          <w:p w14:paraId="5C339377" w14:textId="77777777" w:rsidR="00564100" w:rsidRPr="00A001B0" w:rsidRDefault="00564100" w:rsidP="0020297B">
            <w:pPr>
              <w:pStyle w:val="TblText"/>
              <w:rPr>
                <w:sz w:val="20"/>
                <w:szCs w:val="20"/>
              </w:rPr>
            </w:pPr>
          </w:p>
        </w:tc>
        <w:tc>
          <w:tcPr>
            <w:tcW w:w="1626" w:type="dxa"/>
            <w:shd w:val="solid" w:color="FFFFFF" w:fill="FFFFFF"/>
          </w:tcPr>
          <w:p w14:paraId="41AD3491" w14:textId="77777777" w:rsidR="00564100" w:rsidRPr="00A001B0" w:rsidRDefault="00564100" w:rsidP="0020297B">
            <w:pPr>
              <w:pStyle w:val="TblText"/>
              <w:rPr>
                <w:sz w:val="20"/>
                <w:szCs w:val="20"/>
              </w:rPr>
            </w:pPr>
          </w:p>
        </w:tc>
      </w:tr>
      <w:bookmarkEnd w:id="18"/>
      <w:tr w:rsidR="00564100" w:rsidRPr="0020297B" w14:paraId="0C9A44B3" w14:textId="77777777" w:rsidTr="00564100">
        <w:trPr>
          <w:cantSplit/>
          <w:trHeight w:val="790"/>
          <w:tblHeader/>
          <w:jc w:val="center"/>
        </w:trPr>
        <w:tc>
          <w:tcPr>
            <w:tcW w:w="1626" w:type="dxa"/>
            <w:tcBorders>
              <w:bottom w:val="single" w:sz="12" w:space="0" w:color="FFFFFF"/>
            </w:tcBorders>
            <w:shd w:val="solid" w:color="253268" w:themeColor="dark2" w:fill="253268" w:themeFill="dark2"/>
          </w:tcPr>
          <w:p w14:paraId="575EA9D1" w14:textId="5DB6F2E1" w:rsidR="00564100" w:rsidRPr="00A001B0" w:rsidRDefault="00564100" w:rsidP="00B72BEC">
            <w:pPr>
              <w:pStyle w:val="TblHeading"/>
              <w:rPr>
                <w:sz w:val="20"/>
                <w:szCs w:val="20"/>
              </w:rPr>
            </w:pPr>
            <w:r>
              <w:rPr>
                <w:sz w:val="20"/>
                <w:szCs w:val="20"/>
              </w:rPr>
              <w:t>LOT 2</w:t>
            </w:r>
          </w:p>
        </w:tc>
        <w:tc>
          <w:tcPr>
            <w:tcW w:w="1626" w:type="dxa"/>
            <w:tcBorders>
              <w:bottom w:val="single" w:sz="12" w:space="0" w:color="FFFFFF"/>
            </w:tcBorders>
            <w:shd w:val="solid" w:color="253268" w:themeColor="dark2" w:fill="253268" w:themeFill="dark2"/>
          </w:tcPr>
          <w:p w14:paraId="65A5A7C4" w14:textId="77777777" w:rsidR="00564100" w:rsidRPr="00A001B0" w:rsidRDefault="00564100" w:rsidP="00B72BEC">
            <w:pPr>
              <w:pStyle w:val="TblHeading"/>
              <w:rPr>
                <w:sz w:val="20"/>
                <w:szCs w:val="20"/>
              </w:rPr>
            </w:pPr>
            <w:r w:rsidRPr="00A001B0">
              <w:rPr>
                <w:sz w:val="20"/>
                <w:szCs w:val="20"/>
              </w:rPr>
              <w:t>Name of consultant</w:t>
            </w:r>
          </w:p>
        </w:tc>
        <w:tc>
          <w:tcPr>
            <w:tcW w:w="1626" w:type="dxa"/>
            <w:tcBorders>
              <w:bottom w:val="single" w:sz="12" w:space="0" w:color="FFFFFF"/>
            </w:tcBorders>
            <w:shd w:val="solid" w:color="253268" w:themeColor="dark2" w:fill="253268" w:themeFill="dark2"/>
          </w:tcPr>
          <w:p w14:paraId="1F21F92D" w14:textId="77777777" w:rsidR="00564100" w:rsidRPr="00A001B0" w:rsidRDefault="00564100" w:rsidP="00B72BEC">
            <w:pPr>
              <w:pStyle w:val="TblHeading"/>
              <w:rPr>
                <w:sz w:val="20"/>
                <w:szCs w:val="20"/>
              </w:rPr>
            </w:pPr>
            <w:r w:rsidRPr="00A001B0">
              <w:rPr>
                <w:sz w:val="20"/>
                <w:szCs w:val="20"/>
              </w:rPr>
              <w:t>Grade</w:t>
            </w:r>
          </w:p>
        </w:tc>
        <w:tc>
          <w:tcPr>
            <w:tcW w:w="1626" w:type="dxa"/>
            <w:tcBorders>
              <w:bottom w:val="single" w:sz="12" w:space="0" w:color="FFFFFF"/>
            </w:tcBorders>
            <w:shd w:val="solid" w:color="253268" w:themeColor="dark2" w:fill="253268" w:themeFill="dark2"/>
          </w:tcPr>
          <w:p w14:paraId="7560E732" w14:textId="77777777" w:rsidR="00564100" w:rsidRPr="00A001B0" w:rsidRDefault="00564100" w:rsidP="00B72BEC">
            <w:pPr>
              <w:pStyle w:val="TblHeading"/>
              <w:rPr>
                <w:sz w:val="20"/>
                <w:szCs w:val="20"/>
              </w:rPr>
            </w:pPr>
            <w:r w:rsidRPr="00A001B0">
              <w:rPr>
                <w:sz w:val="20"/>
                <w:szCs w:val="20"/>
              </w:rPr>
              <w:t xml:space="preserve">Role </w:t>
            </w:r>
          </w:p>
        </w:tc>
        <w:tc>
          <w:tcPr>
            <w:tcW w:w="1626" w:type="dxa"/>
            <w:tcBorders>
              <w:bottom w:val="single" w:sz="12" w:space="0" w:color="FFFFFF"/>
            </w:tcBorders>
            <w:shd w:val="solid" w:color="253268" w:themeColor="dark2" w:fill="253268" w:themeFill="dark2"/>
          </w:tcPr>
          <w:p w14:paraId="21925DAE" w14:textId="3E8636AB" w:rsidR="00564100" w:rsidRPr="00A001B0" w:rsidRDefault="00564100" w:rsidP="00B72BEC">
            <w:pPr>
              <w:pStyle w:val="TblHeading"/>
              <w:rPr>
                <w:sz w:val="20"/>
                <w:szCs w:val="20"/>
              </w:rPr>
            </w:pPr>
            <w:r>
              <w:rPr>
                <w:sz w:val="20"/>
                <w:szCs w:val="20"/>
              </w:rPr>
              <w:t>Rate per word</w:t>
            </w:r>
          </w:p>
        </w:tc>
        <w:tc>
          <w:tcPr>
            <w:tcW w:w="1626" w:type="dxa"/>
            <w:tcBorders>
              <w:bottom w:val="single" w:sz="12" w:space="0" w:color="FFFFFF"/>
            </w:tcBorders>
            <w:shd w:val="solid" w:color="253268" w:themeColor="dark2" w:fill="253268" w:themeFill="dark2"/>
          </w:tcPr>
          <w:p w14:paraId="0720A113" w14:textId="229D1CDF" w:rsidR="00564100" w:rsidRPr="00A001B0" w:rsidRDefault="00564100" w:rsidP="00B72BEC">
            <w:pPr>
              <w:pStyle w:val="TblHeading"/>
              <w:rPr>
                <w:sz w:val="20"/>
                <w:szCs w:val="20"/>
              </w:rPr>
            </w:pPr>
            <w:r>
              <w:rPr>
                <w:sz w:val="20"/>
                <w:szCs w:val="20"/>
              </w:rPr>
              <w:t>Any fixed rate that applies</w:t>
            </w:r>
          </w:p>
        </w:tc>
      </w:tr>
      <w:tr w:rsidR="00564100" w:rsidRPr="0020297B" w14:paraId="586AF373" w14:textId="77777777" w:rsidTr="00564100">
        <w:trPr>
          <w:cantSplit/>
          <w:trHeight w:val="874"/>
          <w:jc w:val="center"/>
        </w:trPr>
        <w:tc>
          <w:tcPr>
            <w:tcW w:w="1626" w:type="dxa"/>
            <w:tcBorders>
              <w:bottom w:val="single" w:sz="12" w:space="0" w:color="FFFFFF"/>
            </w:tcBorders>
            <w:shd w:val="solid" w:color="FFFFFF" w:fill="FFFFFF"/>
          </w:tcPr>
          <w:p w14:paraId="154A3915" w14:textId="77777777" w:rsidR="00564100" w:rsidRPr="00A001B0" w:rsidRDefault="00564100" w:rsidP="00B72BEC">
            <w:pPr>
              <w:pStyle w:val="TblHeading"/>
              <w:rPr>
                <w:sz w:val="20"/>
                <w:szCs w:val="20"/>
              </w:rPr>
            </w:pPr>
          </w:p>
        </w:tc>
        <w:tc>
          <w:tcPr>
            <w:tcW w:w="1626" w:type="dxa"/>
            <w:tcBorders>
              <w:bottom w:val="single" w:sz="12" w:space="0" w:color="FFFFFF"/>
            </w:tcBorders>
            <w:shd w:val="solid" w:color="FFFFFF" w:fill="FFFFFF"/>
          </w:tcPr>
          <w:p w14:paraId="5B7C9AFE" w14:textId="77777777" w:rsidR="00564100" w:rsidRPr="00A001B0" w:rsidRDefault="00564100" w:rsidP="00B72BEC">
            <w:pPr>
              <w:pStyle w:val="TblText"/>
              <w:rPr>
                <w:sz w:val="20"/>
                <w:szCs w:val="20"/>
              </w:rPr>
            </w:pPr>
          </w:p>
        </w:tc>
        <w:tc>
          <w:tcPr>
            <w:tcW w:w="1626" w:type="dxa"/>
            <w:tcBorders>
              <w:bottom w:val="single" w:sz="12" w:space="0" w:color="FFFFFF"/>
            </w:tcBorders>
            <w:shd w:val="solid" w:color="FFFFFF" w:fill="FFFFFF"/>
          </w:tcPr>
          <w:p w14:paraId="5652DD3C" w14:textId="77777777" w:rsidR="00564100" w:rsidRPr="00A001B0" w:rsidRDefault="00564100" w:rsidP="00B72BEC">
            <w:pPr>
              <w:pStyle w:val="TblText"/>
              <w:rPr>
                <w:sz w:val="20"/>
                <w:szCs w:val="20"/>
              </w:rPr>
            </w:pPr>
          </w:p>
        </w:tc>
        <w:tc>
          <w:tcPr>
            <w:tcW w:w="1626" w:type="dxa"/>
            <w:tcBorders>
              <w:bottom w:val="single" w:sz="12" w:space="0" w:color="FFFFFF"/>
            </w:tcBorders>
            <w:shd w:val="solid" w:color="FFFFFF" w:fill="FFFFFF"/>
          </w:tcPr>
          <w:p w14:paraId="43FE3444" w14:textId="77777777" w:rsidR="00564100" w:rsidRPr="00A001B0" w:rsidRDefault="00564100" w:rsidP="00B72BEC">
            <w:pPr>
              <w:pStyle w:val="TblText"/>
              <w:rPr>
                <w:sz w:val="20"/>
                <w:szCs w:val="20"/>
              </w:rPr>
            </w:pPr>
          </w:p>
        </w:tc>
        <w:tc>
          <w:tcPr>
            <w:tcW w:w="1626" w:type="dxa"/>
            <w:tcBorders>
              <w:bottom w:val="single" w:sz="12" w:space="0" w:color="FFFFFF"/>
            </w:tcBorders>
            <w:shd w:val="solid" w:color="FFFFFF" w:fill="FFFFFF"/>
          </w:tcPr>
          <w:p w14:paraId="0A27FD02" w14:textId="77777777" w:rsidR="00564100" w:rsidRPr="00A001B0" w:rsidRDefault="00564100" w:rsidP="00B72BEC">
            <w:pPr>
              <w:pStyle w:val="TblText"/>
              <w:rPr>
                <w:sz w:val="20"/>
                <w:szCs w:val="20"/>
              </w:rPr>
            </w:pPr>
          </w:p>
        </w:tc>
        <w:tc>
          <w:tcPr>
            <w:tcW w:w="1626" w:type="dxa"/>
            <w:tcBorders>
              <w:bottom w:val="single" w:sz="12" w:space="0" w:color="FFFFFF"/>
            </w:tcBorders>
            <w:shd w:val="solid" w:color="FFFFFF" w:fill="FFFFFF"/>
          </w:tcPr>
          <w:p w14:paraId="3B21E335" w14:textId="77777777" w:rsidR="00564100" w:rsidRPr="00A001B0" w:rsidRDefault="00564100" w:rsidP="00B72BEC">
            <w:pPr>
              <w:pStyle w:val="TblText"/>
              <w:rPr>
                <w:sz w:val="20"/>
                <w:szCs w:val="20"/>
              </w:rPr>
            </w:pPr>
          </w:p>
        </w:tc>
      </w:tr>
      <w:tr w:rsidR="00564100" w:rsidRPr="0020297B" w14:paraId="30BC7CD3" w14:textId="77777777" w:rsidTr="00564100">
        <w:trPr>
          <w:cantSplit/>
          <w:trHeight w:val="874"/>
          <w:jc w:val="center"/>
        </w:trPr>
        <w:tc>
          <w:tcPr>
            <w:tcW w:w="1626" w:type="dxa"/>
            <w:tcBorders>
              <w:bottom w:val="single" w:sz="12" w:space="0" w:color="FFFFFF"/>
            </w:tcBorders>
            <w:shd w:val="solid" w:color="E4E7F5" w:themeColor="text2" w:themeTint="19" w:fill="E4E7F5" w:themeFill="text2" w:themeFillTint="19"/>
          </w:tcPr>
          <w:p w14:paraId="1A0A5966" w14:textId="77777777" w:rsidR="00564100" w:rsidRPr="00A001B0" w:rsidRDefault="00564100" w:rsidP="00B72BEC">
            <w:pPr>
              <w:pStyle w:val="TblHeading"/>
              <w:rPr>
                <w:sz w:val="20"/>
                <w:szCs w:val="20"/>
              </w:rPr>
            </w:pPr>
          </w:p>
        </w:tc>
        <w:tc>
          <w:tcPr>
            <w:tcW w:w="1626" w:type="dxa"/>
            <w:tcBorders>
              <w:bottom w:val="single" w:sz="12" w:space="0" w:color="FFFFFF"/>
            </w:tcBorders>
            <w:shd w:val="solid" w:color="E4E7F5" w:themeColor="text2" w:themeTint="19" w:fill="E4E7F5" w:themeFill="text2" w:themeFillTint="19"/>
          </w:tcPr>
          <w:p w14:paraId="1A1450A2" w14:textId="77777777" w:rsidR="00564100" w:rsidRPr="00A001B0" w:rsidRDefault="00564100" w:rsidP="00B72BEC">
            <w:pPr>
              <w:pStyle w:val="TblText"/>
              <w:rPr>
                <w:sz w:val="20"/>
                <w:szCs w:val="20"/>
              </w:rPr>
            </w:pPr>
          </w:p>
        </w:tc>
        <w:tc>
          <w:tcPr>
            <w:tcW w:w="1626" w:type="dxa"/>
            <w:tcBorders>
              <w:bottom w:val="single" w:sz="12" w:space="0" w:color="FFFFFF"/>
            </w:tcBorders>
            <w:shd w:val="solid" w:color="E4E7F5" w:themeColor="text2" w:themeTint="19" w:fill="E4E7F5" w:themeFill="text2" w:themeFillTint="19"/>
          </w:tcPr>
          <w:p w14:paraId="186621A2" w14:textId="77777777" w:rsidR="00564100" w:rsidRPr="00A001B0" w:rsidRDefault="00564100" w:rsidP="00B72BEC">
            <w:pPr>
              <w:pStyle w:val="TblText"/>
              <w:rPr>
                <w:sz w:val="20"/>
                <w:szCs w:val="20"/>
              </w:rPr>
            </w:pPr>
          </w:p>
        </w:tc>
        <w:tc>
          <w:tcPr>
            <w:tcW w:w="1626" w:type="dxa"/>
            <w:tcBorders>
              <w:bottom w:val="single" w:sz="12" w:space="0" w:color="FFFFFF"/>
            </w:tcBorders>
            <w:shd w:val="solid" w:color="E4E7F5" w:themeColor="text2" w:themeTint="19" w:fill="E4E7F5" w:themeFill="text2" w:themeFillTint="19"/>
          </w:tcPr>
          <w:p w14:paraId="212501F8" w14:textId="77777777" w:rsidR="00564100" w:rsidRPr="00A001B0" w:rsidRDefault="00564100" w:rsidP="00B72BEC">
            <w:pPr>
              <w:pStyle w:val="TblText"/>
              <w:rPr>
                <w:sz w:val="20"/>
                <w:szCs w:val="20"/>
              </w:rPr>
            </w:pPr>
          </w:p>
        </w:tc>
        <w:tc>
          <w:tcPr>
            <w:tcW w:w="1626" w:type="dxa"/>
            <w:tcBorders>
              <w:bottom w:val="single" w:sz="12" w:space="0" w:color="FFFFFF"/>
            </w:tcBorders>
            <w:shd w:val="solid" w:color="E4E7F5" w:themeColor="text2" w:themeTint="19" w:fill="E4E7F5" w:themeFill="text2" w:themeFillTint="19"/>
          </w:tcPr>
          <w:p w14:paraId="23C950D3" w14:textId="77777777" w:rsidR="00564100" w:rsidRPr="00A001B0" w:rsidRDefault="00564100" w:rsidP="00B72BEC">
            <w:pPr>
              <w:pStyle w:val="TblText"/>
              <w:rPr>
                <w:sz w:val="20"/>
                <w:szCs w:val="20"/>
              </w:rPr>
            </w:pPr>
          </w:p>
        </w:tc>
        <w:tc>
          <w:tcPr>
            <w:tcW w:w="1626" w:type="dxa"/>
            <w:tcBorders>
              <w:bottom w:val="single" w:sz="12" w:space="0" w:color="FFFFFF"/>
            </w:tcBorders>
            <w:shd w:val="solid" w:color="E4E7F5" w:themeColor="text2" w:themeTint="19" w:fill="E4E7F5" w:themeFill="text2" w:themeFillTint="19"/>
          </w:tcPr>
          <w:p w14:paraId="7D2E7E4C" w14:textId="77777777" w:rsidR="00564100" w:rsidRPr="00A001B0" w:rsidRDefault="00564100" w:rsidP="00B72BEC">
            <w:pPr>
              <w:pStyle w:val="TblText"/>
              <w:rPr>
                <w:sz w:val="20"/>
                <w:szCs w:val="20"/>
              </w:rPr>
            </w:pPr>
          </w:p>
        </w:tc>
      </w:tr>
      <w:tr w:rsidR="00564100" w:rsidRPr="0020297B" w14:paraId="412D51B1" w14:textId="77777777" w:rsidTr="00564100">
        <w:trPr>
          <w:cantSplit/>
          <w:trHeight w:val="874"/>
          <w:jc w:val="center"/>
        </w:trPr>
        <w:tc>
          <w:tcPr>
            <w:tcW w:w="1626" w:type="dxa"/>
            <w:shd w:val="solid" w:color="FFFFFF" w:fill="FFFFFF"/>
          </w:tcPr>
          <w:p w14:paraId="4A0D7A4D" w14:textId="77777777" w:rsidR="00564100" w:rsidRDefault="00564100" w:rsidP="00B72BEC">
            <w:pPr>
              <w:pStyle w:val="TblText"/>
              <w:rPr>
                <w:sz w:val="20"/>
                <w:szCs w:val="20"/>
              </w:rPr>
            </w:pPr>
          </w:p>
          <w:p w14:paraId="0219B90A" w14:textId="77777777" w:rsidR="00564100" w:rsidRDefault="00564100" w:rsidP="00B72BEC">
            <w:pPr>
              <w:pStyle w:val="TblText"/>
              <w:rPr>
                <w:sz w:val="20"/>
                <w:szCs w:val="20"/>
              </w:rPr>
            </w:pPr>
          </w:p>
          <w:p w14:paraId="2FDC58AD" w14:textId="77777777" w:rsidR="00564100" w:rsidRPr="00A001B0" w:rsidRDefault="00564100" w:rsidP="00B72BEC">
            <w:pPr>
              <w:pStyle w:val="TblText"/>
              <w:rPr>
                <w:sz w:val="20"/>
                <w:szCs w:val="20"/>
              </w:rPr>
            </w:pPr>
          </w:p>
        </w:tc>
        <w:tc>
          <w:tcPr>
            <w:tcW w:w="1626" w:type="dxa"/>
            <w:shd w:val="solid" w:color="FFFFFF" w:fill="FFFFFF"/>
          </w:tcPr>
          <w:p w14:paraId="3342A67D" w14:textId="77777777" w:rsidR="00564100" w:rsidRPr="00A001B0" w:rsidRDefault="00564100" w:rsidP="00B72BEC">
            <w:pPr>
              <w:pStyle w:val="TblText"/>
              <w:rPr>
                <w:sz w:val="20"/>
                <w:szCs w:val="20"/>
              </w:rPr>
            </w:pPr>
          </w:p>
        </w:tc>
        <w:tc>
          <w:tcPr>
            <w:tcW w:w="1626" w:type="dxa"/>
            <w:shd w:val="solid" w:color="FFFFFF" w:fill="FFFFFF"/>
          </w:tcPr>
          <w:p w14:paraId="1EF9D863" w14:textId="77777777" w:rsidR="00564100" w:rsidRPr="00A001B0" w:rsidRDefault="00564100" w:rsidP="00B72BEC">
            <w:pPr>
              <w:pStyle w:val="TblText"/>
              <w:rPr>
                <w:sz w:val="20"/>
                <w:szCs w:val="20"/>
              </w:rPr>
            </w:pPr>
          </w:p>
        </w:tc>
        <w:tc>
          <w:tcPr>
            <w:tcW w:w="1626" w:type="dxa"/>
            <w:shd w:val="solid" w:color="FFFFFF" w:fill="FFFFFF"/>
          </w:tcPr>
          <w:p w14:paraId="71EF12AC" w14:textId="77777777" w:rsidR="00564100" w:rsidRPr="00A001B0" w:rsidRDefault="00564100" w:rsidP="00B72BEC">
            <w:pPr>
              <w:pStyle w:val="TblText"/>
              <w:rPr>
                <w:sz w:val="20"/>
                <w:szCs w:val="20"/>
              </w:rPr>
            </w:pPr>
          </w:p>
        </w:tc>
        <w:tc>
          <w:tcPr>
            <w:tcW w:w="1626" w:type="dxa"/>
            <w:shd w:val="solid" w:color="FFFFFF" w:fill="FFFFFF"/>
          </w:tcPr>
          <w:p w14:paraId="7BAC3FF9" w14:textId="77777777" w:rsidR="00564100" w:rsidRPr="00A001B0" w:rsidRDefault="00564100" w:rsidP="00B72BEC">
            <w:pPr>
              <w:pStyle w:val="TblText"/>
              <w:rPr>
                <w:sz w:val="20"/>
                <w:szCs w:val="20"/>
              </w:rPr>
            </w:pPr>
          </w:p>
        </w:tc>
        <w:tc>
          <w:tcPr>
            <w:tcW w:w="1626" w:type="dxa"/>
            <w:shd w:val="solid" w:color="FFFFFF" w:fill="FFFFFF"/>
          </w:tcPr>
          <w:p w14:paraId="1A1F3E74" w14:textId="77777777" w:rsidR="00564100" w:rsidRPr="00A001B0" w:rsidRDefault="00564100" w:rsidP="00B72BEC">
            <w:pPr>
              <w:pStyle w:val="TblText"/>
              <w:rPr>
                <w:sz w:val="20"/>
                <w:szCs w:val="20"/>
              </w:rPr>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lastRenderedPageBreak/>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lastRenderedPageBreak/>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84C27C9" w14:textId="77777777" w:rsidR="00A001B0" w:rsidRDefault="00CA25B2" w:rsidP="00A001B0">
      <w:pPr>
        <w:pStyle w:val="NormalBulletround"/>
        <w:numPr>
          <w:ilvl w:val="0"/>
          <w:numId w:val="0"/>
        </w:numPr>
      </w:pPr>
      <w:r>
        <w:t>For the Price evaluation the following shall apply:</w:t>
      </w:r>
    </w:p>
    <w:p w14:paraId="50E17621" w14:textId="1652246D" w:rsidR="00CA25B2" w:rsidRDefault="00CA25B2" w:rsidP="0048774B">
      <w:pPr>
        <w:pStyle w:val="NormalBulletround"/>
      </w:pPr>
      <w:r>
        <w:t>The lowest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19" w:name="_Toc111551928"/>
      <w:r w:rsidRPr="002D3643">
        <w:lastRenderedPageBreak/>
        <w:t xml:space="preserve">Procurement </w:t>
      </w:r>
      <w:r>
        <w:t>P</w:t>
      </w:r>
      <w:r w:rsidRPr="002D3643">
        <w:t>rocedures</w:t>
      </w:r>
      <w:bookmarkEnd w:id="19"/>
      <w:r w:rsidRPr="002D3643">
        <w:t xml:space="preserve"> </w:t>
      </w:r>
    </w:p>
    <w:p w14:paraId="038D890E" w14:textId="77777777" w:rsidR="00400432" w:rsidRDefault="00400432" w:rsidP="00400432">
      <w:pPr>
        <w:pStyle w:val="Heading3"/>
      </w:pPr>
      <w:bookmarkStart w:id="20" w:name="_Toc111551929"/>
      <w:r>
        <w:t>Tendering Timetable</w:t>
      </w:r>
      <w:bookmarkEnd w:id="20"/>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00A001B0">
        <w:trPr>
          <w:tblHeader/>
        </w:trPr>
        <w:tc>
          <w:tcPr>
            <w:tcW w:w="5569" w:type="dxa"/>
            <w:tcBorders>
              <w:bottom w:val="single" w:sz="12" w:space="0" w:color="FFFFFF"/>
            </w:tcBorders>
            <w:shd w:val="solid" w:color="253268" w:themeColor="dark2" w:fill="253268" w:themeFill="dark2"/>
          </w:tcPr>
          <w:p w14:paraId="0D9AD0CD" w14:textId="77777777" w:rsidR="00400432" w:rsidRPr="00400432" w:rsidRDefault="00400432" w:rsidP="00400432">
            <w:pPr>
              <w:pStyle w:val="TblHeading"/>
            </w:pPr>
            <w:r w:rsidRPr="00400432">
              <w:t>Element</w:t>
            </w:r>
          </w:p>
        </w:tc>
        <w:tc>
          <w:tcPr>
            <w:tcW w:w="4069" w:type="dxa"/>
            <w:tcBorders>
              <w:bottom w:val="single" w:sz="12" w:space="0" w:color="FFFFFF"/>
            </w:tcBorders>
            <w:shd w:val="solid" w:color="253268" w:themeColor="dark2" w:fill="253268" w:themeFill="dark2"/>
          </w:tcPr>
          <w:p w14:paraId="0749132E" w14:textId="77777777" w:rsidR="00400432" w:rsidRPr="00400432" w:rsidRDefault="00400432" w:rsidP="00400432">
            <w:pPr>
              <w:pStyle w:val="TblHeading"/>
            </w:pPr>
            <w:r w:rsidRPr="00400432">
              <w:t>Timescale</w:t>
            </w:r>
          </w:p>
        </w:tc>
      </w:tr>
      <w:tr w:rsidR="00400432" w:rsidRPr="00400432" w14:paraId="36ED9179" w14:textId="77777777" w:rsidTr="00A001B0">
        <w:tc>
          <w:tcPr>
            <w:tcW w:w="5569" w:type="dxa"/>
            <w:tcBorders>
              <w:bottom w:val="single" w:sz="12" w:space="0" w:color="FFFFFF"/>
            </w:tcBorders>
            <w:shd w:val="solid" w:color="FFFFFF" w:fill="FFFFFF"/>
          </w:tcPr>
          <w:p w14:paraId="32B5FFC6" w14:textId="77777777" w:rsidR="00400432" w:rsidRPr="00400432" w:rsidRDefault="00400432" w:rsidP="00400432">
            <w:pPr>
              <w:pStyle w:val="TblText"/>
            </w:pPr>
            <w:r w:rsidRPr="00400432">
              <w:t>Invitation to tender issued</w:t>
            </w:r>
          </w:p>
        </w:tc>
        <w:tc>
          <w:tcPr>
            <w:tcW w:w="4069" w:type="dxa"/>
            <w:tcBorders>
              <w:bottom w:val="single" w:sz="12" w:space="0" w:color="FFFFFF"/>
            </w:tcBorders>
            <w:shd w:val="solid" w:color="FFFFFF" w:fill="FFFFFF"/>
          </w:tcPr>
          <w:p w14:paraId="0B221E35" w14:textId="23812948" w:rsidR="00400432" w:rsidRPr="00400432" w:rsidRDefault="00CF3FB4" w:rsidP="00400432">
            <w:pPr>
              <w:pStyle w:val="TblText"/>
            </w:pPr>
            <w:r>
              <w:t>Wednesday 11 Jan</w:t>
            </w:r>
            <w:r w:rsidR="00FF3418" w:rsidRPr="00FF3418">
              <w:t xml:space="preserve"> 2023</w:t>
            </w:r>
          </w:p>
        </w:tc>
      </w:tr>
      <w:tr w:rsidR="00400432" w:rsidRPr="00400432" w14:paraId="42283B80" w14:textId="77777777" w:rsidTr="00A001B0">
        <w:tc>
          <w:tcPr>
            <w:tcW w:w="5569" w:type="dxa"/>
            <w:tcBorders>
              <w:bottom w:val="single" w:sz="12" w:space="0" w:color="FFFFFF"/>
            </w:tcBorders>
            <w:shd w:val="solid" w:color="E4E7F5" w:themeColor="text2" w:themeTint="19" w:fill="E4E7F5" w:themeFill="text2" w:themeFillTint="19"/>
          </w:tcPr>
          <w:p w14:paraId="52F2ADF7" w14:textId="77777777" w:rsidR="00400432" w:rsidRPr="00400432" w:rsidRDefault="00400432" w:rsidP="00400432">
            <w:pPr>
              <w:pStyle w:val="TblText"/>
            </w:pPr>
            <w:r w:rsidRPr="00400432">
              <w:t>Deadline for the submission of clarification questions</w:t>
            </w:r>
          </w:p>
        </w:tc>
        <w:tc>
          <w:tcPr>
            <w:tcW w:w="4069" w:type="dxa"/>
            <w:tcBorders>
              <w:bottom w:val="single" w:sz="12" w:space="0" w:color="FFFFFF"/>
            </w:tcBorders>
            <w:shd w:val="solid" w:color="E4E7F5" w:themeColor="text2" w:themeTint="19" w:fill="E4E7F5" w:themeFill="text2" w:themeFillTint="19"/>
          </w:tcPr>
          <w:p w14:paraId="4308C2DC" w14:textId="25C1FB9C" w:rsidR="00400432" w:rsidRPr="00400432" w:rsidRDefault="00FF3418" w:rsidP="00400432">
            <w:pPr>
              <w:pStyle w:val="TblText"/>
            </w:pPr>
            <w:r w:rsidRPr="00FF3418">
              <w:t>Monday 23 Jan 2023 10</w:t>
            </w:r>
            <w:r w:rsidR="00162632">
              <w:t>:</w:t>
            </w:r>
            <w:r w:rsidRPr="00FF3418">
              <w:t>00</w:t>
            </w:r>
          </w:p>
        </w:tc>
      </w:tr>
      <w:tr w:rsidR="00400432" w:rsidRPr="00400432" w14:paraId="66301268" w14:textId="77777777" w:rsidTr="00A001B0">
        <w:tc>
          <w:tcPr>
            <w:tcW w:w="5569" w:type="dxa"/>
            <w:tcBorders>
              <w:bottom w:val="single" w:sz="12" w:space="0" w:color="FFFFFF"/>
            </w:tcBorders>
            <w:shd w:val="solid" w:color="FFFFFF" w:fill="FFFFFF"/>
          </w:tcPr>
          <w:p w14:paraId="1C7F8594" w14:textId="77777777" w:rsidR="00400432" w:rsidRPr="00400432" w:rsidRDefault="00400432" w:rsidP="00400432">
            <w:pPr>
              <w:pStyle w:val="TblText"/>
            </w:pPr>
            <w:r w:rsidRPr="00400432">
              <w:t>Deadline for submission of proposals</w:t>
            </w:r>
          </w:p>
        </w:tc>
        <w:tc>
          <w:tcPr>
            <w:tcW w:w="4069" w:type="dxa"/>
            <w:tcBorders>
              <w:bottom w:val="single" w:sz="12" w:space="0" w:color="FFFFFF"/>
            </w:tcBorders>
            <w:shd w:val="solid" w:color="FFFFFF" w:fill="FFFFFF"/>
          </w:tcPr>
          <w:p w14:paraId="63343DB4" w14:textId="354ADF67" w:rsidR="00400432" w:rsidRPr="00400432" w:rsidRDefault="00FF3418" w:rsidP="00400432">
            <w:pPr>
              <w:pStyle w:val="TblText"/>
            </w:pPr>
            <w:r w:rsidRPr="00FF3418">
              <w:t>Monday 30 Jan 2023 10</w:t>
            </w:r>
            <w:r w:rsidR="00162632">
              <w:t>:</w:t>
            </w:r>
            <w:r w:rsidRPr="00FF3418">
              <w:t>00</w:t>
            </w:r>
          </w:p>
        </w:tc>
      </w:tr>
      <w:tr w:rsidR="00400432" w:rsidRPr="00400432" w14:paraId="4B08FCC5" w14:textId="77777777" w:rsidTr="00A001B0">
        <w:tc>
          <w:tcPr>
            <w:tcW w:w="5569" w:type="dxa"/>
            <w:tcBorders>
              <w:bottom w:val="single" w:sz="12" w:space="0" w:color="FFFFFF"/>
            </w:tcBorders>
            <w:shd w:val="solid" w:color="E4E7F5" w:themeColor="text2" w:themeTint="19" w:fill="E4E7F5" w:themeFill="text2" w:themeFillTint="19"/>
          </w:tcPr>
          <w:p w14:paraId="5D3F0ED3" w14:textId="77777777" w:rsidR="00400432" w:rsidRPr="00400432" w:rsidRDefault="00400432" w:rsidP="00400432">
            <w:pPr>
              <w:pStyle w:val="TblText"/>
            </w:pPr>
            <w:r w:rsidRPr="00400432">
              <w:t>Shortlisted suppliers notified</w:t>
            </w:r>
          </w:p>
        </w:tc>
        <w:tc>
          <w:tcPr>
            <w:tcW w:w="4069" w:type="dxa"/>
            <w:tcBorders>
              <w:bottom w:val="single" w:sz="12" w:space="0" w:color="FFFFFF"/>
            </w:tcBorders>
            <w:shd w:val="solid" w:color="E4E7F5" w:themeColor="text2" w:themeTint="19" w:fill="E4E7F5" w:themeFill="text2" w:themeFillTint="19"/>
          </w:tcPr>
          <w:p w14:paraId="572895D5" w14:textId="5D2CB365" w:rsidR="00400432" w:rsidRPr="00400432" w:rsidRDefault="00FF3418" w:rsidP="00400432">
            <w:pPr>
              <w:pStyle w:val="TblText"/>
            </w:pPr>
            <w:r w:rsidRPr="00FF3418">
              <w:t>Monday 20 Feb 2023</w:t>
            </w:r>
            <w:r>
              <w:t xml:space="preserve"> </w:t>
            </w:r>
            <w:r w:rsidRPr="00FF3418">
              <w:t>if required</w:t>
            </w:r>
          </w:p>
        </w:tc>
      </w:tr>
      <w:tr w:rsidR="00400432" w:rsidRPr="00400432" w14:paraId="0217C7BB" w14:textId="77777777" w:rsidTr="00A001B0">
        <w:tc>
          <w:tcPr>
            <w:tcW w:w="5569" w:type="dxa"/>
            <w:tcBorders>
              <w:bottom w:val="single" w:sz="12" w:space="0" w:color="FFFFFF"/>
            </w:tcBorders>
            <w:shd w:val="solid" w:color="FFFFFF" w:fill="FFFFFF"/>
          </w:tcPr>
          <w:p w14:paraId="32D5FD17" w14:textId="77777777" w:rsidR="00400432" w:rsidRPr="00400432" w:rsidRDefault="00400432" w:rsidP="00400432">
            <w:pPr>
              <w:pStyle w:val="TblText"/>
            </w:pPr>
            <w:r w:rsidRPr="00400432">
              <w:t>Interviews and presentations*</w:t>
            </w:r>
          </w:p>
        </w:tc>
        <w:tc>
          <w:tcPr>
            <w:tcW w:w="4069" w:type="dxa"/>
            <w:tcBorders>
              <w:bottom w:val="single" w:sz="12" w:space="0" w:color="FFFFFF"/>
            </w:tcBorders>
            <w:shd w:val="solid" w:color="FFFFFF" w:fill="FFFFFF"/>
          </w:tcPr>
          <w:p w14:paraId="565B27EE" w14:textId="740C8FD4" w:rsidR="00400432" w:rsidRPr="00400432" w:rsidRDefault="00FF3418" w:rsidP="00400432">
            <w:pPr>
              <w:pStyle w:val="TblText"/>
            </w:pPr>
            <w:r w:rsidRPr="00FF3418">
              <w:t xml:space="preserve">Monday </w:t>
            </w:r>
            <w:r w:rsidR="00162632">
              <w:t>0</w:t>
            </w:r>
            <w:r w:rsidRPr="00FF3418">
              <w:t>6 Mar 2023 if required</w:t>
            </w:r>
          </w:p>
        </w:tc>
      </w:tr>
      <w:tr w:rsidR="00400432" w:rsidRPr="00400432" w14:paraId="2D3D0936" w14:textId="77777777" w:rsidTr="00A001B0">
        <w:tc>
          <w:tcPr>
            <w:tcW w:w="5569" w:type="dxa"/>
            <w:tcBorders>
              <w:bottom w:val="single" w:sz="12" w:space="0" w:color="FFFFFF"/>
            </w:tcBorders>
            <w:shd w:val="solid" w:color="E4E7F5" w:themeColor="text2" w:themeTint="19" w:fill="E4E7F5" w:themeFill="text2" w:themeFillTint="19"/>
          </w:tcPr>
          <w:p w14:paraId="6556047B" w14:textId="77777777" w:rsidR="00400432" w:rsidRPr="00400432" w:rsidRDefault="00400432" w:rsidP="00400432">
            <w:pPr>
              <w:pStyle w:val="TblText"/>
            </w:pPr>
            <w:r w:rsidRPr="00400432">
              <w:t>Award contract</w:t>
            </w:r>
          </w:p>
        </w:tc>
        <w:tc>
          <w:tcPr>
            <w:tcW w:w="4069" w:type="dxa"/>
            <w:tcBorders>
              <w:bottom w:val="single" w:sz="12" w:space="0" w:color="FFFFFF"/>
            </w:tcBorders>
            <w:shd w:val="solid" w:color="E4E7F5" w:themeColor="text2" w:themeTint="19" w:fill="E4E7F5" w:themeFill="text2" w:themeFillTint="19"/>
          </w:tcPr>
          <w:p w14:paraId="2FF6E1B1" w14:textId="781F9DF6" w:rsidR="00400432" w:rsidRPr="00400432" w:rsidRDefault="00FF3418" w:rsidP="00400432">
            <w:pPr>
              <w:pStyle w:val="TblText"/>
            </w:pPr>
            <w:r w:rsidRPr="00FF3418">
              <w:t>Monday 20 Mar 2023</w:t>
            </w:r>
          </w:p>
        </w:tc>
      </w:tr>
      <w:tr w:rsidR="00FF3418" w:rsidRPr="00400432" w14:paraId="483F9FB5" w14:textId="77777777" w:rsidTr="00A001B0">
        <w:tc>
          <w:tcPr>
            <w:tcW w:w="5569" w:type="dxa"/>
            <w:shd w:val="solid" w:color="FFFFFF" w:fill="FFFFFF"/>
          </w:tcPr>
          <w:p w14:paraId="098C13AD" w14:textId="336B1215" w:rsidR="00FF3418" w:rsidRPr="00400432" w:rsidRDefault="00FF3418" w:rsidP="00FF3418">
            <w:pPr>
              <w:pStyle w:val="TblText"/>
            </w:pPr>
            <w:r w:rsidRPr="00FF3418">
              <w:t>Contract start date</w:t>
            </w:r>
          </w:p>
        </w:tc>
        <w:tc>
          <w:tcPr>
            <w:tcW w:w="4069" w:type="dxa"/>
            <w:shd w:val="solid" w:color="FFFFFF" w:fill="FFFFFF"/>
          </w:tcPr>
          <w:p w14:paraId="5DDB7C62" w14:textId="334D5994" w:rsidR="00FF3418" w:rsidRPr="00FF3418" w:rsidRDefault="00162632" w:rsidP="00400432">
            <w:pPr>
              <w:pStyle w:val="TblText"/>
            </w:pPr>
            <w:r>
              <w:t>0</w:t>
            </w:r>
            <w:r w:rsidR="00FF3418" w:rsidRPr="00FF3418">
              <w:t>1 April 2023</w:t>
            </w:r>
          </w:p>
        </w:tc>
      </w:tr>
    </w:tbl>
    <w:p w14:paraId="34A006DD" w14:textId="42636392" w:rsidR="002D3643" w:rsidRDefault="00400432" w:rsidP="00400432">
      <w:pPr>
        <w:pStyle w:val="TblSource"/>
      </w:pPr>
      <w:r w:rsidRPr="00400432">
        <w:t xml:space="preserve">Please ensure that the Project Manager and other key consultants who will be delivering this work are available to give presentations on the interview date </w:t>
      </w:r>
    </w:p>
    <w:p w14:paraId="3DFADB3D" w14:textId="77777777" w:rsidR="00433557" w:rsidRDefault="00433557" w:rsidP="000A0438">
      <w:pPr>
        <w:pStyle w:val="Heading3"/>
      </w:pPr>
      <w:bookmarkStart w:id="21" w:name="_Toc111551930"/>
      <w:r>
        <w:t>Tendering Instructions and Guidance</w:t>
      </w:r>
      <w:bookmarkEnd w:id="21"/>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w:t>
      </w:r>
      <w:r>
        <w:lastRenderedPageBreak/>
        <w:t xml:space="preserve">accepted. Bidders have the facility to upload later versions of tenders until the closing date/time. </w:t>
      </w:r>
    </w:p>
    <w:p w14:paraId="78FF1853" w14:textId="77777777" w:rsidR="00433557" w:rsidRDefault="00433557" w:rsidP="00433557">
      <w:r>
        <w:t xml:space="preserve">Please submit the Form of Tender and Disclaimer certificate along with your proposal. If you are already registered on our </w:t>
      </w:r>
      <w:proofErr w:type="spellStart"/>
      <w:r>
        <w:t>eTendering</w:t>
      </w:r>
      <w:proofErr w:type="spellEnd"/>
      <w:r>
        <w:t xml:space="preserve"> portal but have forgotten your login details, please contact the portal administrator.</w:t>
      </w:r>
    </w:p>
    <w:p w14:paraId="6D553397" w14:textId="77777777"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all of any tender. No part of the tender submitted will be returned to the supplier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2"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w:t>
      </w:r>
      <w:r>
        <w:lastRenderedPageBreak/>
        <w:t xml:space="preserve">services must be identified in the tender along with details of their relationship, </w:t>
      </w:r>
      <w:proofErr w:type="gramStart"/>
      <w:r>
        <w:t>responsibilities</w:t>
      </w:r>
      <w:proofErr w:type="gramEnd"/>
      <w:r>
        <w:t xml:space="preserve">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on the basis of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r w:rsidRPr="00D2517B">
              <w:t>Existing  Wording</w:t>
            </w:r>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t>
      </w:r>
      <w:r>
        <w:lastRenderedPageBreak/>
        <w:t xml:space="preserve">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current; </w:t>
      </w:r>
    </w:p>
    <w:p w14:paraId="70389FA8" w14:textId="77777777" w:rsidR="00D2517B" w:rsidRDefault="00D2517B" w:rsidP="00D2517B">
      <w: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C567EC">
          <w:headerReference w:type="even" r:id="rId23"/>
          <w:headerReference w:type="default" r:id="rId24"/>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4FA169D6">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6" w:history="1">
        <w:r w:rsidRPr="00D25F7E">
          <w:rPr>
            <w:rStyle w:val="Hyperlink"/>
          </w:rPr>
          <w:t>nationalarchives.gov.uk/doc/open-government-licence/version/3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27"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28" w:history="1">
        <w:r w:rsidR="008F0B87" w:rsidRPr="00C9621C">
          <w:rPr>
            <w:rStyle w:val="Hyperlink"/>
          </w:rPr>
          <w:t>procurementteam@orr.gov.uk</w:t>
        </w:r>
      </w:hyperlink>
      <w:r w:rsidR="008F0B87">
        <w:t xml:space="preserve"> </w:t>
      </w:r>
    </w:p>
    <w:sectPr w:rsidR="00D25F7E" w:rsidRPr="00D25F7E" w:rsidSect="00D25F7E">
      <w:headerReference w:type="even" r:id="rId29"/>
      <w:headerReference w:type="default" r:id="rId30"/>
      <w:footerReference w:type="even" r:id="rId31"/>
      <w:footerReference w:type="default" r:id="rId32"/>
      <w:headerReference w:type="first" r:id="rId33"/>
      <w:footerReference w:type="first" r:id="rId34"/>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9D7A4" w14:textId="77777777" w:rsidR="00FC6860" w:rsidRDefault="00FC6860" w:rsidP="00555585">
      <w:pPr>
        <w:spacing w:after="0" w:line="240" w:lineRule="auto"/>
      </w:pPr>
      <w:r>
        <w:separator/>
      </w:r>
    </w:p>
  </w:endnote>
  <w:endnote w:type="continuationSeparator" w:id="0">
    <w:p w14:paraId="2486195E" w14:textId="77777777" w:rsidR="00FC6860" w:rsidRDefault="00FC6860" w:rsidP="0055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umnst777 Lt BT">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C301" w14:textId="77777777" w:rsidR="00A325B7" w:rsidRDefault="00A32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2614" w14:textId="77777777" w:rsidR="00FC6860" w:rsidRPr="00904857" w:rsidRDefault="00FC6860" w:rsidP="00C71C4F">
    <w:pPr>
      <w:pStyle w:val="Footer"/>
    </w:pPr>
    <w:bookmarkStart w:id="1" w:name="_Hlk65150515"/>
    <w:bookmarkStart w:id="2" w:name="_Hlk65150516"/>
    <w:r>
      <w:rPr>
        <w:noProof/>
        <w:lang w:eastAsia="en-GB"/>
      </w:rPr>
      <w:drawing>
        <wp:anchor distT="0" distB="0" distL="114300" distR="114300" simplePos="0" relativeHeight="251689984"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6A43" w14:textId="77777777" w:rsidR="00FC6860" w:rsidRPr="00904857" w:rsidRDefault="00FC6860" w:rsidP="00C71C4F">
    <w:pPr>
      <w:pStyle w:val="Footer"/>
    </w:pPr>
    <w:r>
      <w:rPr>
        <w:noProof/>
        <w:lang w:eastAsia="en-GB"/>
      </w:rPr>
      <w:drawing>
        <wp:anchor distT="0" distB="0" distL="114300" distR="114300" simplePos="0" relativeHeight="251691008"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9631" w14:textId="77777777" w:rsidR="00FC6860" w:rsidRDefault="00FC68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BC6C" w14:textId="77777777" w:rsidR="00D25F7E" w:rsidRDefault="00D25F7E" w:rsidP="00997E07">
    <w:pPr>
      <w:pStyle w:val="Footer"/>
    </w:pPr>
  </w:p>
  <w:p w14:paraId="30922858" w14:textId="77777777" w:rsidR="00D25F7E" w:rsidRDefault="00D25F7E" w:rsidP="00997E07">
    <w:pPr>
      <w:pStyle w:val="Footer"/>
    </w:pPr>
  </w:p>
  <w:p w14:paraId="722278C7" w14:textId="77777777" w:rsidR="00D25F7E" w:rsidRDefault="00D25F7E" w:rsidP="00997E07">
    <w:pPr>
      <w:pStyle w:val="Footer"/>
    </w:pPr>
  </w:p>
  <w:p w14:paraId="2F806F11" w14:textId="77777777" w:rsidR="00D25F7E" w:rsidRDefault="00D25F7E" w:rsidP="00997E07">
    <w:pPr>
      <w:pStyle w:val="Footer"/>
    </w:pPr>
  </w:p>
  <w:p w14:paraId="6D31B3EB" w14:textId="77777777" w:rsidR="00D25F7E" w:rsidRDefault="00D25F7E" w:rsidP="00997E07">
    <w:pPr>
      <w:pStyle w:val="Footer"/>
    </w:pPr>
  </w:p>
  <w:p w14:paraId="26D028EC" w14:textId="77777777" w:rsidR="00D25F7E" w:rsidRPr="004A743E" w:rsidRDefault="00D25F7E" w:rsidP="00997E0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705344"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02F2" w14:textId="77777777" w:rsidR="00FC6860" w:rsidRPr="00904857" w:rsidRDefault="00FC6860" w:rsidP="00C71C4F">
    <w:pPr>
      <w:pStyle w:val="Footer"/>
    </w:pPr>
    <w:r>
      <w:rPr>
        <w:noProof/>
        <w:lang w:eastAsia="en-GB"/>
      </w:rPr>
      <w:drawing>
        <wp:anchor distT="0" distB="0" distL="114300" distR="114300" simplePos="0" relativeHeight="251695104"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2AF" w14:textId="77777777" w:rsidR="00FC6860" w:rsidRDefault="00FC686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C8DF" w14:textId="77777777" w:rsidR="00FC6860" w:rsidRDefault="00FC6860" w:rsidP="00C71C4F">
    <w:pPr>
      <w:pStyle w:val="Footer"/>
    </w:pPr>
    <w:r>
      <w:rPr>
        <w:noProof/>
        <w:lang w:eastAsia="en-GB"/>
      </w:rPr>
      <w:drawing>
        <wp:anchor distT="0" distB="0" distL="114300" distR="114300" simplePos="0" relativeHeight="251697152"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C71C4F">
    <w:pPr>
      <w:pStyle w:val="Footer"/>
    </w:pPr>
  </w:p>
  <w:p w14:paraId="71EA0EA7" w14:textId="77777777" w:rsidR="00FC6860" w:rsidRDefault="00FC6860" w:rsidP="00C71C4F">
    <w:pPr>
      <w:pStyle w:val="Footer"/>
    </w:pPr>
  </w:p>
  <w:p w14:paraId="3B410CFC" w14:textId="77777777" w:rsidR="00FC6860" w:rsidRDefault="00FC6860" w:rsidP="00C71C4F">
    <w:pPr>
      <w:pStyle w:val="Footer"/>
    </w:pPr>
  </w:p>
  <w:p w14:paraId="499C042D" w14:textId="77777777" w:rsidR="00FC6860" w:rsidRDefault="00FC6860" w:rsidP="00C71C4F">
    <w:pPr>
      <w:pStyle w:val="Footer"/>
    </w:pPr>
  </w:p>
  <w:p w14:paraId="01590A05" w14:textId="77777777" w:rsidR="00FC6860" w:rsidRDefault="00FC6860" w:rsidP="00C71C4F">
    <w:pPr>
      <w:pStyle w:val="Footer"/>
    </w:pPr>
  </w:p>
  <w:p w14:paraId="4FE202DC" w14:textId="77777777" w:rsidR="00FC6860" w:rsidRDefault="00FC6860" w:rsidP="00C71C4F">
    <w:pPr>
      <w:pStyle w:val="Footer"/>
    </w:pPr>
  </w:p>
  <w:p w14:paraId="2C948FBC" w14:textId="77777777" w:rsidR="00FC6860" w:rsidRDefault="00FC6860" w:rsidP="00C71C4F">
    <w:pPr>
      <w:pStyle w:val="Footer"/>
    </w:pPr>
  </w:p>
  <w:p w14:paraId="5A5AEE1F" w14:textId="77777777" w:rsidR="00FC6860" w:rsidRPr="00904857" w:rsidRDefault="00FC6860" w:rsidP="00C71C4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DDC6" w14:textId="77777777" w:rsidR="00852E5A" w:rsidRPr="00904857" w:rsidRDefault="00852E5A" w:rsidP="009265DD">
    <w:pPr>
      <w:pStyle w:val="Footer"/>
    </w:pPr>
    <w:r>
      <w:rPr>
        <w:noProof/>
        <w:lang w:eastAsia="en-GB"/>
      </w:rPr>
      <w:drawing>
        <wp:anchor distT="0" distB="0" distL="114300" distR="114300" simplePos="0" relativeHeight="251687936"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149C" w14:textId="77777777" w:rsidR="00FC6860" w:rsidRDefault="00FC6860" w:rsidP="00555585">
      <w:pPr>
        <w:spacing w:after="0" w:line="240" w:lineRule="auto"/>
      </w:pPr>
      <w:r>
        <w:separator/>
      </w:r>
    </w:p>
  </w:footnote>
  <w:footnote w:type="continuationSeparator" w:id="0">
    <w:p w14:paraId="75461C3C" w14:textId="77777777" w:rsidR="00FC6860" w:rsidRDefault="00FC6860" w:rsidP="00555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CBDB" w14:textId="77777777" w:rsidR="00A325B7" w:rsidRDefault="00A325B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3AF1" w14:textId="77777777" w:rsidR="00852E5A" w:rsidRPr="00FC6860" w:rsidRDefault="00852E5A" w:rsidP="00FC6860">
    <w:pPr>
      <w:pStyle w:val="Header"/>
    </w:pPr>
    <w:bookmarkStart w:id="22" w:name="bmkBackPage"/>
    <w:bookmarkEnd w:id="22"/>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B2C1" w14:textId="77777777" w:rsidR="00FC6860" w:rsidRDefault="00FC6860">
    <w:pPr>
      <w:pStyle w:val="Header"/>
    </w:pPr>
    <w:bookmarkStart w:id="0" w:name="bmkTitlePage"/>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24EF" w14:textId="77777777" w:rsidR="00FC6860" w:rsidRDefault="00FC6860" w:rsidP="004E1570">
    <w:pPr>
      <w:pStyle w:val="Header"/>
      <w:spacing w:before="720"/>
    </w:pPr>
    <w:r>
      <w:rPr>
        <w:noProof/>
        <w:lang w:eastAsia="en-GB"/>
      </w:rPr>
      <w:drawing>
        <wp:inline distT="0" distB="0" distL="0" distR="0" wp14:anchorId="7E13B473" wp14:editId="54FEA347">
          <wp:extent cx="1616149" cy="1233038"/>
          <wp:effectExtent l="0" t="0" r="3175" b="0"/>
          <wp:docPr id="4" name="Picture 4"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9DFD" w14:textId="77777777" w:rsidR="00FC6860" w:rsidRDefault="00FC68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bmkContents"/>
  <w:bookmarkEnd w:id="3"/>
  <w:p w14:paraId="787800DB" w14:textId="65212DC4"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 DOCVARIABLE  txtHdr  \* MERGEFORMAT ">
      <w:r w:rsidRPr="00D25F7E">
        <w:rPr>
          <w:b w:val="0"/>
          <w:bCs/>
          <w:lang w:val="en-US"/>
        </w:rPr>
        <w:instrText>ITT</w:instrText>
      </w:r>
    </w:fldSimple>
    <w:r w:rsidRPr="00AC3B7A">
      <w:instrText xml:space="preserve"> = "Error! No document variable supplied." " " </w:instrText>
    </w:r>
    <w:fldSimple w:instr=" DOCVARIABLE  txtHdr \* MERGEFORMAT ">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80D" w14:textId="77777777" w:rsidR="00FC6860" w:rsidRDefault="00FC6860" w:rsidP="004E1570">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7D9A" w14:textId="77777777" w:rsidR="00FC6860" w:rsidRDefault="00FC686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EF3B" w14:textId="078851F1"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 DOCVARIABLE  txtHdr  \* MERGEFORMAT ">
      <w:r w:rsidRPr="00D25F7E">
        <w:rPr>
          <w:b w:val="0"/>
          <w:bCs/>
          <w:lang w:val="en-US"/>
        </w:rPr>
        <w:instrText>ITT</w:instrText>
      </w:r>
    </w:fldSimple>
    <w:r w:rsidRPr="00AC3B7A">
      <w:instrText xml:space="preserve"> = "Error! No document variable supplied." " " </w:instrText>
    </w:r>
    <w:fldSimple w:instr=" DOCVARIABLE  txtHdr \* MERGEFORMAT ">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3678" w14:textId="77777777" w:rsidR="00FC6860" w:rsidRDefault="00FC6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B7C41DF"/>
    <w:multiLevelType w:val="hybridMultilevel"/>
    <w:tmpl w:val="70028264"/>
    <w:lvl w:ilvl="0" w:tplc="B94C3768">
      <w:start w:val="1"/>
      <w:numFmt w:val="bullet"/>
      <w:lvlText w:val=""/>
      <w:lvlJc w:val="left"/>
      <w:pPr>
        <w:ind w:left="1494"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CD4621B"/>
    <w:multiLevelType w:val="multilevel"/>
    <w:tmpl w:val="0B3EB1C4"/>
    <w:numStyleLink w:val="ORRBoxed"/>
  </w:abstractNum>
  <w:abstractNum w:abstractNumId="4"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5" w15:restartNumberingAfterBreak="0">
    <w:nsid w:val="118439F5"/>
    <w:multiLevelType w:val="multilevel"/>
    <w:tmpl w:val="0B3EB1C4"/>
    <w:numStyleLink w:val="ORRBoxed"/>
  </w:abstractNum>
  <w:abstractNum w:abstractNumId="6" w15:restartNumberingAfterBreak="0">
    <w:nsid w:val="138756B1"/>
    <w:multiLevelType w:val="multilevel"/>
    <w:tmpl w:val="D79C245A"/>
    <w:numStyleLink w:val="ORRNormalList"/>
  </w:abstractNum>
  <w:abstractNum w:abstractNumId="7"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9" w15:restartNumberingAfterBreak="0">
    <w:nsid w:val="21336443"/>
    <w:multiLevelType w:val="multilevel"/>
    <w:tmpl w:val="FEF47FD2"/>
    <w:numStyleLink w:val="ORRSummary"/>
  </w:abstractNum>
  <w:abstractNum w:abstractNumId="10" w15:restartNumberingAfterBreak="0">
    <w:nsid w:val="28296852"/>
    <w:multiLevelType w:val="multilevel"/>
    <w:tmpl w:val="D79C245A"/>
    <w:numStyleLink w:val="ORRNormalList"/>
  </w:abstractNum>
  <w:abstractNum w:abstractNumId="11" w15:restartNumberingAfterBreak="0">
    <w:nsid w:val="39A76BCC"/>
    <w:multiLevelType w:val="multilevel"/>
    <w:tmpl w:val="D79C245A"/>
    <w:numStyleLink w:val="ORRNormalList"/>
  </w:abstractNum>
  <w:abstractNum w:abstractNumId="12"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BC03AF"/>
    <w:multiLevelType w:val="hybridMultilevel"/>
    <w:tmpl w:val="EFB6D2F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8" w15:restartNumberingAfterBreak="0">
    <w:nsid w:val="68BD5682"/>
    <w:multiLevelType w:val="multilevel"/>
    <w:tmpl w:val="EAD453D0"/>
    <w:numStyleLink w:val="NumbListHighlight"/>
  </w:abstractNum>
  <w:abstractNum w:abstractNumId="19"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15:restartNumberingAfterBreak="0">
    <w:nsid w:val="774C62AB"/>
    <w:multiLevelType w:val="multilevel"/>
    <w:tmpl w:val="6B204466"/>
    <w:numStyleLink w:val="ORRAnnex"/>
  </w:abstractNum>
  <w:abstractNum w:abstractNumId="22" w15:restartNumberingAfterBreak="0">
    <w:nsid w:val="7B6A5CBB"/>
    <w:multiLevelType w:val="hybridMultilevel"/>
    <w:tmpl w:val="5A26D8D6"/>
    <w:lvl w:ilvl="0" w:tplc="B94C3768">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DA5CB4"/>
    <w:multiLevelType w:val="multilevel"/>
    <w:tmpl w:val="6B204466"/>
    <w:numStyleLink w:val="ORRAnnex"/>
  </w:abstractNum>
  <w:num w:numId="1" w16cid:durableId="12330070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20"/>
  </w:num>
  <w:num w:numId="3" w16cid:durableId="615990203">
    <w:abstractNumId w:val="7"/>
  </w:num>
  <w:num w:numId="4" w16cid:durableId="1539008159">
    <w:abstractNumId w:val="16"/>
  </w:num>
  <w:num w:numId="5" w16cid:durableId="1334801291">
    <w:abstractNumId w:val="8"/>
  </w:num>
  <w:num w:numId="6" w16cid:durableId="116142554">
    <w:abstractNumId w:val="11"/>
  </w:num>
  <w:num w:numId="7" w16cid:durableId="1708795862">
    <w:abstractNumId w:val="9"/>
  </w:num>
  <w:num w:numId="8" w16cid:durableId="1432780497">
    <w:abstractNumId w:val="5"/>
  </w:num>
  <w:num w:numId="9" w16cid:durableId="35012236">
    <w:abstractNumId w:val="4"/>
  </w:num>
  <w:num w:numId="10" w16cid:durableId="711077664">
    <w:abstractNumId w:val="0"/>
  </w:num>
  <w:num w:numId="11" w16cid:durableId="1604993918">
    <w:abstractNumId w:val="18"/>
  </w:num>
  <w:num w:numId="12" w16cid:durableId="435447028">
    <w:abstractNumId w:val="17"/>
  </w:num>
  <w:num w:numId="13" w16cid:durableId="2048019962">
    <w:abstractNumId w:val="21"/>
  </w:num>
  <w:num w:numId="14" w16cid:durableId="2025738407">
    <w:abstractNumId w:val="18"/>
  </w:num>
  <w:num w:numId="15" w16cid:durableId="150879135">
    <w:abstractNumId w:val="18"/>
  </w:num>
  <w:num w:numId="16" w16cid:durableId="891042484">
    <w:abstractNumId w:val="18"/>
  </w:num>
  <w:num w:numId="17" w16cid:durableId="727414043">
    <w:abstractNumId w:val="17"/>
  </w:num>
  <w:num w:numId="18" w16cid:durableId="1027833524">
    <w:abstractNumId w:val="1"/>
  </w:num>
  <w:num w:numId="19" w16cid:durableId="50661355">
    <w:abstractNumId w:val="6"/>
  </w:num>
  <w:num w:numId="20" w16cid:durableId="1446195555">
    <w:abstractNumId w:val="4"/>
  </w:num>
  <w:num w:numId="21" w16cid:durableId="558327301">
    <w:abstractNumId w:val="23"/>
  </w:num>
  <w:num w:numId="22" w16cid:durableId="463500638">
    <w:abstractNumId w:val="14"/>
  </w:num>
  <w:num w:numId="23" w16cid:durableId="1527019102">
    <w:abstractNumId w:val="3"/>
  </w:num>
  <w:num w:numId="24" w16cid:durableId="1992102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10"/>
  </w:num>
  <w:num w:numId="26" w16cid:durableId="1830293373">
    <w:abstractNumId w:val="19"/>
  </w:num>
  <w:num w:numId="27" w16cid:durableId="421416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15"/>
  </w:num>
  <w:num w:numId="33" w16cid:durableId="1431194196">
    <w:abstractNumId w:val="13"/>
  </w:num>
  <w:num w:numId="34" w16cid:durableId="2108771642">
    <w:abstractNumId w:val="22"/>
  </w:num>
  <w:num w:numId="35" w16cid:durableId="172498286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2210B"/>
    <w:rsid w:val="0003350C"/>
    <w:rsid w:val="00036DEB"/>
    <w:rsid w:val="00037BD2"/>
    <w:rsid w:val="00042B65"/>
    <w:rsid w:val="00043DA2"/>
    <w:rsid w:val="0004428A"/>
    <w:rsid w:val="0005181F"/>
    <w:rsid w:val="00066737"/>
    <w:rsid w:val="000735F1"/>
    <w:rsid w:val="00076B67"/>
    <w:rsid w:val="000833AF"/>
    <w:rsid w:val="00084783"/>
    <w:rsid w:val="00084972"/>
    <w:rsid w:val="0008514C"/>
    <w:rsid w:val="000876CB"/>
    <w:rsid w:val="0009126F"/>
    <w:rsid w:val="0009203F"/>
    <w:rsid w:val="000A0438"/>
    <w:rsid w:val="000A6DE7"/>
    <w:rsid w:val="000B0266"/>
    <w:rsid w:val="000B309A"/>
    <w:rsid w:val="000B6176"/>
    <w:rsid w:val="000C7B66"/>
    <w:rsid w:val="000D2970"/>
    <w:rsid w:val="000E135E"/>
    <w:rsid w:val="000E5AB1"/>
    <w:rsid w:val="000E5E49"/>
    <w:rsid w:val="000F0A04"/>
    <w:rsid w:val="000F4554"/>
    <w:rsid w:val="000F5529"/>
    <w:rsid w:val="000F70BB"/>
    <w:rsid w:val="000F7BB6"/>
    <w:rsid w:val="001012B6"/>
    <w:rsid w:val="00102F62"/>
    <w:rsid w:val="00120892"/>
    <w:rsid w:val="0012193D"/>
    <w:rsid w:val="00124D1D"/>
    <w:rsid w:val="00137015"/>
    <w:rsid w:val="00141746"/>
    <w:rsid w:val="001526A6"/>
    <w:rsid w:val="00155088"/>
    <w:rsid w:val="0015625B"/>
    <w:rsid w:val="00156D5F"/>
    <w:rsid w:val="00156F9A"/>
    <w:rsid w:val="00160B26"/>
    <w:rsid w:val="00162632"/>
    <w:rsid w:val="00162B03"/>
    <w:rsid w:val="001659DD"/>
    <w:rsid w:val="00175A76"/>
    <w:rsid w:val="001768F1"/>
    <w:rsid w:val="00180E47"/>
    <w:rsid w:val="00183B83"/>
    <w:rsid w:val="001858EB"/>
    <w:rsid w:val="00194E09"/>
    <w:rsid w:val="00195C79"/>
    <w:rsid w:val="001A00F0"/>
    <w:rsid w:val="001A1058"/>
    <w:rsid w:val="001B3FD8"/>
    <w:rsid w:val="001B54A7"/>
    <w:rsid w:val="001B551F"/>
    <w:rsid w:val="001B5A48"/>
    <w:rsid w:val="001B62CD"/>
    <w:rsid w:val="001B71F8"/>
    <w:rsid w:val="001C60A4"/>
    <w:rsid w:val="001D1536"/>
    <w:rsid w:val="001D590D"/>
    <w:rsid w:val="001D5DF3"/>
    <w:rsid w:val="001E23F4"/>
    <w:rsid w:val="001E7C87"/>
    <w:rsid w:val="001F1140"/>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40410"/>
    <w:rsid w:val="002459ED"/>
    <w:rsid w:val="0025242F"/>
    <w:rsid w:val="00257BE5"/>
    <w:rsid w:val="00272200"/>
    <w:rsid w:val="00276C64"/>
    <w:rsid w:val="0028433A"/>
    <w:rsid w:val="00286CF2"/>
    <w:rsid w:val="0028735A"/>
    <w:rsid w:val="0029283C"/>
    <w:rsid w:val="00293D38"/>
    <w:rsid w:val="00297104"/>
    <w:rsid w:val="002A39E8"/>
    <w:rsid w:val="002B7995"/>
    <w:rsid w:val="002C5A50"/>
    <w:rsid w:val="002C6E70"/>
    <w:rsid w:val="002D0E5B"/>
    <w:rsid w:val="002D3643"/>
    <w:rsid w:val="002D46DA"/>
    <w:rsid w:val="002E2DAD"/>
    <w:rsid w:val="002E7122"/>
    <w:rsid w:val="002F111F"/>
    <w:rsid w:val="002F2791"/>
    <w:rsid w:val="002F5466"/>
    <w:rsid w:val="002F56B7"/>
    <w:rsid w:val="0030237B"/>
    <w:rsid w:val="003027B1"/>
    <w:rsid w:val="00311FD5"/>
    <w:rsid w:val="003247A4"/>
    <w:rsid w:val="00336690"/>
    <w:rsid w:val="003366E7"/>
    <w:rsid w:val="0034288F"/>
    <w:rsid w:val="00343838"/>
    <w:rsid w:val="00347F87"/>
    <w:rsid w:val="00350594"/>
    <w:rsid w:val="003543C0"/>
    <w:rsid w:val="0035753E"/>
    <w:rsid w:val="0036504A"/>
    <w:rsid w:val="00370AD1"/>
    <w:rsid w:val="00372316"/>
    <w:rsid w:val="00372ABD"/>
    <w:rsid w:val="00374BAE"/>
    <w:rsid w:val="003764B8"/>
    <w:rsid w:val="003813C5"/>
    <w:rsid w:val="00384699"/>
    <w:rsid w:val="00385387"/>
    <w:rsid w:val="00385F6B"/>
    <w:rsid w:val="00386188"/>
    <w:rsid w:val="00386AF7"/>
    <w:rsid w:val="00386E0A"/>
    <w:rsid w:val="003B008E"/>
    <w:rsid w:val="003B09D0"/>
    <w:rsid w:val="003B1008"/>
    <w:rsid w:val="003B27DE"/>
    <w:rsid w:val="003C0BDF"/>
    <w:rsid w:val="003C247A"/>
    <w:rsid w:val="003C3449"/>
    <w:rsid w:val="003C3BA6"/>
    <w:rsid w:val="003C462A"/>
    <w:rsid w:val="003D0868"/>
    <w:rsid w:val="003D1485"/>
    <w:rsid w:val="003D1B7D"/>
    <w:rsid w:val="003D1CC2"/>
    <w:rsid w:val="003D30C6"/>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896"/>
    <w:rsid w:val="0042552D"/>
    <w:rsid w:val="004276BA"/>
    <w:rsid w:val="004308C7"/>
    <w:rsid w:val="00433557"/>
    <w:rsid w:val="00433D4D"/>
    <w:rsid w:val="004372B6"/>
    <w:rsid w:val="0043752D"/>
    <w:rsid w:val="00437772"/>
    <w:rsid w:val="004462A6"/>
    <w:rsid w:val="00446747"/>
    <w:rsid w:val="00451C67"/>
    <w:rsid w:val="00452F29"/>
    <w:rsid w:val="00454D76"/>
    <w:rsid w:val="00457556"/>
    <w:rsid w:val="00465E6B"/>
    <w:rsid w:val="00472A7C"/>
    <w:rsid w:val="00476327"/>
    <w:rsid w:val="0048300B"/>
    <w:rsid w:val="0048774B"/>
    <w:rsid w:val="00490915"/>
    <w:rsid w:val="00494943"/>
    <w:rsid w:val="00495203"/>
    <w:rsid w:val="004964CA"/>
    <w:rsid w:val="004A0056"/>
    <w:rsid w:val="004A0C10"/>
    <w:rsid w:val="004A24AB"/>
    <w:rsid w:val="004A743E"/>
    <w:rsid w:val="004B2D5D"/>
    <w:rsid w:val="004B336F"/>
    <w:rsid w:val="004C0FAF"/>
    <w:rsid w:val="004C1FDD"/>
    <w:rsid w:val="004D1C50"/>
    <w:rsid w:val="004D5D65"/>
    <w:rsid w:val="004E57B7"/>
    <w:rsid w:val="004E5ACC"/>
    <w:rsid w:val="004E60C0"/>
    <w:rsid w:val="004F2AE4"/>
    <w:rsid w:val="004F6111"/>
    <w:rsid w:val="00514820"/>
    <w:rsid w:val="005165AD"/>
    <w:rsid w:val="00526956"/>
    <w:rsid w:val="00526EC7"/>
    <w:rsid w:val="00532B91"/>
    <w:rsid w:val="00534962"/>
    <w:rsid w:val="00536EB2"/>
    <w:rsid w:val="00544099"/>
    <w:rsid w:val="00546AF7"/>
    <w:rsid w:val="00555585"/>
    <w:rsid w:val="005612F3"/>
    <w:rsid w:val="005635FA"/>
    <w:rsid w:val="00564100"/>
    <w:rsid w:val="00574B16"/>
    <w:rsid w:val="00580A77"/>
    <w:rsid w:val="00585CEE"/>
    <w:rsid w:val="00591161"/>
    <w:rsid w:val="00596F73"/>
    <w:rsid w:val="005B27FB"/>
    <w:rsid w:val="005B3ED1"/>
    <w:rsid w:val="005B621F"/>
    <w:rsid w:val="005B7791"/>
    <w:rsid w:val="005C0E21"/>
    <w:rsid w:val="005C29ED"/>
    <w:rsid w:val="005C5BD8"/>
    <w:rsid w:val="005C6471"/>
    <w:rsid w:val="005C78C8"/>
    <w:rsid w:val="005D0524"/>
    <w:rsid w:val="005D169D"/>
    <w:rsid w:val="005E1F2E"/>
    <w:rsid w:val="005E2832"/>
    <w:rsid w:val="005E2FF2"/>
    <w:rsid w:val="005F12AF"/>
    <w:rsid w:val="005F217E"/>
    <w:rsid w:val="005F2187"/>
    <w:rsid w:val="005F2393"/>
    <w:rsid w:val="005F31A1"/>
    <w:rsid w:val="005F386D"/>
    <w:rsid w:val="005F74FA"/>
    <w:rsid w:val="006023B5"/>
    <w:rsid w:val="00613440"/>
    <w:rsid w:val="00615D12"/>
    <w:rsid w:val="00617B7F"/>
    <w:rsid w:val="006242F0"/>
    <w:rsid w:val="006316B1"/>
    <w:rsid w:val="00632A37"/>
    <w:rsid w:val="00636173"/>
    <w:rsid w:val="00637198"/>
    <w:rsid w:val="00640445"/>
    <w:rsid w:val="00645EB9"/>
    <w:rsid w:val="006465D2"/>
    <w:rsid w:val="0065616A"/>
    <w:rsid w:val="0066567C"/>
    <w:rsid w:val="006701F0"/>
    <w:rsid w:val="00680F51"/>
    <w:rsid w:val="00683A4B"/>
    <w:rsid w:val="00683F80"/>
    <w:rsid w:val="00691342"/>
    <w:rsid w:val="006A063F"/>
    <w:rsid w:val="006A6751"/>
    <w:rsid w:val="006B10E9"/>
    <w:rsid w:val="006B198C"/>
    <w:rsid w:val="006B27E0"/>
    <w:rsid w:val="006C004C"/>
    <w:rsid w:val="006C02BD"/>
    <w:rsid w:val="006C15DB"/>
    <w:rsid w:val="006D1DD8"/>
    <w:rsid w:val="006D4741"/>
    <w:rsid w:val="006D6465"/>
    <w:rsid w:val="006E1B6F"/>
    <w:rsid w:val="006E214D"/>
    <w:rsid w:val="006E25F6"/>
    <w:rsid w:val="006E55C1"/>
    <w:rsid w:val="006F6490"/>
    <w:rsid w:val="006F663A"/>
    <w:rsid w:val="00703BE0"/>
    <w:rsid w:val="00705CF5"/>
    <w:rsid w:val="007062A6"/>
    <w:rsid w:val="00713B94"/>
    <w:rsid w:val="00716CEC"/>
    <w:rsid w:val="00717537"/>
    <w:rsid w:val="007200CC"/>
    <w:rsid w:val="00724059"/>
    <w:rsid w:val="007246E1"/>
    <w:rsid w:val="00725DA6"/>
    <w:rsid w:val="00731F42"/>
    <w:rsid w:val="00732439"/>
    <w:rsid w:val="00734AF8"/>
    <w:rsid w:val="00745B89"/>
    <w:rsid w:val="00745F36"/>
    <w:rsid w:val="00752063"/>
    <w:rsid w:val="00755F22"/>
    <w:rsid w:val="0075633E"/>
    <w:rsid w:val="0075674E"/>
    <w:rsid w:val="00756E0D"/>
    <w:rsid w:val="00757472"/>
    <w:rsid w:val="00760514"/>
    <w:rsid w:val="00762C46"/>
    <w:rsid w:val="007679D8"/>
    <w:rsid w:val="00773068"/>
    <w:rsid w:val="00785937"/>
    <w:rsid w:val="00790401"/>
    <w:rsid w:val="00790AD2"/>
    <w:rsid w:val="0079264A"/>
    <w:rsid w:val="00796755"/>
    <w:rsid w:val="00796E71"/>
    <w:rsid w:val="007979A7"/>
    <w:rsid w:val="00797F75"/>
    <w:rsid w:val="007A1F12"/>
    <w:rsid w:val="007B1555"/>
    <w:rsid w:val="007C43C1"/>
    <w:rsid w:val="007D5014"/>
    <w:rsid w:val="007E2744"/>
    <w:rsid w:val="007E4EC4"/>
    <w:rsid w:val="007E6E4B"/>
    <w:rsid w:val="007F3F24"/>
    <w:rsid w:val="007F4B75"/>
    <w:rsid w:val="007F6498"/>
    <w:rsid w:val="007F6B18"/>
    <w:rsid w:val="008003E2"/>
    <w:rsid w:val="00806042"/>
    <w:rsid w:val="008122F2"/>
    <w:rsid w:val="008145A2"/>
    <w:rsid w:val="0081555F"/>
    <w:rsid w:val="0081639D"/>
    <w:rsid w:val="008174A6"/>
    <w:rsid w:val="00826F5D"/>
    <w:rsid w:val="008277B1"/>
    <w:rsid w:val="00831EE0"/>
    <w:rsid w:val="0083798F"/>
    <w:rsid w:val="00841B8C"/>
    <w:rsid w:val="008422F2"/>
    <w:rsid w:val="00845EDF"/>
    <w:rsid w:val="008475B8"/>
    <w:rsid w:val="00851E44"/>
    <w:rsid w:val="00852E5A"/>
    <w:rsid w:val="00856DAD"/>
    <w:rsid w:val="008624E2"/>
    <w:rsid w:val="008640BB"/>
    <w:rsid w:val="008667A9"/>
    <w:rsid w:val="00873479"/>
    <w:rsid w:val="0087426B"/>
    <w:rsid w:val="00882BEF"/>
    <w:rsid w:val="00884568"/>
    <w:rsid w:val="00885126"/>
    <w:rsid w:val="00886DE9"/>
    <w:rsid w:val="00890BB8"/>
    <w:rsid w:val="008911C0"/>
    <w:rsid w:val="00892CA9"/>
    <w:rsid w:val="00894644"/>
    <w:rsid w:val="008946A7"/>
    <w:rsid w:val="00894D7D"/>
    <w:rsid w:val="00897A5A"/>
    <w:rsid w:val="008A1C58"/>
    <w:rsid w:val="008A1E4C"/>
    <w:rsid w:val="008A25C5"/>
    <w:rsid w:val="008A7042"/>
    <w:rsid w:val="008B39F2"/>
    <w:rsid w:val="008B50A1"/>
    <w:rsid w:val="008B6DC1"/>
    <w:rsid w:val="008C091C"/>
    <w:rsid w:val="008C14F4"/>
    <w:rsid w:val="008C1870"/>
    <w:rsid w:val="008C30D2"/>
    <w:rsid w:val="008D4781"/>
    <w:rsid w:val="008D5E69"/>
    <w:rsid w:val="008D60C8"/>
    <w:rsid w:val="008E3D37"/>
    <w:rsid w:val="008E3E7D"/>
    <w:rsid w:val="008E61DF"/>
    <w:rsid w:val="008F04E0"/>
    <w:rsid w:val="008F0B87"/>
    <w:rsid w:val="008F18B3"/>
    <w:rsid w:val="008F1A0A"/>
    <w:rsid w:val="008F676D"/>
    <w:rsid w:val="00901C9A"/>
    <w:rsid w:val="0090243F"/>
    <w:rsid w:val="00903EB2"/>
    <w:rsid w:val="00904857"/>
    <w:rsid w:val="0090622E"/>
    <w:rsid w:val="00907F32"/>
    <w:rsid w:val="009102F8"/>
    <w:rsid w:val="00910E4A"/>
    <w:rsid w:val="009111CF"/>
    <w:rsid w:val="00913800"/>
    <w:rsid w:val="00914861"/>
    <w:rsid w:val="00916C88"/>
    <w:rsid w:val="00917106"/>
    <w:rsid w:val="00920F55"/>
    <w:rsid w:val="009265DD"/>
    <w:rsid w:val="009319AE"/>
    <w:rsid w:val="009375BF"/>
    <w:rsid w:val="0094130E"/>
    <w:rsid w:val="009617D1"/>
    <w:rsid w:val="00963E0B"/>
    <w:rsid w:val="009646F5"/>
    <w:rsid w:val="00973BC6"/>
    <w:rsid w:val="009757DA"/>
    <w:rsid w:val="00981E60"/>
    <w:rsid w:val="009822CC"/>
    <w:rsid w:val="00982820"/>
    <w:rsid w:val="009852F9"/>
    <w:rsid w:val="0099269F"/>
    <w:rsid w:val="00992B05"/>
    <w:rsid w:val="00994102"/>
    <w:rsid w:val="009942BE"/>
    <w:rsid w:val="009A5DA3"/>
    <w:rsid w:val="009B04F7"/>
    <w:rsid w:val="009B5565"/>
    <w:rsid w:val="009C3E78"/>
    <w:rsid w:val="009C7888"/>
    <w:rsid w:val="009D4BF5"/>
    <w:rsid w:val="009E0098"/>
    <w:rsid w:val="009E13FE"/>
    <w:rsid w:val="009E34CC"/>
    <w:rsid w:val="009E476E"/>
    <w:rsid w:val="009F4755"/>
    <w:rsid w:val="009F5929"/>
    <w:rsid w:val="009F642E"/>
    <w:rsid w:val="00A001B0"/>
    <w:rsid w:val="00A00A07"/>
    <w:rsid w:val="00A02455"/>
    <w:rsid w:val="00A03E79"/>
    <w:rsid w:val="00A107B3"/>
    <w:rsid w:val="00A12B6D"/>
    <w:rsid w:val="00A14898"/>
    <w:rsid w:val="00A17292"/>
    <w:rsid w:val="00A27332"/>
    <w:rsid w:val="00A310F3"/>
    <w:rsid w:val="00A325B7"/>
    <w:rsid w:val="00A32644"/>
    <w:rsid w:val="00A3724D"/>
    <w:rsid w:val="00A37A9B"/>
    <w:rsid w:val="00A4008F"/>
    <w:rsid w:val="00A42FBD"/>
    <w:rsid w:val="00A5113C"/>
    <w:rsid w:val="00A525B9"/>
    <w:rsid w:val="00A575FC"/>
    <w:rsid w:val="00A5797D"/>
    <w:rsid w:val="00A66AC8"/>
    <w:rsid w:val="00A67863"/>
    <w:rsid w:val="00A70557"/>
    <w:rsid w:val="00A739EA"/>
    <w:rsid w:val="00A73FDA"/>
    <w:rsid w:val="00A77317"/>
    <w:rsid w:val="00A90826"/>
    <w:rsid w:val="00A93476"/>
    <w:rsid w:val="00A95FB0"/>
    <w:rsid w:val="00AB3000"/>
    <w:rsid w:val="00AB6599"/>
    <w:rsid w:val="00AC3F17"/>
    <w:rsid w:val="00AE1221"/>
    <w:rsid w:val="00AF205E"/>
    <w:rsid w:val="00AF41B0"/>
    <w:rsid w:val="00AF5A70"/>
    <w:rsid w:val="00AF7AF9"/>
    <w:rsid w:val="00B017A5"/>
    <w:rsid w:val="00B04019"/>
    <w:rsid w:val="00B04D1F"/>
    <w:rsid w:val="00B0622B"/>
    <w:rsid w:val="00B111AB"/>
    <w:rsid w:val="00B20994"/>
    <w:rsid w:val="00B2713B"/>
    <w:rsid w:val="00B2773F"/>
    <w:rsid w:val="00B30895"/>
    <w:rsid w:val="00B328C8"/>
    <w:rsid w:val="00B334A0"/>
    <w:rsid w:val="00B34AB1"/>
    <w:rsid w:val="00B34DB3"/>
    <w:rsid w:val="00B50669"/>
    <w:rsid w:val="00B509AD"/>
    <w:rsid w:val="00B5283A"/>
    <w:rsid w:val="00B546CE"/>
    <w:rsid w:val="00B56A4E"/>
    <w:rsid w:val="00B5762E"/>
    <w:rsid w:val="00B7284B"/>
    <w:rsid w:val="00B73C52"/>
    <w:rsid w:val="00B80C9B"/>
    <w:rsid w:val="00B81AB7"/>
    <w:rsid w:val="00B8365D"/>
    <w:rsid w:val="00B906DF"/>
    <w:rsid w:val="00B91F92"/>
    <w:rsid w:val="00B946A3"/>
    <w:rsid w:val="00BA010D"/>
    <w:rsid w:val="00BA3E54"/>
    <w:rsid w:val="00BA75AF"/>
    <w:rsid w:val="00BD1EDB"/>
    <w:rsid w:val="00BE1FE1"/>
    <w:rsid w:val="00BE2981"/>
    <w:rsid w:val="00BF056F"/>
    <w:rsid w:val="00BF2BC5"/>
    <w:rsid w:val="00BF321E"/>
    <w:rsid w:val="00BF3BAC"/>
    <w:rsid w:val="00BF50D6"/>
    <w:rsid w:val="00C00032"/>
    <w:rsid w:val="00C129B9"/>
    <w:rsid w:val="00C12DE6"/>
    <w:rsid w:val="00C15B7B"/>
    <w:rsid w:val="00C23E57"/>
    <w:rsid w:val="00C260C9"/>
    <w:rsid w:val="00C26E3E"/>
    <w:rsid w:val="00C32699"/>
    <w:rsid w:val="00C35494"/>
    <w:rsid w:val="00C42B54"/>
    <w:rsid w:val="00C43F22"/>
    <w:rsid w:val="00C4471E"/>
    <w:rsid w:val="00C44B4E"/>
    <w:rsid w:val="00C50737"/>
    <w:rsid w:val="00C50F62"/>
    <w:rsid w:val="00C54CD1"/>
    <w:rsid w:val="00C57A84"/>
    <w:rsid w:val="00C6176E"/>
    <w:rsid w:val="00C61F00"/>
    <w:rsid w:val="00C6719E"/>
    <w:rsid w:val="00C7169D"/>
    <w:rsid w:val="00C76E4E"/>
    <w:rsid w:val="00C8418E"/>
    <w:rsid w:val="00C84CC1"/>
    <w:rsid w:val="00C91699"/>
    <w:rsid w:val="00C97CC2"/>
    <w:rsid w:val="00C97F2B"/>
    <w:rsid w:val="00CA080B"/>
    <w:rsid w:val="00CA25B2"/>
    <w:rsid w:val="00CA2A88"/>
    <w:rsid w:val="00CB359C"/>
    <w:rsid w:val="00CC0085"/>
    <w:rsid w:val="00CC21C9"/>
    <w:rsid w:val="00CC51FF"/>
    <w:rsid w:val="00CC57BA"/>
    <w:rsid w:val="00CD62FF"/>
    <w:rsid w:val="00CE2434"/>
    <w:rsid w:val="00CE4C99"/>
    <w:rsid w:val="00CE5EE2"/>
    <w:rsid w:val="00CE7358"/>
    <w:rsid w:val="00CF3FB4"/>
    <w:rsid w:val="00D00048"/>
    <w:rsid w:val="00D0044E"/>
    <w:rsid w:val="00D07E76"/>
    <w:rsid w:val="00D07EC9"/>
    <w:rsid w:val="00D10D3A"/>
    <w:rsid w:val="00D2010B"/>
    <w:rsid w:val="00D20E23"/>
    <w:rsid w:val="00D21C2C"/>
    <w:rsid w:val="00D2517B"/>
    <w:rsid w:val="00D25F7E"/>
    <w:rsid w:val="00D27573"/>
    <w:rsid w:val="00D3030F"/>
    <w:rsid w:val="00D3273A"/>
    <w:rsid w:val="00D401C8"/>
    <w:rsid w:val="00D40E5E"/>
    <w:rsid w:val="00D42F12"/>
    <w:rsid w:val="00D435F4"/>
    <w:rsid w:val="00D477C4"/>
    <w:rsid w:val="00D55AD3"/>
    <w:rsid w:val="00D55BB5"/>
    <w:rsid w:val="00D6141A"/>
    <w:rsid w:val="00D6160E"/>
    <w:rsid w:val="00D61976"/>
    <w:rsid w:val="00D643F1"/>
    <w:rsid w:val="00D7043B"/>
    <w:rsid w:val="00D7062B"/>
    <w:rsid w:val="00D70B5C"/>
    <w:rsid w:val="00D70ECD"/>
    <w:rsid w:val="00D735B7"/>
    <w:rsid w:val="00D776B6"/>
    <w:rsid w:val="00D8563F"/>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28D"/>
    <w:rsid w:val="00DC6AE7"/>
    <w:rsid w:val="00DD1BE1"/>
    <w:rsid w:val="00DD1F06"/>
    <w:rsid w:val="00DD276E"/>
    <w:rsid w:val="00DD35AB"/>
    <w:rsid w:val="00DD6763"/>
    <w:rsid w:val="00DE21C3"/>
    <w:rsid w:val="00DE5974"/>
    <w:rsid w:val="00DF189F"/>
    <w:rsid w:val="00DF2553"/>
    <w:rsid w:val="00DF6946"/>
    <w:rsid w:val="00E03CCC"/>
    <w:rsid w:val="00E061E1"/>
    <w:rsid w:val="00E07C76"/>
    <w:rsid w:val="00E10006"/>
    <w:rsid w:val="00E104D1"/>
    <w:rsid w:val="00E11F8B"/>
    <w:rsid w:val="00E1699D"/>
    <w:rsid w:val="00E25F9C"/>
    <w:rsid w:val="00E31153"/>
    <w:rsid w:val="00E360E5"/>
    <w:rsid w:val="00E3647D"/>
    <w:rsid w:val="00E450CC"/>
    <w:rsid w:val="00E46FDA"/>
    <w:rsid w:val="00E507FC"/>
    <w:rsid w:val="00E54EEF"/>
    <w:rsid w:val="00E5669C"/>
    <w:rsid w:val="00E61A8D"/>
    <w:rsid w:val="00E63058"/>
    <w:rsid w:val="00E638CC"/>
    <w:rsid w:val="00E64FA9"/>
    <w:rsid w:val="00E73450"/>
    <w:rsid w:val="00E73568"/>
    <w:rsid w:val="00E8348A"/>
    <w:rsid w:val="00E871F3"/>
    <w:rsid w:val="00E90359"/>
    <w:rsid w:val="00E90510"/>
    <w:rsid w:val="00E94F29"/>
    <w:rsid w:val="00E955B8"/>
    <w:rsid w:val="00E96219"/>
    <w:rsid w:val="00EA449D"/>
    <w:rsid w:val="00EA6405"/>
    <w:rsid w:val="00EB0DC4"/>
    <w:rsid w:val="00EB0EDA"/>
    <w:rsid w:val="00EB4D22"/>
    <w:rsid w:val="00EB64CF"/>
    <w:rsid w:val="00EB6E48"/>
    <w:rsid w:val="00EB72F2"/>
    <w:rsid w:val="00EC2A84"/>
    <w:rsid w:val="00EC3758"/>
    <w:rsid w:val="00EC4B09"/>
    <w:rsid w:val="00EC5142"/>
    <w:rsid w:val="00EC6B13"/>
    <w:rsid w:val="00ED0A15"/>
    <w:rsid w:val="00ED3BA5"/>
    <w:rsid w:val="00ED6FD1"/>
    <w:rsid w:val="00EE0513"/>
    <w:rsid w:val="00EE278D"/>
    <w:rsid w:val="00EE5809"/>
    <w:rsid w:val="00EE5FED"/>
    <w:rsid w:val="00EF09B1"/>
    <w:rsid w:val="00EF33AC"/>
    <w:rsid w:val="00EF3FD3"/>
    <w:rsid w:val="00EF62CE"/>
    <w:rsid w:val="00F01773"/>
    <w:rsid w:val="00F052B9"/>
    <w:rsid w:val="00F056ED"/>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521D3"/>
    <w:rsid w:val="00F52217"/>
    <w:rsid w:val="00F670B0"/>
    <w:rsid w:val="00F679B4"/>
    <w:rsid w:val="00F76054"/>
    <w:rsid w:val="00F76E31"/>
    <w:rsid w:val="00F77726"/>
    <w:rsid w:val="00F77DF3"/>
    <w:rsid w:val="00F83493"/>
    <w:rsid w:val="00F85D04"/>
    <w:rsid w:val="00F860CE"/>
    <w:rsid w:val="00F90A82"/>
    <w:rsid w:val="00F93A27"/>
    <w:rsid w:val="00F93B87"/>
    <w:rsid w:val="00F94A27"/>
    <w:rsid w:val="00F97820"/>
    <w:rsid w:val="00FA07A9"/>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F09BF"/>
    <w:rsid w:val="00FF34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9C1D6E15-90F8-4D3C-8D41-911B7CD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19"/>
      </w:numPr>
    </w:pPr>
  </w:style>
  <w:style w:type="paragraph" w:customStyle="1" w:styleId="NormalBullet-">
    <w:name w:val="Normal Bullet (-)"/>
    <w:basedOn w:val="Normal"/>
    <w:uiPriority w:val="5"/>
    <w:qFormat/>
    <w:rsid w:val="0021141B"/>
    <w:pPr>
      <w:numPr>
        <w:ilvl w:val="5"/>
        <w:numId w:val="19"/>
      </w:numPr>
    </w:pPr>
  </w:style>
  <w:style w:type="paragraph" w:customStyle="1" w:styleId="NormalBulletalpha">
    <w:name w:val="Normal Bullet (alpha)"/>
    <w:basedOn w:val="Normal"/>
    <w:uiPriority w:val="5"/>
    <w:qFormat/>
    <w:rsid w:val="0021141B"/>
    <w:pPr>
      <w:numPr>
        <w:ilvl w:val="1"/>
        <w:numId w:val="19"/>
      </w:numPr>
    </w:pPr>
  </w:style>
  <w:style w:type="paragraph" w:customStyle="1" w:styleId="NormalBulletroman">
    <w:name w:val="Normal Bullet (roman)"/>
    <w:basedOn w:val="Normal"/>
    <w:uiPriority w:val="5"/>
    <w:qFormat/>
    <w:rsid w:val="0021141B"/>
    <w:pPr>
      <w:numPr>
        <w:ilvl w:val="2"/>
        <w:numId w:val="19"/>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8"/>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9"/>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9"/>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1"/>
      </w:numPr>
    </w:pPr>
  </w:style>
  <w:style w:type="paragraph" w:customStyle="1" w:styleId="AnnexParagraph">
    <w:name w:val="Annex Paragraph"/>
    <w:basedOn w:val="Normal"/>
    <w:uiPriority w:val="22"/>
    <w:qFormat/>
    <w:rsid w:val="008A25C5"/>
    <w:pPr>
      <w:numPr>
        <w:ilvl w:val="1"/>
        <w:numId w:val="21"/>
      </w:numPr>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numPr>
        <w:ilvl w:val="2"/>
        <w:numId w:val="21"/>
      </w:numPr>
    </w:pPr>
  </w:style>
  <w:style w:type="paragraph" w:customStyle="1" w:styleId="AnnexBulletroman">
    <w:name w:val="Annex Bullet (roman)"/>
    <w:basedOn w:val="Normal"/>
    <w:uiPriority w:val="24"/>
    <w:qFormat/>
    <w:rsid w:val="008A25C5"/>
    <w:pPr>
      <w:numPr>
        <w:ilvl w:val="3"/>
        <w:numId w:val="21"/>
      </w:numPr>
    </w:pPr>
  </w:style>
  <w:style w:type="paragraph" w:customStyle="1" w:styleId="AnnexBulletnumber">
    <w:name w:val="Annex Bullet (number)"/>
    <w:basedOn w:val="Normal"/>
    <w:uiPriority w:val="25"/>
    <w:qFormat/>
    <w:rsid w:val="008A25C5"/>
    <w:pPr>
      <w:numPr>
        <w:ilvl w:val="4"/>
        <w:numId w:val="21"/>
      </w:numPr>
    </w:pPr>
  </w:style>
  <w:style w:type="paragraph" w:customStyle="1" w:styleId="AnnexBulletround">
    <w:name w:val="Annex Bullet (round)"/>
    <w:basedOn w:val="Normal"/>
    <w:uiPriority w:val="23"/>
    <w:qFormat/>
    <w:rsid w:val="008A25C5"/>
    <w:pPr>
      <w:numPr>
        <w:ilvl w:val="5"/>
        <w:numId w:val="21"/>
      </w:numPr>
    </w:pPr>
  </w:style>
  <w:style w:type="paragraph" w:customStyle="1" w:styleId="AnnexBullet-">
    <w:name w:val="Annex Bullet (-)"/>
    <w:basedOn w:val="Normal"/>
    <w:uiPriority w:val="24"/>
    <w:qFormat/>
    <w:rsid w:val="008A25C5"/>
    <w:pPr>
      <w:numPr>
        <w:ilvl w:val="6"/>
        <w:numId w:val="21"/>
      </w:numPr>
    </w:pPr>
  </w:style>
  <w:style w:type="paragraph" w:customStyle="1" w:styleId="AnnexTableTitle">
    <w:name w:val="Annex TableTitle"/>
    <w:basedOn w:val="Normal"/>
    <w:next w:val="AnnexParagraph"/>
    <w:uiPriority w:val="18"/>
    <w:qFormat/>
    <w:rsid w:val="008A25C5"/>
    <w:pPr>
      <w:numPr>
        <w:ilvl w:val="7"/>
        <w:numId w:val="21"/>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9"/>
      </w:numPr>
    </w:pPr>
    <w:rPr>
      <w:b/>
    </w:rPr>
  </w:style>
  <w:style w:type="paragraph" w:customStyle="1" w:styleId="NormalFigureTitle">
    <w:name w:val="Normal FigureTitle"/>
    <w:basedOn w:val="Normal"/>
    <w:next w:val="Normal"/>
    <w:uiPriority w:val="26"/>
    <w:qFormat/>
    <w:rsid w:val="0021141B"/>
    <w:pPr>
      <w:keepNext/>
      <w:keepLines/>
      <w:numPr>
        <w:ilvl w:val="7"/>
        <w:numId w:val="19"/>
      </w:numPr>
    </w:pPr>
    <w:rPr>
      <w:b/>
    </w:rPr>
  </w:style>
  <w:style w:type="paragraph" w:customStyle="1" w:styleId="AnnexFigureTitle">
    <w:name w:val="Annex FigureTitle"/>
    <w:basedOn w:val="Normal"/>
    <w:next w:val="Normal"/>
    <w:uiPriority w:val="26"/>
    <w:rsid w:val="008A25C5"/>
    <w:pPr>
      <w:keepNext/>
      <w:keepLines/>
      <w:numPr>
        <w:ilvl w:val="8"/>
        <w:numId w:val="21"/>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www.nationalarchives.gov.uk/doc/open-government-licence/version/3" TargetMode="External"/><Relationship Id="rId21" Type="http://schemas.openxmlformats.org/officeDocument/2006/relationships/hyperlink" Target="https://www.orr.gov.uk/" TargetMode="Externa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4.png"/><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8.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yperlink" Target="mailto:procurementteam@orr.gov.uk" TargetMode="External"/><Relationship Id="rId36"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orr.gov.uk/media/23638" TargetMode="External"/><Relationship Id="rId27" Type="http://schemas.openxmlformats.org/officeDocument/2006/relationships/hyperlink" Target="https://www.gov.uk/contracts-finder" TargetMode="External"/><Relationship Id="rId30" Type="http://schemas.openxmlformats.org/officeDocument/2006/relationships/header" Target="header10.xm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nkeleHarriet\AppData\Roaming\Microsoft\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umnst777 Lt BT">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D34EA"/>
    <w:rsid w:val="004D2AD1"/>
    <w:rsid w:val="00843948"/>
    <w:rsid w:val="009E0644"/>
    <w:rsid w:val="00A257DF"/>
    <w:rsid w:val="00A72823"/>
    <w:rsid w:val="00F06A05"/>
    <w:rsid w:val="00F26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1328</TotalTime>
  <Pages>22</Pages>
  <Words>4866</Words>
  <Characters>27737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French / English interpretation and translation services</dc:subject>
  <dc:creator>Angeriz-Santos, Paula</dc:creator>
  <cp:keywords/>
  <dc:description/>
  <cp:lastModifiedBy>Dinkele, Harriet</cp:lastModifiedBy>
  <cp:revision>12</cp:revision>
  <cp:lastPrinted>2021-02-24T15:29:00Z</cp:lastPrinted>
  <dcterms:created xsi:type="dcterms:W3CDTF">2023-01-10T10:50:00Z</dcterms:created>
  <dcterms:modified xsi:type="dcterms:W3CDTF">2023-01-11T09:33:00Z</dcterms:modified>
</cp:coreProperties>
</file>