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both"/>
        <w:rPr/>
      </w:pPr>
      <w:r w:rsidDel="00000000" w:rsidR="00000000" w:rsidRPr="00000000">
        <w:rPr/>
        <w:drawing>
          <wp:inline distB="0" distT="0" distL="0" distR="0">
            <wp:extent cx="1828800" cy="971550"/>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rPr/>
      </w:pPr>
      <w:r w:rsidDel="00000000" w:rsidR="00000000" w:rsidRPr="00000000">
        <w:rPr>
          <w:rtl w:val="0"/>
        </w:rPr>
        <w:t xml:space="preserve"> </w:t>
      </w:r>
    </w:p>
    <w:p w:rsidR="00000000" w:rsidDel="00000000" w:rsidP="00000000" w:rsidRDefault="00000000" w:rsidRPr="00000000" w14:paraId="00000004">
      <w:pPr>
        <w:pStyle w:val="Heading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240" w:line="240" w:lineRule="auto"/>
        <w:ind w:right="720"/>
        <w:rPr>
          <w:b w:val="1"/>
          <w:sz w:val="22"/>
          <w:szCs w:val="22"/>
        </w:rPr>
      </w:pPr>
      <w:bookmarkStart w:colFirst="0" w:colLast="0" w:name="_heading=h.hz0cs1umj52x" w:id="0"/>
      <w:bookmarkEnd w:id="0"/>
      <w:r w:rsidDel="00000000" w:rsidR="00000000" w:rsidRPr="00000000">
        <w:rPr>
          <w:b w:val="1"/>
          <w:sz w:val="22"/>
          <w:szCs w:val="22"/>
          <w:rtl w:val="0"/>
        </w:rPr>
        <w:t xml:space="preserve">COSTINGS TEMPLATE</w:t>
      </w:r>
    </w:p>
    <w:tbl>
      <w:tblPr>
        <w:tblStyle w:val="Table1"/>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0"/>
        <w:gridCol w:w="2074"/>
        <w:gridCol w:w="1511"/>
        <w:gridCol w:w="1110"/>
        <w:gridCol w:w="1140"/>
        <w:tblGridChange w:id="0">
          <w:tblGrid>
            <w:gridCol w:w="3450"/>
            <w:gridCol w:w="2074"/>
            <w:gridCol w:w="1511"/>
            <w:gridCol w:w="1110"/>
            <w:gridCol w:w="1140"/>
          </w:tblGrid>
        </w:tblGridChange>
      </w:tblGrid>
      <w:tr>
        <w:trPr>
          <w:cantSplit w:val="0"/>
          <w:trHeight w:val="845" w:hRule="atLeast"/>
          <w:tblHeader w:val="0"/>
        </w:trPr>
        <w:tc>
          <w:tcPr>
            <w:shd w:fill="auto" w:val="clear"/>
            <w:vAlign w:val="center"/>
          </w:tcPr>
          <w:p w:rsidR="00000000" w:rsidDel="00000000" w:rsidP="00000000" w:rsidRDefault="00000000" w:rsidRPr="00000000" w14:paraId="00000005">
            <w:pPr>
              <w:widowControl w:val="0"/>
              <w:spacing w:after="240" w:line="240" w:lineRule="auto"/>
              <w:ind w:left="720" w:hanging="360"/>
              <w:jc w:val="center"/>
              <w:rPr>
                <w:b w:val="1"/>
                <w:sz w:val="20"/>
                <w:szCs w:val="20"/>
              </w:rPr>
            </w:pPr>
            <w:r w:rsidDel="00000000" w:rsidR="00000000" w:rsidRPr="00000000">
              <w:rPr>
                <w:b w:val="1"/>
                <w:sz w:val="20"/>
                <w:szCs w:val="20"/>
                <w:rtl w:val="0"/>
              </w:rPr>
              <w:t xml:space="preserve">Activity</w:t>
            </w:r>
          </w:p>
        </w:tc>
        <w:tc>
          <w:tcPr/>
          <w:p w:rsidR="00000000" w:rsidDel="00000000" w:rsidP="00000000" w:rsidRDefault="00000000" w:rsidRPr="00000000" w14:paraId="00000006">
            <w:pPr>
              <w:widowControl w:val="0"/>
              <w:spacing w:after="240" w:line="240" w:lineRule="auto"/>
              <w:ind w:left="113" w:right="113" w:firstLine="6.999999999999993"/>
              <w:jc w:val="center"/>
              <w:rPr>
                <w:b w:val="1"/>
                <w:sz w:val="20"/>
                <w:szCs w:val="20"/>
              </w:rPr>
            </w:pPr>
            <w:r w:rsidDel="00000000" w:rsidR="00000000" w:rsidRPr="00000000">
              <w:rPr>
                <w:b w:val="1"/>
                <w:sz w:val="20"/>
                <w:szCs w:val="20"/>
                <w:rtl w:val="0"/>
              </w:rPr>
              <w:t xml:space="preserve">Type of cost </w:t>
            </w:r>
            <w:r w:rsidDel="00000000" w:rsidR="00000000" w:rsidRPr="00000000">
              <w:rPr>
                <w:sz w:val="20"/>
                <w:szCs w:val="20"/>
                <w:rtl w:val="0"/>
              </w:rPr>
              <w:t xml:space="preserve">(i.e. professional costs or admin costs)</w:t>
            </w:r>
            <w:r w:rsidDel="00000000" w:rsidR="00000000" w:rsidRPr="00000000">
              <w:rPr>
                <w:rtl w:val="0"/>
              </w:rPr>
            </w:r>
          </w:p>
        </w:tc>
        <w:tc>
          <w:tcPr>
            <w:shd w:fill="ffe599" w:val="clear"/>
            <w:vAlign w:val="center"/>
          </w:tcPr>
          <w:p w:rsidR="00000000" w:rsidDel="00000000" w:rsidP="00000000" w:rsidRDefault="00000000" w:rsidRPr="00000000" w14:paraId="00000007">
            <w:pPr>
              <w:widowControl w:val="0"/>
              <w:spacing w:after="240" w:line="240" w:lineRule="auto"/>
              <w:ind w:left="113" w:right="113" w:hanging="6.999999999999993"/>
              <w:jc w:val="center"/>
              <w:rPr>
                <w:b w:val="1"/>
                <w:sz w:val="20"/>
                <w:szCs w:val="20"/>
              </w:rPr>
            </w:pPr>
            <w:r w:rsidDel="00000000" w:rsidR="00000000" w:rsidRPr="00000000">
              <w:rPr>
                <w:b w:val="1"/>
                <w:sz w:val="20"/>
                <w:szCs w:val="20"/>
                <w:rtl w:val="0"/>
              </w:rPr>
              <w:t xml:space="preserve">Personnel</w:t>
            </w:r>
          </w:p>
        </w:tc>
        <w:tc>
          <w:tcPr>
            <w:shd w:fill="ffe599" w:val="clear"/>
          </w:tcPr>
          <w:p w:rsidR="00000000" w:rsidDel="00000000" w:rsidP="00000000" w:rsidRDefault="00000000" w:rsidRPr="00000000" w14:paraId="00000008">
            <w:pPr>
              <w:widowControl w:val="0"/>
              <w:spacing w:after="240" w:line="240" w:lineRule="auto"/>
              <w:ind w:left="113" w:right="113" w:hanging="180"/>
              <w:jc w:val="center"/>
              <w:rPr>
                <w:b w:val="1"/>
                <w:sz w:val="20"/>
                <w:szCs w:val="20"/>
              </w:rPr>
            </w:pPr>
            <w:r w:rsidDel="00000000" w:rsidR="00000000" w:rsidRPr="00000000">
              <w:rPr>
                <w:b w:val="1"/>
                <w:sz w:val="20"/>
                <w:szCs w:val="20"/>
                <w:rtl w:val="0"/>
              </w:rPr>
              <w:t xml:space="preserve">Total</w:t>
            </w:r>
          </w:p>
          <w:p w:rsidR="00000000" w:rsidDel="00000000" w:rsidP="00000000" w:rsidRDefault="00000000" w:rsidRPr="00000000" w14:paraId="00000009">
            <w:pPr>
              <w:widowControl w:val="0"/>
              <w:spacing w:after="240" w:line="240" w:lineRule="auto"/>
              <w:ind w:left="113" w:right="113" w:hanging="180"/>
              <w:jc w:val="center"/>
              <w:rPr>
                <w:b w:val="1"/>
                <w:sz w:val="20"/>
                <w:szCs w:val="20"/>
              </w:rPr>
            </w:pPr>
            <w:r w:rsidDel="00000000" w:rsidR="00000000" w:rsidRPr="00000000">
              <w:rPr>
                <w:b w:val="1"/>
                <w:sz w:val="20"/>
                <w:szCs w:val="20"/>
                <w:rtl w:val="0"/>
              </w:rPr>
              <w:t xml:space="preserve">Days</w:t>
            </w:r>
          </w:p>
        </w:tc>
        <w:tc>
          <w:tcPr>
            <w:shd w:fill="ffe599" w:val="clear"/>
          </w:tcPr>
          <w:p w:rsidR="00000000" w:rsidDel="00000000" w:rsidP="00000000" w:rsidRDefault="00000000" w:rsidRPr="00000000" w14:paraId="0000000A">
            <w:pPr>
              <w:widowControl w:val="0"/>
              <w:spacing w:after="240" w:line="240" w:lineRule="auto"/>
              <w:ind w:left="113" w:right="113" w:hanging="154"/>
              <w:jc w:val="center"/>
              <w:rPr>
                <w:b w:val="1"/>
                <w:sz w:val="20"/>
                <w:szCs w:val="20"/>
              </w:rPr>
            </w:pPr>
            <w:r w:rsidDel="00000000" w:rsidR="00000000" w:rsidRPr="00000000">
              <w:rPr>
                <w:b w:val="1"/>
                <w:sz w:val="20"/>
                <w:szCs w:val="20"/>
                <w:rtl w:val="0"/>
              </w:rPr>
              <w:t xml:space="preserve">Total</w:t>
            </w:r>
          </w:p>
          <w:p w:rsidR="00000000" w:rsidDel="00000000" w:rsidP="00000000" w:rsidRDefault="00000000" w:rsidRPr="00000000" w14:paraId="0000000B">
            <w:pPr>
              <w:widowControl w:val="0"/>
              <w:spacing w:after="240" w:line="240" w:lineRule="auto"/>
              <w:ind w:left="113" w:right="113" w:hanging="154"/>
              <w:jc w:val="center"/>
              <w:rPr>
                <w:b w:val="1"/>
                <w:sz w:val="20"/>
                <w:szCs w:val="20"/>
              </w:rPr>
            </w:pPr>
            <w:r w:rsidDel="00000000" w:rsidR="00000000" w:rsidRPr="00000000">
              <w:rPr>
                <w:b w:val="1"/>
                <w:sz w:val="20"/>
                <w:szCs w:val="20"/>
                <w:rtl w:val="0"/>
              </w:rPr>
              <w:t xml:space="preserve">Cost</w:t>
            </w:r>
          </w:p>
        </w:tc>
      </w:tr>
      <w:tr>
        <w:trPr>
          <w:cantSplit w:val="0"/>
          <w:trHeight w:val="415" w:hRule="atLeast"/>
          <w:tblHeader w:val="0"/>
        </w:trPr>
        <w:tc>
          <w:tcPr>
            <w:shd w:fill="auto" w:val="clear"/>
            <w:vAlign w:val="center"/>
          </w:tcPr>
          <w:p w:rsidR="00000000" w:rsidDel="00000000" w:rsidP="00000000" w:rsidRDefault="00000000" w:rsidRPr="00000000" w14:paraId="0000000C">
            <w:pPr>
              <w:widowControl w:val="0"/>
              <w:spacing w:after="240" w:line="240" w:lineRule="auto"/>
              <w:ind w:left="720" w:hanging="360"/>
              <w:rPr>
                <w:b w:val="1"/>
                <w:sz w:val="20"/>
                <w:szCs w:val="20"/>
              </w:rPr>
            </w:pPr>
            <w:r w:rsidDel="00000000" w:rsidR="00000000" w:rsidRPr="00000000">
              <w:rPr>
                <w:b w:val="1"/>
                <w:sz w:val="20"/>
                <w:szCs w:val="20"/>
                <w:rtl w:val="0"/>
              </w:rPr>
              <w:t xml:space="preserve">Date rates:</w:t>
            </w:r>
          </w:p>
        </w:tc>
        <w:tc>
          <w:tcPr/>
          <w:p w:rsidR="00000000" w:rsidDel="00000000" w:rsidP="00000000" w:rsidRDefault="00000000" w:rsidRPr="00000000" w14:paraId="0000000D">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0E">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0F">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10">
            <w:pPr>
              <w:widowControl w:val="0"/>
              <w:spacing w:after="240" w:line="240" w:lineRule="auto"/>
              <w:ind w:left="113" w:right="113" w:hanging="360"/>
              <w:jc w:val="center"/>
              <w:rPr>
                <w:b w:val="1"/>
                <w:sz w:val="20"/>
                <w:szCs w:val="20"/>
              </w:rPr>
            </w:pPr>
            <w:r w:rsidDel="00000000" w:rsidR="00000000" w:rsidRPr="00000000">
              <w:rPr>
                <w:rtl w:val="0"/>
              </w:rPr>
            </w:r>
          </w:p>
        </w:tc>
      </w:tr>
      <w:tr>
        <w:trPr>
          <w:cantSplit w:val="0"/>
          <w:trHeight w:val="556" w:hRule="atLeast"/>
          <w:tblHeader w:val="0"/>
        </w:trPr>
        <w:tc>
          <w:tcPr>
            <w:shd w:fill="auto" w:val="clear"/>
            <w:vAlign w:val="center"/>
          </w:tcPr>
          <w:p w:rsidR="00000000" w:rsidDel="00000000" w:rsidP="00000000" w:rsidRDefault="00000000" w:rsidRPr="00000000" w14:paraId="00000011">
            <w:pPr>
              <w:widowControl w:val="0"/>
              <w:spacing w:after="240" w:line="240" w:lineRule="auto"/>
              <w:ind w:left="720" w:hanging="360"/>
              <w:rPr>
                <w:b w:val="1"/>
                <w:sz w:val="20"/>
                <w:szCs w:val="20"/>
              </w:rPr>
            </w:pPr>
            <w:r w:rsidDel="00000000" w:rsidR="00000000" w:rsidRPr="00000000">
              <w:rPr>
                <w:rtl w:val="0"/>
              </w:rPr>
            </w:r>
          </w:p>
        </w:tc>
        <w:tc>
          <w:tcPr/>
          <w:p w:rsidR="00000000" w:rsidDel="00000000" w:rsidP="00000000" w:rsidRDefault="00000000" w:rsidRPr="00000000" w14:paraId="00000012">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13">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14">
            <w:pPr>
              <w:widowControl w:val="0"/>
              <w:spacing w:after="240" w:line="240" w:lineRule="auto"/>
              <w:ind w:left="113" w:right="113"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15">
            <w:pPr>
              <w:widowControl w:val="0"/>
              <w:spacing w:after="240" w:line="240" w:lineRule="auto"/>
              <w:ind w:left="113" w:right="113" w:hanging="360"/>
              <w:jc w:val="center"/>
              <w:rPr>
                <w:b w:val="1"/>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6">
            <w:pPr>
              <w:widowControl w:val="0"/>
              <w:spacing w:after="240" w:line="240" w:lineRule="auto"/>
              <w:ind w:left="720" w:hanging="360"/>
              <w:rPr>
                <w:sz w:val="20"/>
                <w:szCs w:val="20"/>
              </w:rPr>
            </w:pPr>
            <w:r w:rsidDel="00000000" w:rsidR="00000000" w:rsidRPr="00000000">
              <w:rPr>
                <w:rtl w:val="0"/>
              </w:rPr>
            </w:r>
          </w:p>
        </w:tc>
        <w:tc>
          <w:tcPr/>
          <w:p w:rsidR="00000000" w:rsidDel="00000000" w:rsidP="00000000" w:rsidRDefault="00000000" w:rsidRPr="00000000" w14:paraId="00000017">
            <w:pPr>
              <w:widowControl w:val="0"/>
              <w:spacing w:after="240" w:line="240" w:lineRule="auto"/>
              <w:ind w:left="720" w:hanging="360"/>
              <w:jc w:val="center"/>
              <w:rPr>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18">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19">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1A">
            <w:pPr>
              <w:widowControl w:val="0"/>
              <w:spacing w:after="240" w:line="240" w:lineRule="auto"/>
              <w:ind w:left="720" w:hanging="360"/>
              <w:jc w:val="center"/>
              <w:rPr>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1B">
            <w:pPr>
              <w:widowControl w:val="0"/>
              <w:spacing w:after="240" w:line="240" w:lineRule="auto"/>
              <w:jc w:val="both"/>
              <w:rPr>
                <w:sz w:val="20"/>
                <w:szCs w:val="20"/>
              </w:rPr>
            </w:pPr>
            <w:r w:rsidDel="00000000" w:rsidR="00000000" w:rsidRPr="00000000">
              <w:rPr>
                <w:rtl w:val="0"/>
              </w:rPr>
            </w:r>
          </w:p>
        </w:tc>
        <w:tc>
          <w:tcPr/>
          <w:p w:rsidR="00000000" w:rsidDel="00000000" w:rsidP="00000000" w:rsidRDefault="00000000" w:rsidRPr="00000000" w14:paraId="0000001C">
            <w:pPr>
              <w:widowControl w:val="0"/>
              <w:spacing w:after="240" w:line="240" w:lineRule="auto"/>
              <w:ind w:left="720" w:hanging="360"/>
              <w:jc w:val="center"/>
              <w:rPr>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1D">
            <w:pPr>
              <w:widowControl w:val="0"/>
              <w:spacing w:after="240" w:line="240" w:lineRule="auto"/>
              <w:ind w:left="720" w:hanging="360"/>
              <w:rPr>
                <w:sz w:val="20"/>
                <w:szCs w:val="20"/>
              </w:rPr>
            </w:pPr>
            <w:r w:rsidDel="00000000" w:rsidR="00000000" w:rsidRPr="00000000">
              <w:rPr>
                <w:rtl w:val="0"/>
              </w:rPr>
            </w:r>
          </w:p>
        </w:tc>
        <w:tc>
          <w:tcPr>
            <w:shd w:fill="ffe599" w:val="clear"/>
          </w:tcPr>
          <w:p w:rsidR="00000000" w:rsidDel="00000000" w:rsidP="00000000" w:rsidRDefault="00000000" w:rsidRPr="00000000" w14:paraId="0000001E">
            <w:pPr>
              <w:widowControl w:val="0"/>
              <w:spacing w:after="240" w:line="240" w:lineRule="auto"/>
              <w:ind w:left="720" w:hanging="360"/>
              <w:rPr>
                <w:sz w:val="20"/>
                <w:szCs w:val="20"/>
              </w:rPr>
            </w:pPr>
            <w:r w:rsidDel="00000000" w:rsidR="00000000" w:rsidRPr="00000000">
              <w:rPr>
                <w:rtl w:val="0"/>
              </w:rPr>
            </w:r>
          </w:p>
        </w:tc>
        <w:tc>
          <w:tcPr>
            <w:shd w:fill="ffe599" w:val="clear"/>
          </w:tcPr>
          <w:p w:rsidR="00000000" w:rsidDel="00000000" w:rsidP="00000000" w:rsidRDefault="00000000" w:rsidRPr="00000000" w14:paraId="0000001F">
            <w:pPr>
              <w:widowControl w:val="0"/>
              <w:spacing w:after="240" w:line="240" w:lineRule="auto"/>
              <w:ind w:left="720" w:hanging="360"/>
              <w:rPr>
                <w:sz w:val="20"/>
                <w:szCs w:val="20"/>
              </w:rPr>
            </w:pPr>
            <w:r w:rsidDel="00000000" w:rsidR="00000000" w:rsidRPr="00000000">
              <w:rPr>
                <w:rtl w:val="0"/>
              </w:rPr>
            </w:r>
          </w:p>
        </w:tc>
      </w:tr>
      <w:tr>
        <w:trPr>
          <w:cantSplit w:val="0"/>
          <w:trHeight w:val="543" w:hRule="atLeast"/>
          <w:tblHeader w:val="0"/>
        </w:trPr>
        <w:tc>
          <w:tcPr>
            <w:shd w:fill="auto" w:val="clear"/>
            <w:vAlign w:val="center"/>
          </w:tcPr>
          <w:p w:rsidR="00000000" w:rsidDel="00000000" w:rsidP="00000000" w:rsidRDefault="00000000" w:rsidRPr="00000000" w14:paraId="00000020">
            <w:pPr>
              <w:widowControl w:val="0"/>
              <w:spacing w:after="240" w:line="240" w:lineRule="auto"/>
              <w:ind w:left="720" w:hanging="360"/>
              <w:rPr>
                <w:b w:val="1"/>
                <w:sz w:val="20"/>
                <w:szCs w:val="20"/>
              </w:rPr>
            </w:pPr>
            <w:r w:rsidDel="00000000" w:rsidR="00000000" w:rsidRPr="00000000">
              <w:rPr>
                <w:rtl w:val="0"/>
              </w:rPr>
            </w:r>
          </w:p>
        </w:tc>
        <w:tc>
          <w:tcPr/>
          <w:p w:rsidR="00000000" w:rsidDel="00000000" w:rsidP="00000000" w:rsidRDefault="00000000" w:rsidRPr="00000000" w14:paraId="00000021">
            <w:pPr>
              <w:widowControl w:val="0"/>
              <w:spacing w:after="240" w:line="240" w:lineRule="auto"/>
              <w:ind w:left="720" w:hanging="360"/>
              <w:jc w:val="center"/>
              <w:rPr>
                <w:b w:val="1"/>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22">
            <w:pPr>
              <w:widowControl w:val="0"/>
              <w:spacing w:after="240" w:line="240" w:lineRule="auto"/>
              <w:ind w:left="720"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23">
            <w:pPr>
              <w:widowControl w:val="0"/>
              <w:spacing w:after="240" w:line="240" w:lineRule="auto"/>
              <w:ind w:left="720" w:hanging="360"/>
              <w:jc w:val="center"/>
              <w:rPr>
                <w:b w:val="1"/>
                <w:sz w:val="20"/>
                <w:szCs w:val="20"/>
              </w:rPr>
            </w:pPr>
            <w:r w:rsidDel="00000000" w:rsidR="00000000" w:rsidRPr="00000000">
              <w:rPr>
                <w:rtl w:val="0"/>
              </w:rPr>
            </w:r>
          </w:p>
        </w:tc>
        <w:tc>
          <w:tcPr>
            <w:shd w:fill="ffe599" w:val="clear"/>
          </w:tcPr>
          <w:p w:rsidR="00000000" w:rsidDel="00000000" w:rsidP="00000000" w:rsidRDefault="00000000" w:rsidRPr="00000000" w14:paraId="00000024">
            <w:pPr>
              <w:widowControl w:val="0"/>
              <w:spacing w:after="240" w:line="240" w:lineRule="auto"/>
              <w:ind w:left="720" w:hanging="360"/>
              <w:jc w:val="center"/>
              <w:rPr>
                <w:b w:val="1"/>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5">
            <w:pPr>
              <w:widowControl w:val="0"/>
              <w:spacing w:after="240" w:line="240" w:lineRule="auto"/>
              <w:ind w:left="720" w:hanging="360"/>
              <w:rPr>
                <w:sz w:val="20"/>
                <w:szCs w:val="20"/>
              </w:rPr>
            </w:pPr>
            <w:r w:rsidDel="00000000" w:rsidR="00000000" w:rsidRPr="00000000">
              <w:rPr>
                <w:rtl w:val="0"/>
              </w:rPr>
            </w:r>
          </w:p>
        </w:tc>
        <w:tc>
          <w:tcPr/>
          <w:p w:rsidR="00000000" w:rsidDel="00000000" w:rsidP="00000000" w:rsidRDefault="00000000" w:rsidRPr="00000000" w14:paraId="00000026">
            <w:pPr>
              <w:widowControl w:val="0"/>
              <w:spacing w:after="240" w:line="240" w:lineRule="auto"/>
              <w:ind w:left="720" w:hanging="360"/>
              <w:jc w:val="center"/>
              <w:rPr>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27">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28">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29">
            <w:pPr>
              <w:widowControl w:val="0"/>
              <w:spacing w:after="240" w:line="240" w:lineRule="auto"/>
              <w:ind w:left="720" w:hanging="360"/>
              <w:jc w:val="center"/>
              <w:rPr>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A">
            <w:pPr>
              <w:widowControl w:val="0"/>
              <w:spacing w:after="240" w:line="240" w:lineRule="auto"/>
              <w:ind w:left="720" w:hanging="360"/>
              <w:rPr>
                <w:sz w:val="20"/>
                <w:szCs w:val="20"/>
              </w:rPr>
            </w:pPr>
            <w:r w:rsidDel="00000000" w:rsidR="00000000" w:rsidRPr="00000000">
              <w:rPr>
                <w:rtl w:val="0"/>
              </w:rPr>
            </w:r>
          </w:p>
        </w:tc>
        <w:tc>
          <w:tcPr/>
          <w:p w:rsidR="00000000" w:rsidDel="00000000" w:rsidP="00000000" w:rsidRDefault="00000000" w:rsidRPr="00000000" w14:paraId="0000002B">
            <w:pPr>
              <w:widowControl w:val="0"/>
              <w:spacing w:after="240" w:line="240" w:lineRule="auto"/>
              <w:ind w:left="720" w:hanging="360"/>
              <w:jc w:val="center"/>
              <w:rPr>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2C">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2D">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2E">
            <w:pPr>
              <w:widowControl w:val="0"/>
              <w:spacing w:after="240" w:line="240" w:lineRule="auto"/>
              <w:ind w:left="720" w:hanging="360"/>
              <w:jc w:val="center"/>
              <w:rPr>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F">
            <w:pPr>
              <w:widowControl w:val="0"/>
              <w:spacing w:after="240" w:line="240" w:lineRule="auto"/>
              <w:ind w:left="720" w:hanging="360"/>
              <w:rPr>
                <w:b w:val="1"/>
                <w:sz w:val="20"/>
                <w:szCs w:val="20"/>
              </w:rPr>
            </w:pPr>
            <w:r w:rsidDel="00000000" w:rsidR="00000000" w:rsidRPr="00000000">
              <w:rPr>
                <w:b w:val="1"/>
                <w:sz w:val="20"/>
                <w:szCs w:val="20"/>
                <w:rtl w:val="0"/>
              </w:rPr>
              <w:t xml:space="preserve">TOTAL ex VAT</w:t>
            </w:r>
          </w:p>
        </w:tc>
        <w:tc>
          <w:tcPr/>
          <w:p w:rsidR="00000000" w:rsidDel="00000000" w:rsidP="00000000" w:rsidRDefault="00000000" w:rsidRPr="00000000" w14:paraId="00000030">
            <w:pPr>
              <w:widowControl w:val="0"/>
              <w:spacing w:after="240" w:line="240" w:lineRule="auto"/>
              <w:ind w:left="720" w:hanging="360"/>
              <w:jc w:val="center"/>
              <w:rPr>
                <w:sz w:val="20"/>
                <w:szCs w:val="20"/>
              </w:rPr>
            </w:pPr>
            <w:r w:rsidDel="00000000" w:rsidR="00000000" w:rsidRPr="00000000">
              <w:rPr>
                <w:rtl w:val="0"/>
              </w:rPr>
            </w:r>
          </w:p>
        </w:tc>
        <w:tc>
          <w:tcPr>
            <w:shd w:fill="ffe599" w:val="clear"/>
            <w:vAlign w:val="center"/>
          </w:tcPr>
          <w:p w:rsidR="00000000" w:rsidDel="00000000" w:rsidP="00000000" w:rsidRDefault="00000000" w:rsidRPr="00000000" w14:paraId="00000031">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32">
            <w:pPr>
              <w:widowControl w:val="0"/>
              <w:spacing w:after="240" w:line="240" w:lineRule="auto"/>
              <w:ind w:left="720" w:hanging="360"/>
              <w:jc w:val="center"/>
              <w:rPr>
                <w:sz w:val="20"/>
                <w:szCs w:val="20"/>
              </w:rPr>
            </w:pPr>
            <w:r w:rsidDel="00000000" w:rsidR="00000000" w:rsidRPr="00000000">
              <w:rPr>
                <w:rtl w:val="0"/>
              </w:rPr>
            </w:r>
          </w:p>
        </w:tc>
        <w:tc>
          <w:tcPr>
            <w:shd w:fill="ffe599" w:val="clear"/>
          </w:tcPr>
          <w:p w:rsidR="00000000" w:rsidDel="00000000" w:rsidP="00000000" w:rsidRDefault="00000000" w:rsidRPr="00000000" w14:paraId="00000033">
            <w:pPr>
              <w:widowControl w:val="0"/>
              <w:spacing w:after="240" w:line="240" w:lineRule="auto"/>
              <w:ind w:left="720" w:hanging="360"/>
              <w:jc w:val="center"/>
              <w:rPr>
                <w:sz w:val="20"/>
                <w:szCs w:val="20"/>
              </w:rPr>
            </w:pPr>
            <w:r w:rsidDel="00000000" w:rsidR="00000000" w:rsidRPr="00000000">
              <w:rPr>
                <w:rtl w:val="0"/>
              </w:rPr>
            </w:r>
          </w:p>
        </w:tc>
      </w:tr>
    </w:tbl>
    <w:p w:rsidR="00000000" w:rsidDel="00000000" w:rsidP="00000000" w:rsidRDefault="00000000" w:rsidRPr="00000000" w14:paraId="0000003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240" w:line="240" w:lineRule="auto"/>
        <w:rPr/>
      </w:pPr>
      <w:r w:rsidDel="00000000" w:rsidR="00000000" w:rsidRPr="00000000">
        <w:rPr>
          <w:rtl w:val="0"/>
        </w:rPr>
      </w:r>
    </w:p>
    <w:p w:rsidR="00000000" w:rsidDel="00000000" w:rsidP="00000000" w:rsidRDefault="00000000" w:rsidRPr="00000000" w14:paraId="00000035">
      <w:pPr>
        <w:spacing w:after="240" w:line="240" w:lineRule="auto"/>
        <w:jc w:val="right"/>
        <w:rPr>
          <w:b w:val="1"/>
        </w:rPr>
      </w:pPr>
      <w:r w:rsidDel="00000000" w:rsidR="00000000" w:rsidRPr="00000000">
        <w:br w:type="page"/>
      </w:r>
      <w:r w:rsidDel="00000000" w:rsidR="00000000" w:rsidRPr="00000000">
        <w:rPr>
          <w:rtl w:val="0"/>
        </w:rPr>
      </w:r>
    </w:p>
    <w:bookmarkStart w:colFirst="0" w:colLast="0" w:name="bookmark=id.17dp8vu" w:id="1"/>
    <w:bookmarkEnd w:id="1"/>
    <w:p w:rsidR="00000000" w:rsidDel="00000000" w:rsidP="00000000" w:rsidRDefault="00000000" w:rsidRPr="00000000" w14:paraId="00000036">
      <w:pPr>
        <w:spacing w:after="240" w:line="240" w:lineRule="auto"/>
        <w:jc w:val="right"/>
        <w:rPr>
          <w:b w:val="1"/>
        </w:rPr>
      </w:pPr>
      <w:r w:rsidDel="00000000" w:rsidR="00000000" w:rsidRPr="00000000">
        <w:rPr>
          <w:b w:val="1"/>
          <w:rtl w:val="0"/>
        </w:rPr>
        <w:t xml:space="preserve">DOCUMENT 5</w:t>
      </w:r>
    </w:p>
    <w:p w:rsidR="00000000" w:rsidDel="00000000" w:rsidP="00000000" w:rsidRDefault="00000000" w:rsidRPr="00000000" w14:paraId="00000037">
      <w:pPr>
        <w:spacing w:after="240" w:line="240" w:lineRule="auto"/>
        <w:rPr/>
      </w:pPr>
      <w:r w:rsidDel="00000000" w:rsidR="00000000" w:rsidRPr="00000000">
        <w:rPr>
          <w:b w:val="1"/>
          <w:rtl w:val="0"/>
        </w:rPr>
        <w:t xml:space="preserve">DECLARATIONS AND INFORMATION TO BE PROVIDED BY THE TENDERER</w:t>
      </w:r>
      <w:r w:rsidDel="00000000" w:rsidR="00000000" w:rsidRPr="00000000">
        <w:rPr>
          <w:rtl w:val="0"/>
        </w:rPr>
      </w:r>
    </w:p>
    <w:p w:rsidR="00000000" w:rsidDel="00000000" w:rsidP="00000000" w:rsidRDefault="00000000" w:rsidRPr="00000000" w14:paraId="00000038">
      <w:pPr>
        <w:spacing w:line="240" w:lineRule="auto"/>
        <w:jc w:val="both"/>
        <w:rPr>
          <w:b w:val="1"/>
        </w:rPr>
      </w:pPr>
      <w:r w:rsidDel="00000000" w:rsidR="00000000" w:rsidRPr="00000000">
        <w:rPr>
          <w:b w:val="1"/>
          <w:rtl w:val="0"/>
        </w:rPr>
        <w:t xml:space="preserve">1</w:t>
        <w:tab/>
        <w:t xml:space="preserve">Grounds for mandatory exclusion</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questions in full. Note that every organisation that is being relied on to meet the selection must complete and submit the self-declaration.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2"/>
        <w:tblW w:w="9011.0" w:type="dxa"/>
        <w:jc w:val="left"/>
        <w:tblLayout w:type="fixed"/>
        <w:tblLook w:val="0400"/>
      </w:tblPr>
      <w:tblGrid>
        <w:gridCol w:w="1286"/>
        <w:gridCol w:w="5339"/>
        <w:gridCol w:w="2386"/>
        <w:tblGridChange w:id="0">
          <w:tblGrid>
            <w:gridCol w:w="1286"/>
            <w:gridCol w:w="5339"/>
            <w:gridCol w:w="2386"/>
          </w:tblGrid>
        </w:tblGridChange>
      </w:tblGrid>
      <w:tr>
        <w:trPr>
          <w:cantSplit w:val="0"/>
          <w:trHeight w:val="5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Grounds for mandatory exclusion</w:t>
            </w:r>
            <w:r w:rsidDel="00000000" w:rsidR="00000000" w:rsidRPr="00000000">
              <w:rPr>
                <w:rtl w:val="0"/>
              </w:rPr>
            </w:r>
          </w:p>
        </w:tc>
      </w:tr>
      <w:tr>
        <w:trPr>
          <w:cantSplit w:val="0"/>
          <w:trHeight w:val="66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06"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06"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rHeight w:val="1340" w:hRule="atLeast"/>
          <w:tblHeader w:val="0"/>
        </w:trPr>
        <w:tc>
          <w:tcPr>
            <w:vMerge w:val="restart"/>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2.1(a)</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Regulations 57(1) and (2)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11"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mandatory exclusion of an organisation are set out on this </w:t>
            </w:r>
            <w:hyperlink r:id="rId8">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web 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should be referred to before completing these questions.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11"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within the past five years you, your organisation or any other person who has powers of representation, decision or control in the organisation been convicted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anywhere in the world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any of the offences within the summary below and listed on the </w:t>
            </w:r>
            <w:hyperlink r:id="rId9">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webpage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a criminal organisation.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Corruption.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Fraud.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Terrorist offences or offences linked to terrorist activities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 laundering or terrorist financing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w:t>
            </w:r>
            <w:r w:rsidDel="00000000" w:rsidR="00000000" w:rsidRPr="00000000">
              <w:rPr>
                <w:rtl w:val="0"/>
              </w:rPr>
            </w:r>
          </w:p>
        </w:tc>
      </w:tr>
      <w:tr>
        <w:trPr>
          <w:cantSplit w:val="0"/>
          <w:trHeight w:val="56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labour and other forms of trafficking in human beings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2.1(b)  </w:t>
            </w: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question 2.1(a), please provide further details.</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conviction, specify which of the grounds listed the conviction was for, and the reasons for conviction,</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Identity of who has been convicted</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relevant documentation is available electronically please provide the web address, issuing authority, precise reference of the documents.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B">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points above, have measures been taken to demonstrate the reliability of the organisation despite the existence of a relevant ground for exclusion? (Self-Cleaning)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 57(3)</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2.3(b)</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27"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Social Mobility Commission reserves the right to use its discretion to exclude a potential supplier where it can demonstrate by any appropriate means that the potential supplier is in breach of its obligations relating to the non-payment of taxes or social security contributions.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 w:right="0" w:hanging="2"/>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240" w:lineRule="auto"/>
        <w:rPr/>
      </w:pPr>
      <w:r w:rsidDel="00000000" w:rsidR="00000000" w:rsidRPr="00000000">
        <w:rPr>
          <w:rtl w:val="0"/>
        </w:rPr>
      </w:r>
    </w:p>
    <w:tbl>
      <w:tblPr>
        <w:tblStyle w:val="Table3"/>
        <w:tblW w:w="9011.000000000002" w:type="dxa"/>
        <w:jc w:val="left"/>
        <w:tblLayout w:type="fixed"/>
        <w:tblLook w:val="0400"/>
      </w:tblPr>
      <w:tblGrid>
        <w:gridCol w:w="1431"/>
        <w:gridCol w:w="6147"/>
        <w:gridCol w:w="1433"/>
        <w:tblGridChange w:id="0">
          <w:tblGrid>
            <w:gridCol w:w="1431"/>
            <w:gridCol w:w="6147"/>
            <w:gridCol w:w="1433"/>
          </w:tblGrid>
        </w:tblGridChange>
      </w:tblGrid>
      <w:tr>
        <w:trPr>
          <w:cantSplit w:val="0"/>
          <w:trHeight w:val="4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Grounds for discretionary exclusion </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06"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06"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3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 57 (8)</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3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discretionary exclusion of an organisation are set out on this </w:t>
            </w:r>
            <w:hyperlink r:id="rId1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web 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should be referred to before completing these questions.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3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within the past three years, anywhere in the world any of the following situations have applied to you, your organisation or any other person who has powers of representation, decision or control in the organisation.</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3.1(a)</w:t>
            </w:r>
            <w:r w:rsidDel="00000000" w:rsidR="00000000" w:rsidRPr="00000000">
              <w:rPr>
                <w:rtl w:val="0"/>
              </w:rPr>
            </w:r>
          </w:p>
          <w:p w:rsidR="00000000" w:rsidDel="00000000" w:rsidP="00000000" w:rsidRDefault="00000000" w:rsidRPr="00000000" w14:paraId="0000008F">
            <w:pPr>
              <w:spacing w:after="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environmental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social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labour law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p w:rsidR="00000000" w:rsidDel="00000000" w:rsidP="00000000" w:rsidRDefault="00000000" w:rsidRPr="00000000" w14:paraId="000000A3">
            <w:pPr>
              <w:spacing w:after="240" w:lineRule="auto"/>
              <w:rPr/>
            </w:pPr>
            <w:r w:rsidDel="00000000" w:rsidR="00000000" w:rsidRPr="00000000">
              <w:rPr>
                <w:rtl w:val="0"/>
              </w:rPr>
            </w:r>
          </w:p>
        </w:tc>
      </w:tr>
      <w:tr>
        <w:trPr>
          <w:cantSplit w:val="0"/>
          <w:trHeight w:val="24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Guilty of grave professional misconduct?</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Entered into agreements with other economic operators aimed at distorting competition?</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Aware of any conflict of interest within the meaning of regulation 24 due to the participation in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involved in the preparation of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tc>
      </w:tr>
      <w:tr>
        <w:trPr>
          <w:cantSplit w:val="0"/>
          <w:trHeight w:val="58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3.1(j)</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3.1(j) - (i)</w:t>
            </w:r>
            <w:r w:rsidDel="00000000" w:rsidR="00000000" w:rsidRPr="00000000">
              <w:rPr>
                <w:rtl w:val="0"/>
              </w:rPr>
            </w:r>
          </w:p>
          <w:p w:rsidR="00000000" w:rsidDel="00000000" w:rsidP="00000000" w:rsidRDefault="00000000" w:rsidRPr="00000000" w14:paraId="000000C0">
            <w:pPr>
              <w:spacing w:after="240" w:lineRule="auto"/>
              <w:rPr/>
            </w:pPr>
            <w:r w:rsidDel="00000000" w:rsidR="00000000" w:rsidRPr="00000000">
              <w:rPr>
                <w:rtl w:val="0"/>
              </w:rPr>
              <w:br w:type="textWrapping"/>
              <w:br w:type="textWrapping"/>
              <w:br w:type="textWrapping"/>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3.1(j) - (ii)</w:t>
            </w:r>
            <w:r w:rsidDel="00000000" w:rsidR="00000000" w:rsidRPr="00000000">
              <w:rPr>
                <w:rtl w:val="0"/>
              </w:rPr>
            </w:r>
          </w:p>
          <w:p w:rsidR="00000000" w:rsidDel="00000000" w:rsidP="00000000" w:rsidRDefault="00000000" w:rsidRPr="00000000" w14:paraId="000000C2">
            <w:pPr>
              <w:spacing w:after="240" w:lineRule="auto"/>
              <w:rPr/>
            </w:pPr>
            <w:r w:rsidDel="00000000" w:rsidR="00000000" w:rsidRPr="00000000">
              <w:rPr>
                <w:rtl w:val="0"/>
              </w:rPr>
              <w:br w:type="textWrapping"/>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3.1(j) –(iii)</w:t>
            </w:r>
            <w:r w:rsidDel="00000000" w:rsidR="00000000" w:rsidRPr="00000000">
              <w:rPr>
                <w:rtl w:val="0"/>
              </w:rPr>
            </w:r>
          </w:p>
          <w:p w:rsidR="00000000" w:rsidDel="00000000" w:rsidP="00000000" w:rsidRDefault="00000000" w:rsidRPr="00000000" w14:paraId="000000C4">
            <w:pPr>
              <w:spacing w:after="240" w:lineRule="auto"/>
              <w:rPr/>
            </w:pPr>
            <w:r w:rsidDel="00000000" w:rsidR="00000000" w:rsidRPr="00000000">
              <w:rPr>
                <w:rtl w:val="0"/>
              </w:rPr>
              <w:br w:type="textWrapping"/>
              <w:br w:type="textWrapping"/>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3.1(j)-(iv)</w:t>
            </w:r>
            <w:r w:rsidDel="00000000" w:rsidR="00000000" w:rsidRPr="00000000">
              <w:rPr>
                <w:rtl w:val="0"/>
              </w:rPr>
            </w:r>
          </w:p>
          <w:p w:rsidR="00000000" w:rsidDel="00000000" w:rsidP="00000000" w:rsidRDefault="00000000" w:rsidRPr="00000000" w14:paraId="000000C6">
            <w:pPr>
              <w:spacing w:after="240" w:lineRule="auto"/>
              <w:rPr/>
            </w:pPr>
            <w:r w:rsidDel="00000000" w:rsidR="00000000" w:rsidRPr="00000000">
              <w:rPr>
                <w:rtl w:val="0"/>
              </w:rPr>
              <w:br w:type="textWrapping"/>
              <w:br w:type="textWrapping"/>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statements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is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has withheld such information.</w:t>
            </w:r>
          </w:p>
          <w:p w:rsidR="00000000" w:rsidDel="00000000" w:rsidP="00000000" w:rsidRDefault="00000000" w:rsidRPr="00000000" w14:paraId="000000CC">
            <w:pPr>
              <w:spacing w:after="240" w:lineRule="auto"/>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organisation is not able to submit supporting documents required under regulation 59 of the Public Contracts Regulations 2015.</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p w:rsidR="00000000" w:rsidDel="00000000" w:rsidP="00000000" w:rsidRDefault="00000000" w:rsidRPr="00000000" w14:paraId="000000DD">
            <w:pPr>
              <w:spacing w:after="240" w:lineRule="auto"/>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p>
          <w:p w:rsidR="00000000" w:rsidDel="00000000" w:rsidP="00000000" w:rsidRDefault="00000000" w:rsidRPr="00000000" w14:paraId="000000E1">
            <w:pPr>
              <w:spacing w:after="240" w:lineRule="auto"/>
              <w:rPr/>
            </w:pPr>
            <w:r w:rsidDel="00000000" w:rsidR="00000000" w:rsidRPr="00000000">
              <w:rPr>
                <w:rtl w:val="0"/>
              </w:rPr>
            </w:r>
          </w:p>
        </w:tc>
      </w:tr>
      <w:tr>
        <w:trPr>
          <w:cantSplit w:val="0"/>
          <w:trHeight w:val="580" w:hRule="atLeast"/>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21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above, explain what measures have been taken to demonstrate the reliability of the organisation despite the existence of a relevant ground for exclusion? (Self-Cleaning)</w:t>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E4">
            <w:pPr>
              <w:rPr/>
            </w:pPr>
            <w:r w:rsidDel="00000000" w:rsidR="00000000" w:rsidRPr="00000000">
              <w:rPr>
                <w:rtl w:val="0"/>
              </w:rPr>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333"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Taking Account of Bidders’ Past Performance</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Social Mobility Commission may assess the past performance of a Supplier (through a Certificate of Performance provided by a Customer or other means of evidence). The Social Mobility Commission may also assess whether specified minimum standards for reliability for such contracts are met.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Social Mobility Commission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Non-payment of taxes/social security contributions</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Social Mobility Commission reserves the right to use its discretion to exclude a supplier where it can demonstrate the supplier’s non-payment of taxes/social security contributions where no binding legal decision has been taken.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that this section relating to tax compliance only applies where the Social Mobility Commission has indicated that the contract is over £5 million in value.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“Occasion of Tax Non-Compliance” means: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tax return of the Supplier submitted to a Relevant Tax Authority on or after 1 October 2012 is found to be incorrect as a result of: </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failure of an avoidance scheme which the Supplier was involved in, and which was, or should have been, notified to a Relevant Tax Authority under the DOTAS or any equivalent or similar regime; and/or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tax affairs give rise on or after 1 April 2013 to a criminal conviction in any jurisdiction for tax related offences which is not spent at the Effective Date or to a penalty for civil fraud or evasion.</w:t>
      </w:r>
    </w:p>
    <w:tbl>
      <w:tblPr>
        <w:tblStyle w:val="Table4"/>
        <w:tblW w:w="9019.0" w:type="dxa"/>
        <w:jc w:val="left"/>
        <w:tblLayout w:type="fixed"/>
        <w:tblLook w:val="0400"/>
      </w:tblPr>
      <w:tblGrid>
        <w:gridCol w:w="558"/>
        <w:gridCol w:w="7396"/>
        <w:gridCol w:w="1065"/>
        <w:tblGridChange w:id="0">
          <w:tblGrid>
            <w:gridCol w:w="558"/>
            <w:gridCol w:w="7396"/>
            <w:gridCol w:w="1065"/>
          </w:tblGrid>
        </w:tblGridChange>
      </w:tblGrid>
      <w:tr>
        <w:trPr>
          <w:cantSplit w:val="0"/>
          <w:trHeight w:val="8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 April 2013 onwards, have any of your company’s tax returns submitted on or after 1 October 2012; (Please indicate your answer by marking ‘X’ in the relevant box).</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rise to a criminal conviction for tax related offences which is unspent, or to a civil penalty for fraud or evasion;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sdt>
              <w:sdtPr>
                <w:tag w:val="goog_rdk_4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found to be incorrect as a result of:</w:t>
            </w:r>
          </w:p>
          <w:p w:rsidR="00000000" w:rsidDel="00000000" w:rsidP="00000000" w:rsidRDefault="00000000" w:rsidRPr="00000000" w14:paraId="000000F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HMRC successfully challenging it under the General Anti-Abuse Rule (GAAR) or the “Halifax” abuse principle; or</w:t>
            </w:r>
          </w:p>
          <w:p w:rsidR="00000000" w:rsidDel="00000000" w:rsidP="00000000" w:rsidRDefault="00000000" w:rsidRPr="00000000" w14:paraId="000000F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tax authority in a jurisdiction in which the legal entity is established successfully challenging it under any tax rules or legislation that have an effect equivalent or similar to the GAAR or the “Halifax” abuse principle; or</w:t>
            </w:r>
          </w:p>
          <w:p w:rsidR="00000000" w:rsidDel="00000000" w:rsidP="00000000" w:rsidRDefault="00000000" w:rsidRPr="00000000" w14:paraId="000000F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rHeight w:val="11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answering “Yes” to either 3.1 or 3.2 above, the Supplier may provide details of any mitigating factors that it considers relevant and that it wishes the Social Mobility Commission to take into consideration.  This could include, for example: </w:t>
            </w:r>
          </w:p>
          <w:p w:rsidR="00000000" w:rsidDel="00000000" w:rsidP="00000000" w:rsidRDefault="00000000" w:rsidRPr="00000000" w14:paraId="0000010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Corrective action undertaken by the Supplier to date;</w:t>
            </w:r>
          </w:p>
          <w:p w:rsidR="00000000" w:rsidDel="00000000" w:rsidP="00000000" w:rsidRDefault="00000000" w:rsidRPr="00000000" w14:paraId="0000010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Planned corrective action to be taken; </w:t>
            </w:r>
          </w:p>
          <w:p w:rsidR="00000000" w:rsidDel="00000000" w:rsidP="00000000" w:rsidRDefault="00000000" w:rsidRPr="00000000" w14:paraId="0000010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personnel or ownership since the Occasion of Non-Compliance (OONC); or</w:t>
            </w:r>
          </w:p>
          <w:p w:rsidR="00000000" w:rsidDel="00000000" w:rsidP="00000000" w:rsidRDefault="00000000" w:rsidRPr="00000000" w14:paraId="0000010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financial, accounting, audit or management procedures since the OONC.</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that Social Mobility Commission can consider any factors raised by the Supplier, the following information should be provided:</w:t>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brief description of the occasion, the tax to which it applied, and the type of “non-compliance” e.g. whether HMRC or the foreign tax authority has challenged pursuant to the GAAR, the “Halifax” abuse principle etc. </w:t>
            </w:r>
          </w:p>
          <w:p w:rsidR="00000000" w:rsidDel="00000000" w:rsidP="00000000" w:rsidRDefault="00000000" w:rsidRPr="00000000" w14:paraId="000001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OONC relates to a DOTAS, the number of the relevant scheme.</w:t>
            </w:r>
          </w:p>
          <w:p w:rsidR="00000000" w:rsidDel="00000000" w:rsidP="00000000" w:rsidRDefault="00000000" w:rsidRPr="00000000" w14:paraId="000001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of the original “non-compliance” and the date of any judgement against the Supplier, or date when the return was amended. </w:t>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any penalty or criminal conviction applied.</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Defining Different Types of Organisations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Cabinet Office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voluntary sector organisation may also be a SME if it has the same attributes.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Definition; A SME must be autonomous, an EU Company not owned or controlled by a non-EU parent, and employ less than 250 staff and have sales below €50 million.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http://ec.europa.eu/enterprise/policies/sme/files/sme_definition/sme_report_2009_en.pdf</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complete the table below.  </w:t>
      </w:r>
    </w:p>
    <w:tbl>
      <w:tblPr>
        <w:tblStyle w:val="Table5"/>
        <w:tblW w:w="9009.0" w:type="dxa"/>
        <w:jc w:val="left"/>
        <w:tblLayout w:type="fixed"/>
        <w:tblLook w:val="0400"/>
      </w:tblPr>
      <w:tblGrid>
        <w:gridCol w:w="455"/>
        <w:gridCol w:w="6452"/>
        <w:gridCol w:w="2102"/>
        <w:tblGridChange w:id="0">
          <w:tblGrid>
            <w:gridCol w:w="455"/>
            <w:gridCol w:w="6452"/>
            <w:gridCol w:w="2102"/>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fce5cd" w:val="clear"/>
            <w:tcMar>
              <w:top w:w="0.0" w:type="dxa"/>
              <w:left w:w="108.0" w:type="dxa"/>
              <w:bottom w:w="0.0" w:type="dxa"/>
              <w:right w:w="108.0" w:type="dxa"/>
            </w:tcMa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Describe your Organisation</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type of supply arrangement best describes you in relation to this bid.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Delete as appropriate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 SME by definition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 Charity or Voluntary Sector Organisation (VSO)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 mutual organisation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rHeight w:val="6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anticipate using a supply chain to deliver against this service.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 w:right="378" w:hanging="2"/>
              <w:jc w:val="left"/>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estimate that that our service delivery will be i.e. 40% delivered by VSO’s/SMEs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none of the above applies please describe the type of organisation you are: </w:t>
            </w:r>
          </w:p>
          <w:p w:rsidR="00000000" w:rsidDel="00000000" w:rsidP="00000000" w:rsidRDefault="00000000" w:rsidRPr="00000000" w14:paraId="00000132">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us with your Dun and Bradstreet Number, or a consortium, the lead bidder’s number.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http://www.dnb.co.uk/dandb-duns-number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7">
            <w:pPr>
              <w:rPr/>
            </w:pP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Department uses Dun and Bradstreet Numbers to manage its data around suppliers; we strongly encourage all suppliers to apply for a free Dunn’s number. The link to apply is: -</w:t>
      </w:r>
      <w:hyperlink r:id="rId12">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http://www.dnb.co.uk/myduns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add ‘GOVERNMENT SUPPLIER’ as a reason for requesting your D&amp;B DUNS number.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delay returning your tender if you do not already have a Dun and Bradstreet number, returning your tender within the deadline is more important.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Declarations</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 (Name of tenderer) declares that we accept Social Mobility Commission’s standard terms and conditions included at Document 4 Attachment 1 as the basis of the contract; and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agree that the Social Mobility Commission may disclose the Contractor's information/documentation (submitted to Social Mobility Commission during this Procurement) more widely within Government for the purpose of ensuring effective cross-Government procurement processes, including value for money and related purposes.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declare that the tender will remain valid until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(insert a date)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we are not entitled to claim from the Social Mobility Commission any costs or expenses incurred in preparing the tender or subsequent negotiations whether or not the tender is successful.</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on behalf of the Tenderer ..................................................................................</w:t>
      </w:r>
    </w:p>
    <w:p w:rsidR="00000000" w:rsidDel="00000000" w:rsidP="00000000" w:rsidRDefault="00000000" w:rsidRPr="00000000" w14:paraId="00000143">
      <w:pPr>
        <w:spacing w:after="240" w:line="240" w:lineRule="auto"/>
        <w:rPr/>
      </w:pPr>
      <w:r w:rsidDel="00000000" w:rsidR="00000000" w:rsidRPr="00000000">
        <w:rPr>
          <w:rtl w:val="0"/>
        </w:rPr>
      </w:r>
    </w:p>
    <w:p w:rsidR="00000000" w:rsidDel="00000000" w:rsidP="00000000" w:rsidRDefault="00000000" w:rsidRPr="00000000" w14:paraId="00000144">
      <w:pPr>
        <w:spacing w:after="240" w:line="240" w:lineRule="auto"/>
        <w:rPr/>
      </w:pPr>
      <w:r w:rsidDel="00000000" w:rsidR="00000000" w:rsidRPr="00000000">
        <w:rPr>
          <w:rtl w:val="0"/>
        </w:rPr>
      </w:r>
    </w:p>
    <w:p w:rsidR="00000000" w:rsidDel="00000000" w:rsidP="00000000" w:rsidRDefault="00000000" w:rsidRPr="00000000" w14:paraId="00000145">
      <w:pPr>
        <w:spacing w:after="240" w:line="240" w:lineRule="auto"/>
        <w:rPr/>
      </w:pPr>
      <w:r w:rsidDel="00000000" w:rsidR="00000000" w:rsidRPr="00000000">
        <w:rPr>
          <w:rtl w:val="0"/>
        </w:rPr>
      </w:r>
    </w:p>
    <w:p w:rsidR="00000000" w:rsidDel="00000000" w:rsidP="00000000" w:rsidRDefault="00000000" w:rsidRPr="00000000" w14:paraId="00000146">
      <w:pPr>
        <w:spacing w:after="240" w:line="240" w:lineRule="auto"/>
        <w:rPr/>
      </w:pPr>
      <w:r w:rsidDel="00000000" w:rsidR="00000000" w:rsidRPr="00000000">
        <w:rPr>
          <w:rtl w:val="0"/>
        </w:rPr>
      </w:r>
    </w:p>
    <w:p w:rsidR="00000000" w:rsidDel="00000000" w:rsidP="00000000" w:rsidRDefault="00000000" w:rsidRPr="00000000" w14:paraId="00000147">
      <w:pPr>
        <w:spacing w:after="240" w:line="240" w:lineRule="auto"/>
        <w:rPr/>
      </w:pPr>
      <w:r w:rsidDel="00000000" w:rsidR="00000000" w:rsidRPr="00000000">
        <w:rPr>
          <w:rtl w:val="0"/>
        </w:rPr>
      </w:r>
    </w:p>
    <w:p w:rsidR="00000000" w:rsidDel="00000000" w:rsidP="00000000" w:rsidRDefault="00000000" w:rsidRPr="00000000" w14:paraId="00000148">
      <w:pPr>
        <w:spacing w:after="240" w:line="240" w:lineRule="auto"/>
        <w:rPr/>
      </w:pPr>
      <w:r w:rsidDel="00000000" w:rsidR="00000000" w:rsidRPr="00000000">
        <w:rPr>
          <w:rtl w:val="0"/>
        </w:rPr>
      </w:r>
    </w:p>
    <w:p w:rsidR="00000000" w:rsidDel="00000000" w:rsidP="00000000" w:rsidRDefault="00000000" w:rsidRPr="00000000" w14:paraId="00000149">
      <w:pPr>
        <w:spacing w:after="240" w:line="240" w:lineRule="auto"/>
        <w:rPr/>
      </w:pPr>
      <w:r w:rsidDel="00000000" w:rsidR="00000000" w:rsidRPr="00000000">
        <w:rPr>
          <w:rtl w:val="0"/>
        </w:rPr>
      </w:r>
    </w:p>
    <w:p w:rsidR="00000000" w:rsidDel="00000000" w:rsidP="00000000" w:rsidRDefault="00000000" w:rsidRPr="00000000" w14:paraId="0000014A">
      <w:pPr>
        <w:spacing w:after="240" w:line="240" w:lineRule="auto"/>
        <w:rPr/>
      </w:pPr>
      <w:r w:rsidDel="00000000" w:rsidR="00000000" w:rsidRPr="00000000">
        <w:rPr>
          <w:rtl w:val="0"/>
        </w:rPr>
      </w:r>
    </w:p>
    <w:p w:rsidR="00000000" w:rsidDel="00000000" w:rsidP="00000000" w:rsidRDefault="00000000" w:rsidRPr="00000000" w14:paraId="0000014B">
      <w:pPr>
        <w:spacing w:after="240" w:line="240" w:lineRule="auto"/>
        <w:rPr/>
      </w:pPr>
      <w:r w:rsidDel="00000000" w:rsidR="00000000" w:rsidRPr="00000000">
        <w:rPr>
          <w:rtl w:val="0"/>
        </w:rPr>
      </w:r>
    </w:p>
    <w:p w:rsidR="00000000" w:rsidDel="00000000" w:rsidP="00000000" w:rsidRDefault="00000000" w:rsidRPr="00000000" w14:paraId="0000014C">
      <w:pPr>
        <w:spacing w:after="240" w:line="240" w:lineRule="auto"/>
        <w:rPr/>
      </w:pPr>
      <w:r w:rsidDel="00000000" w:rsidR="00000000" w:rsidRPr="00000000">
        <w:rPr>
          <w:rtl w:val="0"/>
        </w:rPr>
      </w:r>
    </w:p>
    <w:p w:rsidR="00000000" w:rsidDel="00000000" w:rsidP="00000000" w:rsidRDefault="00000000" w:rsidRPr="00000000" w14:paraId="0000014D">
      <w:pPr>
        <w:spacing w:after="240" w:line="240" w:lineRule="auto"/>
        <w:rPr/>
      </w:pPr>
      <w:r w:rsidDel="00000000" w:rsidR="00000000" w:rsidRPr="00000000">
        <w:rPr>
          <w:rtl w:val="0"/>
        </w:rPr>
      </w:r>
    </w:p>
    <w:p w:rsidR="00000000" w:rsidDel="00000000" w:rsidP="00000000" w:rsidRDefault="00000000" w:rsidRPr="00000000" w14:paraId="0000014E">
      <w:pPr>
        <w:spacing w:after="240" w:line="240" w:lineRule="auto"/>
        <w:rPr/>
      </w:pPr>
      <w:r w:rsidDel="00000000" w:rsidR="00000000" w:rsidRPr="00000000">
        <w:rPr>
          <w:rtl w:val="0"/>
        </w:rPr>
      </w:r>
    </w:p>
    <w:p w:rsidR="00000000" w:rsidDel="00000000" w:rsidP="00000000" w:rsidRDefault="00000000" w:rsidRPr="00000000" w14:paraId="0000014F">
      <w:pPr>
        <w:spacing w:after="240" w:line="240" w:lineRule="auto"/>
        <w:rPr/>
      </w:pPr>
      <w:r w:rsidDel="00000000" w:rsidR="00000000" w:rsidRPr="00000000">
        <w:rPr>
          <w:rtl w:val="0"/>
        </w:rPr>
      </w:r>
    </w:p>
    <w:p w:rsidR="00000000" w:rsidDel="00000000" w:rsidP="00000000" w:rsidRDefault="00000000" w:rsidRPr="00000000" w14:paraId="00000150">
      <w:pPr>
        <w:spacing w:after="240" w:line="240" w:lineRule="auto"/>
        <w:rPr/>
      </w:pPr>
      <w:r w:rsidDel="00000000" w:rsidR="00000000" w:rsidRPr="00000000">
        <w:rPr>
          <w:rtl w:val="0"/>
        </w:rPr>
      </w:r>
    </w:p>
    <w:p w:rsidR="00000000" w:rsidDel="00000000" w:rsidP="00000000" w:rsidRDefault="00000000" w:rsidRPr="00000000" w14:paraId="00000151">
      <w:pPr>
        <w:spacing w:after="240" w:line="240" w:lineRule="auto"/>
        <w:rPr/>
      </w:pPr>
      <w:r w:rsidDel="00000000" w:rsidR="00000000" w:rsidRPr="00000000">
        <w:rPr>
          <w:rtl w:val="0"/>
        </w:rPr>
      </w:r>
    </w:p>
    <w:p w:rsidR="00000000" w:rsidDel="00000000" w:rsidP="00000000" w:rsidRDefault="00000000" w:rsidRPr="00000000" w14:paraId="00000152">
      <w:pPr>
        <w:spacing w:after="240" w:line="240" w:lineRule="auto"/>
        <w:rPr/>
      </w:pPr>
      <w:r w:rsidDel="00000000" w:rsidR="00000000" w:rsidRPr="00000000">
        <w:rPr>
          <w:rtl w:val="0"/>
        </w:rPr>
      </w:r>
    </w:p>
    <w:p w:rsidR="00000000" w:rsidDel="00000000" w:rsidP="00000000" w:rsidRDefault="00000000" w:rsidRPr="00000000" w14:paraId="00000153">
      <w:pPr>
        <w:spacing w:after="240" w:line="240" w:lineRule="auto"/>
        <w:rPr/>
      </w:pPr>
      <w:r w:rsidDel="00000000" w:rsidR="00000000" w:rsidRPr="00000000">
        <w:rPr>
          <w:rtl w:val="0"/>
        </w:rPr>
      </w:r>
    </w:p>
    <w:bookmarkStart w:colFirst="0" w:colLast="0" w:name="bookmark=id.111kx3o" w:id="2"/>
    <w:bookmarkEnd w:id="2"/>
    <w:p w:rsidR="00000000" w:rsidDel="00000000" w:rsidP="00000000" w:rsidRDefault="00000000" w:rsidRPr="00000000" w14:paraId="00000154">
      <w:pPr>
        <w:widowControl w:val="0"/>
        <w:spacing w:after="240" w:line="240" w:lineRule="auto"/>
        <w:rPr>
          <w:b w:val="1"/>
          <w:sz w:val="28"/>
          <w:szCs w:val="28"/>
        </w:rPr>
      </w:pPr>
      <w:r w:rsidDel="00000000" w:rsidR="00000000" w:rsidRPr="00000000">
        <w:rPr>
          <w:b w:val="1"/>
          <w:sz w:val="28"/>
          <w:szCs w:val="28"/>
          <w:rtl w:val="0"/>
        </w:rPr>
        <w:t xml:space="preserve">ANNEX ONE: CONFLICTS OF INTEREST</w:t>
      </w:r>
    </w:p>
    <w:p w:rsidR="00000000" w:rsidDel="00000000" w:rsidP="00000000" w:rsidRDefault="00000000" w:rsidRPr="00000000" w14:paraId="00000155">
      <w:pPr>
        <w:widowControl w:val="0"/>
        <w:spacing w:after="240" w:line="240" w:lineRule="auto"/>
        <w:rPr/>
      </w:pPr>
      <w:r w:rsidDel="00000000" w:rsidR="00000000" w:rsidRPr="00000000">
        <w:rPr>
          <w:rtl w:val="0"/>
        </w:rPr>
        <w:t xml:space="preserve">For research and analysis, </w:t>
      </w:r>
      <w:r w:rsidDel="00000000" w:rsidR="00000000" w:rsidRPr="00000000">
        <w:rPr>
          <w:b w:val="1"/>
          <w:rtl w:val="0"/>
        </w:rPr>
        <w:t xml:space="preserve">conflict of interest</w:t>
      </w:r>
      <w:r w:rsidDel="00000000" w:rsidR="00000000" w:rsidRPr="00000000">
        <w:rPr>
          <w:rtl w:val="0"/>
        </w:rPr>
        <w:t xml:space="preserve"> is defined as the presence of an interest or involvement of the contractor, subcontractor (or consortium member) which could affect the actual or perceived impartiality of the research or analysis.</w:t>
      </w:r>
    </w:p>
    <w:p w:rsidR="00000000" w:rsidDel="00000000" w:rsidP="00000000" w:rsidRDefault="00000000" w:rsidRPr="00000000" w14:paraId="00000156">
      <w:pPr>
        <w:widowControl w:val="0"/>
        <w:spacing w:after="240" w:line="240" w:lineRule="auto"/>
        <w:rPr/>
      </w:pPr>
      <w:r w:rsidDel="00000000" w:rsidR="00000000" w:rsidRPr="00000000">
        <w:rPr/>
        <mc:AlternateContent>
          <mc:Choice Requires="wpg">
            <w:drawing>
              <wp:inline distB="0" distT="0" distL="0" distR="0">
                <wp:extent cx="5712460" cy="640080"/>
                <wp:effectExtent b="0" l="0" r="0" t="0"/>
                <wp:docPr id="16" name=""/>
                <a:graphic>
                  <a:graphicData uri="http://schemas.microsoft.com/office/word/2010/wordprocessingShape">
                    <wps:wsp>
                      <wps:cNvSpPr/>
                      <wps:cNvPr id="2" name="Shape 2"/>
                      <wps:spPr>
                        <a:xfrm>
                          <a:off x="2518345" y="3488535"/>
                          <a:ext cx="5655310" cy="582930"/>
                        </a:xfrm>
                        <a:prstGeom prst="rect">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A conflict of interest for this project would include the circumstance in which a contractor, sub-contractor or member of a consortia has had prior involvement with the scheme which is being evaluated, either through governance or delivery of services</w:t>
                            </w:r>
                            <w:r w:rsidDel="00000000" w:rsidR="00000000" w:rsidRPr="00000000">
                              <w:rPr>
                                <w:rFonts w:ascii="Arial" w:cs="Arial" w:eastAsia="Arial" w:hAnsi="Arial"/>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a:graphicData>
                </a:graphic>
              </wp:inline>
            </w:drawing>
          </mc:Choice>
          <mc:Fallback>
            <w:drawing>
              <wp:inline distB="0" distT="0" distL="0" distR="0">
                <wp:extent cx="5712460" cy="640080"/>
                <wp:effectExtent b="0" l="0" r="0" t="0"/>
                <wp:docPr id="1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712460" cy="6400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7">
      <w:pPr>
        <w:widowControl w:val="0"/>
        <w:spacing w:after="240" w:line="240" w:lineRule="auto"/>
        <w:rPr/>
      </w:pPr>
      <w:r w:rsidDel="00000000" w:rsidR="00000000" w:rsidRPr="00000000">
        <w:rPr>
          <w:rtl w:val="0"/>
        </w:rPr>
        <w:t xml:space="preserve">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ensure an impartial approach to the project is maintained.</w:t>
      </w:r>
    </w:p>
    <w:p w:rsidR="00000000" w:rsidDel="00000000" w:rsidP="00000000" w:rsidRDefault="00000000" w:rsidRPr="00000000" w14:paraId="00000158">
      <w:pPr>
        <w:widowControl w:val="0"/>
        <w:spacing w:after="240" w:line="240" w:lineRule="auto"/>
        <w:rPr/>
      </w:pPr>
      <w:r w:rsidDel="00000000" w:rsidR="00000000" w:rsidRPr="00000000">
        <w:rPr>
          <w:rtl w:val="0"/>
        </w:rPr>
        <w:t xml:space="preserve">The process by which this is managed in the procurement process is as follows:</w:t>
      </w:r>
    </w:p>
    <w:p w:rsidR="00000000" w:rsidDel="00000000" w:rsidP="00000000" w:rsidRDefault="00000000" w:rsidRPr="00000000" w14:paraId="00000159">
      <w:pPr>
        <w:numPr>
          <w:ilvl w:val="0"/>
          <w:numId w:val="7"/>
        </w:numPr>
        <w:spacing w:after="240" w:line="240" w:lineRule="auto"/>
        <w:ind w:left="720" w:hanging="360"/>
        <w:jc w:val="both"/>
        <w:rPr/>
      </w:pPr>
      <w:r w:rsidDel="00000000" w:rsidR="00000000" w:rsidRPr="00000000">
        <w:rPr>
          <w:b w:val="1"/>
          <w:rtl w:val="0"/>
        </w:rPr>
        <w:t xml:space="preserve">During the bidding process, organisations may contact the Cabinet Office to discuss whether or not their proposed arrangement is likely to yield a conflict of interest.</w:t>
      </w:r>
      <w:r w:rsidDel="00000000" w:rsidR="00000000" w:rsidRPr="00000000">
        <w:rPr>
          <w:rtl w:val="0"/>
        </w:rPr>
        <w:t xml:space="preserve"> Any responses given to individual organisations or consortia will be shared with all tendering organisations (in a form which does not reveal the questioner’s identity). </w:t>
      </w:r>
    </w:p>
    <w:p w:rsidR="00000000" w:rsidDel="00000000" w:rsidP="00000000" w:rsidRDefault="00000000" w:rsidRPr="00000000" w14:paraId="0000015A">
      <w:pPr>
        <w:numPr>
          <w:ilvl w:val="0"/>
          <w:numId w:val="7"/>
        </w:numPr>
        <w:spacing w:after="240" w:line="240" w:lineRule="auto"/>
        <w:ind w:left="720" w:hanging="360"/>
        <w:jc w:val="both"/>
        <w:rPr/>
      </w:pPr>
      <w:r w:rsidDel="00000000" w:rsidR="00000000" w:rsidRPr="00000000">
        <w:rPr>
          <w:b w:val="1"/>
          <w:rtl w:val="0"/>
        </w:rPr>
        <w:t xml:space="preserve">Contractors are asked to sign and return Annex One to indicate whether or not any conflict of interest may be, or be perceived to be, an issue.</w:t>
      </w:r>
      <w:r w:rsidDel="00000000" w:rsidR="00000000" w:rsidRPr="00000000">
        <w:rPr>
          <w:rtl w:val="0"/>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00000" w:rsidDel="00000000" w:rsidP="00000000" w:rsidRDefault="00000000" w:rsidRPr="00000000" w14:paraId="0000015B">
      <w:pPr>
        <w:numPr>
          <w:ilvl w:val="0"/>
          <w:numId w:val="7"/>
        </w:numPr>
        <w:spacing w:after="240" w:line="240" w:lineRule="auto"/>
        <w:ind w:left="720" w:hanging="360"/>
        <w:jc w:val="both"/>
        <w:rPr/>
      </w:pPr>
      <w:r w:rsidDel="00000000" w:rsidR="00000000" w:rsidRPr="00000000">
        <w:rPr>
          <w:b w:val="1"/>
          <w:rtl w:val="0"/>
        </w:rPr>
        <w:t xml:space="preserve">When tenders are scored, this declaration will be subject to a pass/fail score</w:t>
      </w:r>
      <w:r w:rsidDel="00000000" w:rsidR="00000000" w:rsidRPr="00000000">
        <w:rPr>
          <w:rtl w:val="0"/>
        </w:rPr>
        <w:t xml:space="preserve">, according to whether, on the basis of the information in the proposal and declaration, there remains a conflict of interest which may affect the impartiality of the research.</w:t>
      </w:r>
    </w:p>
    <w:p w:rsidR="00000000" w:rsidDel="00000000" w:rsidP="00000000" w:rsidRDefault="00000000" w:rsidRPr="00000000" w14:paraId="0000015C">
      <w:pPr>
        <w:widowControl w:val="0"/>
        <w:spacing w:after="240" w:line="240" w:lineRule="auto"/>
        <w:rPr/>
      </w:pPr>
      <w:r w:rsidDel="00000000" w:rsidR="00000000" w:rsidRPr="00000000">
        <w:rPr>
          <w:rtl w:val="0"/>
        </w:rPr>
        <w:t xml:space="preserve">Potential conflicts of interest may include (but are not restricted to);</w:t>
      </w:r>
    </w:p>
    <w:p w:rsidR="00000000" w:rsidDel="00000000" w:rsidP="00000000" w:rsidRDefault="00000000" w:rsidRPr="00000000" w14:paraId="0000015D">
      <w:pPr>
        <w:numPr>
          <w:ilvl w:val="0"/>
          <w:numId w:val="2"/>
        </w:numPr>
        <w:ind w:left="720" w:hanging="360"/>
        <w:rPr/>
      </w:pPr>
      <w:r w:rsidDel="00000000" w:rsidR="00000000" w:rsidRPr="00000000">
        <w:rPr>
          <w:rtl w:val="0"/>
        </w:rPr>
        <w:t xml:space="preserve">For evaluation projects, a close working, governance, or commercial involvement in the project under evaluation</w:t>
      </w:r>
    </w:p>
    <w:p w:rsidR="00000000" w:rsidDel="00000000" w:rsidP="00000000" w:rsidRDefault="00000000" w:rsidRPr="00000000" w14:paraId="0000015E">
      <w:pPr>
        <w:numPr>
          <w:ilvl w:val="0"/>
          <w:numId w:val="2"/>
        </w:numPr>
        <w:ind w:left="720" w:hanging="360"/>
        <w:rPr/>
      </w:pPr>
      <w:r w:rsidDel="00000000" w:rsidR="00000000" w:rsidRPr="00000000">
        <w:rPr>
          <w:rtl w:val="0"/>
        </w:rPr>
        <w:t xml:space="preserve">A professional or personal interest in the outcome of this research </w:t>
      </w:r>
    </w:p>
    <w:p w:rsidR="00000000" w:rsidDel="00000000" w:rsidP="00000000" w:rsidRDefault="00000000" w:rsidRPr="00000000" w14:paraId="0000015F">
      <w:pPr>
        <w:numPr>
          <w:ilvl w:val="0"/>
          <w:numId w:val="2"/>
        </w:numPr>
        <w:ind w:left="720" w:hanging="360"/>
        <w:rPr/>
      </w:pPr>
      <w:r w:rsidDel="00000000" w:rsidR="00000000" w:rsidRPr="00000000">
        <w:rPr>
          <w:rtl w:val="0"/>
        </w:rPr>
        <w:t xml:space="preserve">Current or past employment with relevant organisations</w:t>
      </w:r>
    </w:p>
    <w:p w:rsidR="00000000" w:rsidDel="00000000" w:rsidP="00000000" w:rsidRDefault="00000000" w:rsidRPr="00000000" w14:paraId="00000160">
      <w:pPr>
        <w:numPr>
          <w:ilvl w:val="0"/>
          <w:numId w:val="2"/>
        </w:numPr>
        <w:ind w:left="720" w:hanging="360"/>
        <w:rPr/>
      </w:pPr>
      <w:r w:rsidDel="00000000" w:rsidR="00000000" w:rsidRPr="00000000">
        <w:rPr>
          <w:rtl w:val="0"/>
        </w:rPr>
        <w:t xml:space="preserve">Payment (cash or other) received or likely to be received from relevant organisations for goods or services provided (including consulting or advisory fees)</w:t>
      </w:r>
    </w:p>
    <w:p w:rsidR="00000000" w:rsidDel="00000000" w:rsidP="00000000" w:rsidRDefault="00000000" w:rsidRPr="00000000" w14:paraId="00000161">
      <w:pPr>
        <w:numPr>
          <w:ilvl w:val="0"/>
          <w:numId w:val="2"/>
        </w:numPr>
        <w:ind w:left="720" w:hanging="360"/>
        <w:rPr/>
      </w:pPr>
      <w:r w:rsidDel="00000000" w:rsidR="00000000" w:rsidRPr="00000000">
        <w:rPr>
          <w:rtl w:val="0"/>
        </w:rPr>
        <w:t xml:space="preserve">Gifts or entertainment received from relevant organisations</w:t>
      </w:r>
    </w:p>
    <w:p w:rsidR="00000000" w:rsidDel="00000000" w:rsidP="00000000" w:rsidRDefault="00000000" w:rsidRPr="00000000" w14:paraId="00000162">
      <w:pPr>
        <w:numPr>
          <w:ilvl w:val="0"/>
          <w:numId w:val="2"/>
        </w:numPr>
        <w:ind w:left="720" w:hanging="360"/>
        <w:rPr/>
      </w:pPr>
      <w:r w:rsidDel="00000000" w:rsidR="00000000" w:rsidRPr="00000000">
        <w:rPr>
          <w:rtl w:val="0"/>
        </w:rPr>
        <w:t xml:space="preserve">Shareholdings (excluding those within unit trusts, pension funds etc) in relevant organisations</w:t>
      </w:r>
    </w:p>
    <w:p w:rsidR="00000000" w:rsidDel="00000000" w:rsidP="00000000" w:rsidRDefault="00000000" w:rsidRPr="00000000" w14:paraId="00000163">
      <w:pPr>
        <w:numPr>
          <w:ilvl w:val="0"/>
          <w:numId w:val="2"/>
        </w:numPr>
        <w:ind w:left="720" w:hanging="360"/>
        <w:rPr/>
      </w:pPr>
      <w:r w:rsidDel="00000000" w:rsidR="00000000" w:rsidRPr="00000000">
        <w:rPr>
          <w:rtl w:val="0"/>
        </w:rPr>
        <w:t xml:space="preserve">Close personal relationship or friendships with individuals employed by or otherwise closely associated with relevant organisations </w:t>
      </w:r>
    </w:p>
    <w:p w:rsidR="00000000" w:rsidDel="00000000" w:rsidP="00000000" w:rsidRDefault="00000000" w:rsidRPr="00000000" w14:paraId="00000164">
      <w:pPr>
        <w:keepNext w:val="1"/>
        <w:keepLines w:val="1"/>
        <w:widowControl w:val="0"/>
        <w:spacing w:after="240" w:line="240" w:lineRule="auto"/>
        <w:rPr>
          <w:b w:val="1"/>
        </w:rPr>
      </w:pPr>
      <w:bookmarkStart w:colFirst="0" w:colLast="0" w:name="_heading=h.3l18frh" w:id="3"/>
      <w:bookmarkEnd w:id="3"/>
      <w:r w:rsidDel="00000000" w:rsidR="00000000" w:rsidRPr="00000000">
        <w:br w:type="page"/>
      </w:r>
      <w:r w:rsidDel="00000000" w:rsidR="00000000" w:rsidRPr="00000000">
        <w:rPr>
          <w:b w:val="1"/>
          <w:rtl w:val="0"/>
        </w:rPr>
        <w:t xml:space="preserve">Conflict of Interest Declaration Form</w:t>
      </w:r>
    </w:p>
    <w:p w:rsidR="00000000" w:rsidDel="00000000" w:rsidP="00000000" w:rsidRDefault="00000000" w:rsidRPr="00000000" w14:paraId="00000165">
      <w:pPr>
        <w:widowControl w:val="0"/>
        <w:spacing w:after="240" w:line="240" w:lineRule="auto"/>
        <w:rPr/>
      </w:pPr>
      <w:r w:rsidDel="00000000" w:rsidR="00000000" w:rsidRPr="00000000">
        <w:rPr>
          <w:rtl w:val="0"/>
        </w:rPr>
        <w:t xml:space="preserve">Organisations </w:t>
      </w:r>
      <w:r w:rsidDel="00000000" w:rsidR="00000000" w:rsidRPr="00000000">
        <w:rPr>
          <w:b w:val="1"/>
          <w:rtl w:val="0"/>
        </w:rPr>
        <w:t xml:space="preserve">must</w:t>
      </w:r>
      <w:r w:rsidDel="00000000" w:rsidR="00000000" w:rsidRPr="00000000">
        <w:rPr>
          <w:rtl w:val="0"/>
        </w:rPr>
        <w:t xml:space="preserve"> complete either part 1 or 2.  Please return this form with your ITT documentation.</w:t>
      </w:r>
    </w:p>
    <w:p w:rsidR="00000000" w:rsidDel="00000000" w:rsidP="00000000" w:rsidRDefault="00000000" w:rsidRPr="00000000" w14:paraId="00000166">
      <w:pPr>
        <w:widowControl w:val="0"/>
        <w:spacing w:after="240" w:line="240" w:lineRule="auto"/>
        <w:rPr>
          <w:i w:val="1"/>
        </w:rPr>
      </w:pPr>
      <w:r w:rsidDel="00000000" w:rsidR="00000000" w:rsidRPr="00000000">
        <w:rPr>
          <w:i w:val="1"/>
          <w:rtl w:val="0"/>
        </w:rPr>
        <w:t xml:space="preserve">A declaration of interest will not necessarily mean the individual or organisation cannot work on the project; but it is vital that any interest or conflict is declared so it can be considered openly.</w:t>
      </w:r>
    </w:p>
    <w:p w:rsidR="00000000" w:rsidDel="00000000" w:rsidP="00000000" w:rsidRDefault="00000000" w:rsidRPr="00000000" w14:paraId="00000167">
      <w:pPr>
        <w:widowControl w:val="0"/>
        <w:spacing w:after="240" w:line="240" w:lineRule="auto"/>
        <w:rPr>
          <w:i w:val="1"/>
        </w:rPr>
      </w:pPr>
      <w:r w:rsidDel="00000000" w:rsidR="00000000" w:rsidRPr="00000000">
        <w:rPr>
          <w:i w:val="1"/>
          <w:rtl w:val="0"/>
        </w:rPr>
        <w:t xml:space="preserve">Failure to declare or avoid conflict of interest at this or a later stage may result in exclusion from the procurement competition, or in Cabinet Office exercising its right to terminate any contract awarded.</w:t>
      </w:r>
    </w:p>
    <w:p w:rsidR="00000000" w:rsidDel="00000000" w:rsidP="00000000" w:rsidRDefault="00000000" w:rsidRPr="00000000" w14:paraId="00000168">
      <w:pPr>
        <w:widowControl w:val="0"/>
        <w:spacing w:after="240" w:line="240" w:lineRule="auto"/>
        <w:rPr>
          <w:b w:val="1"/>
        </w:rPr>
      </w:pPr>
      <w:r w:rsidDel="00000000" w:rsidR="00000000" w:rsidRPr="00000000">
        <w:rPr>
          <w:b w:val="1"/>
          <w:rtl w:val="0"/>
        </w:rPr>
        <w:t xml:space="preserve">Part 1</w:t>
      </w:r>
    </w:p>
    <w:p w:rsidR="00000000" w:rsidDel="00000000" w:rsidP="00000000" w:rsidRDefault="00000000" w:rsidRPr="00000000" w14:paraId="00000169">
      <w:pPr>
        <w:widowControl w:val="0"/>
        <w:spacing w:after="240" w:line="240" w:lineRule="auto"/>
        <w:rPr/>
      </w:pPr>
      <w:r w:rsidDel="00000000" w:rsidR="00000000" w:rsidRPr="00000000">
        <w:rPr>
          <w:rtl w:val="0"/>
        </w:rPr>
        <w:t xml:space="preserve">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000000" w:rsidDel="00000000" w:rsidP="00000000" w:rsidRDefault="00000000" w:rsidRPr="00000000" w14:paraId="0000016A">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6B">
      <w:pPr>
        <w:rPr/>
      </w:pPr>
      <w:r w:rsidDel="00000000" w:rsidR="00000000" w:rsidRPr="00000000">
        <w:rPr>
          <w:rtl w:val="0"/>
        </w:rPr>
        <w:t xml:space="preserve">Signed      </w:t>
        <w:tab/>
        <w:t xml:space="preserve">…………………………………….</w:t>
      </w:r>
    </w:p>
    <w:p w:rsidR="00000000" w:rsidDel="00000000" w:rsidP="00000000" w:rsidRDefault="00000000" w:rsidRPr="00000000" w14:paraId="0000016C">
      <w:pPr>
        <w:rPr/>
      </w:pPr>
      <w:r w:rsidDel="00000000" w:rsidR="00000000" w:rsidRPr="00000000">
        <w:rPr>
          <w:rtl w:val="0"/>
        </w:rPr>
        <w:t xml:space="preserve">Name</w:t>
        <w:tab/>
        <w:tab/>
        <w:t xml:space="preserve">…………………………………….</w:t>
      </w:r>
    </w:p>
    <w:p w:rsidR="00000000" w:rsidDel="00000000" w:rsidP="00000000" w:rsidRDefault="00000000" w:rsidRPr="00000000" w14:paraId="0000016D">
      <w:pPr>
        <w:rPr/>
      </w:pPr>
      <w:r w:rsidDel="00000000" w:rsidR="00000000" w:rsidRPr="00000000">
        <w:rPr>
          <w:rtl w:val="0"/>
        </w:rPr>
        <w:t xml:space="preserve">Position     </w:t>
        <w:tab/>
        <w:t xml:space="preserve">…………………………………….</w:t>
      </w:r>
    </w:p>
    <w:p w:rsidR="00000000" w:rsidDel="00000000" w:rsidP="00000000" w:rsidRDefault="00000000" w:rsidRPr="00000000" w14:paraId="0000016E">
      <w:pPr>
        <w:widowControl w:val="0"/>
        <w:spacing w:after="240" w:line="240" w:lineRule="auto"/>
        <w:rPr/>
      </w:pPr>
      <w:r w:rsidDel="00000000" w:rsidR="00000000" w:rsidRPr="00000000">
        <w:rPr>
          <w:rtl w:val="0"/>
        </w:rPr>
        <w:t xml:space="preserve">OR</w:t>
      </w:r>
    </w:p>
    <w:p w:rsidR="00000000" w:rsidDel="00000000" w:rsidP="00000000" w:rsidRDefault="00000000" w:rsidRPr="00000000" w14:paraId="0000016F">
      <w:pPr>
        <w:widowControl w:val="0"/>
        <w:spacing w:after="240" w:line="240" w:lineRule="auto"/>
        <w:rPr>
          <w:b w:val="1"/>
        </w:rPr>
      </w:pPr>
      <w:r w:rsidDel="00000000" w:rsidR="00000000" w:rsidRPr="00000000">
        <w:rPr>
          <w:b w:val="1"/>
          <w:rtl w:val="0"/>
        </w:rPr>
        <w:t xml:space="preserve">Part 2</w:t>
      </w:r>
    </w:p>
    <w:p w:rsidR="00000000" w:rsidDel="00000000" w:rsidP="00000000" w:rsidRDefault="00000000" w:rsidRPr="00000000" w14:paraId="00000170">
      <w:pPr>
        <w:widowControl w:val="0"/>
        <w:spacing w:after="240" w:line="240" w:lineRule="auto"/>
        <w:rPr/>
      </w:pPr>
      <w:r w:rsidDel="00000000" w:rsidR="00000000" w:rsidRPr="00000000">
        <w:rPr>
          <w:rtl w:val="0"/>
        </w:rPr>
        <w:t xml:space="preserve">I wish to declare the following with respect to personal or professional interests related to relevant organisations (insert name(s) below):</w:t>
      </w:r>
    </w:p>
    <w:p w:rsidR="00000000" w:rsidDel="00000000" w:rsidP="00000000" w:rsidRDefault="00000000" w:rsidRPr="00000000" w14:paraId="00000171">
      <w:pPr>
        <w:numPr>
          <w:ilvl w:val="0"/>
          <w:numId w:val="3"/>
        </w:numPr>
        <w:ind w:left="720" w:hanging="360"/>
        <w:rPr/>
      </w:pPr>
      <w:r w:rsidDel="00000000" w:rsidR="00000000" w:rsidRPr="00000000">
        <w:rPr>
          <w:rtl w:val="0"/>
        </w:rPr>
        <w:tab/>
        <w:t xml:space="preserve">…………………………………….</w:t>
      </w:r>
    </w:p>
    <w:p w:rsidR="00000000" w:rsidDel="00000000" w:rsidP="00000000" w:rsidRDefault="00000000" w:rsidRPr="00000000" w14:paraId="00000172">
      <w:pPr>
        <w:numPr>
          <w:ilvl w:val="0"/>
          <w:numId w:val="3"/>
        </w:numPr>
        <w:ind w:left="720" w:hanging="360"/>
        <w:rPr/>
      </w:pPr>
      <w:r w:rsidDel="00000000" w:rsidR="00000000" w:rsidRPr="00000000">
        <w:rPr>
          <w:rtl w:val="0"/>
        </w:rPr>
        <w:tab/>
        <w:t xml:space="preserve">…………………………………….</w:t>
      </w:r>
    </w:p>
    <w:p w:rsidR="00000000" w:rsidDel="00000000" w:rsidP="00000000" w:rsidRDefault="00000000" w:rsidRPr="00000000" w14:paraId="00000173">
      <w:pPr>
        <w:widowControl w:val="0"/>
        <w:spacing w:after="240" w:line="240" w:lineRule="auto"/>
        <w:rPr/>
      </w:pPr>
      <w:r w:rsidDel="00000000" w:rsidR="00000000" w:rsidRPr="00000000">
        <w:rPr>
          <w:rtl w:val="0"/>
        </w:rPr>
        <w:t xml:space="preserve">Where a potential conflict of interest has been declared for an individual or organisation within a consortia, please clearly outline in your tender the role which this individual or organisation will play in the proposed project and how any conflict of interest has or will be mitigated.</w:t>
      </w:r>
    </w:p>
    <w:p w:rsidR="00000000" w:rsidDel="00000000" w:rsidP="00000000" w:rsidRDefault="00000000" w:rsidRPr="00000000" w14:paraId="00000174">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75">
      <w:pPr>
        <w:widowControl w:val="0"/>
        <w:spacing w:after="240" w:line="240" w:lineRule="auto"/>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Signed      </w:t>
        <w:tab/>
        <w:t xml:space="preserve">……………………………………</w:t>
      </w:r>
    </w:p>
    <w:p w:rsidR="00000000" w:rsidDel="00000000" w:rsidP="00000000" w:rsidRDefault="00000000" w:rsidRPr="00000000" w14:paraId="00000177">
      <w:pPr>
        <w:rPr/>
      </w:pPr>
      <w:r w:rsidDel="00000000" w:rsidR="00000000" w:rsidRPr="00000000">
        <w:rPr>
          <w:rtl w:val="0"/>
        </w:rPr>
        <w:t xml:space="preserve">Name</w:t>
        <w:tab/>
        <w:tab/>
        <w:t xml:space="preserve">……………………………………</w:t>
      </w:r>
    </w:p>
    <w:p w:rsidR="00000000" w:rsidDel="00000000" w:rsidP="00000000" w:rsidRDefault="00000000" w:rsidRPr="00000000" w14:paraId="00000178">
      <w:pPr>
        <w:rPr/>
      </w:pPr>
      <w:r w:rsidDel="00000000" w:rsidR="00000000" w:rsidRPr="00000000">
        <w:rPr>
          <w:rtl w:val="0"/>
        </w:rPr>
        <w:t xml:space="preserve">Position   </w:t>
        <w:tab/>
        <w:t xml:space="preserve">……………………………………</w:t>
      </w:r>
    </w:p>
    <w:p w:rsidR="00000000" w:rsidDel="00000000" w:rsidP="00000000" w:rsidRDefault="00000000" w:rsidRPr="00000000" w14:paraId="00000179">
      <w:pPr>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EA67F8"/>
    <w:rPr>
      <w:color w:val="0000ff" w:themeColor="hyperlink"/>
      <w:u w:val="single"/>
    </w:rPr>
  </w:style>
  <w:style w:type="character" w:styleId="UnresolvedMention">
    <w:name w:val="Unresolved Mention"/>
    <w:basedOn w:val="DefaultParagraphFont"/>
    <w:uiPriority w:val="99"/>
    <w:semiHidden w:val="1"/>
    <w:unhideWhenUsed w:val="1"/>
    <w:rsid w:val="00EA67F8"/>
    <w:rPr>
      <w:color w:val="605e5c"/>
      <w:shd w:color="auto" w:fill="e1dfdd" w:val="clear"/>
    </w:rPr>
  </w:style>
  <w:style w:type="paragraph" w:styleId="ListParagraph">
    <w:name w:val="List Paragraph"/>
    <w:basedOn w:val="Normal"/>
    <w:uiPriority w:val="34"/>
    <w:qFormat w:val="1"/>
    <w:rsid w:val="00370493"/>
    <w:pPr>
      <w:ind w:left="720"/>
      <w:contextualSpacing w:val="1"/>
    </w:pPr>
  </w:style>
  <w:style w:type="paragraph" w:styleId="NormalWeb">
    <w:name w:val="Normal (Web)"/>
    <w:basedOn w:val="Normal"/>
    <w:uiPriority w:val="99"/>
    <w:semiHidden w:val="1"/>
    <w:unhideWhenUsed w:val="1"/>
    <w:rsid w:val="00370493"/>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FB13A2"/>
    <w:rPr>
      <w:sz w:val="16"/>
      <w:szCs w:val="16"/>
    </w:rPr>
  </w:style>
  <w:style w:type="paragraph" w:styleId="CommentText">
    <w:name w:val="annotation text"/>
    <w:basedOn w:val="Normal"/>
    <w:link w:val="CommentTextChar"/>
    <w:uiPriority w:val="99"/>
    <w:semiHidden w:val="1"/>
    <w:unhideWhenUsed w:val="1"/>
    <w:rsid w:val="00FB13A2"/>
    <w:pPr>
      <w:spacing w:line="240" w:lineRule="auto"/>
    </w:pPr>
    <w:rPr>
      <w:sz w:val="20"/>
      <w:szCs w:val="20"/>
    </w:rPr>
  </w:style>
  <w:style w:type="character" w:styleId="CommentTextChar" w:customStyle="1">
    <w:name w:val="Comment Text Char"/>
    <w:basedOn w:val="DefaultParagraphFont"/>
    <w:link w:val="CommentText"/>
    <w:uiPriority w:val="99"/>
    <w:semiHidden w:val="1"/>
    <w:rsid w:val="00FB13A2"/>
    <w:rPr>
      <w:sz w:val="20"/>
      <w:szCs w:val="20"/>
    </w:rPr>
  </w:style>
  <w:style w:type="paragraph" w:styleId="CommentSubject">
    <w:name w:val="annotation subject"/>
    <w:basedOn w:val="CommentText"/>
    <w:next w:val="CommentText"/>
    <w:link w:val="CommentSubjectChar"/>
    <w:uiPriority w:val="99"/>
    <w:semiHidden w:val="1"/>
    <w:unhideWhenUsed w:val="1"/>
    <w:rsid w:val="00FB13A2"/>
    <w:rPr>
      <w:b w:val="1"/>
      <w:bCs w:val="1"/>
    </w:rPr>
  </w:style>
  <w:style w:type="character" w:styleId="CommentSubjectChar" w:customStyle="1">
    <w:name w:val="Comment Subject Char"/>
    <w:basedOn w:val="CommentTextChar"/>
    <w:link w:val="CommentSubject"/>
    <w:uiPriority w:val="99"/>
    <w:semiHidden w:val="1"/>
    <w:rsid w:val="00FB13A2"/>
    <w:rPr>
      <w:b w:val="1"/>
      <w:bCs w:val="1"/>
      <w:sz w:val="20"/>
      <w:szCs w:val="20"/>
    </w:rPr>
  </w:style>
  <w:style w:type="paragraph" w:styleId="BalloonText">
    <w:name w:val="Balloon Text"/>
    <w:basedOn w:val="Normal"/>
    <w:link w:val="BalloonTextChar"/>
    <w:uiPriority w:val="99"/>
    <w:semiHidden w:val="1"/>
    <w:unhideWhenUsed w:val="1"/>
    <w:rsid w:val="00FB13A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13A2"/>
    <w:rPr>
      <w:rFonts w:ascii="Segoe UI" w:cs="Segoe UI" w:hAnsi="Segoe UI"/>
      <w:sz w:val="18"/>
      <w:szCs w:val="18"/>
    </w:rPr>
  </w:style>
  <w:style w:type="character" w:styleId="apple-tab-span" w:customStyle="1">
    <w:name w:val="apple-tab-span"/>
    <w:basedOn w:val="DefaultParagraphFont"/>
    <w:rsid w:val="00FB13A2"/>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7908C4"/>
    <w:pPr>
      <w:spacing w:line="240" w:lineRule="auto"/>
    </w:pPr>
  </w:style>
  <w:style w:type="table" w:styleId="af7" w:customStyle="1">
    <w:basedOn w:val="TableNormal"/>
    <w:tblPr>
      <w:tblStyleRowBandSize w:val="1"/>
      <w:tblStyleColBandSize w:val="1"/>
      <w:tblCellMar>
        <w:top w:w="15.0" w:type="dxa"/>
        <w:left w:w="115.0" w:type="dxa"/>
        <w:bottom w:w="15.0" w:type="dxa"/>
        <w:right w:w="115.0" w:type="dxa"/>
      </w:tblCellMar>
    </w:tblPr>
  </w:style>
  <w:style w:type="table" w:styleId="af8" w:customStyle="1">
    <w:basedOn w:val="TableNormal"/>
    <w:tblPr>
      <w:tblStyleRowBandSize w:val="1"/>
      <w:tblStyleColBandSize w:val="1"/>
      <w:tblCellMar>
        <w:top w:w="15.0" w:type="dxa"/>
        <w:left w:w="115.0" w:type="dxa"/>
        <w:bottom w:w="15.0" w:type="dxa"/>
        <w:right w:w="115.0" w:type="dxa"/>
      </w:tblCellMar>
    </w:tblPr>
  </w:style>
  <w:style w:type="table" w:styleId="af9" w:customStyle="1">
    <w:basedOn w:val="TableNormal"/>
    <w:tblPr>
      <w:tblStyleRowBandSize w:val="1"/>
      <w:tblStyleColBandSize w:val="1"/>
      <w:tblCellMar>
        <w:top w:w="15.0" w:type="dxa"/>
        <w:left w:w="115.0" w:type="dxa"/>
        <w:bottom w:w="15.0" w:type="dxa"/>
        <w:right w:w="115.0" w:type="dxa"/>
      </w:tblCellMar>
    </w:tblPr>
  </w:style>
  <w:style w:type="table" w:styleId="afa" w:customStyle="1">
    <w:basedOn w:val="TableNormal"/>
    <w:tblPr>
      <w:tblStyleRowBandSize w:val="1"/>
      <w:tblStyleColBandSize w:val="1"/>
      <w:tblCellMar>
        <w:top w:w="15.0" w:type="dxa"/>
        <w:left w:w="115.0" w:type="dxa"/>
        <w:bottom w:w="15.0" w:type="dxa"/>
        <w:right w:w="115.0" w:type="dxa"/>
      </w:tblCellMar>
    </w:tblPr>
  </w:style>
  <w:style w:type="table" w:styleId="afb" w:customStyle="1">
    <w:basedOn w:val="TableNormal"/>
    <w:tblPr>
      <w:tblStyleRowBandSize w:val="1"/>
      <w:tblStyleColBandSize w:val="1"/>
      <w:tblCellMar>
        <w:top w:w="15.0" w:type="dxa"/>
        <w:left w:w="115.0" w:type="dxa"/>
        <w:bottom w:w="15.0" w:type="dxa"/>
        <w:right w:w="115.0" w:type="dxa"/>
      </w:tblCellMar>
    </w:tblPr>
  </w:style>
  <w:style w:type="table" w:styleId="afc" w:customStyle="1">
    <w:basedOn w:val="TableNormal"/>
    <w:tblPr>
      <w:tblStyleRowBandSize w:val="1"/>
      <w:tblStyleColBandSize w:val="1"/>
      <w:tblCellMar>
        <w:top w:w="15.0" w:type="dxa"/>
        <w:left w:w="115.0" w:type="dxa"/>
        <w:bottom w:w="15.0" w:type="dxa"/>
        <w:right w:w="115.0" w:type="dxa"/>
      </w:tblCellMar>
    </w:tblPr>
  </w:style>
  <w:style w:type="table" w:styleId="afd" w:customStyle="1">
    <w:basedOn w:val="TableNormal"/>
    <w:tblPr>
      <w:tblStyleRowBandSize w:val="1"/>
      <w:tblStyleColBandSize w:val="1"/>
      <w:tblCellMar>
        <w:top w:w="15.0" w:type="dxa"/>
        <w:left w:w="115.0" w:type="dxa"/>
        <w:bottom w:w="15.0" w:type="dxa"/>
        <w:right w:w="115.0" w:type="dxa"/>
      </w:tblCellMar>
    </w:tblPr>
  </w:style>
  <w:style w:type="table" w:styleId="afe" w:customStyle="1">
    <w:basedOn w:val="TableNormal"/>
    <w:tblPr>
      <w:tblStyleRowBandSize w:val="1"/>
      <w:tblStyleColBandSize w:val="1"/>
      <w:tblCellMar>
        <w:top w:w="15.0" w:type="dxa"/>
        <w:left w:w="115.0" w:type="dxa"/>
        <w:bottom w:w="15.0" w:type="dxa"/>
        <w:right w:w="115.0" w:type="dxa"/>
      </w:tblCellMar>
    </w:tblPr>
  </w:style>
  <w:style w:type="table" w:styleId="aff" w:customStyle="1">
    <w:basedOn w:val="TableNormal"/>
    <w:tblPr>
      <w:tblStyleRowBandSize w:val="1"/>
      <w:tblStyleColBandSize w:val="1"/>
      <w:tblCellMar>
        <w:top w:w="15.0" w:type="dxa"/>
        <w:left w:w="115.0" w:type="dxa"/>
        <w:bottom w:w="15.0" w:type="dxa"/>
        <w:right w:w="115.0" w:type="dxa"/>
      </w:tblCellMar>
    </w:tblPr>
  </w:style>
  <w:style w:type="table" w:styleId="aff0" w:customStyle="1">
    <w:basedOn w:val="TableNormal"/>
    <w:tblPr>
      <w:tblStyleRowBandSize w:val="1"/>
      <w:tblStyleColBandSize w:val="1"/>
      <w:tblCellMar>
        <w:top w:w="15.0" w:type="dxa"/>
        <w:left w:w="115.0" w:type="dxa"/>
        <w:bottom w:w="15.0" w:type="dxa"/>
        <w:right w:w="115.0" w:type="dxa"/>
      </w:tblCellMar>
    </w:tblPr>
  </w:style>
  <w:style w:type="table" w:styleId="aff1" w:customStyle="1">
    <w:basedOn w:val="TableNormal"/>
    <w:tblPr>
      <w:tblStyleRowBandSize w:val="1"/>
      <w:tblStyleColBandSize w:val="1"/>
      <w:tblCellMar>
        <w:top w:w="15.0" w:type="dxa"/>
        <w:left w:w="115.0" w:type="dxa"/>
        <w:bottom w:w="15.0" w:type="dxa"/>
        <w:right w:w="115.0" w:type="dxa"/>
      </w:tblCellMar>
    </w:tblPr>
  </w:style>
  <w:style w:type="table" w:styleId="aff2" w:customStyle="1">
    <w:basedOn w:val="TableNormal"/>
    <w:tblPr>
      <w:tblStyleRowBandSize w:val="1"/>
      <w:tblStyleColBandSize w:val="1"/>
      <w:tblCellMar>
        <w:top w:w="15.0" w:type="dxa"/>
        <w:left w:w="115.0" w:type="dxa"/>
        <w:bottom w:w="15.0" w:type="dxa"/>
        <w:right w:w="115.0" w:type="dxa"/>
      </w:tblCellMar>
    </w:tblPr>
  </w:style>
  <w:style w:type="table" w:styleId="aff3" w:customStyle="1">
    <w:basedOn w:val="TableNormal"/>
    <w:tblPr>
      <w:tblStyleRowBandSize w:val="1"/>
      <w:tblStyleColBandSize w:val="1"/>
      <w:tblCellMar>
        <w:top w:w="15.0" w:type="dxa"/>
        <w:left w:w="115.0" w:type="dxa"/>
        <w:bottom w:w="15.0" w:type="dxa"/>
        <w:right w:w="115.0" w:type="dxa"/>
      </w:tblCellMar>
    </w:tblPr>
  </w:style>
  <w:style w:type="table" w:styleId="aff4" w:customStyle="1">
    <w:basedOn w:val="TableNormal"/>
    <w:tblPr>
      <w:tblStyleRowBandSize w:val="1"/>
      <w:tblStyleColBandSize w:val="1"/>
      <w:tblCellMar>
        <w:top w:w="15.0" w:type="dxa"/>
        <w:left w:w="115.0" w:type="dxa"/>
        <w:bottom w:w="15.0" w:type="dxa"/>
        <w:right w:w="115.0" w:type="dxa"/>
      </w:tblCellMar>
    </w:tblPr>
  </w:style>
  <w:style w:type="table" w:styleId="aff5" w:customStyle="1">
    <w:basedOn w:val="TableNormal"/>
    <w:tblPr>
      <w:tblStyleRowBandSize w:val="1"/>
      <w:tblStyleColBandSize w:val="1"/>
      <w:tblCellMar>
        <w:top w:w="15.0" w:type="dxa"/>
        <w:left w:w="115.0" w:type="dxa"/>
        <w:bottom w:w="15.0" w:type="dxa"/>
        <w:right w:w="115.0" w:type="dxa"/>
      </w:tblCellMar>
    </w:tblPr>
  </w:style>
  <w:style w:type="table" w:styleId="aff6" w:customStyle="1">
    <w:basedOn w:val="TableNormal"/>
    <w:tblPr>
      <w:tblStyleRowBandSize w:val="1"/>
      <w:tblStyleColBandSize w:val="1"/>
      <w:tblCellMar>
        <w:top w:w="15.0" w:type="dxa"/>
        <w:left w:w="115.0" w:type="dxa"/>
        <w:bottom w:w="15.0" w:type="dxa"/>
        <w:right w:w="115.0" w:type="dxa"/>
      </w:tblCellMar>
    </w:tblPr>
  </w:style>
  <w:style w:type="table" w:styleId="aff7" w:customStyle="1">
    <w:basedOn w:val="TableNormal"/>
    <w:tblPr>
      <w:tblStyleRowBandSize w:val="1"/>
      <w:tblStyleColBandSize w:val="1"/>
      <w:tblCellMar>
        <w:top w:w="15.0" w:type="dxa"/>
        <w:left w:w="115.0" w:type="dxa"/>
        <w:bottom w:w="15.0" w:type="dxa"/>
        <w:right w:w="115.0" w:type="dxa"/>
      </w:tblCellMar>
    </w:tblPr>
  </w:style>
  <w:style w:type="table" w:styleId="aff8" w:customStyle="1">
    <w:basedOn w:val="TableNormal"/>
    <w:tblPr>
      <w:tblStyleRowBandSize w:val="1"/>
      <w:tblStyleColBandSize w:val="1"/>
      <w:tblCellMar>
        <w:top w:w="15.0" w:type="dxa"/>
        <w:left w:w="115.0" w:type="dxa"/>
        <w:bottom w:w="15.0" w:type="dxa"/>
        <w:right w:w="115.0" w:type="dxa"/>
      </w:tblCellMar>
    </w:tblPr>
  </w:style>
  <w:style w:type="table" w:styleId="aff9" w:customStyle="1">
    <w:basedOn w:val="TableNormal"/>
    <w:tblPr>
      <w:tblStyleRowBandSize w:val="1"/>
      <w:tblStyleColBandSize w:val="1"/>
      <w:tblCellMar>
        <w:top w:w="15.0" w:type="dxa"/>
        <w:left w:w="115.0" w:type="dxa"/>
        <w:bottom w:w="15.0" w:type="dxa"/>
        <w:right w:w="115.0" w:type="dxa"/>
      </w:tblCellMar>
    </w:tblPr>
  </w:style>
  <w:style w:type="table" w:styleId="affa" w:customStyle="1">
    <w:basedOn w:val="TableNormal"/>
    <w:tblPr>
      <w:tblStyleRowBandSize w:val="1"/>
      <w:tblStyleColBandSize w:val="1"/>
      <w:tblCellMar>
        <w:top w:w="15.0" w:type="dxa"/>
        <w:left w:w="115.0" w:type="dxa"/>
        <w:bottom w:w="15.0" w:type="dxa"/>
        <w:right w:w="115.0" w:type="dxa"/>
      </w:tblCellMar>
    </w:tblPr>
  </w:style>
  <w:style w:type="table" w:styleId="affb" w:customStyle="1">
    <w:basedOn w:val="TableNormal"/>
    <w:tblPr>
      <w:tblStyleRowBandSize w:val="1"/>
      <w:tblStyleColBandSize w:val="1"/>
      <w:tblCellMar>
        <w:top w:w="15.0" w:type="dxa"/>
        <w:left w:w="115.0" w:type="dxa"/>
        <w:bottom w:w="15.0" w:type="dxa"/>
        <w:right w:w="115.0" w:type="dxa"/>
      </w:tblCellMar>
    </w:tblPr>
  </w:style>
  <w:style w:type="table" w:styleId="affc" w:customStyle="1">
    <w:basedOn w:val="TableNormal"/>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nb.co.uk/dandb-duns-number" TargetMode="External"/><Relationship Id="rId10"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image" Target="media/image2.png"/><Relationship Id="rId12" Type="http://schemas.openxmlformats.org/officeDocument/2006/relationships/hyperlink" Target="http://www.dnb.co.uk/mydu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uploads/system/uploads/attachment_data/file/551130/List_of_Mandatory_and_Discretionary_Exclusion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FbT10IdFYd69oaoOyPFaTk37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zIOaC5oejBjczF1bWo1MngyCmlkLjE3ZHA4dnUyCmlkLjExMWt4M28yCWguM2wxOGZyaDgAciExZ1lxSmhkX1BtOE5YM21vN3lRYlhGN3liajltVDNT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2023-05-25T17:06:00Z</dcterms:created>
  <dc:creator>Colin Seymour</dc:creator>
</cp:coreProperties>
</file>