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11B3D"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Independent </w:t>
      </w:r>
      <w:r w:rsidR="005327DC">
        <w:rPr>
          <w:rFonts w:cstheme="minorHAnsi"/>
          <w:b/>
          <w:color w:val="000000"/>
          <w:sz w:val="56"/>
          <w:szCs w:val="56"/>
        </w:rPr>
        <w:t>Evaluation of</w:t>
      </w:r>
      <w:r w:rsidR="00BD6B65">
        <w:rPr>
          <w:rFonts w:cstheme="minorHAnsi"/>
          <w:b/>
          <w:color w:val="000000"/>
          <w:sz w:val="56"/>
          <w:szCs w:val="56"/>
        </w:rPr>
        <w:t xml:space="preserve"> children and young peoples’ service</w:t>
      </w:r>
      <w:r w:rsidR="00E741D8">
        <w:rPr>
          <w:rFonts w:cstheme="minorHAnsi"/>
          <w:b/>
          <w:color w:val="000000"/>
          <w:sz w:val="56"/>
          <w:szCs w:val="56"/>
        </w:rPr>
        <w:t xml:space="preserve"> </w:t>
      </w:r>
      <w:r w:rsidR="00BD6B65">
        <w:rPr>
          <w:rFonts w:cstheme="minorHAnsi"/>
          <w:b/>
          <w:color w:val="000000"/>
          <w:sz w:val="56"/>
          <w:szCs w:val="56"/>
        </w:rPr>
        <w:t>pilots</w:t>
      </w:r>
      <w:r w:rsidR="00E741D8">
        <w:rPr>
          <w:rFonts w:cstheme="minorHAnsi"/>
          <w:b/>
          <w:color w:val="000000"/>
          <w:sz w:val="56"/>
          <w:szCs w:val="56"/>
        </w:rPr>
        <w:t xml:space="preserve"> provided</w:t>
      </w:r>
      <w:r w:rsidR="00A26761">
        <w:rPr>
          <w:rFonts w:cstheme="minorHAnsi"/>
          <w:b/>
          <w:color w:val="000000"/>
          <w:sz w:val="56"/>
          <w:szCs w:val="56"/>
        </w:rPr>
        <w:t xml:space="preserve"> in east of England</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52A62">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52A62">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52A62">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52A62">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52A62">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C52A62"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effectiveness of </w:t>
      </w:r>
      <w:r w:rsidR="00BD6B65">
        <w:t xml:space="preserve">two </w:t>
      </w:r>
      <w:r w:rsidR="00E741D8">
        <w:t xml:space="preserve">services provided to </w:t>
      </w:r>
      <w:r w:rsidR="00BD6B65">
        <w:t>children and young people</w:t>
      </w:r>
      <w:r w:rsidR="00A26761">
        <w:t xml:space="preserve"> in the east of England</w:t>
      </w:r>
      <w:r w:rsidR="00E741D8">
        <w:t xml:space="preserve">.  This will improve commissioners’ understanding </w:t>
      </w:r>
      <w:r w:rsidR="00061736">
        <w:t>for further</w:t>
      </w:r>
      <w:r w:rsidR="00E741D8">
        <w:t xml:space="preserve"> service</w:t>
      </w:r>
      <w:r w:rsidR="00B672BF">
        <w:t xml:space="preserve"> development and will inform future commissioning.</w:t>
      </w:r>
    </w:p>
    <w:p w:rsidR="00971087" w:rsidRDefault="004D169A" w:rsidP="00AE3615">
      <w:pPr>
        <w:rPr>
          <w:rFonts w:cstheme="minorHAnsi"/>
          <w:sz w:val="24"/>
          <w:szCs w:val="24"/>
        </w:rPr>
      </w:pPr>
      <w:r>
        <w:t xml:space="preserve">We are seeking to appoint an independent </w:t>
      </w:r>
      <w:r w:rsidR="00C11B3D">
        <w:t>author</w:t>
      </w:r>
      <w:r>
        <w:t xml:space="preserve"> who can propose an appropriate way to evaluate the service, do the evaluation, provide answers to the questions given</w:t>
      </w:r>
      <w:r w:rsidR="00773E8A">
        <w:t xml:space="preserve"> and make proposals </w:t>
      </w:r>
      <w:proofErr w:type="gramStart"/>
      <w:r w:rsidR="00773E8A">
        <w:t>as a consequence</w:t>
      </w:r>
      <w:proofErr w:type="gramEnd"/>
      <w:r w:rsidR="00773E8A">
        <w:t>.</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B041DC" w:rsidRDefault="002900CC" w:rsidP="00F11EFF">
      <w:pPr>
        <w:spacing w:after="0" w:line="240" w:lineRule="auto"/>
        <w:rPr>
          <w:lang w:val="en-US"/>
        </w:rPr>
      </w:pPr>
      <w:r>
        <w:rPr>
          <w:lang w:val="en-US"/>
        </w:rPr>
        <w:t>Future in Mind</w:t>
      </w:r>
      <w:r w:rsidR="009D57E1">
        <w:rPr>
          <w:lang w:val="en-US"/>
        </w:rPr>
        <w:t xml:space="preserve"> (</w:t>
      </w:r>
      <w:proofErr w:type="spellStart"/>
      <w:r w:rsidR="009D57E1">
        <w:rPr>
          <w:lang w:val="en-US"/>
        </w:rPr>
        <w:t>FiM</w:t>
      </w:r>
      <w:proofErr w:type="spellEnd"/>
      <w:r w:rsidR="009D57E1">
        <w:rPr>
          <w:lang w:val="en-US"/>
        </w:rPr>
        <w:t xml:space="preserve">) </w:t>
      </w:r>
      <w:r w:rsidR="00C37557">
        <w:rPr>
          <w:lang w:val="en-US"/>
        </w:rPr>
        <w:t>(201</w:t>
      </w:r>
      <w:r w:rsidR="00102066">
        <w:rPr>
          <w:lang w:val="en-US"/>
        </w:rPr>
        <w:t>5</w:t>
      </w:r>
      <w:r w:rsidR="00C37557">
        <w:rPr>
          <w:lang w:val="en-US"/>
        </w:rPr>
        <w:t xml:space="preserve">) made </w:t>
      </w:r>
      <w:proofErr w:type="gramStart"/>
      <w:r w:rsidR="00C37557">
        <w:rPr>
          <w:lang w:val="en-US"/>
        </w:rPr>
        <w:t>a number of</w:t>
      </w:r>
      <w:proofErr w:type="gramEnd"/>
      <w:r w:rsidR="00C37557">
        <w:rPr>
          <w:lang w:val="en-US"/>
        </w:rPr>
        <w:t xml:space="preserve"> proposals with</w:t>
      </w:r>
      <w:r w:rsidR="00102066">
        <w:rPr>
          <w:lang w:val="en-US"/>
        </w:rPr>
        <w:t xml:space="preserve"> t</w:t>
      </w:r>
      <w:r w:rsidR="00C37557">
        <w:rPr>
          <w:lang w:val="en-US"/>
        </w:rPr>
        <w:t>h</w:t>
      </w:r>
      <w:r w:rsidR="00102066">
        <w:rPr>
          <w:lang w:val="en-US"/>
        </w:rPr>
        <w:t>e</w:t>
      </w:r>
      <w:r w:rsidR="00C37557">
        <w:rPr>
          <w:lang w:val="en-US"/>
        </w:rPr>
        <w:t xml:space="preserve"> objective of improving the mental heath of children and young people. </w:t>
      </w:r>
      <w:r w:rsidR="006322DF">
        <w:rPr>
          <w:lang w:val="en-US"/>
        </w:rPr>
        <w:t xml:space="preserve"> A workstream produced by </w:t>
      </w:r>
      <w:proofErr w:type="spellStart"/>
      <w:r w:rsidR="006322DF">
        <w:rPr>
          <w:lang w:val="en-US"/>
        </w:rPr>
        <w:t>FiM</w:t>
      </w:r>
      <w:proofErr w:type="spellEnd"/>
      <w:r w:rsidR="009D57E1">
        <w:rPr>
          <w:lang w:val="en-US"/>
        </w:rPr>
        <w:t xml:space="preserve"> was collaborative commissioning, which noted that some children and young people are accessing a range of services,</w:t>
      </w:r>
      <w:r w:rsidR="005B7A6F">
        <w:rPr>
          <w:lang w:val="en-US"/>
        </w:rPr>
        <w:t xml:space="preserve"> provided by different providers and in different </w:t>
      </w:r>
      <w:proofErr w:type="gramStart"/>
      <w:r w:rsidR="005B7A6F">
        <w:rPr>
          <w:lang w:val="en-US"/>
        </w:rPr>
        <w:t xml:space="preserve">systems, </w:t>
      </w:r>
      <w:r w:rsidR="009D57E1">
        <w:rPr>
          <w:lang w:val="en-US"/>
        </w:rPr>
        <w:t xml:space="preserve"> some</w:t>
      </w:r>
      <w:proofErr w:type="gramEnd"/>
      <w:r w:rsidR="009D57E1">
        <w:rPr>
          <w:lang w:val="en-US"/>
        </w:rPr>
        <w:t xml:space="preserve"> of which may be at some distance from their  home. This means that the services they are accessing may be commissioned by a range of commissioning </w:t>
      </w:r>
      <w:proofErr w:type="gramStart"/>
      <w:r w:rsidR="009D57E1">
        <w:rPr>
          <w:lang w:val="en-US"/>
        </w:rPr>
        <w:t>teams ;</w:t>
      </w:r>
      <w:proofErr w:type="gramEnd"/>
      <w:r w:rsidR="009D57E1">
        <w:rPr>
          <w:lang w:val="en-US"/>
        </w:rPr>
        <w:t xml:space="preserve"> this workstream sought to encourage collaboration between commissioners, to facilitate a clearer understanding of the range of services which are needed to produce better health outcomes.</w:t>
      </w:r>
    </w:p>
    <w:p w:rsidR="009D57E1" w:rsidRDefault="009D57E1" w:rsidP="00F11EFF">
      <w:pPr>
        <w:spacing w:after="0" w:line="240" w:lineRule="auto"/>
        <w:rPr>
          <w:lang w:val="en-US"/>
        </w:rPr>
      </w:pPr>
    </w:p>
    <w:p w:rsidR="00F62277" w:rsidRDefault="009D57E1" w:rsidP="00F11EFF">
      <w:pPr>
        <w:spacing w:after="0" w:line="240" w:lineRule="auto"/>
      </w:pPr>
      <w:r>
        <w:rPr>
          <w:lang w:val="en-US"/>
        </w:rPr>
        <w:t xml:space="preserve">NHS England (East) commissioned a </w:t>
      </w:r>
      <w:r w:rsidR="00B56C16">
        <w:rPr>
          <w:lang w:val="en-US"/>
        </w:rPr>
        <w:t>range</w:t>
      </w:r>
      <w:r>
        <w:rPr>
          <w:lang w:val="en-US"/>
        </w:rPr>
        <w:t xml:space="preserve"> of pilot schemes for children and young people</w:t>
      </w:r>
      <w:r w:rsidR="00B56C16">
        <w:rPr>
          <w:lang w:val="en-US"/>
        </w:rPr>
        <w:t xml:space="preserve"> </w:t>
      </w:r>
      <w:proofErr w:type="gramStart"/>
      <w:r w:rsidR="00B56C16">
        <w:rPr>
          <w:lang w:val="en-US"/>
        </w:rPr>
        <w:t>on the basis of</w:t>
      </w:r>
      <w:proofErr w:type="gramEnd"/>
      <w:r w:rsidR="00B56C16">
        <w:rPr>
          <w:lang w:val="en-US"/>
        </w:rPr>
        <w:t xml:space="preserve"> needs established through discussions with commissioners and providers</w:t>
      </w:r>
      <w:r>
        <w:rPr>
          <w:lang w:val="en-US"/>
        </w:rPr>
        <w:t>. These included</w:t>
      </w:r>
      <w:r w:rsidR="00B56C16">
        <w:rPr>
          <w:lang w:val="en-US"/>
        </w:rPr>
        <w:t xml:space="preserve"> the need to support and strengthen families, and the need to intervene early and to prevent </w:t>
      </w:r>
      <w:proofErr w:type="spellStart"/>
      <w:r w:rsidR="00B56C16">
        <w:rPr>
          <w:lang w:val="en-US"/>
        </w:rPr>
        <w:t>behaviour</w:t>
      </w:r>
      <w:proofErr w:type="spellEnd"/>
      <w:r w:rsidR="00B56C16">
        <w:rPr>
          <w:lang w:val="en-US"/>
        </w:rPr>
        <w:t xml:space="preserve"> </w:t>
      </w:r>
      <w:proofErr w:type="gramStart"/>
      <w:r w:rsidR="00B56C16">
        <w:rPr>
          <w:lang w:val="en-US"/>
        </w:rPr>
        <w:t>from  deteriorating</w:t>
      </w:r>
      <w:proofErr w:type="gramEnd"/>
      <w:r w:rsidR="00B56C16">
        <w:rPr>
          <w:lang w:val="en-US"/>
        </w:rPr>
        <w:t xml:space="preserve">.  The responding schemes which were commissioned are a family therapy scheme in Bedfordshire, and a scheme </w:t>
      </w:r>
      <w:r w:rsidR="00603B22">
        <w:rPr>
          <w:lang w:val="en-US"/>
        </w:rPr>
        <w:t xml:space="preserve">in Essex </w:t>
      </w:r>
      <w:r w:rsidR="00B56C16">
        <w:rPr>
          <w:lang w:val="en-US"/>
        </w:rPr>
        <w:t xml:space="preserve">which seeks </w:t>
      </w:r>
      <w:r w:rsidR="00F62277" w:rsidRPr="00F62277">
        <w:t xml:space="preserve"> </w:t>
      </w:r>
      <w:r w:rsidR="00F62277" w:rsidRPr="008365D9">
        <w:t xml:space="preserve">to enhance the existing </w:t>
      </w:r>
      <w:r w:rsidR="00F62277">
        <w:t xml:space="preserve">emotional </w:t>
      </w:r>
      <w:proofErr w:type="spellStart"/>
      <w:r w:rsidR="00603B22">
        <w:t>w</w:t>
      </w:r>
      <w:r w:rsidR="00F62277">
        <w:t>ell being</w:t>
      </w:r>
      <w:proofErr w:type="spellEnd"/>
      <w:r w:rsidR="00F62277">
        <w:t xml:space="preserve"> and </w:t>
      </w:r>
      <w:r w:rsidR="00603B22">
        <w:t>m</w:t>
      </w:r>
      <w:r w:rsidR="00F62277">
        <w:t xml:space="preserve">ental </w:t>
      </w:r>
      <w:r w:rsidR="00603B22">
        <w:t>h</w:t>
      </w:r>
      <w:r w:rsidR="00F62277">
        <w:t xml:space="preserve">ealth </w:t>
      </w:r>
      <w:r w:rsidR="00F62277" w:rsidRPr="008365D9">
        <w:t>S</w:t>
      </w:r>
      <w:r w:rsidR="00F62277">
        <w:t>ervice</w:t>
      </w:r>
      <w:r w:rsidR="00F62277" w:rsidRPr="008365D9">
        <w:t xml:space="preserve"> offer for those who are at-risk of offending</w:t>
      </w:r>
      <w:r w:rsidR="00F62277">
        <w:t xml:space="preserve">, and may also have </w:t>
      </w:r>
      <w:proofErr w:type="spellStart"/>
      <w:r w:rsidR="00F62277">
        <w:t>have</w:t>
      </w:r>
      <w:proofErr w:type="spellEnd"/>
      <w:r w:rsidR="00F62277">
        <w:t xml:space="preserve"> emerging MH issues</w:t>
      </w:r>
      <w:r w:rsidR="00F62277" w:rsidRPr="008365D9">
        <w:t xml:space="preserve"> and are accessing alternative education, on a reduced timetable or being educated at home</w:t>
      </w:r>
      <w:r w:rsidR="00F62277">
        <w:t>.</w:t>
      </w:r>
    </w:p>
    <w:p w:rsidR="00F62277" w:rsidRDefault="00F62277" w:rsidP="00F11EFF">
      <w:pPr>
        <w:spacing w:after="0" w:line="240" w:lineRule="auto"/>
        <w:rPr>
          <w:lang w:val="en-US"/>
        </w:rPr>
      </w:pPr>
    </w:p>
    <w:p w:rsidR="009D57E1" w:rsidRDefault="00F62277" w:rsidP="00F11EFF">
      <w:pPr>
        <w:spacing w:after="0" w:line="240" w:lineRule="auto"/>
        <w:rPr>
          <w:lang w:val="en-US"/>
        </w:rPr>
      </w:pPr>
      <w:r>
        <w:rPr>
          <w:lang w:val="en-US"/>
        </w:rPr>
        <w:t>Both schemes have been operating for over 12 months and it is timely to review their effectiveness.</w:t>
      </w:r>
      <w:r w:rsidR="00B56C16">
        <w:rPr>
          <w:lang w:val="en-US"/>
        </w:rPr>
        <w:t xml:space="preserve"> </w:t>
      </w:r>
      <w:r>
        <w:rPr>
          <w:lang w:val="en-US"/>
        </w:rPr>
        <w:t xml:space="preserve"> There were four other schemes, but this opportunity does not require evaluation of the other schemes. The Bedfordshire scheme has </w:t>
      </w:r>
      <w:r w:rsidR="00603B22">
        <w:rPr>
          <w:lang w:val="en-US"/>
        </w:rPr>
        <w:t xml:space="preserve">so far </w:t>
      </w:r>
      <w:r>
        <w:rPr>
          <w:lang w:val="en-US"/>
        </w:rPr>
        <w:t>worked with 7 children and their families, and the Essex scheme has worked with around 50 children.  No conclusion or inference is intended in stating th</w:t>
      </w:r>
      <w:r w:rsidR="00603B22">
        <w:rPr>
          <w:lang w:val="en-US"/>
        </w:rPr>
        <w:t>e</w:t>
      </w:r>
      <w:r>
        <w:rPr>
          <w:lang w:val="en-US"/>
        </w:rPr>
        <w:t>s</w:t>
      </w:r>
      <w:r w:rsidR="00603B22">
        <w:rPr>
          <w:lang w:val="en-US"/>
        </w:rPr>
        <w:t>e</w:t>
      </w:r>
      <w:r>
        <w:rPr>
          <w:lang w:val="en-US"/>
        </w:rPr>
        <w:t xml:space="preserve"> figures; they simply allow potential authors to understand the size and sale of the two schemes for evaluation.</w:t>
      </w:r>
    </w:p>
    <w:p w:rsidR="00C11B3D" w:rsidRDefault="00C11B3D" w:rsidP="00F11EFF">
      <w:pPr>
        <w:spacing w:after="0" w:line="240" w:lineRule="auto"/>
        <w:rPr>
          <w:lang w:val="en-US"/>
        </w:rPr>
      </w:pPr>
    </w:p>
    <w:p w:rsidR="00C11B3D" w:rsidRPr="004F7DCB" w:rsidRDefault="00C11B3D" w:rsidP="00F11EFF">
      <w:pPr>
        <w:spacing w:after="0" w:line="240" w:lineRule="auto"/>
        <w:rPr>
          <w:lang w:val="en-US"/>
        </w:rPr>
      </w:pPr>
      <w:r>
        <w:rPr>
          <w:lang w:val="en-US"/>
        </w:rPr>
        <w:t>The evaluation must be undertaken by an appropriate independent person or organization.</w:t>
      </w:r>
      <w:r w:rsidR="00D83444">
        <w:rPr>
          <w:lang w:val="en-US"/>
        </w:rPr>
        <w:t xml:space="preserve"> Bids from the providers of the services </w:t>
      </w:r>
      <w:r>
        <w:rPr>
          <w:lang w:val="en-US"/>
        </w:rPr>
        <w:t xml:space="preserve"> </w:t>
      </w:r>
      <w:r w:rsidR="00D83444">
        <w:rPr>
          <w:lang w:val="en-US"/>
        </w:rPr>
        <w:t>will not be considered.</w:t>
      </w:r>
    </w:p>
    <w:p w:rsidR="00F11EFF" w:rsidRDefault="00F11EFF"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E941D9" w:rsidRDefault="00983109" w:rsidP="00971087">
      <w:pPr>
        <w:spacing w:after="0" w:line="240" w:lineRule="auto"/>
      </w:pPr>
      <w:r>
        <w:t>The successful b</w:t>
      </w:r>
      <w:r w:rsidR="00E941D9">
        <w:t xml:space="preserve">idder must </w:t>
      </w:r>
      <w:r w:rsidR="00DA246F">
        <w:t>produce a report which answers the following questions:</w:t>
      </w:r>
    </w:p>
    <w:p w:rsidR="00DA246F" w:rsidRDefault="00DA246F" w:rsidP="00971087">
      <w:pPr>
        <w:spacing w:after="0" w:line="240" w:lineRule="auto"/>
      </w:pPr>
    </w:p>
    <w:p w:rsidR="00A01FDC" w:rsidRDefault="00A01FDC" w:rsidP="00A01FDC">
      <w:pPr>
        <w:pStyle w:val="ListParagraph"/>
        <w:numPr>
          <w:ilvl w:val="0"/>
          <w:numId w:val="13"/>
        </w:numPr>
        <w:spacing w:after="160" w:line="259" w:lineRule="auto"/>
      </w:pPr>
      <w:r>
        <w:t>How closely has the scheme fulfilled its aims and objectives, as described by the bidder in 2017?</w:t>
      </w:r>
    </w:p>
    <w:p w:rsidR="00A01FDC" w:rsidRDefault="00A01FDC" w:rsidP="00A01FDC">
      <w:pPr>
        <w:pStyle w:val="ListParagraph"/>
        <w:spacing w:after="160" w:line="259" w:lineRule="auto"/>
      </w:pPr>
    </w:p>
    <w:p w:rsidR="00A01FDC" w:rsidRDefault="00A01FDC" w:rsidP="00A01FDC">
      <w:pPr>
        <w:spacing w:after="160" w:line="259" w:lineRule="auto"/>
      </w:pPr>
      <w:r>
        <w:t xml:space="preserve">The schemes were commissioned </w:t>
      </w:r>
      <w:proofErr w:type="gramStart"/>
      <w:r>
        <w:t>on the basis of</w:t>
      </w:r>
      <w:proofErr w:type="gramEnd"/>
      <w:r>
        <w:t xml:space="preserve"> a bidding round. It is accepted that as pilots, it may be necessary to </w:t>
      </w:r>
      <w:proofErr w:type="gramStart"/>
      <w:r>
        <w:t>make adjustments</w:t>
      </w:r>
      <w:proofErr w:type="gramEnd"/>
      <w:r>
        <w:t xml:space="preserve"> as service delivery begins, but that the overall aims would either </w:t>
      </w:r>
      <w:r>
        <w:lastRenderedPageBreak/>
        <w:t xml:space="preserve">be achieved or be the principal </w:t>
      </w:r>
      <w:r w:rsidR="004C0DFE">
        <w:t>reference point for developing the pilot. Some excerpts from bids are given at appendix A, to allow an understanding of this aspect of the evaluation.</w:t>
      </w:r>
    </w:p>
    <w:p w:rsidR="00A01FDC" w:rsidRDefault="00A01FDC" w:rsidP="00A01FDC">
      <w:pPr>
        <w:pStyle w:val="ListParagraph"/>
        <w:spacing w:after="160" w:line="259" w:lineRule="auto"/>
      </w:pPr>
    </w:p>
    <w:p w:rsidR="00F62277" w:rsidRDefault="00F62277" w:rsidP="00A01FDC">
      <w:pPr>
        <w:pStyle w:val="ListParagraph"/>
        <w:numPr>
          <w:ilvl w:val="0"/>
          <w:numId w:val="13"/>
        </w:numPr>
        <w:spacing w:after="160" w:line="259" w:lineRule="auto"/>
      </w:pPr>
      <w:r>
        <w:t>What do service users think of the service?</w:t>
      </w:r>
    </w:p>
    <w:p w:rsidR="00983109" w:rsidRDefault="00DA246F" w:rsidP="004C0DFE">
      <w:pPr>
        <w:spacing w:after="160" w:line="259" w:lineRule="auto"/>
      </w:pPr>
      <w:r>
        <w:t xml:space="preserve">The author must engage with </w:t>
      </w:r>
      <w:r w:rsidR="00AC0AF3">
        <w:t xml:space="preserve">a representative sample of people </w:t>
      </w:r>
      <w:r w:rsidR="00F62277">
        <w:t>for each service</w:t>
      </w:r>
      <w:r w:rsidR="00AC0AF3">
        <w:t xml:space="preserve"> to obtain detailed views of those who have accessed the service, using a semi structured approach. </w:t>
      </w:r>
      <w:r w:rsidR="00F62277">
        <w:t xml:space="preserve"> It will be essential, for both services, to engage not only with the child/young person, but also with their family or carers. </w:t>
      </w:r>
      <w:r w:rsidR="00AC0AF3">
        <w:t xml:space="preserve"> Findings will be analysed using grounded theory or similar, and the report will give the views expressed and relevant themes.</w:t>
      </w:r>
    </w:p>
    <w:p w:rsidR="00DA246F" w:rsidRDefault="00DA246F" w:rsidP="00DA246F">
      <w:pPr>
        <w:pStyle w:val="ListParagraph"/>
        <w:spacing w:after="160" w:line="259" w:lineRule="auto"/>
      </w:pPr>
    </w:p>
    <w:p w:rsidR="00DA246F" w:rsidRDefault="00DA246F" w:rsidP="00A01FDC">
      <w:pPr>
        <w:pStyle w:val="ListParagraph"/>
        <w:numPr>
          <w:ilvl w:val="0"/>
          <w:numId w:val="13"/>
        </w:numPr>
        <w:spacing w:after="160" w:line="259" w:lineRule="auto"/>
      </w:pPr>
      <w:r>
        <w:t xml:space="preserve">What </w:t>
      </w:r>
      <w:r w:rsidR="00AC0AF3">
        <w:t>do pr</w:t>
      </w:r>
      <w:r w:rsidR="00F62277">
        <w:t>ofessionals</w:t>
      </w:r>
      <w:r w:rsidR="00AC0AF3">
        <w:t xml:space="preserve"> think about the service</w:t>
      </w:r>
      <w:r w:rsidR="00F62277">
        <w:t>?</w:t>
      </w:r>
    </w:p>
    <w:p w:rsidR="00AC0AF3" w:rsidRDefault="00AC0AF3" w:rsidP="00F62277">
      <w:pPr>
        <w:spacing w:after="160" w:line="259" w:lineRule="auto"/>
      </w:pPr>
      <w:r>
        <w:t xml:space="preserve">The author must engage with a representative sample of staff </w:t>
      </w:r>
      <w:r w:rsidR="00322722">
        <w:t xml:space="preserve">involved in service delivery, or referrers, </w:t>
      </w:r>
      <w:r>
        <w:t>to obtain their views of the effectiveness and value of the service, and any suggestions on its development to improve the contribution it makes to improving health outcomes.</w:t>
      </w:r>
      <w:r w:rsidR="00FD0556">
        <w:t xml:space="preserve">  The author must establish the views of professionals </w:t>
      </w:r>
      <w:r w:rsidR="00322722">
        <w:t xml:space="preserve">including </w:t>
      </w:r>
      <w:r w:rsidR="00FD0556">
        <w:t xml:space="preserve">any opinions they have about how it could be made more effective, if any. </w:t>
      </w:r>
    </w:p>
    <w:p w:rsidR="004D169A" w:rsidRPr="00A01FDC" w:rsidRDefault="00F62277" w:rsidP="00A01FDC">
      <w:pPr>
        <w:pStyle w:val="ListParagraph"/>
        <w:numPr>
          <w:ilvl w:val="0"/>
          <w:numId w:val="13"/>
        </w:numPr>
        <w:spacing w:after="0" w:line="240" w:lineRule="auto"/>
        <w:rPr>
          <w:rFonts w:cstheme="minorHAnsi"/>
        </w:rPr>
      </w:pPr>
      <w:r w:rsidRPr="00A01FDC">
        <w:rPr>
          <w:rFonts w:cstheme="minorHAnsi"/>
        </w:rPr>
        <w:t>How does each scheme compare with similar services?</w:t>
      </w:r>
    </w:p>
    <w:p w:rsidR="00F62277" w:rsidRDefault="00F62277" w:rsidP="00971087">
      <w:pPr>
        <w:spacing w:after="0" w:line="240" w:lineRule="auto"/>
        <w:rPr>
          <w:rFonts w:cstheme="minorHAnsi"/>
        </w:rPr>
      </w:pPr>
    </w:p>
    <w:p w:rsidR="00D76A5C" w:rsidRDefault="00F62277" w:rsidP="00A01FDC">
      <w:pPr>
        <w:spacing w:after="0" w:line="240" w:lineRule="auto"/>
        <w:rPr>
          <w:rFonts w:cstheme="minorHAnsi"/>
        </w:rPr>
      </w:pPr>
      <w:r>
        <w:rPr>
          <w:rFonts w:cstheme="minorHAnsi"/>
        </w:rPr>
        <w:t xml:space="preserve">The author must identify similar </w:t>
      </w:r>
      <w:proofErr w:type="gramStart"/>
      <w:r>
        <w:rPr>
          <w:rFonts w:cstheme="minorHAnsi"/>
        </w:rPr>
        <w:t>services, and</w:t>
      </w:r>
      <w:proofErr w:type="gramEnd"/>
      <w:r>
        <w:rPr>
          <w:rFonts w:cstheme="minorHAnsi"/>
        </w:rPr>
        <w:t xml:space="preserve"> </w:t>
      </w:r>
      <w:r w:rsidR="00FD0556">
        <w:rPr>
          <w:rFonts w:cstheme="minorHAnsi"/>
        </w:rPr>
        <w:t>make comparisons in respect of their size and reach to the population they serve, their activity (contacts), any outcomes that can be identified, and any other points of comparison which can be identified.  Any recommendations from review of similar services should be made.</w:t>
      </w:r>
      <w:bookmarkStart w:id="4" w:name="_Toc433122979"/>
    </w:p>
    <w:p w:rsidR="00A01FDC" w:rsidRDefault="00A01FDC" w:rsidP="00A01FDC">
      <w:pPr>
        <w:spacing w:after="0" w:line="240" w:lineRule="auto"/>
        <w:rPr>
          <w:rFonts w:cstheme="minorHAnsi"/>
        </w:rPr>
      </w:pPr>
    </w:p>
    <w:p w:rsidR="00A01FDC" w:rsidRDefault="004C0DFE" w:rsidP="00A01FDC">
      <w:pPr>
        <w:spacing w:after="0" w:line="240" w:lineRule="auto"/>
        <w:rPr>
          <w:rFonts w:cstheme="minorHAnsi"/>
        </w:rPr>
      </w:pPr>
      <w:r>
        <w:rPr>
          <w:rFonts w:cstheme="minorHAnsi"/>
        </w:rPr>
        <w:t xml:space="preserve">The author will be responsible for ensuring full compliance with ethics </w:t>
      </w:r>
      <w:proofErr w:type="gramStart"/>
      <w:r>
        <w:rPr>
          <w:rFonts w:cstheme="minorHAnsi"/>
        </w:rPr>
        <w:t>approvals, and</w:t>
      </w:r>
      <w:proofErr w:type="gramEnd"/>
      <w:r>
        <w:rPr>
          <w:rFonts w:cstheme="minorHAnsi"/>
        </w:rPr>
        <w:t xml:space="preserve"> must describe the arrangements the intend to make to cover this, in their bid.</w:t>
      </w:r>
    </w:p>
    <w:p w:rsidR="004C0DFE" w:rsidRPr="00A01FDC" w:rsidRDefault="004C0DFE" w:rsidP="00A01FDC">
      <w:pPr>
        <w:spacing w:after="0" w:line="240" w:lineRule="auto"/>
        <w:rPr>
          <w:rFonts w:cstheme="minorHAnsi"/>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draft must be delivered to</w:t>
      </w:r>
      <w:r w:rsidR="00B970CC" w:rsidRPr="00897968">
        <w:rPr>
          <w:color w:val="0000FF"/>
        </w:rPr>
        <w:t xml:space="preserve"> </w:t>
      </w:r>
      <w:proofErr w:type="gramStart"/>
      <w:r w:rsidR="00897968" w:rsidRPr="00897968">
        <w:rPr>
          <w:color w:val="0000FF"/>
          <w:u w:val="single"/>
        </w:rPr>
        <w:t>claire.weston</w:t>
      </w:r>
      <w:proofErr w:type="gramEnd"/>
      <w:r w:rsidR="00897968" w:rsidRPr="00897968">
        <w:rPr>
          <w:color w:val="0000FF"/>
          <w:u w:val="single"/>
        </w:rPr>
        <w:t>2</w:t>
      </w:r>
      <w:hyperlink r:id="rId8"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 </w:t>
      </w:r>
      <w:r w:rsidR="004C0DFE">
        <w:rPr>
          <w:rFonts w:cstheme="minorHAnsi"/>
          <w:color w:val="000000"/>
        </w:rPr>
        <w:t>31/1/20</w:t>
      </w:r>
      <w:r w:rsidR="00983109">
        <w:rPr>
          <w:rFonts w:cstheme="minorHAnsi"/>
          <w:color w:val="000000"/>
        </w:rPr>
        <w: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4C0DFE">
        <w:rPr>
          <w:rFonts w:cstheme="minorHAnsi"/>
          <w:color w:val="000000"/>
        </w:rPr>
        <w:t>October</w:t>
      </w:r>
      <w:r w:rsidR="003006A2">
        <w:rPr>
          <w:rFonts w:cstheme="minorHAnsi"/>
          <w:color w:val="000000"/>
        </w:rPr>
        <w:t xml:space="preserve"> </w:t>
      </w:r>
      <w:r w:rsidR="00A6080A">
        <w:rPr>
          <w:rFonts w:cstheme="minorHAnsi"/>
          <w:color w:val="000000"/>
        </w:rPr>
        <w:t>201</w:t>
      </w:r>
      <w:r w:rsidR="00D77F13">
        <w:rPr>
          <w:rFonts w:cstheme="minorHAnsi"/>
          <w:color w:val="000000"/>
        </w:rPr>
        <w:t>9</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4C0DFE">
        <w:rPr>
          <w:rFonts w:cstheme="minorHAnsi"/>
          <w:color w:val="000000"/>
        </w:rPr>
        <w:t>24</w:t>
      </w:r>
      <w:r w:rsidR="00D77F13">
        <w:rPr>
          <w:rFonts w:cstheme="minorHAnsi"/>
          <w:color w:val="000000"/>
        </w:rPr>
        <w:t>/</w:t>
      </w:r>
      <w:r w:rsidR="004C0DFE">
        <w:rPr>
          <w:rFonts w:cstheme="minorHAnsi"/>
          <w:color w:val="000000"/>
        </w:rPr>
        <w:t>10</w:t>
      </w:r>
      <w:r w:rsidR="00D77F13">
        <w:rPr>
          <w:rFonts w:cstheme="minorHAnsi"/>
          <w:color w:val="000000"/>
        </w:rPr>
        <w:t>/</w:t>
      </w:r>
      <w:r w:rsidR="00A6080A">
        <w:rPr>
          <w:rFonts w:cstheme="minorHAnsi"/>
          <w:color w:val="000000"/>
        </w:rPr>
        <w:t>201</w:t>
      </w:r>
      <w:r w:rsidR="00D77F13">
        <w:rPr>
          <w:rFonts w:cstheme="minorHAnsi"/>
          <w:color w:val="000000"/>
        </w:rPr>
        <w:t>9</w:t>
      </w:r>
      <w:r w:rsidR="00530931">
        <w:rPr>
          <w:rFonts w:cstheme="minorHAnsi"/>
          <w:color w:val="000000"/>
        </w:rPr>
        <w:t xml:space="preserve"> to</w:t>
      </w:r>
      <w:r w:rsidR="006A5814">
        <w:rPr>
          <w:rFonts w:cstheme="minorHAnsi"/>
          <w:color w:val="000000"/>
        </w:rPr>
        <w:t xml:space="preserve"> </w:t>
      </w:r>
      <w:proofErr w:type="gramStart"/>
      <w:r w:rsidR="006A5814" w:rsidRPr="006A5814">
        <w:rPr>
          <w:rFonts w:cstheme="minorHAnsi"/>
          <w:color w:val="000000"/>
        </w:rPr>
        <w:t>chloe.bennett1@nhs.net</w:t>
      </w:r>
      <w:r w:rsidR="00530931">
        <w:rPr>
          <w:rFonts w:cstheme="minorHAnsi"/>
          <w:color w:val="000000"/>
        </w:rPr>
        <w:t xml:space="preserve">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603B22">
        <w:rPr>
          <w:rFonts w:cstheme="minorHAnsi"/>
          <w:color w:val="000000"/>
        </w:rPr>
        <w:t>1</w:t>
      </w:r>
      <w:r w:rsidR="00A313C1">
        <w:rPr>
          <w:rFonts w:cstheme="minorHAnsi"/>
          <w:color w:val="000000"/>
        </w:rPr>
        <w:t xml:space="preserve"> week</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603B22">
        <w:rPr>
          <w:rFonts w:cstheme="minorHAnsi"/>
          <w:color w:val="000000"/>
        </w:rPr>
        <w:t>25</w:t>
      </w:r>
      <w:r w:rsidR="004D169A">
        <w:rPr>
          <w:rFonts w:cstheme="minorHAnsi"/>
          <w:color w:val="000000"/>
        </w:rPr>
        <w:t>/</w:t>
      </w:r>
      <w:r w:rsidR="00603B22">
        <w:rPr>
          <w:rFonts w:cstheme="minorHAnsi"/>
          <w:color w:val="000000"/>
        </w:rPr>
        <w:t>10</w:t>
      </w:r>
      <w:r w:rsidR="004D169A">
        <w:rPr>
          <w:rFonts w:cstheme="minorHAnsi"/>
          <w:color w:val="000000"/>
        </w:rPr>
        <w:t>/1</w:t>
      </w:r>
      <w:r w:rsidR="00D77F13">
        <w:rPr>
          <w:rFonts w:cstheme="minorHAnsi"/>
          <w:color w:val="000000"/>
        </w:rPr>
        <w:t>9</w:t>
      </w:r>
      <w:r w:rsidR="001A3F0F">
        <w:rPr>
          <w:rFonts w:cstheme="minorHAnsi"/>
          <w:color w:val="000000"/>
        </w:rPr>
        <w:t>, they</w:t>
      </w:r>
      <w:r w:rsidR="00530931">
        <w:rPr>
          <w:rFonts w:cstheme="minorHAnsi"/>
          <w:color w:val="000000"/>
        </w:rPr>
        <w:t xml:space="preserve"> should contact </w:t>
      </w:r>
      <w:r w:rsidR="00603B22">
        <w:rPr>
          <w:rFonts w:cstheme="minorHAnsi"/>
          <w:color w:val="000000"/>
        </w:rPr>
        <w:t>Chloe Bennett</w:t>
      </w:r>
      <w:r w:rsidR="00A313C1">
        <w:rPr>
          <w:rFonts w:cstheme="minorHAnsi"/>
          <w:color w:val="000000"/>
        </w:rPr>
        <w:t xml:space="preserve">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 xml:space="preserve">complete the initial draft by </w:t>
      </w:r>
      <w:r w:rsidR="00D77F13">
        <w:rPr>
          <w:rFonts w:cstheme="minorHAnsi"/>
          <w:color w:val="000000"/>
        </w:rPr>
        <w:t>31</w:t>
      </w:r>
      <w:r w:rsidR="00E941D9">
        <w:rPr>
          <w:rFonts w:cstheme="minorHAnsi"/>
          <w:color w:val="000000"/>
        </w:rPr>
        <w:t>/</w:t>
      </w:r>
      <w:r w:rsidR="00603B22">
        <w:rPr>
          <w:rFonts w:cstheme="minorHAnsi"/>
          <w:color w:val="000000"/>
        </w:rPr>
        <w:t>01</w:t>
      </w:r>
      <w:r w:rsidR="00E90025">
        <w:rPr>
          <w:rFonts w:cstheme="minorHAnsi"/>
          <w:color w:val="000000"/>
        </w:rPr>
        <w:t>/</w:t>
      </w:r>
      <w:r w:rsidR="00603B22">
        <w:rPr>
          <w:rFonts w:cstheme="minorHAnsi"/>
          <w:color w:val="000000"/>
        </w:rPr>
        <w:t>20</w:t>
      </w:r>
      <w:r w:rsidR="00E90025">
        <w:rPr>
          <w:rFonts w:cstheme="minorHAnsi"/>
          <w:color w:val="000000"/>
        </w:rPr>
        <w:t xml:space="preserve">. Comments will be provided within 1 week and a final draft should be provided by </w:t>
      </w:r>
      <w:r w:rsidR="00603B22">
        <w:rPr>
          <w:rFonts w:cstheme="minorHAnsi"/>
          <w:color w:val="000000"/>
        </w:rPr>
        <w:t>13</w:t>
      </w:r>
      <w:r w:rsidR="00E941D9">
        <w:rPr>
          <w:rFonts w:cstheme="minorHAnsi"/>
          <w:color w:val="000000"/>
        </w:rPr>
        <w:t>/</w:t>
      </w:r>
      <w:r w:rsidR="00603B22">
        <w:rPr>
          <w:rFonts w:cstheme="minorHAnsi"/>
          <w:color w:val="000000"/>
        </w:rPr>
        <w:t>02</w:t>
      </w:r>
      <w:r w:rsidR="00E941D9">
        <w:rPr>
          <w:rFonts w:cstheme="minorHAnsi"/>
          <w:color w:val="000000"/>
        </w:rPr>
        <w:t>/</w:t>
      </w:r>
      <w:r w:rsidR="00603B22">
        <w:rPr>
          <w:rFonts w:cstheme="minorHAnsi"/>
          <w:color w:val="000000"/>
        </w:rPr>
        <w:t>20</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97590C" w:rsidRDefault="0097590C" w:rsidP="00B1186D">
      <w:pPr>
        <w:spacing w:after="0" w:line="240" w:lineRule="auto"/>
        <w:rPr>
          <w:rFonts w:eastAsia="Times New Roman" w:cstheme="minorHAnsi"/>
          <w:lang w:eastAsia="en-GB"/>
        </w:rPr>
      </w:pPr>
    </w:p>
    <w:p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w:t>
            </w:r>
            <w:r w:rsidR="00B1186D" w:rsidRPr="006915EC">
              <w:rPr>
                <w:rFonts w:ascii="Arial" w:eastAsia="Times New Roman" w:hAnsi="Arial" w:cs="Arial"/>
                <w:sz w:val="20"/>
                <w:szCs w:val="20"/>
                <w:lang w:eastAsia="en-GB"/>
              </w:rPr>
              <w:lastRenderedPageBreak/>
              <w:t>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D76A5C" w:rsidRDefault="00D76A5C" w:rsidP="00AE3615">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states</w:t>
      </w:r>
      <w:proofErr w:type="gramStart"/>
      <w:r w:rsidR="00AE3615">
        <w:t xml:space="preserve">   ‘</w:t>
      </w:r>
      <w:proofErr w:type="gramEnd"/>
      <w:r w:rsidR="00AE3615">
        <w:t xml:space="preserve">Evaluation of </w:t>
      </w:r>
      <w:r w:rsidR="00603B22">
        <w:t>CYP</w:t>
      </w:r>
      <w:r w:rsidR="0097590C">
        <w:t xml:space="preserve"> services</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603B22" w:rsidRDefault="00603B22" w:rsidP="00AE3615">
      <w:pPr>
        <w:pStyle w:val="ListParagraph"/>
        <w:numPr>
          <w:ilvl w:val="0"/>
          <w:numId w:val="9"/>
        </w:numPr>
      </w:pPr>
      <w:r>
        <w:t>The bid describes how ethics approval will be obtained.</w:t>
      </w:r>
    </w:p>
    <w:p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rsidR="00D76A5C" w:rsidRDefault="00D76A5C" w:rsidP="00D76A5C">
      <w:pPr>
        <w:pStyle w:val="ListParagraph"/>
      </w:pPr>
    </w:p>
    <w:p w:rsidR="00971087" w:rsidRPr="00D76A5C" w:rsidRDefault="001639B0" w:rsidP="00D76A5C">
      <w:pPr>
        <w:pStyle w:val="ListParagraph"/>
        <w:jc w:val="center"/>
      </w:pPr>
      <w:r w:rsidRPr="00D76A5C">
        <w:rPr>
          <w:rFonts w:eastAsia="Times New Roman" w:cstheme="minorHAnsi"/>
        </w:rPr>
        <w:t>-ends-</w:t>
      </w:r>
    </w:p>
    <w:p w:rsidR="000713DE" w:rsidRDefault="00603B22" w:rsidP="00971087">
      <w:pPr>
        <w:spacing w:after="0" w:line="240" w:lineRule="auto"/>
        <w:rPr>
          <w:rFonts w:eastAsia="Times New Roman" w:cstheme="minorHAnsi"/>
          <w:lang w:eastAsia="en-GB"/>
        </w:rPr>
      </w:pPr>
      <w:r>
        <w:rPr>
          <w:rFonts w:eastAsia="Times New Roman" w:cstheme="minorHAnsi"/>
          <w:lang w:eastAsia="en-GB"/>
        </w:rPr>
        <w:t xml:space="preserve">Appendix: excerpts from </w:t>
      </w:r>
      <w:r w:rsidR="00322722">
        <w:rPr>
          <w:rFonts w:eastAsia="Times New Roman" w:cstheme="minorHAnsi"/>
          <w:lang w:eastAsia="en-GB"/>
        </w:rPr>
        <w:t xml:space="preserve">successful </w:t>
      </w:r>
      <w:r>
        <w:rPr>
          <w:rFonts w:eastAsia="Times New Roman" w:cstheme="minorHAnsi"/>
          <w:lang w:eastAsia="en-GB"/>
        </w:rPr>
        <w:t>bids</w:t>
      </w:r>
    </w:p>
    <w:p w:rsidR="00603B22" w:rsidRDefault="00603B22" w:rsidP="00971087">
      <w:pPr>
        <w:spacing w:after="0" w:line="240" w:lineRule="auto"/>
        <w:rPr>
          <w:rFonts w:eastAsia="Times New Roman" w:cstheme="minorHAnsi"/>
          <w:lang w:eastAsia="en-GB"/>
        </w:rPr>
      </w:pPr>
    </w:p>
    <w:p w:rsidR="00603B22" w:rsidRPr="00322722" w:rsidRDefault="00603B22" w:rsidP="00971087">
      <w:pPr>
        <w:spacing w:after="0" w:line="240" w:lineRule="auto"/>
        <w:rPr>
          <w:rFonts w:eastAsia="Times New Roman" w:cstheme="minorHAnsi"/>
          <w:b/>
          <w:lang w:eastAsia="en-GB"/>
        </w:rPr>
      </w:pPr>
      <w:r w:rsidRPr="00322722">
        <w:rPr>
          <w:rFonts w:eastAsia="Times New Roman" w:cstheme="minorHAnsi"/>
          <w:b/>
          <w:lang w:eastAsia="en-GB"/>
        </w:rPr>
        <w:t>Essex</w:t>
      </w:r>
    </w:p>
    <w:p w:rsidR="00603B22" w:rsidRDefault="00603B22" w:rsidP="00971087">
      <w:pPr>
        <w:spacing w:after="0" w:line="240" w:lineRule="auto"/>
        <w:rPr>
          <w:rFonts w:eastAsia="Times New Roman" w:cstheme="minorHAnsi"/>
          <w:lang w:eastAsia="en-GB"/>
        </w:rPr>
      </w:pPr>
    </w:p>
    <w:p w:rsidR="00603B22" w:rsidRPr="008365D9" w:rsidRDefault="00322722" w:rsidP="00603B22">
      <w:pPr>
        <w:pStyle w:val="NoSpacing"/>
      </w:pPr>
      <w:r>
        <w:t>‘</w:t>
      </w:r>
      <w:r w:rsidR="00603B22" w:rsidRPr="008365D9">
        <w:t>The proposal is to enhance the existing EWMHS offer for those who are at-risk of offending</w:t>
      </w:r>
      <w:r w:rsidR="00603B22">
        <w:t>/have emerging MH issues</w:t>
      </w:r>
      <w:r w:rsidR="00603B22" w:rsidRPr="008365D9">
        <w:t xml:space="preserve"> and are accessing alternative education, on a reduced timetable or being educated at home. It would provide the following:</w:t>
      </w:r>
    </w:p>
    <w:p w:rsidR="00603B22" w:rsidRPr="008365D9" w:rsidRDefault="00603B22" w:rsidP="00603B22">
      <w:pPr>
        <w:pStyle w:val="Default"/>
        <w:rPr>
          <w:rFonts w:asciiTheme="minorHAnsi" w:hAnsiTheme="minorHAnsi"/>
          <w:color w:val="auto"/>
          <w:sz w:val="22"/>
          <w:szCs w:val="22"/>
        </w:rPr>
      </w:pPr>
    </w:p>
    <w:p w:rsidR="00603B22" w:rsidRPr="008365D9" w:rsidRDefault="00603B22" w:rsidP="00603B22">
      <w:pPr>
        <w:pStyle w:val="ListParagraph"/>
        <w:numPr>
          <w:ilvl w:val="0"/>
          <w:numId w:val="14"/>
        </w:numPr>
      </w:pPr>
      <w:r w:rsidRPr="008365D9">
        <w:t xml:space="preserve">Commission NELFT to employ 5 additional MH workers across SET to work specifically to support this cohort, this would be commissioned via the current contract however this would not preclude NELFT from sub – contracting smaller </w:t>
      </w:r>
      <w:proofErr w:type="gramStart"/>
      <w:r w:rsidRPr="008365D9">
        <w:t>community based</w:t>
      </w:r>
      <w:proofErr w:type="gramEnd"/>
      <w:r w:rsidRPr="008365D9">
        <w:t xml:space="preserve"> providers  </w:t>
      </w:r>
    </w:p>
    <w:p w:rsidR="00603B22" w:rsidRPr="008365D9" w:rsidRDefault="00603B22" w:rsidP="00603B22">
      <w:pPr>
        <w:pStyle w:val="ListParagraph"/>
        <w:numPr>
          <w:ilvl w:val="0"/>
          <w:numId w:val="14"/>
        </w:numPr>
      </w:pPr>
      <w:r w:rsidRPr="008365D9">
        <w:t>They would be required to train and support workers to id</w:t>
      </w:r>
      <w:r>
        <w:t xml:space="preserve">entify CYP with EW and MH needs, challenging behaviours </w:t>
      </w:r>
      <w:r w:rsidRPr="008365D9">
        <w:t xml:space="preserve">and </w:t>
      </w:r>
      <w:r>
        <w:t xml:space="preserve">enable them to </w:t>
      </w:r>
      <w:r w:rsidRPr="008365D9">
        <w:t>provide early support</w:t>
      </w:r>
      <w:r>
        <w:t xml:space="preserve"> </w:t>
      </w:r>
      <w:r w:rsidRPr="008365D9">
        <w:t>– therefo</w:t>
      </w:r>
      <w:r>
        <w:t>re reducing the need to refer</w:t>
      </w:r>
      <w:r w:rsidRPr="008365D9">
        <w:t xml:space="preserve"> in to MH services. Additional training to workers in MH early identification, intervention and prevention. This would be delivered to the following across Southend, Essex and Thurrock: approx. </w:t>
      </w:r>
      <w:r>
        <w:t>75</w:t>
      </w:r>
      <w:r w:rsidRPr="008365D9">
        <w:t xml:space="preserve"> YOS workers, staff within </w:t>
      </w:r>
      <w:r>
        <w:t>6</w:t>
      </w:r>
      <w:r w:rsidRPr="008365D9">
        <w:t xml:space="preserve"> Alternative Education provisions and </w:t>
      </w:r>
      <w:r>
        <w:t xml:space="preserve">10 </w:t>
      </w:r>
      <w:r w:rsidRPr="008365D9">
        <w:t>Enhanced Primary School provision, staff within mainst</w:t>
      </w:r>
      <w:r>
        <w:t>r</w:t>
      </w:r>
      <w:r w:rsidRPr="008365D9">
        <w:t xml:space="preserve">eam schools where pupils are on reduced timetables, staff from local VCS organisations, social care workers, youth workers </w:t>
      </w:r>
      <w:r w:rsidRPr="008365D9">
        <w:lastRenderedPageBreak/>
        <w:t xml:space="preserve">and neighbourhood policing teams.   This would be adding capacity over and above that already available via the EWMHS service through the </w:t>
      </w:r>
      <w:proofErr w:type="gramStart"/>
      <w:r w:rsidRPr="008365D9">
        <w:t>schools</w:t>
      </w:r>
      <w:proofErr w:type="gramEnd"/>
      <w:r w:rsidRPr="008365D9">
        <w:t xml:space="preserve"> programme. </w:t>
      </w:r>
    </w:p>
    <w:p w:rsidR="00603B22" w:rsidRPr="008365D9" w:rsidRDefault="00603B22" w:rsidP="00603B22">
      <w:pPr>
        <w:pStyle w:val="ListParagraph"/>
        <w:numPr>
          <w:ilvl w:val="0"/>
          <w:numId w:val="14"/>
        </w:numPr>
      </w:pPr>
      <w:r w:rsidRPr="008365D9">
        <w:t xml:space="preserve">provide capacity to these settings in order to allow for consultations prior to any referrals for more specialist support </w:t>
      </w:r>
    </w:p>
    <w:p w:rsidR="00603B22" w:rsidRPr="008365D9" w:rsidRDefault="00603B22" w:rsidP="00603B22">
      <w:pPr>
        <w:pStyle w:val="ListParagraph"/>
        <w:numPr>
          <w:ilvl w:val="0"/>
          <w:numId w:val="14"/>
        </w:numPr>
      </w:pPr>
      <w:r w:rsidRPr="008365D9">
        <w:t>provide capacity to be able to assess needs following referral through EWMHS SPA for those at risk of offending</w:t>
      </w:r>
      <w:r>
        <w:t>, identifying those at risk through emerging issues with behaviour/information from other professionals/data etc. T</w:t>
      </w:r>
      <w:r w:rsidRPr="008365D9">
        <w:t xml:space="preserve">his would ensure prioritisation for this group as would add additional capacity </w:t>
      </w:r>
    </w:p>
    <w:p w:rsidR="00603B22" w:rsidRPr="008365D9" w:rsidRDefault="00603B22" w:rsidP="00603B22">
      <w:pPr>
        <w:pStyle w:val="ListParagraph"/>
        <w:numPr>
          <w:ilvl w:val="0"/>
          <w:numId w:val="14"/>
        </w:numPr>
      </w:pPr>
      <w:r w:rsidRPr="008365D9">
        <w:t xml:space="preserve">staff would be required to have specialist expertise in ADHD and ASD for CYP who are at-risk of offending and/or their needs escalating, but not eligible for specialist services. This is due to complex nature of this cohort and comorbidity with ASD/ADHD. The workers would be expected to be trained in interventions for these needs – this will help to address current gaps in the system for ASD / ADHD pathways and provide a </w:t>
      </w:r>
      <w:proofErr w:type="gramStart"/>
      <w:r w:rsidRPr="008365D9">
        <w:t>joined up</w:t>
      </w:r>
      <w:proofErr w:type="gramEnd"/>
      <w:r w:rsidRPr="008365D9">
        <w:t xml:space="preserve"> approach when MH needs are present </w:t>
      </w:r>
    </w:p>
    <w:p w:rsidR="00603B22" w:rsidRPr="008365D9" w:rsidRDefault="00603B22" w:rsidP="00603B22">
      <w:pPr>
        <w:pStyle w:val="ListParagraph"/>
        <w:numPr>
          <w:ilvl w:val="0"/>
          <w:numId w:val="14"/>
        </w:numPr>
      </w:pPr>
      <w:r w:rsidRPr="008365D9">
        <w:t xml:space="preserve">Use data from </w:t>
      </w:r>
      <w:proofErr w:type="gramStart"/>
      <w:r w:rsidRPr="008365D9">
        <w:t>a number of</w:t>
      </w:r>
      <w:proofErr w:type="gramEnd"/>
      <w:r w:rsidRPr="008365D9">
        <w:t xml:space="preserve"> sources to risk stratify and target support to high risk CYP.  Protocols to be developed to enable partners to share data in order to stratify risk for cohort (then to use this to target resources) wouldn’t stop targeting based on presenting issues at the time (schools/police/GPs etc)</w:t>
      </w:r>
    </w:p>
    <w:p w:rsidR="00603B22" w:rsidRPr="008365D9" w:rsidRDefault="00603B22" w:rsidP="00603B22">
      <w:pPr>
        <w:pStyle w:val="ListParagraph"/>
        <w:numPr>
          <w:ilvl w:val="0"/>
          <w:numId w:val="14"/>
        </w:numPr>
      </w:pPr>
      <w:r w:rsidRPr="008365D9">
        <w:t xml:space="preserve">Link to EWMHS services where more acute clinical needs are assessed as being present </w:t>
      </w:r>
    </w:p>
    <w:p w:rsidR="00603B22" w:rsidRPr="008365D9" w:rsidRDefault="00603B22" w:rsidP="00603B22">
      <w:pPr>
        <w:pStyle w:val="ListParagraph"/>
        <w:numPr>
          <w:ilvl w:val="0"/>
          <w:numId w:val="14"/>
        </w:numPr>
      </w:pPr>
      <w:r w:rsidRPr="008365D9">
        <w:t xml:space="preserve">Ability to screen, assess, provide support and interventions in </w:t>
      </w:r>
      <w:proofErr w:type="spellStart"/>
      <w:r w:rsidRPr="008365D9">
        <w:t>non clinical</w:t>
      </w:r>
      <w:proofErr w:type="spellEnd"/>
      <w:r w:rsidRPr="008365D9">
        <w:t xml:space="preserve"> traditional settings for this hard to reach group where appropriate – employing digital and social media solutions to engage CYP </w:t>
      </w:r>
    </w:p>
    <w:p w:rsidR="00603B22" w:rsidRPr="008365D9" w:rsidRDefault="00603B22" w:rsidP="00603B22">
      <w:pPr>
        <w:pStyle w:val="ListParagraph"/>
        <w:numPr>
          <w:ilvl w:val="0"/>
          <w:numId w:val="14"/>
        </w:numPr>
      </w:pPr>
      <w:r w:rsidRPr="008365D9">
        <w:t>Provide support in a holistic way to whole family and provide training to schools</w:t>
      </w:r>
      <w:r>
        <w:t>/others working with CYP</w:t>
      </w:r>
      <w:r w:rsidRPr="008365D9">
        <w:t xml:space="preserve"> in family approaches (link to LOT 4 for initial training roll out)</w:t>
      </w:r>
    </w:p>
    <w:p w:rsidR="00603B22" w:rsidRPr="008365D9" w:rsidRDefault="00603B22" w:rsidP="00603B22">
      <w:pPr>
        <w:pStyle w:val="ListParagraph"/>
        <w:numPr>
          <w:ilvl w:val="0"/>
          <w:numId w:val="14"/>
        </w:numPr>
      </w:pPr>
      <w:r w:rsidRPr="008365D9">
        <w:t xml:space="preserve">Liaison with YOTs around L and D services for those at risk in order to provide diversionary tactics. Would seek advice from YOT teams where they identify a CYP at risk of offending </w:t>
      </w:r>
      <w:proofErr w:type="spellStart"/>
      <w:r w:rsidRPr="008365D9">
        <w:t>ie</w:t>
      </w:r>
      <w:proofErr w:type="spellEnd"/>
      <w:r w:rsidRPr="008365D9">
        <w:t xml:space="preserve"> if they are being influenced by gangs etc in order to provide diversion support   </w:t>
      </w:r>
    </w:p>
    <w:p w:rsidR="00603B22" w:rsidRPr="008365D9" w:rsidRDefault="00603B22" w:rsidP="00603B22">
      <w:pPr>
        <w:pStyle w:val="ListParagraph"/>
        <w:numPr>
          <w:ilvl w:val="0"/>
          <w:numId w:val="14"/>
        </w:numPr>
      </w:pPr>
      <w:r>
        <w:t>Ensure l</w:t>
      </w:r>
      <w:r w:rsidRPr="008365D9">
        <w:t xml:space="preserve">inks to </w:t>
      </w:r>
      <w:proofErr w:type="gramStart"/>
      <w:r w:rsidRPr="008365D9">
        <w:t>schools</w:t>
      </w:r>
      <w:proofErr w:type="gramEnd"/>
      <w:r w:rsidRPr="008365D9">
        <w:t xml:space="preserve"> nurses and pastoral teams to facilitate referral pathways</w:t>
      </w:r>
    </w:p>
    <w:p w:rsidR="00603B22" w:rsidRPr="008365D9" w:rsidRDefault="00603B22" w:rsidP="00603B22">
      <w:pPr>
        <w:pStyle w:val="ListParagraph"/>
        <w:numPr>
          <w:ilvl w:val="0"/>
          <w:numId w:val="14"/>
        </w:numPr>
      </w:pPr>
      <w:r w:rsidRPr="008365D9">
        <w:t xml:space="preserve">Clinical supervision to staff within school settings </w:t>
      </w:r>
    </w:p>
    <w:p w:rsidR="00603B22" w:rsidRPr="008365D9" w:rsidRDefault="00603B22" w:rsidP="00603B22">
      <w:pPr>
        <w:pStyle w:val="ListParagraph"/>
        <w:numPr>
          <w:ilvl w:val="0"/>
          <w:numId w:val="14"/>
        </w:numPr>
      </w:pPr>
      <w:r w:rsidRPr="008365D9">
        <w:t>Link with other agencies – police/social care/E</w:t>
      </w:r>
      <w:r>
        <w:t>P</w:t>
      </w:r>
      <w:r w:rsidRPr="008365D9">
        <w:t xml:space="preserve">s/SALT services/other health professionals such as GPs to ensure pathways for young people are joined up and they require minimal multiple assessments for EW and MH needs </w:t>
      </w:r>
    </w:p>
    <w:p w:rsidR="00603B22" w:rsidRPr="008365D9" w:rsidRDefault="00603B22" w:rsidP="00603B22">
      <w:pPr>
        <w:pStyle w:val="ListParagraph"/>
        <w:numPr>
          <w:ilvl w:val="0"/>
          <w:numId w:val="14"/>
        </w:numPr>
      </w:pPr>
      <w:r w:rsidRPr="008365D9">
        <w:t>Focus on asset</w:t>
      </w:r>
      <w:r w:rsidR="00322722">
        <w:t>-</w:t>
      </w:r>
      <w:r w:rsidRPr="008365D9">
        <w:t>based models and supporting CYP and other professionals working with them to develop outcome focussed person centred plans to deescalate needs</w:t>
      </w:r>
    </w:p>
    <w:p w:rsidR="00603B22" w:rsidRPr="008365D9" w:rsidRDefault="00603B22" w:rsidP="00603B22">
      <w:pPr>
        <w:pStyle w:val="ListParagraph"/>
        <w:numPr>
          <w:ilvl w:val="0"/>
          <w:numId w:val="14"/>
        </w:numPr>
      </w:pPr>
      <w:r w:rsidRPr="008365D9">
        <w:t xml:space="preserve">Staff will be supported to explore root causes of issues rather than just aim to reduce presenting behaviours – where necessary the MH worker will be able to provide targeted interventions through </w:t>
      </w:r>
      <w:proofErr w:type="gramStart"/>
      <w:r w:rsidRPr="008365D9">
        <w:t>evidence based</w:t>
      </w:r>
      <w:proofErr w:type="gramEnd"/>
      <w:r w:rsidRPr="008365D9">
        <w:t xml:space="preserve"> practice, not necessarily clinical intervention but could be a psychologically informed social approach to improve emotional health and wellbeing. Would contribute to prevention of needs escalating and needing full EWMHS assessment for more intensive community MH </w:t>
      </w:r>
      <w:r w:rsidRPr="008365D9">
        <w:lastRenderedPageBreak/>
        <w:t xml:space="preserve">services where the CYP may not meet thresholds for these/demand by those with higher clinical need would mean waiting for assessment and treatment  </w:t>
      </w:r>
    </w:p>
    <w:p w:rsidR="00603B22" w:rsidRPr="008365D9" w:rsidRDefault="00603B22" w:rsidP="00603B22">
      <w:pPr>
        <w:pStyle w:val="ListParagraph"/>
        <w:numPr>
          <w:ilvl w:val="0"/>
          <w:numId w:val="14"/>
        </w:numPr>
      </w:pPr>
      <w:r w:rsidRPr="008365D9">
        <w:t xml:space="preserve">Approach would also prevent crisis situations as support can be accessed quickly </w:t>
      </w:r>
    </w:p>
    <w:p w:rsidR="00603B22" w:rsidRPr="008365D9" w:rsidRDefault="00603B22" w:rsidP="00603B22">
      <w:pPr>
        <w:pStyle w:val="ListParagraph"/>
        <w:numPr>
          <w:ilvl w:val="0"/>
          <w:numId w:val="14"/>
        </w:numPr>
      </w:pPr>
      <w:r w:rsidRPr="008365D9">
        <w:t xml:space="preserve">Workers would be allocated to localities in order to build relationships with those from other agencies and providers and become aware of other localised support available that CYP can be supported to navigate and access </w:t>
      </w:r>
    </w:p>
    <w:p w:rsidR="00603B22" w:rsidRPr="008365D9" w:rsidRDefault="00603B22" w:rsidP="00603B22">
      <w:pPr>
        <w:pStyle w:val="ListParagraph"/>
        <w:numPr>
          <w:ilvl w:val="0"/>
          <w:numId w:val="14"/>
        </w:numPr>
      </w:pPr>
      <w:r w:rsidRPr="008365D9">
        <w:t>Would encourage early transition planning and engage relevant specialist services / support others to know how to. For this cohort this would link to the pilot EWMHS / Adult MH transitions model being developed (aim to go live in April 2018 subject to securing LTP monies)</w:t>
      </w:r>
    </w:p>
    <w:p w:rsidR="00603B22" w:rsidRPr="008365D9" w:rsidRDefault="00603B22" w:rsidP="00603B22">
      <w:pPr>
        <w:pStyle w:val="ListParagraph"/>
        <w:numPr>
          <w:ilvl w:val="0"/>
          <w:numId w:val="14"/>
        </w:numPr>
      </w:pPr>
      <w:r w:rsidRPr="008365D9">
        <w:t>Roles could also help identify where there are MH issues for other family members (</w:t>
      </w:r>
      <w:proofErr w:type="spellStart"/>
      <w:r w:rsidRPr="008365D9">
        <w:t>ie</w:t>
      </w:r>
      <w:proofErr w:type="spellEnd"/>
      <w:r w:rsidRPr="008365D9">
        <w:t xml:space="preserve"> parental MH issues) and where they are not seeking support help them to find it </w:t>
      </w:r>
    </w:p>
    <w:p w:rsidR="00603B22" w:rsidRPr="008365D9" w:rsidRDefault="00603B22" w:rsidP="00603B22">
      <w:pPr>
        <w:pStyle w:val="ListParagraph"/>
        <w:numPr>
          <w:ilvl w:val="0"/>
          <w:numId w:val="14"/>
        </w:numPr>
      </w:pPr>
      <w:r w:rsidRPr="008365D9">
        <w:t>Would provide parental training</w:t>
      </w:r>
      <w:r>
        <w:t>/support parents to access training</w:t>
      </w:r>
      <w:r w:rsidRPr="008365D9">
        <w:t xml:space="preserve"> around </w:t>
      </w:r>
      <w:proofErr w:type="gramStart"/>
      <w:r w:rsidRPr="008365D9">
        <w:t>particular</w:t>
      </w:r>
      <w:r>
        <w:t xml:space="preserve"> managing</w:t>
      </w:r>
      <w:proofErr w:type="gramEnd"/>
      <w:r>
        <w:t xml:space="preserve"> behaviours,</w:t>
      </w:r>
      <w:r w:rsidRPr="008365D9">
        <w:t xml:space="preserve"> conditions </w:t>
      </w:r>
      <w:proofErr w:type="spellStart"/>
      <w:r w:rsidRPr="008365D9">
        <w:t>eg</w:t>
      </w:r>
      <w:proofErr w:type="spellEnd"/>
      <w:r w:rsidRPr="008365D9">
        <w:t xml:space="preserve"> ASD /ADHD needs for this cohort</w:t>
      </w:r>
      <w:r>
        <w:t xml:space="preserve"> (costs included in LOT 4)</w:t>
      </w:r>
    </w:p>
    <w:p w:rsidR="00603B22" w:rsidRDefault="00603B22" w:rsidP="00603B22">
      <w:pPr>
        <w:pStyle w:val="ListParagraph"/>
        <w:numPr>
          <w:ilvl w:val="0"/>
          <w:numId w:val="14"/>
        </w:numPr>
      </w:pPr>
      <w:r w:rsidRPr="008365D9">
        <w:t xml:space="preserve">Would be distinct from MH coordinator roles in Social Care as not all these CYP are CIN / known to Family Solutions / LAC </w:t>
      </w:r>
    </w:p>
    <w:p w:rsidR="00603B22" w:rsidRPr="008365D9" w:rsidRDefault="00603B22" w:rsidP="00603B22">
      <w:pPr>
        <w:pStyle w:val="ListParagraph"/>
        <w:numPr>
          <w:ilvl w:val="0"/>
          <w:numId w:val="14"/>
        </w:numPr>
      </w:pPr>
      <w:r w:rsidRPr="008365D9">
        <w:t xml:space="preserve">Clear protocols around info sharing would be developed to ensure all are aware of responsibilities and benefits and risks  </w:t>
      </w:r>
    </w:p>
    <w:p w:rsidR="00603B22" w:rsidRPr="008365D9" w:rsidRDefault="00603B22" w:rsidP="00603B22">
      <w:pPr>
        <w:pStyle w:val="ListParagraph"/>
        <w:numPr>
          <w:ilvl w:val="0"/>
          <w:numId w:val="14"/>
        </w:numPr>
      </w:pPr>
      <w:r w:rsidRPr="008365D9">
        <w:t>Would link with substance misuse and harmful sexual behaviour early intervention services already commissioned</w:t>
      </w:r>
      <w:r w:rsidR="00322722">
        <w:t>.</w:t>
      </w:r>
      <w:r w:rsidRPr="008365D9">
        <w:t xml:space="preserve"> </w:t>
      </w:r>
      <w:r w:rsidR="00322722">
        <w:t>‘</w:t>
      </w:r>
    </w:p>
    <w:p w:rsidR="00603B22" w:rsidRDefault="00603B22" w:rsidP="00971087">
      <w:pPr>
        <w:spacing w:after="0" w:line="240" w:lineRule="auto"/>
        <w:rPr>
          <w:rFonts w:eastAsia="Times New Roman" w:cstheme="minorHAnsi"/>
          <w:lang w:eastAsia="en-GB"/>
        </w:rPr>
      </w:pPr>
    </w:p>
    <w:p w:rsidR="00603B22" w:rsidRDefault="00603B22" w:rsidP="00971087">
      <w:pPr>
        <w:spacing w:after="0" w:line="240" w:lineRule="auto"/>
        <w:rPr>
          <w:rFonts w:eastAsia="Times New Roman" w:cstheme="minorHAnsi"/>
          <w:lang w:eastAsia="en-GB"/>
        </w:rPr>
      </w:pPr>
    </w:p>
    <w:p w:rsidR="00603B22" w:rsidRPr="00322722" w:rsidRDefault="00603B22" w:rsidP="00971087">
      <w:pPr>
        <w:spacing w:after="0" w:line="240" w:lineRule="auto"/>
        <w:rPr>
          <w:rFonts w:eastAsia="Times New Roman" w:cstheme="minorHAnsi"/>
          <w:b/>
          <w:lang w:eastAsia="en-GB"/>
        </w:rPr>
      </w:pPr>
      <w:r w:rsidRPr="00322722">
        <w:rPr>
          <w:rFonts w:eastAsia="Times New Roman" w:cstheme="minorHAnsi"/>
          <w:b/>
          <w:lang w:eastAsia="en-GB"/>
        </w:rPr>
        <w:t>Bedfordshire</w:t>
      </w:r>
    </w:p>
    <w:p w:rsidR="00322722" w:rsidRDefault="00322722" w:rsidP="00322722">
      <w:pPr>
        <w:pStyle w:val="Default"/>
        <w:rPr>
          <w:rFonts w:eastAsia="Times New Roman" w:cstheme="minorHAnsi"/>
          <w:lang w:eastAsia="en-GB"/>
        </w:rPr>
      </w:pPr>
    </w:p>
    <w:p w:rsidR="00322722" w:rsidRPr="00322722" w:rsidRDefault="00322722" w:rsidP="00322722">
      <w:pPr>
        <w:pStyle w:val="Default"/>
        <w:rPr>
          <w:rFonts w:asciiTheme="minorHAnsi" w:hAnsiTheme="minorHAnsi" w:cstheme="minorHAnsi"/>
          <w:sz w:val="22"/>
          <w:szCs w:val="22"/>
        </w:rPr>
      </w:pPr>
      <w:r>
        <w:rPr>
          <w:rFonts w:eastAsia="Times New Roman" w:cstheme="minorHAnsi"/>
          <w:lang w:eastAsia="en-GB"/>
        </w:rPr>
        <w:t>‘</w:t>
      </w:r>
      <w:r w:rsidRPr="00322722">
        <w:rPr>
          <w:rFonts w:asciiTheme="minorHAnsi" w:hAnsiTheme="minorHAnsi" w:cstheme="minorHAnsi"/>
          <w:sz w:val="22"/>
          <w:szCs w:val="22"/>
        </w:rPr>
        <w:t xml:space="preserve">We are proposing an intervention to reduce the risk of further disengagement from education and improve reintegration to mainstream school. This will use both a restorative approach and solution-focussed approach with the young person and systemic approach with the family, school and peers where appropriate. These methods will aim to avoid the </w:t>
      </w:r>
      <w:proofErr w:type="gramStart"/>
      <w:r w:rsidRPr="00322722">
        <w:rPr>
          <w:rFonts w:asciiTheme="minorHAnsi" w:hAnsiTheme="minorHAnsi" w:cstheme="minorHAnsi"/>
          <w:sz w:val="22"/>
          <w:szCs w:val="22"/>
        </w:rPr>
        <w:t>long term</w:t>
      </w:r>
      <w:proofErr w:type="gramEnd"/>
      <w:r w:rsidRPr="00322722">
        <w:rPr>
          <w:rFonts w:asciiTheme="minorHAnsi" w:hAnsiTheme="minorHAnsi" w:cstheme="minorHAnsi"/>
          <w:sz w:val="22"/>
          <w:szCs w:val="22"/>
        </w:rPr>
        <w:t xml:space="preserve"> negative impact of exclusion. The local model will:</w:t>
      </w:r>
    </w:p>
    <w:p w:rsidR="00322722" w:rsidRPr="00322722" w:rsidRDefault="00322722" w:rsidP="00322722">
      <w:pPr>
        <w:pStyle w:val="Default"/>
        <w:rPr>
          <w:rFonts w:asciiTheme="minorHAnsi" w:hAnsiTheme="minorHAnsi" w:cstheme="minorHAnsi"/>
          <w:sz w:val="22"/>
          <w:szCs w:val="22"/>
        </w:rPr>
      </w:pPr>
      <w:r w:rsidRPr="00322722">
        <w:rPr>
          <w:rFonts w:asciiTheme="minorHAnsi" w:hAnsiTheme="minorHAnsi" w:cstheme="minorHAnsi"/>
          <w:sz w:val="22"/>
          <w:szCs w:val="22"/>
        </w:rPr>
        <w:t xml:space="preserve">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1. Undertake a comprehensive assessment to identified problems and how they play out and make sense in the entire context of the young person's environment.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2. Following assessment team members emphasise the positives they find and use strengths in the young person's world as levers for positive change to engage in restorative justice. </w:t>
      </w:r>
    </w:p>
    <w:p w:rsidR="00322722" w:rsidRPr="00322722" w:rsidRDefault="00322722" w:rsidP="00322722">
      <w:pPr>
        <w:autoSpaceDE w:val="0"/>
        <w:autoSpaceDN w:val="0"/>
        <w:adjustRightInd w:val="0"/>
        <w:spacing w:after="0" w:line="240" w:lineRule="auto"/>
        <w:rPr>
          <w:rFonts w:cstheme="minorHAnsi"/>
          <w:color w:val="000000"/>
        </w:rPr>
      </w:pPr>
      <w:r w:rsidRPr="00322722">
        <w:rPr>
          <w:rFonts w:cstheme="minorHAnsi"/>
          <w:color w:val="000000"/>
        </w:rPr>
        <w:t xml:space="preserve">3. Identify appropriate intensive therapeutic family interventions to be delivered twice weekly over a 2 – </w:t>
      </w:r>
      <w:proofErr w:type="gramStart"/>
      <w:r w:rsidRPr="00322722">
        <w:rPr>
          <w:rFonts w:cstheme="minorHAnsi"/>
          <w:color w:val="000000"/>
        </w:rPr>
        <w:t>3 month</w:t>
      </w:r>
      <w:proofErr w:type="gramEnd"/>
      <w:r w:rsidRPr="00322722">
        <w:rPr>
          <w:rFonts w:cstheme="minorHAnsi"/>
          <w:color w:val="000000"/>
        </w:rPr>
        <w:t xml:space="preserve"> period. These sessions will be offered to the parents using structural family therapy concepts of by reinforcing their position within the family </w:t>
      </w:r>
    </w:p>
    <w:p w:rsidR="00322722" w:rsidRPr="00322722" w:rsidRDefault="00322722" w:rsidP="00322722">
      <w:pPr>
        <w:autoSpaceDE w:val="0"/>
        <w:autoSpaceDN w:val="0"/>
        <w:adjustRightInd w:val="0"/>
        <w:spacing w:after="0" w:line="240" w:lineRule="auto"/>
        <w:rPr>
          <w:rFonts w:cstheme="minorHAnsi"/>
          <w:color w:val="000000"/>
        </w:rPr>
      </w:pPr>
      <w:r w:rsidRPr="00322722">
        <w:rPr>
          <w:rFonts w:cstheme="minorHAnsi"/>
          <w:color w:val="000000"/>
        </w:rPr>
        <w:t xml:space="preserve">hierarchy. In addition, whole family therapy sessions will be offered to help improve communication and establish good family relationships within the home. At the same </w:t>
      </w:r>
    </w:p>
    <w:p w:rsidR="00322722" w:rsidRPr="00322722" w:rsidRDefault="00322722" w:rsidP="00322722">
      <w:pPr>
        <w:autoSpaceDE w:val="0"/>
        <w:autoSpaceDN w:val="0"/>
        <w:adjustRightInd w:val="0"/>
        <w:spacing w:after="0" w:line="240" w:lineRule="auto"/>
        <w:rPr>
          <w:rFonts w:cstheme="minorHAnsi"/>
          <w:color w:val="000000"/>
        </w:rPr>
      </w:pPr>
      <w:r w:rsidRPr="00322722">
        <w:rPr>
          <w:rFonts w:cstheme="minorHAnsi"/>
          <w:color w:val="000000"/>
        </w:rPr>
        <w:t xml:space="preserve">time individual sessions with the young person will be offered by the YOS Worker (if convicted), Early Help Service (in each local authority), PRU School CAMHS Staff, Local drug and alcohol services or CAMHS staff focusing on restorative work.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4. All interventions will deal with what’s happening now in the young person's life. Therapists look for action that can be taken immediately, targeting specific and well-defined problems.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lastRenderedPageBreak/>
        <w:t xml:space="preserve">5. Interventions target sequences of behaviour within and between the various interacting elements of the adolescent’s life as outlined above.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6. Interventions are appropriate to the young person's age and fit his or her developmental needs.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7. Interventions require intense effort by family members so that the young person and family have frequent opportunities to demonstrate their commitment.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8. Effectiveness is evaluated continuously from multiple perspectives through mediating between the school and young person/family working towards a return to mainstream schools ensuring better outcomes. </w:t>
      </w:r>
    </w:p>
    <w:p w:rsidR="00322722" w:rsidRPr="00322722" w:rsidRDefault="00322722" w:rsidP="00322722">
      <w:pPr>
        <w:autoSpaceDE w:val="0"/>
        <w:autoSpaceDN w:val="0"/>
        <w:adjustRightInd w:val="0"/>
        <w:spacing w:after="53" w:line="240" w:lineRule="auto"/>
        <w:rPr>
          <w:rFonts w:cstheme="minorHAnsi"/>
          <w:color w:val="000000"/>
        </w:rPr>
      </w:pPr>
      <w:r w:rsidRPr="00322722">
        <w:rPr>
          <w:rFonts w:cstheme="minorHAnsi"/>
          <w:color w:val="000000"/>
        </w:rPr>
        <w:t xml:space="preserve">9. Interventions are designed to invest the parents or carers with the ability to address the family’s needs after the intervention is over. </w:t>
      </w:r>
    </w:p>
    <w:p w:rsidR="00322722" w:rsidRPr="00322722" w:rsidRDefault="00322722" w:rsidP="00322722">
      <w:pPr>
        <w:autoSpaceDE w:val="0"/>
        <w:autoSpaceDN w:val="0"/>
        <w:adjustRightInd w:val="0"/>
        <w:spacing w:after="0" w:line="240" w:lineRule="auto"/>
        <w:rPr>
          <w:rFonts w:cstheme="minorHAnsi"/>
          <w:color w:val="000000"/>
        </w:rPr>
      </w:pPr>
      <w:r w:rsidRPr="00322722">
        <w:rPr>
          <w:rFonts w:cstheme="minorHAnsi"/>
          <w:color w:val="000000"/>
        </w:rPr>
        <w:t>10. Supervision is offered on a weekly basis to ensure that the therapists are working within the model and offered enough support through this intensive work.</w:t>
      </w:r>
      <w:r>
        <w:rPr>
          <w:rFonts w:cstheme="minorHAnsi"/>
          <w:color w:val="000000"/>
        </w:rPr>
        <w:t>’</w:t>
      </w:r>
      <w:r w:rsidRPr="00322722">
        <w:rPr>
          <w:rFonts w:cstheme="minorHAnsi"/>
          <w:color w:val="000000"/>
        </w:rPr>
        <w:t xml:space="preserve"> </w:t>
      </w:r>
    </w:p>
    <w:p w:rsidR="00603B22" w:rsidRPr="00322722" w:rsidRDefault="00603B22" w:rsidP="00322722">
      <w:pPr>
        <w:spacing w:after="0" w:line="240" w:lineRule="auto"/>
        <w:rPr>
          <w:rFonts w:eastAsia="Times New Roman" w:cstheme="minorHAnsi"/>
          <w:lang w:eastAsia="en-GB"/>
        </w:rPr>
      </w:pPr>
    </w:p>
    <w:p w:rsidR="00603B22" w:rsidRPr="00322722" w:rsidRDefault="00603B22" w:rsidP="00971087">
      <w:pPr>
        <w:spacing w:after="0" w:line="240" w:lineRule="auto"/>
        <w:rPr>
          <w:rFonts w:eastAsia="Times New Roman" w:cstheme="minorHAnsi"/>
          <w:lang w:eastAsia="en-GB"/>
        </w:rPr>
      </w:pPr>
    </w:p>
    <w:p w:rsidR="000713DE" w:rsidRPr="00322722" w:rsidRDefault="000713DE" w:rsidP="00971087">
      <w:pPr>
        <w:autoSpaceDE w:val="0"/>
        <w:autoSpaceDN w:val="0"/>
        <w:adjustRightInd w:val="0"/>
        <w:spacing w:after="0" w:line="240" w:lineRule="auto"/>
        <w:jc w:val="both"/>
        <w:rPr>
          <w:rFonts w:cstheme="minorHAnsi"/>
          <w:color w:val="000000"/>
        </w:rPr>
      </w:pPr>
    </w:p>
    <w:sectPr w:rsidR="000713DE" w:rsidRPr="0032272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C0" w:rsidRDefault="00065AC0" w:rsidP="00E1169C">
      <w:pPr>
        <w:spacing w:after="0" w:line="240" w:lineRule="auto"/>
      </w:pPr>
      <w:r>
        <w:separator/>
      </w:r>
    </w:p>
  </w:endnote>
  <w:endnote w:type="continuationSeparator" w:id="0">
    <w:p w:rsidR="00065AC0" w:rsidRDefault="00065AC0"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8B53D8">
        <w:pPr>
          <w:pStyle w:val="Footer"/>
          <w:jc w:val="right"/>
        </w:pPr>
        <w:r>
          <w:t>CCN</w:t>
        </w:r>
        <w:r w:rsidR="004D169A">
          <w:t xml:space="preserve"> evaluation specification </w:t>
        </w:r>
        <w:r>
          <w:t xml:space="preserve">Beds and Essex </w:t>
        </w:r>
        <w:proofErr w:type="gramStart"/>
        <w:r>
          <w:t>October</w:t>
        </w:r>
        <w:r w:rsidR="00DA246F">
          <w:t xml:space="preserve"> </w:t>
        </w:r>
        <w:r w:rsidR="0001304B">
          <w:t xml:space="preserve"> 201</w:t>
        </w:r>
        <w:r w:rsidR="00DA246F">
          <w:t>9</w:t>
        </w:r>
        <w:proofErr w:type="gramEnd"/>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C0" w:rsidRDefault="00065AC0" w:rsidP="00E1169C">
      <w:pPr>
        <w:spacing w:after="0" w:line="240" w:lineRule="auto"/>
      </w:pPr>
      <w:r>
        <w:separator/>
      </w:r>
    </w:p>
  </w:footnote>
  <w:footnote w:type="continuationSeparator" w:id="0">
    <w:p w:rsidR="00065AC0" w:rsidRDefault="00065AC0"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52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52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76C11"/>
    <w:multiLevelType w:val="hybridMultilevel"/>
    <w:tmpl w:val="4114FE82"/>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5"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4E07D9"/>
    <w:multiLevelType w:val="hybridMultilevel"/>
    <w:tmpl w:val="0580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2"/>
  </w:num>
  <w:num w:numId="5">
    <w:abstractNumId w:val="8"/>
  </w:num>
  <w:num w:numId="6">
    <w:abstractNumId w:val="11"/>
  </w:num>
  <w:num w:numId="7">
    <w:abstractNumId w:val="3"/>
  </w:num>
  <w:num w:numId="8">
    <w:abstractNumId w:val="2"/>
  </w:num>
  <w:num w:numId="9">
    <w:abstractNumId w:val="0"/>
  </w:num>
  <w:num w:numId="10">
    <w:abstractNumId w:val="1"/>
  </w:num>
  <w:num w:numId="11">
    <w:abstractNumId w:val="6"/>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788"/>
    <w:rsid w:val="0001304B"/>
    <w:rsid w:val="000231E6"/>
    <w:rsid w:val="0002635B"/>
    <w:rsid w:val="00031EA5"/>
    <w:rsid w:val="00061736"/>
    <w:rsid w:val="00065707"/>
    <w:rsid w:val="00065AC0"/>
    <w:rsid w:val="000713DE"/>
    <w:rsid w:val="00085FC0"/>
    <w:rsid w:val="00097081"/>
    <w:rsid w:val="000E4A1B"/>
    <w:rsid w:val="00102066"/>
    <w:rsid w:val="00132A4A"/>
    <w:rsid w:val="001450EB"/>
    <w:rsid w:val="001639B0"/>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00CC"/>
    <w:rsid w:val="002968CD"/>
    <w:rsid w:val="002C53CA"/>
    <w:rsid w:val="002E5045"/>
    <w:rsid w:val="003006A2"/>
    <w:rsid w:val="00322722"/>
    <w:rsid w:val="00366396"/>
    <w:rsid w:val="003811CC"/>
    <w:rsid w:val="003F2BAC"/>
    <w:rsid w:val="0041786E"/>
    <w:rsid w:val="004367DA"/>
    <w:rsid w:val="00445312"/>
    <w:rsid w:val="004500B0"/>
    <w:rsid w:val="00450841"/>
    <w:rsid w:val="00451E47"/>
    <w:rsid w:val="00453AB8"/>
    <w:rsid w:val="004561F6"/>
    <w:rsid w:val="004A0461"/>
    <w:rsid w:val="004C0DFE"/>
    <w:rsid w:val="004C1D93"/>
    <w:rsid w:val="004D169A"/>
    <w:rsid w:val="004F7DCB"/>
    <w:rsid w:val="0052503E"/>
    <w:rsid w:val="00530931"/>
    <w:rsid w:val="005327DC"/>
    <w:rsid w:val="00584175"/>
    <w:rsid w:val="005B2929"/>
    <w:rsid w:val="005B7A6F"/>
    <w:rsid w:val="00603B22"/>
    <w:rsid w:val="00626D6D"/>
    <w:rsid w:val="00630E06"/>
    <w:rsid w:val="006322DF"/>
    <w:rsid w:val="00637FC0"/>
    <w:rsid w:val="0068361F"/>
    <w:rsid w:val="006915EC"/>
    <w:rsid w:val="0069768B"/>
    <w:rsid w:val="006A5814"/>
    <w:rsid w:val="006B4BA2"/>
    <w:rsid w:val="006E6E75"/>
    <w:rsid w:val="00734AE2"/>
    <w:rsid w:val="00740B10"/>
    <w:rsid w:val="007463E1"/>
    <w:rsid w:val="00773E8A"/>
    <w:rsid w:val="00791CB5"/>
    <w:rsid w:val="007A56C1"/>
    <w:rsid w:val="007D5DF2"/>
    <w:rsid w:val="00800746"/>
    <w:rsid w:val="00816416"/>
    <w:rsid w:val="00852381"/>
    <w:rsid w:val="008562DF"/>
    <w:rsid w:val="00865422"/>
    <w:rsid w:val="00891B50"/>
    <w:rsid w:val="00897968"/>
    <w:rsid w:val="008B53D8"/>
    <w:rsid w:val="008C3072"/>
    <w:rsid w:val="008D6297"/>
    <w:rsid w:val="008E61AA"/>
    <w:rsid w:val="00901B0E"/>
    <w:rsid w:val="00907148"/>
    <w:rsid w:val="009432DF"/>
    <w:rsid w:val="009632E9"/>
    <w:rsid w:val="00971087"/>
    <w:rsid w:val="0097590C"/>
    <w:rsid w:val="00983109"/>
    <w:rsid w:val="009909FD"/>
    <w:rsid w:val="009B202A"/>
    <w:rsid w:val="009C5296"/>
    <w:rsid w:val="009D57E1"/>
    <w:rsid w:val="009E3725"/>
    <w:rsid w:val="00A01FDC"/>
    <w:rsid w:val="00A023A4"/>
    <w:rsid w:val="00A1770F"/>
    <w:rsid w:val="00A26761"/>
    <w:rsid w:val="00A313C1"/>
    <w:rsid w:val="00A6080A"/>
    <w:rsid w:val="00A7320F"/>
    <w:rsid w:val="00A804A5"/>
    <w:rsid w:val="00AC0AF3"/>
    <w:rsid w:val="00AD24FA"/>
    <w:rsid w:val="00AE3615"/>
    <w:rsid w:val="00B041DC"/>
    <w:rsid w:val="00B1186D"/>
    <w:rsid w:val="00B16399"/>
    <w:rsid w:val="00B173E4"/>
    <w:rsid w:val="00B23008"/>
    <w:rsid w:val="00B332F6"/>
    <w:rsid w:val="00B45612"/>
    <w:rsid w:val="00B5073A"/>
    <w:rsid w:val="00B56C16"/>
    <w:rsid w:val="00B672BF"/>
    <w:rsid w:val="00B81BF3"/>
    <w:rsid w:val="00B970CC"/>
    <w:rsid w:val="00BD6B65"/>
    <w:rsid w:val="00BF51C3"/>
    <w:rsid w:val="00C01516"/>
    <w:rsid w:val="00C11B3D"/>
    <w:rsid w:val="00C3422F"/>
    <w:rsid w:val="00C37557"/>
    <w:rsid w:val="00C52A62"/>
    <w:rsid w:val="00C54778"/>
    <w:rsid w:val="00C63C92"/>
    <w:rsid w:val="00C724C0"/>
    <w:rsid w:val="00C8492F"/>
    <w:rsid w:val="00C963DB"/>
    <w:rsid w:val="00C967D5"/>
    <w:rsid w:val="00CB2927"/>
    <w:rsid w:val="00CC120E"/>
    <w:rsid w:val="00CC3015"/>
    <w:rsid w:val="00CF6BFC"/>
    <w:rsid w:val="00D46179"/>
    <w:rsid w:val="00D76A5C"/>
    <w:rsid w:val="00D77F13"/>
    <w:rsid w:val="00D83444"/>
    <w:rsid w:val="00D95205"/>
    <w:rsid w:val="00DA246F"/>
    <w:rsid w:val="00DD46A1"/>
    <w:rsid w:val="00E00EAE"/>
    <w:rsid w:val="00E1169C"/>
    <w:rsid w:val="00E20060"/>
    <w:rsid w:val="00E37928"/>
    <w:rsid w:val="00E42F28"/>
    <w:rsid w:val="00E53CE9"/>
    <w:rsid w:val="00E71F67"/>
    <w:rsid w:val="00E741D8"/>
    <w:rsid w:val="00E75366"/>
    <w:rsid w:val="00E90025"/>
    <w:rsid w:val="00E941D9"/>
    <w:rsid w:val="00EB15DE"/>
    <w:rsid w:val="00EC44D3"/>
    <w:rsid w:val="00EC7572"/>
    <w:rsid w:val="00F03186"/>
    <w:rsid w:val="00F11EFF"/>
    <w:rsid w:val="00F3007E"/>
    <w:rsid w:val="00F62277"/>
    <w:rsid w:val="00F62C56"/>
    <w:rsid w:val="00F92B4C"/>
    <w:rsid w:val="00FB071E"/>
    <w:rsid w:val="00FD0556"/>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03B22"/>
  </w:style>
  <w:style w:type="paragraph" w:customStyle="1" w:styleId="Default">
    <w:name w:val="Default"/>
    <w:rsid w:val="00603B2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03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langley@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C92C-919F-4783-960F-AA60907D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2779</Words>
  <Characters>15846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Forrest</dc:creator>
  <cp:lastModifiedBy>Horrocks Chris (0DE) Arden &amp; GEM CSU</cp:lastModifiedBy>
  <cp:revision>2</cp:revision>
  <cp:lastPrinted>2014-11-24T14:25:00Z</cp:lastPrinted>
  <dcterms:created xsi:type="dcterms:W3CDTF">2019-10-08T13:44:00Z</dcterms:created>
  <dcterms:modified xsi:type="dcterms:W3CDTF">2019-10-08T13:44:00Z</dcterms:modified>
</cp:coreProperties>
</file>