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621D4F" w14:textId="6713DB5B" w:rsidR="0013786D" w:rsidRDefault="008E56E5" w:rsidP="00A554A4">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Start w:id="2" w:name="2uxtw84" w:colFirst="0" w:colLast="0"/>
      <w:bookmarkStart w:id="3" w:name="1a346fx" w:colFirst="0" w:colLast="0"/>
      <w:bookmarkEnd w:id="1"/>
      <w:bookmarkEnd w:id="2"/>
      <w:bookmarkEnd w:id="3"/>
    </w:p>
    <w:p w14:paraId="561A4A01" w14:textId="44A66420" w:rsidR="0013786D" w:rsidRDefault="0013786D">
      <w:pPr>
        <w:spacing w:after="100"/>
        <w:jc w:val="left"/>
        <w:rPr>
          <w:rFonts w:ascii="Arial" w:eastAsia="Arial" w:hAnsi="Arial" w:cs="Arial"/>
        </w:rPr>
      </w:pPr>
      <w:bookmarkStart w:id="4" w:name="3u2rp3q" w:colFirst="0" w:colLast="0"/>
      <w:bookmarkStart w:id="5" w:name="odc9jc" w:colFirst="0" w:colLast="0"/>
      <w:bookmarkStart w:id="6" w:name="38czs75" w:colFirst="0" w:colLast="0"/>
      <w:bookmarkEnd w:id="4"/>
      <w:bookmarkEnd w:id="5"/>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3B893242"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0D3988">
        <w:rPr>
          <w:rFonts w:ascii="Arial" w:eastAsia="Arial" w:hAnsi="Arial" w:cs="Arial"/>
          <w:sz w:val="20"/>
          <w:szCs w:val="20"/>
        </w:rPr>
        <w:t xml:space="preserve"> dated 07</w:t>
      </w:r>
      <w:r w:rsidR="00A554A4">
        <w:rPr>
          <w:rFonts w:ascii="Arial" w:eastAsia="Arial" w:hAnsi="Arial" w:cs="Arial"/>
          <w:sz w:val="20"/>
          <w:szCs w:val="20"/>
        </w:rPr>
        <w:t>/05/2021</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72F04ECE" w:rsidR="0013786D" w:rsidRDefault="009319AE" w:rsidP="009319AE">
            <w:pPr>
              <w:spacing w:after="100"/>
              <w:jc w:val="left"/>
              <w:rPr>
                <w:rFonts w:ascii="Arial" w:eastAsia="Arial" w:hAnsi="Arial" w:cs="Arial"/>
              </w:rPr>
            </w:pPr>
            <w:r w:rsidRPr="009319AE">
              <w:rPr>
                <w:rFonts w:ascii="Arial" w:eastAsia="Arial" w:hAnsi="Arial" w:cs="Arial"/>
                <w:sz w:val="20"/>
                <w:szCs w:val="20"/>
              </w:rPr>
              <w:t xml:space="preserve">National Infrastructure </w:t>
            </w:r>
            <w:r w:rsidR="00A554A4" w:rsidRPr="009319AE">
              <w:rPr>
                <w:rFonts w:ascii="Arial" w:eastAsia="Arial" w:hAnsi="Arial" w:cs="Arial"/>
                <w:sz w:val="20"/>
                <w:szCs w:val="20"/>
              </w:rPr>
              <w:t>Commission</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69A5D98E" w:rsidR="0013786D" w:rsidRDefault="00A554A4">
            <w:pPr>
              <w:spacing w:after="100"/>
              <w:jc w:val="left"/>
              <w:rPr>
                <w:rFonts w:ascii="Arial" w:eastAsia="Arial" w:hAnsi="Arial" w:cs="Arial"/>
              </w:rPr>
            </w:pPr>
            <w:r>
              <w:rPr>
                <w:rFonts w:ascii="Arial" w:eastAsia="Arial" w:hAnsi="Arial" w:cs="Arial"/>
                <w:sz w:val="20"/>
                <w:szCs w:val="20"/>
              </w:rPr>
              <w:t xml:space="preserve">Element Energy Limited </w:t>
            </w:r>
            <w:r w:rsidR="002E7F3C">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6D5AFC52" w:rsidR="0013786D" w:rsidRPr="009319AE" w:rsidRDefault="002E7F3C" w:rsidP="009319AE">
            <w:pPr>
              <w:spacing w:after="100"/>
              <w:jc w:val="left"/>
              <w:rPr>
                <w:rFonts w:ascii="Arial" w:eastAsia="Arial" w:hAnsi="Arial" w:cs="Arial"/>
              </w:rPr>
            </w:pPr>
            <w:r w:rsidRPr="009319AE">
              <w:rPr>
                <w:rFonts w:ascii="Arial" w:eastAsia="Arial" w:hAnsi="Arial" w:cs="Arial"/>
                <w:sz w:val="20"/>
                <w:szCs w:val="20"/>
              </w:rPr>
              <w:t xml:space="preserve"> </w:t>
            </w:r>
            <w:r w:rsidR="000C732F">
              <w:rPr>
                <w:rFonts w:ascii="Arial" w:eastAsia="Arial" w:hAnsi="Arial" w:cs="Arial"/>
                <w:sz w:val="20"/>
                <w:szCs w:val="20"/>
              </w:rPr>
              <w:t>10</w:t>
            </w:r>
            <w:r w:rsidR="000C732F" w:rsidRPr="000C732F">
              <w:rPr>
                <w:rFonts w:ascii="Arial" w:eastAsia="Arial" w:hAnsi="Arial" w:cs="Arial"/>
                <w:sz w:val="20"/>
                <w:szCs w:val="20"/>
                <w:vertAlign w:val="superscript"/>
              </w:rPr>
              <w:t>th</w:t>
            </w:r>
            <w:r w:rsidR="000C732F">
              <w:rPr>
                <w:rFonts w:ascii="Arial" w:eastAsia="Arial" w:hAnsi="Arial" w:cs="Arial"/>
                <w:sz w:val="20"/>
                <w:szCs w:val="20"/>
              </w:rPr>
              <w:t xml:space="preserve"> May</w:t>
            </w:r>
            <w:r w:rsidR="009319AE" w:rsidRPr="009319AE">
              <w:rPr>
                <w:rFonts w:ascii="Arial" w:eastAsia="Arial" w:hAnsi="Arial" w:cs="Arial"/>
                <w:sz w:val="20"/>
                <w:szCs w:val="20"/>
              </w:rPr>
              <w:t xml:space="preserve"> 2021</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49B26E73" w14:textId="7B0BA874" w:rsidR="0013786D" w:rsidRPr="009319AE" w:rsidRDefault="0091081E" w:rsidP="00A554A4">
            <w:pPr>
              <w:spacing w:after="100"/>
              <w:jc w:val="left"/>
              <w:rPr>
                <w:rFonts w:ascii="Arial" w:eastAsia="Arial" w:hAnsi="Arial" w:cs="Arial"/>
              </w:rPr>
            </w:pPr>
            <w:r w:rsidRPr="004B48E7">
              <w:rPr>
                <w:rFonts w:ascii="Arial" w:eastAsia="Arial" w:hAnsi="Arial" w:cs="Arial"/>
                <w:sz w:val="20"/>
              </w:rPr>
              <w:t>16</w:t>
            </w:r>
            <w:r w:rsidR="00A554A4" w:rsidRPr="004B48E7">
              <w:rPr>
                <w:rFonts w:ascii="Arial" w:eastAsia="Arial" w:hAnsi="Arial" w:cs="Arial"/>
                <w:sz w:val="20"/>
                <w:vertAlign w:val="superscript"/>
              </w:rPr>
              <w:t>th</w:t>
            </w:r>
            <w:r w:rsidR="00A554A4" w:rsidRPr="004B48E7">
              <w:rPr>
                <w:rFonts w:ascii="Arial" w:eastAsia="Arial" w:hAnsi="Arial" w:cs="Arial"/>
                <w:sz w:val="20"/>
              </w:rPr>
              <w:t xml:space="preserve"> July 2021</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52C20F19" w:rsidR="00643CD6" w:rsidRDefault="002E7F3C" w:rsidP="00643CD6">
            <w:pPr>
              <w:spacing w:after="100"/>
              <w:jc w:val="left"/>
              <w:rPr>
                <w:rFonts w:ascii="Arial" w:eastAsia="Arial" w:hAnsi="Arial" w:cs="Arial"/>
              </w:rPr>
            </w:pPr>
            <w:r>
              <w:rPr>
                <w:rFonts w:ascii="Arial" w:eastAsia="Arial" w:hAnsi="Arial" w:cs="Arial"/>
                <w:sz w:val="20"/>
                <w:szCs w:val="20"/>
              </w:rPr>
              <w:t xml:space="preserve">·  the Customer’s </w:t>
            </w:r>
            <w:r w:rsidR="00643CD6">
              <w:rPr>
                <w:rFonts w:ascii="Arial" w:eastAsia="Arial" w:hAnsi="Arial" w:cs="Arial"/>
                <w:sz w:val="20"/>
                <w:szCs w:val="20"/>
              </w:rPr>
              <w:t xml:space="preserve">Statement of Requirements is </w:t>
            </w:r>
            <w:r>
              <w:rPr>
                <w:rFonts w:ascii="Arial" w:eastAsia="Arial" w:hAnsi="Arial" w:cs="Arial"/>
                <w:sz w:val="20"/>
                <w:szCs w:val="20"/>
              </w:rPr>
              <w:t>attached at Annex A and the Supplier’</w:t>
            </w:r>
            <w:r w:rsidR="00643CD6">
              <w:rPr>
                <w:rFonts w:ascii="Arial" w:eastAsia="Arial" w:hAnsi="Arial" w:cs="Arial"/>
                <w:sz w:val="20"/>
                <w:szCs w:val="20"/>
              </w:rPr>
              <w:t>s Proposal attached at Annex B</w:t>
            </w:r>
          </w:p>
          <w:p w14:paraId="4E011FAE" w14:textId="151863E6"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519C8B00" w:rsidR="0013786D" w:rsidRDefault="00B02396">
            <w:pPr>
              <w:spacing w:after="100"/>
              <w:jc w:val="left"/>
              <w:rPr>
                <w:rFonts w:ascii="Arial" w:eastAsia="Arial" w:hAnsi="Arial" w:cs="Arial"/>
              </w:rPr>
            </w:pPr>
            <w:r>
              <w:rPr>
                <w:rFonts w:ascii="Arial" w:eastAsia="Times New Roman" w:hAnsi="Arial" w:cs="Arial"/>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2F855761" w:rsidR="0013786D" w:rsidRDefault="00643CD6">
            <w:pPr>
              <w:spacing w:after="100"/>
              <w:jc w:val="left"/>
              <w:rPr>
                <w:rFonts w:ascii="Arial" w:eastAsia="Arial" w:hAnsi="Arial" w:cs="Arial"/>
              </w:rPr>
            </w:pPr>
            <w:r w:rsidRPr="00643CD6">
              <w:rPr>
                <w:rFonts w:ascii="Arial" w:eastAsia="Arial" w:hAnsi="Arial" w:cs="Arial"/>
                <w:sz w:val="20"/>
                <w:szCs w:val="20"/>
              </w:rPr>
              <w:t>None required</w:t>
            </w:r>
            <w:r>
              <w:rPr>
                <w:rFonts w:ascii="Arial" w:eastAsia="Arial" w:hAnsi="Arial" w:cs="Arial"/>
                <w:sz w:val="20"/>
                <w:szCs w:val="20"/>
              </w:rPr>
              <w:t xml:space="preserve">  </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1D2A4765" w:rsidR="0013786D" w:rsidRDefault="002E7F3C" w:rsidP="004B7EE7">
            <w:pPr>
              <w:spacing w:after="100"/>
              <w:jc w:val="left"/>
              <w:rPr>
                <w:rFonts w:ascii="Arial" w:eastAsia="Arial" w:hAnsi="Arial" w:cs="Arial"/>
              </w:rPr>
            </w:pPr>
            <w:r>
              <w:rPr>
                <w:rFonts w:ascii="Arial" w:eastAsia="Arial" w:hAnsi="Arial" w:cs="Arial"/>
                <w:sz w:val="20"/>
                <w:szCs w:val="20"/>
              </w:rPr>
              <w:t xml:space="preserve">Contract </w:t>
            </w:r>
            <w:r w:rsidR="004B7EE7">
              <w:rPr>
                <w:rFonts w:ascii="Arial" w:eastAsia="Arial" w:hAnsi="Arial" w:cs="Arial"/>
                <w:sz w:val="20"/>
                <w:szCs w:val="20"/>
              </w:rPr>
              <w:t>Value (ex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219B89B8" w:rsidR="0013786D" w:rsidRDefault="00B02396" w:rsidP="00B02396">
            <w:pPr>
              <w:rPr>
                <w:rFonts w:ascii="Arial" w:eastAsia="Arial" w:hAnsi="Arial" w:cs="Arial"/>
              </w:rPr>
            </w:pPr>
            <w:r>
              <w:rPr>
                <w:rFonts w:ascii="Arial" w:eastAsia="Times New Roman" w:hAnsi="Arial" w:cs="Arial"/>
              </w:rPr>
              <w:t>REDACTED</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639B40DA" w:rsidR="0013786D" w:rsidRDefault="00B02396" w:rsidP="00D5181F">
            <w:pPr>
              <w:spacing w:after="100"/>
              <w:jc w:val="left"/>
              <w:rPr>
                <w:rFonts w:ascii="Arial" w:eastAsia="Arial" w:hAnsi="Arial" w:cs="Arial"/>
              </w:rPr>
            </w:pPr>
            <w:r>
              <w:rPr>
                <w:rFonts w:ascii="Arial" w:eastAsia="Times New Roman" w:hAnsi="Arial" w:cs="Arial"/>
              </w:rPr>
              <w:t>REDACTED</w:t>
            </w:r>
            <w:r>
              <w:rPr>
                <w:rFonts w:ascii="Arial" w:eastAsia="Arial" w:hAnsi="Arial" w:cs="Arial"/>
              </w:rPr>
              <w:t xml:space="preserve"> </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p w14:paraId="2E68AD1F" w14:textId="582BB220" w:rsidR="0030655F" w:rsidRPr="0030655F" w:rsidRDefault="00507912" w:rsidP="0030655F">
            <w:pPr>
              <w:spacing w:after="120"/>
              <w:rPr>
                <w:rFonts w:ascii="Arial" w:hAnsi="Arial" w:cs="Arial"/>
                <w:sz w:val="20"/>
                <w:szCs w:val="20"/>
              </w:rPr>
            </w:pPr>
            <w:r>
              <w:rPr>
                <w:rFonts w:ascii="Arial" w:hAnsi="Arial" w:cs="Arial"/>
                <w:i/>
                <w:sz w:val="20"/>
                <w:szCs w:val="20"/>
              </w:rPr>
              <w:t>125% of Contract Sum</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1689B64" w14:textId="77777777" w:rsidR="00572BF3" w:rsidRPr="004A7D88" w:rsidRDefault="00572BF3" w:rsidP="0030655F">
            <w:pPr>
              <w:spacing w:after="100"/>
              <w:jc w:val="left"/>
              <w:rPr>
                <w:rFonts w:ascii="Arial" w:eastAsia="Arial" w:hAnsi="Arial" w:cs="Arial"/>
                <w:sz w:val="20"/>
              </w:rPr>
            </w:pPr>
            <w:r w:rsidRPr="004A7D88">
              <w:rPr>
                <w:rFonts w:ascii="Arial" w:eastAsia="Arial" w:hAnsi="Arial" w:cs="Arial"/>
                <w:sz w:val="20"/>
              </w:rPr>
              <w:t>Finlaison House,</w:t>
            </w:r>
          </w:p>
          <w:p w14:paraId="0228617E" w14:textId="77777777" w:rsidR="00572BF3" w:rsidRPr="004A7D88" w:rsidRDefault="00572BF3" w:rsidP="0030655F">
            <w:pPr>
              <w:spacing w:after="100"/>
              <w:jc w:val="left"/>
              <w:rPr>
                <w:rFonts w:ascii="Arial" w:eastAsia="Arial" w:hAnsi="Arial" w:cs="Arial"/>
                <w:sz w:val="20"/>
              </w:rPr>
            </w:pPr>
            <w:r w:rsidRPr="004A7D88">
              <w:rPr>
                <w:rFonts w:ascii="Arial" w:eastAsia="Arial" w:hAnsi="Arial" w:cs="Arial"/>
                <w:sz w:val="20"/>
              </w:rPr>
              <w:t>15-17 Furnival Street,</w:t>
            </w:r>
          </w:p>
          <w:p w14:paraId="45FB8657" w14:textId="67AD6A96" w:rsidR="00572BF3" w:rsidRPr="004A7D88" w:rsidRDefault="00572BF3" w:rsidP="0030655F">
            <w:pPr>
              <w:spacing w:after="100"/>
              <w:jc w:val="left"/>
              <w:rPr>
                <w:rFonts w:ascii="Arial" w:eastAsia="Arial" w:hAnsi="Arial" w:cs="Arial"/>
                <w:sz w:val="20"/>
              </w:rPr>
            </w:pPr>
            <w:r w:rsidRPr="004A7D88">
              <w:rPr>
                <w:rFonts w:ascii="Arial" w:eastAsia="Arial" w:hAnsi="Arial" w:cs="Arial"/>
                <w:sz w:val="20"/>
              </w:rPr>
              <w:lastRenderedPageBreak/>
              <w:t>London,</w:t>
            </w:r>
          </w:p>
          <w:p w14:paraId="7E44FB06" w14:textId="5103B9CB" w:rsidR="0013786D" w:rsidRDefault="00572BF3" w:rsidP="0030655F">
            <w:pPr>
              <w:spacing w:after="100"/>
              <w:jc w:val="left"/>
              <w:rPr>
                <w:rFonts w:ascii="Arial" w:eastAsia="Arial" w:hAnsi="Arial" w:cs="Arial"/>
              </w:rPr>
            </w:pPr>
            <w:r w:rsidRPr="004A7D88">
              <w:rPr>
                <w:rFonts w:ascii="Arial" w:eastAsia="Arial" w:hAnsi="Arial" w:cs="Arial"/>
                <w:sz w:val="20"/>
              </w:rPr>
              <w:t>EC4A 1AB</w:t>
            </w:r>
            <w:r w:rsidR="004B48E7" w:rsidRPr="004A7D88">
              <w:rPr>
                <w:rFonts w:ascii="Arial" w:eastAsia="Arial" w:hAnsi="Arial" w:cs="Arial"/>
                <w:sz w:val="20"/>
              </w:rPr>
              <w:t>.</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lastRenderedPageBreak/>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682E0ABA" w:rsidR="00E755C6" w:rsidRDefault="00643CD6">
            <w:pPr>
              <w:spacing w:after="100"/>
              <w:jc w:val="left"/>
              <w:rPr>
                <w:rFonts w:ascii="Arial" w:eastAsia="Arial" w:hAnsi="Arial" w:cs="Arial"/>
                <w:sz w:val="20"/>
                <w:szCs w:val="20"/>
                <w:highlight w:val="yellow"/>
              </w:rPr>
            </w:pPr>
            <w:r w:rsidRPr="00643CD6">
              <w:rPr>
                <w:rFonts w:ascii="Arial" w:eastAsia="Arial" w:hAnsi="Arial" w:cs="Arial"/>
                <w:sz w:val="20"/>
                <w:szCs w:val="20"/>
              </w:rPr>
              <w:t xml:space="preserve">As per </w:t>
            </w:r>
            <w:r w:rsidR="00E755C6" w:rsidRPr="00643CD6">
              <w:rPr>
                <w:rFonts w:ascii="Arial" w:eastAsia="Arial" w:hAnsi="Arial" w:cs="Arial"/>
                <w:sz w:val="20"/>
                <w:szCs w:val="20"/>
              </w:rPr>
              <w:t xml:space="preserve">Contract Terms Schedule 7 (Processing, </w:t>
            </w:r>
            <w:r w:rsidRPr="00643CD6">
              <w:rPr>
                <w:rFonts w:ascii="Arial" w:eastAsia="Arial" w:hAnsi="Arial" w:cs="Arial"/>
                <w:sz w:val="20"/>
                <w:szCs w:val="20"/>
              </w:rPr>
              <w:t>Personal Data and Data Subjects)</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2" w:name="20xfydz" w:colFirst="0" w:colLast="0"/>
      <w:bookmarkEnd w:id="12"/>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047EE8BB" w14:textId="77777777" w:rsidR="00B02396" w:rsidRDefault="00B02396" w:rsidP="00B02396">
      <w:pPr>
        <w:spacing w:after="40"/>
        <w:jc w:val="center"/>
        <w:rPr>
          <w:rFonts w:ascii="Arial" w:eastAsia="Arial" w:hAnsi="Arial" w:cs="Arial"/>
          <w:sz w:val="20"/>
          <w:szCs w:val="20"/>
        </w:rPr>
      </w:pPr>
      <w:r>
        <w:rPr>
          <w:rFonts w:ascii="Arial" w:eastAsia="Arial" w:hAnsi="Arial" w:cs="Arial"/>
          <w:sz w:val="20"/>
          <w:szCs w:val="20"/>
        </w:rPr>
        <w:t>Name and Title:</w:t>
      </w:r>
    </w:p>
    <w:p w14:paraId="63FCE01C" w14:textId="04B908EF" w:rsidR="00D34498" w:rsidRDefault="00B02396" w:rsidP="00B02396">
      <w:pPr>
        <w:spacing w:after="40"/>
        <w:jc w:val="center"/>
        <w:rPr>
          <w:rFonts w:ascii="Arial" w:eastAsia="Arial" w:hAnsi="Arial" w:cs="Arial"/>
          <w:sz w:val="20"/>
          <w:szCs w:val="20"/>
        </w:rPr>
      </w:pPr>
      <w:r>
        <w:rPr>
          <w:rFonts w:ascii="Arial" w:eastAsia="Times New Roman" w:hAnsi="Arial" w:cs="Arial"/>
        </w:rPr>
        <w:t>REDACTED</w:t>
      </w:r>
      <w:r w:rsidR="002E7F3C">
        <w:rPr>
          <w:rFonts w:ascii="Arial" w:eastAsia="Arial" w:hAnsi="Arial" w:cs="Arial"/>
          <w:sz w:val="20"/>
          <w:szCs w:val="20"/>
        </w:rPr>
        <w:t xml:space="preserve">                                                       Name and Title:</w:t>
      </w:r>
      <w:r w:rsidR="00E2110D">
        <w:rPr>
          <w:rFonts w:ascii="Arial" w:eastAsia="Arial" w:hAnsi="Arial" w:cs="Arial"/>
          <w:sz w:val="20"/>
          <w:szCs w:val="20"/>
        </w:rPr>
        <w:t xml:space="preserve"> </w:t>
      </w:r>
      <w:r>
        <w:rPr>
          <w:rFonts w:ascii="Arial" w:eastAsia="Times New Roman" w:hAnsi="Arial" w:cs="Arial"/>
        </w:rPr>
        <w:t>REDACTED</w:t>
      </w:r>
    </w:p>
    <w:p w14:paraId="21A292AF" w14:textId="77777777" w:rsidR="00D34498" w:rsidRDefault="00D34498" w:rsidP="00B02396">
      <w:pPr>
        <w:spacing w:after="40"/>
        <w:jc w:val="center"/>
        <w:rPr>
          <w:rFonts w:ascii="Arial" w:eastAsia="Arial" w:hAnsi="Arial" w:cs="Arial"/>
          <w:sz w:val="20"/>
          <w:szCs w:val="20"/>
        </w:rPr>
      </w:pPr>
    </w:p>
    <w:p w14:paraId="772E7B5E" w14:textId="77777777" w:rsidR="00D34498" w:rsidRDefault="00D34498" w:rsidP="00B02396">
      <w:pPr>
        <w:spacing w:after="40"/>
        <w:jc w:val="center"/>
        <w:rPr>
          <w:rFonts w:ascii="Arial" w:eastAsia="Arial" w:hAnsi="Arial" w:cs="Arial"/>
          <w:sz w:val="20"/>
          <w:szCs w:val="20"/>
        </w:rPr>
      </w:pPr>
    </w:p>
    <w:p w14:paraId="4900560E" w14:textId="72B78011" w:rsidR="00B73A6F" w:rsidRPr="00B73A6F" w:rsidRDefault="002E7F3C" w:rsidP="00B02396">
      <w:pPr>
        <w:spacing w:after="40"/>
        <w:jc w:val="center"/>
        <w:rPr>
          <w:rFonts w:ascii="Arial" w:eastAsia="Arial" w:hAnsi="Arial" w:cs="Arial"/>
          <w:sz w:val="20"/>
          <w:szCs w:val="20"/>
        </w:rPr>
      </w:pPr>
      <w:r>
        <w:rPr>
          <w:rFonts w:ascii="Arial" w:eastAsia="Arial" w:hAnsi="Arial" w:cs="Arial"/>
          <w:sz w:val="20"/>
          <w:szCs w:val="20"/>
        </w:rPr>
        <w:t xml:space="preserve">Signature:  </w:t>
      </w:r>
      <w:r w:rsidR="00B02396">
        <w:rPr>
          <w:rFonts w:ascii="Arial" w:eastAsia="Times New Roman" w:hAnsi="Arial" w:cs="Arial"/>
        </w:rPr>
        <w:t>REDACTED</w:t>
      </w:r>
      <w:r>
        <w:rPr>
          <w:rFonts w:ascii="Arial" w:eastAsia="Arial" w:hAnsi="Arial" w:cs="Arial"/>
          <w:sz w:val="20"/>
          <w:szCs w:val="20"/>
        </w:rPr>
        <w:t xml:space="preserve">                                                                  Signature:</w:t>
      </w:r>
      <w:r w:rsidR="00B73A6F">
        <w:rPr>
          <w:rFonts w:ascii="Arial" w:eastAsia="Arial" w:hAnsi="Arial" w:cs="Arial"/>
          <w:sz w:val="20"/>
          <w:szCs w:val="20"/>
        </w:rPr>
        <w:t xml:space="preserve"> </w:t>
      </w:r>
      <w:r w:rsidR="00B02396">
        <w:rPr>
          <w:rFonts w:ascii="Arial" w:eastAsia="Times New Roman" w:hAnsi="Arial" w:cs="Arial"/>
        </w:rPr>
        <w:t>REDACTED</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7" w:name="thw4kt" w:colFirst="0" w:colLast="0"/>
      <w:bookmarkEnd w:id="17"/>
      <w:r w:rsidRPr="00C95C24">
        <w:rPr>
          <w:rFonts w:ascii="Arial" w:eastAsia="Arial" w:hAnsi="Arial" w:cs="Arial"/>
          <w:b/>
          <w:smallCaps/>
          <w:sz w:val="24"/>
          <w:szCs w:val="24"/>
        </w:rPr>
        <w:lastRenderedPageBreak/>
        <w:t>Annex A</w:t>
      </w:r>
    </w:p>
    <w:p w14:paraId="141F1166" w14:textId="614A8F92" w:rsidR="009319AE" w:rsidRPr="009319AE" w:rsidRDefault="002E7F3C" w:rsidP="004A7D88">
      <w:pPr>
        <w:spacing w:after="100"/>
        <w:jc w:val="center"/>
        <w:rPr>
          <w:rFonts w:ascii="Arial" w:eastAsia="SimSun" w:hAnsi="Arial" w:cs="Times New Roman"/>
          <w:b/>
          <w:color w:val="auto"/>
          <w:sz w:val="24"/>
          <w:szCs w:val="24"/>
          <w:lang w:eastAsia="zh-CN"/>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bookmarkStart w:id="18" w:name="3dhjn8m" w:colFirst="0" w:colLast="0"/>
      <w:bookmarkEnd w:id="18"/>
    </w:p>
    <w:p w14:paraId="07968D38" w14:textId="2CA74095"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spacing w:after="200" w:line="276" w:lineRule="auto"/>
        <w:jc w:val="left"/>
        <w:rPr>
          <w:rFonts w:ascii="Arial" w:eastAsia="SimSun" w:hAnsi="Arial" w:cs="Times New Roman"/>
          <w:b/>
          <w:color w:val="auto"/>
          <w:sz w:val="36"/>
          <w:szCs w:val="36"/>
          <w:lang w:eastAsia="zh-CN"/>
        </w:rPr>
      </w:pPr>
    </w:p>
    <w:p w14:paraId="74865752" w14:textId="0472C21D" w:rsidR="009319AE" w:rsidRPr="009319AE" w:rsidRDefault="009319AE" w:rsidP="009319AE">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20"/>
        <w:textAlignment w:val="baseline"/>
        <w:outlineLvl w:val="0"/>
        <w:rPr>
          <w:rFonts w:ascii="Arial" w:eastAsia="STZhongsong" w:hAnsi="Arial" w:cs="Times New Roman"/>
          <w:b/>
          <w:caps/>
          <w:color w:val="auto"/>
          <w:lang w:eastAsia="zh-CN"/>
        </w:rPr>
      </w:pPr>
      <w:bookmarkStart w:id="19" w:name="_1fob9te" w:colFirst="0" w:colLast="0"/>
      <w:bookmarkStart w:id="20" w:name="_Toc297554772"/>
      <w:bookmarkEnd w:id="19"/>
    </w:p>
    <w:p w14:paraId="60D0E3DE" w14:textId="3F932873" w:rsidR="009319AE" w:rsidRPr="009319AE" w:rsidRDefault="009319AE" w:rsidP="00A1710D">
      <w:pPr>
        <w:keepNext/>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aps/>
          <w:color w:val="auto"/>
          <w:sz w:val="32"/>
          <w:szCs w:val="32"/>
          <w:lang w:eastAsia="zh-CN"/>
        </w:rPr>
      </w:pPr>
      <w:bookmarkStart w:id="21" w:name="_Toc368573027"/>
      <w:bookmarkStart w:id="22" w:name="_Toc522714834"/>
      <w:r w:rsidRPr="009319AE">
        <w:rPr>
          <w:rFonts w:ascii="Arial" w:eastAsia="STZhongsong" w:hAnsi="Arial" w:cs="Times New Roman"/>
          <w:b/>
          <w:color w:val="auto"/>
          <w:sz w:val="32"/>
          <w:szCs w:val="32"/>
          <w:lang w:eastAsia="zh-CN"/>
        </w:rPr>
        <w:t>PURPOSE</w:t>
      </w:r>
      <w:bookmarkEnd w:id="20"/>
      <w:bookmarkEnd w:id="21"/>
      <w:bookmarkEnd w:id="22"/>
    </w:p>
    <w:p w14:paraId="48C297E3" w14:textId="59583C81"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1"/>
        <w:rPr>
          <w:rFonts w:ascii="Arial" w:eastAsia="STZhongsong" w:hAnsi="Arial" w:cs="Times New Roman"/>
          <w:color w:val="auto"/>
          <w:sz w:val="24"/>
          <w:szCs w:val="24"/>
          <w:lang w:eastAsia="zh-CN"/>
        </w:rPr>
      </w:pPr>
      <w:bookmarkStart w:id="23" w:name="_Toc296415791"/>
      <w:r w:rsidRPr="009319AE">
        <w:rPr>
          <w:rFonts w:ascii="Arial" w:eastAsia="STZhongsong" w:hAnsi="Arial" w:cs="Times New Roman"/>
          <w:color w:val="auto"/>
          <w:sz w:val="24"/>
          <w:szCs w:val="24"/>
          <w:lang w:eastAsia="zh-CN"/>
        </w:rPr>
        <w:t>In July 2019, the greenhouse gas emissions target was updated – the UK must now reach net zero emission by 2050. This is expected to require greenhouse gas removal technologies to be deployed.</w:t>
      </w:r>
    </w:p>
    <w:p w14:paraId="6C49A9F1" w14:textId="418D7F7E"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National Infrastructure Commission wishes to appoint a specialist supplier to conduct a technical review of greenhouse gas removal technologies. This will be used to inform recommendations to the government </w:t>
      </w:r>
      <w:r w:rsidR="00E42CC4" w:rsidRPr="006317CF">
        <w:rPr>
          <w:rFonts w:ascii="Arial" w:eastAsia="STZhongsong" w:hAnsi="Arial" w:cs="Times New Roman"/>
          <w:color w:val="auto"/>
          <w:sz w:val="24"/>
          <w:szCs w:val="24"/>
          <w:lang w:eastAsia="zh-CN"/>
        </w:rPr>
        <w:t xml:space="preserve">on the policy mechanisms that will support investment in </w:t>
      </w:r>
      <w:r w:rsidR="00E42CC4" w:rsidRPr="009319AE">
        <w:rPr>
          <w:rFonts w:ascii="Arial" w:eastAsia="STZhongsong" w:hAnsi="Arial" w:cs="Times New Roman"/>
          <w:color w:val="auto"/>
          <w:sz w:val="24"/>
          <w:szCs w:val="24"/>
          <w:lang w:eastAsia="zh-CN"/>
        </w:rPr>
        <w:t>greenhouse gas removal technologies</w:t>
      </w:r>
      <w:r w:rsidR="00E42CC4" w:rsidRPr="00436BA1">
        <w:rPr>
          <w:rFonts w:ascii="Arial" w:eastAsia="STZhongsong" w:hAnsi="Arial" w:cs="Times New Roman"/>
          <w:color w:val="auto"/>
          <w:sz w:val="24"/>
          <w:szCs w:val="24"/>
          <w:lang w:eastAsia="zh-CN"/>
        </w:rPr>
        <w:t xml:space="preserve"> </w:t>
      </w:r>
      <w:r w:rsidR="00E42CC4" w:rsidRPr="006317CF">
        <w:rPr>
          <w:rFonts w:ascii="Arial" w:eastAsia="STZhongsong" w:hAnsi="Arial" w:cs="Times New Roman"/>
          <w:color w:val="auto"/>
          <w:sz w:val="24"/>
          <w:szCs w:val="24"/>
          <w:lang w:eastAsia="zh-CN"/>
        </w:rPr>
        <w:t>in the short, medium and long term</w:t>
      </w:r>
      <w:r w:rsidRPr="009319AE">
        <w:rPr>
          <w:rFonts w:ascii="Arial" w:eastAsia="STZhongsong" w:hAnsi="Arial" w:cs="Times New Roman"/>
          <w:color w:val="auto"/>
          <w:sz w:val="24"/>
          <w:szCs w:val="24"/>
          <w:lang w:eastAsia="zh-CN"/>
        </w:rPr>
        <w:t xml:space="preserve">. </w:t>
      </w:r>
    </w:p>
    <w:p w14:paraId="61097185" w14:textId="77777777" w:rsidR="009319AE" w:rsidRPr="009319AE" w:rsidRDefault="009319AE" w:rsidP="00643CD6">
      <w:p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1"/>
        <w:rPr>
          <w:rFonts w:ascii="Arial" w:eastAsia="STZhongsong" w:hAnsi="Arial" w:cs="Times New Roman"/>
          <w:color w:val="auto"/>
          <w:sz w:val="24"/>
          <w:szCs w:val="24"/>
          <w:highlight w:val="yellow"/>
          <w:lang w:eastAsia="zh-CN"/>
        </w:rPr>
      </w:pPr>
    </w:p>
    <w:p w14:paraId="4254D59B" w14:textId="30A4D4A8"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0"/>
        <w:rPr>
          <w:rFonts w:ascii="Arial" w:eastAsia="STZhongsong" w:hAnsi="Arial" w:cs="Times New Roman"/>
          <w:b/>
          <w:caps/>
          <w:color w:val="auto"/>
          <w:sz w:val="32"/>
          <w:szCs w:val="32"/>
          <w:lang w:eastAsia="zh-CN"/>
        </w:rPr>
      </w:pPr>
      <w:bookmarkStart w:id="24" w:name="_Toc368573028"/>
      <w:bookmarkStart w:id="25" w:name="_Toc522714835"/>
      <w:bookmarkStart w:id="26" w:name="_Toc297554773"/>
      <w:bookmarkStart w:id="27" w:name="_Toc296415805"/>
      <w:bookmarkStart w:id="28" w:name="_Toc296415793"/>
      <w:bookmarkEnd w:id="23"/>
      <w:r w:rsidRPr="004A7D88">
        <w:rPr>
          <w:rFonts w:ascii="Arial" w:eastAsia="STZhongsong" w:hAnsi="Arial" w:cs="Times New Roman"/>
          <w:b/>
          <w:caps/>
          <w:color w:val="auto"/>
          <w:sz w:val="32"/>
          <w:szCs w:val="32"/>
          <w:lang w:eastAsia="zh-CN"/>
        </w:rPr>
        <w:t>BACKGROUND TO THE CONTRACTING aUTHORITY</w:t>
      </w:r>
      <w:bookmarkEnd w:id="24"/>
      <w:bookmarkEnd w:id="25"/>
    </w:p>
    <w:p w14:paraId="4B93706D"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National Infrastructure Commission (“NIC”, “The Commission”) is an independent body which provides the government with expert advice on major long-term infrastructure challenges. </w:t>
      </w:r>
    </w:p>
    <w:p w14:paraId="724CEC9F"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objectives of the Commission are to support sustainable economic growth across all regions of the UK, improve competitiveness and improve quality of life. The Commission’s remit covers six sectors of infrastructure: transport, energy, water and wastewater, digital communication, solid waste and flood risk management. </w:t>
      </w:r>
    </w:p>
    <w:p w14:paraId="0C1E869A"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Once a parliament, the Commission undertakes a National Infrastructure Assessment and sets out recommendations to the government on how to address long-term infrastructure needs. The first National Infrastructure Assessment was published in July 2018.</w:t>
      </w:r>
    </w:p>
    <w:p w14:paraId="0A1E78B9"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Commission also undertakes in-depth studies into the UK’s most pressing infrastructure challenges and monitors the government’s progress in delivering infrastructure projects and programmes recommended by the Commission. </w:t>
      </w:r>
    </w:p>
    <w:p w14:paraId="4E09FC37"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color w:val="auto"/>
          <w:sz w:val="24"/>
          <w:szCs w:val="24"/>
          <w:lang w:eastAsia="zh-CN"/>
        </w:rPr>
      </w:pPr>
    </w:p>
    <w:p w14:paraId="701DADDB" w14:textId="0460502D"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0"/>
        <w:rPr>
          <w:rFonts w:ascii="Arial" w:eastAsia="STZhongsong" w:hAnsi="Arial" w:cs="Times New Roman"/>
          <w:b/>
          <w:caps/>
          <w:color w:val="auto"/>
          <w:sz w:val="32"/>
          <w:szCs w:val="32"/>
          <w:lang w:eastAsia="zh-CN"/>
        </w:rPr>
      </w:pPr>
      <w:bookmarkStart w:id="29" w:name="_Toc368573029"/>
      <w:bookmarkStart w:id="30" w:name="_Toc522714836"/>
      <w:r w:rsidRPr="004A7D88">
        <w:rPr>
          <w:rFonts w:ascii="Arial" w:eastAsia="STZhongsong" w:hAnsi="Arial" w:cs="Times New Roman"/>
          <w:b/>
          <w:caps/>
          <w:color w:val="auto"/>
          <w:sz w:val="32"/>
          <w:szCs w:val="32"/>
          <w:lang w:eastAsia="zh-CN"/>
        </w:rPr>
        <w:t>Background to requirement/OVERVIEW</w:t>
      </w:r>
      <w:bookmarkEnd w:id="26"/>
      <w:r w:rsidRPr="004A7D88">
        <w:rPr>
          <w:rFonts w:ascii="Arial" w:eastAsia="STZhongsong" w:hAnsi="Arial" w:cs="Times New Roman"/>
          <w:b/>
          <w:caps/>
          <w:color w:val="auto"/>
          <w:sz w:val="32"/>
          <w:szCs w:val="32"/>
          <w:lang w:eastAsia="zh-CN"/>
        </w:rPr>
        <w:t xml:space="preserve"> of requirement</w:t>
      </w:r>
      <w:bookmarkEnd w:id="29"/>
      <w:bookmarkEnd w:id="30"/>
    </w:p>
    <w:p w14:paraId="3DA3AFA2"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adjustRightInd w:val="0"/>
        <w:spacing w:after="120"/>
        <w:outlineLvl w:val="1"/>
        <w:rPr>
          <w:rFonts w:ascii="Arial" w:eastAsia="STZhongsong" w:hAnsi="Arial" w:cs="Times New Roman"/>
          <w:color w:val="auto"/>
          <w:sz w:val="24"/>
          <w:szCs w:val="24"/>
          <w:lang w:eastAsia="zh-CN"/>
        </w:rPr>
      </w:pPr>
      <w:bookmarkStart w:id="31" w:name="_Toc297554774"/>
      <w:bookmarkEnd w:id="27"/>
      <w:r w:rsidRPr="009319AE">
        <w:rPr>
          <w:rFonts w:ascii="Arial" w:eastAsia="STZhongsong" w:hAnsi="Arial" w:cs="Times New Roman"/>
          <w:color w:val="auto"/>
          <w:sz w:val="24"/>
          <w:szCs w:val="24"/>
          <w:lang w:eastAsia="zh-CN"/>
        </w:rPr>
        <w:t xml:space="preserve">In July 2019, the UK government passed legislation to update the 2050 greenhouse gas emissions target – the UK must now reach net zero emissions by 2050. Doing this will require a range of new technologies and infrastructure to be deployed. </w:t>
      </w:r>
    </w:p>
    <w:p w14:paraId="4B95A41B"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The Commission has been asked by government to carry out a study into greenhouse gas removal (GGR) technologies. This procurement will be a key input into the development of the Commission’s recommendations to government on this topic.</w:t>
      </w:r>
    </w:p>
    <w:p w14:paraId="46C579DF"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lastRenderedPageBreak/>
        <w:t xml:space="preserve">GGR technologies remove greenhouse gases from the atmosphere. The most viable methods are considered to be Bioenergy with Carbon Capture and Storage (BECCS) and Direct Air Carbon Capture and Storage (DACCS). Other ‘nature-based’ options for removing greenhouse gases, such as soil treatment and afforestation, are outside of the scope of this work. </w:t>
      </w:r>
    </w:p>
    <w:p w14:paraId="551757C6" w14:textId="77777777" w:rsidR="00AA0582" w:rsidRPr="006317CF" w:rsidRDefault="00AA0582" w:rsidP="006317CF">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adjustRightInd w:val="0"/>
        <w:spacing w:after="120"/>
        <w:outlineLvl w:val="1"/>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t>GGR technologies are still at a nascent stage of development. By conducting a technical review of the existing evidence, this procurement will synthesise the latest evidence base on the policy mechanisms that will be needed to facilitate investment in the technologies.</w:t>
      </w:r>
    </w:p>
    <w:p w14:paraId="7D5DDBE1"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color w:val="auto"/>
          <w:sz w:val="24"/>
          <w:szCs w:val="24"/>
          <w:lang w:eastAsia="zh-CN"/>
        </w:rPr>
      </w:pPr>
    </w:p>
    <w:p w14:paraId="14C93C74" w14:textId="45BDACDE"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0"/>
        <w:rPr>
          <w:rFonts w:ascii="Arial" w:eastAsia="STZhongsong" w:hAnsi="Arial" w:cs="Times New Roman"/>
          <w:b/>
          <w:caps/>
          <w:color w:val="auto"/>
          <w:sz w:val="32"/>
          <w:szCs w:val="32"/>
          <w:lang w:eastAsia="zh-CN"/>
        </w:rPr>
      </w:pPr>
      <w:bookmarkStart w:id="32" w:name="_Toc522714837"/>
      <w:bookmarkStart w:id="33" w:name="_Toc368573030"/>
      <w:r w:rsidRPr="004A7D88">
        <w:rPr>
          <w:rFonts w:ascii="Arial" w:eastAsia="STZhongsong" w:hAnsi="Arial" w:cs="Times New Roman"/>
          <w:b/>
          <w:caps/>
          <w:color w:val="auto"/>
          <w:sz w:val="32"/>
          <w:szCs w:val="32"/>
          <w:lang w:eastAsia="zh-CN"/>
        </w:rPr>
        <w:t>definitions</w:t>
      </w:r>
      <w:bookmarkEnd w:id="32"/>
      <w:r w:rsidRPr="004A7D88">
        <w:rPr>
          <w:rFonts w:ascii="Arial" w:eastAsia="STZhongsong" w:hAnsi="Arial" w:cs="Times New Roman"/>
          <w:b/>
          <w:caps/>
          <w:color w:val="auto"/>
          <w:sz w:val="32"/>
          <w:szCs w:val="32"/>
          <w:lang w:eastAsia="zh-CN"/>
        </w:rPr>
        <w:t xml:space="preserve"> </w:t>
      </w:r>
    </w:p>
    <w:tbl>
      <w:tblPr>
        <w:tblStyle w:val="TableGrid"/>
        <w:tblW w:w="0" w:type="auto"/>
        <w:tblInd w:w="720" w:type="dxa"/>
        <w:tblLook w:val="04A0" w:firstRow="1" w:lastRow="0" w:firstColumn="1" w:lastColumn="0" w:noHBand="0" w:noVBand="1"/>
      </w:tblPr>
      <w:tblGrid>
        <w:gridCol w:w="2323"/>
        <w:gridCol w:w="5976"/>
      </w:tblGrid>
      <w:tr w:rsidR="009319AE" w:rsidRPr="009319AE" w14:paraId="62B573CF" w14:textId="77777777" w:rsidTr="009319AE">
        <w:tc>
          <w:tcPr>
            <w:tcW w:w="2323" w:type="dxa"/>
            <w:shd w:val="clear" w:color="auto" w:fill="B8CCE4"/>
          </w:tcPr>
          <w:p w14:paraId="0720EF68" w14:textId="77777777" w:rsidR="009319AE" w:rsidRPr="009319AE" w:rsidRDefault="009319AE" w:rsidP="009319AE">
            <w:pPr>
              <w:spacing w:after="120"/>
              <w:ind w:left="18" w:hanging="18"/>
              <w:jc w:val="left"/>
              <w:outlineLvl w:val="1"/>
              <w:rPr>
                <w:rFonts w:ascii="Arial" w:eastAsia="STZhongsong" w:hAnsi="Arial"/>
                <w:b/>
                <w:sz w:val="24"/>
                <w:szCs w:val="24"/>
                <w:highlight w:val="yellow"/>
                <w:lang w:eastAsia="zh-CN"/>
              </w:rPr>
            </w:pPr>
            <w:r w:rsidRPr="009319AE">
              <w:rPr>
                <w:rFonts w:ascii="Arial" w:eastAsia="STZhongsong" w:hAnsi="Arial"/>
                <w:b/>
                <w:sz w:val="24"/>
                <w:szCs w:val="24"/>
                <w:lang w:eastAsia="zh-CN"/>
              </w:rPr>
              <w:t>Expression or Acronym</w:t>
            </w:r>
          </w:p>
        </w:tc>
        <w:tc>
          <w:tcPr>
            <w:tcW w:w="5976" w:type="dxa"/>
            <w:shd w:val="clear" w:color="auto" w:fill="B8CCE4"/>
          </w:tcPr>
          <w:p w14:paraId="158D2447" w14:textId="77777777" w:rsidR="009319AE" w:rsidRPr="009319AE" w:rsidRDefault="009319AE" w:rsidP="009319AE">
            <w:pPr>
              <w:spacing w:after="120"/>
              <w:ind w:left="720" w:hanging="720"/>
              <w:outlineLvl w:val="1"/>
              <w:rPr>
                <w:rFonts w:ascii="Arial" w:eastAsia="STZhongsong" w:hAnsi="Arial"/>
                <w:b/>
                <w:sz w:val="24"/>
                <w:szCs w:val="24"/>
                <w:highlight w:val="yellow"/>
                <w:lang w:eastAsia="zh-CN"/>
              </w:rPr>
            </w:pPr>
            <w:r w:rsidRPr="009319AE">
              <w:rPr>
                <w:rFonts w:ascii="Arial" w:eastAsia="STZhongsong" w:hAnsi="Arial"/>
                <w:b/>
                <w:sz w:val="24"/>
                <w:szCs w:val="24"/>
                <w:lang w:eastAsia="zh-CN"/>
              </w:rPr>
              <w:t>Definition</w:t>
            </w:r>
          </w:p>
        </w:tc>
      </w:tr>
      <w:tr w:rsidR="009319AE" w:rsidRPr="009319AE" w14:paraId="1D60F311" w14:textId="77777777" w:rsidTr="00770A67">
        <w:tc>
          <w:tcPr>
            <w:tcW w:w="2323" w:type="dxa"/>
          </w:tcPr>
          <w:p w14:paraId="6628B8FE" w14:textId="77777777" w:rsidR="009319AE" w:rsidRPr="009319AE" w:rsidRDefault="009319AE" w:rsidP="009319AE">
            <w:pPr>
              <w:spacing w:after="120"/>
              <w:ind w:left="720" w:hanging="720"/>
              <w:outlineLvl w:val="1"/>
              <w:rPr>
                <w:rFonts w:ascii="Arial" w:eastAsia="STZhongsong" w:hAnsi="Arial"/>
                <w:sz w:val="24"/>
                <w:szCs w:val="24"/>
                <w:lang w:eastAsia="zh-CN"/>
              </w:rPr>
            </w:pPr>
            <w:r w:rsidRPr="009319AE">
              <w:rPr>
                <w:rFonts w:ascii="Arial" w:eastAsia="STZhongsong" w:hAnsi="Arial"/>
                <w:sz w:val="24"/>
                <w:szCs w:val="24"/>
                <w:lang w:eastAsia="zh-CN"/>
              </w:rPr>
              <w:t>NIC, Commission, Customer, Authority</w:t>
            </w:r>
          </w:p>
        </w:tc>
        <w:tc>
          <w:tcPr>
            <w:tcW w:w="5976" w:type="dxa"/>
          </w:tcPr>
          <w:p w14:paraId="434DDE96" w14:textId="77777777" w:rsidR="009319AE" w:rsidRPr="009319AE" w:rsidRDefault="009319AE" w:rsidP="009319AE">
            <w:pPr>
              <w:spacing w:after="120"/>
              <w:outlineLvl w:val="1"/>
              <w:rPr>
                <w:rFonts w:ascii="Arial" w:eastAsia="STZhongsong" w:hAnsi="Arial"/>
                <w:sz w:val="24"/>
                <w:szCs w:val="24"/>
                <w:lang w:eastAsia="zh-CN"/>
              </w:rPr>
            </w:pPr>
            <w:r w:rsidRPr="009319AE">
              <w:rPr>
                <w:rFonts w:ascii="Arial" w:eastAsia="STZhongsong" w:hAnsi="Arial"/>
                <w:sz w:val="24"/>
                <w:szCs w:val="24"/>
                <w:lang w:eastAsia="zh-CN"/>
              </w:rPr>
              <w:t>National Infrastructure Commission</w:t>
            </w:r>
          </w:p>
        </w:tc>
      </w:tr>
      <w:tr w:rsidR="009319AE" w:rsidRPr="009319AE" w14:paraId="3CC92398" w14:textId="77777777" w:rsidTr="00770A67">
        <w:tc>
          <w:tcPr>
            <w:tcW w:w="2323" w:type="dxa"/>
          </w:tcPr>
          <w:p w14:paraId="2B598D19" w14:textId="77777777" w:rsidR="009319AE" w:rsidRPr="009319AE" w:rsidRDefault="009319AE" w:rsidP="009319AE">
            <w:pPr>
              <w:spacing w:after="120"/>
              <w:ind w:left="720" w:hanging="720"/>
              <w:outlineLvl w:val="1"/>
              <w:rPr>
                <w:rFonts w:ascii="Arial" w:eastAsia="STZhongsong" w:hAnsi="Arial"/>
                <w:sz w:val="24"/>
                <w:szCs w:val="24"/>
                <w:lang w:eastAsia="zh-CN"/>
              </w:rPr>
            </w:pPr>
            <w:r w:rsidRPr="009319AE">
              <w:rPr>
                <w:rFonts w:ascii="Arial" w:eastAsia="STZhongsong" w:hAnsi="Arial"/>
                <w:sz w:val="24"/>
                <w:szCs w:val="24"/>
                <w:lang w:eastAsia="zh-CN"/>
              </w:rPr>
              <w:t>Supplier</w:t>
            </w:r>
          </w:p>
        </w:tc>
        <w:tc>
          <w:tcPr>
            <w:tcW w:w="5976" w:type="dxa"/>
          </w:tcPr>
          <w:p w14:paraId="2586BB38" w14:textId="77777777" w:rsidR="009319AE" w:rsidRPr="009319AE" w:rsidRDefault="009319AE" w:rsidP="009319AE">
            <w:pPr>
              <w:spacing w:after="120"/>
              <w:jc w:val="left"/>
              <w:outlineLvl w:val="1"/>
              <w:rPr>
                <w:rFonts w:ascii="Arial" w:eastAsia="STZhongsong" w:hAnsi="Arial"/>
                <w:sz w:val="24"/>
                <w:szCs w:val="24"/>
                <w:lang w:eastAsia="zh-CN"/>
              </w:rPr>
            </w:pPr>
            <w:r w:rsidRPr="009319AE">
              <w:rPr>
                <w:rFonts w:ascii="Arial" w:eastAsia="STZhongsong" w:hAnsi="Arial"/>
                <w:sz w:val="24"/>
                <w:szCs w:val="24"/>
                <w:lang w:eastAsia="zh-CN"/>
              </w:rPr>
              <w:t>The supplier who is awarded the contract to deliver the services set out in this specification.</w:t>
            </w:r>
          </w:p>
        </w:tc>
      </w:tr>
      <w:tr w:rsidR="009319AE" w:rsidRPr="009319AE" w14:paraId="7CFCBB90" w14:textId="77777777" w:rsidTr="00770A67">
        <w:tc>
          <w:tcPr>
            <w:tcW w:w="2323" w:type="dxa"/>
          </w:tcPr>
          <w:p w14:paraId="0B67464E" w14:textId="77777777" w:rsidR="009319AE" w:rsidRPr="009319AE" w:rsidRDefault="009319AE" w:rsidP="009319AE">
            <w:pPr>
              <w:spacing w:after="120"/>
              <w:ind w:left="720" w:hanging="720"/>
              <w:outlineLvl w:val="1"/>
              <w:rPr>
                <w:rFonts w:ascii="Arial" w:eastAsia="STZhongsong" w:hAnsi="Arial"/>
                <w:sz w:val="24"/>
                <w:szCs w:val="24"/>
                <w:lang w:eastAsia="zh-CN"/>
              </w:rPr>
            </w:pPr>
            <w:r w:rsidRPr="009319AE">
              <w:rPr>
                <w:rFonts w:ascii="Arial" w:eastAsia="STZhongsong" w:hAnsi="Arial"/>
                <w:sz w:val="24"/>
                <w:szCs w:val="24"/>
                <w:lang w:eastAsia="zh-CN"/>
              </w:rPr>
              <w:t>BECCS</w:t>
            </w:r>
          </w:p>
        </w:tc>
        <w:tc>
          <w:tcPr>
            <w:tcW w:w="5976" w:type="dxa"/>
          </w:tcPr>
          <w:p w14:paraId="1400C7C6" w14:textId="77777777" w:rsidR="009319AE" w:rsidRPr="009319AE" w:rsidRDefault="009319AE" w:rsidP="009319AE">
            <w:pPr>
              <w:spacing w:after="120"/>
              <w:jc w:val="left"/>
              <w:outlineLvl w:val="1"/>
              <w:rPr>
                <w:rFonts w:ascii="Arial" w:eastAsia="STZhongsong" w:hAnsi="Arial"/>
                <w:sz w:val="24"/>
                <w:szCs w:val="24"/>
                <w:lang w:eastAsia="zh-CN"/>
              </w:rPr>
            </w:pPr>
            <w:r w:rsidRPr="009319AE">
              <w:rPr>
                <w:rFonts w:ascii="Arial" w:eastAsia="STZhongsong" w:hAnsi="Arial"/>
                <w:sz w:val="24"/>
                <w:szCs w:val="24"/>
                <w:lang w:eastAsia="zh-CN"/>
              </w:rPr>
              <w:t>Bioenergy with Carbon Capture and Storage captures and then stores the CO</w:t>
            </w:r>
            <w:r w:rsidRPr="009319AE">
              <w:rPr>
                <w:rFonts w:ascii="Arial" w:eastAsia="STZhongsong" w:hAnsi="Arial"/>
                <w:sz w:val="24"/>
                <w:szCs w:val="24"/>
                <w:vertAlign w:val="subscript"/>
                <w:lang w:eastAsia="zh-CN"/>
              </w:rPr>
              <w:t>2</w:t>
            </w:r>
            <w:r w:rsidRPr="009319AE">
              <w:rPr>
                <w:rFonts w:ascii="Arial" w:eastAsia="STZhongsong" w:hAnsi="Arial"/>
                <w:sz w:val="24"/>
                <w:szCs w:val="24"/>
                <w:lang w:eastAsia="zh-CN"/>
              </w:rPr>
              <w:t xml:space="preserve"> emitted when biomass is combusted.</w:t>
            </w:r>
          </w:p>
        </w:tc>
      </w:tr>
      <w:tr w:rsidR="009319AE" w:rsidRPr="009319AE" w14:paraId="733C6DEF" w14:textId="77777777" w:rsidTr="00770A67">
        <w:tc>
          <w:tcPr>
            <w:tcW w:w="2323" w:type="dxa"/>
          </w:tcPr>
          <w:p w14:paraId="06B46BD7" w14:textId="77777777" w:rsidR="009319AE" w:rsidRPr="009319AE" w:rsidRDefault="009319AE" w:rsidP="009319AE">
            <w:pPr>
              <w:spacing w:after="120"/>
              <w:ind w:left="720" w:hanging="720"/>
              <w:outlineLvl w:val="1"/>
              <w:rPr>
                <w:rFonts w:ascii="Arial" w:eastAsia="STZhongsong" w:hAnsi="Arial"/>
                <w:sz w:val="24"/>
                <w:szCs w:val="24"/>
                <w:lang w:eastAsia="zh-CN"/>
              </w:rPr>
            </w:pPr>
            <w:r w:rsidRPr="009319AE">
              <w:rPr>
                <w:rFonts w:ascii="Arial" w:eastAsia="STZhongsong" w:hAnsi="Arial"/>
                <w:sz w:val="24"/>
                <w:szCs w:val="24"/>
                <w:lang w:eastAsia="zh-CN"/>
              </w:rPr>
              <w:t>DACCS</w:t>
            </w:r>
          </w:p>
        </w:tc>
        <w:tc>
          <w:tcPr>
            <w:tcW w:w="5976" w:type="dxa"/>
          </w:tcPr>
          <w:p w14:paraId="5299D991" w14:textId="77777777" w:rsidR="009319AE" w:rsidRPr="009319AE" w:rsidRDefault="009319AE" w:rsidP="009319AE">
            <w:pPr>
              <w:spacing w:after="120"/>
              <w:jc w:val="left"/>
              <w:outlineLvl w:val="1"/>
              <w:rPr>
                <w:rFonts w:ascii="Arial" w:eastAsia="STZhongsong" w:hAnsi="Arial"/>
                <w:sz w:val="24"/>
                <w:szCs w:val="24"/>
                <w:lang w:eastAsia="zh-CN"/>
              </w:rPr>
            </w:pPr>
            <w:r w:rsidRPr="009319AE">
              <w:rPr>
                <w:rFonts w:ascii="Arial" w:eastAsia="STZhongsong" w:hAnsi="Arial"/>
                <w:sz w:val="24"/>
                <w:szCs w:val="24"/>
                <w:lang w:eastAsia="zh-CN"/>
              </w:rPr>
              <w:t>Direct Air Carbon Capture and Storage is the name given to different technologies that can be used to absorb CO</w:t>
            </w:r>
            <w:r w:rsidRPr="009319AE">
              <w:rPr>
                <w:rFonts w:ascii="Arial" w:eastAsia="STZhongsong" w:hAnsi="Arial"/>
                <w:sz w:val="24"/>
                <w:szCs w:val="24"/>
                <w:vertAlign w:val="subscript"/>
                <w:lang w:eastAsia="zh-CN"/>
              </w:rPr>
              <w:t>2</w:t>
            </w:r>
            <w:r w:rsidRPr="009319AE">
              <w:rPr>
                <w:rFonts w:ascii="Arial" w:eastAsia="STZhongsong" w:hAnsi="Arial"/>
                <w:sz w:val="24"/>
                <w:szCs w:val="24"/>
                <w:lang w:eastAsia="zh-CN"/>
              </w:rPr>
              <w:t xml:space="preserve"> directly from the atmosphere using chemical bonding. The captured CO</w:t>
            </w:r>
            <w:r w:rsidRPr="009319AE">
              <w:rPr>
                <w:rFonts w:ascii="Arial" w:eastAsia="STZhongsong" w:hAnsi="Arial"/>
                <w:sz w:val="24"/>
                <w:szCs w:val="24"/>
                <w:vertAlign w:val="subscript"/>
                <w:lang w:eastAsia="zh-CN"/>
              </w:rPr>
              <w:t>2</w:t>
            </w:r>
            <w:r w:rsidRPr="009319AE">
              <w:rPr>
                <w:rFonts w:ascii="Arial" w:eastAsia="STZhongsong" w:hAnsi="Arial"/>
                <w:sz w:val="24"/>
                <w:szCs w:val="24"/>
                <w:lang w:eastAsia="zh-CN"/>
              </w:rPr>
              <w:t xml:space="preserve"> can then be stored.</w:t>
            </w:r>
          </w:p>
        </w:tc>
      </w:tr>
    </w:tbl>
    <w:p w14:paraId="705256FE" w14:textId="77777777" w:rsidR="009319AE" w:rsidRPr="009319AE" w:rsidRDefault="009319AE" w:rsidP="009319AE">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120"/>
        <w:ind w:left="720"/>
        <w:textAlignment w:val="baseline"/>
        <w:outlineLvl w:val="0"/>
        <w:rPr>
          <w:rFonts w:ascii="Arial" w:eastAsia="STZhongsong" w:hAnsi="Arial" w:cs="Times New Roman"/>
          <w:b/>
          <w:caps/>
          <w:color w:val="auto"/>
          <w:sz w:val="32"/>
          <w:szCs w:val="32"/>
          <w:lang w:eastAsia="zh-CN"/>
        </w:rPr>
      </w:pPr>
      <w:bookmarkStart w:id="34" w:name="_Toc522714838"/>
    </w:p>
    <w:p w14:paraId="21E04124" w14:textId="4ACC4D9E"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120"/>
        <w:textAlignment w:val="baseline"/>
        <w:outlineLvl w:val="0"/>
        <w:rPr>
          <w:rFonts w:ascii="Arial" w:eastAsia="STZhongsong" w:hAnsi="Arial" w:cs="Times New Roman"/>
          <w:b/>
          <w:caps/>
          <w:color w:val="auto"/>
          <w:sz w:val="32"/>
          <w:szCs w:val="32"/>
          <w:lang w:eastAsia="zh-CN"/>
        </w:rPr>
      </w:pPr>
      <w:r w:rsidRPr="004A7D88">
        <w:rPr>
          <w:rFonts w:ascii="Arial" w:eastAsia="STZhongsong" w:hAnsi="Arial" w:cs="Times New Roman"/>
          <w:b/>
          <w:caps/>
          <w:color w:val="auto"/>
          <w:sz w:val="32"/>
          <w:szCs w:val="32"/>
          <w:lang w:eastAsia="zh-CN"/>
        </w:rPr>
        <w:t>scope of requirement</w:t>
      </w:r>
      <w:bookmarkEnd w:id="31"/>
      <w:bookmarkEnd w:id="33"/>
      <w:bookmarkEnd w:id="34"/>
      <w:r w:rsidRPr="004A7D88">
        <w:rPr>
          <w:rFonts w:ascii="Arial" w:eastAsia="STZhongsong" w:hAnsi="Arial" w:cs="Times New Roman"/>
          <w:b/>
          <w:caps/>
          <w:color w:val="auto"/>
          <w:sz w:val="32"/>
          <w:szCs w:val="32"/>
          <w:lang w:eastAsia="zh-CN"/>
        </w:rPr>
        <w:t xml:space="preserve"> </w:t>
      </w:r>
    </w:p>
    <w:bookmarkEnd w:id="28"/>
    <w:p w14:paraId="332FC717"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62"/>
        </w:tabs>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primary objective is to synthesise existing evidence in order to provide a source of information and data to support the Commission in making recommendations related to the rollout of GGR technologies. </w:t>
      </w:r>
    </w:p>
    <w:p w14:paraId="4AF57BFF" w14:textId="5C99CF49"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62"/>
        </w:tabs>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work will synthesise the latest evidence on the ability of BECCS and DACCS to deliver greenhouse gas removals. In delivering this, the Supplier will be expected to collect quantitative and qualitative evidence through a review of existing literature and engagement. </w:t>
      </w:r>
    </w:p>
    <w:p w14:paraId="0A08F784" w14:textId="77777777" w:rsidR="00551518" w:rsidRPr="006317CF" w:rsidRDefault="00551518" w:rsidP="006317CF">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62"/>
        </w:tabs>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t>To achieve this objective gathering information on the following is within scope. Areas for research will be agreed between the Supplier and the Authority at the project inception meeting.</w:t>
      </w:r>
    </w:p>
    <w:p w14:paraId="150C4245" w14:textId="77777777" w:rsidR="00551518" w:rsidRPr="006317CF" w:rsidRDefault="00551518" w:rsidP="006317CF">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t>Policy mechanisms that can support investment in ‘first of a kind’ GGR projects in the medium term and in a maturing industry.</w:t>
      </w:r>
    </w:p>
    <w:p w14:paraId="12571734" w14:textId="77777777" w:rsidR="00551518" w:rsidRPr="006317CF" w:rsidRDefault="00551518" w:rsidP="006317CF">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lastRenderedPageBreak/>
        <w:t>Design features of the policy mechanisms, strengths and limitations, prerequisites such as any enabling policies, possible trade-offs and unintended consequences.</w:t>
      </w:r>
    </w:p>
    <w:p w14:paraId="3221D9F8" w14:textId="77777777" w:rsidR="00551518" w:rsidRPr="006317CF" w:rsidRDefault="00551518" w:rsidP="006317CF">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t>The revenue generating potential of the policy mechanisms.</w:t>
      </w:r>
    </w:p>
    <w:p w14:paraId="57B3BBC9" w14:textId="77777777" w:rsidR="00551518" w:rsidRPr="006317CF" w:rsidRDefault="00551518" w:rsidP="006317CF">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t>Complementary mechanisms that will enable the effective implementation of the primary policy mechanisms.</w:t>
      </w:r>
    </w:p>
    <w:p w14:paraId="2537ECCE" w14:textId="63E917F7" w:rsidR="00551518" w:rsidRPr="006317CF" w:rsidRDefault="00551518" w:rsidP="006317CF">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t>Key factors that will be critical to evolution of the policy mechanisms and enabling increased private sector investment in GGRs as the industry transitions from investment in ‘first of a kind’ projects to a maturing sector</w:t>
      </w:r>
      <w:r>
        <w:rPr>
          <w:rFonts w:ascii="Arial" w:eastAsia="STZhongsong" w:hAnsi="Arial" w:cs="Times New Roman"/>
          <w:color w:val="auto"/>
          <w:sz w:val="24"/>
          <w:szCs w:val="24"/>
          <w:lang w:eastAsia="zh-CN"/>
        </w:rPr>
        <w:t>.</w:t>
      </w:r>
    </w:p>
    <w:p w14:paraId="67196962"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09"/>
        <w:textAlignment w:val="baseline"/>
        <w:outlineLvl w:val="1"/>
        <w:rPr>
          <w:rFonts w:ascii="Arial" w:eastAsia="STZhongsong" w:hAnsi="Arial" w:cs="Times New Roman"/>
          <w:color w:val="auto"/>
          <w:sz w:val="24"/>
          <w:szCs w:val="24"/>
          <w:lang w:eastAsia="zh-CN"/>
        </w:rPr>
      </w:pPr>
    </w:p>
    <w:p w14:paraId="54ECC3B8" w14:textId="79B92186"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adjustRightInd w:val="0"/>
        <w:spacing w:after="120"/>
        <w:outlineLvl w:val="0"/>
        <w:rPr>
          <w:rFonts w:ascii="Arial" w:eastAsia="STZhongsong" w:hAnsi="Arial" w:cs="Times New Roman"/>
          <w:b/>
          <w:caps/>
          <w:color w:val="auto"/>
          <w:sz w:val="32"/>
          <w:szCs w:val="32"/>
          <w:lang w:eastAsia="zh-CN"/>
        </w:rPr>
      </w:pPr>
      <w:bookmarkStart w:id="35" w:name="_Toc368573031"/>
      <w:bookmarkStart w:id="36" w:name="_Toc522714839"/>
      <w:r w:rsidRPr="004A7D88">
        <w:rPr>
          <w:rFonts w:ascii="Arial" w:eastAsia="STZhongsong" w:hAnsi="Arial" w:cs="Times New Roman"/>
          <w:b/>
          <w:caps/>
          <w:color w:val="auto"/>
          <w:sz w:val="32"/>
          <w:szCs w:val="32"/>
          <w:lang w:eastAsia="zh-CN"/>
        </w:rPr>
        <w:t>The requirement</w:t>
      </w:r>
      <w:bookmarkEnd w:id="35"/>
      <w:bookmarkEnd w:id="36"/>
    </w:p>
    <w:p w14:paraId="1A1D51FF"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key output of the work will be a report which summarises and synthesises the evidence found that meets the above criteria. In particular it is expected the supplier will provide the Authority with: </w:t>
      </w:r>
    </w:p>
    <w:p w14:paraId="71DF698B" w14:textId="2ACBF0A7" w:rsidR="009319AE" w:rsidRPr="00643CD6" w:rsidRDefault="009319AE" w:rsidP="00A1710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643CD6">
        <w:rPr>
          <w:rFonts w:ascii="Arial" w:eastAsia="STZhongsong" w:hAnsi="Arial" w:cs="Times New Roman"/>
          <w:color w:val="auto"/>
          <w:sz w:val="24"/>
          <w:szCs w:val="24"/>
          <w:lang w:eastAsia="zh-CN"/>
        </w:rPr>
        <w:t>A final report which summarises the overall findings. This will be published on the Authority's website and therefore needs to be drafted to a publishable standard, with the messaging clear, concise, and</w:t>
      </w:r>
      <w:r w:rsidR="00436BA1">
        <w:rPr>
          <w:rFonts w:ascii="Arial" w:eastAsia="STZhongsong" w:hAnsi="Arial" w:cs="Times New Roman"/>
          <w:color w:val="auto"/>
          <w:sz w:val="24"/>
          <w:szCs w:val="24"/>
          <w:lang w:eastAsia="zh-CN"/>
        </w:rPr>
        <w:t xml:space="preserve"> </w:t>
      </w:r>
      <w:r w:rsidRPr="00643CD6">
        <w:rPr>
          <w:rFonts w:ascii="Arial" w:eastAsia="STZhongsong" w:hAnsi="Arial" w:cs="Times New Roman"/>
          <w:color w:val="auto"/>
          <w:sz w:val="24"/>
          <w:szCs w:val="24"/>
          <w:lang w:eastAsia="zh-CN"/>
        </w:rPr>
        <w:t xml:space="preserve">comprehensive. </w:t>
      </w:r>
    </w:p>
    <w:p w14:paraId="197C80A8" w14:textId="77777777" w:rsidR="00436BA1" w:rsidRPr="006317CF" w:rsidRDefault="00436BA1" w:rsidP="006317C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6317CF">
        <w:rPr>
          <w:rFonts w:ascii="Arial" w:eastAsia="STZhongsong" w:hAnsi="Arial" w:cs="Times New Roman"/>
          <w:color w:val="auto"/>
          <w:sz w:val="24"/>
          <w:szCs w:val="24"/>
          <w:lang w:eastAsia="zh-CN"/>
        </w:rPr>
        <w:t xml:space="preserve">Key insights from the work on an ongoing basis. This is important so that this work can be effectively integrated into the Commission’s wider study. </w:t>
      </w:r>
    </w:p>
    <w:p w14:paraId="28CD1CC0"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Given the level of detail required for this work it is expected that any Supplier will have a strong track record in delivering similar projects. </w:t>
      </w:r>
    </w:p>
    <w:p w14:paraId="5FD4A90C"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Where data or evidence from external sources is not freely available the cost of this will be borne by the Supplier.</w:t>
      </w:r>
    </w:p>
    <w:p w14:paraId="7C660D25" w14:textId="77777777" w:rsidR="009319AE" w:rsidRPr="009319AE" w:rsidRDefault="009319AE" w:rsidP="00643CD6">
      <w:p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p>
    <w:p w14:paraId="721331D5" w14:textId="343D5595"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adjustRightInd w:val="0"/>
        <w:spacing w:after="120"/>
        <w:outlineLvl w:val="0"/>
        <w:rPr>
          <w:rFonts w:ascii="Arial" w:eastAsia="STZhongsong" w:hAnsi="Arial" w:cs="Times New Roman"/>
          <w:b/>
          <w:caps/>
          <w:color w:val="auto"/>
          <w:sz w:val="32"/>
          <w:szCs w:val="32"/>
          <w:lang w:eastAsia="zh-CN"/>
        </w:rPr>
      </w:pPr>
      <w:bookmarkStart w:id="37" w:name="_Toc368573032"/>
      <w:bookmarkStart w:id="38" w:name="_Toc522714840"/>
      <w:r w:rsidRPr="004A7D88">
        <w:rPr>
          <w:rFonts w:ascii="Arial" w:eastAsia="STZhongsong" w:hAnsi="Arial" w:cs="Times New Roman"/>
          <w:b/>
          <w:caps/>
          <w:color w:val="auto"/>
          <w:sz w:val="32"/>
          <w:szCs w:val="32"/>
          <w:lang w:eastAsia="zh-CN"/>
        </w:rPr>
        <w:t>key milestones</w:t>
      </w:r>
      <w:bookmarkEnd w:id="37"/>
      <w:r w:rsidRPr="004A7D88">
        <w:rPr>
          <w:rFonts w:ascii="Arial" w:eastAsia="STZhongsong" w:hAnsi="Arial" w:cs="Times New Roman"/>
          <w:b/>
          <w:caps/>
          <w:color w:val="auto"/>
          <w:sz w:val="32"/>
          <w:szCs w:val="32"/>
          <w:lang w:eastAsia="zh-CN"/>
        </w:rPr>
        <w:t xml:space="preserve"> and Deliverables</w:t>
      </w:r>
      <w:bookmarkEnd w:id="38"/>
    </w:p>
    <w:p w14:paraId="656BC012" w14:textId="77777777" w:rsidR="009319AE" w:rsidRPr="009319AE" w:rsidRDefault="009319AE" w:rsidP="009319AE">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132"/>
          <w:tab w:val="num" w:pos="862"/>
        </w:tabs>
        <w:overflowPunct w:val="0"/>
        <w:autoSpaceDE w:val="0"/>
        <w:autoSpaceDN w:val="0"/>
        <w:adjustRightInd w:val="0"/>
        <w:spacing w:after="120"/>
        <w:ind w:left="709" w:hanging="709"/>
        <w:textAlignment w:val="baseline"/>
        <w:outlineLvl w:val="1"/>
        <w:rPr>
          <w:rFonts w:ascii="Arial" w:eastAsia="STZhongsong" w:hAnsi="Arial" w:cs="Arial"/>
          <w:color w:val="auto"/>
          <w:sz w:val="24"/>
          <w:szCs w:val="24"/>
          <w:lang w:eastAsia="zh-CN"/>
        </w:rPr>
      </w:pPr>
      <w:r w:rsidRPr="009319AE">
        <w:rPr>
          <w:rFonts w:ascii="Arial" w:eastAsia="STZhongsong" w:hAnsi="Arial" w:cs="Arial"/>
          <w:color w:val="auto"/>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9319AE" w:rsidRPr="009319AE" w14:paraId="33D02430" w14:textId="77777777" w:rsidTr="00403D0D">
        <w:tc>
          <w:tcPr>
            <w:tcW w:w="1481" w:type="pct"/>
            <w:shd w:val="clear" w:color="auto" w:fill="B8CCE4"/>
            <w:vAlign w:val="center"/>
          </w:tcPr>
          <w:p w14:paraId="71B470F1" w14:textId="77777777" w:rsidR="009319AE" w:rsidRPr="009319AE" w:rsidRDefault="009319AE" w:rsidP="009319AE">
            <w:pPr>
              <w:spacing w:after="120"/>
              <w:jc w:val="center"/>
              <w:outlineLvl w:val="2"/>
              <w:rPr>
                <w:rFonts w:ascii="Arial" w:eastAsia="STZhongsong" w:hAnsi="Arial"/>
                <w:b/>
                <w:sz w:val="24"/>
                <w:szCs w:val="24"/>
                <w:lang w:eastAsia="zh-CN"/>
              </w:rPr>
            </w:pPr>
            <w:r w:rsidRPr="009319AE">
              <w:rPr>
                <w:rFonts w:ascii="Arial" w:eastAsia="STZhongsong" w:hAnsi="Arial"/>
                <w:b/>
                <w:sz w:val="24"/>
                <w:szCs w:val="24"/>
                <w:lang w:eastAsia="zh-CN"/>
              </w:rPr>
              <w:t>Milestone/Deliverable</w:t>
            </w:r>
          </w:p>
        </w:tc>
        <w:tc>
          <w:tcPr>
            <w:tcW w:w="2188" w:type="pct"/>
            <w:shd w:val="clear" w:color="auto" w:fill="B8CCE4"/>
            <w:vAlign w:val="center"/>
          </w:tcPr>
          <w:p w14:paraId="325DB7CD" w14:textId="77777777" w:rsidR="009319AE" w:rsidRPr="009319AE" w:rsidRDefault="009319AE" w:rsidP="009319AE">
            <w:pPr>
              <w:spacing w:after="120"/>
              <w:jc w:val="center"/>
              <w:outlineLvl w:val="2"/>
              <w:rPr>
                <w:rFonts w:ascii="Arial" w:eastAsia="STZhongsong" w:hAnsi="Arial"/>
                <w:b/>
                <w:sz w:val="24"/>
                <w:szCs w:val="24"/>
                <w:lang w:eastAsia="zh-CN"/>
              </w:rPr>
            </w:pPr>
            <w:r w:rsidRPr="009319AE">
              <w:rPr>
                <w:rFonts w:ascii="Arial" w:eastAsia="STZhongsong" w:hAnsi="Arial"/>
                <w:b/>
                <w:sz w:val="24"/>
                <w:szCs w:val="24"/>
                <w:lang w:eastAsia="zh-CN"/>
              </w:rPr>
              <w:t>Description</w:t>
            </w:r>
          </w:p>
        </w:tc>
        <w:tc>
          <w:tcPr>
            <w:tcW w:w="1331" w:type="pct"/>
            <w:shd w:val="clear" w:color="auto" w:fill="B8CCE4"/>
            <w:vAlign w:val="center"/>
          </w:tcPr>
          <w:p w14:paraId="5060FCD4" w14:textId="77777777" w:rsidR="009319AE" w:rsidRPr="009319AE" w:rsidRDefault="009319AE" w:rsidP="009319AE">
            <w:pPr>
              <w:spacing w:after="120"/>
              <w:jc w:val="center"/>
              <w:outlineLvl w:val="2"/>
              <w:rPr>
                <w:rFonts w:ascii="Arial" w:eastAsia="STZhongsong" w:hAnsi="Arial"/>
                <w:b/>
                <w:sz w:val="24"/>
                <w:szCs w:val="24"/>
                <w:lang w:eastAsia="zh-CN"/>
              </w:rPr>
            </w:pPr>
            <w:r w:rsidRPr="009319AE">
              <w:rPr>
                <w:rFonts w:ascii="Arial" w:eastAsia="STZhongsong" w:hAnsi="Arial"/>
                <w:b/>
                <w:sz w:val="24"/>
                <w:szCs w:val="24"/>
                <w:lang w:eastAsia="zh-CN"/>
              </w:rPr>
              <w:t>Timeframe or Delivery Date</w:t>
            </w:r>
          </w:p>
        </w:tc>
      </w:tr>
      <w:tr w:rsidR="009319AE" w:rsidRPr="009319AE" w14:paraId="317A88A7" w14:textId="77777777" w:rsidTr="00403D0D">
        <w:tc>
          <w:tcPr>
            <w:tcW w:w="1481" w:type="pct"/>
            <w:vAlign w:val="center"/>
          </w:tcPr>
          <w:p w14:paraId="530910BD" w14:textId="77777777" w:rsidR="009319AE" w:rsidRPr="006317CF" w:rsidRDefault="009319AE" w:rsidP="009319AE">
            <w:pPr>
              <w:spacing w:after="120"/>
              <w:jc w:val="center"/>
              <w:outlineLvl w:val="2"/>
              <w:rPr>
                <w:rFonts w:ascii="Arial" w:eastAsia="STZhongsong" w:hAnsi="Arial" w:cs="Arial"/>
                <w:sz w:val="24"/>
                <w:szCs w:val="24"/>
                <w:lang w:eastAsia="zh-CN"/>
              </w:rPr>
            </w:pPr>
            <w:r w:rsidRPr="006317CF">
              <w:rPr>
                <w:rFonts w:ascii="Arial" w:eastAsia="STZhongsong" w:hAnsi="Arial" w:cs="Arial"/>
                <w:sz w:val="24"/>
                <w:szCs w:val="24"/>
                <w:lang w:eastAsia="zh-CN"/>
              </w:rPr>
              <w:t>1</w:t>
            </w:r>
          </w:p>
        </w:tc>
        <w:tc>
          <w:tcPr>
            <w:tcW w:w="2188" w:type="pct"/>
            <w:vAlign w:val="center"/>
          </w:tcPr>
          <w:p w14:paraId="1DD4118E" w14:textId="77777777" w:rsidR="009319AE" w:rsidRPr="006317CF" w:rsidRDefault="009319AE" w:rsidP="009319AE">
            <w:pPr>
              <w:spacing w:after="120"/>
              <w:jc w:val="left"/>
              <w:outlineLvl w:val="2"/>
              <w:rPr>
                <w:rFonts w:ascii="Arial" w:eastAsia="STZhongsong" w:hAnsi="Arial" w:cs="Arial"/>
                <w:sz w:val="24"/>
                <w:szCs w:val="24"/>
                <w:lang w:eastAsia="zh-CN"/>
              </w:rPr>
            </w:pPr>
            <w:r w:rsidRPr="006317CF">
              <w:rPr>
                <w:rFonts w:ascii="Arial" w:eastAsia="STZhongsong" w:hAnsi="Arial" w:cs="Arial"/>
                <w:sz w:val="24"/>
                <w:szCs w:val="24"/>
                <w:lang w:eastAsia="zh-CN"/>
              </w:rPr>
              <w:t>Initial kick-off meeting</w:t>
            </w:r>
          </w:p>
        </w:tc>
        <w:tc>
          <w:tcPr>
            <w:tcW w:w="1331" w:type="pct"/>
            <w:vAlign w:val="center"/>
          </w:tcPr>
          <w:p w14:paraId="6BB247D4" w14:textId="77777777" w:rsidR="009319AE" w:rsidRPr="006317CF" w:rsidRDefault="009319AE" w:rsidP="009319AE">
            <w:pPr>
              <w:spacing w:after="120"/>
              <w:jc w:val="center"/>
              <w:outlineLvl w:val="2"/>
              <w:rPr>
                <w:rFonts w:ascii="Arial" w:eastAsia="STZhongsong" w:hAnsi="Arial" w:cs="Arial"/>
                <w:sz w:val="24"/>
                <w:szCs w:val="24"/>
                <w:lang w:eastAsia="zh-CN"/>
              </w:rPr>
            </w:pPr>
            <w:r w:rsidRPr="006317CF">
              <w:rPr>
                <w:rFonts w:ascii="Arial" w:eastAsia="STZhongsong" w:hAnsi="Arial" w:cs="Arial"/>
                <w:sz w:val="24"/>
                <w:szCs w:val="24"/>
                <w:lang w:eastAsia="zh-CN"/>
              </w:rPr>
              <w:t>Within 1 week of contract award</w:t>
            </w:r>
          </w:p>
        </w:tc>
      </w:tr>
      <w:tr w:rsidR="009319AE" w:rsidRPr="009319AE" w14:paraId="218E3C8E" w14:textId="77777777" w:rsidTr="00403D0D">
        <w:tc>
          <w:tcPr>
            <w:tcW w:w="1481" w:type="pct"/>
            <w:vAlign w:val="center"/>
          </w:tcPr>
          <w:p w14:paraId="44D9333A" w14:textId="77777777" w:rsidR="009319AE" w:rsidRPr="006317CF" w:rsidRDefault="009319AE" w:rsidP="009319AE">
            <w:pPr>
              <w:spacing w:after="120"/>
              <w:jc w:val="center"/>
              <w:outlineLvl w:val="2"/>
              <w:rPr>
                <w:rFonts w:ascii="Arial" w:eastAsia="STZhongsong" w:hAnsi="Arial" w:cs="Arial"/>
                <w:sz w:val="24"/>
                <w:szCs w:val="24"/>
                <w:lang w:eastAsia="zh-CN"/>
              </w:rPr>
            </w:pPr>
            <w:r w:rsidRPr="006317CF">
              <w:rPr>
                <w:rFonts w:ascii="Arial" w:eastAsia="STZhongsong" w:hAnsi="Arial" w:cs="Arial"/>
                <w:sz w:val="24"/>
                <w:szCs w:val="24"/>
                <w:lang w:eastAsia="zh-CN"/>
              </w:rPr>
              <w:t>2</w:t>
            </w:r>
          </w:p>
        </w:tc>
        <w:tc>
          <w:tcPr>
            <w:tcW w:w="2188" w:type="pct"/>
            <w:vAlign w:val="center"/>
          </w:tcPr>
          <w:p w14:paraId="5B8F19A0" w14:textId="77777777" w:rsidR="009319AE" w:rsidRPr="006317CF" w:rsidRDefault="009319AE" w:rsidP="009319AE">
            <w:pPr>
              <w:spacing w:after="120"/>
              <w:jc w:val="left"/>
              <w:outlineLvl w:val="2"/>
              <w:rPr>
                <w:rFonts w:ascii="Arial" w:eastAsia="STZhongsong" w:hAnsi="Arial" w:cs="Arial"/>
                <w:sz w:val="24"/>
                <w:szCs w:val="24"/>
                <w:lang w:eastAsia="zh-CN"/>
              </w:rPr>
            </w:pPr>
            <w:r w:rsidRPr="006317CF">
              <w:rPr>
                <w:rFonts w:ascii="Arial" w:eastAsia="STZhongsong" w:hAnsi="Arial" w:cs="Arial"/>
                <w:sz w:val="24"/>
                <w:szCs w:val="24"/>
                <w:lang w:eastAsia="zh-CN"/>
              </w:rPr>
              <w:t>Ongoing catchups with NIC team</w:t>
            </w:r>
          </w:p>
        </w:tc>
        <w:tc>
          <w:tcPr>
            <w:tcW w:w="1331" w:type="pct"/>
            <w:vAlign w:val="center"/>
          </w:tcPr>
          <w:p w14:paraId="1BD6FC00" w14:textId="77777777" w:rsidR="009319AE" w:rsidRPr="006317CF" w:rsidRDefault="009319AE" w:rsidP="009319AE">
            <w:pPr>
              <w:spacing w:after="120"/>
              <w:jc w:val="center"/>
              <w:outlineLvl w:val="2"/>
              <w:rPr>
                <w:rFonts w:ascii="Arial" w:eastAsia="STZhongsong" w:hAnsi="Arial" w:cs="Arial"/>
                <w:sz w:val="24"/>
                <w:szCs w:val="24"/>
                <w:lang w:eastAsia="zh-CN"/>
              </w:rPr>
            </w:pPr>
            <w:r w:rsidRPr="006317CF">
              <w:rPr>
                <w:rFonts w:ascii="Arial" w:eastAsia="STZhongsong" w:hAnsi="Arial" w:cs="Arial"/>
                <w:sz w:val="24"/>
                <w:szCs w:val="24"/>
                <w:lang w:eastAsia="zh-CN"/>
              </w:rPr>
              <w:t>Ongoing every week from kick off meeting to project conclusion</w:t>
            </w:r>
          </w:p>
        </w:tc>
      </w:tr>
      <w:tr w:rsidR="009319AE" w:rsidRPr="009319AE" w14:paraId="5ABF67E8" w14:textId="77777777" w:rsidTr="00403D0D">
        <w:tc>
          <w:tcPr>
            <w:tcW w:w="1481" w:type="pct"/>
            <w:vAlign w:val="center"/>
          </w:tcPr>
          <w:p w14:paraId="68B5E209" w14:textId="77777777" w:rsidR="009319AE" w:rsidRPr="006317CF" w:rsidRDefault="009319AE" w:rsidP="009319AE">
            <w:pPr>
              <w:spacing w:after="120"/>
              <w:jc w:val="center"/>
              <w:outlineLvl w:val="2"/>
              <w:rPr>
                <w:rFonts w:ascii="Arial" w:eastAsia="STZhongsong" w:hAnsi="Arial" w:cs="Arial"/>
                <w:sz w:val="24"/>
                <w:szCs w:val="24"/>
                <w:lang w:eastAsia="zh-CN"/>
              </w:rPr>
            </w:pPr>
            <w:r w:rsidRPr="006317CF">
              <w:rPr>
                <w:rFonts w:ascii="Arial" w:eastAsia="STZhongsong" w:hAnsi="Arial" w:cs="Arial"/>
                <w:sz w:val="24"/>
                <w:szCs w:val="24"/>
                <w:lang w:eastAsia="zh-CN"/>
              </w:rPr>
              <w:t>3</w:t>
            </w:r>
          </w:p>
        </w:tc>
        <w:tc>
          <w:tcPr>
            <w:tcW w:w="2188" w:type="pct"/>
            <w:vAlign w:val="center"/>
          </w:tcPr>
          <w:p w14:paraId="24AD53EE" w14:textId="54A762DE" w:rsidR="009319AE" w:rsidRPr="006317CF" w:rsidRDefault="00693D1A" w:rsidP="009319AE">
            <w:pPr>
              <w:spacing w:after="120"/>
              <w:jc w:val="left"/>
              <w:outlineLvl w:val="2"/>
              <w:rPr>
                <w:rFonts w:ascii="Arial" w:eastAsia="STZhongsong" w:hAnsi="Arial" w:cs="Arial"/>
                <w:sz w:val="24"/>
                <w:szCs w:val="24"/>
                <w:lang w:eastAsia="zh-CN"/>
              </w:rPr>
            </w:pPr>
            <w:r w:rsidRPr="006317CF">
              <w:rPr>
                <w:rFonts w:ascii="Arial" w:hAnsi="Arial" w:cs="Arial"/>
                <w:color w:val="000000" w:themeColor="text1"/>
                <w:sz w:val="24"/>
                <w:szCs w:val="24"/>
              </w:rPr>
              <w:t>Workshop with the NIC team setting out assessment of policy mechanisms and proposed feasible options</w:t>
            </w:r>
          </w:p>
        </w:tc>
        <w:tc>
          <w:tcPr>
            <w:tcW w:w="1331" w:type="pct"/>
            <w:vAlign w:val="center"/>
          </w:tcPr>
          <w:p w14:paraId="28799114" w14:textId="3488D33D" w:rsidR="009319AE" w:rsidRPr="006317CF" w:rsidRDefault="001D2688" w:rsidP="009319AE">
            <w:pPr>
              <w:spacing w:after="120"/>
              <w:jc w:val="center"/>
              <w:outlineLvl w:val="2"/>
              <w:rPr>
                <w:rFonts w:ascii="Arial" w:eastAsia="STZhongsong" w:hAnsi="Arial" w:cs="Arial"/>
                <w:sz w:val="24"/>
                <w:szCs w:val="24"/>
                <w:lang w:eastAsia="zh-CN"/>
              </w:rPr>
            </w:pPr>
            <w:r w:rsidRPr="006317CF">
              <w:rPr>
                <w:rFonts w:ascii="Arial" w:hAnsi="Arial" w:cs="Arial"/>
                <w:color w:val="000000" w:themeColor="text1"/>
                <w:sz w:val="24"/>
                <w:szCs w:val="24"/>
              </w:rPr>
              <w:t>Within 4 weeks of contract award</w:t>
            </w:r>
          </w:p>
        </w:tc>
      </w:tr>
      <w:tr w:rsidR="00403D0D" w:rsidRPr="009319AE" w14:paraId="2F585DDA" w14:textId="77777777" w:rsidTr="00403D0D">
        <w:tc>
          <w:tcPr>
            <w:tcW w:w="1481" w:type="pct"/>
            <w:vAlign w:val="center"/>
          </w:tcPr>
          <w:p w14:paraId="7C021F98" w14:textId="77777777" w:rsidR="00403D0D" w:rsidRPr="006317CF" w:rsidRDefault="00403D0D" w:rsidP="00403D0D">
            <w:pPr>
              <w:spacing w:after="120"/>
              <w:jc w:val="center"/>
              <w:outlineLvl w:val="2"/>
              <w:rPr>
                <w:rFonts w:ascii="Arial" w:eastAsia="STZhongsong" w:hAnsi="Arial" w:cs="Arial"/>
                <w:sz w:val="24"/>
                <w:szCs w:val="24"/>
                <w:lang w:eastAsia="zh-CN"/>
              </w:rPr>
            </w:pPr>
            <w:r w:rsidRPr="006317CF">
              <w:rPr>
                <w:rFonts w:ascii="Arial" w:eastAsia="STZhongsong" w:hAnsi="Arial" w:cs="Arial"/>
                <w:sz w:val="24"/>
                <w:szCs w:val="24"/>
                <w:lang w:eastAsia="zh-CN"/>
              </w:rPr>
              <w:lastRenderedPageBreak/>
              <w:t>4</w:t>
            </w:r>
          </w:p>
        </w:tc>
        <w:tc>
          <w:tcPr>
            <w:tcW w:w="2188" w:type="pct"/>
            <w:vAlign w:val="center"/>
          </w:tcPr>
          <w:p w14:paraId="78831522" w14:textId="001C96EB" w:rsidR="00403D0D" w:rsidRPr="006317CF" w:rsidRDefault="00403D0D" w:rsidP="00403D0D">
            <w:pPr>
              <w:spacing w:after="120"/>
              <w:jc w:val="left"/>
              <w:outlineLvl w:val="2"/>
              <w:rPr>
                <w:rFonts w:ascii="Arial" w:eastAsia="STZhongsong" w:hAnsi="Arial" w:cs="Arial"/>
                <w:sz w:val="24"/>
                <w:szCs w:val="24"/>
                <w:lang w:eastAsia="zh-CN"/>
              </w:rPr>
            </w:pPr>
            <w:r w:rsidRPr="006317CF">
              <w:rPr>
                <w:rFonts w:ascii="Arial" w:hAnsi="Arial" w:cs="Arial"/>
                <w:color w:val="000000" w:themeColor="text1"/>
                <w:sz w:val="24"/>
                <w:szCs w:val="24"/>
              </w:rPr>
              <w:t>Outline of final report for review</w:t>
            </w:r>
          </w:p>
        </w:tc>
        <w:tc>
          <w:tcPr>
            <w:tcW w:w="1331" w:type="pct"/>
            <w:vAlign w:val="center"/>
          </w:tcPr>
          <w:p w14:paraId="57CEB090" w14:textId="316D566F" w:rsidR="00403D0D" w:rsidRPr="006317CF" w:rsidRDefault="00F35562" w:rsidP="00403D0D">
            <w:pPr>
              <w:spacing w:after="120"/>
              <w:jc w:val="center"/>
              <w:outlineLvl w:val="2"/>
              <w:rPr>
                <w:rFonts w:ascii="Arial" w:eastAsia="STZhongsong" w:hAnsi="Arial" w:cs="Arial"/>
                <w:sz w:val="24"/>
                <w:szCs w:val="24"/>
                <w:lang w:eastAsia="zh-CN"/>
              </w:rPr>
            </w:pPr>
            <w:r w:rsidRPr="006317CF">
              <w:rPr>
                <w:rFonts w:ascii="Arial" w:hAnsi="Arial" w:cs="Arial"/>
                <w:color w:val="000000" w:themeColor="text1"/>
                <w:sz w:val="24"/>
                <w:szCs w:val="24"/>
              </w:rPr>
              <w:t>Within 6 weeks of contract award.</w:t>
            </w:r>
          </w:p>
        </w:tc>
      </w:tr>
      <w:tr w:rsidR="00403D0D" w:rsidRPr="009319AE" w14:paraId="3B3A5FEF" w14:textId="77777777" w:rsidTr="00403D0D">
        <w:tc>
          <w:tcPr>
            <w:tcW w:w="1481" w:type="pct"/>
            <w:vAlign w:val="center"/>
          </w:tcPr>
          <w:p w14:paraId="6C15505B" w14:textId="77777777" w:rsidR="00403D0D" w:rsidRPr="006317CF" w:rsidRDefault="00403D0D" w:rsidP="00403D0D">
            <w:pPr>
              <w:spacing w:after="120"/>
              <w:jc w:val="center"/>
              <w:outlineLvl w:val="2"/>
              <w:rPr>
                <w:rFonts w:ascii="Arial" w:eastAsia="STZhongsong" w:hAnsi="Arial" w:cs="Arial"/>
                <w:sz w:val="24"/>
                <w:szCs w:val="24"/>
                <w:lang w:eastAsia="zh-CN"/>
              </w:rPr>
            </w:pPr>
            <w:r w:rsidRPr="006317CF">
              <w:rPr>
                <w:rFonts w:ascii="Arial" w:eastAsia="STZhongsong" w:hAnsi="Arial" w:cs="Arial"/>
                <w:sz w:val="24"/>
                <w:szCs w:val="24"/>
                <w:lang w:eastAsia="zh-CN"/>
              </w:rPr>
              <w:t>5</w:t>
            </w:r>
          </w:p>
        </w:tc>
        <w:tc>
          <w:tcPr>
            <w:tcW w:w="2188" w:type="pct"/>
            <w:vAlign w:val="center"/>
          </w:tcPr>
          <w:p w14:paraId="08B89CF0" w14:textId="4A999CDE" w:rsidR="00403D0D" w:rsidRPr="006317CF" w:rsidRDefault="009E61F5" w:rsidP="00403D0D">
            <w:pPr>
              <w:spacing w:after="120"/>
              <w:jc w:val="left"/>
              <w:outlineLvl w:val="2"/>
              <w:rPr>
                <w:rFonts w:ascii="Arial" w:eastAsia="STZhongsong" w:hAnsi="Arial" w:cs="Arial"/>
                <w:sz w:val="24"/>
                <w:szCs w:val="24"/>
                <w:lang w:eastAsia="zh-CN"/>
              </w:rPr>
            </w:pPr>
            <w:r w:rsidRPr="006317CF">
              <w:rPr>
                <w:rFonts w:ascii="Arial" w:hAnsi="Arial" w:cs="Arial"/>
                <w:color w:val="000000" w:themeColor="text1"/>
                <w:sz w:val="24"/>
                <w:szCs w:val="24"/>
              </w:rPr>
              <w:t>Draft final report to review</w:t>
            </w:r>
          </w:p>
        </w:tc>
        <w:tc>
          <w:tcPr>
            <w:tcW w:w="1331" w:type="pct"/>
            <w:vAlign w:val="center"/>
          </w:tcPr>
          <w:p w14:paraId="2D6949A1" w14:textId="0223C180" w:rsidR="00403D0D" w:rsidRPr="006317CF" w:rsidRDefault="00B21FE6" w:rsidP="00403D0D">
            <w:pPr>
              <w:spacing w:after="120"/>
              <w:jc w:val="center"/>
              <w:outlineLvl w:val="2"/>
              <w:rPr>
                <w:rFonts w:ascii="Arial" w:eastAsia="STZhongsong" w:hAnsi="Arial" w:cs="Arial"/>
                <w:sz w:val="24"/>
                <w:szCs w:val="24"/>
                <w:lang w:eastAsia="zh-CN"/>
              </w:rPr>
            </w:pPr>
            <w:r w:rsidRPr="006317CF">
              <w:rPr>
                <w:rFonts w:ascii="Arial" w:hAnsi="Arial" w:cs="Arial"/>
                <w:color w:val="000000" w:themeColor="text1"/>
                <w:sz w:val="24"/>
                <w:szCs w:val="24"/>
              </w:rPr>
              <w:t>Within 9 weeks of contract award</w:t>
            </w:r>
          </w:p>
        </w:tc>
      </w:tr>
    </w:tbl>
    <w:p w14:paraId="07BE03FA" w14:textId="77777777" w:rsidR="009319AE" w:rsidRPr="009319AE" w:rsidRDefault="009319AE" w:rsidP="009319AE">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0"/>
        <w:rPr>
          <w:rFonts w:ascii="Arial" w:eastAsia="STZhongsong" w:hAnsi="Arial" w:cs="Arial"/>
          <w:b/>
          <w:caps/>
          <w:color w:val="auto"/>
          <w:lang w:eastAsia="zh-CN"/>
        </w:rPr>
      </w:pPr>
      <w:bookmarkStart w:id="39" w:name="_Toc302637211"/>
    </w:p>
    <w:p w14:paraId="1FAB36BC" w14:textId="42D5EFE4"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40" w:name="_Toc368573033"/>
      <w:bookmarkStart w:id="41" w:name="_Toc522714841"/>
      <w:r w:rsidRPr="004A7D88">
        <w:rPr>
          <w:rFonts w:ascii="Arial" w:eastAsia="STZhongsong" w:hAnsi="Arial" w:cs="Arial"/>
          <w:b/>
          <w:caps/>
          <w:color w:val="auto"/>
          <w:sz w:val="32"/>
          <w:szCs w:val="32"/>
          <w:lang w:eastAsia="zh-CN"/>
        </w:rPr>
        <w:t>MANAGEMENT INFORMATION/reporting</w:t>
      </w:r>
      <w:bookmarkEnd w:id="40"/>
      <w:bookmarkEnd w:id="41"/>
    </w:p>
    <w:p w14:paraId="065F8485"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As set out in Section 7 (Key Milestones). This includes a requirement that the Supplier update the Customer on project progress on at least a weekly basis, including to flag any issues or early findings.</w:t>
      </w:r>
    </w:p>
    <w:p w14:paraId="196B9AF7"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color w:val="auto"/>
          <w:sz w:val="24"/>
          <w:szCs w:val="24"/>
          <w:lang w:eastAsia="zh-CN"/>
        </w:rPr>
      </w:pPr>
    </w:p>
    <w:p w14:paraId="5024B57E" w14:textId="2D6BDF77"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42" w:name="_Toc368573034"/>
      <w:bookmarkStart w:id="43" w:name="_Toc522714842"/>
      <w:r w:rsidRPr="004A7D88">
        <w:rPr>
          <w:rFonts w:ascii="Arial" w:eastAsia="STZhongsong" w:hAnsi="Arial" w:cs="Arial"/>
          <w:b/>
          <w:caps/>
          <w:color w:val="auto"/>
          <w:sz w:val="32"/>
          <w:szCs w:val="32"/>
          <w:lang w:eastAsia="zh-CN"/>
        </w:rPr>
        <w:t>volumes</w:t>
      </w:r>
      <w:bookmarkEnd w:id="42"/>
      <w:bookmarkEnd w:id="43"/>
    </w:p>
    <w:p w14:paraId="2B5392B8" w14:textId="77777777" w:rsidR="009319AE" w:rsidRPr="009319AE" w:rsidRDefault="009319AE" w:rsidP="009319AE">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ind w:left="720" w:hanging="720"/>
        <w:outlineLvl w:val="1"/>
        <w:rPr>
          <w:rFonts w:ascii="Arial" w:eastAsia="STZhongsong" w:hAnsi="Arial" w:cs="Arial"/>
          <w:color w:val="auto"/>
          <w:sz w:val="24"/>
          <w:szCs w:val="24"/>
          <w:lang w:eastAsia="zh-CN"/>
        </w:rPr>
      </w:pPr>
      <w:r w:rsidRPr="009319AE">
        <w:rPr>
          <w:rFonts w:ascii="Arial" w:eastAsia="STZhongsong" w:hAnsi="Arial" w:cs="Times New Roman"/>
          <w:color w:val="auto"/>
          <w:sz w:val="24"/>
          <w:szCs w:val="24"/>
          <w:lang w:eastAsia="zh-CN"/>
        </w:rPr>
        <w:t>Examples of previous work commission by the NIC are available on the NIC website.</w:t>
      </w:r>
    </w:p>
    <w:p w14:paraId="40305E8E"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ind w:left="720"/>
        <w:outlineLvl w:val="1"/>
        <w:rPr>
          <w:rFonts w:ascii="Arial" w:eastAsia="STZhongsong" w:hAnsi="Arial" w:cs="Arial"/>
          <w:color w:val="auto"/>
          <w:sz w:val="24"/>
          <w:szCs w:val="24"/>
          <w:lang w:eastAsia="zh-CN"/>
        </w:rPr>
      </w:pPr>
    </w:p>
    <w:p w14:paraId="1AA852E4" w14:textId="5F5D8CDA"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44" w:name="_Toc368573035"/>
      <w:bookmarkStart w:id="45" w:name="_Toc522714843"/>
      <w:r w:rsidRPr="004A7D88">
        <w:rPr>
          <w:rFonts w:ascii="Arial" w:eastAsia="STZhongsong" w:hAnsi="Arial" w:cs="Arial"/>
          <w:b/>
          <w:caps/>
          <w:color w:val="auto"/>
          <w:sz w:val="32"/>
          <w:szCs w:val="32"/>
          <w:lang w:eastAsia="zh-CN"/>
        </w:rPr>
        <w:t>continuous improvement</w:t>
      </w:r>
      <w:bookmarkEnd w:id="44"/>
      <w:bookmarkEnd w:id="45"/>
    </w:p>
    <w:p w14:paraId="4680BE7C"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142"/>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The Supplier will be expected to continually improve the way in which the required Services are to be delivered throughout the Contract duration.</w:t>
      </w:r>
    </w:p>
    <w:p w14:paraId="541863BA"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142"/>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Changes to the way in which the Services are to be delivered must be brought to the Authority’s attention and agreed prior to any changes being implemented.</w:t>
      </w:r>
    </w:p>
    <w:p w14:paraId="46B6B7C1"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color w:val="auto"/>
          <w:sz w:val="24"/>
          <w:szCs w:val="24"/>
          <w:lang w:eastAsia="zh-CN"/>
        </w:rPr>
      </w:pPr>
    </w:p>
    <w:p w14:paraId="6AB43124" w14:textId="6BA3E240"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adjustRightInd w:val="0"/>
        <w:outlineLvl w:val="0"/>
        <w:rPr>
          <w:rFonts w:ascii="Arial" w:eastAsia="STZhongsong" w:hAnsi="Arial" w:cs="Times New Roman"/>
          <w:b/>
          <w:caps/>
          <w:color w:val="auto"/>
          <w:sz w:val="32"/>
          <w:szCs w:val="32"/>
          <w:lang w:eastAsia="zh-CN"/>
        </w:rPr>
      </w:pPr>
      <w:bookmarkStart w:id="46" w:name="_Toc522714844"/>
      <w:r w:rsidRPr="004A7D88">
        <w:rPr>
          <w:rFonts w:ascii="Arial" w:eastAsia="STZhongsong" w:hAnsi="Arial" w:cs="Times New Roman"/>
          <w:b/>
          <w:caps/>
          <w:color w:val="auto"/>
          <w:sz w:val="32"/>
          <w:szCs w:val="32"/>
          <w:lang w:eastAsia="zh-CN"/>
        </w:rPr>
        <w:t>Sustainability</w:t>
      </w:r>
      <w:bookmarkEnd w:id="46"/>
    </w:p>
    <w:p w14:paraId="1DCE1D9A"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The Supplier will take all possible steps to ensure that they operate in a way which minimises impact on the environment, for example conducting meetings remotely where possible, minimising their carbon footprint etc.</w:t>
      </w:r>
    </w:p>
    <w:p w14:paraId="07526987" w14:textId="7C18500A"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47" w:name="_Toc368573036"/>
      <w:bookmarkStart w:id="48" w:name="_Toc522714845"/>
      <w:r w:rsidRPr="004A7D88">
        <w:rPr>
          <w:rFonts w:ascii="Arial" w:eastAsia="STZhongsong" w:hAnsi="Arial" w:cs="Arial"/>
          <w:b/>
          <w:caps/>
          <w:color w:val="auto"/>
          <w:sz w:val="32"/>
          <w:szCs w:val="32"/>
          <w:lang w:eastAsia="zh-CN"/>
        </w:rPr>
        <w:t>quality</w:t>
      </w:r>
      <w:bookmarkEnd w:id="47"/>
      <w:bookmarkEnd w:id="48"/>
    </w:p>
    <w:p w14:paraId="7FA70594"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This is a substantial piece of work – the expectation is that all the outputs and related materials will be of a high quality and produced to a publishable standard. The following paragraphs detail the quality assurance requirements that should be demonstrated in the proposal. The Commission may also seek views from its expert technical panel on the work and findings of this project. Any advice or comments will be fed back to the Supplier via the Customer.</w:t>
      </w:r>
    </w:p>
    <w:p w14:paraId="458DFF0B"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Responsibility - Responsibility for the quality of outputs sits with the supplier, whether outputs are produced directly by the supplier or whether – if the contract allows – work has been subcontracted to a third party. To reflect this responsibility, any report published will be published in the supplier’s name on behalf of the Commission, which provides transparency and accountability. The Customer plans to publish the ‘Final Report’ on the Commission’s website.</w:t>
      </w:r>
    </w:p>
    <w:p w14:paraId="737E21A2"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lastRenderedPageBreak/>
        <w:t>Transparency - Methodology and assumptions used should be communicated clearly and be open to interrogation rather than in a ‘black-box’. Analysis should be documented, and documentation made available to the Commission.</w:t>
      </w:r>
    </w:p>
    <w:p w14:paraId="48DD3F7C"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Assumptions &amp; Sources - Assumptions logs should be provided, listing for each assumption, for example: what the assumption is, its effective date, source, level of certainty, materiality, and the sensitivity of output to changes in the assumption. All facts, figures and evidence used must be correctly sourced, appraised and referenced and subject to internal peer review.</w:t>
      </w:r>
    </w:p>
    <w:p w14:paraId="6AD946CB"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Validation - Outputs of analysis should be reconciled with previous outputs from the supplier (or sub-contractor) if these exist, as well as against outputs of related analysis published by third parties, and differences explained.</w:t>
      </w:r>
    </w:p>
    <w:p w14:paraId="2C7DD647"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Evidence of quality assurance - The supplier should provide details of how their analysis will be quality assured in a quality assurance plan agreed with the Commission at the project’s inception meeting. This plan should include specifying someone, independent of the project, who will take overall responsibility for the supplier’s quality assurance. Evidence of the supplier’s quality assurance process being followed should be available, including detail of the quality assurance checks undertaken, and the supplier may be expected to present their analysis to the Commission and its relevant experts and answer detailed questions on the analysis and quality assurance undertaken. The supplier should complete a quality assurance log in a format to be agreed with the Customer in the inception report.</w:t>
      </w:r>
    </w:p>
    <w:p w14:paraId="7292376F"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Planning - Appropriate time for quality assurance is expected to be built into the project plan throughout the project lifecycle, and in discussion with the Commission, time and resource should be allocated to joint review meetings.</w:t>
      </w:r>
    </w:p>
    <w:p w14:paraId="6E658EC3"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color w:val="auto"/>
          <w:sz w:val="24"/>
          <w:szCs w:val="24"/>
          <w:lang w:eastAsia="zh-CN"/>
        </w:rPr>
      </w:pPr>
    </w:p>
    <w:p w14:paraId="4922CF57" w14:textId="773A8543"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49" w:name="_Toc368573037"/>
      <w:bookmarkStart w:id="50" w:name="_Toc522714846"/>
      <w:r w:rsidRPr="004A7D88">
        <w:rPr>
          <w:rFonts w:ascii="Arial" w:eastAsia="STZhongsong" w:hAnsi="Arial" w:cs="Arial"/>
          <w:b/>
          <w:caps/>
          <w:color w:val="auto"/>
          <w:sz w:val="32"/>
          <w:szCs w:val="32"/>
          <w:lang w:eastAsia="zh-CN"/>
        </w:rPr>
        <w:t>PRICE</w:t>
      </w:r>
      <w:bookmarkEnd w:id="49"/>
      <w:bookmarkEnd w:id="50"/>
    </w:p>
    <w:p w14:paraId="57792A39" w14:textId="6B8A84BB"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The maximum budget</w:t>
      </w:r>
      <w:r w:rsidR="000C732F">
        <w:rPr>
          <w:rFonts w:ascii="Arial" w:eastAsia="STZhongsong" w:hAnsi="Arial" w:cs="Times New Roman"/>
          <w:color w:val="auto"/>
          <w:sz w:val="24"/>
          <w:szCs w:val="24"/>
          <w:lang w:eastAsia="zh-CN"/>
        </w:rPr>
        <w:t xml:space="preserve"> for the full requirement is £40</w:t>
      </w:r>
      <w:r w:rsidRPr="009319AE">
        <w:rPr>
          <w:rFonts w:ascii="Arial" w:eastAsia="STZhongsong" w:hAnsi="Arial" w:cs="Times New Roman"/>
          <w:color w:val="auto"/>
          <w:sz w:val="24"/>
          <w:szCs w:val="24"/>
          <w:lang w:eastAsia="zh-CN"/>
        </w:rPr>
        <w:t>,000.00 (excl. VAT), bids over this value will be excluded.</w:t>
      </w:r>
    </w:p>
    <w:p w14:paraId="5E55C2F1"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Prices should be inclusive of all expenses and exclusive of VAT.</w:t>
      </w:r>
    </w:p>
    <w:p w14:paraId="1B248985"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Prices are to be submitted via the e-Sourcing Suite [Attachment 4 – Price Schedule excluding VAT and including all other expenses relating to Contract delivery.</w:t>
      </w:r>
    </w:p>
    <w:p w14:paraId="63BC715B" w14:textId="77777777" w:rsidR="009319AE" w:rsidRPr="009319AE" w:rsidRDefault="009319AE" w:rsidP="00643CD6">
      <w:p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p>
    <w:p w14:paraId="4F55992F" w14:textId="674E64FD"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51" w:name="_Toc368573038"/>
      <w:bookmarkStart w:id="52" w:name="_Toc522714847"/>
      <w:r w:rsidRPr="004A7D88">
        <w:rPr>
          <w:rFonts w:ascii="Arial" w:eastAsia="STZhongsong" w:hAnsi="Arial" w:cs="Arial"/>
          <w:b/>
          <w:caps/>
          <w:color w:val="auto"/>
          <w:sz w:val="32"/>
          <w:szCs w:val="32"/>
          <w:lang w:eastAsia="zh-CN"/>
        </w:rPr>
        <w:t>STAFF AND CUSTOMER SERVICE</w:t>
      </w:r>
      <w:bookmarkEnd w:id="51"/>
      <w:bookmarkEnd w:id="52"/>
    </w:p>
    <w:p w14:paraId="21E273D9"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The Supplier shall provide a sufficient level of resource throughout the duration of the Contract in order to consistently deliver a quality service.</w:t>
      </w:r>
    </w:p>
    <w:p w14:paraId="07830229"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Supplier’s staff assigned to the Contract shall have the relevant qualifications and experience to deliver the Contract to the required standard. </w:t>
      </w:r>
    </w:p>
    <w:p w14:paraId="47F68675"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 xml:space="preserve">The Supplier shall ensure that staff understand the Authority’s vision and objectives and will provide excellent customer service to the Authority throughout the duration of the Contract.  </w:t>
      </w:r>
    </w:p>
    <w:p w14:paraId="57910CBF"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lastRenderedPageBreak/>
        <w:t>The Supplier should not replace staff members in the team which was assembled and presented in the bidding process without informing and getting consent from the Customer.</w:t>
      </w:r>
    </w:p>
    <w:p w14:paraId="72A2D7D8"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color w:val="auto"/>
          <w:sz w:val="24"/>
          <w:szCs w:val="24"/>
          <w:lang w:eastAsia="zh-CN"/>
        </w:rPr>
      </w:pPr>
    </w:p>
    <w:p w14:paraId="6C3F7F37" w14:textId="11CD0694"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53" w:name="_Toc368573039"/>
      <w:bookmarkStart w:id="54" w:name="_Toc522714848"/>
      <w:r w:rsidRPr="004A7D88">
        <w:rPr>
          <w:rFonts w:ascii="Arial" w:eastAsia="STZhongsong" w:hAnsi="Arial" w:cs="Arial"/>
          <w:b/>
          <w:caps/>
          <w:color w:val="auto"/>
          <w:sz w:val="32"/>
          <w:szCs w:val="32"/>
          <w:lang w:eastAsia="zh-CN"/>
        </w:rPr>
        <w:t>service levels and performance</w:t>
      </w:r>
      <w:bookmarkEnd w:id="53"/>
      <w:bookmarkEnd w:id="54"/>
    </w:p>
    <w:p w14:paraId="5B0043A9" w14:textId="77777777" w:rsidR="009319AE" w:rsidRPr="009319AE" w:rsidRDefault="009319AE" w:rsidP="009319AE">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132"/>
          <w:tab w:val="num" w:pos="862"/>
        </w:tabs>
        <w:overflowPunct w:val="0"/>
        <w:autoSpaceDE w:val="0"/>
        <w:autoSpaceDN w:val="0"/>
        <w:adjustRightInd w:val="0"/>
        <w:spacing w:after="120"/>
        <w:ind w:left="709" w:hanging="709"/>
        <w:textAlignment w:val="baseline"/>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The Customer will measure the quality of the Supplier’s delivery by:</w:t>
      </w:r>
    </w:p>
    <w:p w14:paraId="34308CC7"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outlineLvl w:val="2"/>
        <w:rPr>
          <w:rFonts w:ascii="Arial" w:eastAsia="STZhongsong" w:hAnsi="Arial" w:cs="Times New Roman"/>
          <w:color w:val="auto"/>
          <w:sz w:val="24"/>
          <w:szCs w:val="24"/>
          <w:lang w:eastAsia="zh-CN"/>
        </w:rPr>
      </w:pPr>
    </w:p>
    <w:tbl>
      <w:tblPr>
        <w:tblStyle w:val="TableGrid"/>
        <w:tblW w:w="0" w:type="auto"/>
        <w:tblInd w:w="720" w:type="dxa"/>
        <w:tblLook w:val="04A0" w:firstRow="1" w:lastRow="0" w:firstColumn="1" w:lastColumn="0" w:noHBand="0" w:noVBand="1"/>
      </w:tblPr>
      <w:tblGrid>
        <w:gridCol w:w="1163"/>
        <w:gridCol w:w="1911"/>
        <w:gridCol w:w="3637"/>
        <w:gridCol w:w="1588"/>
      </w:tblGrid>
      <w:tr w:rsidR="009319AE" w:rsidRPr="009319AE" w14:paraId="29B43BE3" w14:textId="77777777" w:rsidTr="009319AE">
        <w:tc>
          <w:tcPr>
            <w:tcW w:w="1163" w:type="dxa"/>
            <w:shd w:val="clear" w:color="auto" w:fill="B8CCE4"/>
          </w:tcPr>
          <w:p w14:paraId="459574BA" w14:textId="77777777" w:rsidR="009319AE" w:rsidRPr="009319AE" w:rsidRDefault="009319AE" w:rsidP="009319AE">
            <w:pPr>
              <w:jc w:val="center"/>
              <w:outlineLvl w:val="1"/>
              <w:rPr>
                <w:rFonts w:ascii="Arial" w:eastAsia="STZhongsong" w:hAnsi="Arial"/>
                <w:b/>
                <w:sz w:val="24"/>
                <w:szCs w:val="24"/>
                <w:lang w:eastAsia="zh-CN"/>
              </w:rPr>
            </w:pPr>
            <w:r w:rsidRPr="009319AE">
              <w:rPr>
                <w:rFonts w:ascii="Arial" w:eastAsia="STZhongsong" w:hAnsi="Arial"/>
                <w:b/>
                <w:sz w:val="24"/>
                <w:szCs w:val="24"/>
                <w:lang w:eastAsia="zh-CN"/>
              </w:rPr>
              <w:t>KPI/SLA</w:t>
            </w:r>
          </w:p>
        </w:tc>
        <w:tc>
          <w:tcPr>
            <w:tcW w:w="1911" w:type="dxa"/>
            <w:shd w:val="clear" w:color="auto" w:fill="B8CCE4"/>
          </w:tcPr>
          <w:p w14:paraId="11ABD386" w14:textId="77777777" w:rsidR="009319AE" w:rsidRPr="009319AE" w:rsidRDefault="009319AE" w:rsidP="009319AE">
            <w:pPr>
              <w:jc w:val="center"/>
              <w:outlineLvl w:val="1"/>
              <w:rPr>
                <w:rFonts w:ascii="Arial" w:eastAsia="STZhongsong" w:hAnsi="Arial"/>
                <w:b/>
                <w:sz w:val="24"/>
                <w:szCs w:val="24"/>
                <w:lang w:eastAsia="zh-CN"/>
              </w:rPr>
            </w:pPr>
            <w:r w:rsidRPr="009319AE">
              <w:rPr>
                <w:rFonts w:ascii="Arial" w:eastAsia="STZhongsong" w:hAnsi="Arial"/>
                <w:b/>
                <w:sz w:val="24"/>
                <w:szCs w:val="24"/>
                <w:lang w:eastAsia="zh-CN"/>
              </w:rPr>
              <w:t>Service Area</w:t>
            </w:r>
          </w:p>
        </w:tc>
        <w:tc>
          <w:tcPr>
            <w:tcW w:w="3637" w:type="dxa"/>
            <w:shd w:val="clear" w:color="auto" w:fill="B8CCE4"/>
          </w:tcPr>
          <w:p w14:paraId="07DE67E4" w14:textId="77777777" w:rsidR="009319AE" w:rsidRPr="009319AE" w:rsidRDefault="009319AE" w:rsidP="009319AE">
            <w:pPr>
              <w:jc w:val="center"/>
              <w:outlineLvl w:val="1"/>
              <w:rPr>
                <w:rFonts w:ascii="Arial" w:eastAsia="STZhongsong" w:hAnsi="Arial"/>
                <w:b/>
                <w:sz w:val="24"/>
                <w:szCs w:val="24"/>
                <w:lang w:eastAsia="zh-CN"/>
              </w:rPr>
            </w:pPr>
            <w:r w:rsidRPr="009319AE">
              <w:rPr>
                <w:rFonts w:ascii="Arial" w:eastAsia="STZhongsong" w:hAnsi="Arial"/>
                <w:b/>
                <w:sz w:val="24"/>
                <w:szCs w:val="24"/>
                <w:lang w:eastAsia="zh-CN"/>
              </w:rPr>
              <w:t>KPI/SLA description</w:t>
            </w:r>
          </w:p>
        </w:tc>
        <w:tc>
          <w:tcPr>
            <w:tcW w:w="1588" w:type="dxa"/>
            <w:shd w:val="clear" w:color="auto" w:fill="B8CCE4"/>
          </w:tcPr>
          <w:p w14:paraId="7A444FBF" w14:textId="77777777" w:rsidR="009319AE" w:rsidRPr="009319AE" w:rsidRDefault="009319AE" w:rsidP="009319AE">
            <w:pPr>
              <w:jc w:val="center"/>
              <w:outlineLvl w:val="1"/>
              <w:rPr>
                <w:rFonts w:ascii="Arial" w:eastAsia="STZhongsong" w:hAnsi="Arial"/>
                <w:b/>
                <w:sz w:val="24"/>
                <w:szCs w:val="24"/>
                <w:lang w:eastAsia="zh-CN"/>
              </w:rPr>
            </w:pPr>
            <w:r w:rsidRPr="009319AE">
              <w:rPr>
                <w:rFonts w:ascii="Arial" w:eastAsia="STZhongsong" w:hAnsi="Arial"/>
                <w:b/>
                <w:sz w:val="24"/>
                <w:szCs w:val="24"/>
                <w:lang w:eastAsia="zh-CN"/>
              </w:rPr>
              <w:t>Target</w:t>
            </w:r>
          </w:p>
        </w:tc>
      </w:tr>
      <w:tr w:rsidR="009319AE" w:rsidRPr="009319AE" w14:paraId="31FE9672" w14:textId="77777777" w:rsidTr="00770A67">
        <w:tc>
          <w:tcPr>
            <w:tcW w:w="1163" w:type="dxa"/>
          </w:tcPr>
          <w:p w14:paraId="026A43B8" w14:textId="77777777" w:rsidR="009319AE" w:rsidRPr="009319AE" w:rsidRDefault="009319AE" w:rsidP="009319AE">
            <w:pPr>
              <w:jc w:val="center"/>
              <w:outlineLvl w:val="1"/>
              <w:rPr>
                <w:rFonts w:ascii="Arial" w:eastAsia="STZhongsong" w:hAnsi="Arial"/>
                <w:sz w:val="24"/>
                <w:szCs w:val="24"/>
                <w:lang w:eastAsia="zh-CN"/>
              </w:rPr>
            </w:pPr>
            <w:r w:rsidRPr="009319AE">
              <w:rPr>
                <w:rFonts w:ascii="Arial" w:eastAsia="STZhongsong" w:hAnsi="Arial"/>
                <w:sz w:val="24"/>
                <w:szCs w:val="24"/>
                <w:lang w:eastAsia="zh-CN"/>
              </w:rPr>
              <w:t>1</w:t>
            </w:r>
          </w:p>
        </w:tc>
        <w:tc>
          <w:tcPr>
            <w:tcW w:w="1911" w:type="dxa"/>
          </w:tcPr>
          <w:p w14:paraId="41B48B90" w14:textId="77777777" w:rsidR="009319AE" w:rsidRPr="009319AE" w:rsidRDefault="009319AE" w:rsidP="009319AE">
            <w:pPr>
              <w:jc w:val="left"/>
              <w:outlineLvl w:val="1"/>
              <w:rPr>
                <w:rFonts w:ascii="Arial" w:eastAsia="STZhongsong" w:hAnsi="Arial"/>
                <w:sz w:val="24"/>
                <w:szCs w:val="24"/>
                <w:lang w:eastAsia="zh-CN"/>
              </w:rPr>
            </w:pPr>
            <w:r w:rsidRPr="009319AE">
              <w:rPr>
                <w:rFonts w:ascii="Arial" w:eastAsia="STZhongsong" w:hAnsi="Arial"/>
                <w:sz w:val="24"/>
                <w:szCs w:val="24"/>
                <w:lang w:eastAsia="zh-CN"/>
              </w:rPr>
              <w:t>Weekly project updates</w:t>
            </w:r>
          </w:p>
        </w:tc>
        <w:tc>
          <w:tcPr>
            <w:tcW w:w="3637" w:type="dxa"/>
          </w:tcPr>
          <w:p w14:paraId="465AE31D" w14:textId="77777777" w:rsidR="009319AE" w:rsidRPr="009319AE" w:rsidRDefault="009319AE" w:rsidP="009319AE">
            <w:pPr>
              <w:jc w:val="left"/>
              <w:outlineLvl w:val="1"/>
              <w:rPr>
                <w:rFonts w:ascii="Arial" w:eastAsia="STZhongsong" w:hAnsi="Arial"/>
                <w:sz w:val="24"/>
                <w:szCs w:val="24"/>
                <w:lang w:eastAsia="zh-CN"/>
              </w:rPr>
            </w:pPr>
            <w:r w:rsidRPr="009319AE">
              <w:rPr>
                <w:rFonts w:ascii="Arial" w:eastAsia="STZhongsong" w:hAnsi="Arial"/>
                <w:sz w:val="24"/>
                <w:szCs w:val="24"/>
                <w:lang w:eastAsia="zh-CN"/>
              </w:rPr>
              <w:t>The Supplier will be expected to update the Customer on project progress on at least a weekly basis via a meeting or phone call, including to flag any issues or early findings.</w:t>
            </w:r>
          </w:p>
        </w:tc>
        <w:tc>
          <w:tcPr>
            <w:tcW w:w="1588" w:type="dxa"/>
          </w:tcPr>
          <w:p w14:paraId="27C7AB2D"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100%</w:t>
            </w:r>
          </w:p>
        </w:tc>
      </w:tr>
      <w:tr w:rsidR="009319AE" w:rsidRPr="009319AE" w14:paraId="50C2AD54" w14:textId="77777777" w:rsidTr="00770A67">
        <w:tc>
          <w:tcPr>
            <w:tcW w:w="1163" w:type="dxa"/>
          </w:tcPr>
          <w:p w14:paraId="0EDE56A1" w14:textId="77777777" w:rsidR="009319AE" w:rsidRPr="009319AE" w:rsidRDefault="009319AE" w:rsidP="009319AE">
            <w:pPr>
              <w:jc w:val="center"/>
              <w:outlineLvl w:val="1"/>
              <w:rPr>
                <w:rFonts w:ascii="Arial" w:eastAsia="STZhongsong" w:hAnsi="Arial"/>
                <w:sz w:val="24"/>
                <w:szCs w:val="24"/>
                <w:lang w:eastAsia="zh-CN"/>
              </w:rPr>
            </w:pPr>
            <w:r w:rsidRPr="009319AE">
              <w:rPr>
                <w:rFonts w:ascii="Arial" w:eastAsia="STZhongsong" w:hAnsi="Arial"/>
                <w:sz w:val="24"/>
                <w:szCs w:val="24"/>
                <w:lang w:eastAsia="zh-CN"/>
              </w:rPr>
              <w:t>2</w:t>
            </w:r>
          </w:p>
        </w:tc>
        <w:tc>
          <w:tcPr>
            <w:tcW w:w="1911" w:type="dxa"/>
          </w:tcPr>
          <w:p w14:paraId="02AE0F58"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Reports and documentations</w:t>
            </w:r>
          </w:p>
        </w:tc>
        <w:tc>
          <w:tcPr>
            <w:tcW w:w="3637" w:type="dxa"/>
          </w:tcPr>
          <w:p w14:paraId="6A8F66ED"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Reports and documentation should cover scope and requirements set out in sections 5 and 6.</w:t>
            </w:r>
          </w:p>
        </w:tc>
        <w:tc>
          <w:tcPr>
            <w:tcW w:w="1588" w:type="dxa"/>
          </w:tcPr>
          <w:p w14:paraId="1A6C88A4"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100%</w:t>
            </w:r>
          </w:p>
        </w:tc>
      </w:tr>
      <w:tr w:rsidR="009319AE" w:rsidRPr="009319AE" w14:paraId="227D29FE" w14:textId="77777777" w:rsidTr="00770A67">
        <w:tc>
          <w:tcPr>
            <w:tcW w:w="1163" w:type="dxa"/>
          </w:tcPr>
          <w:p w14:paraId="578060BB" w14:textId="77777777" w:rsidR="009319AE" w:rsidRPr="009319AE" w:rsidRDefault="009319AE" w:rsidP="009319AE">
            <w:pPr>
              <w:jc w:val="center"/>
              <w:outlineLvl w:val="1"/>
              <w:rPr>
                <w:rFonts w:ascii="Arial" w:eastAsia="STZhongsong" w:hAnsi="Arial"/>
                <w:sz w:val="24"/>
                <w:szCs w:val="24"/>
                <w:lang w:eastAsia="zh-CN"/>
              </w:rPr>
            </w:pPr>
            <w:r w:rsidRPr="009319AE">
              <w:rPr>
                <w:rFonts w:ascii="Arial" w:eastAsia="STZhongsong" w:hAnsi="Arial"/>
                <w:sz w:val="24"/>
                <w:szCs w:val="24"/>
                <w:lang w:eastAsia="zh-CN"/>
              </w:rPr>
              <w:t>3</w:t>
            </w:r>
          </w:p>
        </w:tc>
        <w:tc>
          <w:tcPr>
            <w:tcW w:w="1911" w:type="dxa"/>
          </w:tcPr>
          <w:p w14:paraId="730BD161"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Account Management</w:t>
            </w:r>
          </w:p>
        </w:tc>
        <w:tc>
          <w:tcPr>
            <w:tcW w:w="3637" w:type="dxa"/>
          </w:tcPr>
          <w:p w14:paraId="276C6236"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Respond with resolutions to any issues within 5 working days.</w:t>
            </w:r>
          </w:p>
        </w:tc>
        <w:tc>
          <w:tcPr>
            <w:tcW w:w="1588" w:type="dxa"/>
          </w:tcPr>
          <w:p w14:paraId="040081B8"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100%</w:t>
            </w:r>
          </w:p>
        </w:tc>
      </w:tr>
      <w:tr w:rsidR="009319AE" w:rsidRPr="009319AE" w14:paraId="306F2298" w14:textId="77777777" w:rsidTr="00770A67">
        <w:tc>
          <w:tcPr>
            <w:tcW w:w="1163" w:type="dxa"/>
          </w:tcPr>
          <w:p w14:paraId="36C0A6F4" w14:textId="77777777" w:rsidR="009319AE" w:rsidRPr="009319AE" w:rsidRDefault="009319AE" w:rsidP="009319AE">
            <w:pPr>
              <w:jc w:val="center"/>
              <w:outlineLvl w:val="1"/>
              <w:rPr>
                <w:rFonts w:ascii="Arial" w:eastAsia="STZhongsong" w:hAnsi="Arial"/>
                <w:sz w:val="24"/>
                <w:szCs w:val="24"/>
                <w:lang w:eastAsia="zh-CN"/>
              </w:rPr>
            </w:pPr>
            <w:r w:rsidRPr="009319AE">
              <w:rPr>
                <w:rFonts w:ascii="Arial" w:eastAsia="STZhongsong" w:hAnsi="Arial"/>
                <w:sz w:val="24"/>
                <w:szCs w:val="24"/>
                <w:lang w:eastAsia="zh-CN"/>
              </w:rPr>
              <w:t>4</w:t>
            </w:r>
          </w:p>
        </w:tc>
        <w:tc>
          <w:tcPr>
            <w:tcW w:w="1911" w:type="dxa"/>
          </w:tcPr>
          <w:p w14:paraId="17D1A287"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Quality</w:t>
            </w:r>
          </w:p>
        </w:tc>
        <w:tc>
          <w:tcPr>
            <w:tcW w:w="3637" w:type="dxa"/>
          </w:tcPr>
          <w:p w14:paraId="6054DE3F"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Adherence to quality assurance outlined in section 12.</w:t>
            </w:r>
          </w:p>
        </w:tc>
        <w:tc>
          <w:tcPr>
            <w:tcW w:w="1588" w:type="dxa"/>
          </w:tcPr>
          <w:p w14:paraId="32DF027C" w14:textId="77777777" w:rsidR="009319AE" w:rsidRPr="009319AE" w:rsidRDefault="009319AE" w:rsidP="009319AE">
            <w:pPr>
              <w:outlineLvl w:val="1"/>
              <w:rPr>
                <w:rFonts w:ascii="Arial" w:eastAsia="STZhongsong" w:hAnsi="Arial"/>
                <w:sz w:val="24"/>
                <w:szCs w:val="24"/>
                <w:lang w:eastAsia="zh-CN"/>
              </w:rPr>
            </w:pPr>
            <w:r w:rsidRPr="009319AE">
              <w:rPr>
                <w:rFonts w:ascii="Arial" w:eastAsia="STZhongsong" w:hAnsi="Arial"/>
                <w:sz w:val="24"/>
                <w:szCs w:val="24"/>
                <w:lang w:eastAsia="zh-CN"/>
              </w:rPr>
              <w:t>100%</w:t>
            </w:r>
          </w:p>
        </w:tc>
      </w:tr>
    </w:tbl>
    <w:p w14:paraId="328EE900"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ind w:left="720"/>
        <w:outlineLvl w:val="1"/>
        <w:rPr>
          <w:rFonts w:ascii="Arial" w:eastAsia="STZhongsong" w:hAnsi="Arial" w:cs="Times New Roman"/>
          <w:color w:val="auto"/>
          <w:szCs w:val="20"/>
          <w:lang w:eastAsia="zh-CN"/>
        </w:rPr>
      </w:pPr>
    </w:p>
    <w:p w14:paraId="2F8D7F4A" w14:textId="1AFA4041"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adjustRightInd w:val="0"/>
        <w:spacing w:after="120"/>
        <w:outlineLvl w:val="0"/>
        <w:rPr>
          <w:rFonts w:ascii="Arial" w:eastAsia="STZhongsong" w:hAnsi="Arial" w:cs="Times New Roman"/>
          <w:b/>
          <w:caps/>
          <w:color w:val="auto"/>
          <w:sz w:val="32"/>
          <w:szCs w:val="32"/>
          <w:lang w:eastAsia="zh-CN"/>
        </w:rPr>
      </w:pPr>
      <w:bookmarkStart w:id="55" w:name="_Toc368573040"/>
      <w:bookmarkStart w:id="56" w:name="_Toc522714849"/>
      <w:r w:rsidRPr="004A7D88">
        <w:rPr>
          <w:rFonts w:ascii="Arial" w:eastAsia="STZhongsong" w:hAnsi="Arial" w:cs="Times New Roman"/>
          <w:b/>
          <w:caps/>
          <w:color w:val="auto"/>
          <w:sz w:val="32"/>
          <w:szCs w:val="32"/>
          <w:lang w:eastAsia="zh-CN"/>
        </w:rPr>
        <w:t>Security and CONFIDENTIALITY requirements</w:t>
      </w:r>
      <w:bookmarkEnd w:id="55"/>
      <w:bookmarkEnd w:id="56"/>
    </w:p>
    <w:p w14:paraId="62590F00"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Due care must be taken by the Supplier to protect the confidentiality of all analysis and outputs (including in development and draft phases) relating to this requirement, to avoid pre-empting the Customer’s placement of the final report or any of its contents into the public domain.</w:t>
      </w:r>
    </w:p>
    <w:p w14:paraId="0DA15A08" w14:textId="77777777" w:rsidR="009319AE" w:rsidRPr="009319AE" w:rsidRDefault="009319AE" w:rsidP="00643CD6">
      <w:p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 w:val="24"/>
          <w:szCs w:val="24"/>
          <w:lang w:eastAsia="zh-CN"/>
        </w:rPr>
      </w:pPr>
    </w:p>
    <w:p w14:paraId="02078F05" w14:textId="106E0B88"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57" w:name="_Toc522714850"/>
      <w:bookmarkStart w:id="58" w:name="_Toc368573042"/>
      <w:r w:rsidRPr="004A7D88">
        <w:rPr>
          <w:rFonts w:ascii="Arial" w:eastAsia="STZhongsong" w:hAnsi="Arial" w:cs="Arial"/>
          <w:b/>
          <w:caps/>
          <w:color w:val="auto"/>
          <w:sz w:val="32"/>
          <w:szCs w:val="32"/>
          <w:lang w:eastAsia="zh-CN"/>
        </w:rPr>
        <w:t>payment AND INVOICING</w:t>
      </w:r>
      <w:bookmarkEnd w:id="57"/>
      <w:r w:rsidRPr="004A7D88">
        <w:rPr>
          <w:rFonts w:ascii="Arial" w:eastAsia="STZhongsong" w:hAnsi="Arial" w:cs="Arial"/>
          <w:b/>
          <w:caps/>
          <w:color w:val="auto"/>
          <w:sz w:val="32"/>
          <w:szCs w:val="32"/>
          <w:lang w:eastAsia="zh-CN"/>
        </w:rPr>
        <w:t xml:space="preserve"> </w:t>
      </w:r>
    </w:p>
    <w:p w14:paraId="77066970"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outlineLvl w:val="1"/>
        <w:rPr>
          <w:rFonts w:ascii="Arial" w:eastAsia="STZhongsong" w:hAnsi="Arial" w:cs="Times New Roman"/>
          <w:color w:val="auto"/>
          <w:sz w:val="24"/>
          <w:szCs w:val="24"/>
          <w:lang w:eastAsia="zh-CN"/>
        </w:rPr>
      </w:pPr>
      <w:r w:rsidRPr="009319AE">
        <w:rPr>
          <w:rFonts w:ascii="Arial" w:eastAsia="STZhongsong" w:hAnsi="Arial" w:cs="Arial"/>
          <w:sz w:val="24"/>
          <w:szCs w:val="24"/>
          <w:shd w:val="clear" w:color="auto" w:fill="FFFFFF"/>
          <w:lang w:eastAsia="zh-CN"/>
        </w:rPr>
        <w:t xml:space="preserve">Payment can only be made following satisfactory delivery of pre-agreed certified products and deliverables. </w:t>
      </w:r>
    </w:p>
    <w:p w14:paraId="4C07D77D"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outlineLvl w:val="1"/>
        <w:rPr>
          <w:rFonts w:ascii="Arial" w:eastAsia="STZhongsong" w:hAnsi="Arial" w:cs="Times New Roman"/>
          <w:color w:val="auto"/>
          <w:sz w:val="24"/>
          <w:szCs w:val="24"/>
          <w:lang w:eastAsia="zh-CN"/>
        </w:rPr>
      </w:pPr>
      <w:r w:rsidRPr="009319AE">
        <w:rPr>
          <w:rFonts w:ascii="Arial" w:eastAsia="STZhongsong" w:hAnsi="Arial" w:cs="Arial"/>
          <w:sz w:val="24"/>
          <w:szCs w:val="24"/>
          <w:shd w:val="clear" w:color="auto" w:fill="FFFFFF"/>
          <w:lang w:eastAsia="zh-CN"/>
        </w:rPr>
        <w:t xml:space="preserve">Before payment can be considered, each invoice must include a detailed elemental breakdown of work completed and the associated costs. </w:t>
      </w:r>
    </w:p>
    <w:p w14:paraId="63E2B33F"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outlineLvl w:val="1"/>
        <w:rPr>
          <w:rFonts w:ascii="Arial" w:eastAsia="STZhongsong" w:hAnsi="Arial" w:cs="Times New Roman"/>
          <w:color w:val="auto"/>
          <w:sz w:val="24"/>
          <w:szCs w:val="24"/>
          <w:lang w:eastAsia="zh-CN"/>
        </w:rPr>
      </w:pPr>
      <w:r w:rsidRPr="009319AE">
        <w:rPr>
          <w:rFonts w:ascii="Arial" w:eastAsia="STZhongsong" w:hAnsi="Arial" w:cs="Arial"/>
          <w:sz w:val="24"/>
          <w:szCs w:val="24"/>
          <w:shd w:val="clear" w:color="auto" w:fill="FFFFFF"/>
          <w:lang w:eastAsia="zh-CN"/>
        </w:rPr>
        <w:t xml:space="preserve">Invoices should be submitted to: </w:t>
      </w:r>
      <w:hyperlink r:id="rId11" w:history="1">
        <w:r w:rsidRPr="009319AE">
          <w:rPr>
            <w:rFonts w:ascii="Arial" w:eastAsia="STZhongsong" w:hAnsi="Arial" w:cs="Arial"/>
            <w:color w:val="0000FF"/>
            <w:sz w:val="24"/>
            <w:szCs w:val="24"/>
            <w:u w:val="single"/>
            <w:shd w:val="clear" w:color="auto" w:fill="FFFFFF"/>
            <w:lang w:eastAsia="zh-CN"/>
          </w:rPr>
          <w:t>invoicequerries@hmtreasury.gov.uk</w:t>
        </w:r>
      </w:hyperlink>
      <w:r w:rsidRPr="009319AE">
        <w:rPr>
          <w:rFonts w:ascii="Arial" w:eastAsia="STZhongsong" w:hAnsi="Arial" w:cs="Arial"/>
          <w:sz w:val="24"/>
          <w:szCs w:val="24"/>
          <w:shd w:val="clear" w:color="auto" w:fill="FFFFFF"/>
          <w:lang w:eastAsia="zh-CN"/>
        </w:rPr>
        <w:t xml:space="preserve">  </w:t>
      </w:r>
    </w:p>
    <w:p w14:paraId="19B0BAC1" w14:textId="627955D8" w:rsidR="009319AE" w:rsidRPr="009319AE" w:rsidRDefault="009319AE" w:rsidP="004A7D88">
      <w:pPr>
        <w:numPr>
          <w:ilvl w:val="1"/>
          <w:numId w:val="0"/>
        </w:numPr>
        <w:pBdr>
          <w:top w:val="none" w:sz="0" w:space="0" w:color="auto"/>
          <w:left w:val="none" w:sz="0" w:space="0" w:color="auto"/>
          <w:bottom w:val="none" w:sz="0" w:space="0" w:color="auto"/>
          <w:right w:val="none" w:sz="0" w:space="0" w:color="auto"/>
          <w:between w:val="none" w:sz="0" w:space="0" w:color="auto"/>
        </w:pBdr>
        <w:adjustRightInd w:val="0"/>
        <w:outlineLvl w:val="1"/>
        <w:rPr>
          <w:rFonts w:ascii="Arial" w:eastAsia="STZhongsong" w:hAnsi="Arial" w:cs="Times New Roman"/>
          <w:color w:val="auto"/>
          <w:sz w:val="24"/>
          <w:szCs w:val="24"/>
          <w:lang w:eastAsia="zh-CN"/>
        </w:rPr>
      </w:pPr>
      <w:r w:rsidRPr="009319AE">
        <w:rPr>
          <w:rFonts w:ascii="Arial" w:eastAsia="STZhongsong" w:hAnsi="Arial" w:cs="Arial"/>
          <w:sz w:val="24"/>
          <w:szCs w:val="24"/>
          <w:shd w:val="clear" w:color="auto" w:fill="FFFFFF"/>
          <w:lang w:eastAsia="zh-CN"/>
        </w:rPr>
        <w:t>Invoices must include the contract reference number stated clearly. The contract reference number will be provided by the Customer once the Supplier is appointed.</w:t>
      </w:r>
    </w:p>
    <w:p w14:paraId="2BF934F6" w14:textId="00B61CD2"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textAlignment w:val="baseline"/>
        <w:outlineLvl w:val="0"/>
        <w:rPr>
          <w:rFonts w:ascii="Arial" w:eastAsia="STZhongsong" w:hAnsi="Arial" w:cs="Arial"/>
          <w:b/>
          <w:caps/>
          <w:color w:val="auto"/>
          <w:sz w:val="32"/>
          <w:szCs w:val="32"/>
          <w:lang w:eastAsia="zh-CN"/>
        </w:rPr>
      </w:pPr>
      <w:bookmarkStart w:id="59" w:name="_Toc522714851"/>
      <w:bookmarkEnd w:id="58"/>
      <w:r w:rsidRPr="004A7D88">
        <w:rPr>
          <w:rFonts w:ascii="Arial" w:eastAsia="STZhongsong" w:hAnsi="Arial" w:cs="Arial"/>
          <w:b/>
          <w:caps/>
          <w:color w:val="auto"/>
          <w:sz w:val="32"/>
          <w:szCs w:val="32"/>
          <w:lang w:eastAsia="zh-CN"/>
        </w:rPr>
        <w:lastRenderedPageBreak/>
        <w:t>CONTRACT MANAGEMENT</w:t>
      </w:r>
      <w:bookmarkEnd w:id="59"/>
      <w:r w:rsidRPr="004A7D88">
        <w:rPr>
          <w:rFonts w:ascii="Arial" w:eastAsia="STZhongsong" w:hAnsi="Arial" w:cs="Arial"/>
          <w:b/>
          <w:caps/>
          <w:color w:val="auto"/>
          <w:sz w:val="32"/>
          <w:szCs w:val="32"/>
          <w:lang w:eastAsia="zh-CN"/>
        </w:rPr>
        <w:t xml:space="preserve"> </w:t>
      </w:r>
    </w:p>
    <w:p w14:paraId="127199B6"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outlineLvl w:val="1"/>
        <w:rPr>
          <w:rFonts w:ascii="Arial" w:eastAsia="STZhongsong" w:hAnsi="Arial" w:cs="Arial"/>
          <w:color w:val="auto"/>
          <w:sz w:val="24"/>
          <w:szCs w:val="24"/>
          <w:lang w:eastAsia="zh-CN"/>
        </w:rPr>
      </w:pPr>
      <w:r w:rsidRPr="009319AE">
        <w:rPr>
          <w:rFonts w:ascii="Arial" w:eastAsia="STZhongsong" w:hAnsi="Arial" w:cs="Times New Roman"/>
          <w:color w:val="auto"/>
          <w:sz w:val="24"/>
          <w:szCs w:val="24"/>
          <w:lang w:eastAsia="zh-CN"/>
        </w:rPr>
        <w:t>See sections 7 (Key Milestones and Deliverables) and section 8 (Management Information/Reporting).</w:t>
      </w:r>
    </w:p>
    <w:p w14:paraId="2B229484" w14:textId="77777777" w:rsidR="009319AE" w:rsidRPr="009319AE" w:rsidRDefault="009319AE" w:rsidP="00643CD6">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0"/>
        </w:tabs>
        <w:adjustRightInd w:val="0"/>
        <w:spacing w:after="120"/>
        <w:outlineLvl w:val="1"/>
        <w:rPr>
          <w:rFonts w:ascii="Arial" w:eastAsia="STZhongsong" w:hAnsi="Arial" w:cs="Times New Roman"/>
          <w:color w:val="auto"/>
          <w:sz w:val="24"/>
          <w:szCs w:val="24"/>
          <w:lang w:eastAsia="zh-CN"/>
        </w:rPr>
      </w:pPr>
      <w:r w:rsidRPr="009319AE">
        <w:rPr>
          <w:rFonts w:ascii="Arial" w:eastAsia="STZhongsong" w:hAnsi="Arial" w:cs="Times New Roman"/>
          <w:color w:val="auto"/>
          <w:sz w:val="24"/>
          <w:szCs w:val="24"/>
          <w:lang w:eastAsia="zh-CN"/>
        </w:rPr>
        <w:t>Attendance at Contract Review meetings shall be at the Supplier’s own expense.</w:t>
      </w:r>
    </w:p>
    <w:p w14:paraId="68A844AC"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color w:val="auto"/>
          <w:sz w:val="24"/>
          <w:szCs w:val="24"/>
          <w:lang w:eastAsia="zh-CN"/>
        </w:rPr>
      </w:pPr>
    </w:p>
    <w:p w14:paraId="1A5F6795" w14:textId="474B7663" w:rsidR="009319AE" w:rsidRPr="004A7D88" w:rsidRDefault="009319AE" w:rsidP="004A7D88">
      <w:pPr>
        <w:pStyle w:val="ListParagraph"/>
        <w:keepNext/>
        <w:numPr>
          <w:ilvl w:val="0"/>
          <w:numId w:val="4"/>
        </w:numPr>
        <w:pBdr>
          <w:top w:val="none" w:sz="0" w:space="0" w:color="auto"/>
          <w:left w:val="none" w:sz="0" w:space="0" w:color="auto"/>
          <w:bottom w:val="none" w:sz="0" w:space="0" w:color="auto"/>
          <w:right w:val="none" w:sz="0" w:space="0" w:color="auto"/>
          <w:between w:val="none" w:sz="0" w:space="0" w:color="auto"/>
        </w:pBdr>
        <w:adjustRightInd w:val="0"/>
        <w:spacing w:after="120"/>
        <w:outlineLvl w:val="0"/>
        <w:rPr>
          <w:rFonts w:ascii="Arial" w:eastAsia="STZhongsong" w:hAnsi="Arial" w:cs="Times New Roman"/>
          <w:b/>
          <w:caps/>
          <w:color w:val="auto"/>
          <w:sz w:val="32"/>
          <w:szCs w:val="32"/>
          <w:lang w:eastAsia="zh-CN"/>
        </w:rPr>
      </w:pPr>
      <w:bookmarkStart w:id="60" w:name="_Toc368573043"/>
      <w:bookmarkStart w:id="61" w:name="_Toc522714852"/>
      <w:bookmarkEnd w:id="39"/>
      <w:r w:rsidRPr="004A7D88">
        <w:rPr>
          <w:rFonts w:ascii="Arial" w:eastAsia="STZhongsong" w:hAnsi="Arial" w:cs="Times New Roman"/>
          <w:b/>
          <w:caps/>
          <w:color w:val="auto"/>
          <w:sz w:val="32"/>
          <w:szCs w:val="32"/>
          <w:lang w:eastAsia="zh-CN"/>
        </w:rPr>
        <w:t>Location</w:t>
      </w:r>
      <w:bookmarkEnd w:id="60"/>
      <w:bookmarkEnd w:id="61"/>
      <w:r w:rsidRPr="004A7D88">
        <w:rPr>
          <w:rFonts w:ascii="Arial" w:eastAsia="STZhongsong" w:hAnsi="Arial" w:cs="Times New Roman"/>
          <w:b/>
          <w:caps/>
          <w:color w:val="auto"/>
          <w:sz w:val="32"/>
          <w:szCs w:val="32"/>
          <w:lang w:eastAsia="zh-CN"/>
        </w:rPr>
        <w:t xml:space="preserve"> </w:t>
      </w:r>
    </w:p>
    <w:p w14:paraId="59158496"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adjustRightInd w:val="0"/>
        <w:spacing w:after="120"/>
        <w:outlineLvl w:val="1"/>
        <w:rPr>
          <w:rFonts w:ascii="Arial" w:eastAsia="STZhongsong" w:hAnsi="Arial" w:cs="Times New Roman"/>
          <w:color w:val="auto"/>
          <w:szCs w:val="20"/>
          <w:lang w:eastAsia="zh-CN"/>
        </w:rPr>
      </w:pPr>
      <w:r w:rsidRPr="009319AE">
        <w:rPr>
          <w:rFonts w:ascii="Arial" w:eastAsia="STZhongsong" w:hAnsi="Arial" w:cs="Times New Roman"/>
          <w:color w:val="auto"/>
          <w:sz w:val="24"/>
          <w:szCs w:val="24"/>
          <w:lang w:eastAsia="zh-CN"/>
        </w:rPr>
        <w:t>The location of the Services will be carried out at the Offices of the Supplier. Should government policy on management of Covid-19 related health and safety permit, some meetings with the NIC may take place at the NIC’s offices in Finlaison House,15-17 Furnival Street, London EC4A 1AB, or at other locations in central London.</w:t>
      </w:r>
    </w:p>
    <w:p w14:paraId="298C56F2" w14:textId="77777777" w:rsidR="009319AE" w:rsidRPr="009319AE" w:rsidRDefault="009319AE" w:rsidP="009319AE">
      <w:pPr>
        <w:pBdr>
          <w:top w:val="none" w:sz="0" w:space="0" w:color="auto"/>
          <w:left w:val="none" w:sz="0" w:space="0" w:color="auto"/>
          <w:bottom w:val="none" w:sz="0" w:space="0" w:color="auto"/>
          <w:right w:val="none" w:sz="0" w:space="0" w:color="auto"/>
          <w:between w:val="none" w:sz="0" w:space="0" w:color="auto"/>
        </w:pBdr>
        <w:tabs>
          <w:tab w:val="left" w:pos="1392"/>
        </w:tabs>
        <w:spacing w:after="0"/>
        <w:jc w:val="left"/>
        <w:rPr>
          <w:rFonts w:ascii="Arial" w:eastAsia="STZhongsong" w:hAnsi="Arial" w:cs="Times New Roman"/>
          <w:color w:val="auto"/>
          <w:szCs w:val="20"/>
          <w:lang w:eastAsia="zh-CN"/>
        </w:rPr>
      </w:pPr>
    </w:p>
    <w:p w14:paraId="54068817" w14:textId="77777777" w:rsidR="009319AE" w:rsidRDefault="009319AE" w:rsidP="00AE43BF">
      <w:pPr>
        <w:jc w:val="center"/>
        <w:rPr>
          <w:rFonts w:ascii="Arial" w:eastAsia="Arial" w:hAnsi="Arial" w:cs="Arial"/>
          <w:sz w:val="24"/>
          <w:szCs w:val="24"/>
        </w:rPr>
      </w:pPr>
    </w:p>
    <w:p w14:paraId="30657CC0" w14:textId="77777777" w:rsidR="009319AE" w:rsidRDefault="009319AE" w:rsidP="00AE43BF">
      <w:pPr>
        <w:jc w:val="center"/>
        <w:rPr>
          <w:rFonts w:ascii="Arial" w:eastAsia="Arial" w:hAnsi="Arial" w:cs="Arial"/>
          <w:sz w:val="24"/>
          <w:szCs w:val="24"/>
        </w:rPr>
      </w:pPr>
    </w:p>
    <w:p w14:paraId="123E1056" w14:textId="5E9A0484" w:rsidR="009319AE" w:rsidRDefault="009319AE" w:rsidP="00B02396">
      <w:pPr>
        <w:rPr>
          <w:rFonts w:ascii="Arial" w:eastAsia="Arial" w:hAnsi="Arial" w:cs="Arial"/>
          <w:sz w:val="24"/>
          <w:szCs w:val="24"/>
        </w:rPr>
      </w:pPr>
    </w:p>
    <w:p w14:paraId="0EB65311" w14:textId="77777777" w:rsidR="009319AE" w:rsidRDefault="009319AE" w:rsidP="00AE43BF">
      <w:pPr>
        <w:jc w:val="center"/>
        <w:rPr>
          <w:rFonts w:ascii="Arial" w:eastAsia="Arial" w:hAnsi="Arial" w:cs="Arial"/>
          <w:sz w:val="24"/>
          <w:szCs w:val="24"/>
        </w:rPr>
      </w:pPr>
    </w:p>
    <w:p w14:paraId="0B1931A3" w14:textId="5BCE26E0" w:rsidR="0013786D" w:rsidRPr="004A7D88" w:rsidRDefault="002E7F3C" w:rsidP="00AE43BF">
      <w:pPr>
        <w:jc w:val="center"/>
        <w:rPr>
          <w:rFonts w:ascii="Arial" w:eastAsia="Arial" w:hAnsi="Arial" w:cs="Arial"/>
          <w:sz w:val="24"/>
        </w:rPr>
      </w:pPr>
      <w:r w:rsidRPr="004A7D88">
        <w:rPr>
          <w:rFonts w:ascii="Arial" w:eastAsia="Arial" w:hAnsi="Arial" w:cs="Arial"/>
          <w:b/>
          <w:smallCaps/>
          <w:sz w:val="28"/>
          <w:szCs w:val="24"/>
        </w:rPr>
        <w:t>Annex B</w:t>
      </w:r>
    </w:p>
    <w:p w14:paraId="6091F6AE" w14:textId="3BFB4EE9" w:rsidR="0013786D" w:rsidRPr="004A7D88" w:rsidRDefault="002E7F3C">
      <w:pPr>
        <w:spacing w:after="100"/>
        <w:jc w:val="center"/>
        <w:rPr>
          <w:rFonts w:ascii="Arial" w:eastAsia="Arial" w:hAnsi="Arial" w:cs="Arial"/>
          <w:sz w:val="28"/>
          <w:szCs w:val="24"/>
        </w:rPr>
      </w:pPr>
      <w:bookmarkStart w:id="62" w:name="1smtxgf" w:colFirst="0" w:colLast="0"/>
      <w:bookmarkEnd w:id="62"/>
      <w:r w:rsidRPr="004A7D88">
        <w:rPr>
          <w:rFonts w:ascii="Arial" w:eastAsia="Arial" w:hAnsi="Arial" w:cs="Arial"/>
          <w:b/>
          <w:sz w:val="28"/>
          <w:szCs w:val="24"/>
        </w:rPr>
        <w:t>Supplier Proposal</w:t>
      </w:r>
    </w:p>
    <w:p w14:paraId="61F47CB9" w14:textId="50BA1116" w:rsidR="0013786D" w:rsidRDefault="0013786D" w:rsidP="004B7EE7">
      <w:pPr>
        <w:spacing w:after="100"/>
        <w:rPr>
          <w:rFonts w:ascii="Arial" w:eastAsia="Arial" w:hAnsi="Arial" w:cs="Arial"/>
          <w:sz w:val="24"/>
          <w:szCs w:val="24"/>
        </w:rPr>
      </w:pPr>
      <w:bookmarkStart w:id="63" w:name="4cmhg48" w:colFirst="0" w:colLast="0"/>
      <w:bookmarkEnd w:id="63"/>
    </w:p>
    <w:p w14:paraId="2A1B208C" w14:textId="04A70A0B" w:rsidR="0013786D" w:rsidRDefault="00B02396" w:rsidP="00B02396">
      <w:pPr>
        <w:spacing w:after="100"/>
        <w:jc w:val="center"/>
        <w:rPr>
          <w:rFonts w:ascii="Arial" w:eastAsia="Arial" w:hAnsi="Arial" w:cs="Arial"/>
          <w:sz w:val="20"/>
          <w:szCs w:val="20"/>
        </w:rPr>
      </w:pPr>
      <w:r>
        <w:rPr>
          <w:rFonts w:ascii="Arial" w:eastAsia="Times New Roman" w:hAnsi="Arial" w:cs="Arial"/>
        </w:rPr>
        <w:t>REDACTED</w:t>
      </w:r>
    </w:p>
    <w:p w14:paraId="6DBC712D" w14:textId="77777777" w:rsidR="0013786D" w:rsidRDefault="0013786D" w:rsidP="00B02396">
      <w:pPr>
        <w:spacing w:after="100"/>
        <w:jc w:val="center"/>
        <w:rPr>
          <w:rFonts w:ascii="Arial" w:eastAsia="Arial" w:hAnsi="Arial" w:cs="Arial"/>
          <w:sz w:val="20"/>
          <w:szCs w:val="20"/>
        </w:rPr>
      </w:pPr>
    </w:p>
    <w:p w14:paraId="714EAEC6" w14:textId="77777777" w:rsidR="0013786D" w:rsidRDefault="0013786D" w:rsidP="00B02396">
      <w:pPr>
        <w:spacing w:after="100"/>
        <w:jc w:val="center"/>
        <w:rPr>
          <w:rFonts w:ascii="Arial" w:eastAsia="Arial" w:hAnsi="Arial" w:cs="Arial"/>
          <w:sz w:val="20"/>
          <w:szCs w:val="20"/>
        </w:rPr>
      </w:pPr>
    </w:p>
    <w:p w14:paraId="799FED5C" w14:textId="14437AD6" w:rsidR="00BF4780" w:rsidRPr="00C95C24" w:rsidRDefault="00BF4780" w:rsidP="00B02396">
      <w:pPr>
        <w:keepNext/>
        <w:spacing w:before="100" w:after="120" w:line="276" w:lineRule="auto"/>
        <w:rPr>
          <w:rFonts w:ascii="Arial" w:eastAsia="Arial" w:hAnsi="Arial" w:cs="Arial"/>
          <w:b/>
          <w:sz w:val="24"/>
          <w:szCs w:val="24"/>
        </w:rPr>
      </w:pPr>
      <w:bookmarkStart w:id="64" w:name="2rrrqc1" w:colFirst="0" w:colLast="0"/>
      <w:bookmarkStart w:id="65" w:name="_GoBack"/>
      <w:bookmarkEnd w:id="64"/>
      <w:bookmarkEnd w:id="65"/>
    </w:p>
    <w:p w14:paraId="60DCAEB6" w14:textId="74708D26" w:rsidR="0013786D" w:rsidRDefault="0013786D" w:rsidP="00B02396">
      <w:pPr>
        <w:tabs>
          <w:tab w:val="left" w:pos="175"/>
        </w:tabs>
        <w:spacing w:after="120"/>
        <w:ind w:left="170" w:hanging="170"/>
        <w:jc w:val="center"/>
        <w:rPr>
          <w:rFonts w:ascii="Arial" w:eastAsia="Arial" w:hAnsi="Arial" w:cs="Arial"/>
        </w:rPr>
      </w:pPr>
    </w:p>
    <w:sectPr w:rsidR="0013786D">
      <w:footerReference w:type="default" r:id="rId12"/>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3BF38" w14:textId="77777777" w:rsidR="001702AF" w:rsidRDefault="001702AF">
      <w:pPr>
        <w:spacing w:after="0"/>
      </w:pPr>
      <w:r>
        <w:separator/>
      </w:r>
    </w:p>
  </w:endnote>
  <w:endnote w:type="continuationSeparator" w:id="0">
    <w:p w14:paraId="382D6418" w14:textId="77777777" w:rsidR="001702AF" w:rsidRDefault="00170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275005BA"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B023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6DE06" w14:textId="77777777" w:rsidR="001702AF" w:rsidRDefault="001702AF">
      <w:pPr>
        <w:spacing w:after="0"/>
      </w:pPr>
      <w:r>
        <w:separator/>
      </w:r>
    </w:p>
  </w:footnote>
  <w:footnote w:type="continuationSeparator" w:id="0">
    <w:p w14:paraId="1AF25D3C" w14:textId="77777777" w:rsidR="001702AF" w:rsidRDefault="001702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110"/>
    <w:multiLevelType w:val="hybridMultilevel"/>
    <w:tmpl w:val="9E884DE6"/>
    <w:lvl w:ilvl="0" w:tplc="EDFED3B0">
      <w:start w:val="1"/>
      <w:numFmt w:val="bullet"/>
      <w:lvlText w:val="•"/>
      <w:lvlJc w:val="left"/>
      <w:pPr>
        <w:ind w:left="1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4907F6E">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24B0005C">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1898C0F2">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40E4CDE">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38A0D01E">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84AAEC7C">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E3055C8">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5CEE8C7A">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647046D"/>
    <w:multiLevelType w:val="hybridMultilevel"/>
    <w:tmpl w:val="D12E52BE"/>
    <w:lvl w:ilvl="0" w:tplc="BE02E2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9E1E8E">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F046BE">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4EF38E">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364DDE">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1A12F4">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2C2A9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B0AF8A">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CA05C8">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CA74CB"/>
    <w:multiLevelType w:val="hybridMultilevel"/>
    <w:tmpl w:val="AC1E820E"/>
    <w:lvl w:ilvl="0" w:tplc="F3F0E820">
      <w:start w:val="1"/>
      <w:numFmt w:val="bullet"/>
      <w:lvlText w:val="▪"/>
      <w:lvlJc w:val="left"/>
      <w:pPr>
        <w:ind w:left="7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0906366">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27C6394">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0BE0A80">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4A29B7A">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256AE8A">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2408D4">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6866668">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1F2FC66">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0C5CF1"/>
    <w:multiLevelType w:val="hybridMultilevel"/>
    <w:tmpl w:val="C0AADF4C"/>
    <w:lvl w:ilvl="0" w:tplc="0900B126">
      <w:start w:val="1"/>
      <w:numFmt w:val="bullet"/>
      <w:lvlText w:val="•"/>
      <w:lvlJc w:val="left"/>
      <w:pPr>
        <w:ind w:left="1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1A80620">
      <w:start w:val="1"/>
      <w:numFmt w:val="bullet"/>
      <w:lvlText w:val="o"/>
      <w:lvlJc w:val="left"/>
      <w:pPr>
        <w:ind w:left="11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4B5C61DE">
      <w:start w:val="1"/>
      <w:numFmt w:val="bullet"/>
      <w:lvlText w:val="▪"/>
      <w:lvlJc w:val="left"/>
      <w:pPr>
        <w:ind w:left="18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0BEE11E8">
      <w:start w:val="1"/>
      <w:numFmt w:val="bullet"/>
      <w:lvlText w:val="•"/>
      <w:lvlJc w:val="left"/>
      <w:pPr>
        <w:ind w:left="26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4498EC26">
      <w:start w:val="1"/>
      <w:numFmt w:val="bullet"/>
      <w:lvlText w:val="o"/>
      <w:lvlJc w:val="left"/>
      <w:pPr>
        <w:ind w:left="33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F3E8D678">
      <w:start w:val="1"/>
      <w:numFmt w:val="bullet"/>
      <w:lvlText w:val="▪"/>
      <w:lvlJc w:val="left"/>
      <w:pPr>
        <w:ind w:left="40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419208BC">
      <w:start w:val="1"/>
      <w:numFmt w:val="bullet"/>
      <w:lvlText w:val="•"/>
      <w:lvlJc w:val="left"/>
      <w:pPr>
        <w:ind w:left="47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5FD25BDC">
      <w:start w:val="1"/>
      <w:numFmt w:val="bullet"/>
      <w:lvlText w:val="o"/>
      <w:lvlJc w:val="left"/>
      <w:pPr>
        <w:ind w:left="54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91A87F3E">
      <w:start w:val="1"/>
      <w:numFmt w:val="bullet"/>
      <w:lvlText w:val="▪"/>
      <w:lvlJc w:val="left"/>
      <w:pPr>
        <w:ind w:left="62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33B66FF"/>
    <w:multiLevelType w:val="hybridMultilevel"/>
    <w:tmpl w:val="7F86A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E55F4B"/>
    <w:multiLevelType w:val="hybridMultilevel"/>
    <w:tmpl w:val="0644B31E"/>
    <w:lvl w:ilvl="0" w:tplc="2D965BBE">
      <w:start w:val="1"/>
      <w:numFmt w:val="decimal"/>
      <w:lvlText w:val="%1."/>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D401A4">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EC303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F852E2">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64C272">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3007C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440CE4">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688558">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4E6522">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C6619A"/>
    <w:multiLevelType w:val="hybridMultilevel"/>
    <w:tmpl w:val="5D2251F6"/>
    <w:lvl w:ilvl="0" w:tplc="B1242E4C">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901D10">
      <w:start w:val="1"/>
      <w:numFmt w:val="lowerLetter"/>
      <w:lvlText w:val="%2"/>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92D586">
      <w:start w:val="1"/>
      <w:numFmt w:val="lowerRoman"/>
      <w:lvlText w:val="%3"/>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5FC0062">
      <w:start w:val="1"/>
      <w:numFmt w:val="decimal"/>
      <w:lvlText w:val="%4"/>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0681FC">
      <w:start w:val="1"/>
      <w:numFmt w:val="lowerLetter"/>
      <w:lvlText w:val="%5"/>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CE2E2E">
      <w:start w:val="1"/>
      <w:numFmt w:val="lowerRoman"/>
      <w:lvlText w:val="%6"/>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06266FC">
      <w:start w:val="1"/>
      <w:numFmt w:val="decimal"/>
      <w:lvlText w:val="%7"/>
      <w:lvlJc w:val="left"/>
      <w:pPr>
        <w:ind w:left="7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74F444">
      <w:start w:val="1"/>
      <w:numFmt w:val="lowerLetter"/>
      <w:lvlText w:val="%8"/>
      <w:lvlJc w:val="left"/>
      <w:pPr>
        <w:ind w:left="7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5C5146">
      <w:start w:val="1"/>
      <w:numFmt w:val="lowerRoman"/>
      <w:lvlText w:val="%9"/>
      <w:lvlJc w:val="left"/>
      <w:pPr>
        <w:ind w:left="8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8481CEE"/>
    <w:multiLevelType w:val="hybridMultilevel"/>
    <w:tmpl w:val="0D88A0D0"/>
    <w:lvl w:ilvl="0" w:tplc="B4BC3F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65F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D407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4658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5089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6E4F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DA8A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FA0C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DE77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ECA2950"/>
    <w:multiLevelType w:val="hybridMultilevel"/>
    <w:tmpl w:val="44C82212"/>
    <w:lvl w:ilvl="0" w:tplc="7D582B38">
      <w:start w:val="1"/>
      <w:numFmt w:val="decimal"/>
      <w:lvlText w:val="%1"/>
      <w:lvlJc w:val="left"/>
      <w:pPr>
        <w:ind w:left="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568CF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1E043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0A645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9220B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92484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F28E7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FA300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90697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1750840"/>
    <w:multiLevelType w:val="hybridMultilevel"/>
    <w:tmpl w:val="74E4AD82"/>
    <w:lvl w:ilvl="0" w:tplc="F29E3C84">
      <w:start w:val="1"/>
      <w:numFmt w:val="bullet"/>
      <w:lvlText w:val="•"/>
      <w:lvlJc w:val="left"/>
      <w:pPr>
        <w:ind w:left="1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AF673C8">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36E2F022">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E3EC56D0">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C068CAF2">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3F946E4A">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9A902774">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1398231C">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393E753E">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320D6186"/>
    <w:multiLevelType w:val="hybridMultilevel"/>
    <w:tmpl w:val="3520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01CBE"/>
    <w:multiLevelType w:val="hybridMultilevel"/>
    <w:tmpl w:val="C302A86A"/>
    <w:lvl w:ilvl="0" w:tplc="8C2AB612">
      <w:start w:val="1"/>
      <w:numFmt w:val="bullet"/>
      <w:lvlText w:val="▪"/>
      <w:lvlJc w:val="left"/>
      <w:pPr>
        <w:ind w:left="7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3D20C2E">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965524">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02A64EA">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7149C90">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8C0CB7E">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3289240">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F04AB4">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F9EF2C2">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B553413"/>
    <w:multiLevelType w:val="hybridMultilevel"/>
    <w:tmpl w:val="F10282B0"/>
    <w:lvl w:ilvl="0" w:tplc="17C649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D4C0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D455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207B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5086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C6D8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4EA3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9AF3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0061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4" w15:restartNumberingAfterBreak="0">
    <w:nsid w:val="4FDB594D"/>
    <w:multiLevelType w:val="hybridMultilevel"/>
    <w:tmpl w:val="5AC2606A"/>
    <w:lvl w:ilvl="0" w:tplc="21C6F8F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4CB348">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CEB4A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3A981A">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4423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663A2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FAB0A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0A0E5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E6A0C">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553A5FBE"/>
    <w:multiLevelType w:val="hybridMultilevel"/>
    <w:tmpl w:val="8D381A7A"/>
    <w:lvl w:ilvl="0" w:tplc="FA3C53F8">
      <w:start w:val="1"/>
      <w:numFmt w:val="bullet"/>
      <w:lvlText w:val="•"/>
      <w:lvlJc w:val="left"/>
      <w:pPr>
        <w:ind w:left="1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AE0C84A8">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7F567220">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C6541684">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300EF3BE">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65CCD5AA">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69902442">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5C048436">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7B52936E">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BAF74CF"/>
    <w:multiLevelType w:val="hybridMultilevel"/>
    <w:tmpl w:val="08727A88"/>
    <w:lvl w:ilvl="0" w:tplc="542A2548">
      <w:start w:val="1"/>
      <w:numFmt w:val="bullet"/>
      <w:lvlText w:val="•"/>
      <w:lvlJc w:val="left"/>
      <w:pPr>
        <w:ind w:left="1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A962A57C">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00D44802">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C08EBA96">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0F67208">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FBE4103E">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9AE0EED8">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81B0D58E">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237476BE">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6C8D3E9C"/>
    <w:multiLevelType w:val="hybridMultilevel"/>
    <w:tmpl w:val="68EA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95C1C"/>
    <w:multiLevelType w:val="hybridMultilevel"/>
    <w:tmpl w:val="DB66792C"/>
    <w:lvl w:ilvl="0" w:tplc="F794AE9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EB2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27E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5C3D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A4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AC9D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A2B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9A83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EC46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7FA0721"/>
    <w:multiLevelType w:val="hybridMultilevel"/>
    <w:tmpl w:val="54467EE0"/>
    <w:lvl w:ilvl="0" w:tplc="D8025C68">
      <w:start w:val="1"/>
      <w:numFmt w:val="bullet"/>
      <w:lvlText w:val="•"/>
      <w:lvlJc w:val="left"/>
      <w:pPr>
        <w:ind w:left="1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6B78423E">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B43E6574">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A914F40E">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57BC4DEE">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FF483934">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DD104170">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DB5E68D6">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4B8497CC">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23" w15:restartNumberingAfterBreak="0">
    <w:nsid w:val="7BD158C1"/>
    <w:multiLevelType w:val="hybridMultilevel"/>
    <w:tmpl w:val="4BC07CDA"/>
    <w:lvl w:ilvl="0" w:tplc="27F2EEA8">
      <w:start w:val="1"/>
      <w:numFmt w:val="bullet"/>
      <w:lvlText w:val="•"/>
      <w:lvlJc w:val="left"/>
      <w:pPr>
        <w:ind w:left="1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6B9CAC4E">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D1B0C910">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26585B98">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5EC4F0D6">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DFCADEBA">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182A85C6">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97CC78C">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D8B8C584">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num w:numId="1">
    <w:abstractNumId w:val="13"/>
  </w:num>
  <w:num w:numId="2">
    <w:abstractNumId w:val="21"/>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9"/>
  </w:num>
  <w:num w:numId="8">
    <w:abstractNumId w:val="1"/>
  </w:num>
  <w:num w:numId="9">
    <w:abstractNumId w:val="7"/>
  </w:num>
  <w:num w:numId="10">
    <w:abstractNumId w:val="2"/>
  </w:num>
  <w:num w:numId="11">
    <w:abstractNumId w:val="11"/>
  </w:num>
  <w:num w:numId="12">
    <w:abstractNumId w:val="14"/>
  </w:num>
  <w:num w:numId="13">
    <w:abstractNumId w:val="18"/>
  </w:num>
  <w:num w:numId="14">
    <w:abstractNumId w:val="23"/>
  </w:num>
  <w:num w:numId="15">
    <w:abstractNumId w:val="22"/>
  </w:num>
  <w:num w:numId="16">
    <w:abstractNumId w:val="3"/>
  </w:num>
  <w:num w:numId="17">
    <w:abstractNumId w:val="0"/>
  </w:num>
  <w:num w:numId="18">
    <w:abstractNumId w:val="16"/>
  </w:num>
  <w:num w:numId="19">
    <w:abstractNumId w:val="9"/>
  </w:num>
  <w:num w:numId="20">
    <w:abstractNumId w:val="12"/>
  </w:num>
  <w:num w:numId="21">
    <w:abstractNumId w:val="5"/>
  </w:num>
  <w:num w:numId="22">
    <w:abstractNumId w:val="8"/>
  </w:num>
  <w:num w:numId="23">
    <w:abstractNumId w:val="6"/>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C32"/>
    <w:rsid w:val="00073AA7"/>
    <w:rsid w:val="00075B0A"/>
    <w:rsid w:val="00082CCC"/>
    <w:rsid w:val="0009239F"/>
    <w:rsid w:val="000B2DE6"/>
    <w:rsid w:val="000C0875"/>
    <w:rsid w:val="000C3441"/>
    <w:rsid w:val="000C4AB2"/>
    <w:rsid w:val="000C732F"/>
    <w:rsid w:val="000D3988"/>
    <w:rsid w:val="00101164"/>
    <w:rsid w:val="0011690F"/>
    <w:rsid w:val="001175A9"/>
    <w:rsid w:val="00120963"/>
    <w:rsid w:val="0013127B"/>
    <w:rsid w:val="0013786D"/>
    <w:rsid w:val="00140887"/>
    <w:rsid w:val="00141779"/>
    <w:rsid w:val="00147C15"/>
    <w:rsid w:val="001516A9"/>
    <w:rsid w:val="001537C0"/>
    <w:rsid w:val="0015645B"/>
    <w:rsid w:val="001702AF"/>
    <w:rsid w:val="00182337"/>
    <w:rsid w:val="00184BC1"/>
    <w:rsid w:val="00184C9D"/>
    <w:rsid w:val="00186BF3"/>
    <w:rsid w:val="00186E7E"/>
    <w:rsid w:val="00197C67"/>
    <w:rsid w:val="001A1451"/>
    <w:rsid w:val="001B07F4"/>
    <w:rsid w:val="001C00B3"/>
    <w:rsid w:val="001D2688"/>
    <w:rsid w:val="001D47B1"/>
    <w:rsid w:val="001D62C1"/>
    <w:rsid w:val="001D6F48"/>
    <w:rsid w:val="001E6F69"/>
    <w:rsid w:val="001E7886"/>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51054"/>
    <w:rsid w:val="00384934"/>
    <w:rsid w:val="00387E5C"/>
    <w:rsid w:val="00390AA7"/>
    <w:rsid w:val="003A17D0"/>
    <w:rsid w:val="003B47F4"/>
    <w:rsid w:val="003C0D59"/>
    <w:rsid w:val="003C6645"/>
    <w:rsid w:val="003E28F1"/>
    <w:rsid w:val="003E644D"/>
    <w:rsid w:val="003F59DB"/>
    <w:rsid w:val="003F6CD9"/>
    <w:rsid w:val="00403D0D"/>
    <w:rsid w:val="00404BAB"/>
    <w:rsid w:val="00412467"/>
    <w:rsid w:val="0041540A"/>
    <w:rsid w:val="00416ACE"/>
    <w:rsid w:val="00425F2C"/>
    <w:rsid w:val="00431593"/>
    <w:rsid w:val="00434F83"/>
    <w:rsid w:val="00436BA1"/>
    <w:rsid w:val="00447A1F"/>
    <w:rsid w:val="00456062"/>
    <w:rsid w:val="00461901"/>
    <w:rsid w:val="004728EA"/>
    <w:rsid w:val="0048390C"/>
    <w:rsid w:val="0049010B"/>
    <w:rsid w:val="004A0B83"/>
    <w:rsid w:val="004A26B2"/>
    <w:rsid w:val="004A5861"/>
    <w:rsid w:val="004A7D88"/>
    <w:rsid w:val="004B48E7"/>
    <w:rsid w:val="004B7EE7"/>
    <w:rsid w:val="004C427E"/>
    <w:rsid w:val="004C6A79"/>
    <w:rsid w:val="004E2894"/>
    <w:rsid w:val="00504DA6"/>
    <w:rsid w:val="00507912"/>
    <w:rsid w:val="005206A0"/>
    <w:rsid w:val="005504C7"/>
    <w:rsid w:val="00551518"/>
    <w:rsid w:val="005555E8"/>
    <w:rsid w:val="005614E0"/>
    <w:rsid w:val="00572BF3"/>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17CF"/>
    <w:rsid w:val="0063621F"/>
    <w:rsid w:val="006410B9"/>
    <w:rsid w:val="006414A2"/>
    <w:rsid w:val="00643CD6"/>
    <w:rsid w:val="006477B7"/>
    <w:rsid w:val="00652D51"/>
    <w:rsid w:val="00663D9C"/>
    <w:rsid w:val="00664BB3"/>
    <w:rsid w:val="00683C12"/>
    <w:rsid w:val="00686108"/>
    <w:rsid w:val="006904FB"/>
    <w:rsid w:val="00693D1A"/>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040F"/>
    <w:rsid w:val="008F4923"/>
    <w:rsid w:val="008F5C82"/>
    <w:rsid w:val="008F7DA9"/>
    <w:rsid w:val="009010A3"/>
    <w:rsid w:val="009034F8"/>
    <w:rsid w:val="00905C3D"/>
    <w:rsid w:val="0091081E"/>
    <w:rsid w:val="00912506"/>
    <w:rsid w:val="00913B03"/>
    <w:rsid w:val="00917F05"/>
    <w:rsid w:val="009227B4"/>
    <w:rsid w:val="00926B24"/>
    <w:rsid w:val="009319AE"/>
    <w:rsid w:val="0093577E"/>
    <w:rsid w:val="009363CD"/>
    <w:rsid w:val="00945F6E"/>
    <w:rsid w:val="009526E4"/>
    <w:rsid w:val="0097196E"/>
    <w:rsid w:val="009733B0"/>
    <w:rsid w:val="00981CA9"/>
    <w:rsid w:val="00983052"/>
    <w:rsid w:val="0099366E"/>
    <w:rsid w:val="00993DC1"/>
    <w:rsid w:val="009A2264"/>
    <w:rsid w:val="009C2DDF"/>
    <w:rsid w:val="009D65D3"/>
    <w:rsid w:val="009E61F5"/>
    <w:rsid w:val="00A161F2"/>
    <w:rsid w:val="00A1710D"/>
    <w:rsid w:val="00A3760D"/>
    <w:rsid w:val="00A42364"/>
    <w:rsid w:val="00A45656"/>
    <w:rsid w:val="00A554A4"/>
    <w:rsid w:val="00A63621"/>
    <w:rsid w:val="00A71853"/>
    <w:rsid w:val="00AA0582"/>
    <w:rsid w:val="00AB2D44"/>
    <w:rsid w:val="00AB5008"/>
    <w:rsid w:val="00AC497F"/>
    <w:rsid w:val="00AD2113"/>
    <w:rsid w:val="00AE2198"/>
    <w:rsid w:val="00AE3872"/>
    <w:rsid w:val="00AE43BF"/>
    <w:rsid w:val="00AE6814"/>
    <w:rsid w:val="00AF3030"/>
    <w:rsid w:val="00B02396"/>
    <w:rsid w:val="00B10724"/>
    <w:rsid w:val="00B116C5"/>
    <w:rsid w:val="00B13E9B"/>
    <w:rsid w:val="00B21FE6"/>
    <w:rsid w:val="00B22A5D"/>
    <w:rsid w:val="00B434A8"/>
    <w:rsid w:val="00B44383"/>
    <w:rsid w:val="00B473C2"/>
    <w:rsid w:val="00B65D8D"/>
    <w:rsid w:val="00B73A6F"/>
    <w:rsid w:val="00B73AB7"/>
    <w:rsid w:val="00B931EE"/>
    <w:rsid w:val="00BA1594"/>
    <w:rsid w:val="00BA1F16"/>
    <w:rsid w:val="00BA4C83"/>
    <w:rsid w:val="00BA669E"/>
    <w:rsid w:val="00BF4780"/>
    <w:rsid w:val="00C02328"/>
    <w:rsid w:val="00C0435E"/>
    <w:rsid w:val="00C07463"/>
    <w:rsid w:val="00C11B1E"/>
    <w:rsid w:val="00C11E08"/>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5181F"/>
    <w:rsid w:val="00D63FE6"/>
    <w:rsid w:val="00D80D4B"/>
    <w:rsid w:val="00D8568C"/>
    <w:rsid w:val="00D85BE7"/>
    <w:rsid w:val="00D86DA9"/>
    <w:rsid w:val="00D91978"/>
    <w:rsid w:val="00DA1CBF"/>
    <w:rsid w:val="00DA4F75"/>
    <w:rsid w:val="00DB4952"/>
    <w:rsid w:val="00DC08FB"/>
    <w:rsid w:val="00DD27C9"/>
    <w:rsid w:val="00DD67E0"/>
    <w:rsid w:val="00DF5919"/>
    <w:rsid w:val="00E07430"/>
    <w:rsid w:val="00E079E9"/>
    <w:rsid w:val="00E11A65"/>
    <w:rsid w:val="00E2110D"/>
    <w:rsid w:val="00E24025"/>
    <w:rsid w:val="00E25137"/>
    <w:rsid w:val="00E42CC4"/>
    <w:rsid w:val="00E46EE0"/>
    <w:rsid w:val="00E47E30"/>
    <w:rsid w:val="00E676F9"/>
    <w:rsid w:val="00E755C6"/>
    <w:rsid w:val="00E76583"/>
    <w:rsid w:val="00E84AEC"/>
    <w:rsid w:val="00EA0115"/>
    <w:rsid w:val="00EA117D"/>
    <w:rsid w:val="00EA563E"/>
    <w:rsid w:val="00EB325D"/>
    <w:rsid w:val="00EC6917"/>
    <w:rsid w:val="00ED11A6"/>
    <w:rsid w:val="00ED65CA"/>
    <w:rsid w:val="00EE4F7B"/>
    <w:rsid w:val="00F00036"/>
    <w:rsid w:val="00F12CA3"/>
    <w:rsid w:val="00F1648E"/>
    <w:rsid w:val="00F174B2"/>
    <w:rsid w:val="00F17B74"/>
    <w:rsid w:val="00F312CB"/>
    <w:rsid w:val="00F35562"/>
    <w:rsid w:val="00F835C0"/>
    <w:rsid w:val="00F85617"/>
    <w:rsid w:val="00F86162"/>
    <w:rsid w:val="00FA3476"/>
    <w:rsid w:val="00FA6047"/>
    <w:rsid w:val="00FB1940"/>
    <w:rsid w:val="00FB55A5"/>
    <w:rsid w:val="00FB7BF4"/>
    <w:rsid w:val="00FC0760"/>
    <w:rsid w:val="00FD3522"/>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9319A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9319A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319A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319AE"/>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319AE"/>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319AE"/>
    <w:rPr>
      <w:rFonts w:ascii="Arial" w:eastAsia="STZhongsong" w:hAnsi="Arial" w:cs="Times New Roman"/>
      <w:color w:val="auto"/>
      <w:szCs w:val="20"/>
      <w:lang w:eastAsia="zh-CN"/>
    </w:rPr>
  </w:style>
  <w:style w:type="table" w:styleId="TableGrid">
    <w:name w:val="Table Grid"/>
    <w:basedOn w:val="TableNormal"/>
    <w:uiPriority w:val="59"/>
    <w:rsid w:val="009319A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B7EE7"/>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EastAsia" w:hAnsiTheme="minorHAnsi" w:cstheme="minorBidi"/>
      <w:color w:val="aut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385458">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912855928">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querries@hmtreasury.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9" ma:contentTypeDescription="Create a new document." ma:contentTypeScope="" ma:versionID="de3d7ad3c94bd4e9e240d7fe7c9474e7">
  <xsd:schema xmlns:xsd="http://www.w3.org/2001/XMLSchema" xmlns:xs="http://www.w3.org/2001/XMLSchema" xmlns:p="http://schemas.microsoft.com/office/2006/metadata/properties" xmlns:ns3="be2f4ff7-9192-4716-a1f9-a31266b7c2ae" targetNamespace="http://schemas.microsoft.com/office/2006/metadata/properties" ma:root="true" ma:fieldsID="313d35ae1965e8cb50b4e7f97d694fef" ns3:_="">
    <xsd:import namespace="be2f4ff7-9192-4716-a1f9-a31266b7c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886C-2D04-4363-9C52-CBD964754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D291AA-2E8C-4DA1-B30E-859796745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17A35-09D5-4D24-B8D0-62BB881C84D3}">
  <ds:schemaRefs>
    <ds:schemaRef ds:uri="http://schemas.microsoft.com/sharepoint/v3/contenttype/forms"/>
  </ds:schemaRefs>
</ds:datastoreItem>
</file>

<file path=customXml/itemProps4.xml><?xml version="1.0" encoding="utf-8"?>
<ds:datastoreItem xmlns:ds="http://schemas.openxmlformats.org/officeDocument/2006/customXml" ds:itemID="{7DFDBF79-9EF2-4720-921B-DD153C34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Tjay Singh</cp:lastModifiedBy>
  <cp:revision>2</cp:revision>
  <cp:lastPrinted>2018-01-30T21:31:00Z</cp:lastPrinted>
  <dcterms:created xsi:type="dcterms:W3CDTF">2021-05-13T09:33:00Z</dcterms:created>
  <dcterms:modified xsi:type="dcterms:W3CDTF">2021-05-13T09:33:00Z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ies>
</file>