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12638"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3BD1263B" w14:textId="77777777" w:rsidTr="00061C01">
        <w:tc>
          <w:tcPr>
            <w:tcW w:w="4539" w:type="dxa"/>
          </w:tcPr>
          <w:p w14:paraId="3BD12639"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3BD1286B" wp14:editId="3BD1286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BD1263A"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3BD1286D" wp14:editId="3BD1286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3BD1263C" w14:textId="77777777" w:rsidR="00582B96" w:rsidRDefault="00582B96" w:rsidP="00582B96"/>
    <w:p w14:paraId="3BD1263D" w14:textId="77777777" w:rsidR="00582B96" w:rsidRPr="00D144D9" w:rsidRDefault="00582B96" w:rsidP="00582B96">
      <w:pPr>
        <w:rPr>
          <w:color w:val="FF0000"/>
        </w:rPr>
      </w:pPr>
    </w:p>
    <w:p w14:paraId="3BD1263E" w14:textId="77777777" w:rsidR="00582B96" w:rsidRDefault="00582B96" w:rsidP="00582B96"/>
    <w:p w14:paraId="3BD1263F" w14:textId="77777777" w:rsidR="00582B96" w:rsidRDefault="00582B96" w:rsidP="00582B96"/>
    <w:p w14:paraId="3BD12640" w14:textId="77777777" w:rsidR="00582B96" w:rsidRDefault="00582B96" w:rsidP="00582B96"/>
    <w:p w14:paraId="3BD12641" w14:textId="77777777" w:rsidR="00C5289B" w:rsidRDefault="00C5289B" w:rsidP="00582B96">
      <w:pPr>
        <w:rPr>
          <w:b/>
          <w:sz w:val="52"/>
          <w:szCs w:val="52"/>
        </w:rPr>
      </w:pPr>
    </w:p>
    <w:p w14:paraId="3BD12642" w14:textId="56F57033" w:rsidR="00582B96" w:rsidRPr="00A0607C" w:rsidRDefault="00582B96" w:rsidP="00582B96">
      <w:pPr>
        <w:rPr>
          <w:b/>
          <w:sz w:val="48"/>
          <w:szCs w:val="48"/>
        </w:rPr>
      </w:pPr>
      <w:r w:rsidRPr="00A0607C">
        <w:rPr>
          <w:b/>
          <w:sz w:val="48"/>
          <w:szCs w:val="48"/>
        </w:rPr>
        <w:t xml:space="preserve">SPECIFICATION </w:t>
      </w:r>
    </w:p>
    <w:p w14:paraId="3BD12643" w14:textId="77777777" w:rsidR="00582B96" w:rsidRDefault="00582B96" w:rsidP="00582B96">
      <w:pPr>
        <w:rPr>
          <w:b/>
          <w:sz w:val="48"/>
          <w:szCs w:val="48"/>
        </w:rPr>
      </w:pPr>
    </w:p>
    <w:p w14:paraId="3BD12644" w14:textId="77777777" w:rsidR="00582B96" w:rsidRDefault="00582B96" w:rsidP="00582B96">
      <w:pPr>
        <w:rPr>
          <w:b/>
          <w:sz w:val="48"/>
          <w:szCs w:val="48"/>
        </w:rPr>
      </w:pPr>
    </w:p>
    <w:p w14:paraId="3BD12645" w14:textId="77777777" w:rsidR="00582B96" w:rsidRDefault="00582B96" w:rsidP="00582B96">
      <w:pPr>
        <w:rPr>
          <w:b/>
          <w:sz w:val="48"/>
          <w:szCs w:val="48"/>
        </w:rPr>
      </w:pPr>
    </w:p>
    <w:p w14:paraId="3BD12646" w14:textId="3A36D39B" w:rsidR="00582B96" w:rsidRPr="00A0607C" w:rsidRDefault="00582B96" w:rsidP="00582B96">
      <w:pPr>
        <w:rPr>
          <w:b/>
          <w:sz w:val="36"/>
          <w:szCs w:val="36"/>
        </w:rPr>
      </w:pPr>
      <w:r w:rsidRPr="00360CDD">
        <w:rPr>
          <w:b/>
          <w:sz w:val="36"/>
          <w:szCs w:val="36"/>
        </w:rPr>
        <w:t xml:space="preserve">INVITATION TO </w:t>
      </w:r>
      <w:proofErr w:type="gramStart"/>
      <w:r w:rsidRPr="00360CDD">
        <w:rPr>
          <w:b/>
          <w:sz w:val="36"/>
          <w:szCs w:val="36"/>
        </w:rPr>
        <w:t xml:space="preserve">TENDER </w:t>
      </w:r>
      <w:r w:rsidR="0066788F" w:rsidRPr="00A0607C">
        <w:rPr>
          <w:b/>
          <w:sz w:val="36"/>
          <w:szCs w:val="36"/>
        </w:rPr>
        <w:t xml:space="preserve"> itt</w:t>
      </w:r>
      <w:proofErr w:type="gramEnd"/>
      <w:r w:rsidR="0066788F" w:rsidRPr="00A0607C">
        <w:rPr>
          <w:b/>
          <w:sz w:val="36"/>
          <w:szCs w:val="36"/>
        </w:rPr>
        <w:t>_30109</w:t>
      </w:r>
    </w:p>
    <w:p w14:paraId="3BD12647" w14:textId="77777777" w:rsidR="00582B96" w:rsidRPr="00360CDD" w:rsidRDefault="00582B96" w:rsidP="00582B96">
      <w:pPr>
        <w:autoSpaceDE w:val="0"/>
        <w:autoSpaceDN w:val="0"/>
        <w:adjustRightInd w:val="0"/>
        <w:rPr>
          <w:rFonts w:cs="Arial"/>
          <w:b/>
          <w:bCs/>
          <w:sz w:val="48"/>
          <w:szCs w:val="48"/>
        </w:rPr>
      </w:pPr>
    </w:p>
    <w:p w14:paraId="3BD12648" w14:textId="77777777" w:rsidR="00582B96" w:rsidRPr="00360CDD" w:rsidRDefault="00582B96" w:rsidP="00582B96">
      <w:pPr>
        <w:autoSpaceDE w:val="0"/>
        <w:autoSpaceDN w:val="0"/>
        <w:adjustRightInd w:val="0"/>
        <w:rPr>
          <w:rFonts w:cs="Arial"/>
          <w:b/>
          <w:bCs/>
          <w:sz w:val="48"/>
          <w:szCs w:val="48"/>
        </w:rPr>
      </w:pPr>
    </w:p>
    <w:p w14:paraId="3BD1264A" w14:textId="1D1A51F7" w:rsidR="00CA57AC" w:rsidRDefault="0066788F" w:rsidP="00582B96">
      <w:pPr>
        <w:autoSpaceDE w:val="0"/>
        <w:autoSpaceDN w:val="0"/>
        <w:adjustRightInd w:val="0"/>
        <w:rPr>
          <w:rFonts w:cs="Arial"/>
          <w:b/>
          <w:bCs/>
          <w:sz w:val="36"/>
          <w:szCs w:val="36"/>
        </w:rPr>
      </w:pPr>
      <w:r>
        <w:rPr>
          <w:rFonts w:cs="Arial"/>
          <w:b/>
          <w:bCs/>
          <w:sz w:val="36"/>
          <w:szCs w:val="36"/>
        </w:rPr>
        <w:t xml:space="preserve">Skills Support for Unemployed </w:t>
      </w:r>
    </w:p>
    <w:p w14:paraId="2C71997E" w14:textId="080DF1ED" w:rsidR="0066788F" w:rsidRPr="00C56155" w:rsidRDefault="0066788F" w:rsidP="00582B96">
      <w:pPr>
        <w:autoSpaceDE w:val="0"/>
        <w:autoSpaceDN w:val="0"/>
        <w:adjustRightInd w:val="0"/>
        <w:rPr>
          <w:rFonts w:cs="Arial"/>
          <w:b/>
          <w:bCs/>
          <w:sz w:val="36"/>
          <w:szCs w:val="36"/>
        </w:rPr>
      </w:pPr>
      <w:r>
        <w:rPr>
          <w:rFonts w:cs="Arial"/>
          <w:b/>
          <w:bCs/>
          <w:sz w:val="36"/>
          <w:szCs w:val="36"/>
        </w:rPr>
        <w:t>Careers Education IAG</w:t>
      </w:r>
    </w:p>
    <w:p w14:paraId="3BD1264B" w14:textId="77777777" w:rsidR="00582B96" w:rsidRDefault="00582B96" w:rsidP="00582B96">
      <w:pPr>
        <w:rPr>
          <w:b/>
          <w:sz w:val="48"/>
          <w:szCs w:val="48"/>
        </w:rPr>
      </w:pPr>
    </w:p>
    <w:p w14:paraId="3BD1264C" w14:textId="77777777" w:rsidR="00582B96" w:rsidRDefault="00582B96" w:rsidP="00582B96">
      <w:pPr>
        <w:rPr>
          <w:b/>
          <w:sz w:val="48"/>
          <w:szCs w:val="48"/>
        </w:rPr>
      </w:pPr>
    </w:p>
    <w:p w14:paraId="3BD1264D" w14:textId="77777777" w:rsidR="00582B96" w:rsidRPr="00B4070A" w:rsidRDefault="00B4070A" w:rsidP="00582B96">
      <w:pPr>
        <w:rPr>
          <w:b/>
          <w:sz w:val="36"/>
          <w:szCs w:val="36"/>
        </w:rPr>
      </w:pPr>
      <w:r w:rsidRPr="00B4070A">
        <w:rPr>
          <w:b/>
          <w:sz w:val="36"/>
          <w:szCs w:val="36"/>
        </w:rPr>
        <w:t>Stoke-on-Trent and Staffordshire</w:t>
      </w:r>
      <w:r w:rsidR="00C56155">
        <w:rPr>
          <w:b/>
          <w:sz w:val="36"/>
          <w:szCs w:val="36"/>
        </w:rPr>
        <w:t xml:space="preserve"> LEP</w:t>
      </w:r>
    </w:p>
    <w:p w14:paraId="3BD1264E" w14:textId="77777777" w:rsidR="00582B96" w:rsidRDefault="00582B96" w:rsidP="00582B96">
      <w:pPr>
        <w:rPr>
          <w:b/>
          <w:sz w:val="48"/>
          <w:szCs w:val="48"/>
        </w:rPr>
      </w:pPr>
    </w:p>
    <w:p w14:paraId="3BD1264F" w14:textId="77777777" w:rsidR="00582B96" w:rsidRDefault="00582B96" w:rsidP="00582B96">
      <w:pPr>
        <w:rPr>
          <w:b/>
          <w:sz w:val="48"/>
          <w:szCs w:val="48"/>
        </w:rPr>
      </w:pPr>
    </w:p>
    <w:p w14:paraId="3BD12650" w14:textId="77777777" w:rsidR="00582B96" w:rsidRDefault="00582B96" w:rsidP="00582B96">
      <w:pPr>
        <w:rPr>
          <w:b/>
          <w:sz w:val="48"/>
          <w:szCs w:val="48"/>
        </w:rPr>
      </w:pPr>
    </w:p>
    <w:p w14:paraId="3BD12651" w14:textId="71692142" w:rsidR="00582B96" w:rsidRPr="00360CDD" w:rsidRDefault="00582B96" w:rsidP="00582B96">
      <w:pPr>
        <w:rPr>
          <w:b/>
          <w:sz w:val="36"/>
          <w:szCs w:val="36"/>
        </w:rPr>
      </w:pPr>
      <w:r w:rsidRPr="00360CDD">
        <w:rPr>
          <w:b/>
          <w:sz w:val="36"/>
          <w:szCs w:val="36"/>
        </w:rPr>
        <w:t>DATE:</w:t>
      </w:r>
      <w:r w:rsidR="002F71DB">
        <w:rPr>
          <w:b/>
          <w:sz w:val="36"/>
          <w:szCs w:val="36"/>
        </w:rPr>
        <w:t xml:space="preserve"> </w:t>
      </w:r>
      <w:r w:rsidR="0066788F">
        <w:rPr>
          <w:b/>
          <w:sz w:val="36"/>
          <w:szCs w:val="36"/>
        </w:rPr>
        <w:t xml:space="preserve"> 24 </w:t>
      </w:r>
      <w:r w:rsidR="00CA57AC">
        <w:rPr>
          <w:b/>
          <w:sz w:val="36"/>
          <w:szCs w:val="36"/>
        </w:rPr>
        <w:t xml:space="preserve">June </w:t>
      </w:r>
      <w:r w:rsidR="00204192">
        <w:rPr>
          <w:b/>
          <w:sz w:val="36"/>
          <w:szCs w:val="36"/>
        </w:rPr>
        <w:t>2016</w:t>
      </w:r>
    </w:p>
    <w:p w14:paraId="3BD12652" w14:textId="77777777" w:rsidR="00582B96" w:rsidRDefault="00582B96"/>
    <w:tbl>
      <w:tblPr>
        <w:tblW w:w="0" w:type="auto"/>
        <w:tblLook w:val="01E0" w:firstRow="1" w:lastRow="1" w:firstColumn="1" w:lastColumn="1" w:noHBand="0" w:noVBand="0"/>
      </w:tblPr>
      <w:tblGrid>
        <w:gridCol w:w="4421"/>
        <w:gridCol w:w="4366"/>
      </w:tblGrid>
      <w:tr w:rsidR="00ED67E0" w14:paraId="3BD12655" w14:textId="77777777" w:rsidTr="00B24D65">
        <w:tc>
          <w:tcPr>
            <w:tcW w:w="4421" w:type="dxa"/>
          </w:tcPr>
          <w:p w14:paraId="3BD12653" w14:textId="77777777" w:rsidR="00ED67E0" w:rsidRDefault="00ED67E0" w:rsidP="000419AD">
            <w:pPr>
              <w:pStyle w:val="Header"/>
              <w:tabs>
                <w:tab w:val="clear" w:pos="4153"/>
                <w:tab w:val="clear" w:pos="8306"/>
                <w:tab w:val="left" w:pos="1185"/>
              </w:tabs>
            </w:pPr>
            <w:r>
              <w:tab/>
            </w:r>
          </w:p>
        </w:tc>
        <w:tc>
          <w:tcPr>
            <w:tcW w:w="4366" w:type="dxa"/>
          </w:tcPr>
          <w:p w14:paraId="3BD12654" w14:textId="77777777" w:rsidR="00ED67E0" w:rsidRDefault="00ED67E0" w:rsidP="000419AD">
            <w:pPr>
              <w:pStyle w:val="Header"/>
              <w:jc w:val="right"/>
            </w:pPr>
          </w:p>
        </w:tc>
      </w:tr>
      <w:tr w:rsidR="00ED67E0" w:rsidRPr="002465E9" w14:paraId="3BD12658" w14:textId="77777777" w:rsidTr="00B24D65">
        <w:tc>
          <w:tcPr>
            <w:tcW w:w="4421" w:type="dxa"/>
          </w:tcPr>
          <w:p w14:paraId="3BD12656" w14:textId="77777777" w:rsidR="00ED67E0" w:rsidRDefault="00ED67E0" w:rsidP="000419AD">
            <w:pPr>
              <w:pStyle w:val="Header"/>
            </w:pPr>
            <w:r>
              <w:rPr>
                <w:noProof/>
                <w:lang w:eastAsia="en-GB"/>
              </w:rPr>
              <w:lastRenderedPageBreak/>
              <w:drawing>
                <wp:inline distT="0" distB="0" distL="0" distR="0" wp14:anchorId="3BD1286F" wp14:editId="3BD1287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3BD12657" w14:textId="77777777" w:rsidR="00ED67E0" w:rsidRDefault="000D51DE" w:rsidP="000419AD">
            <w:pPr>
              <w:pStyle w:val="Header"/>
              <w:jc w:val="right"/>
            </w:pPr>
            <w:r>
              <w:rPr>
                <w:noProof/>
                <w:lang w:eastAsia="en-GB"/>
              </w:rPr>
              <w:drawing>
                <wp:inline distT="0" distB="0" distL="0" distR="0" wp14:anchorId="3BD12871" wp14:editId="3BD1287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3BD1265B" w14:textId="77777777" w:rsidTr="00B24D65">
        <w:tc>
          <w:tcPr>
            <w:tcW w:w="4421" w:type="dxa"/>
          </w:tcPr>
          <w:p w14:paraId="3BD12659" w14:textId="77777777" w:rsidR="008441FE" w:rsidRDefault="008441FE" w:rsidP="000419AD">
            <w:pPr>
              <w:pStyle w:val="Header"/>
              <w:rPr>
                <w:noProof/>
                <w:lang w:eastAsia="en-GB"/>
              </w:rPr>
            </w:pPr>
          </w:p>
        </w:tc>
        <w:tc>
          <w:tcPr>
            <w:tcW w:w="4366" w:type="dxa"/>
          </w:tcPr>
          <w:p w14:paraId="3BD1265A" w14:textId="77777777" w:rsidR="008441FE" w:rsidRDefault="008441FE" w:rsidP="000419AD">
            <w:pPr>
              <w:pStyle w:val="Header"/>
              <w:jc w:val="right"/>
              <w:rPr>
                <w:noProof/>
                <w:lang w:eastAsia="en-GB"/>
              </w:rPr>
            </w:pPr>
          </w:p>
        </w:tc>
      </w:tr>
    </w:tbl>
    <w:p w14:paraId="3BD1265C" w14:textId="77777777" w:rsidR="0015011A" w:rsidRDefault="0015011A" w:rsidP="0015011A"/>
    <w:tbl>
      <w:tblPr>
        <w:tblStyle w:val="TableGrid"/>
        <w:tblW w:w="5177" w:type="pct"/>
        <w:tblLook w:val="04A0" w:firstRow="1" w:lastRow="0" w:firstColumn="1" w:lastColumn="0" w:noHBand="0" w:noVBand="1"/>
      </w:tblPr>
      <w:tblGrid>
        <w:gridCol w:w="9686"/>
      </w:tblGrid>
      <w:tr w:rsidR="00967429" w:rsidRPr="00EF4406" w14:paraId="3BD12664" w14:textId="77777777" w:rsidTr="00CA57AC">
        <w:trPr>
          <w:trHeight w:val="597"/>
        </w:trPr>
        <w:tc>
          <w:tcPr>
            <w:tcW w:w="9088" w:type="dxa"/>
          </w:tcPr>
          <w:p w14:paraId="3BD1265D" w14:textId="6BDEEAA8" w:rsidR="007654E6" w:rsidRPr="00B4070A" w:rsidRDefault="00A0607C" w:rsidP="00A524B5">
            <w:pPr>
              <w:pStyle w:val="BodyText"/>
              <w:tabs>
                <w:tab w:val="num" w:pos="1134"/>
              </w:tabs>
              <w:spacing w:after="0"/>
              <w:jc w:val="both"/>
              <w:rPr>
                <w:rFonts w:ascii="Arial" w:hAnsi="Arial" w:cs="Arial"/>
                <w:b/>
              </w:rPr>
            </w:pPr>
            <w:r>
              <w:rPr>
                <w:rFonts w:ascii="Arial" w:hAnsi="Arial" w:cs="Arial"/>
                <w:b/>
              </w:rPr>
              <w:t>ESF</w:t>
            </w:r>
            <w:r w:rsidR="00B3399A" w:rsidRPr="00B4070A">
              <w:rPr>
                <w:rFonts w:ascii="Arial" w:hAnsi="Arial" w:cs="Arial"/>
                <w:b/>
              </w:rPr>
              <w:t xml:space="preserve">: </w:t>
            </w:r>
            <w:r w:rsidR="0005224F" w:rsidRPr="00B4070A">
              <w:rPr>
                <w:rFonts w:ascii="Arial" w:hAnsi="Arial" w:cs="Arial"/>
                <w:b/>
              </w:rPr>
              <w:t>Access to Employment</w:t>
            </w:r>
          </w:p>
          <w:p w14:paraId="3BD1265F" w14:textId="61DD3227" w:rsidR="00C56155" w:rsidRPr="00C56155" w:rsidRDefault="00B4070A" w:rsidP="00A0607C">
            <w:pPr>
              <w:pStyle w:val="BodyText"/>
              <w:tabs>
                <w:tab w:val="num" w:pos="1134"/>
              </w:tabs>
              <w:spacing w:after="0"/>
              <w:jc w:val="both"/>
              <w:rPr>
                <w:rFonts w:cs="Arial"/>
                <w:b/>
              </w:rPr>
            </w:pPr>
            <w:r w:rsidRPr="00B4070A">
              <w:rPr>
                <w:rFonts w:ascii="Arial" w:hAnsi="Arial" w:cs="Arial"/>
                <w:b/>
              </w:rPr>
              <w:t>Stoke-on-Trent and Staffordshire</w:t>
            </w:r>
            <w:r w:rsidR="005B3F9D" w:rsidRPr="00B4070A">
              <w:rPr>
                <w:rFonts w:ascii="Arial" w:hAnsi="Arial" w:cs="Arial"/>
                <w:b/>
              </w:rPr>
              <w:t xml:space="preserve"> LEP </w:t>
            </w:r>
            <w:r w:rsidR="00C56155">
              <w:rPr>
                <w:rFonts w:ascii="Arial" w:hAnsi="Arial" w:cs="Arial"/>
                <w:b/>
              </w:rPr>
              <w:t>:</w:t>
            </w:r>
            <w:r w:rsidR="00C56155" w:rsidRPr="00A0607C">
              <w:rPr>
                <w:rFonts w:ascii="Arial" w:hAnsi="Arial" w:cs="Arial"/>
                <w:b/>
              </w:rPr>
              <w:t>Lot 1:  Support for the Unemployed</w:t>
            </w:r>
            <w:r w:rsidR="00C56155" w:rsidRPr="00C56155">
              <w:rPr>
                <w:rFonts w:cs="Arial"/>
                <w:b/>
              </w:rPr>
              <w:t xml:space="preserve"> </w:t>
            </w:r>
          </w:p>
          <w:p w14:paraId="3BD12660" w14:textId="77777777" w:rsidR="00C56155" w:rsidRPr="00C56155" w:rsidRDefault="00C56155" w:rsidP="00C56155">
            <w:pPr>
              <w:autoSpaceDE w:val="0"/>
              <w:autoSpaceDN w:val="0"/>
              <w:adjustRightInd w:val="0"/>
              <w:rPr>
                <w:rFonts w:cs="Arial"/>
                <w:b/>
              </w:rPr>
            </w:pPr>
            <w:r w:rsidRPr="00C56155">
              <w:rPr>
                <w:rFonts w:cs="Arial"/>
                <w:b/>
              </w:rPr>
              <w:t xml:space="preserve">Lot 2:  Careers Education IAG </w:t>
            </w:r>
          </w:p>
          <w:p w14:paraId="3BD12663" w14:textId="4E658CBA" w:rsidR="00967429" w:rsidRPr="00200BC6" w:rsidRDefault="00A0607C" w:rsidP="00A0607C">
            <w:pPr>
              <w:pStyle w:val="BodyText"/>
              <w:tabs>
                <w:tab w:val="num" w:pos="1134"/>
              </w:tabs>
              <w:spacing w:after="0"/>
              <w:jc w:val="both"/>
              <w:rPr>
                <w:rFonts w:ascii="Arial" w:hAnsi="Arial" w:cs="Arial"/>
                <w:b/>
                <w:color w:val="FF0000"/>
              </w:rPr>
            </w:pPr>
            <w:r w:rsidRPr="00A0607C">
              <w:rPr>
                <w:rFonts w:ascii="Arial" w:hAnsi="Arial" w:cs="Arial"/>
                <w:b/>
              </w:rPr>
              <w:t>itt_30109</w:t>
            </w:r>
          </w:p>
        </w:tc>
      </w:tr>
      <w:tr w:rsidR="00967429" w14:paraId="3BD12666" w14:textId="77777777" w:rsidTr="00555175">
        <w:trPr>
          <w:trHeight w:val="567"/>
        </w:trPr>
        <w:tc>
          <w:tcPr>
            <w:tcW w:w="9088" w:type="dxa"/>
            <w:shd w:val="clear" w:color="auto" w:fill="D9D9D9" w:themeFill="background1" w:themeFillShade="D9"/>
            <w:vAlign w:val="center"/>
          </w:tcPr>
          <w:p w14:paraId="3BD12665" w14:textId="77777777" w:rsidR="00967429" w:rsidRPr="00FD3B0A" w:rsidRDefault="004C726D" w:rsidP="00FD3B0A">
            <w:pPr>
              <w:pStyle w:val="SpecificationHeading"/>
            </w:pPr>
            <w:r w:rsidRPr="00FD3B0A">
              <w:t>BACKGROUND</w:t>
            </w:r>
          </w:p>
        </w:tc>
      </w:tr>
      <w:tr w:rsidR="00967429" w:rsidRPr="00EF4406" w14:paraId="3BD1269D" w14:textId="77777777" w:rsidTr="00CA57AC">
        <w:tc>
          <w:tcPr>
            <w:tcW w:w="9088" w:type="dxa"/>
          </w:tcPr>
          <w:p w14:paraId="3BD12667" w14:textId="77777777" w:rsidR="00B24D65" w:rsidRPr="002833D9" w:rsidRDefault="00B24D65" w:rsidP="00A524B5">
            <w:pPr>
              <w:tabs>
                <w:tab w:val="num" w:pos="900"/>
              </w:tabs>
              <w:autoSpaceDE w:val="0"/>
              <w:autoSpaceDN w:val="0"/>
              <w:adjustRightInd w:val="0"/>
              <w:rPr>
                <w:rFonts w:cs="Arial"/>
                <w:b/>
              </w:rPr>
            </w:pPr>
          </w:p>
          <w:p w14:paraId="3BD12668"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3BD12669" w14:textId="77777777" w:rsidR="002833D9" w:rsidRPr="002833D9" w:rsidRDefault="002833D9" w:rsidP="00A524B5">
            <w:pPr>
              <w:tabs>
                <w:tab w:val="num" w:pos="900"/>
              </w:tabs>
              <w:autoSpaceDE w:val="0"/>
              <w:autoSpaceDN w:val="0"/>
              <w:adjustRightInd w:val="0"/>
              <w:rPr>
                <w:rFonts w:cs="Arial"/>
                <w:b/>
              </w:rPr>
            </w:pPr>
          </w:p>
          <w:p w14:paraId="3BD1266A"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3BD1266B" w14:textId="77777777" w:rsidR="002833D9" w:rsidRPr="005A1D76" w:rsidRDefault="002833D9" w:rsidP="00A524B5">
            <w:pPr>
              <w:tabs>
                <w:tab w:val="num" w:pos="900"/>
              </w:tabs>
              <w:autoSpaceDE w:val="0"/>
              <w:autoSpaceDN w:val="0"/>
              <w:adjustRightInd w:val="0"/>
              <w:rPr>
                <w:rFonts w:cs="Arial"/>
              </w:rPr>
            </w:pPr>
          </w:p>
          <w:p w14:paraId="3BD1266C"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3BD1266D" w14:textId="77777777" w:rsidR="002833D9" w:rsidRPr="005A1D76" w:rsidRDefault="002833D9" w:rsidP="00A524B5">
            <w:pPr>
              <w:rPr>
                <w:rFonts w:cs="Arial"/>
              </w:rPr>
            </w:pPr>
          </w:p>
          <w:p w14:paraId="3BD1266E"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3BD1266F" w14:textId="77777777" w:rsidR="00AD0B65" w:rsidRPr="00AD0B65" w:rsidRDefault="00AD0B65" w:rsidP="00AD0B65">
            <w:pPr>
              <w:rPr>
                <w:rFonts w:cs="Arial"/>
              </w:rPr>
            </w:pPr>
          </w:p>
          <w:p w14:paraId="3BD12670" w14:textId="77777777" w:rsidR="00204192" w:rsidRDefault="009E7A30" w:rsidP="00AD0B65">
            <w:r>
              <w:t>The</w:t>
            </w:r>
            <w:r w:rsidR="00A63E89">
              <w:t xml:space="preserve"> </w:t>
            </w:r>
            <w:r w:rsidR="00204192">
              <w:t xml:space="preserve">Priority Axis </w:t>
            </w:r>
            <w:r w:rsidR="00204192" w:rsidRPr="00CA57AC">
              <w:t xml:space="preserve">1 </w:t>
            </w:r>
            <w:r w:rsidR="00A63E89" w:rsidRPr="00CA57AC">
              <w:t xml:space="preserve">supports </w:t>
            </w:r>
            <w:r w:rsidR="00204192" w:rsidRPr="00CA57AC">
              <w:t xml:space="preserve">activity to increase participation in the labour market and thereby improve social inclusion and mobility.   The objectives of Priority Axis 1 </w:t>
            </w:r>
            <w:r w:rsidR="00F0539E" w:rsidRPr="00CA57AC">
              <w:t xml:space="preserve">covered in this specification </w:t>
            </w:r>
            <w:r w:rsidR="00204192" w:rsidRPr="00CA57AC">
              <w:t>are:</w:t>
            </w:r>
          </w:p>
          <w:p w14:paraId="6CC4187C" w14:textId="77777777" w:rsidR="00555175" w:rsidRPr="00CA57AC" w:rsidRDefault="00555175" w:rsidP="00AD0B65"/>
          <w:p w14:paraId="3BD12671" w14:textId="77777777" w:rsidR="00204192" w:rsidRPr="00CA57AC" w:rsidRDefault="00204192" w:rsidP="00A503FD">
            <w:pPr>
              <w:pStyle w:val="ListParagraph"/>
              <w:numPr>
                <w:ilvl w:val="0"/>
                <w:numId w:val="11"/>
              </w:numPr>
            </w:pPr>
            <w:r w:rsidRPr="00CA57AC">
              <w:t>To improve the employability of long-term unemployed people, so that they can compete effectively in the labour market.</w:t>
            </w:r>
          </w:p>
          <w:p w14:paraId="3BD12672" w14:textId="77777777" w:rsidR="00204192" w:rsidRPr="00CA57AC" w:rsidRDefault="00204192" w:rsidP="00A503FD">
            <w:pPr>
              <w:pStyle w:val="ListParagraph"/>
              <w:numPr>
                <w:ilvl w:val="0"/>
                <w:numId w:val="11"/>
              </w:numPr>
            </w:pPr>
            <w:r w:rsidRPr="00CA57AC">
              <w:t>To provide individuals from groups which face particular labour market disadvantage with additional support so that they can compete effectively in the labour market.</w:t>
            </w:r>
          </w:p>
          <w:p w14:paraId="3BD12673" w14:textId="77777777" w:rsidR="00204192" w:rsidRPr="00CA57AC" w:rsidRDefault="00204192" w:rsidP="00A503FD">
            <w:pPr>
              <w:pStyle w:val="ListParagraph"/>
              <w:numPr>
                <w:ilvl w:val="0"/>
                <w:numId w:val="11"/>
              </w:numPr>
            </w:pPr>
            <w:r w:rsidRPr="00CA57AC">
              <w:t>To encourage inactive people to participate in the labour market and to improve their employability.</w:t>
            </w:r>
          </w:p>
          <w:p w14:paraId="3BD12674" w14:textId="77777777" w:rsidR="00204192" w:rsidRPr="00CA57AC" w:rsidRDefault="00204192" w:rsidP="00A503FD">
            <w:pPr>
              <w:pStyle w:val="ListParagraph"/>
              <w:numPr>
                <w:ilvl w:val="0"/>
                <w:numId w:val="11"/>
              </w:numPr>
            </w:pPr>
            <w:r w:rsidRPr="00CA57AC">
              <w:t>To address the basic skills needs of unemployed and inactive people so that they can compete effectively in the labour market.</w:t>
            </w:r>
          </w:p>
          <w:p w14:paraId="3BD12675" w14:textId="77777777" w:rsidR="00204192" w:rsidRPr="00CA57AC" w:rsidRDefault="00204192" w:rsidP="00A503FD">
            <w:pPr>
              <w:pStyle w:val="Default"/>
              <w:numPr>
                <w:ilvl w:val="0"/>
                <w:numId w:val="11"/>
              </w:numPr>
            </w:pPr>
            <w:r w:rsidRPr="00CA57AC">
              <w:t xml:space="preserve">To provide support for women at a disadvantage in the labour market, and particularly those who are currently inactive, to contribute to our efforts to reduce the gender employment gap. </w:t>
            </w:r>
          </w:p>
          <w:p w14:paraId="3BD12676" w14:textId="77777777" w:rsidR="00F0539E" w:rsidRPr="00CA57AC" w:rsidRDefault="00F0539E" w:rsidP="00A503FD">
            <w:pPr>
              <w:pStyle w:val="Default"/>
              <w:numPr>
                <w:ilvl w:val="0"/>
                <w:numId w:val="11"/>
              </w:numPr>
            </w:pPr>
            <w:r w:rsidRPr="00CA57AC">
              <w:lastRenderedPageBreak/>
              <w:t xml:space="preserve">To support people with multiple and complex barriers to participation to address these underlying issues and to move closer to or into the labour market. </w:t>
            </w:r>
          </w:p>
          <w:p w14:paraId="3BD12677" w14:textId="77777777" w:rsidR="00204192" w:rsidRPr="00CA57AC" w:rsidRDefault="00F0539E" w:rsidP="00A503FD">
            <w:pPr>
              <w:pStyle w:val="ListParagraph"/>
              <w:numPr>
                <w:ilvl w:val="0"/>
                <w:numId w:val="11"/>
              </w:numPr>
            </w:pPr>
            <w:r w:rsidRPr="00CA57AC">
              <w:t>To support prisoners in custody and on release, and those without work who are serving sentences in the community, to improve their employability.</w:t>
            </w:r>
          </w:p>
          <w:p w14:paraId="3BD12678" w14:textId="77777777" w:rsidR="00204192" w:rsidRPr="00CA57AC" w:rsidRDefault="00F0539E" w:rsidP="00A503FD">
            <w:pPr>
              <w:pStyle w:val="ListParagraph"/>
              <w:numPr>
                <w:ilvl w:val="0"/>
                <w:numId w:val="11"/>
              </w:numPr>
            </w:pPr>
            <w:r w:rsidRPr="00CA57AC">
              <w:t>To engage marginalised individuals and support them to re-engage with education, training, or in employment.</w:t>
            </w:r>
          </w:p>
          <w:p w14:paraId="3BD12679" w14:textId="77777777" w:rsidR="0096491B" w:rsidRPr="00CA57AC" w:rsidRDefault="0096491B" w:rsidP="0096491B">
            <w:pPr>
              <w:pStyle w:val="ListParagraph"/>
              <w:numPr>
                <w:ilvl w:val="0"/>
                <w:numId w:val="11"/>
              </w:numPr>
            </w:pPr>
            <w:r w:rsidRPr="00CA57AC">
              <w:t>To support young lone parents to overcome the barriers they face in participating in the labour market (including childcare).</w:t>
            </w:r>
          </w:p>
          <w:p w14:paraId="3BD1267A" w14:textId="77777777" w:rsidR="007E51DD" w:rsidRDefault="007E51DD" w:rsidP="00AD0B65"/>
          <w:p w14:paraId="3BD1267B" w14:textId="4CB206DD" w:rsidR="004A2467" w:rsidRDefault="004A2467" w:rsidP="00AD0B65">
            <w:r>
              <w:t xml:space="preserve">The </w:t>
            </w:r>
            <w:r w:rsidR="009612E0">
              <w:t>investment priorties</w:t>
            </w:r>
            <w:r>
              <w:t xml:space="preserve"> </w:t>
            </w:r>
            <w:r w:rsidR="00F0539E">
              <w:t xml:space="preserve">in this specification </w:t>
            </w:r>
            <w:r>
              <w:t>are:</w:t>
            </w:r>
          </w:p>
          <w:p w14:paraId="39EC47DB" w14:textId="77777777" w:rsidR="00555175" w:rsidRDefault="00555175" w:rsidP="00AD0B65"/>
          <w:p w14:paraId="3BD1267C" w14:textId="77777777" w:rsidR="00204192" w:rsidRDefault="00204192" w:rsidP="00A503FD">
            <w:pPr>
              <w:pStyle w:val="ListParagraph"/>
              <w:numPr>
                <w:ilvl w:val="0"/>
                <w:numId w:val="12"/>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w:t>
            </w:r>
            <w:r w:rsidR="005C5B32">
              <w:t xml:space="preserve">  </w:t>
            </w:r>
          </w:p>
          <w:p w14:paraId="3BD1267D" w14:textId="77777777" w:rsidR="00204192" w:rsidRDefault="00204192" w:rsidP="00A503FD">
            <w:pPr>
              <w:pStyle w:val="ListParagraph"/>
              <w:numPr>
                <w:ilvl w:val="0"/>
                <w:numId w:val="12"/>
              </w:numPr>
            </w:pPr>
            <w:r w:rsidRPr="003E0C7F">
              <w:rPr>
                <w:b/>
              </w:rPr>
              <w:t>Active inclusion</w:t>
            </w:r>
            <w:r>
              <w:t xml:space="preserve"> (IP1.4) - to help people who are more distant from the labour market and may face multiple disadvantages to tackle their multiple, complex and profound barriers to work and to move towards or into employment, or to sustain employment.</w:t>
            </w:r>
          </w:p>
          <w:p w14:paraId="3BD1267E" w14:textId="77777777" w:rsidR="009B1204" w:rsidRDefault="009B1204" w:rsidP="00A524B5">
            <w:pPr>
              <w:tabs>
                <w:tab w:val="num" w:pos="900"/>
              </w:tabs>
              <w:autoSpaceDE w:val="0"/>
              <w:autoSpaceDN w:val="0"/>
              <w:adjustRightInd w:val="0"/>
              <w:rPr>
                <w:rFonts w:cs="Arial"/>
              </w:rPr>
            </w:pPr>
          </w:p>
          <w:p w14:paraId="3BD1267F"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3BD12680" w14:textId="77777777" w:rsidR="009B1204" w:rsidRDefault="009B1204" w:rsidP="009B1204">
            <w:pPr>
              <w:rPr>
                <w:rFonts w:cs="Arial"/>
                <w:b/>
              </w:rPr>
            </w:pPr>
          </w:p>
          <w:p w14:paraId="3BD12681" w14:textId="77777777" w:rsidR="009B1204" w:rsidRDefault="009B1204" w:rsidP="009B1204">
            <w:pPr>
              <w:autoSpaceDE w:val="0"/>
              <w:autoSpaceDN w:val="0"/>
              <w:adjustRightInd w:val="0"/>
              <w:rPr>
                <w:rFonts w:cs="Arial"/>
                <w:color w:val="000000"/>
                <w:sz w:val="23"/>
                <w:szCs w:val="23"/>
                <w:lang w:eastAsia="en-GB"/>
              </w:rPr>
            </w:pPr>
            <w:r w:rsidRPr="009B1204">
              <w:rPr>
                <w:rFonts w:cs="Arial"/>
                <w:color w:val="000000"/>
                <w:sz w:val="23"/>
                <w:szCs w:val="23"/>
                <w:lang w:eastAsia="en-GB"/>
              </w:rPr>
              <w:t xml:space="preserve">The Government is promoting employment for all by providing support mechanisms and benefits that incentivise work and reduce worklessness,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3BD12682" w14:textId="77777777" w:rsidR="009B1204" w:rsidRPr="009B1204" w:rsidRDefault="009B1204" w:rsidP="009B1204">
            <w:pPr>
              <w:autoSpaceDE w:val="0"/>
              <w:autoSpaceDN w:val="0"/>
              <w:adjustRightInd w:val="0"/>
              <w:rPr>
                <w:rFonts w:cs="Arial"/>
                <w:color w:val="000000"/>
                <w:sz w:val="23"/>
                <w:szCs w:val="23"/>
                <w:lang w:eastAsia="en-GB"/>
              </w:rPr>
            </w:pPr>
          </w:p>
          <w:p w14:paraId="3BD12683" w14:textId="07B7125C" w:rsidR="009B1204" w:rsidRDefault="009B1204" w:rsidP="009B1204">
            <w:pPr>
              <w:tabs>
                <w:tab w:val="num" w:pos="900"/>
              </w:tabs>
              <w:autoSpaceDE w:val="0"/>
              <w:autoSpaceDN w:val="0"/>
              <w:adjustRightInd w:val="0"/>
              <w:rPr>
                <w:rFonts w:cs="Arial"/>
              </w:rPr>
            </w:pPr>
            <w:r w:rsidRPr="009B1204">
              <w:rPr>
                <w:rFonts w:cs="Arial"/>
                <w:color w:val="000000"/>
                <w:sz w:val="23"/>
                <w:szCs w:val="23"/>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555175" w:rsidRPr="009B1204">
              <w:rPr>
                <w:rFonts w:cs="Arial"/>
                <w:color w:val="000000"/>
                <w:sz w:val="23"/>
                <w:szCs w:val="23"/>
                <w:lang w:eastAsia="en-GB"/>
              </w:rPr>
              <w:t>job seeking</w:t>
            </w:r>
            <w:r w:rsidRPr="009B1204">
              <w:rPr>
                <w:rFonts w:cs="Arial"/>
                <w:color w:val="000000"/>
                <w:sz w:val="23"/>
                <w:szCs w:val="23"/>
                <w:lang w:eastAsia="en-GB"/>
              </w:rPr>
              <w:t xml:space="preserve"> skills, or other material barriers like debt and working with them to tackle these barriers.</w:t>
            </w:r>
          </w:p>
          <w:p w14:paraId="3BD12684" w14:textId="77777777" w:rsidR="0096491B" w:rsidRDefault="0096491B" w:rsidP="00A524B5">
            <w:pPr>
              <w:tabs>
                <w:tab w:val="num" w:pos="900"/>
              </w:tabs>
              <w:autoSpaceDE w:val="0"/>
              <w:autoSpaceDN w:val="0"/>
              <w:adjustRightInd w:val="0"/>
              <w:rPr>
                <w:rFonts w:cs="Arial"/>
              </w:rPr>
            </w:pPr>
          </w:p>
          <w:p w14:paraId="3BD12685" w14:textId="77777777" w:rsidR="009B1204" w:rsidRPr="003E0C7F" w:rsidRDefault="009B1204" w:rsidP="009B1204">
            <w:pPr>
              <w:rPr>
                <w:b/>
              </w:rPr>
            </w:pPr>
            <w:r w:rsidRPr="003E0C7F">
              <w:rPr>
                <w:b/>
              </w:rPr>
              <w:t>Active inclusion</w:t>
            </w:r>
          </w:p>
          <w:p w14:paraId="3BD12686" w14:textId="77777777" w:rsidR="009B1204" w:rsidRDefault="009B1204" w:rsidP="009B1204"/>
          <w:p w14:paraId="3BD12687" w14:textId="77777777" w:rsidR="009B1204" w:rsidRDefault="009B1204" w:rsidP="009B1204">
            <w:pPr>
              <w:rPr>
                <w:rFonts w:cs="Arial"/>
              </w:rPr>
            </w:pPr>
            <w:r w:rsidRPr="00993445">
              <w:rPr>
                <w:rFonts w:cs="Arial"/>
              </w:rPr>
              <w:t>Instead of simply treating the symptoms, ESF will help to address the root causes of poverty that are barriers to work, and so help more people move closer or into employment. The nature of the issues faced by the most disadvantaged means that barriers to work have to be tackled in a holistic and integrated way, including through supporting early action before problems become entrenched. Outreach activities will be particularly important since some of this group are, by definition, disconnected from existing Government services.</w:t>
            </w:r>
          </w:p>
          <w:p w14:paraId="3BD12688" w14:textId="77777777" w:rsidR="009B1204" w:rsidRPr="00993445" w:rsidRDefault="009B1204" w:rsidP="009B1204">
            <w:pPr>
              <w:rPr>
                <w:rFonts w:cs="Arial"/>
              </w:rPr>
            </w:pPr>
          </w:p>
          <w:p w14:paraId="3BD12689" w14:textId="77777777" w:rsidR="009B1204" w:rsidRPr="00993445" w:rsidRDefault="009B1204" w:rsidP="009B1204">
            <w:pPr>
              <w:rPr>
                <w:rFonts w:cs="Arial"/>
              </w:rPr>
            </w:pPr>
            <w:r w:rsidRPr="00993445">
              <w:rPr>
                <w:rFonts w:cs="Arial"/>
              </w:rPr>
              <w:t xml:space="preserve">ESF will finance integrated packages of support that address gaps in provision to disadvantaged groups and reach those who are not currently receiving support. </w:t>
            </w:r>
            <w:r w:rsidRPr="00993445">
              <w:rPr>
                <w:rFonts w:cs="Arial"/>
              </w:rPr>
              <w:lastRenderedPageBreak/>
              <w:t>Investments will help to tackle inactivity particularly by helping disadvantaged groups overcome barriers, improve their employability and move towards employment. There will be a particular focus on workless households</w:t>
            </w:r>
            <w:r>
              <w:rPr>
                <w:rFonts w:cs="Arial"/>
              </w:rPr>
              <w:t>.</w:t>
            </w:r>
          </w:p>
          <w:p w14:paraId="3BD1268A" w14:textId="77777777" w:rsidR="009B1204" w:rsidRDefault="009B1204" w:rsidP="009B1204">
            <w:pPr>
              <w:rPr>
                <w:rFonts w:cs="Arial"/>
              </w:rPr>
            </w:pPr>
          </w:p>
          <w:p w14:paraId="3BD1268B" w14:textId="77777777" w:rsidR="009B1204" w:rsidRPr="00993445" w:rsidRDefault="009B1204" w:rsidP="009B1204">
            <w:pPr>
              <w:rPr>
                <w:rFonts w:cs="Arial"/>
              </w:rPr>
            </w:pPr>
            <w:r w:rsidRPr="00993445">
              <w:rPr>
                <w:rFonts w:cs="Arial"/>
              </w:rPr>
              <w:t>The investment priority will help address a range of issues, and any other barriers to work which individuals face. Many face multiple disadvantages and as a result have chaotic lifestyles which make engaging with support and addressing barriers all the more difficult. But if the underlying issues are not addressed, they will struggle always to move on.</w:t>
            </w:r>
          </w:p>
          <w:p w14:paraId="3BD1268C" w14:textId="77777777" w:rsidR="009B1204" w:rsidRPr="005A1D76" w:rsidRDefault="009B1204" w:rsidP="00A524B5">
            <w:pPr>
              <w:tabs>
                <w:tab w:val="num" w:pos="900"/>
              </w:tabs>
              <w:autoSpaceDE w:val="0"/>
              <w:autoSpaceDN w:val="0"/>
              <w:adjustRightInd w:val="0"/>
              <w:rPr>
                <w:rFonts w:cs="Arial"/>
              </w:rPr>
            </w:pPr>
          </w:p>
          <w:p w14:paraId="3BD1268D"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3BD1268E" w14:textId="77777777" w:rsidR="00CA57AC" w:rsidRDefault="00CA57AC" w:rsidP="00A524B5">
            <w:pPr>
              <w:rPr>
                <w:rFonts w:cs="Arial"/>
              </w:rPr>
            </w:pPr>
          </w:p>
          <w:p w14:paraId="3BD1268F" w14:textId="77777777" w:rsidR="002833D9" w:rsidRDefault="00B4070A" w:rsidP="00A524B5">
            <w:pPr>
              <w:rPr>
                <w:rFonts w:cs="Arial"/>
                <w:b/>
              </w:rPr>
            </w:pPr>
            <w:r>
              <w:rPr>
                <w:rFonts w:cs="Arial"/>
                <w:b/>
              </w:rPr>
              <w:t>Stoke-on-Trent and Staffordshire</w:t>
            </w:r>
            <w:r w:rsidR="000304B2">
              <w:rPr>
                <w:rFonts w:cs="Arial"/>
                <w:b/>
              </w:rPr>
              <w:t xml:space="preserve"> Local </w:t>
            </w:r>
            <w:r w:rsidR="00A76A58">
              <w:rPr>
                <w:rFonts w:cs="Arial"/>
                <w:b/>
              </w:rPr>
              <w:t>Enterprise Partnership</w:t>
            </w:r>
            <w:r w:rsidR="00F24C41">
              <w:rPr>
                <w:rFonts w:cs="Arial"/>
                <w:b/>
              </w:rPr>
              <w:t xml:space="preserve"> Background</w:t>
            </w:r>
          </w:p>
          <w:p w14:paraId="3BD12690" w14:textId="77777777" w:rsidR="001A4B42" w:rsidRDefault="001A4B42" w:rsidP="000D51DE">
            <w:pPr>
              <w:rPr>
                <w:rFonts w:cs="Arial"/>
                <w:lang w:eastAsia="en-GB"/>
              </w:rPr>
            </w:pPr>
          </w:p>
          <w:p w14:paraId="3BD12691" w14:textId="77777777" w:rsidR="007124C1" w:rsidRDefault="007124C1" w:rsidP="000D51DE">
            <w:pPr>
              <w:rPr>
                <w:rFonts w:cs="Arial"/>
                <w:lang w:eastAsia="en-GB"/>
              </w:rPr>
            </w:pPr>
            <w:r w:rsidRPr="00AF1106">
              <w:rPr>
                <w:rFonts w:cs="Calibri"/>
                <w:color w:val="000000"/>
              </w:rPr>
              <w:t>The economic structure in Stoke-on-Trent and Staffordshire has changed considerably over recent years.</w:t>
            </w:r>
            <w:r>
              <w:rPr>
                <w:rFonts w:cs="Calibri"/>
                <w:color w:val="000000"/>
              </w:rPr>
              <w:t xml:space="preserve">  </w:t>
            </w:r>
            <w:r w:rsidRPr="001F1B7A">
              <w:rPr>
                <w:rFonts w:cs="Calibri"/>
                <w:color w:val="000000"/>
              </w:rPr>
              <w:t>In the north, there are high rates of worklessness, and a particular issue of adults with no qualifications.  In the south, there are issues o</w:t>
            </w:r>
            <w:r>
              <w:rPr>
                <w:rFonts w:cs="Calibri"/>
                <w:color w:val="000000"/>
              </w:rPr>
              <w:t>f unemployment in urban areas</w:t>
            </w:r>
            <w:r w:rsidRPr="001F1B7A">
              <w:rPr>
                <w:rFonts w:cs="Calibri"/>
                <w:color w:val="000000"/>
              </w:rPr>
              <w:t>. In rural areas there are pockets of deprivation where the economic structure tends to be less growth orientated, with a higher than average dependence on sectors such as agriculture and related land based activities and tourism.</w:t>
            </w:r>
          </w:p>
          <w:p w14:paraId="3BD12692" w14:textId="77777777" w:rsidR="007124C1" w:rsidRDefault="007124C1" w:rsidP="000D51DE">
            <w:pPr>
              <w:rPr>
                <w:rFonts w:cs="Arial"/>
                <w:lang w:eastAsia="en-GB"/>
              </w:rPr>
            </w:pPr>
          </w:p>
          <w:p w14:paraId="3BD12693" w14:textId="77777777" w:rsidR="007124C1" w:rsidRDefault="007124C1" w:rsidP="007124C1">
            <w:pPr>
              <w:pStyle w:val="ListParagraph"/>
              <w:ind w:left="0" w:right="113"/>
              <w:rPr>
                <w:rFonts w:cs="Arial"/>
                <w:color w:val="000000" w:themeColor="text1"/>
                <w:szCs w:val="22"/>
              </w:rPr>
            </w:pPr>
            <w:r>
              <w:rPr>
                <w:rFonts w:cs="Arial"/>
                <w:color w:val="000000" w:themeColor="text1"/>
                <w:szCs w:val="22"/>
              </w:rPr>
              <w:t xml:space="preserve">Evidence from the Stoke-on-Trent and Staffordshire Economic Review shows that one of the top reasons for hard to fill vacancies in the LEP area is skills; local business surveys have highlighted the need to improve education and skills, particularly basic skills such as literacy and numeracy as well as employment skills such as communication and team working, so that businesses can have access to a skilled local workforce and are </w:t>
            </w:r>
            <w:r w:rsidRPr="00AB7773">
              <w:rPr>
                <w:rFonts w:cs="Arial"/>
                <w:color w:val="000000" w:themeColor="text1"/>
                <w:szCs w:val="22"/>
              </w:rPr>
              <w:t>support</w:t>
            </w:r>
            <w:r>
              <w:rPr>
                <w:rFonts w:cs="Arial"/>
                <w:color w:val="000000" w:themeColor="text1"/>
                <w:szCs w:val="22"/>
              </w:rPr>
              <w:t>ed</w:t>
            </w:r>
            <w:r w:rsidRPr="00AB7773">
              <w:rPr>
                <w:rFonts w:cs="Arial"/>
                <w:color w:val="000000" w:themeColor="text1"/>
                <w:szCs w:val="22"/>
              </w:rPr>
              <w:t xml:space="preserve"> to grow</w:t>
            </w:r>
            <w:r>
              <w:rPr>
                <w:rFonts w:cs="Arial"/>
                <w:color w:val="000000" w:themeColor="text1"/>
                <w:szCs w:val="22"/>
              </w:rPr>
              <w:t>.  This will also</w:t>
            </w:r>
            <w:r w:rsidRPr="00AB7773">
              <w:rPr>
                <w:rFonts w:cs="Arial"/>
                <w:color w:val="000000" w:themeColor="text1"/>
                <w:szCs w:val="22"/>
              </w:rPr>
              <w:t xml:space="preserve"> increase levels of social inclusion</w:t>
            </w:r>
            <w:r>
              <w:rPr>
                <w:rFonts w:cs="Arial"/>
                <w:color w:val="000000" w:themeColor="text1"/>
                <w:szCs w:val="22"/>
              </w:rPr>
              <w:t xml:space="preserve"> therefore improving lives through sustainable jobs in disadvantaged areas and communities.</w:t>
            </w:r>
          </w:p>
          <w:p w14:paraId="3BD12694" w14:textId="77777777" w:rsidR="00D85D1C" w:rsidRDefault="00D85D1C" w:rsidP="000D51DE">
            <w:pPr>
              <w:rPr>
                <w:rFonts w:cs="Arial"/>
                <w:lang w:eastAsia="en-GB"/>
              </w:rPr>
            </w:pPr>
          </w:p>
          <w:p w14:paraId="3BD12695" w14:textId="768F7C6E" w:rsidR="00D85D1C" w:rsidRDefault="00D85D1C" w:rsidP="00D85D1C">
            <w:pPr>
              <w:rPr>
                <w:rFonts w:cs="Arial"/>
                <w:lang w:eastAsia="en-GB"/>
              </w:rPr>
            </w:pPr>
            <w:r>
              <w:rPr>
                <w:rFonts w:cs="Arial"/>
                <w:lang w:eastAsia="en-GB"/>
              </w:rPr>
              <w:t>Key sectors within the city and county such as Agri-Tech, Retail and Logistics have a high rate of churn or struggle with staff retention due to seasonality or strong cyclical links to the wider economy and therefore</w:t>
            </w:r>
            <w:r w:rsidR="0084012A">
              <w:rPr>
                <w:rFonts w:cs="Arial"/>
                <w:lang w:eastAsia="en-GB"/>
              </w:rPr>
              <w:t>, in-</w:t>
            </w:r>
            <w:r>
              <w:rPr>
                <w:rFonts w:cs="Arial"/>
                <w:lang w:eastAsia="en-GB"/>
              </w:rPr>
              <w:t>work skills development is important to ensure that individuals are supported.  A clear gap exists in provision with the SFA ESF WP, Workforce learning for 19-24 year old ending in July 2015.</w:t>
            </w:r>
          </w:p>
          <w:p w14:paraId="51D86B0C" w14:textId="77777777" w:rsidR="0084012A" w:rsidRDefault="0084012A" w:rsidP="00D85D1C">
            <w:pPr>
              <w:rPr>
                <w:rFonts w:cs="Arial"/>
                <w:lang w:eastAsia="en-GB"/>
              </w:rPr>
            </w:pPr>
          </w:p>
          <w:p w14:paraId="3BD12696" w14:textId="77777777" w:rsidR="00D85D1C" w:rsidRDefault="00D85D1C" w:rsidP="000D51DE">
            <w:pPr>
              <w:rPr>
                <w:rFonts w:cs="Arial"/>
                <w:lang w:eastAsia="en-GB"/>
              </w:rPr>
            </w:pPr>
            <w:r>
              <w:rPr>
                <w:rFonts w:cs="Arial"/>
                <w:lang w:eastAsia="en-GB"/>
              </w:rPr>
              <w:t>The LEP is keen for investment in skills to be made in the context of a customer journey that not only focuses on supporting individuals to become more employable and gain employment but also to strengthen the potential for them to not only retain their job but to progress further in their current, or a future job role.</w:t>
            </w:r>
          </w:p>
          <w:p w14:paraId="3BD12697" w14:textId="77777777" w:rsidR="00D85D1C" w:rsidRDefault="00D85D1C" w:rsidP="000D51DE">
            <w:pPr>
              <w:rPr>
                <w:rFonts w:cs="Arial"/>
                <w:lang w:eastAsia="en-GB"/>
              </w:rPr>
            </w:pPr>
          </w:p>
          <w:p w14:paraId="3BD12698" w14:textId="77777777" w:rsidR="00D85D1C" w:rsidRDefault="00D85D1C" w:rsidP="00D85D1C">
            <w:pPr>
              <w:pStyle w:val="ListParagraph"/>
              <w:ind w:left="0" w:right="113"/>
              <w:rPr>
                <w:rFonts w:cs="Arial"/>
                <w:color w:val="000000" w:themeColor="text1"/>
                <w:szCs w:val="22"/>
              </w:rPr>
            </w:pPr>
            <w:r w:rsidRPr="00AB7773">
              <w:rPr>
                <w:rFonts w:cs="Arial"/>
                <w:color w:val="000000" w:themeColor="text1"/>
                <w:szCs w:val="22"/>
              </w:rPr>
              <w:t xml:space="preserve">The </w:t>
            </w:r>
            <w:r>
              <w:rPr>
                <w:rFonts w:cs="Arial"/>
                <w:color w:val="000000" w:themeColor="text1"/>
                <w:szCs w:val="22"/>
              </w:rPr>
              <w:t xml:space="preserve">LEP </w:t>
            </w:r>
            <w:r w:rsidRPr="00AB7773">
              <w:rPr>
                <w:rFonts w:cs="Arial"/>
                <w:color w:val="000000" w:themeColor="text1"/>
                <w:szCs w:val="22"/>
              </w:rPr>
              <w:t>requires that provision will target employees with low or no qualifications and the successful contractor must be matrix accredited.  Key activities will include:</w:t>
            </w:r>
          </w:p>
          <w:p w14:paraId="388D6B4F" w14:textId="77777777" w:rsidR="00555175" w:rsidRPr="00AB7773" w:rsidRDefault="00555175" w:rsidP="00D85D1C">
            <w:pPr>
              <w:pStyle w:val="ListParagraph"/>
              <w:ind w:left="0" w:right="113"/>
              <w:rPr>
                <w:rFonts w:cs="Arial"/>
                <w:color w:val="000000" w:themeColor="text1"/>
                <w:szCs w:val="22"/>
              </w:rPr>
            </w:pPr>
          </w:p>
          <w:p w14:paraId="3BD12699" w14:textId="77777777" w:rsidR="00D85D1C" w:rsidRPr="00AB7773" w:rsidRDefault="00D85D1C" w:rsidP="00D85D1C">
            <w:pPr>
              <w:pStyle w:val="ListParagraph"/>
              <w:numPr>
                <w:ilvl w:val="0"/>
                <w:numId w:val="34"/>
              </w:numPr>
              <w:ind w:right="113"/>
              <w:rPr>
                <w:rFonts w:cs="Arial"/>
                <w:color w:val="000000" w:themeColor="text1"/>
                <w:szCs w:val="22"/>
              </w:rPr>
            </w:pPr>
            <w:r w:rsidRPr="00AB7773">
              <w:rPr>
                <w:rFonts w:cs="Arial"/>
                <w:color w:val="000000" w:themeColor="text1"/>
                <w:szCs w:val="22"/>
              </w:rPr>
              <w:t>Provision of vocationally/occupationally relevant skills for those with no or low qualifications;</w:t>
            </w:r>
          </w:p>
          <w:p w14:paraId="3BD1269A" w14:textId="77777777" w:rsidR="00D85D1C" w:rsidRPr="00AB7773" w:rsidRDefault="00D85D1C" w:rsidP="00D85D1C">
            <w:pPr>
              <w:pStyle w:val="ListParagraph"/>
              <w:numPr>
                <w:ilvl w:val="0"/>
                <w:numId w:val="34"/>
              </w:numPr>
              <w:ind w:right="113"/>
              <w:rPr>
                <w:rFonts w:cs="Arial"/>
                <w:color w:val="000000" w:themeColor="text1"/>
                <w:szCs w:val="22"/>
              </w:rPr>
            </w:pPr>
            <w:r w:rsidRPr="00AB7773">
              <w:rPr>
                <w:rFonts w:cs="Arial"/>
                <w:color w:val="000000" w:themeColor="text1"/>
                <w:szCs w:val="22"/>
              </w:rPr>
              <w:lastRenderedPageBreak/>
              <w:t>Qualifications that are not a statutory requirement for individuals in their specific job roles, but which will/could enhance their effectiveness in the workplace and support the competitiveness of the employer’s business.</w:t>
            </w:r>
          </w:p>
          <w:p w14:paraId="3BD1269C" w14:textId="77777777" w:rsidR="000D51DE" w:rsidRPr="002833D9" w:rsidRDefault="000D51DE" w:rsidP="000D51DE">
            <w:pPr>
              <w:rPr>
                <w:rFonts w:cs="Arial"/>
                <w:lang w:eastAsia="en-GB"/>
              </w:rPr>
            </w:pPr>
          </w:p>
        </w:tc>
      </w:tr>
      <w:tr w:rsidR="00967429" w14:paraId="3BD1269F" w14:textId="77777777" w:rsidTr="00555175">
        <w:trPr>
          <w:trHeight w:val="567"/>
        </w:trPr>
        <w:tc>
          <w:tcPr>
            <w:tcW w:w="9088" w:type="dxa"/>
            <w:shd w:val="clear" w:color="auto" w:fill="D9D9D9" w:themeFill="background1" w:themeFillShade="D9"/>
            <w:vAlign w:val="center"/>
          </w:tcPr>
          <w:p w14:paraId="3BD1269E"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3BD126BF" w14:textId="77777777" w:rsidTr="00CA57AC">
        <w:tc>
          <w:tcPr>
            <w:tcW w:w="9088" w:type="dxa"/>
          </w:tcPr>
          <w:p w14:paraId="3BD126A0" w14:textId="77777777" w:rsidR="002E25F4" w:rsidRDefault="002E25F4" w:rsidP="00A524B5">
            <w:pPr>
              <w:rPr>
                <w:rFonts w:cs="Arial"/>
                <w:i/>
              </w:rPr>
            </w:pPr>
          </w:p>
          <w:p w14:paraId="3BD126A1"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3BD126A2" w14:textId="77777777" w:rsidR="005C44C5" w:rsidRDefault="005C44C5" w:rsidP="000304B2">
            <w:pPr>
              <w:ind w:left="360" w:hanging="360"/>
              <w:rPr>
                <w:b/>
              </w:rPr>
            </w:pPr>
          </w:p>
          <w:p w14:paraId="3BD126A3"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3BD126A4" w14:textId="77777777" w:rsidR="000304B2" w:rsidRPr="005A1D76" w:rsidRDefault="000304B2" w:rsidP="000304B2">
            <w:pPr>
              <w:ind w:left="360" w:hanging="360"/>
              <w:rPr>
                <w:b/>
              </w:rPr>
            </w:pPr>
          </w:p>
          <w:p w14:paraId="3BD126A5"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3BD126A6" w14:textId="77777777" w:rsidR="000304B2" w:rsidRPr="005A1D76" w:rsidRDefault="000304B2" w:rsidP="000304B2">
            <w:pPr>
              <w:ind w:left="360" w:hanging="360"/>
              <w:rPr>
                <w:b/>
              </w:rPr>
            </w:pPr>
          </w:p>
          <w:p w14:paraId="3BD126A7"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3BD126A8" w14:textId="77777777" w:rsidR="00AA0B4C" w:rsidRDefault="00AA0B4C" w:rsidP="00AA0B4C">
            <w:pPr>
              <w:autoSpaceDE w:val="0"/>
              <w:autoSpaceDN w:val="0"/>
              <w:adjustRightInd w:val="0"/>
              <w:ind w:left="360" w:hanging="360"/>
            </w:pPr>
          </w:p>
          <w:p w14:paraId="3BD126A9"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3BD126AA" w14:textId="77777777" w:rsidR="008E2A7B" w:rsidRDefault="008E2A7B" w:rsidP="000304B2">
            <w:pPr>
              <w:autoSpaceDE w:val="0"/>
              <w:autoSpaceDN w:val="0"/>
              <w:adjustRightInd w:val="0"/>
              <w:ind w:left="360" w:hanging="360"/>
              <w:rPr>
                <w:b/>
              </w:rPr>
            </w:pPr>
          </w:p>
          <w:p w14:paraId="3BD126AB"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3BD126AC" w14:textId="77777777" w:rsidR="003A723F" w:rsidRDefault="003A723F" w:rsidP="005A1D76">
            <w:pPr>
              <w:autoSpaceDE w:val="0"/>
              <w:autoSpaceDN w:val="0"/>
              <w:adjustRightInd w:val="0"/>
            </w:pPr>
          </w:p>
          <w:p w14:paraId="3BD126AD" w14:textId="77777777" w:rsidR="005C5B32" w:rsidRDefault="005C5B32" w:rsidP="00555175">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3BD126AE" w14:textId="77777777" w:rsidR="005C5B32" w:rsidRDefault="005C5B32" w:rsidP="005A1D76">
            <w:pPr>
              <w:autoSpaceDE w:val="0"/>
              <w:autoSpaceDN w:val="0"/>
              <w:adjustRightInd w:val="0"/>
            </w:pPr>
          </w:p>
          <w:p w14:paraId="3BD126AF"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3BD126B0" w14:textId="77777777" w:rsidR="005C5B32" w:rsidRPr="005A1D76" w:rsidRDefault="005C5B32" w:rsidP="005A1D76">
            <w:pPr>
              <w:autoSpaceDE w:val="0"/>
              <w:autoSpaceDN w:val="0"/>
              <w:adjustRightInd w:val="0"/>
            </w:pPr>
          </w:p>
          <w:p w14:paraId="3BD126B1"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3BD126B2" w14:textId="77777777" w:rsidR="000304B2" w:rsidRPr="005A1D76" w:rsidRDefault="000304B2" w:rsidP="000304B2">
            <w:pPr>
              <w:autoSpaceDE w:val="0"/>
              <w:autoSpaceDN w:val="0"/>
              <w:adjustRightInd w:val="0"/>
              <w:ind w:left="360" w:hanging="360"/>
            </w:pPr>
          </w:p>
          <w:p w14:paraId="3BD126B3"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3BD126B4" w14:textId="77777777" w:rsidR="000304B2" w:rsidRPr="005A1D76" w:rsidRDefault="000304B2" w:rsidP="00C107CE">
            <w:pPr>
              <w:autoSpaceDE w:val="0"/>
              <w:autoSpaceDN w:val="0"/>
              <w:adjustRightInd w:val="0"/>
              <w:ind w:left="360" w:hanging="360"/>
            </w:pPr>
          </w:p>
          <w:p w14:paraId="3BD126B5"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3BD126B6" w14:textId="77777777" w:rsidR="000304B2" w:rsidRPr="005A1D76" w:rsidRDefault="000304B2" w:rsidP="000304B2">
            <w:pPr>
              <w:autoSpaceDE w:val="0"/>
              <w:autoSpaceDN w:val="0"/>
              <w:adjustRightInd w:val="0"/>
              <w:ind w:left="360" w:hanging="360"/>
            </w:pPr>
          </w:p>
          <w:p w14:paraId="3BD126B7"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3BD126B8" w14:textId="77777777" w:rsidR="000304B2" w:rsidRPr="005A1D76" w:rsidRDefault="000304B2" w:rsidP="000304B2">
            <w:pPr>
              <w:autoSpaceDE w:val="0"/>
              <w:autoSpaceDN w:val="0"/>
              <w:adjustRightInd w:val="0"/>
              <w:ind w:left="360" w:hanging="360"/>
            </w:pPr>
          </w:p>
          <w:p w14:paraId="3BD126B9"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3BD126BA" w14:textId="77777777" w:rsidR="000304B2" w:rsidRPr="006002A9" w:rsidRDefault="000304B2" w:rsidP="000304B2">
            <w:pPr>
              <w:autoSpaceDE w:val="0"/>
              <w:autoSpaceDN w:val="0"/>
              <w:adjustRightInd w:val="0"/>
              <w:ind w:left="360" w:hanging="360"/>
            </w:pPr>
          </w:p>
          <w:p w14:paraId="3BD126BB"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3BD126BC" w14:textId="77777777" w:rsidR="005A1D76" w:rsidRPr="006002A9" w:rsidRDefault="005A1D76" w:rsidP="000304B2">
            <w:pPr>
              <w:autoSpaceDE w:val="0"/>
              <w:autoSpaceDN w:val="0"/>
              <w:adjustRightInd w:val="0"/>
              <w:ind w:left="360" w:hanging="360"/>
            </w:pPr>
          </w:p>
          <w:p w14:paraId="3BD126BD"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3BD126BE" w14:textId="77777777" w:rsidR="00200BC6" w:rsidRPr="00590073" w:rsidRDefault="00200BC6" w:rsidP="005A1D76">
            <w:pPr>
              <w:autoSpaceDE w:val="0"/>
              <w:autoSpaceDN w:val="0"/>
              <w:adjustRightInd w:val="0"/>
              <w:ind w:left="360" w:hanging="360"/>
            </w:pPr>
          </w:p>
        </w:tc>
      </w:tr>
      <w:tr w:rsidR="00967429" w:rsidRPr="00544738" w14:paraId="3BD126C1" w14:textId="77777777" w:rsidTr="00555175">
        <w:trPr>
          <w:trHeight w:val="567"/>
        </w:trPr>
        <w:tc>
          <w:tcPr>
            <w:tcW w:w="9088" w:type="dxa"/>
            <w:shd w:val="clear" w:color="auto" w:fill="D9D9D9" w:themeFill="background1" w:themeFillShade="D9"/>
            <w:vAlign w:val="center"/>
          </w:tcPr>
          <w:p w14:paraId="3BD126C0"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3BD1275D" w14:textId="77777777" w:rsidTr="00CA57AC">
        <w:tc>
          <w:tcPr>
            <w:tcW w:w="9088" w:type="dxa"/>
          </w:tcPr>
          <w:p w14:paraId="3BD126C2" w14:textId="77777777" w:rsidR="000D51DE" w:rsidRDefault="000D51DE" w:rsidP="00A524B5">
            <w:pPr>
              <w:rPr>
                <w:rFonts w:cs="Arial"/>
                <w:b/>
              </w:rPr>
            </w:pPr>
          </w:p>
          <w:p w14:paraId="3BD126C3"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3BD126C4" w14:textId="77777777" w:rsidR="00EA180F" w:rsidRPr="001A4B05" w:rsidRDefault="00EA180F" w:rsidP="00A524B5">
            <w:pPr>
              <w:rPr>
                <w:rFonts w:cs="Arial"/>
                <w:b/>
              </w:rPr>
            </w:pPr>
          </w:p>
          <w:p w14:paraId="3BD126C5"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3BD126C6" w14:textId="77777777" w:rsidR="00ED156A" w:rsidRPr="00D535E6" w:rsidRDefault="00ED156A" w:rsidP="00A524B5">
            <w:pPr>
              <w:rPr>
                <w:rFonts w:cs="Arial"/>
              </w:rPr>
            </w:pPr>
          </w:p>
          <w:p w14:paraId="3BD126C7" w14:textId="77777777" w:rsidR="0031325C" w:rsidRPr="00D535E6" w:rsidRDefault="00ED156A" w:rsidP="00A524B5">
            <w:pPr>
              <w:rPr>
                <w:rFonts w:cs="Arial"/>
                <w:b/>
                <w:i/>
              </w:rPr>
            </w:pPr>
            <w:r w:rsidRPr="00D535E6">
              <w:rPr>
                <w:rFonts w:cs="Arial"/>
                <w:b/>
                <w:i/>
              </w:rPr>
              <w:t>Capacity and readiness to deliver</w:t>
            </w:r>
          </w:p>
          <w:p w14:paraId="3BD126C8" w14:textId="77777777" w:rsidR="00ED156A" w:rsidRPr="00D535E6" w:rsidRDefault="00ED156A" w:rsidP="00ED156A">
            <w:pPr>
              <w:autoSpaceDE w:val="0"/>
              <w:autoSpaceDN w:val="0"/>
              <w:adjustRightInd w:val="0"/>
              <w:rPr>
                <w:rFonts w:cs="Arial"/>
              </w:rPr>
            </w:pPr>
            <w:r w:rsidRPr="00D535E6">
              <w:rPr>
                <w:rFonts w:cs="Arial"/>
              </w:rPr>
              <w:t>Candidates must have:</w:t>
            </w:r>
          </w:p>
          <w:p w14:paraId="3BD126C9"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3BD126CA"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3BD126CB"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3BD126CC" w14:textId="77777777" w:rsidR="00ED156A" w:rsidRPr="002F4192" w:rsidRDefault="00ED156A" w:rsidP="00515602">
            <w:pPr>
              <w:rPr>
                <w:rFonts w:cs="Arial"/>
                <w:lang w:eastAsia="en-GB"/>
              </w:rPr>
            </w:pPr>
          </w:p>
          <w:p w14:paraId="3BD126CD" w14:textId="77777777" w:rsidR="00ED156A" w:rsidRPr="005A1D76" w:rsidRDefault="00ED156A" w:rsidP="00515602">
            <w:pPr>
              <w:rPr>
                <w:rFonts w:cs="Arial"/>
                <w:b/>
                <w:i/>
                <w:lang w:eastAsia="en-GB"/>
              </w:rPr>
            </w:pPr>
            <w:r w:rsidRPr="005A1D76">
              <w:rPr>
                <w:rFonts w:cs="Arial"/>
                <w:b/>
                <w:i/>
                <w:lang w:eastAsia="en-GB"/>
              </w:rPr>
              <w:t>Track record</w:t>
            </w:r>
          </w:p>
          <w:p w14:paraId="3BD126CE"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3BD126CF" w14:textId="77777777" w:rsidR="00E43DDB" w:rsidRPr="005A1D76" w:rsidRDefault="00E43DDB" w:rsidP="00515602">
            <w:pPr>
              <w:rPr>
                <w:rFonts w:cs="Arial"/>
                <w:szCs w:val="22"/>
              </w:rPr>
            </w:pPr>
          </w:p>
          <w:p w14:paraId="3BD126D0" w14:textId="77777777" w:rsidR="00E43DDB" w:rsidRPr="00E43DDB" w:rsidRDefault="00E43DDB" w:rsidP="00E43DDB">
            <w:pPr>
              <w:rPr>
                <w:rFonts w:cs="Arial"/>
                <w:b/>
                <w:i/>
                <w:lang w:eastAsia="en-GB"/>
              </w:rPr>
            </w:pPr>
            <w:r w:rsidRPr="00E43DDB">
              <w:rPr>
                <w:rFonts w:cs="Arial"/>
                <w:b/>
                <w:i/>
                <w:lang w:eastAsia="en-GB"/>
              </w:rPr>
              <w:t>Information, Advice and Guidance</w:t>
            </w:r>
          </w:p>
          <w:p w14:paraId="3BD126D1"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3BD126D2"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3BD126D3"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3BD126D4" w14:textId="77777777" w:rsidR="00E43DDB" w:rsidRPr="00E43DDB" w:rsidRDefault="00E43DDB" w:rsidP="00E43DDB">
            <w:pPr>
              <w:rPr>
                <w:rFonts w:cs="Arial"/>
                <w:lang w:eastAsia="en-GB"/>
              </w:rPr>
            </w:pPr>
          </w:p>
          <w:p w14:paraId="3BD126D5" w14:textId="77777777" w:rsidR="00ED156A" w:rsidRPr="005A1D76" w:rsidRDefault="002E25F4" w:rsidP="00A524B5">
            <w:pPr>
              <w:rPr>
                <w:rFonts w:cs="Arial"/>
              </w:rPr>
            </w:pPr>
            <w:r w:rsidRPr="005A1D76">
              <w:rPr>
                <w:rFonts w:cs="Arial"/>
                <w:b/>
                <w:i/>
              </w:rPr>
              <w:t>Management and quality assurance</w:t>
            </w:r>
          </w:p>
          <w:p w14:paraId="3BD126D6" w14:textId="77777777" w:rsidR="002E25F4" w:rsidRPr="005A1D76" w:rsidRDefault="002E25F4" w:rsidP="00A524B5">
            <w:pPr>
              <w:rPr>
                <w:rFonts w:cs="Arial"/>
              </w:rPr>
            </w:pPr>
            <w:r w:rsidRPr="005A1D76">
              <w:rPr>
                <w:rFonts w:cs="Arial"/>
              </w:rPr>
              <w:lastRenderedPageBreak/>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3BD126D7" w14:textId="77777777" w:rsidR="00B06A9F" w:rsidRPr="005A1D76" w:rsidRDefault="00B06A9F" w:rsidP="00A524B5">
            <w:pPr>
              <w:rPr>
                <w:rFonts w:cs="Arial"/>
              </w:rPr>
            </w:pPr>
          </w:p>
          <w:p w14:paraId="3BD126D8"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BD126D9" w14:textId="77777777" w:rsidR="001A4B05" w:rsidRPr="005A1D76" w:rsidRDefault="001A4B05" w:rsidP="00A524B5">
            <w:pPr>
              <w:rPr>
                <w:rFonts w:cs="Arial"/>
              </w:rPr>
            </w:pPr>
          </w:p>
          <w:p w14:paraId="3BD126DA" w14:textId="77777777" w:rsidR="002E25F4" w:rsidRPr="005A1D76" w:rsidRDefault="002E25F4" w:rsidP="00A524B5">
            <w:pPr>
              <w:rPr>
                <w:rFonts w:cs="Arial"/>
              </w:rPr>
            </w:pPr>
            <w:r w:rsidRPr="005A1D76">
              <w:rPr>
                <w:rFonts w:cs="Arial"/>
                <w:b/>
                <w:i/>
              </w:rPr>
              <w:t>Partnership working</w:t>
            </w:r>
          </w:p>
          <w:p w14:paraId="3BD126DB"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3BD126DC" w14:textId="77777777" w:rsidR="002E25F4" w:rsidRPr="005A1D76" w:rsidRDefault="002E25F4" w:rsidP="00A524B5">
            <w:pPr>
              <w:rPr>
                <w:rFonts w:cs="Arial"/>
              </w:rPr>
            </w:pPr>
          </w:p>
          <w:p w14:paraId="3BD126D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3BD126DE" w14:textId="77777777" w:rsidR="00ED156A" w:rsidRPr="006C64F5" w:rsidRDefault="00ED156A" w:rsidP="00A524B5">
            <w:pPr>
              <w:rPr>
                <w:rFonts w:cs="Arial"/>
                <w:highlight w:val="yellow"/>
              </w:rPr>
            </w:pPr>
          </w:p>
          <w:p w14:paraId="3BD126DF"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5C8BDF42" w14:textId="77777777" w:rsidR="0084012A" w:rsidRDefault="0084012A" w:rsidP="00C107CE">
            <w:pPr>
              <w:autoSpaceDE w:val="0"/>
              <w:autoSpaceDN w:val="0"/>
              <w:adjustRightInd w:val="0"/>
              <w:rPr>
                <w:rFonts w:cs="Arial"/>
              </w:rPr>
            </w:pPr>
          </w:p>
          <w:p w14:paraId="3BD126E0"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BD126E1" w14:textId="77777777" w:rsidR="000E66D3" w:rsidRDefault="000E66D3" w:rsidP="00A524B5">
            <w:pPr>
              <w:rPr>
                <w:rFonts w:cs="Arial"/>
              </w:rPr>
            </w:pPr>
          </w:p>
          <w:p w14:paraId="3BD126E2" w14:textId="77777777" w:rsidR="002E25F4" w:rsidRPr="00BC7F87" w:rsidRDefault="002E25F4" w:rsidP="00A524B5">
            <w:pPr>
              <w:rPr>
                <w:rFonts w:cs="Arial"/>
              </w:rPr>
            </w:pPr>
            <w:r w:rsidRPr="00BC7F87">
              <w:rPr>
                <w:rFonts w:cs="Arial"/>
                <w:b/>
                <w:i/>
              </w:rPr>
              <w:t>Market intelligence and local knowledge</w:t>
            </w:r>
          </w:p>
          <w:p w14:paraId="3BD126E3"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3BD126E4" w14:textId="77777777" w:rsidR="00812EC6" w:rsidRPr="00BC7F87" w:rsidRDefault="00812EC6" w:rsidP="00A524B5">
            <w:pPr>
              <w:rPr>
                <w:rFonts w:cs="Arial"/>
              </w:rPr>
            </w:pPr>
          </w:p>
          <w:p w14:paraId="3BD126E5"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3BD126E6"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BD126E7" w14:textId="77777777" w:rsidR="002E25F4" w:rsidRPr="00BC7F87" w:rsidRDefault="002E25F4" w:rsidP="00A524B5">
            <w:pPr>
              <w:rPr>
                <w:rFonts w:cs="Arial"/>
              </w:rPr>
            </w:pPr>
          </w:p>
          <w:p w14:paraId="3BD126E8" w14:textId="33718E4A"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0084012A">
              <w:rPr>
                <w:rFonts w:cs="Arial"/>
              </w:rPr>
              <w:t>.</w:t>
            </w:r>
            <w:r w:rsidRPr="00BC7F87">
              <w:rPr>
                <w:rFonts w:cs="Arial"/>
                <w:strike/>
              </w:rPr>
              <w:t xml:space="preserve"> </w:t>
            </w:r>
          </w:p>
          <w:p w14:paraId="3BD126EA" w14:textId="77777777" w:rsidR="00204794" w:rsidRPr="00117508" w:rsidRDefault="00204794" w:rsidP="009E7A30">
            <w:pPr>
              <w:rPr>
                <w:rFonts w:cs="Arial"/>
              </w:rPr>
            </w:pPr>
          </w:p>
          <w:p w14:paraId="3BD126EB" w14:textId="77777777" w:rsidR="00B85F61" w:rsidRPr="00466FA7" w:rsidRDefault="00EA180F" w:rsidP="009E7A30">
            <w:pPr>
              <w:rPr>
                <w:rFonts w:cs="Arial"/>
                <w:b/>
                <w:i/>
              </w:rPr>
            </w:pPr>
            <w:r>
              <w:rPr>
                <w:rFonts w:cs="Arial"/>
                <w:b/>
              </w:rPr>
              <w:lastRenderedPageBreak/>
              <w:t>Specific Service Requirements</w:t>
            </w:r>
          </w:p>
          <w:p w14:paraId="3BD126EC" w14:textId="77777777" w:rsidR="00204794" w:rsidRDefault="00204794" w:rsidP="009E7A30">
            <w:pPr>
              <w:rPr>
                <w:rFonts w:cs="Arial"/>
                <w:b/>
              </w:rPr>
            </w:pPr>
          </w:p>
          <w:p w14:paraId="3BD126ED" w14:textId="0F5B6EF3" w:rsidR="00F65D61" w:rsidRPr="004F671A" w:rsidRDefault="00F37B2A" w:rsidP="00F65D61">
            <w:pPr>
              <w:rPr>
                <w:rFonts w:cs="Arial"/>
                <w:b/>
              </w:rPr>
            </w:pPr>
            <w:r>
              <w:rPr>
                <w:rFonts w:cs="Arial"/>
                <w:b/>
              </w:rPr>
              <w:t xml:space="preserve">LOT 1: </w:t>
            </w:r>
            <w:r w:rsidR="00F65D61" w:rsidRPr="004F671A">
              <w:rPr>
                <w:rFonts w:cs="Arial"/>
                <w:b/>
              </w:rPr>
              <w:t>SUPPORT FOR THE UNEMPLOYED</w:t>
            </w:r>
            <w:r w:rsidR="00C56155">
              <w:rPr>
                <w:rFonts w:cs="Arial"/>
                <w:b/>
              </w:rPr>
              <w:t xml:space="preserve"> </w:t>
            </w:r>
            <w:r w:rsidR="009612E0">
              <w:rPr>
                <w:rFonts w:cs="Arial"/>
                <w:b/>
              </w:rPr>
              <w:t xml:space="preserve">THEME </w:t>
            </w:r>
            <w:r w:rsidR="00C56155">
              <w:rPr>
                <w:rFonts w:cs="Arial"/>
                <w:b/>
              </w:rPr>
              <w:t>(</w:t>
            </w:r>
            <w:r w:rsidR="00C1183A" w:rsidRPr="004F671A">
              <w:rPr>
                <w:rFonts w:cs="Arial"/>
                <w:b/>
              </w:rPr>
              <w:t>I</w:t>
            </w:r>
            <w:r w:rsidR="00C56155">
              <w:rPr>
                <w:rFonts w:cs="Arial"/>
                <w:b/>
              </w:rPr>
              <w:t xml:space="preserve">nvestment </w:t>
            </w:r>
            <w:r w:rsidR="00C1183A" w:rsidRPr="004F671A">
              <w:rPr>
                <w:rFonts w:cs="Arial"/>
                <w:b/>
              </w:rPr>
              <w:t>P</w:t>
            </w:r>
            <w:r w:rsidR="00C56155">
              <w:rPr>
                <w:rFonts w:cs="Arial"/>
                <w:b/>
              </w:rPr>
              <w:t>riority</w:t>
            </w:r>
            <w:r w:rsidR="00C1183A" w:rsidRPr="004F671A">
              <w:rPr>
                <w:rFonts w:cs="Arial"/>
                <w:b/>
              </w:rPr>
              <w:t xml:space="preserve">: </w:t>
            </w:r>
            <w:r w:rsidR="00C56155">
              <w:rPr>
                <w:rFonts w:cs="Arial"/>
                <w:b/>
              </w:rPr>
              <w:t xml:space="preserve"> </w:t>
            </w:r>
            <w:r w:rsidR="00C1183A" w:rsidRPr="004F671A">
              <w:rPr>
                <w:rFonts w:cs="Arial"/>
                <w:b/>
              </w:rPr>
              <w:t>1.4)</w:t>
            </w:r>
          </w:p>
          <w:p w14:paraId="3BD126EE" w14:textId="77777777" w:rsidR="00F65D61" w:rsidRPr="004F671A" w:rsidRDefault="00F65D61" w:rsidP="00F65D61">
            <w:pPr>
              <w:rPr>
                <w:rFonts w:cs="Arial"/>
              </w:rPr>
            </w:pPr>
          </w:p>
          <w:p w14:paraId="3BD126EF" w14:textId="77777777" w:rsidR="00F65D61" w:rsidRPr="004F671A" w:rsidRDefault="00F65D61" w:rsidP="00F65D61">
            <w:pPr>
              <w:rPr>
                <w:rFonts w:cs="Arial"/>
              </w:rPr>
            </w:pPr>
            <w:r w:rsidRPr="004F671A">
              <w:rPr>
                <w:rFonts w:cs="Arial"/>
              </w:rPr>
              <w:t xml:space="preserve">The aim of the Services is to provide bespoke support and training for the unemployed and those economically inactive and seeking a return to the labour market but facing skills related barriers to entering the labour market.  The </w:t>
            </w:r>
            <w:r w:rsidR="00B85F61" w:rsidRPr="004F671A">
              <w:rPr>
                <w:rFonts w:cs="Arial"/>
              </w:rPr>
              <w:t xml:space="preserve"> Services </w:t>
            </w:r>
            <w:r w:rsidRPr="004F671A">
              <w:rPr>
                <w:rFonts w:cs="Arial"/>
              </w:rPr>
              <w:t>will deliver the vocationally related skills needed by local employers</w:t>
            </w:r>
          </w:p>
          <w:p w14:paraId="3BD126F0" w14:textId="77777777" w:rsidR="00F65D61" w:rsidRPr="004F671A" w:rsidRDefault="00B85F61" w:rsidP="00F65D61">
            <w:pPr>
              <w:rPr>
                <w:rFonts w:cs="Arial"/>
              </w:rPr>
            </w:pPr>
            <w:r w:rsidRPr="004F671A">
              <w:rPr>
                <w:rFonts w:cs="Arial"/>
              </w:rPr>
              <w:t xml:space="preserve">There must be an </w:t>
            </w:r>
            <w:r w:rsidR="00F65D61" w:rsidRPr="004F671A">
              <w:rPr>
                <w:rFonts w:cs="Arial"/>
              </w:rPr>
              <w:t xml:space="preserve">initial assessment </w:t>
            </w:r>
            <w:r w:rsidRPr="004F671A">
              <w:rPr>
                <w:rFonts w:cs="Arial"/>
              </w:rPr>
              <w:t xml:space="preserve">to </w:t>
            </w:r>
            <w:r w:rsidR="00F65D61" w:rsidRPr="004F671A">
              <w:rPr>
                <w:rFonts w:cs="Arial"/>
              </w:rPr>
              <w:t xml:space="preserve">diagnose </w:t>
            </w:r>
            <w:r w:rsidR="00466FA7" w:rsidRPr="004F671A">
              <w:rPr>
                <w:rFonts w:cs="Arial"/>
              </w:rPr>
              <w:t>the existing</w:t>
            </w:r>
            <w:r w:rsidR="00F65D61" w:rsidRPr="004F671A">
              <w:rPr>
                <w:rFonts w:cs="Arial"/>
              </w:rPr>
              <w:t xml:space="preserve"> skills and identify skills gaps</w:t>
            </w:r>
            <w:r w:rsidRPr="004F671A">
              <w:rPr>
                <w:rFonts w:cs="Arial"/>
              </w:rPr>
              <w:t xml:space="preserve"> of participants</w:t>
            </w:r>
            <w:r w:rsidR="00F65D61" w:rsidRPr="004F671A">
              <w:rPr>
                <w:rFonts w:cs="Arial"/>
              </w:rPr>
              <w:t xml:space="preserve"> in relation to employer requirements and/or opportunities for self-employment.  An individual learning plan</w:t>
            </w:r>
            <w:r w:rsidRPr="004F671A">
              <w:rPr>
                <w:rFonts w:cs="Arial"/>
              </w:rPr>
              <w:t xml:space="preserve"> must </w:t>
            </w:r>
            <w:r w:rsidR="00F65D61" w:rsidRPr="004F671A">
              <w:rPr>
                <w:rFonts w:cs="Arial"/>
              </w:rPr>
              <w:t>then be devised.</w:t>
            </w:r>
          </w:p>
          <w:p w14:paraId="3BD126F1" w14:textId="77777777" w:rsidR="00F65D61" w:rsidRPr="004F671A" w:rsidRDefault="00F65D61" w:rsidP="00F65D61">
            <w:pPr>
              <w:rPr>
                <w:rFonts w:cs="Arial"/>
              </w:rPr>
            </w:pPr>
          </w:p>
          <w:p w14:paraId="3BD126F2" w14:textId="4D57D9BB" w:rsidR="00F65D61" w:rsidRPr="004F671A" w:rsidRDefault="00F65D61" w:rsidP="00F65D61">
            <w:pPr>
              <w:rPr>
                <w:rFonts w:cs="Arial"/>
              </w:rPr>
            </w:pPr>
            <w:r w:rsidRPr="004F671A">
              <w:rPr>
                <w:rFonts w:cs="Arial"/>
              </w:rPr>
              <w:t xml:space="preserve">The Services </w:t>
            </w:r>
            <w:r w:rsidR="00B85F61" w:rsidRPr="004F671A">
              <w:rPr>
                <w:rFonts w:cs="Arial"/>
              </w:rPr>
              <w:t xml:space="preserve">must </w:t>
            </w:r>
            <w:r w:rsidRPr="004F671A">
              <w:rPr>
                <w:rFonts w:cs="Arial"/>
              </w:rPr>
              <w:t>provide meaningful and appropriate information</w:t>
            </w:r>
            <w:r w:rsidR="0084012A">
              <w:rPr>
                <w:rFonts w:cs="Arial"/>
              </w:rPr>
              <w:t>,</w:t>
            </w:r>
            <w:r w:rsidRPr="004F671A">
              <w:rPr>
                <w:rFonts w:cs="Arial"/>
              </w:rPr>
              <w:t xml:space="preserve"> advice and guidance</w:t>
            </w:r>
            <w:r w:rsidR="0084012A">
              <w:rPr>
                <w:rFonts w:cs="Arial"/>
              </w:rPr>
              <w:t>;</w:t>
            </w:r>
            <w:r w:rsidRPr="004F671A">
              <w:rPr>
                <w:rFonts w:cs="Arial"/>
              </w:rPr>
              <w:t xml:space="preserve"> including an overview of the local labour market</w:t>
            </w:r>
            <w:r w:rsidR="0084012A">
              <w:rPr>
                <w:rFonts w:cs="Arial"/>
              </w:rPr>
              <w:t>,</w:t>
            </w:r>
            <w:r w:rsidRPr="004F671A">
              <w:rPr>
                <w:rFonts w:cs="Arial"/>
              </w:rPr>
              <w:t xml:space="preserve"> that will support individuals to secure suitable progression into a successful outcome</w:t>
            </w:r>
            <w:r w:rsidR="0084012A">
              <w:rPr>
                <w:rFonts w:cs="Arial"/>
              </w:rPr>
              <w:t>,</w:t>
            </w:r>
            <w:r w:rsidRPr="004F671A">
              <w:rPr>
                <w:rFonts w:cs="Arial"/>
              </w:rPr>
              <w:t xml:space="preserve"> and which raises interest in careers in the LEP’s priority sectors.</w:t>
            </w:r>
          </w:p>
          <w:p w14:paraId="3BD126F3" w14:textId="77777777" w:rsidR="00F65D61" w:rsidRPr="004F671A" w:rsidRDefault="00F65D61" w:rsidP="00F65D61">
            <w:pPr>
              <w:rPr>
                <w:rFonts w:cs="Arial"/>
              </w:rPr>
            </w:pPr>
          </w:p>
          <w:p w14:paraId="3BD126F4" w14:textId="77777777" w:rsidR="00F65D61" w:rsidRPr="004F671A" w:rsidRDefault="00F65D61" w:rsidP="00F65D61">
            <w:pPr>
              <w:rPr>
                <w:rFonts w:cs="Arial"/>
                <w:bCs/>
                <w:color w:val="000000"/>
                <w:sz w:val="20"/>
              </w:rPr>
            </w:pPr>
            <w:r w:rsidRPr="004F671A">
              <w:rPr>
                <w:rFonts w:cs="Arial"/>
                <w:szCs w:val="23"/>
              </w:rPr>
              <w:t>The Services must provide individual and continuous mentor/key worker support for each participant.</w:t>
            </w:r>
          </w:p>
          <w:p w14:paraId="3BD126F5" w14:textId="77777777" w:rsidR="00F65D61" w:rsidRPr="004F671A" w:rsidRDefault="00F65D61" w:rsidP="00F65D61">
            <w:pPr>
              <w:rPr>
                <w:rFonts w:cs="Arial"/>
              </w:rPr>
            </w:pPr>
          </w:p>
          <w:p w14:paraId="3BD126F6" w14:textId="77777777" w:rsidR="00F65D61" w:rsidRPr="004F671A" w:rsidRDefault="00F65D61" w:rsidP="00F65D61">
            <w:pPr>
              <w:rPr>
                <w:rFonts w:cs="Arial"/>
              </w:rPr>
            </w:pPr>
            <w:r w:rsidRPr="004F671A">
              <w:rPr>
                <w:rFonts w:cs="Arial"/>
              </w:rPr>
              <w:t xml:space="preserve">The Services </w:t>
            </w:r>
            <w:r w:rsidR="00B85F61" w:rsidRPr="004F671A">
              <w:rPr>
                <w:rFonts w:cs="Arial"/>
              </w:rPr>
              <w:t xml:space="preserve">must </w:t>
            </w:r>
            <w:r w:rsidRPr="004F671A">
              <w:rPr>
                <w:rFonts w:cs="Arial"/>
              </w:rPr>
              <w:t xml:space="preserve">provide participants with advice on vacancies, job search, CV writing and interview techniques and assistance with registration, searching and applications for Apprenticeship vacancies on </w:t>
            </w:r>
            <w:hyperlink r:id="rId15" w:history="1">
              <w:r w:rsidRPr="004F671A">
                <w:rPr>
                  <w:rStyle w:val="Hyperlink"/>
                  <w:rFonts w:cs="Arial"/>
                </w:rPr>
                <w:t>www.apprenticeships.org.uk</w:t>
              </w:r>
            </w:hyperlink>
            <w:r w:rsidRPr="004F671A">
              <w:rPr>
                <w:rFonts w:cs="Arial"/>
              </w:rPr>
              <w:t xml:space="preserve"> as well as independent study and career skills.</w:t>
            </w:r>
          </w:p>
          <w:p w14:paraId="3BD126F7" w14:textId="77777777" w:rsidR="00F65D61" w:rsidRPr="004F671A" w:rsidRDefault="00F65D61" w:rsidP="00F65D61">
            <w:pPr>
              <w:rPr>
                <w:rFonts w:cs="Arial"/>
              </w:rPr>
            </w:pPr>
          </w:p>
          <w:p w14:paraId="3BD126F8" w14:textId="77777777" w:rsidR="00F65D61" w:rsidRPr="004F671A" w:rsidRDefault="00F65D61" w:rsidP="00F65D61">
            <w:pPr>
              <w:rPr>
                <w:rFonts w:cs="Arial"/>
              </w:rPr>
            </w:pPr>
            <w:r w:rsidRPr="004F671A">
              <w:rPr>
                <w:rFonts w:cs="Arial"/>
              </w:rPr>
              <w:t>The Services must be provided flexibly to support individual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C1183A" w:rsidRPr="004F671A">
              <w:rPr>
                <w:rFonts w:cs="Arial"/>
              </w:rPr>
              <w:t xml:space="preserve"> traineeships,</w:t>
            </w:r>
            <w:r w:rsidRPr="004F671A">
              <w:rPr>
                <w:rFonts w:cs="Arial"/>
              </w:rPr>
              <w:t xml:space="preserve"> self-employment</w:t>
            </w:r>
            <w:r w:rsidR="00C1183A" w:rsidRPr="004F671A">
              <w:rPr>
                <w:rFonts w:cs="Arial"/>
              </w:rPr>
              <w:t xml:space="preserve"> or </w:t>
            </w:r>
            <w:r w:rsidRPr="004F671A">
              <w:rPr>
                <w:rFonts w:cs="Arial"/>
              </w:rPr>
              <w:t>volunteering.</w:t>
            </w:r>
          </w:p>
          <w:p w14:paraId="3BD126F9" w14:textId="77777777" w:rsidR="00F65D61" w:rsidRPr="004F671A" w:rsidRDefault="00F65D61" w:rsidP="00F65D61">
            <w:pPr>
              <w:rPr>
                <w:rFonts w:cs="Arial"/>
              </w:rPr>
            </w:pPr>
          </w:p>
          <w:p w14:paraId="3BD126FA" w14:textId="3E48A6E9" w:rsidR="00F65D61" w:rsidRPr="004F671A" w:rsidRDefault="00F65D61" w:rsidP="00F65D61">
            <w:pPr>
              <w:rPr>
                <w:rFonts w:cs="Arial"/>
              </w:rPr>
            </w:pPr>
            <w:r w:rsidRPr="004F671A">
              <w:rPr>
                <w:rFonts w:cs="Arial"/>
              </w:rPr>
              <w:t xml:space="preserve">The Services </w:t>
            </w:r>
            <w:r w:rsidR="00B85F61" w:rsidRPr="004F671A">
              <w:rPr>
                <w:rFonts w:cs="Arial"/>
              </w:rPr>
              <w:t xml:space="preserve">must </w:t>
            </w:r>
            <w:r w:rsidRPr="004F671A">
              <w:rPr>
                <w:rFonts w:cs="Arial"/>
              </w:rPr>
              <w:t>support the development of innovative approaches to pre-employment training, including team working, coaching and mentoring, confidence building and employability training.  The Services will support activity that promotes vocational pathways, internships, work experience, volunteering which are supported by one to one mentoring.  The Services should also provide self-employment support that reflects the needs of the employees being supported.</w:t>
            </w:r>
          </w:p>
          <w:p w14:paraId="3BD126FB" w14:textId="77777777" w:rsidR="00F65D61" w:rsidRPr="004F671A" w:rsidRDefault="00F65D61" w:rsidP="00F65D61">
            <w:pPr>
              <w:rPr>
                <w:rFonts w:cs="Arial"/>
              </w:rPr>
            </w:pPr>
          </w:p>
          <w:p w14:paraId="3BD126FC" w14:textId="77777777" w:rsidR="00F65D61" w:rsidRPr="004F671A" w:rsidRDefault="00F65D61" w:rsidP="00F65D61">
            <w:pPr>
              <w:rPr>
                <w:rFonts w:cs="Arial"/>
              </w:rPr>
            </w:pPr>
            <w:r w:rsidRPr="004F671A">
              <w:rPr>
                <w:rFonts w:cs="Arial"/>
              </w:rPr>
              <w:t xml:space="preserve">The Services will support individuals to address personal and social barriers to employment for example through the purchase of tools, travel costs, childcare and the requirement to have PPE equipment.  It will be expected that any licence costs associated with training will be reimbursed </w:t>
            </w:r>
            <w:r w:rsidR="00C1183A" w:rsidRPr="004F671A">
              <w:rPr>
                <w:rFonts w:cs="Arial"/>
              </w:rPr>
              <w:t>e.g.</w:t>
            </w:r>
            <w:r w:rsidRPr="004F671A">
              <w:rPr>
                <w:rFonts w:cs="Arial"/>
              </w:rPr>
              <w:t xml:space="preserve"> CSCS card, SIA Licence.  These costs will be integrated into the unit cost per individual.</w:t>
            </w:r>
          </w:p>
          <w:p w14:paraId="3BD126FD" w14:textId="77777777" w:rsidR="00F65D61" w:rsidRPr="004F671A" w:rsidRDefault="00F65D61" w:rsidP="00F65D61">
            <w:pPr>
              <w:rPr>
                <w:rFonts w:cs="Arial"/>
              </w:rPr>
            </w:pPr>
          </w:p>
          <w:p w14:paraId="3BD126FE" w14:textId="77777777" w:rsidR="00F65D61" w:rsidRPr="004F671A" w:rsidRDefault="00F65D61" w:rsidP="00F65D61">
            <w:pPr>
              <w:autoSpaceDE w:val="0"/>
              <w:autoSpaceDN w:val="0"/>
              <w:adjustRightInd w:val="0"/>
              <w:rPr>
                <w:rFonts w:cs="Arial"/>
              </w:rPr>
            </w:pPr>
            <w:r w:rsidRPr="004F671A">
              <w:rPr>
                <w:rFonts w:cs="Arial"/>
              </w:rPr>
              <w:t xml:space="preserve">The Services </w:t>
            </w:r>
            <w:r w:rsidR="00B85F61" w:rsidRPr="004F671A">
              <w:rPr>
                <w:rFonts w:cs="Arial"/>
              </w:rPr>
              <w:t xml:space="preserve">must </w:t>
            </w:r>
            <w:r w:rsidRPr="004F671A">
              <w:rPr>
                <w:rFonts w:cs="Arial"/>
              </w:rPr>
              <w:t xml:space="preserve">support sustained engagement, transition and progression through creation of individual support packages, appropriate to the particular needs of the individual. </w:t>
            </w:r>
            <w:r w:rsidR="00B85F61" w:rsidRPr="004F671A">
              <w:rPr>
                <w:rFonts w:cs="Arial"/>
              </w:rPr>
              <w:t xml:space="preserve"> Participants </w:t>
            </w:r>
            <w:r w:rsidRPr="004F671A">
              <w:rPr>
                <w:rFonts w:cs="Arial"/>
              </w:rPr>
              <w:t xml:space="preserve">will receive regular progress reviews, will receive an exit interview and </w:t>
            </w:r>
            <w:r w:rsidR="00B85F61" w:rsidRPr="004F671A">
              <w:rPr>
                <w:rFonts w:cs="Arial"/>
              </w:rPr>
              <w:t>t</w:t>
            </w:r>
            <w:r w:rsidRPr="004F671A">
              <w:rPr>
                <w:rFonts w:cs="Arial"/>
              </w:rPr>
              <w:t xml:space="preserve">he Services will track the individual after leaving the programme.  </w:t>
            </w:r>
          </w:p>
          <w:p w14:paraId="3BD126FF" w14:textId="77777777" w:rsidR="00F65D61" w:rsidRPr="004F671A" w:rsidRDefault="00F65D61" w:rsidP="00F65D61">
            <w:pPr>
              <w:autoSpaceDE w:val="0"/>
              <w:autoSpaceDN w:val="0"/>
              <w:adjustRightInd w:val="0"/>
              <w:rPr>
                <w:rFonts w:cs="Arial"/>
              </w:rPr>
            </w:pPr>
          </w:p>
          <w:p w14:paraId="3BD12700" w14:textId="1F7ACB5C" w:rsidR="00F65D61" w:rsidRPr="004F671A" w:rsidRDefault="00F65D61" w:rsidP="00F65D61">
            <w:pPr>
              <w:rPr>
                <w:rFonts w:cs="Arial"/>
              </w:rPr>
            </w:pPr>
            <w:r w:rsidRPr="004F671A">
              <w:rPr>
                <w:rFonts w:cs="Arial"/>
              </w:rPr>
              <w:lastRenderedPageBreak/>
              <w:t xml:space="preserve">Where </w:t>
            </w:r>
            <w:r w:rsidR="00B85F61" w:rsidRPr="004F671A">
              <w:rPr>
                <w:rFonts w:cs="Arial"/>
              </w:rPr>
              <w:t xml:space="preserve">participants </w:t>
            </w:r>
            <w:r w:rsidRPr="004F671A">
              <w:rPr>
                <w:rFonts w:cs="Arial"/>
              </w:rPr>
              <w:t xml:space="preserve">gain positive outcomes the Services will provide continuous support that will include regular communication, interventions, coaching and mentoring support for the participant up to the </w:t>
            </w:r>
            <w:r w:rsidR="005833BD" w:rsidRPr="004F671A">
              <w:rPr>
                <w:rFonts w:cs="Arial"/>
              </w:rPr>
              <w:t>3rd month</w:t>
            </w:r>
            <w:r w:rsidRPr="004F671A">
              <w:rPr>
                <w:rFonts w:cs="Arial"/>
              </w:rPr>
              <w:t xml:space="preserve"> in employment.  Where</w:t>
            </w:r>
            <w:r w:rsidR="00B85F61" w:rsidRPr="004F671A">
              <w:rPr>
                <w:rFonts w:cs="Arial"/>
              </w:rPr>
              <w:t xml:space="preserve"> </w:t>
            </w:r>
            <w:r w:rsidR="0084012A">
              <w:rPr>
                <w:rFonts w:cs="Arial"/>
              </w:rPr>
              <w:t>participant</w:t>
            </w:r>
            <w:r w:rsidR="00555175">
              <w:rPr>
                <w:rFonts w:cs="Arial"/>
              </w:rPr>
              <w:t>’</w:t>
            </w:r>
            <w:r w:rsidR="0084012A">
              <w:rPr>
                <w:rFonts w:cs="Arial"/>
              </w:rPr>
              <w:t xml:space="preserve">s </w:t>
            </w:r>
            <w:r w:rsidRPr="004F671A">
              <w:rPr>
                <w:rFonts w:cs="Arial"/>
              </w:rPr>
              <w:t>progress into a positive outcome generated via working with employers, the Service</w:t>
            </w:r>
            <w:r w:rsidR="00B85F61" w:rsidRPr="004F671A">
              <w:rPr>
                <w:rFonts w:cs="Arial"/>
              </w:rPr>
              <w:t>s</w:t>
            </w:r>
            <w:r w:rsidRPr="004F671A">
              <w:rPr>
                <w:rFonts w:cs="Arial"/>
              </w:rPr>
              <w:t xml:space="preserve"> will provide on-going tailored induction training as required by the employer to the </w:t>
            </w:r>
            <w:r w:rsidR="00B85F61" w:rsidRPr="004F671A">
              <w:rPr>
                <w:rFonts w:cs="Arial"/>
              </w:rPr>
              <w:t xml:space="preserve">participants </w:t>
            </w:r>
            <w:r w:rsidRPr="004F671A">
              <w:rPr>
                <w:rFonts w:cs="Arial"/>
              </w:rPr>
              <w:t xml:space="preserve">once in employment. </w:t>
            </w:r>
          </w:p>
          <w:p w14:paraId="3BD12701" w14:textId="77777777" w:rsidR="00F65D61" w:rsidRPr="004F671A" w:rsidRDefault="00F65D61" w:rsidP="00F65D61">
            <w:pPr>
              <w:autoSpaceDE w:val="0"/>
              <w:autoSpaceDN w:val="0"/>
              <w:adjustRightInd w:val="0"/>
              <w:rPr>
                <w:rFonts w:cs="Arial"/>
              </w:rPr>
            </w:pPr>
          </w:p>
          <w:p w14:paraId="3BD12702" w14:textId="77777777" w:rsidR="00F65D61" w:rsidRPr="004F671A" w:rsidRDefault="00F65D61" w:rsidP="00F65D61">
            <w:pPr>
              <w:autoSpaceDE w:val="0"/>
              <w:autoSpaceDN w:val="0"/>
              <w:adjustRightInd w:val="0"/>
              <w:rPr>
                <w:rFonts w:cs="Arial"/>
              </w:rPr>
            </w:pPr>
            <w:r w:rsidRPr="004F671A">
              <w:rPr>
                <w:rFonts w:cs="Arial"/>
              </w:rPr>
              <w:t xml:space="preserve">For any participant who did not gain a positive outcome from the activity the </w:t>
            </w:r>
            <w:r w:rsidR="00B85F61" w:rsidRPr="004F671A">
              <w:rPr>
                <w:rFonts w:cs="Arial"/>
              </w:rPr>
              <w:t xml:space="preserve">Services </w:t>
            </w:r>
            <w:r w:rsidRPr="004F671A">
              <w:rPr>
                <w:rFonts w:cs="Arial"/>
              </w:rPr>
              <w:t xml:space="preserve">will provide ongoing support/job matching until a successful outcome has been achieved up to </w:t>
            </w:r>
            <w:r w:rsidR="00340CAC">
              <w:rPr>
                <w:rFonts w:cs="Arial"/>
              </w:rPr>
              <w:t>4</w:t>
            </w:r>
            <w:r w:rsidRPr="004F671A">
              <w:rPr>
                <w:rFonts w:cs="Arial"/>
              </w:rPr>
              <w:t xml:space="preserve"> weeks post completion of activity end date.</w:t>
            </w:r>
          </w:p>
          <w:p w14:paraId="3BD12703" w14:textId="77777777" w:rsidR="00F65D61" w:rsidRPr="004F671A" w:rsidRDefault="00F65D61" w:rsidP="00F65D61">
            <w:pPr>
              <w:pStyle w:val="Default"/>
              <w:rPr>
                <w:sz w:val="22"/>
                <w:szCs w:val="22"/>
              </w:rPr>
            </w:pPr>
          </w:p>
          <w:p w14:paraId="3BD12704" w14:textId="75F5A43A" w:rsidR="00F65D61" w:rsidRPr="004F671A" w:rsidRDefault="00F65D61" w:rsidP="00F65D61">
            <w:pPr>
              <w:rPr>
                <w:rFonts w:cs="Arial"/>
              </w:rPr>
            </w:pPr>
            <w:r w:rsidRPr="004F671A">
              <w:rPr>
                <w:rFonts w:cs="Arial"/>
              </w:rPr>
              <w:t xml:space="preserve">The Services </w:t>
            </w:r>
            <w:r w:rsidR="00B85F61" w:rsidRPr="004F671A">
              <w:rPr>
                <w:rFonts w:cs="Arial"/>
              </w:rPr>
              <w:t xml:space="preserve">must </w:t>
            </w:r>
            <w:r w:rsidRPr="004F671A">
              <w:rPr>
                <w:rFonts w:cs="Arial"/>
              </w:rPr>
              <w:t xml:space="preserve">work with employers to identify potential apprenticeship, traineeship and job opportunities.  The Services </w:t>
            </w:r>
            <w:r w:rsidR="00B85F61" w:rsidRPr="004F671A">
              <w:rPr>
                <w:rFonts w:cs="Arial"/>
              </w:rPr>
              <w:t xml:space="preserve">must </w:t>
            </w:r>
            <w:r w:rsidRPr="004F671A">
              <w:rPr>
                <w:rFonts w:cs="Arial"/>
              </w:rPr>
              <w:t xml:space="preserve">provide a single point of contact for employers which provides a candidate matching service.  The matching service </w:t>
            </w:r>
            <w:r w:rsidR="007118CF" w:rsidRPr="004F671A">
              <w:rPr>
                <w:rFonts w:cs="Arial"/>
              </w:rPr>
              <w:t xml:space="preserve">must </w:t>
            </w:r>
            <w:r w:rsidRPr="004F671A">
              <w:rPr>
                <w:rFonts w:cs="Arial"/>
              </w:rPr>
              <w:t xml:space="preserve">set up and maintain a candidate/employer vacancy bank and support employers to identify candidates who meet their needs and will develop a mechanism to ensure candidates engage with </w:t>
            </w:r>
            <w:r w:rsidR="0084012A">
              <w:rPr>
                <w:rFonts w:cs="Arial"/>
              </w:rPr>
              <w:t xml:space="preserve">the </w:t>
            </w:r>
            <w:r w:rsidRPr="004F671A">
              <w:rPr>
                <w:rFonts w:cs="Arial"/>
              </w:rPr>
              <w:t>match</w:t>
            </w:r>
            <w:r w:rsidR="0084012A">
              <w:rPr>
                <w:rFonts w:cs="Arial"/>
              </w:rPr>
              <w:t>ing</w:t>
            </w:r>
            <w:r w:rsidRPr="004F671A">
              <w:rPr>
                <w:rFonts w:cs="Arial"/>
              </w:rPr>
              <w:t xml:space="preserve"> service.  The Services </w:t>
            </w:r>
            <w:r w:rsidR="007118CF" w:rsidRPr="004F671A">
              <w:rPr>
                <w:rFonts w:cs="Arial"/>
              </w:rPr>
              <w:t xml:space="preserve">must </w:t>
            </w:r>
            <w:r w:rsidRPr="004F671A">
              <w:rPr>
                <w:rFonts w:cs="Arial"/>
              </w:rPr>
              <w:t>provide employers with a selection of suitable candidates for each vacancy and any other support related to the recruitment process as required by the employer</w:t>
            </w:r>
            <w:r w:rsidRPr="004F671A">
              <w:t xml:space="preserve">.  </w:t>
            </w:r>
            <w:r w:rsidRPr="004F671A">
              <w:rPr>
                <w:rFonts w:cs="Arial"/>
              </w:rPr>
              <w:t xml:space="preserve">The Services </w:t>
            </w:r>
            <w:r w:rsidR="007118CF" w:rsidRPr="004F671A">
              <w:rPr>
                <w:rFonts w:cs="Arial"/>
              </w:rPr>
              <w:t xml:space="preserve">must </w:t>
            </w:r>
            <w:r w:rsidRPr="004F671A">
              <w:rPr>
                <w:rFonts w:cs="Arial"/>
              </w:rPr>
              <w:t>provide mentoring support to employers to assist them in supporting their new employees.</w:t>
            </w:r>
          </w:p>
          <w:p w14:paraId="3BD12705" w14:textId="77777777" w:rsidR="00F65D61" w:rsidRPr="004F671A" w:rsidRDefault="00F65D61" w:rsidP="00F65D61">
            <w:pPr>
              <w:rPr>
                <w:rFonts w:cs="Arial"/>
              </w:rPr>
            </w:pPr>
          </w:p>
          <w:p w14:paraId="3BD12706" w14:textId="3EB5D442" w:rsidR="002F59FE" w:rsidRPr="004F671A" w:rsidRDefault="002F59FE" w:rsidP="002F59FE">
            <w:pPr>
              <w:pStyle w:val="Default"/>
              <w:rPr>
                <w:color w:val="auto"/>
                <w:sz w:val="22"/>
                <w:szCs w:val="22"/>
              </w:rPr>
            </w:pPr>
            <w:r w:rsidRPr="004F671A">
              <w:t xml:space="preserve">The </w:t>
            </w:r>
            <w:r w:rsidR="007118CF" w:rsidRPr="004F671A">
              <w:t>S</w:t>
            </w:r>
            <w:r w:rsidRPr="004F671A">
              <w:t>ervice</w:t>
            </w:r>
            <w:r w:rsidR="007118CF" w:rsidRPr="004F671A">
              <w:t>s</w:t>
            </w:r>
            <w:r w:rsidRPr="004F671A">
              <w:t xml:space="preserve"> </w:t>
            </w:r>
            <w:r w:rsidR="007118CF" w:rsidRPr="004F671A">
              <w:t xml:space="preserve">must </w:t>
            </w:r>
            <w:r w:rsidRPr="004F671A">
              <w:t xml:space="preserve">develop and provide </w:t>
            </w:r>
            <w:r w:rsidR="007118CF" w:rsidRPr="004F671A">
              <w:t>s</w:t>
            </w:r>
            <w:r w:rsidRPr="004F671A">
              <w:t>kills support to reduce worklessness amongst the hardest to reach communities by providing support to local communities to deliver local training solutions to engage disadvantaged learners</w:t>
            </w:r>
            <w:r w:rsidR="0084012A">
              <w:t>.  Provision must be i</w:t>
            </w:r>
            <w:r w:rsidRPr="004F671A">
              <w:t xml:space="preserve">nnovative </w:t>
            </w:r>
            <w:r w:rsidR="0084012A">
              <w:t>and engage with people and enable</w:t>
            </w:r>
            <w:r w:rsidRPr="004F671A">
              <w:t xml:space="preserve"> them to enter education and/or employment. The </w:t>
            </w:r>
            <w:r w:rsidR="007118CF" w:rsidRPr="004F671A">
              <w:t>S</w:t>
            </w:r>
            <w:r w:rsidRPr="004F671A">
              <w:t>ervice</w:t>
            </w:r>
            <w:r w:rsidR="007118CF" w:rsidRPr="004F671A">
              <w:t>s</w:t>
            </w:r>
            <w:r w:rsidRPr="004F671A">
              <w:t xml:space="preserve"> </w:t>
            </w:r>
            <w:r w:rsidR="007118CF" w:rsidRPr="004F671A">
              <w:t xml:space="preserve">must </w:t>
            </w:r>
            <w:r w:rsidRPr="004F671A">
              <w:t xml:space="preserve">offer </w:t>
            </w:r>
            <w:r w:rsidR="007118CF" w:rsidRPr="004F671A">
              <w:t>f</w:t>
            </w:r>
            <w:r w:rsidRPr="004F671A">
              <w:t xml:space="preserve">unctional skills training, including literacy and ICT, promoting digital competence within the labour market; ESOL provision </w:t>
            </w:r>
            <w:r w:rsidR="007118CF" w:rsidRPr="004F671A">
              <w:t>l</w:t>
            </w:r>
            <w:r w:rsidRPr="004F671A">
              <w:t>earning programmes for learners with special educational needs</w:t>
            </w:r>
            <w:r w:rsidR="007118CF" w:rsidRPr="004F671A">
              <w:t xml:space="preserve"> and</w:t>
            </w:r>
            <w:r w:rsidRPr="004F671A">
              <w:t xml:space="preserve"> </w:t>
            </w:r>
            <w:r w:rsidR="007118CF" w:rsidRPr="004F671A">
              <w:t>s</w:t>
            </w:r>
            <w:r w:rsidRPr="004F671A">
              <w:t>upport independence skills for those with learning difficulties</w:t>
            </w:r>
          </w:p>
          <w:p w14:paraId="3BD12707" w14:textId="77777777" w:rsidR="00F65D61" w:rsidRPr="004F671A" w:rsidRDefault="00F65D61" w:rsidP="00F65D61">
            <w:pPr>
              <w:pStyle w:val="Default"/>
              <w:rPr>
                <w:color w:val="auto"/>
                <w:sz w:val="22"/>
                <w:szCs w:val="22"/>
              </w:rPr>
            </w:pPr>
          </w:p>
          <w:p w14:paraId="3BD12708" w14:textId="77777777" w:rsidR="00A503FD" w:rsidRPr="004F671A" w:rsidRDefault="00A503FD" w:rsidP="00A503FD">
            <w:pPr>
              <w:rPr>
                <w:rFonts w:cs="Arial"/>
              </w:rPr>
            </w:pPr>
            <w:r w:rsidRPr="004F671A">
              <w:rPr>
                <w:rFonts w:cs="Arial"/>
              </w:rPr>
              <w:t xml:space="preserve">The Services </w:t>
            </w:r>
            <w:r w:rsidR="007118CF" w:rsidRPr="004F671A">
              <w:rPr>
                <w:rFonts w:cs="Arial"/>
              </w:rPr>
              <w:t xml:space="preserve">must </w:t>
            </w:r>
            <w:r w:rsidRPr="004F671A">
              <w:rPr>
                <w:rFonts w:cs="Arial"/>
              </w:rPr>
              <w:t>investigate existing demand for ESOL provision across the LEP area and explore where</w:t>
            </w:r>
            <w:r w:rsidR="007118CF" w:rsidRPr="004F671A">
              <w:rPr>
                <w:rFonts w:cs="Arial"/>
              </w:rPr>
              <w:t xml:space="preserve"> the Services </w:t>
            </w:r>
            <w:r w:rsidRPr="004F671A">
              <w:rPr>
                <w:rFonts w:cs="Arial"/>
              </w:rPr>
              <w:t xml:space="preserve">might be able to augment provision available to the target group and promote participation.  The Services </w:t>
            </w:r>
            <w:r w:rsidR="007118CF" w:rsidRPr="004F671A">
              <w:rPr>
                <w:rFonts w:cs="Arial"/>
              </w:rPr>
              <w:t xml:space="preserve">must </w:t>
            </w:r>
            <w:r w:rsidRPr="004F671A">
              <w:rPr>
                <w:rFonts w:cs="Arial"/>
              </w:rPr>
              <w:t>then offer provision that will be responsive to local demands and business needs including a package of support that will equip participants to develop the skills and workplace experience required by employers.</w:t>
            </w:r>
          </w:p>
          <w:p w14:paraId="3BD12709" w14:textId="77777777" w:rsidR="002F59FE" w:rsidRDefault="002F59FE" w:rsidP="00A503FD">
            <w:pPr>
              <w:rPr>
                <w:rFonts w:cs="Arial"/>
              </w:rPr>
            </w:pPr>
          </w:p>
          <w:p w14:paraId="3BD1270C" w14:textId="168031B5" w:rsidR="00F65D61" w:rsidRPr="004F671A" w:rsidRDefault="00F37B2A" w:rsidP="00F65D61">
            <w:pPr>
              <w:rPr>
                <w:rFonts w:cs="Arial"/>
                <w:b/>
              </w:rPr>
            </w:pPr>
            <w:r>
              <w:rPr>
                <w:rFonts w:cs="Arial"/>
                <w:b/>
              </w:rPr>
              <w:t xml:space="preserve">LOT 2: </w:t>
            </w:r>
            <w:r w:rsidR="00F65D61" w:rsidRPr="004F671A">
              <w:rPr>
                <w:rFonts w:cs="Arial"/>
                <w:b/>
              </w:rPr>
              <w:t>CAREERS EDUCATION INFORMATION ADVICE AND GUIDANCE</w:t>
            </w:r>
            <w:r w:rsidR="007118CF" w:rsidRPr="004F671A">
              <w:rPr>
                <w:rFonts w:cs="Arial"/>
                <w:b/>
              </w:rPr>
              <w:t xml:space="preserve"> </w:t>
            </w:r>
            <w:r w:rsidR="009612E0">
              <w:rPr>
                <w:rFonts w:cs="Arial"/>
                <w:b/>
              </w:rPr>
              <w:t xml:space="preserve">THEME </w:t>
            </w:r>
            <w:r w:rsidR="007118CF" w:rsidRPr="004F671A">
              <w:rPr>
                <w:rFonts w:cs="Arial"/>
                <w:b/>
              </w:rPr>
              <w:t>(IAG)</w:t>
            </w:r>
            <w:r w:rsidR="00C1183A" w:rsidRPr="004F671A">
              <w:rPr>
                <w:rFonts w:cs="Arial"/>
                <w:b/>
              </w:rPr>
              <w:t>(I</w:t>
            </w:r>
            <w:r w:rsidR="00C56155">
              <w:rPr>
                <w:rFonts w:cs="Arial"/>
                <w:b/>
              </w:rPr>
              <w:t xml:space="preserve">nvestment </w:t>
            </w:r>
            <w:r w:rsidR="00C1183A" w:rsidRPr="004F671A">
              <w:rPr>
                <w:rFonts w:cs="Arial"/>
                <w:b/>
              </w:rPr>
              <w:t>P</w:t>
            </w:r>
            <w:r w:rsidR="00C56155">
              <w:rPr>
                <w:rFonts w:cs="Arial"/>
                <w:b/>
              </w:rPr>
              <w:t xml:space="preserve">riority  </w:t>
            </w:r>
            <w:r w:rsidR="00C1183A" w:rsidRPr="004F671A">
              <w:rPr>
                <w:rFonts w:cs="Arial"/>
                <w:b/>
              </w:rPr>
              <w:t>:1.</w:t>
            </w:r>
            <w:r w:rsidR="00C56155">
              <w:rPr>
                <w:rFonts w:cs="Arial"/>
                <w:b/>
              </w:rPr>
              <w:t>1</w:t>
            </w:r>
            <w:r w:rsidR="00C1183A" w:rsidRPr="004F671A">
              <w:rPr>
                <w:rFonts w:cs="Arial"/>
                <w:b/>
              </w:rPr>
              <w:t>)</w:t>
            </w:r>
          </w:p>
          <w:p w14:paraId="3BD1270D" w14:textId="77777777" w:rsidR="00F65D61" w:rsidRPr="004F671A" w:rsidRDefault="00F65D61" w:rsidP="00F65D61">
            <w:pPr>
              <w:rPr>
                <w:rFonts w:cs="Arial"/>
                <w:b/>
              </w:rPr>
            </w:pPr>
          </w:p>
          <w:p w14:paraId="3BD1270E" w14:textId="77777777" w:rsidR="00F65D61" w:rsidRPr="004F671A" w:rsidRDefault="00F65D61" w:rsidP="00F65D61">
            <w:pPr>
              <w:rPr>
                <w:rFonts w:cs="Arial"/>
              </w:rPr>
            </w:pPr>
            <w:r w:rsidRPr="004F671A">
              <w:rPr>
                <w:rFonts w:cs="Arial"/>
              </w:rPr>
              <w:t xml:space="preserve">The Services </w:t>
            </w:r>
            <w:r w:rsidR="007118CF" w:rsidRPr="004F671A">
              <w:rPr>
                <w:rFonts w:cs="Arial"/>
              </w:rPr>
              <w:t xml:space="preserve">must not duplicate the service delivered under the </w:t>
            </w:r>
            <w:r w:rsidRPr="004F671A">
              <w:rPr>
                <w:rFonts w:cs="Arial"/>
              </w:rPr>
              <w:t>National Careers Service contract</w:t>
            </w:r>
            <w:r w:rsidR="007118CF" w:rsidRPr="004F671A">
              <w:rPr>
                <w:rFonts w:cs="Arial"/>
              </w:rPr>
              <w:t xml:space="preserve"> but must add value to those services</w:t>
            </w:r>
            <w:r w:rsidRPr="004F671A">
              <w:rPr>
                <w:rFonts w:cs="Arial"/>
              </w:rPr>
              <w:t xml:space="preserve">.  </w:t>
            </w:r>
          </w:p>
          <w:p w14:paraId="3BD1270F" w14:textId="77777777" w:rsidR="00F65D61" w:rsidRPr="004F671A" w:rsidRDefault="00F65D61" w:rsidP="00F65D61">
            <w:pPr>
              <w:rPr>
                <w:rFonts w:cs="Arial"/>
              </w:rPr>
            </w:pPr>
          </w:p>
          <w:p w14:paraId="3BD12710" w14:textId="3A3C2A97" w:rsidR="00F65D61" w:rsidRPr="004F671A" w:rsidRDefault="00F65D61" w:rsidP="00F65D61">
            <w:pPr>
              <w:rPr>
                <w:rFonts w:cs="Arial"/>
              </w:rPr>
            </w:pPr>
            <w:r w:rsidRPr="004F671A">
              <w:rPr>
                <w:rFonts w:cs="Arial"/>
              </w:rPr>
              <w:t xml:space="preserve">The Services </w:t>
            </w:r>
            <w:r w:rsidR="007118CF" w:rsidRPr="004F671A">
              <w:rPr>
                <w:rFonts w:cs="Arial"/>
              </w:rPr>
              <w:t xml:space="preserve">must provide </w:t>
            </w:r>
            <w:r w:rsidRPr="004F671A">
              <w:rPr>
                <w:rFonts w:cs="Arial"/>
              </w:rPr>
              <w:t xml:space="preserve">continuing development and further dissemination of high quality information, advice and guidance regarding career pathways.  </w:t>
            </w:r>
            <w:r w:rsidR="007118CF" w:rsidRPr="004F671A">
              <w:rPr>
                <w:rFonts w:cs="Arial"/>
              </w:rPr>
              <w:t>The Services must</w:t>
            </w:r>
            <w:r w:rsidRPr="004F671A">
              <w:rPr>
                <w:rFonts w:cs="Arial"/>
              </w:rPr>
              <w:t xml:space="preserve">, provide high quality advice regarding career pathways in the LEP’s economic growth sectors.  </w:t>
            </w:r>
            <w:r w:rsidR="007118CF" w:rsidRPr="004F671A">
              <w:rPr>
                <w:rFonts w:cs="Arial"/>
              </w:rPr>
              <w:t>The Services must be provided flexibly i</w:t>
            </w:r>
            <w:r w:rsidRPr="004F671A">
              <w:rPr>
                <w:rFonts w:cs="Arial"/>
              </w:rPr>
              <w:t>n order to respond to</w:t>
            </w:r>
            <w:r w:rsidR="007118CF" w:rsidRPr="004F671A">
              <w:rPr>
                <w:rFonts w:cs="Arial"/>
              </w:rPr>
              <w:t xml:space="preserve"> participant</w:t>
            </w:r>
            <w:r w:rsidR="00555175">
              <w:rPr>
                <w:rFonts w:cs="Arial"/>
              </w:rPr>
              <w:t>’</w:t>
            </w:r>
            <w:r w:rsidR="0084012A">
              <w:rPr>
                <w:rFonts w:cs="Arial"/>
              </w:rPr>
              <w:t xml:space="preserve">s </w:t>
            </w:r>
            <w:r w:rsidRPr="004F671A">
              <w:rPr>
                <w:rFonts w:cs="Arial"/>
              </w:rPr>
              <w:t>personal ambitions and the changing needs of the local economy</w:t>
            </w:r>
            <w:r w:rsidR="00655180" w:rsidRPr="004F671A">
              <w:rPr>
                <w:rFonts w:cs="Arial"/>
              </w:rPr>
              <w:t>.</w:t>
            </w:r>
            <w:r w:rsidRPr="004F671A">
              <w:rPr>
                <w:rFonts w:cs="Arial"/>
              </w:rPr>
              <w:t xml:space="preserve"> </w:t>
            </w:r>
            <w:r w:rsidR="007118CF" w:rsidRPr="004F671A">
              <w:rPr>
                <w:rFonts w:cs="Arial"/>
              </w:rPr>
              <w:t xml:space="preserve">The Services must be made available to </w:t>
            </w:r>
            <w:r w:rsidRPr="004F671A">
              <w:rPr>
                <w:rFonts w:cs="Arial"/>
              </w:rPr>
              <w:t>individuals, groups and areas which are disadvantaged</w:t>
            </w:r>
            <w:r w:rsidR="007118CF" w:rsidRPr="004F671A">
              <w:rPr>
                <w:rFonts w:cs="Arial"/>
              </w:rPr>
              <w:t xml:space="preserve">. </w:t>
            </w:r>
          </w:p>
          <w:p w14:paraId="3BD12711" w14:textId="77777777" w:rsidR="00F65D61" w:rsidRPr="004F671A" w:rsidRDefault="00F65D61" w:rsidP="00F65D61">
            <w:pPr>
              <w:rPr>
                <w:rFonts w:cs="Arial"/>
              </w:rPr>
            </w:pPr>
          </w:p>
          <w:p w14:paraId="3BD12712" w14:textId="77777777" w:rsidR="00784172" w:rsidRPr="004F671A" w:rsidRDefault="00F65D61" w:rsidP="00A503FD">
            <w:pPr>
              <w:autoSpaceDE w:val="0"/>
              <w:autoSpaceDN w:val="0"/>
              <w:adjustRightInd w:val="0"/>
              <w:rPr>
                <w:rFonts w:cs="Arial"/>
              </w:rPr>
            </w:pPr>
            <w:r w:rsidRPr="004F671A">
              <w:rPr>
                <w:rFonts w:cs="Arial"/>
              </w:rPr>
              <w:t xml:space="preserve">The </w:t>
            </w:r>
            <w:r w:rsidR="007118CF" w:rsidRPr="004F671A">
              <w:rPr>
                <w:rFonts w:cs="Arial"/>
              </w:rPr>
              <w:t>S</w:t>
            </w:r>
            <w:r w:rsidRPr="004F671A">
              <w:rPr>
                <w:rFonts w:cs="Arial"/>
              </w:rPr>
              <w:t>ervice</w:t>
            </w:r>
            <w:r w:rsidR="007118CF" w:rsidRPr="004F671A">
              <w:rPr>
                <w:rFonts w:cs="Arial"/>
              </w:rPr>
              <w:t>s</w:t>
            </w:r>
            <w:r w:rsidRPr="004F671A">
              <w:rPr>
                <w:rFonts w:cs="Arial"/>
              </w:rPr>
              <w:t xml:space="preserve"> </w:t>
            </w:r>
            <w:r w:rsidR="007118CF" w:rsidRPr="004F671A">
              <w:rPr>
                <w:rFonts w:cs="Arial"/>
              </w:rPr>
              <w:t xml:space="preserve">must </w:t>
            </w:r>
            <w:r w:rsidRPr="004F671A">
              <w:rPr>
                <w:rFonts w:cs="Arial"/>
              </w:rPr>
              <w:t xml:space="preserve">be innovative in providing enhanced IAG to individuals who wish to progress but at present, lack the ability to understand any clear progression routes either within their current industry or a different one.  The </w:t>
            </w:r>
            <w:r w:rsidR="007118CF" w:rsidRPr="004F671A">
              <w:rPr>
                <w:rFonts w:cs="Arial"/>
              </w:rPr>
              <w:t xml:space="preserve">Services must </w:t>
            </w:r>
            <w:r w:rsidRPr="004F671A">
              <w:rPr>
                <w:rFonts w:cs="Arial"/>
              </w:rPr>
              <w:t xml:space="preserve"> also support activities which inspire</w:t>
            </w:r>
            <w:r w:rsidR="007118CF" w:rsidRPr="004F671A">
              <w:rPr>
                <w:rFonts w:cs="Arial"/>
              </w:rPr>
              <w:t xml:space="preserve"> participants </w:t>
            </w:r>
            <w:r w:rsidRPr="004F671A">
              <w:rPr>
                <w:rFonts w:cs="Arial"/>
              </w:rPr>
              <w:t xml:space="preserve">into making better informed career choices at key transition points in their lives including by getting employers to work more closely with schools and colleges, preparing and inspiring the workforce of the future. </w:t>
            </w:r>
          </w:p>
          <w:p w14:paraId="3BD12713" w14:textId="77777777" w:rsidR="00784172" w:rsidRPr="004F671A" w:rsidRDefault="00784172" w:rsidP="00F65D61">
            <w:pPr>
              <w:rPr>
                <w:rFonts w:cs="Arial"/>
              </w:rPr>
            </w:pPr>
          </w:p>
          <w:p w14:paraId="3BD12714" w14:textId="77777777" w:rsidR="00F65D61" w:rsidRPr="004F671A" w:rsidRDefault="00F65D61" w:rsidP="00F65D61">
            <w:pPr>
              <w:rPr>
                <w:rFonts w:cs="Arial"/>
              </w:rPr>
            </w:pPr>
            <w:r w:rsidRPr="004F671A">
              <w:rPr>
                <w:rFonts w:cs="Arial"/>
              </w:rPr>
              <w:t>The Services</w:t>
            </w:r>
            <w:r w:rsidR="00267691" w:rsidRPr="004F671A">
              <w:rPr>
                <w:rFonts w:cs="Arial"/>
              </w:rPr>
              <w:t xml:space="preserve"> must </w:t>
            </w:r>
            <w:r w:rsidRPr="004F671A">
              <w:rPr>
                <w:rFonts w:cs="Arial"/>
              </w:rPr>
              <w:t xml:space="preserve">provide up to date labour market intelligence, presented in a user-friendly way.  The Services will create, maintain and share a database of local provision.  </w:t>
            </w:r>
          </w:p>
          <w:p w14:paraId="3BD12715" w14:textId="77777777" w:rsidR="00F65D61" w:rsidRPr="004F671A" w:rsidRDefault="00F65D61" w:rsidP="00F65D61">
            <w:pPr>
              <w:rPr>
                <w:rFonts w:cs="Arial"/>
              </w:rPr>
            </w:pPr>
          </w:p>
          <w:p w14:paraId="3BD12716" w14:textId="77777777" w:rsidR="00F65D61" w:rsidRPr="004F671A" w:rsidRDefault="00F65D61" w:rsidP="00F65D61">
            <w:pPr>
              <w:rPr>
                <w:rFonts w:cs="Arial"/>
              </w:rPr>
            </w:pPr>
            <w:r w:rsidRPr="004F671A">
              <w:rPr>
                <w:rFonts w:cs="Arial"/>
              </w:rPr>
              <w:t xml:space="preserve">The Services </w:t>
            </w:r>
            <w:r w:rsidR="00267691" w:rsidRPr="004F671A">
              <w:rPr>
                <w:rFonts w:cs="Arial"/>
              </w:rPr>
              <w:t xml:space="preserve">must </w:t>
            </w:r>
            <w:r w:rsidRPr="004F671A">
              <w:rPr>
                <w:rFonts w:cs="Arial"/>
              </w:rPr>
              <w:t>undertake activities to improve the perception of sectors that are experiencing recruitment difficulties and skills shortages.</w:t>
            </w:r>
          </w:p>
          <w:p w14:paraId="3BD12717" w14:textId="77777777" w:rsidR="00F65D61" w:rsidRPr="004F671A" w:rsidRDefault="00F65D61" w:rsidP="00A503FD">
            <w:pPr>
              <w:rPr>
                <w:rFonts w:cs="Arial"/>
              </w:rPr>
            </w:pPr>
          </w:p>
          <w:p w14:paraId="3BD12718" w14:textId="77777777" w:rsidR="006640FB" w:rsidRPr="004F671A" w:rsidRDefault="00F65D61" w:rsidP="006640FB">
            <w:pPr>
              <w:rPr>
                <w:rFonts w:cs="Arial"/>
              </w:rPr>
            </w:pPr>
            <w:r w:rsidRPr="004F671A">
              <w:rPr>
                <w:rFonts w:cs="Arial"/>
              </w:rPr>
              <w:t xml:space="preserve">The Services </w:t>
            </w:r>
            <w:r w:rsidR="00267691" w:rsidRPr="004F671A">
              <w:rPr>
                <w:rFonts w:cs="Arial"/>
              </w:rPr>
              <w:t xml:space="preserve">must </w:t>
            </w:r>
            <w:r w:rsidRPr="004F671A">
              <w:rPr>
                <w:rFonts w:cs="Arial"/>
              </w:rPr>
              <w:t xml:space="preserve">provide </w:t>
            </w:r>
            <w:r w:rsidR="009B1CF3" w:rsidRPr="004F671A">
              <w:rPr>
                <w:rFonts w:cs="Arial"/>
              </w:rPr>
              <w:t>stakeholder</w:t>
            </w:r>
            <w:r w:rsidRPr="004F671A">
              <w:rPr>
                <w:rFonts w:cs="Arial"/>
              </w:rPr>
              <w:t xml:space="preserve"> programmes and Tutor CPD that will drive greater links between </w:t>
            </w:r>
            <w:r w:rsidR="009B1CF3" w:rsidRPr="004F671A">
              <w:rPr>
                <w:rFonts w:cs="Arial"/>
              </w:rPr>
              <w:t>education</w:t>
            </w:r>
            <w:r w:rsidRPr="004F671A">
              <w:rPr>
                <w:rFonts w:cs="Arial"/>
              </w:rPr>
              <w:t xml:space="preserve"> and employers, and expose </w:t>
            </w:r>
            <w:r w:rsidR="00C1183A" w:rsidRPr="004F671A">
              <w:rPr>
                <w:rFonts w:cs="Arial"/>
              </w:rPr>
              <w:t>participants</w:t>
            </w:r>
            <w:r w:rsidRPr="004F671A">
              <w:rPr>
                <w:rFonts w:cs="Arial"/>
              </w:rPr>
              <w:t xml:space="preserve"> and educators to careers in key growth sectors with an aim to increase the number of </w:t>
            </w:r>
            <w:r w:rsidR="009B1CF3" w:rsidRPr="004F671A">
              <w:rPr>
                <w:rFonts w:cs="Arial"/>
              </w:rPr>
              <w:t>participants</w:t>
            </w:r>
            <w:r w:rsidRPr="004F671A">
              <w:rPr>
                <w:rFonts w:cs="Arial"/>
              </w:rPr>
              <w:t xml:space="preserve"> taking up further education</w:t>
            </w:r>
            <w:r w:rsidR="00710154">
              <w:rPr>
                <w:rFonts w:cs="Arial"/>
              </w:rPr>
              <w:t>, apprenticeships,</w:t>
            </w:r>
            <w:r w:rsidRPr="004F671A">
              <w:rPr>
                <w:rFonts w:cs="Arial"/>
              </w:rPr>
              <w:t xml:space="preserve"> and employment in those sectors.</w:t>
            </w:r>
            <w:r w:rsidR="006640FB" w:rsidRPr="004F671A">
              <w:rPr>
                <w:rFonts w:cs="Arial"/>
              </w:rPr>
              <w:t xml:space="preserve"> These costs will be integrated into the unit cost per individual.</w:t>
            </w:r>
          </w:p>
          <w:p w14:paraId="3BD12719" w14:textId="77777777" w:rsidR="00F65D61" w:rsidRPr="004F671A" w:rsidRDefault="00F65D61" w:rsidP="00F65D61">
            <w:pPr>
              <w:rPr>
                <w:rFonts w:cs="Arial"/>
              </w:rPr>
            </w:pPr>
          </w:p>
          <w:p w14:paraId="3BD1271A" w14:textId="77777777" w:rsidR="00F65D61" w:rsidRPr="004F671A" w:rsidRDefault="00F65D61" w:rsidP="00F65D61">
            <w:pPr>
              <w:pStyle w:val="ListParagraph"/>
              <w:ind w:left="61"/>
              <w:rPr>
                <w:rFonts w:cs="Arial"/>
              </w:rPr>
            </w:pPr>
            <w:r w:rsidRPr="004F671A">
              <w:rPr>
                <w:rFonts w:cs="Arial"/>
              </w:rPr>
              <w:t>The Services</w:t>
            </w:r>
            <w:r w:rsidR="00267691" w:rsidRPr="004F671A">
              <w:rPr>
                <w:rFonts w:cs="Arial"/>
              </w:rPr>
              <w:t xml:space="preserve"> must </w:t>
            </w:r>
            <w:r w:rsidRPr="004F671A">
              <w:rPr>
                <w:rFonts w:cs="Arial"/>
              </w:rPr>
              <w:t xml:space="preserve">support enhanced careers provision and better links with employers, building upon the work already undertaken by the National Careers Service.  </w:t>
            </w:r>
          </w:p>
          <w:p w14:paraId="3BD1271B" w14:textId="77777777" w:rsidR="00F65D61" w:rsidRPr="004F671A" w:rsidRDefault="00F65D61" w:rsidP="00F65D61">
            <w:pPr>
              <w:pStyle w:val="ListParagraph"/>
              <w:ind w:left="61"/>
              <w:rPr>
                <w:rFonts w:cs="Arial"/>
              </w:rPr>
            </w:pPr>
          </w:p>
          <w:p w14:paraId="3BD1271C" w14:textId="77777777" w:rsidR="00F65D61" w:rsidRPr="004F671A" w:rsidRDefault="00F65D61" w:rsidP="00F65D61">
            <w:pPr>
              <w:pStyle w:val="ListParagraph"/>
              <w:ind w:left="61"/>
              <w:rPr>
                <w:rFonts w:cs="Arial"/>
              </w:rPr>
            </w:pPr>
            <w:r w:rsidRPr="004F671A">
              <w:rPr>
                <w:rFonts w:cs="Arial"/>
              </w:rPr>
              <w:t xml:space="preserve">The </w:t>
            </w:r>
            <w:r w:rsidR="00375F41" w:rsidRPr="004F671A">
              <w:rPr>
                <w:rFonts w:cs="Arial"/>
              </w:rPr>
              <w:t xml:space="preserve">successful Candidate must </w:t>
            </w:r>
            <w:r w:rsidRPr="004F671A">
              <w:rPr>
                <w:rFonts w:cs="Arial"/>
              </w:rPr>
              <w:t xml:space="preserve">conduct research to inform service improvements and provide peer information, advice, signposting and referral to the NCS service. </w:t>
            </w:r>
          </w:p>
          <w:p w14:paraId="3BD1271D" w14:textId="77777777" w:rsidR="00F65D61" w:rsidRPr="004F671A" w:rsidRDefault="00F65D61" w:rsidP="00F65D61">
            <w:pPr>
              <w:rPr>
                <w:rFonts w:cs="Arial"/>
                <w:b/>
              </w:rPr>
            </w:pPr>
          </w:p>
          <w:p w14:paraId="3BD1271E" w14:textId="77D29BC1" w:rsidR="00814F02" w:rsidRPr="00CA57AC" w:rsidRDefault="00F65D61" w:rsidP="003555E1">
            <w:pPr>
              <w:rPr>
                <w:rFonts w:cs="Arial"/>
                <w:bCs/>
              </w:rPr>
            </w:pPr>
            <w:r w:rsidRPr="004F671A">
              <w:rPr>
                <w:rFonts w:cs="Arial"/>
              </w:rPr>
              <w:t>The Service</w:t>
            </w:r>
            <w:r w:rsidR="003863F2">
              <w:rPr>
                <w:rFonts w:cs="Arial"/>
              </w:rPr>
              <w:t>s</w:t>
            </w:r>
            <w:r w:rsidRPr="004F671A">
              <w:rPr>
                <w:rFonts w:cs="Arial"/>
              </w:rPr>
              <w:t xml:space="preserve"> </w:t>
            </w:r>
            <w:r w:rsidR="00155553" w:rsidRPr="004F671A">
              <w:rPr>
                <w:rFonts w:cs="Arial"/>
              </w:rPr>
              <w:t>must</w:t>
            </w:r>
            <w:r w:rsidRPr="004F671A">
              <w:rPr>
                <w:rFonts w:cs="Arial"/>
              </w:rPr>
              <w:t xml:space="preserve"> invest in building capacity in the community to increase access to and engagement with the careers advice.  The Services will provide enhanced careers provision for priority groups which seeks to progress individuals into non accredited training to address identified need, voluntary work, one to one coaching in voluntary or paid work</w:t>
            </w:r>
            <w:r w:rsidR="0084012A">
              <w:rPr>
                <w:rFonts w:cs="Arial"/>
              </w:rPr>
              <w:t>.</w:t>
            </w:r>
          </w:p>
          <w:p w14:paraId="3BD1271F" w14:textId="77777777" w:rsidR="008A4B72" w:rsidRDefault="008A4B72" w:rsidP="003555E1">
            <w:pPr>
              <w:rPr>
                <w:rFonts w:cs="Arial"/>
                <w:bCs/>
              </w:rPr>
            </w:pPr>
          </w:p>
          <w:p w14:paraId="3BD12720" w14:textId="77777777" w:rsidR="006D7C20" w:rsidRPr="00CA57AC" w:rsidRDefault="003555E1" w:rsidP="003555E1">
            <w:pPr>
              <w:rPr>
                <w:rFonts w:cs="Arial"/>
                <w:bCs/>
              </w:rPr>
            </w:pPr>
            <w:r w:rsidRPr="00CA57AC">
              <w:rPr>
                <w:rFonts w:cs="Arial"/>
                <w:bCs/>
              </w:rPr>
              <w:t>The Service</w:t>
            </w:r>
            <w:r w:rsidR="003863F2">
              <w:rPr>
                <w:rFonts w:cs="Arial"/>
                <w:bCs/>
              </w:rPr>
              <w:t>s</w:t>
            </w:r>
            <w:r w:rsidRPr="00CA57AC">
              <w:rPr>
                <w:rFonts w:cs="Arial"/>
                <w:bCs/>
              </w:rPr>
              <w:t xml:space="preserve"> should adopt a differentiated </w:t>
            </w:r>
            <w:r w:rsidR="00DE7665" w:rsidRPr="00CA57AC">
              <w:rPr>
                <w:rFonts w:cs="Arial"/>
                <w:bCs/>
              </w:rPr>
              <w:t>stage</w:t>
            </w:r>
            <w:r w:rsidR="002706F4" w:rsidRPr="00CA57AC">
              <w:rPr>
                <w:rFonts w:cs="Arial"/>
                <w:bCs/>
              </w:rPr>
              <w:t>d/phased</w:t>
            </w:r>
            <w:r w:rsidR="00DE7665" w:rsidRPr="00CA57AC">
              <w:rPr>
                <w:rFonts w:cs="Arial"/>
                <w:bCs/>
              </w:rPr>
              <w:t xml:space="preserve"> </w:t>
            </w:r>
            <w:r w:rsidRPr="00CA57AC">
              <w:rPr>
                <w:rFonts w:cs="Arial"/>
                <w:bCs/>
              </w:rPr>
              <w:t>model that enables IAG to support a person’s journey through the stages of</w:t>
            </w:r>
            <w:r w:rsidR="00DE7665" w:rsidRPr="00CA57AC">
              <w:rPr>
                <w:rFonts w:cs="Arial"/>
                <w:bCs/>
              </w:rPr>
              <w:t xml:space="preserve"> engagement, pre-employment, entry to employment and post-employment/career development.</w:t>
            </w:r>
            <w:r w:rsidR="003E6244" w:rsidRPr="00CA57AC">
              <w:rPr>
                <w:rFonts w:cs="Arial"/>
                <w:bCs/>
              </w:rPr>
              <w:t xml:space="preserve"> </w:t>
            </w:r>
          </w:p>
          <w:p w14:paraId="3BD12721" w14:textId="77777777" w:rsidR="009462C9" w:rsidRPr="00CA57AC" w:rsidRDefault="009462C9" w:rsidP="009462C9">
            <w:pPr>
              <w:rPr>
                <w:rFonts w:cs="Arial"/>
                <w:bCs/>
              </w:rPr>
            </w:pPr>
          </w:p>
          <w:p w14:paraId="3BD12722" w14:textId="77777777" w:rsidR="009462C9" w:rsidRPr="00CA57AC" w:rsidRDefault="009462C9" w:rsidP="009462C9">
            <w:pPr>
              <w:rPr>
                <w:rFonts w:cs="Arial"/>
                <w:bCs/>
              </w:rPr>
            </w:pPr>
            <w:r w:rsidRPr="00CA57AC">
              <w:rPr>
                <w:rFonts w:cs="Arial"/>
                <w:bCs/>
              </w:rPr>
              <w:t>The Service</w:t>
            </w:r>
            <w:r w:rsidR="003863F2">
              <w:rPr>
                <w:rFonts w:cs="Arial"/>
                <w:bCs/>
              </w:rPr>
              <w:t>s</w:t>
            </w:r>
            <w:r w:rsidRPr="00CA57AC">
              <w:rPr>
                <w:rFonts w:cs="Arial"/>
                <w:bCs/>
              </w:rPr>
              <w:t xml:space="preserve"> </w:t>
            </w:r>
            <w:r w:rsidR="008A4B72">
              <w:rPr>
                <w:rFonts w:cs="Arial"/>
                <w:bCs/>
              </w:rPr>
              <w:t xml:space="preserve">must </w:t>
            </w:r>
            <w:r w:rsidRPr="00CA57AC">
              <w:rPr>
                <w:rFonts w:cs="Arial"/>
                <w:bCs/>
              </w:rPr>
              <w:t xml:space="preserve">develop IAG provision and pathways that link explicitly to one or more to </w:t>
            </w:r>
            <w:r w:rsidR="00CA6D27">
              <w:rPr>
                <w:rFonts w:cs="Arial"/>
                <w:bCs/>
              </w:rPr>
              <w:t>SS</w:t>
            </w:r>
            <w:r w:rsidRPr="00CA57AC">
              <w:rPr>
                <w:rFonts w:cs="Arial"/>
                <w:bCs/>
              </w:rPr>
              <w:t>LEP priority sectors</w:t>
            </w:r>
            <w:r w:rsidR="00CA6D27">
              <w:rPr>
                <w:rFonts w:cs="Arial"/>
                <w:bCs/>
              </w:rPr>
              <w:t xml:space="preserve">.  STEM skills are key to many of the SSLEP priorities and this should be reflected in </w:t>
            </w:r>
            <w:r w:rsidR="008A4B72">
              <w:rPr>
                <w:rFonts w:cs="Arial"/>
                <w:bCs/>
              </w:rPr>
              <w:t xml:space="preserve">the </w:t>
            </w:r>
            <w:r w:rsidR="00CA6D27">
              <w:rPr>
                <w:rFonts w:cs="Arial"/>
                <w:bCs/>
              </w:rPr>
              <w:t>IAG provision.</w:t>
            </w:r>
            <w:r w:rsidRPr="00CA57AC">
              <w:rPr>
                <w:rFonts w:cs="Arial"/>
                <w:bCs/>
              </w:rPr>
              <w:t xml:space="preserve"> </w:t>
            </w:r>
          </w:p>
          <w:p w14:paraId="3BD12723" w14:textId="77777777" w:rsidR="009462C9" w:rsidRPr="00CA57AC" w:rsidRDefault="009462C9" w:rsidP="003555E1">
            <w:pPr>
              <w:rPr>
                <w:rFonts w:cs="Arial"/>
                <w:bCs/>
              </w:rPr>
            </w:pPr>
          </w:p>
          <w:p w14:paraId="3BD12724" w14:textId="77777777" w:rsidR="009462C9" w:rsidRPr="00CA57AC" w:rsidRDefault="009462C9" w:rsidP="009462C9">
            <w:pPr>
              <w:rPr>
                <w:rFonts w:cs="Arial"/>
                <w:bCs/>
              </w:rPr>
            </w:pPr>
            <w:r w:rsidRPr="00CA57AC">
              <w:rPr>
                <w:rFonts w:cs="Arial"/>
                <w:bCs/>
              </w:rPr>
              <w:t>To engage with and access disadvantaged groups the Service</w:t>
            </w:r>
            <w:r w:rsidR="003863F2">
              <w:rPr>
                <w:rFonts w:cs="Arial"/>
                <w:bCs/>
              </w:rPr>
              <w:t>s</w:t>
            </w:r>
            <w:r w:rsidRPr="00CA57AC">
              <w:rPr>
                <w:rFonts w:cs="Arial"/>
                <w:bCs/>
              </w:rPr>
              <w:t xml:space="preserve"> </w:t>
            </w:r>
            <w:r w:rsidR="008A4B72">
              <w:rPr>
                <w:rFonts w:cs="Arial"/>
                <w:bCs/>
              </w:rPr>
              <w:t xml:space="preserve">must </w:t>
            </w:r>
            <w:r w:rsidRPr="00CA57AC">
              <w:rPr>
                <w:rFonts w:cs="Arial"/>
                <w:bCs/>
              </w:rPr>
              <w:t xml:space="preserve">develop close working links with the ‘Cooperative Working’ model and ‘Start-up’ in Stoke –on- Trent  and with ‘Families First’ in Staffordshire. </w:t>
            </w:r>
          </w:p>
          <w:p w14:paraId="3BD12725" w14:textId="77777777" w:rsidR="009462C9" w:rsidRDefault="009462C9" w:rsidP="003555E1">
            <w:pPr>
              <w:rPr>
                <w:rFonts w:cs="Arial"/>
                <w:bCs/>
              </w:rPr>
            </w:pPr>
          </w:p>
          <w:p w14:paraId="3BD12726" w14:textId="1A80A8D1" w:rsidR="00CA6D27" w:rsidRPr="005008BE" w:rsidRDefault="00CA6D27" w:rsidP="00CA6D27">
            <w:pPr>
              <w:rPr>
                <w:rFonts w:cs="Arial"/>
                <w:bCs/>
              </w:rPr>
            </w:pPr>
            <w:r w:rsidRPr="005008BE">
              <w:rPr>
                <w:rFonts w:cs="Arial"/>
                <w:bCs/>
              </w:rPr>
              <w:t>The Service</w:t>
            </w:r>
            <w:r w:rsidR="003863F2">
              <w:rPr>
                <w:rFonts w:cs="Arial"/>
                <w:bCs/>
              </w:rPr>
              <w:t>s</w:t>
            </w:r>
            <w:r w:rsidRPr="005008BE">
              <w:rPr>
                <w:rFonts w:cs="Arial"/>
                <w:bCs/>
              </w:rPr>
              <w:t xml:space="preserve"> should take account of the emerging messages of the new SSLEP Careers Guida</w:t>
            </w:r>
            <w:r w:rsidR="0084012A">
              <w:rPr>
                <w:rFonts w:cs="Arial"/>
                <w:bCs/>
              </w:rPr>
              <w:t xml:space="preserve">nce and Employability framework.  </w:t>
            </w:r>
            <w:r>
              <w:rPr>
                <w:rFonts w:cs="Arial"/>
                <w:bCs/>
              </w:rPr>
              <w:t>The Service</w:t>
            </w:r>
            <w:r w:rsidR="003863F2">
              <w:rPr>
                <w:rFonts w:cs="Arial"/>
                <w:bCs/>
              </w:rPr>
              <w:t>s</w:t>
            </w:r>
            <w:r>
              <w:rPr>
                <w:rFonts w:cs="Arial"/>
                <w:bCs/>
              </w:rPr>
              <w:t xml:space="preserve"> </w:t>
            </w:r>
            <w:r w:rsidR="008A4B72">
              <w:rPr>
                <w:rFonts w:cs="Arial"/>
                <w:bCs/>
              </w:rPr>
              <w:t xml:space="preserve">must </w:t>
            </w:r>
            <w:r>
              <w:rPr>
                <w:rFonts w:cs="Arial"/>
                <w:bCs/>
              </w:rPr>
              <w:t>play an active role in any initiatives to coordinate CEIAG provision in the SSLEP area and in promoting existing CEIAG provision as well as developing new provision that addresses clear gaps to complement it.</w:t>
            </w:r>
          </w:p>
          <w:p w14:paraId="3BD12727" w14:textId="77777777" w:rsidR="00CA6D27" w:rsidRPr="00CA57AC" w:rsidRDefault="00CA6D27" w:rsidP="003555E1">
            <w:pPr>
              <w:rPr>
                <w:rFonts w:cs="Arial"/>
                <w:bCs/>
              </w:rPr>
            </w:pPr>
          </w:p>
          <w:p w14:paraId="3BD12728" w14:textId="77777777" w:rsidR="003555E1" w:rsidRPr="00CA57AC" w:rsidRDefault="003863F2" w:rsidP="003555E1">
            <w:pPr>
              <w:rPr>
                <w:rFonts w:cs="Arial"/>
                <w:bCs/>
              </w:rPr>
            </w:pPr>
            <w:r>
              <w:rPr>
                <w:rFonts w:cs="Arial"/>
                <w:bCs/>
              </w:rPr>
              <w:t xml:space="preserve">The Services </w:t>
            </w:r>
            <w:r w:rsidR="003E6244" w:rsidRPr="00CA57AC">
              <w:rPr>
                <w:rFonts w:cs="Arial"/>
                <w:bCs/>
              </w:rPr>
              <w:t>should support and be linked to existing engagement and outreach activities</w:t>
            </w:r>
            <w:r w:rsidR="00BA47AF" w:rsidRPr="00CA57AC">
              <w:rPr>
                <w:rFonts w:cs="Arial"/>
                <w:bCs/>
              </w:rPr>
              <w:t>,</w:t>
            </w:r>
            <w:r w:rsidR="003E6244" w:rsidRPr="00CA57AC">
              <w:rPr>
                <w:rFonts w:cs="Arial"/>
                <w:bCs/>
              </w:rPr>
              <w:t xml:space="preserve"> adult and community learning</w:t>
            </w:r>
            <w:r w:rsidR="00BA47AF" w:rsidRPr="00CA57AC">
              <w:rPr>
                <w:rFonts w:cs="Arial"/>
                <w:bCs/>
              </w:rPr>
              <w:t xml:space="preserve"> provision, </w:t>
            </w:r>
            <w:r w:rsidR="003E6244" w:rsidRPr="00CA57AC">
              <w:rPr>
                <w:rFonts w:cs="Arial"/>
                <w:bCs/>
              </w:rPr>
              <w:t>ap</w:t>
            </w:r>
            <w:r w:rsidR="00BA47AF" w:rsidRPr="00CA57AC">
              <w:rPr>
                <w:rFonts w:cs="Arial"/>
                <w:bCs/>
              </w:rPr>
              <w:t>prenticeships and traineeships</w:t>
            </w:r>
            <w:r w:rsidR="007371BA">
              <w:rPr>
                <w:rFonts w:cs="Arial"/>
                <w:bCs/>
              </w:rPr>
              <w:t xml:space="preserve"> </w:t>
            </w:r>
            <w:r w:rsidR="006D7C20" w:rsidRPr="00CA57AC">
              <w:rPr>
                <w:rFonts w:cs="Arial"/>
                <w:bCs/>
              </w:rPr>
              <w:t xml:space="preserve">and to </w:t>
            </w:r>
            <w:r w:rsidR="00BA47AF" w:rsidRPr="00CA57AC">
              <w:rPr>
                <w:rFonts w:cs="Arial"/>
                <w:bCs/>
              </w:rPr>
              <w:t>employability</w:t>
            </w:r>
            <w:r w:rsidR="006D7C20" w:rsidRPr="00CA57AC">
              <w:rPr>
                <w:rFonts w:cs="Arial"/>
                <w:bCs/>
              </w:rPr>
              <w:t xml:space="preserve">, Welfare to Work and pre-employment programmes for young people and adults. </w:t>
            </w:r>
          </w:p>
          <w:p w14:paraId="3BD12729" w14:textId="77777777" w:rsidR="00DE7665" w:rsidRPr="00CA57AC" w:rsidRDefault="00DE7665" w:rsidP="003555E1">
            <w:pPr>
              <w:rPr>
                <w:rFonts w:cs="Arial"/>
                <w:bCs/>
              </w:rPr>
            </w:pPr>
          </w:p>
          <w:p w14:paraId="3BD1272A" w14:textId="77777777" w:rsidR="002706F4" w:rsidRPr="00CA57AC" w:rsidRDefault="002706F4" w:rsidP="006D7C20">
            <w:pPr>
              <w:rPr>
                <w:rFonts w:cs="Arial"/>
              </w:rPr>
            </w:pPr>
            <w:r w:rsidRPr="00CA57AC">
              <w:rPr>
                <w:rFonts w:cs="Arial"/>
              </w:rPr>
              <w:t>The Service</w:t>
            </w:r>
            <w:r w:rsidR="003863F2">
              <w:rPr>
                <w:rFonts w:cs="Arial"/>
              </w:rPr>
              <w:t>s</w:t>
            </w:r>
            <w:r w:rsidRPr="00CA57AC">
              <w:rPr>
                <w:rFonts w:cs="Arial"/>
              </w:rPr>
              <w:t xml:space="preserve"> </w:t>
            </w:r>
            <w:r w:rsidR="008A4B72">
              <w:rPr>
                <w:rFonts w:cs="Arial"/>
              </w:rPr>
              <w:t xml:space="preserve">must </w:t>
            </w:r>
            <w:r w:rsidRPr="00CA57AC">
              <w:rPr>
                <w:rFonts w:cs="Arial"/>
              </w:rPr>
              <w:t xml:space="preserve">complement the </w:t>
            </w:r>
            <w:r w:rsidR="00CA6D27">
              <w:rPr>
                <w:rFonts w:cs="Arial"/>
              </w:rPr>
              <w:t>priorities and activities of IAG offer</w:t>
            </w:r>
            <w:r w:rsidR="00893667">
              <w:rPr>
                <w:rFonts w:cs="Arial"/>
              </w:rPr>
              <w:t>ed</w:t>
            </w:r>
            <w:r w:rsidR="00CA6D27">
              <w:rPr>
                <w:rFonts w:cs="Arial"/>
              </w:rPr>
              <w:t xml:space="preserve"> </w:t>
            </w:r>
            <w:r w:rsidR="00893667">
              <w:rPr>
                <w:rFonts w:cs="Arial"/>
              </w:rPr>
              <w:t>by</w:t>
            </w:r>
            <w:r w:rsidR="00CA6D27">
              <w:rPr>
                <w:rFonts w:cs="Arial"/>
              </w:rPr>
              <w:t xml:space="preserve"> local authorities, schools, colleges, training providers and </w:t>
            </w:r>
            <w:r w:rsidR="006D7C20" w:rsidRPr="00CA57AC">
              <w:rPr>
                <w:rFonts w:cs="Arial"/>
              </w:rPr>
              <w:t>VCS organisations</w:t>
            </w:r>
            <w:r w:rsidR="00CA6D27">
              <w:rPr>
                <w:rFonts w:cs="Arial"/>
              </w:rPr>
              <w:t xml:space="preserve"> and of the National Careers Service</w:t>
            </w:r>
            <w:r w:rsidR="006D7C20" w:rsidRPr="00CA57AC">
              <w:rPr>
                <w:rFonts w:cs="Arial"/>
              </w:rPr>
              <w:t xml:space="preserve">. </w:t>
            </w:r>
          </w:p>
          <w:p w14:paraId="3BD1272B" w14:textId="77777777" w:rsidR="00814F02" w:rsidRDefault="00814F02" w:rsidP="006D7C20">
            <w:pPr>
              <w:rPr>
                <w:rFonts w:cs="Arial"/>
              </w:rPr>
            </w:pPr>
          </w:p>
          <w:p w14:paraId="3BD1272C" w14:textId="77777777" w:rsidR="00CA6D27" w:rsidRDefault="00CA6D27" w:rsidP="006D7C20">
            <w:pPr>
              <w:rPr>
                <w:rFonts w:cs="Arial"/>
              </w:rPr>
            </w:pPr>
            <w:r>
              <w:rPr>
                <w:rFonts w:cs="Arial"/>
              </w:rPr>
              <w:t>The Service</w:t>
            </w:r>
            <w:r w:rsidR="003863F2">
              <w:rPr>
                <w:rFonts w:cs="Arial"/>
              </w:rPr>
              <w:t>s</w:t>
            </w:r>
            <w:r>
              <w:rPr>
                <w:rFonts w:cs="Arial"/>
              </w:rPr>
              <w:t xml:space="preserve"> </w:t>
            </w:r>
            <w:r w:rsidR="008A4B72">
              <w:rPr>
                <w:rFonts w:cs="Arial"/>
              </w:rPr>
              <w:t xml:space="preserve">must </w:t>
            </w:r>
            <w:r>
              <w:rPr>
                <w:rFonts w:cs="Arial"/>
              </w:rPr>
              <w:t xml:space="preserve">provide IAG to groups that are not targeted and prioritised by the NCS and an enhanced service to others.  This enhanced IAG </w:t>
            </w:r>
            <w:r w:rsidR="008A4B72">
              <w:rPr>
                <w:rFonts w:cs="Arial"/>
              </w:rPr>
              <w:t>must b</w:t>
            </w:r>
            <w:r>
              <w:rPr>
                <w:rFonts w:cs="Arial"/>
              </w:rPr>
              <w:t>e varied and flexible in nature and also be linked to progression into employment, apprenticeships, traineeships or learning.</w:t>
            </w:r>
          </w:p>
          <w:p w14:paraId="3BD1272D" w14:textId="77777777" w:rsidR="00CA6D27" w:rsidRPr="00CA57AC" w:rsidRDefault="00CA6D27" w:rsidP="006D7C20">
            <w:pPr>
              <w:rPr>
                <w:rFonts w:cs="Arial"/>
              </w:rPr>
            </w:pPr>
          </w:p>
          <w:p w14:paraId="3BD1272E" w14:textId="2A8D6516" w:rsidR="00814F02" w:rsidRPr="00CA57AC" w:rsidRDefault="003863F2" w:rsidP="00814F02">
            <w:pPr>
              <w:rPr>
                <w:rFonts w:cs="Arial"/>
                <w:bCs/>
              </w:rPr>
            </w:pPr>
            <w:r>
              <w:rPr>
                <w:rFonts w:cs="Arial"/>
                <w:bCs/>
              </w:rPr>
              <w:t xml:space="preserve">The Services </w:t>
            </w:r>
            <w:r w:rsidR="008A4B72">
              <w:rPr>
                <w:rFonts w:cs="Arial"/>
                <w:bCs/>
              </w:rPr>
              <w:t xml:space="preserve">must be </w:t>
            </w:r>
            <w:r w:rsidR="00814F02" w:rsidRPr="00CA57AC">
              <w:rPr>
                <w:rFonts w:cs="Arial"/>
                <w:bCs/>
              </w:rPr>
              <w:t>delivered by staff</w:t>
            </w:r>
            <w:r w:rsidR="00893667" w:rsidRPr="00893667">
              <w:rPr>
                <w:rFonts w:cs="Arial"/>
                <w:bCs/>
              </w:rPr>
              <w:t xml:space="preserve"> </w:t>
            </w:r>
            <w:r w:rsidR="00D011DE">
              <w:rPr>
                <w:rFonts w:cs="Arial"/>
                <w:bCs/>
              </w:rPr>
              <w:t>who</w:t>
            </w:r>
            <w:r w:rsidR="00893667" w:rsidRPr="00893667">
              <w:rPr>
                <w:rFonts w:cs="Arial"/>
                <w:bCs/>
              </w:rPr>
              <w:t xml:space="preserve"> are qualified </w:t>
            </w:r>
            <w:r w:rsidR="00893667">
              <w:rPr>
                <w:rFonts w:cs="Arial"/>
                <w:bCs/>
              </w:rPr>
              <w:t xml:space="preserve">to </w:t>
            </w:r>
            <w:r w:rsidR="00814F02" w:rsidRPr="00CA57AC">
              <w:rPr>
                <w:rFonts w:cs="Arial"/>
                <w:bCs/>
              </w:rPr>
              <w:t>Level 4</w:t>
            </w:r>
            <w:r w:rsidR="00893667">
              <w:rPr>
                <w:rFonts w:cs="Arial"/>
                <w:bCs/>
              </w:rPr>
              <w:t xml:space="preserve"> to provide careers information and advice</w:t>
            </w:r>
            <w:r w:rsidR="00893667" w:rsidRPr="00893667">
              <w:rPr>
                <w:rFonts w:cs="Arial"/>
                <w:bCs/>
              </w:rPr>
              <w:t xml:space="preserve"> and </w:t>
            </w:r>
            <w:r w:rsidR="00814F02" w:rsidRPr="00CA57AC">
              <w:rPr>
                <w:rFonts w:cs="Arial"/>
                <w:bCs/>
              </w:rPr>
              <w:t>to Level 6</w:t>
            </w:r>
            <w:r w:rsidR="00893667">
              <w:rPr>
                <w:rFonts w:cs="Arial"/>
                <w:bCs/>
              </w:rPr>
              <w:t xml:space="preserve"> to provide careers guidance.</w:t>
            </w:r>
          </w:p>
          <w:p w14:paraId="3BD1272F" w14:textId="77777777" w:rsidR="006D7C20" w:rsidRPr="00117508" w:rsidRDefault="006D7C20" w:rsidP="00CA57AC">
            <w:pPr>
              <w:rPr>
                <w:rFonts w:cs="Arial"/>
              </w:rPr>
            </w:pPr>
          </w:p>
          <w:p w14:paraId="3BD12730" w14:textId="77777777" w:rsidR="00FF74D1" w:rsidRPr="00CA57AC" w:rsidRDefault="007705C2" w:rsidP="00CA57AC">
            <w:pPr>
              <w:rPr>
                <w:rFonts w:cs="Arial"/>
                <w:bCs/>
              </w:rPr>
            </w:pPr>
            <w:r w:rsidRPr="00CA57AC">
              <w:rPr>
                <w:rFonts w:cs="Arial"/>
                <w:bCs/>
              </w:rPr>
              <w:t>The Service</w:t>
            </w:r>
            <w:r w:rsidR="003863F2">
              <w:rPr>
                <w:rFonts w:cs="Arial"/>
                <w:bCs/>
              </w:rPr>
              <w:t>s</w:t>
            </w:r>
            <w:r w:rsidRPr="00CA57AC">
              <w:rPr>
                <w:rFonts w:cs="Arial"/>
                <w:bCs/>
              </w:rPr>
              <w:t xml:space="preserve"> </w:t>
            </w:r>
            <w:r w:rsidR="008A4B72">
              <w:rPr>
                <w:rFonts w:cs="Arial"/>
                <w:bCs/>
              </w:rPr>
              <w:t xml:space="preserve">must </w:t>
            </w:r>
            <w:r w:rsidRPr="00CA57AC">
              <w:rPr>
                <w:rFonts w:cs="Arial"/>
                <w:bCs/>
              </w:rPr>
              <w:t>develop</w:t>
            </w:r>
            <w:r w:rsidR="00FF74D1" w:rsidRPr="00CA57AC">
              <w:rPr>
                <w:rFonts w:cs="Arial"/>
                <w:bCs/>
              </w:rPr>
              <w:t xml:space="preserve"> </w:t>
            </w:r>
            <w:r w:rsidR="00AE46C3" w:rsidRPr="00CA57AC">
              <w:rPr>
                <w:rFonts w:cs="Arial"/>
                <w:bCs/>
              </w:rPr>
              <w:t>IT</w:t>
            </w:r>
            <w:r w:rsidR="003721B0" w:rsidRPr="00CA57AC">
              <w:rPr>
                <w:rFonts w:cs="Arial"/>
                <w:bCs/>
              </w:rPr>
              <w:t xml:space="preserve"> </w:t>
            </w:r>
            <w:r w:rsidR="00AE46C3" w:rsidRPr="00CA57AC">
              <w:rPr>
                <w:rFonts w:cs="Arial"/>
                <w:bCs/>
              </w:rPr>
              <w:t>solutions</w:t>
            </w:r>
            <w:r w:rsidR="00FF74D1" w:rsidRPr="00CA57AC">
              <w:rPr>
                <w:rFonts w:cs="Arial"/>
                <w:bCs/>
              </w:rPr>
              <w:t xml:space="preserve"> for </w:t>
            </w:r>
            <w:r w:rsidR="00AE46C3" w:rsidRPr="00CA57AC">
              <w:rPr>
                <w:rFonts w:cs="Arial"/>
                <w:bCs/>
              </w:rPr>
              <w:t>IAG</w:t>
            </w:r>
            <w:r w:rsidR="00FF74D1" w:rsidRPr="00CA57AC">
              <w:rPr>
                <w:rFonts w:cs="Arial"/>
                <w:bCs/>
              </w:rPr>
              <w:t xml:space="preserve"> </w:t>
            </w:r>
            <w:r w:rsidR="00AE46C3" w:rsidRPr="00CA57AC">
              <w:rPr>
                <w:rFonts w:cs="Arial"/>
                <w:bCs/>
              </w:rPr>
              <w:t xml:space="preserve">to complement </w:t>
            </w:r>
            <w:r w:rsidRPr="00CA57AC">
              <w:rPr>
                <w:rFonts w:cs="Arial"/>
                <w:bCs/>
              </w:rPr>
              <w:t>traditional methods of deliver</w:t>
            </w:r>
            <w:r w:rsidR="00175082" w:rsidRPr="00CA57AC">
              <w:rPr>
                <w:rFonts w:cs="Arial"/>
                <w:bCs/>
              </w:rPr>
              <w:t xml:space="preserve">y </w:t>
            </w:r>
            <w:r w:rsidR="00FF74D1" w:rsidRPr="00CA57AC">
              <w:rPr>
                <w:rFonts w:cs="Arial"/>
              </w:rPr>
              <w:t>such as the use of social me</w:t>
            </w:r>
            <w:r w:rsidR="003721B0" w:rsidRPr="00CA57AC">
              <w:rPr>
                <w:rFonts w:cs="Arial"/>
              </w:rPr>
              <w:t xml:space="preserve">dia, </w:t>
            </w:r>
            <w:r w:rsidR="00FF74D1" w:rsidRPr="00CA57AC">
              <w:rPr>
                <w:rFonts w:cs="Arial"/>
              </w:rPr>
              <w:t>mobile apps and digital communities</w:t>
            </w:r>
            <w:r w:rsidR="003721B0" w:rsidRPr="00CA57AC">
              <w:rPr>
                <w:rFonts w:cs="Arial"/>
              </w:rPr>
              <w:t xml:space="preserve"> and the development of local content that links to national websites i</w:t>
            </w:r>
            <w:r w:rsidR="007371BA">
              <w:rPr>
                <w:rFonts w:cs="Arial"/>
              </w:rPr>
              <w:t>ncluding NCS.</w:t>
            </w:r>
          </w:p>
          <w:p w14:paraId="3BD12731" w14:textId="77777777" w:rsidR="00BA47AF" w:rsidRPr="00CA57AC" w:rsidRDefault="00BA47AF" w:rsidP="00F65D61">
            <w:pPr>
              <w:rPr>
                <w:rFonts w:cs="Arial"/>
                <w:bCs/>
              </w:rPr>
            </w:pPr>
          </w:p>
          <w:p w14:paraId="3BD12732" w14:textId="77777777" w:rsidR="008A4B72" w:rsidRPr="00CA57AC" w:rsidRDefault="00937E15" w:rsidP="00F65D61">
            <w:pPr>
              <w:rPr>
                <w:rFonts w:cs="Arial"/>
                <w:bCs/>
              </w:rPr>
            </w:pPr>
            <w:r w:rsidRPr="00CA57AC">
              <w:rPr>
                <w:rFonts w:cs="Arial"/>
                <w:bCs/>
              </w:rPr>
              <w:t>The Service</w:t>
            </w:r>
            <w:r w:rsidR="003863F2">
              <w:rPr>
                <w:rFonts w:cs="Arial"/>
                <w:bCs/>
              </w:rPr>
              <w:t>s</w:t>
            </w:r>
            <w:r w:rsidRPr="00CA57AC">
              <w:rPr>
                <w:rFonts w:cs="Arial"/>
                <w:bCs/>
              </w:rPr>
              <w:t xml:space="preserve"> </w:t>
            </w:r>
            <w:r w:rsidR="008A4B72">
              <w:rPr>
                <w:rFonts w:cs="Arial"/>
                <w:bCs/>
              </w:rPr>
              <w:t xml:space="preserve">must </w:t>
            </w:r>
            <w:r w:rsidRPr="00CA57AC">
              <w:rPr>
                <w:rFonts w:cs="Arial"/>
                <w:bCs/>
              </w:rPr>
              <w:t xml:space="preserve">make use of and provide </w:t>
            </w:r>
            <w:r w:rsidR="00B86A6F" w:rsidRPr="00CA57AC">
              <w:rPr>
                <w:rFonts w:cs="Arial"/>
                <w:bCs/>
              </w:rPr>
              <w:t>LMI databases</w:t>
            </w:r>
            <w:r w:rsidRPr="00CA57AC">
              <w:rPr>
                <w:rFonts w:cs="Arial"/>
                <w:bCs/>
              </w:rPr>
              <w:t xml:space="preserve"> and systems but without duplicating what already exists in the area within local autho</w:t>
            </w:r>
            <w:r w:rsidR="009462C9" w:rsidRPr="00CA57AC">
              <w:rPr>
                <w:rFonts w:cs="Arial"/>
                <w:bCs/>
              </w:rPr>
              <w:t>rities and other organisations.</w:t>
            </w:r>
          </w:p>
          <w:p w14:paraId="3BD1275C" w14:textId="77777777" w:rsidR="00344FA1" w:rsidRPr="007C2B80" w:rsidRDefault="00344FA1" w:rsidP="00F372E0">
            <w:pPr>
              <w:rPr>
                <w:rFonts w:cs="Arial"/>
              </w:rPr>
            </w:pPr>
          </w:p>
        </w:tc>
      </w:tr>
      <w:tr w:rsidR="00967429" w:rsidRPr="00544738" w14:paraId="3BD1275F" w14:textId="77777777" w:rsidTr="00555175">
        <w:trPr>
          <w:trHeight w:val="567"/>
        </w:trPr>
        <w:tc>
          <w:tcPr>
            <w:tcW w:w="9088" w:type="dxa"/>
            <w:shd w:val="clear" w:color="auto" w:fill="D9D9D9" w:themeFill="background1" w:themeFillShade="D9"/>
            <w:vAlign w:val="center"/>
          </w:tcPr>
          <w:p w14:paraId="3BD1275E" w14:textId="77777777" w:rsidR="00967429" w:rsidRPr="00544738" w:rsidRDefault="003A52A2" w:rsidP="00FD3B0A">
            <w:pPr>
              <w:pStyle w:val="SpecificationHeading"/>
            </w:pPr>
            <w:r>
              <w:lastRenderedPageBreak/>
              <w:t>Eligibility</w:t>
            </w:r>
          </w:p>
        </w:tc>
      </w:tr>
      <w:tr w:rsidR="00967429" w:rsidRPr="00EF4406" w14:paraId="3BD127AD" w14:textId="77777777" w:rsidTr="00CA57AC">
        <w:tc>
          <w:tcPr>
            <w:tcW w:w="9088" w:type="dxa"/>
          </w:tcPr>
          <w:p w14:paraId="3BD12760" w14:textId="77777777" w:rsidR="001E23AA" w:rsidRDefault="001E23AA" w:rsidP="002F70E9">
            <w:pPr>
              <w:rPr>
                <w:rFonts w:cs="Arial"/>
                <w:b/>
                <w:u w:val="single"/>
              </w:rPr>
            </w:pPr>
          </w:p>
          <w:p w14:paraId="3BD12761" w14:textId="77777777" w:rsidR="00A005EF" w:rsidRPr="00344FA1" w:rsidRDefault="00A005EF" w:rsidP="00A005EF">
            <w:r>
              <w:rPr>
                <w:b/>
              </w:rPr>
              <w:t>General</w:t>
            </w:r>
          </w:p>
          <w:p w14:paraId="3BD12762"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6"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3BD12763" w14:textId="77777777" w:rsidR="00A005EF" w:rsidRDefault="00A005EF" w:rsidP="00C107CE">
            <w:pPr>
              <w:rPr>
                <w:rFonts w:cs="Arial"/>
              </w:rPr>
            </w:pPr>
          </w:p>
          <w:p w14:paraId="3BD12764" w14:textId="77777777" w:rsidR="00394F36" w:rsidRDefault="00394F36" w:rsidP="00394F36">
            <w:pPr>
              <w:rPr>
                <w:rFonts w:cs="Arial"/>
              </w:rPr>
            </w:pPr>
            <w:r w:rsidRPr="00F67261">
              <w:rPr>
                <w:rFonts w:cs="Arial"/>
              </w:rPr>
              <w:t>Please note LEP Specific requirements are subject to the National Eligibility Rules detailed above.</w:t>
            </w:r>
          </w:p>
          <w:p w14:paraId="3BD12765" w14:textId="77777777" w:rsidR="00204794" w:rsidRDefault="00204794" w:rsidP="00394F36">
            <w:pPr>
              <w:rPr>
                <w:rFonts w:cs="Arial"/>
              </w:rPr>
            </w:pPr>
          </w:p>
          <w:p w14:paraId="3BD12766" w14:textId="5E9F2232" w:rsidR="00162B5B" w:rsidRDefault="00C336D2" w:rsidP="00162B5B">
            <w:pPr>
              <w:rPr>
                <w:b/>
              </w:rPr>
            </w:pPr>
            <w:r w:rsidRPr="004F671A">
              <w:rPr>
                <w:b/>
              </w:rPr>
              <w:t xml:space="preserve">IP 1.1 </w:t>
            </w:r>
            <w:r w:rsidR="00162B5B" w:rsidRPr="004F671A">
              <w:rPr>
                <w:b/>
              </w:rPr>
              <w:t>Access to employment for jobseekers and inactive people</w:t>
            </w:r>
            <w:r w:rsidR="00CC112A" w:rsidRPr="004F671A">
              <w:rPr>
                <w:b/>
              </w:rPr>
              <w:t xml:space="preserve"> (</w:t>
            </w:r>
            <w:r w:rsidR="00F37B2A">
              <w:rPr>
                <w:b/>
              </w:rPr>
              <w:t>Lot 2)</w:t>
            </w:r>
            <w:r w:rsidR="00555175">
              <w:rPr>
                <w:b/>
              </w:rPr>
              <w:t>:</w:t>
            </w:r>
            <w:r w:rsidR="00CC112A" w:rsidRPr="004F671A">
              <w:rPr>
                <w:b/>
              </w:rPr>
              <w:t xml:space="preserve"> </w:t>
            </w:r>
          </w:p>
          <w:p w14:paraId="313AA5B1" w14:textId="77777777" w:rsidR="00555175" w:rsidRPr="004F671A" w:rsidRDefault="00555175" w:rsidP="00162B5B">
            <w:pPr>
              <w:rPr>
                <w:b/>
              </w:rPr>
            </w:pPr>
          </w:p>
          <w:p w14:paraId="3BD12767" w14:textId="77777777" w:rsidR="00162B5B" w:rsidRPr="004F671A" w:rsidRDefault="00162B5B" w:rsidP="00A503FD">
            <w:pPr>
              <w:pStyle w:val="ListParagraph"/>
              <w:numPr>
                <w:ilvl w:val="0"/>
                <w:numId w:val="13"/>
              </w:numPr>
              <w:rPr>
                <w:rFonts w:cs="Arial"/>
              </w:rPr>
            </w:pPr>
            <w:r w:rsidRPr="004F671A">
              <w:rPr>
                <w:rFonts w:cs="Arial"/>
              </w:rPr>
              <w:t>Unemployed</w:t>
            </w:r>
            <w:r w:rsidR="00CC112A" w:rsidRPr="004F671A">
              <w:rPr>
                <w:rFonts w:cs="Arial"/>
              </w:rPr>
              <w:t>, any length of unemployment</w:t>
            </w:r>
          </w:p>
          <w:p w14:paraId="3BD12768" w14:textId="77777777" w:rsidR="00162B5B" w:rsidRDefault="00162B5B" w:rsidP="00A503FD">
            <w:pPr>
              <w:pStyle w:val="ListParagraph"/>
              <w:numPr>
                <w:ilvl w:val="0"/>
                <w:numId w:val="13"/>
              </w:numPr>
              <w:rPr>
                <w:rFonts w:cs="Arial"/>
              </w:rPr>
            </w:pPr>
            <w:r w:rsidRPr="004F671A">
              <w:rPr>
                <w:rFonts w:cs="Arial"/>
              </w:rPr>
              <w:t>Inactive</w:t>
            </w:r>
          </w:p>
          <w:p w14:paraId="3BD12769" w14:textId="77777777" w:rsidR="00F37B2A" w:rsidRPr="004F671A" w:rsidRDefault="00F37B2A" w:rsidP="00A503FD">
            <w:pPr>
              <w:pStyle w:val="ListParagraph"/>
              <w:numPr>
                <w:ilvl w:val="0"/>
                <w:numId w:val="13"/>
              </w:numPr>
              <w:rPr>
                <w:rFonts w:cs="Arial"/>
              </w:rPr>
            </w:pPr>
            <w:r>
              <w:rPr>
                <w:rFonts w:cs="Arial"/>
              </w:rPr>
              <w:t>Age 16+</w:t>
            </w:r>
          </w:p>
          <w:p w14:paraId="3BD1276A" w14:textId="77777777" w:rsidR="00774B40" w:rsidRDefault="00774B40" w:rsidP="00162B5B">
            <w:pPr>
              <w:rPr>
                <w:rFonts w:cs="Arial"/>
                <w:b/>
              </w:rPr>
            </w:pPr>
          </w:p>
          <w:p w14:paraId="3BD1276B" w14:textId="77777777" w:rsidR="00162B5B" w:rsidRDefault="00C336D2" w:rsidP="00162B5B">
            <w:pPr>
              <w:rPr>
                <w:rFonts w:cs="Arial"/>
                <w:b/>
              </w:rPr>
            </w:pPr>
            <w:r w:rsidRPr="004F671A">
              <w:rPr>
                <w:rFonts w:cs="Arial"/>
                <w:b/>
              </w:rPr>
              <w:t xml:space="preserve">IP1.4 </w:t>
            </w:r>
            <w:r w:rsidR="00162B5B" w:rsidRPr="004F671A">
              <w:rPr>
                <w:rFonts w:cs="Arial"/>
                <w:b/>
              </w:rPr>
              <w:t>Active Inclusion</w:t>
            </w:r>
            <w:r w:rsidR="00CC112A" w:rsidRPr="004F671A">
              <w:rPr>
                <w:rFonts w:cs="Arial"/>
                <w:b/>
              </w:rPr>
              <w:t xml:space="preserve"> (</w:t>
            </w:r>
            <w:r w:rsidR="00F37B2A">
              <w:rPr>
                <w:rFonts w:cs="Arial"/>
                <w:b/>
              </w:rPr>
              <w:t>Lot 1</w:t>
            </w:r>
            <w:r w:rsidR="00CC112A" w:rsidRPr="004F671A">
              <w:rPr>
                <w:rFonts w:cs="Arial"/>
                <w:b/>
              </w:rPr>
              <w:t>)</w:t>
            </w:r>
            <w:r w:rsidR="00162B5B" w:rsidRPr="004F671A">
              <w:rPr>
                <w:rFonts w:cs="Arial"/>
                <w:b/>
              </w:rPr>
              <w:t>:</w:t>
            </w:r>
          </w:p>
          <w:p w14:paraId="31F3520A" w14:textId="77777777" w:rsidR="00555175" w:rsidRPr="004F671A" w:rsidRDefault="00555175" w:rsidP="00162B5B">
            <w:pPr>
              <w:rPr>
                <w:rFonts w:cs="Arial"/>
                <w:b/>
              </w:rPr>
            </w:pPr>
          </w:p>
          <w:p w14:paraId="3BD1276C" w14:textId="77777777" w:rsidR="00162B5B" w:rsidRPr="004F671A" w:rsidRDefault="00162B5B" w:rsidP="00A503FD">
            <w:pPr>
              <w:pStyle w:val="ListParagraph"/>
              <w:numPr>
                <w:ilvl w:val="0"/>
                <w:numId w:val="13"/>
              </w:numPr>
              <w:rPr>
                <w:rFonts w:cs="Arial"/>
              </w:rPr>
            </w:pPr>
            <w:r w:rsidRPr="004F671A">
              <w:rPr>
                <w:rFonts w:cs="Arial"/>
              </w:rPr>
              <w:t>Unemployed</w:t>
            </w:r>
            <w:r w:rsidR="00CC112A" w:rsidRPr="004F671A">
              <w:rPr>
                <w:rFonts w:cs="Arial"/>
              </w:rPr>
              <w:t>, any length of unemployment</w:t>
            </w:r>
          </w:p>
          <w:p w14:paraId="3BD1276D" w14:textId="77777777" w:rsidR="00162B5B" w:rsidRPr="004F671A" w:rsidRDefault="00162B5B" w:rsidP="00A503FD">
            <w:pPr>
              <w:pStyle w:val="ListParagraph"/>
              <w:numPr>
                <w:ilvl w:val="0"/>
                <w:numId w:val="13"/>
              </w:numPr>
              <w:rPr>
                <w:rFonts w:cs="Arial"/>
              </w:rPr>
            </w:pPr>
            <w:r w:rsidRPr="004F671A">
              <w:rPr>
                <w:rFonts w:cs="Arial"/>
              </w:rPr>
              <w:t>Inactive</w:t>
            </w:r>
          </w:p>
          <w:p w14:paraId="3BD1276E" w14:textId="77777777" w:rsidR="00162B5B" w:rsidRPr="004F671A" w:rsidRDefault="00162B5B" w:rsidP="00A503FD">
            <w:pPr>
              <w:pStyle w:val="ListParagraph"/>
              <w:numPr>
                <w:ilvl w:val="0"/>
                <w:numId w:val="13"/>
              </w:numPr>
              <w:rPr>
                <w:rFonts w:cs="Arial"/>
              </w:rPr>
            </w:pPr>
            <w:r w:rsidRPr="004F671A">
              <w:rPr>
                <w:rFonts w:cs="Arial"/>
              </w:rPr>
              <w:lastRenderedPageBreak/>
              <w:t>Long term unemployed</w:t>
            </w:r>
            <w:r w:rsidR="00CC112A" w:rsidRPr="004F671A">
              <w:rPr>
                <w:rFonts w:cs="Arial"/>
              </w:rPr>
              <w:t xml:space="preserve"> (more than 12 months continuous unemployment)</w:t>
            </w:r>
          </w:p>
          <w:p w14:paraId="3BD1276F" w14:textId="77777777" w:rsidR="00162B5B" w:rsidRDefault="00162B5B" w:rsidP="00A503FD">
            <w:pPr>
              <w:pStyle w:val="ListParagraph"/>
              <w:numPr>
                <w:ilvl w:val="0"/>
                <w:numId w:val="13"/>
              </w:numPr>
              <w:rPr>
                <w:rFonts w:cs="Arial"/>
              </w:rPr>
            </w:pPr>
            <w:r w:rsidRPr="004F671A">
              <w:rPr>
                <w:rFonts w:cs="Arial"/>
              </w:rPr>
              <w:t>Disadvantaged or with multiple barriers to work</w:t>
            </w:r>
          </w:p>
          <w:p w14:paraId="3BD12770" w14:textId="7F9A6BE1" w:rsidR="00F37B2A" w:rsidRPr="004F671A" w:rsidRDefault="0084012A" w:rsidP="00A503FD">
            <w:pPr>
              <w:pStyle w:val="ListParagraph"/>
              <w:numPr>
                <w:ilvl w:val="0"/>
                <w:numId w:val="13"/>
              </w:numPr>
              <w:rPr>
                <w:rFonts w:cs="Arial"/>
              </w:rPr>
            </w:pPr>
            <w:r>
              <w:rPr>
                <w:rFonts w:cs="Arial"/>
              </w:rPr>
              <w:t xml:space="preserve">Age </w:t>
            </w:r>
            <w:r w:rsidR="00F37B2A">
              <w:rPr>
                <w:rFonts w:cs="Arial"/>
              </w:rPr>
              <w:t>16+</w:t>
            </w:r>
          </w:p>
          <w:p w14:paraId="3BD12771" w14:textId="77777777" w:rsidR="00162B5B" w:rsidRPr="004F671A" w:rsidRDefault="00162B5B" w:rsidP="00394F36">
            <w:pPr>
              <w:rPr>
                <w:rFonts w:cs="Arial"/>
              </w:rPr>
            </w:pPr>
          </w:p>
          <w:p w14:paraId="3BD12773" w14:textId="19EFCCD4" w:rsidR="003E0C7F" w:rsidRPr="00555175" w:rsidRDefault="00394F36" w:rsidP="00555175">
            <w:pPr>
              <w:rPr>
                <w:rFonts w:ascii="Calibri" w:hAnsi="Calibri"/>
                <w:iCs/>
                <w:sz w:val="22"/>
                <w:szCs w:val="22"/>
              </w:rPr>
            </w:pPr>
            <w:r w:rsidRPr="004F671A">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5DB1AFE3" w14:textId="683F50B2" w:rsidR="009612E0" w:rsidRPr="00C56155" w:rsidRDefault="009612E0" w:rsidP="009612E0">
            <w:pPr>
              <w:rPr>
                <w:rFonts w:cs="Arial"/>
              </w:rPr>
            </w:pPr>
          </w:p>
          <w:p w14:paraId="04B5877D" w14:textId="77777777" w:rsidR="009612E0" w:rsidRPr="00C56155" w:rsidRDefault="009612E0" w:rsidP="009612E0">
            <w:pPr>
              <w:rPr>
                <w:rFonts w:cs="Arial"/>
                <w:b/>
              </w:rPr>
            </w:pPr>
            <w:r w:rsidRPr="00C56155">
              <w:rPr>
                <w:rFonts w:cs="Arial"/>
                <w:b/>
              </w:rPr>
              <w:t>IP1.4 Active Inclusion</w:t>
            </w:r>
            <w:r>
              <w:rPr>
                <w:rFonts w:cs="Arial"/>
                <w:b/>
              </w:rPr>
              <w:t xml:space="preserve"> (Lot 1 SSU Theme)</w:t>
            </w:r>
            <w:r w:rsidRPr="00C56155">
              <w:rPr>
                <w:rFonts w:cs="Arial"/>
                <w:b/>
              </w:rPr>
              <w:t>:</w:t>
            </w:r>
          </w:p>
          <w:tbl>
            <w:tblPr>
              <w:tblW w:w="6691" w:type="dxa"/>
              <w:tblLook w:val="04A0" w:firstRow="1" w:lastRow="0" w:firstColumn="1" w:lastColumn="0" w:noHBand="0" w:noVBand="1"/>
            </w:tblPr>
            <w:tblGrid>
              <w:gridCol w:w="4423"/>
              <w:gridCol w:w="2268"/>
            </w:tblGrid>
            <w:tr w:rsidR="009612E0" w:rsidRPr="00C56155" w14:paraId="09C41E25" w14:textId="77777777" w:rsidTr="00841156">
              <w:trPr>
                <w:trHeight w:val="648"/>
              </w:trPr>
              <w:tc>
                <w:tcPr>
                  <w:tcW w:w="4423" w:type="dxa"/>
                  <w:tcBorders>
                    <w:top w:val="nil"/>
                    <w:left w:val="nil"/>
                    <w:bottom w:val="nil"/>
                    <w:right w:val="nil"/>
                  </w:tcBorders>
                  <w:shd w:val="clear" w:color="auto" w:fill="auto"/>
                  <w:vAlign w:val="bottom"/>
                  <w:hideMark/>
                </w:tcPr>
                <w:p w14:paraId="431B68BA" w14:textId="77777777" w:rsidR="009612E0" w:rsidRPr="00C56155" w:rsidRDefault="009612E0" w:rsidP="009612E0">
                  <w:pPr>
                    <w:rPr>
                      <w:rFonts w:cs="Arial"/>
                      <w:lang w:eastAsia="en-GB"/>
                    </w:rPr>
                  </w:pPr>
                </w:p>
              </w:tc>
              <w:tc>
                <w:tcPr>
                  <w:tcW w:w="2268" w:type="dxa"/>
                  <w:tcBorders>
                    <w:top w:val="nil"/>
                    <w:left w:val="nil"/>
                    <w:bottom w:val="nil"/>
                    <w:right w:val="nil"/>
                  </w:tcBorders>
                  <w:shd w:val="clear" w:color="auto" w:fill="auto"/>
                  <w:vAlign w:val="bottom"/>
                  <w:hideMark/>
                </w:tcPr>
                <w:p w14:paraId="0D8D88C1" w14:textId="77777777" w:rsidR="009612E0" w:rsidRPr="00C56155" w:rsidRDefault="009612E0" w:rsidP="009612E0">
                  <w:pPr>
                    <w:jc w:val="center"/>
                    <w:rPr>
                      <w:rFonts w:cs="Arial"/>
                      <w:b/>
                      <w:bCs/>
                      <w:color w:val="000000"/>
                      <w:lang w:eastAsia="en-GB"/>
                    </w:rPr>
                  </w:pPr>
                  <w:r w:rsidRPr="00C56155">
                    <w:rPr>
                      <w:rFonts w:cs="Arial"/>
                      <w:b/>
                      <w:bCs/>
                      <w:color w:val="000000"/>
                      <w:lang w:eastAsia="en-GB"/>
                    </w:rPr>
                    <w:t>Transitional</w:t>
                  </w:r>
                </w:p>
              </w:tc>
            </w:tr>
            <w:tr w:rsidR="009612E0" w:rsidRPr="00C56155" w14:paraId="631EA695" w14:textId="77777777" w:rsidTr="00841156">
              <w:trPr>
                <w:trHeight w:val="288"/>
              </w:trPr>
              <w:tc>
                <w:tcPr>
                  <w:tcW w:w="4423" w:type="dxa"/>
                  <w:tcBorders>
                    <w:top w:val="nil"/>
                    <w:left w:val="nil"/>
                    <w:bottom w:val="nil"/>
                    <w:right w:val="nil"/>
                  </w:tcBorders>
                  <w:shd w:val="clear" w:color="auto" w:fill="auto"/>
                  <w:vAlign w:val="bottom"/>
                  <w:hideMark/>
                </w:tcPr>
                <w:p w14:paraId="43C5369A" w14:textId="77777777" w:rsidR="009612E0" w:rsidRPr="00C56155" w:rsidRDefault="009612E0" w:rsidP="009612E0">
                  <w:pPr>
                    <w:rPr>
                      <w:rFonts w:cs="Arial"/>
                      <w:color w:val="000000"/>
                      <w:lang w:eastAsia="en-GB"/>
                    </w:rPr>
                  </w:pPr>
                  <w:r w:rsidRPr="00C56155">
                    <w:rPr>
                      <w:rFonts w:cs="Arial"/>
                      <w:color w:val="000000"/>
                      <w:lang w:eastAsia="en-GB"/>
                    </w:rPr>
                    <w:t>Participants who are inactive</w:t>
                  </w:r>
                </w:p>
              </w:tc>
              <w:tc>
                <w:tcPr>
                  <w:tcW w:w="2268" w:type="dxa"/>
                  <w:tcBorders>
                    <w:top w:val="nil"/>
                    <w:left w:val="nil"/>
                    <w:bottom w:val="nil"/>
                    <w:right w:val="nil"/>
                  </w:tcBorders>
                  <w:shd w:val="clear" w:color="auto" w:fill="auto"/>
                  <w:noWrap/>
                  <w:vAlign w:val="bottom"/>
                  <w:hideMark/>
                </w:tcPr>
                <w:p w14:paraId="7FCC7E85" w14:textId="77777777" w:rsidR="009612E0" w:rsidRPr="00C56155" w:rsidRDefault="009612E0" w:rsidP="009612E0">
                  <w:pPr>
                    <w:jc w:val="center"/>
                    <w:rPr>
                      <w:rFonts w:cs="Arial"/>
                      <w:color w:val="000000"/>
                      <w:lang w:eastAsia="en-GB"/>
                    </w:rPr>
                  </w:pPr>
                  <w:r w:rsidRPr="00C56155">
                    <w:rPr>
                      <w:rFonts w:cs="Arial"/>
                      <w:color w:val="000000"/>
                      <w:lang w:eastAsia="en-GB"/>
                    </w:rPr>
                    <w:t>48%</w:t>
                  </w:r>
                </w:p>
              </w:tc>
            </w:tr>
            <w:tr w:rsidR="009612E0" w:rsidRPr="00C56155" w14:paraId="5141CE60" w14:textId="77777777" w:rsidTr="00841156">
              <w:trPr>
                <w:trHeight w:val="576"/>
              </w:trPr>
              <w:tc>
                <w:tcPr>
                  <w:tcW w:w="4423" w:type="dxa"/>
                  <w:tcBorders>
                    <w:top w:val="nil"/>
                    <w:left w:val="nil"/>
                    <w:bottom w:val="nil"/>
                    <w:right w:val="nil"/>
                  </w:tcBorders>
                  <w:shd w:val="clear" w:color="auto" w:fill="auto"/>
                  <w:vAlign w:val="bottom"/>
                  <w:hideMark/>
                </w:tcPr>
                <w:p w14:paraId="29E97C1F" w14:textId="77777777" w:rsidR="009612E0" w:rsidRPr="00C56155" w:rsidRDefault="009612E0" w:rsidP="009612E0">
                  <w:pPr>
                    <w:rPr>
                      <w:rFonts w:cs="Arial"/>
                      <w:color w:val="000000"/>
                      <w:lang w:eastAsia="en-GB"/>
                    </w:rPr>
                  </w:pPr>
                  <w:r w:rsidRPr="00C56155">
                    <w:rPr>
                      <w:rFonts w:cs="Arial"/>
                      <w:color w:val="000000"/>
                      <w:lang w:eastAsia="en-GB"/>
                    </w:rPr>
                    <w:t>Participants who are unemployed (including long term unemployed)</w:t>
                  </w:r>
                </w:p>
              </w:tc>
              <w:tc>
                <w:tcPr>
                  <w:tcW w:w="2268" w:type="dxa"/>
                  <w:tcBorders>
                    <w:top w:val="nil"/>
                    <w:left w:val="nil"/>
                    <w:bottom w:val="nil"/>
                    <w:right w:val="nil"/>
                  </w:tcBorders>
                  <w:shd w:val="clear" w:color="auto" w:fill="auto"/>
                  <w:noWrap/>
                  <w:vAlign w:val="bottom"/>
                  <w:hideMark/>
                </w:tcPr>
                <w:p w14:paraId="7D4B6A81" w14:textId="77777777" w:rsidR="009612E0" w:rsidRPr="00C56155" w:rsidRDefault="009612E0" w:rsidP="009612E0">
                  <w:pPr>
                    <w:jc w:val="center"/>
                    <w:rPr>
                      <w:rFonts w:cs="Arial"/>
                      <w:color w:val="000000"/>
                      <w:lang w:eastAsia="en-GB"/>
                    </w:rPr>
                  </w:pPr>
                  <w:r w:rsidRPr="00C56155">
                    <w:rPr>
                      <w:rFonts w:cs="Arial"/>
                      <w:color w:val="000000"/>
                      <w:lang w:eastAsia="en-GB"/>
                    </w:rPr>
                    <w:t>47%</w:t>
                  </w:r>
                </w:p>
              </w:tc>
            </w:tr>
            <w:tr w:rsidR="009612E0" w:rsidRPr="00C56155" w14:paraId="5B30C94D" w14:textId="77777777" w:rsidTr="00841156">
              <w:trPr>
                <w:trHeight w:val="288"/>
              </w:trPr>
              <w:tc>
                <w:tcPr>
                  <w:tcW w:w="4423" w:type="dxa"/>
                  <w:tcBorders>
                    <w:top w:val="nil"/>
                    <w:left w:val="nil"/>
                    <w:bottom w:val="nil"/>
                    <w:right w:val="nil"/>
                  </w:tcBorders>
                  <w:shd w:val="clear" w:color="auto" w:fill="auto"/>
                  <w:vAlign w:val="bottom"/>
                  <w:hideMark/>
                </w:tcPr>
                <w:p w14:paraId="649707EC" w14:textId="77777777" w:rsidR="009612E0" w:rsidRPr="00C56155" w:rsidRDefault="009612E0" w:rsidP="009612E0">
                  <w:pPr>
                    <w:rPr>
                      <w:rFonts w:cs="Arial"/>
                      <w:color w:val="000000"/>
                      <w:lang w:eastAsia="en-GB"/>
                    </w:rPr>
                  </w:pPr>
                  <w:r w:rsidRPr="00C56155">
                    <w:rPr>
                      <w:rFonts w:cs="Arial"/>
                      <w:color w:val="000000"/>
                      <w:lang w:eastAsia="en-GB"/>
                    </w:rPr>
                    <w:t>Participants who are over 50</w:t>
                  </w:r>
                </w:p>
              </w:tc>
              <w:tc>
                <w:tcPr>
                  <w:tcW w:w="2268" w:type="dxa"/>
                  <w:tcBorders>
                    <w:top w:val="nil"/>
                    <w:left w:val="nil"/>
                    <w:bottom w:val="nil"/>
                    <w:right w:val="nil"/>
                  </w:tcBorders>
                  <w:shd w:val="clear" w:color="auto" w:fill="auto"/>
                  <w:noWrap/>
                  <w:vAlign w:val="bottom"/>
                  <w:hideMark/>
                </w:tcPr>
                <w:p w14:paraId="1117DAC7" w14:textId="77777777" w:rsidR="009612E0" w:rsidRPr="00C56155" w:rsidRDefault="009612E0" w:rsidP="009612E0">
                  <w:pPr>
                    <w:jc w:val="center"/>
                    <w:rPr>
                      <w:rFonts w:cs="Arial"/>
                      <w:color w:val="000000"/>
                      <w:lang w:eastAsia="en-GB"/>
                    </w:rPr>
                  </w:pPr>
                  <w:r w:rsidRPr="00C56155">
                    <w:rPr>
                      <w:rFonts w:cs="Arial"/>
                      <w:color w:val="000000"/>
                      <w:lang w:eastAsia="en-GB"/>
                    </w:rPr>
                    <w:t>14%</w:t>
                  </w:r>
                </w:p>
              </w:tc>
            </w:tr>
            <w:tr w:rsidR="009612E0" w:rsidRPr="00C56155" w14:paraId="64D309F8" w14:textId="77777777" w:rsidTr="00841156">
              <w:trPr>
                <w:trHeight w:val="288"/>
              </w:trPr>
              <w:tc>
                <w:tcPr>
                  <w:tcW w:w="4423" w:type="dxa"/>
                  <w:tcBorders>
                    <w:top w:val="nil"/>
                    <w:left w:val="nil"/>
                    <w:bottom w:val="nil"/>
                    <w:right w:val="nil"/>
                  </w:tcBorders>
                  <w:shd w:val="clear" w:color="auto" w:fill="auto"/>
                  <w:vAlign w:val="bottom"/>
                  <w:hideMark/>
                </w:tcPr>
                <w:p w14:paraId="79A773F9" w14:textId="77777777" w:rsidR="009612E0" w:rsidRPr="00C56155" w:rsidRDefault="009612E0" w:rsidP="009612E0">
                  <w:pPr>
                    <w:rPr>
                      <w:rFonts w:cs="Arial"/>
                      <w:color w:val="000000"/>
                      <w:lang w:eastAsia="en-GB"/>
                    </w:rPr>
                  </w:pPr>
                  <w:r w:rsidRPr="00C56155">
                    <w:rPr>
                      <w:rFonts w:cs="Arial"/>
                      <w:color w:val="000000"/>
                      <w:lang w:eastAsia="en-GB"/>
                    </w:rPr>
                    <w:t>Participants from ethnic minorities</w:t>
                  </w:r>
                </w:p>
              </w:tc>
              <w:tc>
                <w:tcPr>
                  <w:tcW w:w="2268" w:type="dxa"/>
                  <w:tcBorders>
                    <w:top w:val="nil"/>
                    <w:left w:val="nil"/>
                    <w:bottom w:val="nil"/>
                    <w:right w:val="nil"/>
                  </w:tcBorders>
                  <w:shd w:val="clear" w:color="auto" w:fill="auto"/>
                  <w:noWrap/>
                  <w:vAlign w:val="bottom"/>
                  <w:hideMark/>
                </w:tcPr>
                <w:p w14:paraId="281911F7" w14:textId="77777777" w:rsidR="009612E0" w:rsidRPr="00C56155" w:rsidRDefault="009612E0" w:rsidP="009612E0">
                  <w:pPr>
                    <w:jc w:val="center"/>
                    <w:rPr>
                      <w:rFonts w:cs="Arial"/>
                      <w:color w:val="000000"/>
                      <w:lang w:eastAsia="en-GB"/>
                    </w:rPr>
                  </w:pPr>
                  <w:r w:rsidRPr="00C56155">
                    <w:rPr>
                      <w:rFonts w:cs="Arial"/>
                      <w:color w:val="000000"/>
                      <w:lang w:eastAsia="en-GB"/>
                    </w:rPr>
                    <w:t>12%</w:t>
                  </w:r>
                </w:p>
              </w:tc>
            </w:tr>
            <w:tr w:rsidR="009612E0" w:rsidRPr="00C56155" w14:paraId="2281FED5" w14:textId="77777777" w:rsidTr="00841156">
              <w:trPr>
                <w:trHeight w:val="288"/>
              </w:trPr>
              <w:tc>
                <w:tcPr>
                  <w:tcW w:w="4423" w:type="dxa"/>
                  <w:tcBorders>
                    <w:top w:val="nil"/>
                    <w:left w:val="nil"/>
                    <w:bottom w:val="nil"/>
                    <w:right w:val="nil"/>
                  </w:tcBorders>
                  <w:shd w:val="clear" w:color="auto" w:fill="auto"/>
                  <w:vAlign w:val="bottom"/>
                  <w:hideMark/>
                </w:tcPr>
                <w:p w14:paraId="0F3255C0" w14:textId="77777777" w:rsidR="009612E0" w:rsidRPr="00C56155" w:rsidRDefault="009612E0" w:rsidP="009612E0">
                  <w:pPr>
                    <w:rPr>
                      <w:rFonts w:cs="Arial"/>
                      <w:color w:val="000000"/>
                      <w:lang w:eastAsia="en-GB"/>
                    </w:rPr>
                  </w:pPr>
                  <w:r w:rsidRPr="00C56155">
                    <w:rPr>
                      <w:rFonts w:cs="Arial"/>
                      <w:color w:val="000000"/>
                      <w:lang w:eastAsia="en-GB"/>
                    </w:rPr>
                    <w:t>Participants with a disability or health problems</w:t>
                  </w:r>
                </w:p>
              </w:tc>
              <w:tc>
                <w:tcPr>
                  <w:tcW w:w="2268" w:type="dxa"/>
                  <w:tcBorders>
                    <w:top w:val="nil"/>
                    <w:left w:val="nil"/>
                    <w:bottom w:val="nil"/>
                    <w:right w:val="nil"/>
                  </w:tcBorders>
                  <w:shd w:val="clear" w:color="auto" w:fill="auto"/>
                  <w:noWrap/>
                  <w:vAlign w:val="bottom"/>
                  <w:hideMark/>
                </w:tcPr>
                <w:p w14:paraId="19105462" w14:textId="77777777" w:rsidR="009612E0" w:rsidRPr="00C56155" w:rsidRDefault="009612E0" w:rsidP="009612E0">
                  <w:pPr>
                    <w:jc w:val="center"/>
                    <w:rPr>
                      <w:rFonts w:cs="Arial"/>
                      <w:color w:val="000000"/>
                      <w:lang w:eastAsia="en-GB"/>
                    </w:rPr>
                  </w:pPr>
                  <w:r w:rsidRPr="00C56155">
                    <w:rPr>
                      <w:rFonts w:cs="Arial"/>
                      <w:color w:val="000000"/>
                      <w:lang w:eastAsia="en-GB"/>
                    </w:rPr>
                    <w:t>22%</w:t>
                  </w:r>
                </w:p>
              </w:tc>
            </w:tr>
            <w:tr w:rsidR="009612E0" w:rsidRPr="00C56155" w14:paraId="7A39AF6A" w14:textId="77777777" w:rsidTr="00841156">
              <w:trPr>
                <w:trHeight w:val="288"/>
              </w:trPr>
              <w:tc>
                <w:tcPr>
                  <w:tcW w:w="4423" w:type="dxa"/>
                  <w:tcBorders>
                    <w:top w:val="nil"/>
                    <w:left w:val="nil"/>
                    <w:bottom w:val="nil"/>
                    <w:right w:val="nil"/>
                  </w:tcBorders>
                  <w:shd w:val="clear" w:color="auto" w:fill="auto"/>
                  <w:vAlign w:val="bottom"/>
                  <w:hideMark/>
                </w:tcPr>
                <w:p w14:paraId="7019F2F0" w14:textId="77777777" w:rsidR="009612E0" w:rsidRPr="00C56155" w:rsidRDefault="009612E0" w:rsidP="009612E0">
                  <w:pPr>
                    <w:rPr>
                      <w:rFonts w:cs="Arial"/>
                      <w:color w:val="000000"/>
                      <w:lang w:eastAsia="en-GB"/>
                    </w:rPr>
                  </w:pPr>
                  <w:r w:rsidRPr="00C56155">
                    <w:rPr>
                      <w:rFonts w:cs="Arial"/>
                      <w:color w:val="000000"/>
                      <w:lang w:eastAsia="en-GB"/>
                    </w:rPr>
                    <w:t>Female participants</w:t>
                  </w:r>
                </w:p>
              </w:tc>
              <w:tc>
                <w:tcPr>
                  <w:tcW w:w="2268" w:type="dxa"/>
                  <w:tcBorders>
                    <w:top w:val="nil"/>
                    <w:left w:val="nil"/>
                    <w:bottom w:val="nil"/>
                    <w:right w:val="nil"/>
                  </w:tcBorders>
                  <w:shd w:val="clear" w:color="auto" w:fill="auto"/>
                  <w:noWrap/>
                  <w:vAlign w:val="bottom"/>
                  <w:hideMark/>
                </w:tcPr>
                <w:p w14:paraId="2E89DEEB" w14:textId="77777777" w:rsidR="009612E0" w:rsidRPr="00C56155" w:rsidRDefault="009612E0" w:rsidP="009612E0">
                  <w:pPr>
                    <w:jc w:val="center"/>
                    <w:rPr>
                      <w:rFonts w:cs="Arial"/>
                      <w:color w:val="000000"/>
                      <w:lang w:eastAsia="en-GB"/>
                    </w:rPr>
                  </w:pPr>
                  <w:r w:rsidRPr="00C56155">
                    <w:rPr>
                      <w:rFonts w:cs="Arial"/>
                      <w:color w:val="000000"/>
                      <w:lang w:eastAsia="en-GB"/>
                    </w:rPr>
                    <w:t>36%</w:t>
                  </w:r>
                </w:p>
              </w:tc>
            </w:tr>
          </w:tbl>
          <w:p w14:paraId="4B8835E1" w14:textId="77777777" w:rsidR="009612E0" w:rsidRPr="00C56155" w:rsidRDefault="009612E0" w:rsidP="00A005EF">
            <w:pPr>
              <w:rPr>
                <w:rFonts w:cs="Arial"/>
                <w:highlight w:val="green"/>
              </w:rPr>
            </w:pPr>
          </w:p>
          <w:p w14:paraId="3BD12775" w14:textId="2EEF2CFB" w:rsidR="00162B5B" w:rsidRPr="00C56155" w:rsidRDefault="00C336D2" w:rsidP="00162B5B">
            <w:pPr>
              <w:rPr>
                <w:rFonts w:cs="Arial"/>
                <w:b/>
              </w:rPr>
            </w:pPr>
            <w:r w:rsidRPr="00C56155">
              <w:rPr>
                <w:rFonts w:cs="Arial"/>
                <w:b/>
              </w:rPr>
              <w:t>I</w:t>
            </w:r>
            <w:r w:rsidR="00C56155">
              <w:rPr>
                <w:rFonts w:cs="Arial"/>
                <w:b/>
              </w:rPr>
              <w:t xml:space="preserve">nvestment Priority </w:t>
            </w:r>
            <w:r w:rsidRPr="00C56155">
              <w:rPr>
                <w:rFonts w:cs="Arial"/>
                <w:b/>
              </w:rPr>
              <w:t xml:space="preserve">1.1 </w:t>
            </w:r>
            <w:r w:rsidR="00162B5B" w:rsidRPr="00C56155">
              <w:rPr>
                <w:rFonts w:cs="Arial"/>
                <w:b/>
              </w:rPr>
              <w:t>Access to employment for jobseekers and inactive people:</w:t>
            </w:r>
            <w:r w:rsidR="00082629">
              <w:rPr>
                <w:rFonts w:cs="Arial"/>
                <w:b/>
              </w:rPr>
              <w:t xml:space="preserve"> (Lot 2</w:t>
            </w:r>
            <w:r w:rsidR="009612E0">
              <w:rPr>
                <w:rFonts w:cs="Arial"/>
                <w:b/>
              </w:rPr>
              <w:t xml:space="preserve"> IAG Theme</w:t>
            </w:r>
            <w:r w:rsidR="00082629">
              <w:rPr>
                <w:rFonts w:cs="Arial"/>
                <w:b/>
              </w:rPr>
              <w:t>)</w:t>
            </w:r>
          </w:p>
          <w:tbl>
            <w:tblPr>
              <w:tblW w:w="6691" w:type="dxa"/>
              <w:tblLook w:val="04A0" w:firstRow="1" w:lastRow="0" w:firstColumn="1" w:lastColumn="0" w:noHBand="0" w:noVBand="1"/>
            </w:tblPr>
            <w:tblGrid>
              <w:gridCol w:w="4423"/>
              <w:gridCol w:w="2127"/>
              <w:gridCol w:w="141"/>
            </w:tblGrid>
            <w:tr w:rsidR="004F671A" w:rsidRPr="00C56155" w14:paraId="3BD12778" w14:textId="77777777" w:rsidTr="009612E0">
              <w:trPr>
                <w:gridAfter w:val="1"/>
                <w:wAfter w:w="141" w:type="dxa"/>
                <w:trHeight w:val="504"/>
              </w:trPr>
              <w:tc>
                <w:tcPr>
                  <w:tcW w:w="4423" w:type="dxa"/>
                  <w:tcBorders>
                    <w:top w:val="nil"/>
                    <w:left w:val="nil"/>
                    <w:bottom w:val="nil"/>
                    <w:right w:val="nil"/>
                  </w:tcBorders>
                  <w:shd w:val="clear" w:color="auto" w:fill="auto"/>
                  <w:noWrap/>
                  <w:vAlign w:val="bottom"/>
                  <w:hideMark/>
                </w:tcPr>
                <w:p w14:paraId="3BD12776" w14:textId="77777777" w:rsidR="004F671A" w:rsidRPr="00C56155" w:rsidRDefault="004F671A" w:rsidP="00162B5B">
                  <w:pPr>
                    <w:rPr>
                      <w:rFonts w:cs="Arial"/>
                      <w:lang w:eastAsia="en-GB"/>
                    </w:rPr>
                  </w:pPr>
                </w:p>
              </w:tc>
              <w:tc>
                <w:tcPr>
                  <w:tcW w:w="2127" w:type="dxa"/>
                  <w:tcBorders>
                    <w:top w:val="nil"/>
                    <w:left w:val="nil"/>
                    <w:bottom w:val="nil"/>
                    <w:right w:val="nil"/>
                  </w:tcBorders>
                  <w:shd w:val="clear" w:color="auto" w:fill="auto"/>
                  <w:vAlign w:val="bottom"/>
                  <w:hideMark/>
                </w:tcPr>
                <w:p w14:paraId="3BD12777" w14:textId="77777777" w:rsidR="004F671A" w:rsidRPr="00C56155" w:rsidRDefault="004F671A" w:rsidP="00162B5B">
                  <w:pPr>
                    <w:jc w:val="center"/>
                    <w:rPr>
                      <w:rFonts w:cs="Arial"/>
                      <w:b/>
                      <w:bCs/>
                      <w:color w:val="000000"/>
                      <w:lang w:eastAsia="en-GB"/>
                    </w:rPr>
                  </w:pPr>
                  <w:r w:rsidRPr="00C56155">
                    <w:rPr>
                      <w:rFonts w:cs="Arial"/>
                      <w:b/>
                      <w:bCs/>
                      <w:color w:val="000000"/>
                      <w:lang w:eastAsia="en-GB"/>
                    </w:rPr>
                    <w:t>Transitional</w:t>
                  </w:r>
                </w:p>
              </w:tc>
            </w:tr>
            <w:tr w:rsidR="004F671A" w:rsidRPr="00C56155" w14:paraId="3BD1277B" w14:textId="77777777" w:rsidTr="009612E0">
              <w:trPr>
                <w:gridAfter w:val="1"/>
                <w:wAfter w:w="141" w:type="dxa"/>
                <w:trHeight w:val="576"/>
              </w:trPr>
              <w:tc>
                <w:tcPr>
                  <w:tcW w:w="4423" w:type="dxa"/>
                  <w:tcBorders>
                    <w:top w:val="nil"/>
                    <w:left w:val="nil"/>
                    <w:bottom w:val="nil"/>
                    <w:right w:val="nil"/>
                  </w:tcBorders>
                  <w:shd w:val="clear" w:color="auto" w:fill="auto"/>
                  <w:vAlign w:val="bottom"/>
                  <w:hideMark/>
                </w:tcPr>
                <w:p w14:paraId="3BD12779" w14:textId="77777777" w:rsidR="004F671A" w:rsidRPr="00C56155" w:rsidRDefault="004F671A" w:rsidP="00162B5B">
                  <w:pPr>
                    <w:rPr>
                      <w:rFonts w:cs="Arial"/>
                      <w:color w:val="000000"/>
                      <w:lang w:eastAsia="en-GB"/>
                    </w:rPr>
                  </w:pPr>
                  <w:r w:rsidRPr="00C56155">
                    <w:rPr>
                      <w:rFonts w:cs="Arial"/>
                      <w:color w:val="000000"/>
                      <w:lang w:eastAsia="en-GB"/>
                    </w:rPr>
                    <w:t>Total participants who are unemployed (including long term unemployed)</w:t>
                  </w:r>
                </w:p>
              </w:tc>
              <w:tc>
                <w:tcPr>
                  <w:tcW w:w="2127" w:type="dxa"/>
                  <w:tcBorders>
                    <w:top w:val="nil"/>
                    <w:left w:val="nil"/>
                    <w:bottom w:val="nil"/>
                    <w:right w:val="nil"/>
                  </w:tcBorders>
                  <w:shd w:val="clear" w:color="auto" w:fill="auto"/>
                  <w:noWrap/>
                  <w:vAlign w:val="bottom"/>
                  <w:hideMark/>
                </w:tcPr>
                <w:p w14:paraId="3BD1277A" w14:textId="77777777" w:rsidR="004F671A" w:rsidRPr="00C56155" w:rsidRDefault="004F671A" w:rsidP="00162B5B">
                  <w:pPr>
                    <w:jc w:val="center"/>
                    <w:rPr>
                      <w:rFonts w:cs="Arial"/>
                      <w:color w:val="000000"/>
                      <w:lang w:eastAsia="en-GB"/>
                    </w:rPr>
                  </w:pPr>
                  <w:r w:rsidRPr="00C56155">
                    <w:rPr>
                      <w:rFonts w:cs="Arial"/>
                      <w:color w:val="000000"/>
                      <w:lang w:eastAsia="en-GB"/>
                    </w:rPr>
                    <w:t>70%</w:t>
                  </w:r>
                </w:p>
              </w:tc>
            </w:tr>
            <w:tr w:rsidR="004F671A" w:rsidRPr="00C56155" w14:paraId="3BD1277E"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7C" w14:textId="77777777" w:rsidR="004F671A" w:rsidRPr="00C56155" w:rsidRDefault="004F671A" w:rsidP="00162B5B">
                  <w:pPr>
                    <w:rPr>
                      <w:rFonts w:cs="Arial"/>
                      <w:color w:val="000000"/>
                      <w:lang w:eastAsia="en-GB"/>
                    </w:rPr>
                  </w:pPr>
                  <w:r w:rsidRPr="00C56155">
                    <w:rPr>
                      <w:rFonts w:cs="Arial"/>
                      <w:color w:val="000000"/>
                      <w:lang w:eastAsia="en-GB"/>
                    </w:rPr>
                    <w:t>Total participants who are inactive</w:t>
                  </w:r>
                </w:p>
              </w:tc>
              <w:tc>
                <w:tcPr>
                  <w:tcW w:w="2127" w:type="dxa"/>
                  <w:tcBorders>
                    <w:top w:val="nil"/>
                    <w:left w:val="nil"/>
                    <w:bottom w:val="nil"/>
                    <w:right w:val="nil"/>
                  </w:tcBorders>
                  <w:shd w:val="clear" w:color="auto" w:fill="auto"/>
                  <w:noWrap/>
                  <w:vAlign w:val="bottom"/>
                  <w:hideMark/>
                </w:tcPr>
                <w:p w14:paraId="3BD1277D" w14:textId="77777777" w:rsidR="004F671A" w:rsidRPr="00C56155" w:rsidRDefault="004F671A" w:rsidP="00162B5B">
                  <w:pPr>
                    <w:jc w:val="center"/>
                    <w:rPr>
                      <w:rFonts w:cs="Arial"/>
                      <w:color w:val="000000"/>
                      <w:lang w:eastAsia="en-GB"/>
                    </w:rPr>
                  </w:pPr>
                  <w:r w:rsidRPr="00C56155">
                    <w:rPr>
                      <w:rFonts w:cs="Arial"/>
                      <w:color w:val="000000"/>
                      <w:lang w:eastAsia="en-GB"/>
                    </w:rPr>
                    <w:t>25%</w:t>
                  </w:r>
                </w:p>
              </w:tc>
            </w:tr>
            <w:tr w:rsidR="004F671A" w:rsidRPr="00C56155" w14:paraId="3BD12781"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7F" w14:textId="77777777" w:rsidR="004F671A" w:rsidRPr="00C56155" w:rsidRDefault="004F671A" w:rsidP="00162B5B">
                  <w:pPr>
                    <w:rPr>
                      <w:rFonts w:cs="Arial"/>
                      <w:color w:val="000000"/>
                      <w:lang w:eastAsia="en-GB"/>
                    </w:rPr>
                  </w:pPr>
                  <w:r w:rsidRPr="00C56155">
                    <w:rPr>
                      <w:rFonts w:cs="Arial"/>
                      <w:color w:val="000000"/>
                      <w:lang w:eastAsia="en-GB"/>
                    </w:rPr>
                    <w:t>Participants who are over 50</w:t>
                  </w:r>
                </w:p>
              </w:tc>
              <w:tc>
                <w:tcPr>
                  <w:tcW w:w="2127" w:type="dxa"/>
                  <w:tcBorders>
                    <w:top w:val="nil"/>
                    <w:left w:val="nil"/>
                    <w:bottom w:val="nil"/>
                    <w:right w:val="nil"/>
                  </w:tcBorders>
                  <w:shd w:val="clear" w:color="auto" w:fill="auto"/>
                  <w:noWrap/>
                  <w:vAlign w:val="bottom"/>
                  <w:hideMark/>
                </w:tcPr>
                <w:p w14:paraId="3BD12780" w14:textId="77777777" w:rsidR="004F671A" w:rsidRPr="00C56155" w:rsidRDefault="004F671A" w:rsidP="00162B5B">
                  <w:pPr>
                    <w:jc w:val="center"/>
                    <w:rPr>
                      <w:rFonts w:cs="Arial"/>
                      <w:color w:val="000000"/>
                      <w:lang w:eastAsia="en-GB"/>
                    </w:rPr>
                  </w:pPr>
                  <w:r w:rsidRPr="00C56155">
                    <w:rPr>
                      <w:rFonts w:cs="Arial"/>
                      <w:color w:val="000000"/>
                      <w:lang w:eastAsia="en-GB"/>
                    </w:rPr>
                    <w:t>20%</w:t>
                  </w:r>
                </w:p>
              </w:tc>
            </w:tr>
            <w:tr w:rsidR="004F671A" w:rsidRPr="00C56155" w14:paraId="3BD12784"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82" w14:textId="77777777" w:rsidR="004F671A" w:rsidRPr="00C56155" w:rsidRDefault="004F671A" w:rsidP="00162B5B">
                  <w:pPr>
                    <w:rPr>
                      <w:rFonts w:cs="Arial"/>
                      <w:color w:val="000000"/>
                      <w:lang w:eastAsia="en-GB"/>
                    </w:rPr>
                  </w:pPr>
                  <w:r w:rsidRPr="00C56155">
                    <w:rPr>
                      <w:rFonts w:cs="Arial"/>
                      <w:color w:val="000000"/>
                      <w:lang w:eastAsia="en-GB"/>
                    </w:rPr>
                    <w:t>Participants from ethnic minorities</w:t>
                  </w:r>
                </w:p>
              </w:tc>
              <w:tc>
                <w:tcPr>
                  <w:tcW w:w="2127" w:type="dxa"/>
                  <w:tcBorders>
                    <w:top w:val="nil"/>
                    <w:left w:val="nil"/>
                    <w:bottom w:val="nil"/>
                    <w:right w:val="nil"/>
                  </w:tcBorders>
                  <w:shd w:val="clear" w:color="auto" w:fill="auto"/>
                  <w:noWrap/>
                  <w:vAlign w:val="bottom"/>
                  <w:hideMark/>
                </w:tcPr>
                <w:p w14:paraId="3BD12783" w14:textId="77777777" w:rsidR="004F671A" w:rsidRPr="00C56155" w:rsidRDefault="004F671A" w:rsidP="00162B5B">
                  <w:pPr>
                    <w:jc w:val="center"/>
                    <w:rPr>
                      <w:rFonts w:cs="Arial"/>
                      <w:color w:val="000000"/>
                      <w:lang w:eastAsia="en-GB"/>
                    </w:rPr>
                  </w:pPr>
                  <w:r w:rsidRPr="00C56155">
                    <w:rPr>
                      <w:rFonts w:cs="Arial"/>
                      <w:color w:val="000000"/>
                      <w:lang w:eastAsia="en-GB"/>
                    </w:rPr>
                    <w:t>9%</w:t>
                  </w:r>
                </w:p>
              </w:tc>
            </w:tr>
            <w:tr w:rsidR="004F671A" w:rsidRPr="00C56155" w14:paraId="3BD12787"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85" w14:textId="77777777" w:rsidR="004F671A" w:rsidRPr="00C56155" w:rsidRDefault="004F671A" w:rsidP="00162B5B">
                  <w:pPr>
                    <w:rPr>
                      <w:rFonts w:cs="Arial"/>
                      <w:color w:val="000000"/>
                      <w:lang w:eastAsia="en-GB"/>
                    </w:rPr>
                  </w:pPr>
                  <w:r w:rsidRPr="00C56155">
                    <w:rPr>
                      <w:rFonts w:cs="Arial"/>
                      <w:color w:val="000000"/>
                      <w:lang w:eastAsia="en-GB"/>
                    </w:rPr>
                    <w:t>Female participants</w:t>
                  </w:r>
                </w:p>
              </w:tc>
              <w:tc>
                <w:tcPr>
                  <w:tcW w:w="2127" w:type="dxa"/>
                  <w:tcBorders>
                    <w:top w:val="nil"/>
                    <w:left w:val="nil"/>
                    <w:bottom w:val="nil"/>
                    <w:right w:val="nil"/>
                  </w:tcBorders>
                  <w:shd w:val="clear" w:color="auto" w:fill="auto"/>
                  <w:noWrap/>
                  <w:vAlign w:val="bottom"/>
                  <w:hideMark/>
                </w:tcPr>
                <w:p w14:paraId="3BD12786" w14:textId="77777777" w:rsidR="004F671A" w:rsidRPr="00C56155" w:rsidRDefault="004F671A" w:rsidP="00162B5B">
                  <w:pPr>
                    <w:jc w:val="center"/>
                    <w:rPr>
                      <w:rFonts w:cs="Arial"/>
                      <w:color w:val="000000"/>
                      <w:lang w:eastAsia="en-GB"/>
                    </w:rPr>
                  </w:pPr>
                  <w:r w:rsidRPr="00C56155">
                    <w:rPr>
                      <w:rFonts w:cs="Arial"/>
                      <w:color w:val="000000"/>
                      <w:lang w:eastAsia="en-GB"/>
                    </w:rPr>
                    <w:t>46%</w:t>
                  </w:r>
                </w:p>
              </w:tc>
            </w:tr>
            <w:tr w:rsidR="004F671A" w:rsidRPr="00C56155" w14:paraId="3BD1278A"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88" w14:textId="77777777" w:rsidR="004F671A" w:rsidRPr="00C56155" w:rsidRDefault="004F671A" w:rsidP="00162B5B">
                  <w:pPr>
                    <w:rPr>
                      <w:rFonts w:cs="Arial"/>
                      <w:color w:val="000000"/>
                      <w:lang w:eastAsia="en-GB"/>
                    </w:rPr>
                  </w:pPr>
                  <w:r w:rsidRPr="00C56155">
                    <w:rPr>
                      <w:rFonts w:cs="Arial"/>
                      <w:color w:val="000000"/>
                      <w:lang w:eastAsia="en-GB"/>
                    </w:rPr>
                    <w:t>Participants without basic skills</w:t>
                  </w:r>
                </w:p>
              </w:tc>
              <w:tc>
                <w:tcPr>
                  <w:tcW w:w="2127" w:type="dxa"/>
                  <w:tcBorders>
                    <w:top w:val="nil"/>
                    <w:left w:val="nil"/>
                    <w:bottom w:val="nil"/>
                    <w:right w:val="nil"/>
                  </w:tcBorders>
                  <w:shd w:val="clear" w:color="auto" w:fill="auto"/>
                  <w:noWrap/>
                  <w:vAlign w:val="bottom"/>
                  <w:hideMark/>
                </w:tcPr>
                <w:p w14:paraId="3BD12789" w14:textId="77777777" w:rsidR="004F671A" w:rsidRPr="00C56155" w:rsidRDefault="004F671A" w:rsidP="00162B5B">
                  <w:pPr>
                    <w:jc w:val="center"/>
                    <w:rPr>
                      <w:rFonts w:cs="Arial"/>
                      <w:color w:val="000000"/>
                      <w:lang w:eastAsia="en-GB"/>
                    </w:rPr>
                  </w:pPr>
                  <w:r w:rsidRPr="00C56155">
                    <w:rPr>
                      <w:rFonts w:cs="Arial"/>
                      <w:color w:val="000000"/>
                      <w:lang w:eastAsia="en-GB"/>
                    </w:rPr>
                    <w:t>21%</w:t>
                  </w:r>
                </w:p>
              </w:tc>
            </w:tr>
            <w:tr w:rsidR="004F671A" w:rsidRPr="00C56155" w14:paraId="3BD1278D"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8B" w14:textId="77777777" w:rsidR="004F671A" w:rsidRPr="00C56155" w:rsidRDefault="004F671A" w:rsidP="00162B5B">
                  <w:pPr>
                    <w:rPr>
                      <w:rFonts w:cs="Arial"/>
                      <w:color w:val="000000"/>
                      <w:lang w:eastAsia="en-GB"/>
                    </w:rPr>
                  </w:pPr>
                  <w:r w:rsidRPr="00C56155">
                    <w:rPr>
                      <w:rFonts w:cs="Arial"/>
                      <w:color w:val="000000"/>
                      <w:lang w:eastAsia="en-GB"/>
                    </w:rPr>
                    <w:t>Participants with a disability or health problems</w:t>
                  </w:r>
                </w:p>
              </w:tc>
              <w:tc>
                <w:tcPr>
                  <w:tcW w:w="2127" w:type="dxa"/>
                  <w:tcBorders>
                    <w:top w:val="nil"/>
                    <w:left w:val="nil"/>
                    <w:bottom w:val="nil"/>
                    <w:right w:val="nil"/>
                  </w:tcBorders>
                  <w:shd w:val="clear" w:color="auto" w:fill="auto"/>
                  <w:noWrap/>
                  <w:vAlign w:val="bottom"/>
                  <w:hideMark/>
                </w:tcPr>
                <w:p w14:paraId="3BD1278C" w14:textId="77777777" w:rsidR="004F671A" w:rsidRPr="00C56155" w:rsidRDefault="004F671A" w:rsidP="00162B5B">
                  <w:pPr>
                    <w:jc w:val="center"/>
                    <w:rPr>
                      <w:rFonts w:cs="Arial"/>
                      <w:color w:val="000000"/>
                      <w:lang w:eastAsia="en-GB"/>
                    </w:rPr>
                  </w:pPr>
                  <w:r w:rsidRPr="00C56155">
                    <w:rPr>
                      <w:rFonts w:cs="Arial"/>
                      <w:color w:val="000000"/>
                      <w:lang w:eastAsia="en-GB"/>
                    </w:rPr>
                    <w:t>25%</w:t>
                  </w:r>
                </w:p>
              </w:tc>
            </w:tr>
            <w:tr w:rsidR="004F671A" w:rsidRPr="00C56155" w14:paraId="3BD12790" w14:textId="77777777" w:rsidTr="009612E0">
              <w:trPr>
                <w:gridAfter w:val="1"/>
                <w:wAfter w:w="141" w:type="dxa"/>
                <w:trHeight w:val="288"/>
              </w:trPr>
              <w:tc>
                <w:tcPr>
                  <w:tcW w:w="4423" w:type="dxa"/>
                  <w:tcBorders>
                    <w:top w:val="nil"/>
                    <w:left w:val="nil"/>
                    <w:bottom w:val="nil"/>
                    <w:right w:val="nil"/>
                  </w:tcBorders>
                  <w:shd w:val="clear" w:color="auto" w:fill="auto"/>
                  <w:vAlign w:val="bottom"/>
                  <w:hideMark/>
                </w:tcPr>
                <w:p w14:paraId="3BD1278E" w14:textId="77777777" w:rsidR="004F671A" w:rsidRPr="00C56155" w:rsidRDefault="004F671A" w:rsidP="00162B5B">
                  <w:pPr>
                    <w:rPr>
                      <w:rFonts w:cs="Arial"/>
                      <w:color w:val="000000"/>
                      <w:lang w:eastAsia="en-GB"/>
                    </w:rPr>
                  </w:pPr>
                  <w:r w:rsidRPr="00C56155">
                    <w:rPr>
                      <w:rFonts w:cs="Arial"/>
                      <w:color w:val="000000"/>
                      <w:lang w:eastAsia="en-GB"/>
                    </w:rPr>
                    <w:t>Participants who are lone parents</w:t>
                  </w:r>
                </w:p>
              </w:tc>
              <w:tc>
                <w:tcPr>
                  <w:tcW w:w="2127" w:type="dxa"/>
                  <w:tcBorders>
                    <w:top w:val="nil"/>
                    <w:left w:val="nil"/>
                    <w:bottom w:val="nil"/>
                    <w:right w:val="nil"/>
                  </w:tcBorders>
                  <w:shd w:val="clear" w:color="auto" w:fill="auto"/>
                  <w:noWrap/>
                  <w:vAlign w:val="bottom"/>
                  <w:hideMark/>
                </w:tcPr>
                <w:p w14:paraId="3BD1278F" w14:textId="77777777" w:rsidR="004F671A" w:rsidRPr="00C56155" w:rsidRDefault="004F671A" w:rsidP="00162B5B">
                  <w:pPr>
                    <w:jc w:val="center"/>
                    <w:rPr>
                      <w:rFonts w:cs="Arial"/>
                      <w:color w:val="000000"/>
                      <w:lang w:eastAsia="en-GB"/>
                    </w:rPr>
                  </w:pPr>
                  <w:r w:rsidRPr="00C56155">
                    <w:rPr>
                      <w:rFonts w:cs="Arial"/>
                      <w:color w:val="000000"/>
                      <w:lang w:eastAsia="en-GB"/>
                    </w:rPr>
                    <w:t>14%</w:t>
                  </w:r>
                </w:p>
              </w:tc>
            </w:tr>
            <w:tr w:rsidR="009612E0" w:rsidRPr="00C56155" w14:paraId="3707CCE3" w14:textId="77777777" w:rsidTr="009612E0">
              <w:trPr>
                <w:trHeight w:val="288"/>
              </w:trPr>
              <w:tc>
                <w:tcPr>
                  <w:tcW w:w="4423" w:type="dxa"/>
                  <w:tcBorders>
                    <w:top w:val="nil"/>
                    <w:left w:val="nil"/>
                    <w:bottom w:val="nil"/>
                    <w:right w:val="nil"/>
                  </w:tcBorders>
                  <w:shd w:val="clear" w:color="auto" w:fill="auto"/>
                  <w:vAlign w:val="bottom"/>
                </w:tcPr>
                <w:p w14:paraId="1C6E2297" w14:textId="77777777" w:rsidR="009612E0" w:rsidRPr="00C56155" w:rsidRDefault="009612E0" w:rsidP="00A85312">
                  <w:pPr>
                    <w:rPr>
                      <w:rFonts w:cs="Arial"/>
                      <w:color w:val="000000"/>
                      <w:lang w:eastAsia="en-GB"/>
                    </w:rPr>
                  </w:pPr>
                </w:p>
              </w:tc>
              <w:tc>
                <w:tcPr>
                  <w:tcW w:w="2268" w:type="dxa"/>
                  <w:gridSpan w:val="2"/>
                  <w:tcBorders>
                    <w:top w:val="nil"/>
                    <w:left w:val="nil"/>
                    <w:bottom w:val="nil"/>
                    <w:right w:val="nil"/>
                  </w:tcBorders>
                  <w:shd w:val="clear" w:color="auto" w:fill="auto"/>
                  <w:noWrap/>
                  <w:vAlign w:val="bottom"/>
                </w:tcPr>
                <w:p w14:paraId="4831BC0B" w14:textId="77777777" w:rsidR="009612E0" w:rsidRPr="00C56155" w:rsidRDefault="009612E0" w:rsidP="00A85312">
                  <w:pPr>
                    <w:jc w:val="center"/>
                    <w:rPr>
                      <w:rFonts w:cs="Arial"/>
                      <w:color w:val="000000"/>
                      <w:lang w:eastAsia="en-GB"/>
                    </w:rPr>
                  </w:pPr>
                </w:p>
              </w:tc>
            </w:tr>
          </w:tbl>
          <w:p w14:paraId="3BD127AC" w14:textId="77777777" w:rsidR="00FD3B0A" w:rsidRPr="00162B5B" w:rsidRDefault="00FD3B0A" w:rsidP="00162B5B">
            <w:pPr>
              <w:rPr>
                <w:rFonts w:cs="Arial"/>
                <w:color w:val="000000"/>
              </w:rPr>
            </w:pPr>
          </w:p>
        </w:tc>
      </w:tr>
      <w:tr w:rsidR="00967429" w:rsidRPr="00EF4406" w14:paraId="3BD127AF" w14:textId="77777777" w:rsidTr="00555175">
        <w:trPr>
          <w:trHeight w:val="567"/>
        </w:trPr>
        <w:tc>
          <w:tcPr>
            <w:tcW w:w="9088" w:type="dxa"/>
            <w:shd w:val="clear" w:color="auto" w:fill="D9D9D9" w:themeFill="background1" w:themeFillShade="D9"/>
            <w:vAlign w:val="center"/>
          </w:tcPr>
          <w:p w14:paraId="3BD127AE"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3BD127BA" w14:textId="77777777" w:rsidTr="00CA57AC">
        <w:trPr>
          <w:trHeight w:val="983"/>
        </w:trPr>
        <w:tc>
          <w:tcPr>
            <w:tcW w:w="9088" w:type="dxa"/>
          </w:tcPr>
          <w:p w14:paraId="3BD127B0" w14:textId="77777777" w:rsidR="00A005EF" w:rsidRDefault="00A005EF" w:rsidP="00A005EF"/>
          <w:p w14:paraId="3BD127B1" w14:textId="77777777" w:rsidR="007E7731" w:rsidRDefault="007E7731" w:rsidP="00A005EF">
            <w:pPr>
              <w:rPr>
                <w:b/>
              </w:rPr>
            </w:pPr>
            <w:r>
              <w:rPr>
                <w:b/>
              </w:rPr>
              <w:t>LEP Specific</w:t>
            </w:r>
          </w:p>
          <w:p w14:paraId="3BD127B2" w14:textId="77777777" w:rsidR="007E7731" w:rsidRPr="00C107CE" w:rsidRDefault="007E7731" w:rsidP="00A005EF">
            <w:pPr>
              <w:rPr>
                <w:b/>
              </w:rPr>
            </w:pPr>
          </w:p>
          <w:p w14:paraId="3BD127B3"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4F671A" w:rsidRPr="004F671A">
              <w:rPr>
                <w:rFonts w:cs="Arial"/>
              </w:rPr>
              <w:t>Stoke-on-Trent and Staffordshire</w:t>
            </w:r>
            <w:r w:rsidR="000304B2">
              <w:rPr>
                <w:rFonts w:cs="Arial"/>
              </w:rPr>
              <w:t xml:space="preserve"> </w:t>
            </w:r>
            <w:r w:rsidR="00105A7C">
              <w:rPr>
                <w:rFonts w:cs="Arial"/>
              </w:rPr>
              <w:t>Local Enterprise Partnership area</w:t>
            </w:r>
            <w:r w:rsidR="007C2B80">
              <w:rPr>
                <w:rFonts w:cs="Arial"/>
              </w:rPr>
              <w:t>.</w:t>
            </w:r>
            <w:r w:rsidR="00774B40">
              <w:rPr>
                <w:rFonts w:cs="Arial"/>
              </w:rPr>
              <w:t xml:space="preserve"> See the lots below.</w:t>
            </w:r>
          </w:p>
          <w:p w14:paraId="1F91B3BD" w14:textId="77777777" w:rsidR="00555175" w:rsidRDefault="00555175" w:rsidP="00A005EF">
            <w:pPr>
              <w:autoSpaceDE w:val="0"/>
              <w:autoSpaceDN w:val="0"/>
              <w:adjustRightInd w:val="0"/>
              <w:rPr>
                <w:rFonts w:cs="Arial"/>
              </w:rPr>
            </w:pPr>
          </w:p>
          <w:p w14:paraId="3BD127B4" w14:textId="77777777" w:rsidR="004825CA" w:rsidRDefault="004825CA" w:rsidP="00A005EF">
            <w:pPr>
              <w:autoSpaceDE w:val="0"/>
              <w:autoSpaceDN w:val="0"/>
              <w:adjustRightInd w:val="0"/>
              <w:rPr>
                <w:rFonts w:cs="Arial"/>
              </w:rPr>
            </w:pPr>
            <w:r>
              <w:rPr>
                <w:rFonts w:cs="Arial"/>
              </w:rPr>
              <w:t xml:space="preserve">This area </w:t>
            </w:r>
            <w:r w:rsidR="00774B40" w:rsidRPr="00774B40">
              <w:rPr>
                <w:rFonts w:cs="Arial"/>
              </w:rPr>
              <w:t>i</w:t>
            </w:r>
            <w:r w:rsidR="00774B40">
              <w:rPr>
                <w:rFonts w:cs="Arial"/>
              </w:rPr>
              <w:t>s</w:t>
            </w:r>
            <w:r w:rsidRPr="00774B40">
              <w:rPr>
                <w:rFonts w:cs="Arial"/>
              </w:rPr>
              <w:t xml:space="preserve"> a</w:t>
            </w:r>
            <w:r w:rsidR="00774B40">
              <w:rPr>
                <w:rFonts w:cs="Arial"/>
              </w:rPr>
              <w:t xml:space="preserve"> transitional area.  </w:t>
            </w:r>
          </w:p>
          <w:p w14:paraId="3BD127B5" w14:textId="77777777" w:rsidR="00C56155" w:rsidRDefault="00C56155" w:rsidP="00A005EF">
            <w:pPr>
              <w:autoSpaceDE w:val="0"/>
              <w:autoSpaceDN w:val="0"/>
              <w:adjustRightInd w:val="0"/>
              <w:rPr>
                <w:rFonts w:cs="Arial"/>
              </w:rPr>
            </w:pPr>
          </w:p>
          <w:p w14:paraId="3BD127B6" w14:textId="7E2EF9F3" w:rsidR="00C56155" w:rsidRDefault="00C56155" w:rsidP="00C56155">
            <w:pPr>
              <w:autoSpaceDE w:val="0"/>
              <w:autoSpaceDN w:val="0"/>
              <w:adjustRightInd w:val="0"/>
              <w:rPr>
                <w:rFonts w:cs="Arial"/>
              </w:rPr>
            </w:pPr>
            <w:r>
              <w:rPr>
                <w:rFonts w:cs="Arial"/>
              </w:rPr>
              <w:t xml:space="preserve">Lot </w:t>
            </w:r>
            <w:r w:rsidR="00CA57AC">
              <w:rPr>
                <w:rFonts w:cs="Arial"/>
              </w:rPr>
              <w:t>1:  SUPPORT FOR THE UNEMPLOYED</w:t>
            </w:r>
            <w:r>
              <w:rPr>
                <w:rFonts w:cs="Arial"/>
              </w:rPr>
              <w:t xml:space="preserve"> </w:t>
            </w:r>
            <w:r w:rsidR="009612E0">
              <w:rPr>
                <w:rFonts w:cs="Arial"/>
              </w:rPr>
              <w:t xml:space="preserve">THEME </w:t>
            </w:r>
            <w:r>
              <w:rPr>
                <w:rFonts w:cs="Arial"/>
              </w:rPr>
              <w:t>- £1,</w:t>
            </w:r>
            <w:r w:rsidR="00DC0E01">
              <w:rPr>
                <w:rFonts w:cs="Arial"/>
              </w:rPr>
              <w:t>499,800</w:t>
            </w:r>
          </w:p>
          <w:p w14:paraId="3BD127B7" w14:textId="538DD201" w:rsidR="00431500" w:rsidRDefault="00C56155" w:rsidP="00A005EF">
            <w:pPr>
              <w:autoSpaceDE w:val="0"/>
              <w:autoSpaceDN w:val="0"/>
              <w:adjustRightInd w:val="0"/>
              <w:rPr>
                <w:rFonts w:cs="Arial"/>
              </w:rPr>
            </w:pPr>
            <w:r>
              <w:rPr>
                <w:rFonts w:cs="Arial"/>
              </w:rPr>
              <w:t xml:space="preserve">Lot 2:  </w:t>
            </w:r>
            <w:r w:rsidR="00257346">
              <w:rPr>
                <w:rFonts w:cs="Arial"/>
              </w:rPr>
              <w:t xml:space="preserve">CEIAG </w:t>
            </w:r>
            <w:r w:rsidR="009612E0">
              <w:rPr>
                <w:rFonts w:cs="Arial"/>
              </w:rPr>
              <w:t>THEME</w:t>
            </w:r>
            <w:r w:rsidR="00257346">
              <w:rPr>
                <w:rFonts w:cs="Arial"/>
              </w:rPr>
              <w:t>- £</w:t>
            </w:r>
            <w:r w:rsidR="00DC0E01">
              <w:rPr>
                <w:rFonts w:cs="Arial"/>
              </w:rPr>
              <w:t>1,999,900</w:t>
            </w:r>
          </w:p>
          <w:p w14:paraId="3BD127B9" w14:textId="77777777" w:rsidR="007C2B80" w:rsidRPr="00FF6CCA" w:rsidRDefault="007C2B80" w:rsidP="00F372E0">
            <w:pPr>
              <w:autoSpaceDE w:val="0"/>
              <w:autoSpaceDN w:val="0"/>
              <w:adjustRightInd w:val="0"/>
            </w:pPr>
          </w:p>
        </w:tc>
      </w:tr>
      <w:tr w:rsidR="00967429" w:rsidRPr="00505117" w14:paraId="3BD127BC" w14:textId="77777777" w:rsidTr="00555175">
        <w:trPr>
          <w:trHeight w:val="567"/>
        </w:trPr>
        <w:tc>
          <w:tcPr>
            <w:tcW w:w="9088" w:type="dxa"/>
            <w:shd w:val="clear" w:color="auto" w:fill="D9D9D9" w:themeFill="background1" w:themeFillShade="D9"/>
            <w:vAlign w:val="center"/>
          </w:tcPr>
          <w:p w14:paraId="3BD127BB"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3BD12869" w14:textId="77777777" w:rsidTr="00CA57AC">
        <w:trPr>
          <w:trHeight w:val="1408"/>
        </w:trPr>
        <w:tc>
          <w:tcPr>
            <w:tcW w:w="9088" w:type="dxa"/>
          </w:tcPr>
          <w:p w14:paraId="3BD127BD" w14:textId="77777777" w:rsidR="007E7731" w:rsidRDefault="007E7731" w:rsidP="00A005EF">
            <w:pPr>
              <w:rPr>
                <w:rFonts w:cs="Arial"/>
              </w:rPr>
            </w:pPr>
          </w:p>
          <w:p w14:paraId="3BD127BE" w14:textId="77777777" w:rsidR="007E7731" w:rsidRPr="00C107CE" w:rsidRDefault="007E7731" w:rsidP="00A005EF">
            <w:pPr>
              <w:rPr>
                <w:rFonts w:cs="Arial"/>
                <w:b/>
              </w:rPr>
            </w:pPr>
            <w:r>
              <w:rPr>
                <w:rFonts w:cs="Arial"/>
                <w:b/>
              </w:rPr>
              <w:t>LEP Specific</w:t>
            </w:r>
          </w:p>
          <w:p w14:paraId="3BD127BF" w14:textId="77777777" w:rsidR="007E7731" w:rsidRDefault="007E7731" w:rsidP="00A005EF">
            <w:pPr>
              <w:rPr>
                <w:rFonts w:cs="Arial"/>
              </w:rPr>
            </w:pPr>
          </w:p>
          <w:p w14:paraId="3BD127C0" w14:textId="7A77A635" w:rsidR="00A005EF" w:rsidRPr="00BC7F87" w:rsidRDefault="00475879" w:rsidP="00A005EF">
            <w:pPr>
              <w:rPr>
                <w:rFonts w:cs="Arial"/>
              </w:rPr>
            </w:pPr>
            <w:r w:rsidRPr="00BC7F87">
              <w:rPr>
                <w:rFonts w:cs="Arial"/>
              </w:rPr>
              <w:t>Currently</w:t>
            </w:r>
            <w:r w:rsidR="00A005EF" w:rsidRPr="00BC7F87">
              <w:rPr>
                <w:rFonts w:cs="Arial"/>
              </w:rPr>
              <w:t xml:space="preserve"> </w:t>
            </w:r>
            <w:r w:rsidR="00B01843">
              <w:rPr>
                <w:rFonts w:cs="Arial"/>
              </w:rPr>
              <w:t>£</w:t>
            </w:r>
            <w:r w:rsidR="00F372E0">
              <w:rPr>
                <w:rFonts w:cs="Arial"/>
              </w:rPr>
              <w:t>3,499,700</w:t>
            </w:r>
            <w:r w:rsidR="00CA57AC">
              <w:rPr>
                <w:rFonts w:cs="Arial"/>
              </w:rPr>
              <w:t xml:space="preserve"> </w:t>
            </w:r>
            <w:r w:rsidR="009552C2" w:rsidRPr="00BC7F87">
              <w:rPr>
                <w:rFonts w:cs="Arial"/>
              </w:rPr>
              <w:t>will be available</w:t>
            </w:r>
            <w:r w:rsidR="00C107CE" w:rsidRPr="00BC7F87">
              <w:rPr>
                <w:rFonts w:cs="Arial"/>
              </w:rPr>
              <w:t xml:space="preserve"> for the period from </w:t>
            </w:r>
            <w:r w:rsidR="00555175">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CA57AC">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3BD127C1" w14:textId="77777777" w:rsidR="00A005EF" w:rsidRDefault="00A005EF" w:rsidP="00A005EF">
            <w:pPr>
              <w:rPr>
                <w:b/>
              </w:rPr>
            </w:pPr>
          </w:p>
          <w:p w14:paraId="3BD127C2"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3BD127C3" w14:textId="77777777" w:rsidR="00394F36" w:rsidRPr="00BC7F87" w:rsidRDefault="00394F36" w:rsidP="00A005EF">
            <w:pPr>
              <w:rPr>
                <w:b/>
              </w:rPr>
            </w:pPr>
          </w:p>
          <w:p w14:paraId="3BD127C4" w14:textId="77777777" w:rsidR="00344FA1" w:rsidRDefault="00A005EF" w:rsidP="00C56155">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3BD127C5" w14:textId="77777777" w:rsidR="00CA57AC" w:rsidRDefault="00CA57AC" w:rsidP="00C56155">
            <w:pPr>
              <w:autoSpaceDE w:val="0"/>
              <w:autoSpaceDN w:val="0"/>
              <w:adjustRightInd w:val="0"/>
              <w:rPr>
                <w:rFonts w:cs="Arial"/>
              </w:rPr>
            </w:pPr>
          </w:p>
          <w:p w14:paraId="3BD127CD" w14:textId="77777777" w:rsidR="00C56155" w:rsidRDefault="00CA57AC" w:rsidP="00C56155">
            <w:pPr>
              <w:autoSpaceDE w:val="0"/>
              <w:autoSpaceDN w:val="0"/>
              <w:adjustRightInd w:val="0"/>
              <w:rPr>
                <w:rFonts w:cs="Arial"/>
                <w:b/>
              </w:rPr>
            </w:pPr>
            <w:r>
              <w:rPr>
                <w:rFonts w:cs="Arial"/>
                <w:b/>
              </w:rPr>
              <w:t>Lot 1 Support for the Unemployed £1,499,800</w:t>
            </w:r>
          </w:p>
          <w:p w14:paraId="3BD127CE" w14:textId="77777777" w:rsidR="00CA57AC" w:rsidRDefault="00CA57AC" w:rsidP="00C56155">
            <w:pPr>
              <w:autoSpaceDE w:val="0"/>
              <w:autoSpaceDN w:val="0"/>
              <w:adjustRightInd w:val="0"/>
              <w:rPr>
                <w:rFonts w:cs="Arial"/>
                <w:b/>
              </w:rPr>
            </w:pPr>
          </w:p>
          <w:tbl>
            <w:tblPr>
              <w:tblW w:w="5000" w:type="pct"/>
              <w:tblLook w:val="04A0" w:firstRow="1" w:lastRow="0" w:firstColumn="1" w:lastColumn="0" w:noHBand="0" w:noVBand="1"/>
            </w:tblPr>
            <w:tblGrid>
              <w:gridCol w:w="5008"/>
              <w:gridCol w:w="1707"/>
              <w:gridCol w:w="1449"/>
              <w:gridCol w:w="1296"/>
            </w:tblGrid>
            <w:tr w:rsidR="00CA57AC" w:rsidRPr="00CA57AC" w14:paraId="3BD127D3" w14:textId="77777777" w:rsidTr="00CA57AC">
              <w:trPr>
                <w:trHeight w:val="1128"/>
              </w:trPr>
              <w:tc>
                <w:tcPr>
                  <w:tcW w:w="264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BD127CF" w14:textId="77777777" w:rsidR="00CA57AC" w:rsidRPr="00CA57AC" w:rsidRDefault="00CA57AC" w:rsidP="00CA57AC">
                  <w:pPr>
                    <w:rPr>
                      <w:rFonts w:cs="Arial"/>
                      <w:b/>
                      <w:bCs/>
                      <w:color w:val="000000"/>
                      <w:sz w:val="20"/>
                      <w:szCs w:val="20"/>
                      <w:lang w:eastAsia="en-GB"/>
                    </w:rPr>
                  </w:pPr>
                  <w:r w:rsidRPr="00CA57AC">
                    <w:rPr>
                      <w:rFonts w:cs="Arial"/>
                      <w:b/>
                      <w:bCs/>
                      <w:color w:val="000000"/>
                      <w:sz w:val="20"/>
                      <w:szCs w:val="20"/>
                      <w:lang w:eastAsia="en-GB"/>
                    </w:rPr>
                    <w:t>Description</w:t>
                  </w:r>
                </w:p>
              </w:tc>
              <w:tc>
                <w:tcPr>
                  <w:tcW w:w="902"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BD127D0" w14:textId="77777777" w:rsidR="00CA57AC" w:rsidRPr="00CA57AC" w:rsidRDefault="00CA57AC" w:rsidP="00CA57AC">
                  <w:pPr>
                    <w:jc w:val="center"/>
                    <w:rPr>
                      <w:rFonts w:cs="Arial"/>
                      <w:b/>
                      <w:bCs/>
                      <w:color w:val="000000"/>
                      <w:sz w:val="20"/>
                      <w:szCs w:val="20"/>
                      <w:lang w:eastAsia="en-GB"/>
                    </w:rPr>
                  </w:pPr>
                  <w:r w:rsidRPr="00CA57AC">
                    <w:rPr>
                      <w:rFonts w:cs="Arial"/>
                      <w:b/>
                      <w:bCs/>
                      <w:color w:val="000000"/>
                      <w:sz w:val="20"/>
                      <w:szCs w:val="20"/>
                      <w:lang w:eastAsia="en-GB"/>
                    </w:rPr>
                    <w:t>Volumes</w:t>
                  </w:r>
                </w:p>
              </w:tc>
              <w:tc>
                <w:tcPr>
                  <w:tcW w:w="76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BD127D1" w14:textId="77777777" w:rsidR="00CA57AC" w:rsidRPr="00CA57AC" w:rsidRDefault="00CA57AC" w:rsidP="00CA57AC">
                  <w:pPr>
                    <w:jc w:val="center"/>
                    <w:rPr>
                      <w:rFonts w:cs="Arial"/>
                      <w:b/>
                      <w:bCs/>
                      <w:color w:val="000000"/>
                      <w:sz w:val="20"/>
                      <w:szCs w:val="20"/>
                      <w:lang w:eastAsia="en-GB"/>
                    </w:rPr>
                  </w:pPr>
                  <w:r w:rsidRPr="00CA57AC">
                    <w:rPr>
                      <w:rFonts w:cs="Arial"/>
                      <w:b/>
                      <w:bCs/>
                      <w:color w:val="000000"/>
                      <w:sz w:val="20"/>
                      <w:szCs w:val="20"/>
                      <w:lang w:eastAsia="en-GB"/>
                    </w:rPr>
                    <w:t>Unit Cost Total Value Average per Intervention</w:t>
                  </w:r>
                </w:p>
              </w:tc>
              <w:tc>
                <w:tcPr>
                  <w:tcW w:w="68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BD127D2" w14:textId="77777777" w:rsidR="00CA57AC" w:rsidRPr="00CA57AC" w:rsidRDefault="00CA57AC" w:rsidP="00CA57AC">
                  <w:pPr>
                    <w:jc w:val="center"/>
                    <w:rPr>
                      <w:rFonts w:cs="Arial"/>
                      <w:b/>
                      <w:bCs/>
                      <w:color w:val="000000"/>
                      <w:sz w:val="20"/>
                      <w:szCs w:val="20"/>
                      <w:lang w:eastAsia="en-GB"/>
                    </w:rPr>
                  </w:pPr>
                  <w:r w:rsidRPr="00CA57AC">
                    <w:rPr>
                      <w:rFonts w:cs="Arial"/>
                      <w:b/>
                      <w:bCs/>
                      <w:color w:val="000000"/>
                      <w:sz w:val="20"/>
                      <w:szCs w:val="20"/>
                      <w:lang w:eastAsia="en-GB"/>
                    </w:rPr>
                    <w:t>£</w:t>
                  </w:r>
                </w:p>
              </w:tc>
            </w:tr>
            <w:tr w:rsidR="00CA57AC" w:rsidRPr="00CA57AC" w14:paraId="3BD127D8"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7D4"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ST01 Learner Assessment and Plan</w:t>
                  </w:r>
                </w:p>
              </w:tc>
              <w:tc>
                <w:tcPr>
                  <w:tcW w:w="90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7D5"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882</w:t>
                  </w:r>
                </w:p>
              </w:tc>
              <w:tc>
                <w:tcPr>
                  <w:tcW w:w="766"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127D6"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£50</w:t>
                  </w:r>
                </w:p>
              </w:tc>
              <w:tc>
                <w:tcPr>
                  <w:tcW w:w="685"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127D7"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£44,100</w:t>
                  </w:r>
                </w:p>
              </w:tc>
            </w:tr>
            <w:tr w:rsidR="00CA57AC" w:rsidRPr="00CA57AC" w14:paraId="3BD127DD"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7D9"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RQ01 Regulated Learning</w:t>
                  </w:r>
                </w:p>
              </w:tc>
              <w:tc>
                <w:tcPr>
                  <w:tcW w:w="902"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BD127DA" w14:textId="77777777" w:rsidR="00CA57AC" w:rsidRPr="00CA57AC" w:rsidRDefault="00CA57AC" w:rsidP="00CA57AC">
                  <w:pPr>
                    <w:jc w:val="center"/>
                    <w:rPr>
                      <w:rFonts w:cs="Arial"/>
                      <w:color w:val="000000"/>
                      <w:sz w:val="20"/>
                      <w:szCs w:val="20"/>
                      <w:lang w:eastAsia="en-GB"/>
                    </w:rPr>
                  </w:pP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DB" w14:textId="77777777" w:rsidR="00CA57AC" w:rsidRPr="00CA57AC" w:rsidRDefault="00CA57AC" w:rsidP="00CA57AC">
                  <w:pPr>
                    <w:jc w:val="center"/>
                    <w:rPr>
                      <w:rFonts w:cs="Arial"/>
                      <w:color w:val="000000"/>
                      <w:sz w:val="20"/>
                      <w:szCs w:val="20"/>
                      <w:lang w:eastAsia="en-GB"/>
                    </w:rPr>
                  </w:pP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DC"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£352,800</w:t>
                  </w:r>
                </w:p>
              </w:tc>
            </w:tr>
            <w:tr w:rsidR="00CA57AC" w:rsidRPr="00CA57AC" w14:paraId="3BD127E2"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7DE"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NR01 Non Regulated Activity</w:t>
                  </w:r>
                </w:p>
              </w:tc>
              <w:tc>
                <w:tcPr>
                  <w:tcW w:w="90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7DF" w14:textId="77777777" w:rsidR="00CA57AC" w:rsidRPr="00CA57AC" w:rsidRDefault="00CA57AC" w:rsidP="00CA57AC">
                  <w:pPr>
                    <w:jc w:val="center"/>
                    <w:rPr>
                      <w:rFonts w:cs="Arial"/>
                      <w:color w:val="000000"/>
                      <w:sz w:val="20"/>
                      <w:szCs w:val="20"/>
                      <w:lang w:eastAsia="en-GB"/>
                    </w:rPr>
                  </w:pPr>
                </w:p>
              </w:tc>
              <w:tc>
                <w:tcPr>
                  <w:tcW w:w="7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E0" w14:textId="77777777" w:rsidR="00CA57AC" w:rsidRPr="00CA57AC" w:rsidRDefault="00CA57AC" w:rsidP="00CA57AC">
                  <w:pPr>
                    <w:jc w:val="center"/>
                    <w:rPr>
                      <w:rFonts w:cs="Arial"/>
                      <w:color w:val="000000"/>
                      <w:sz w:val="20"/>
                      <w:szCs w:val="20"/>
                      <w:lang w:eastAsia="en-GB"/>
                    </w:rPr>
                  </w:pP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E1"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£529,200</w:t>
                  </w:r>
                </w:p>
              </w:tc>
            </w:tr>
            <w:tr w:rsidR="00CA57AC" w:rsidRPr="00CA57AC" w14:paraId="3BD127E7"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7E3"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PG01 Progression Paid Employment (EMP)</w:t>
                  </w:r>
                </w:p>
              </w:tc>
              <w:tc>
                <w:tcPr>
                  <w:tcW w:w="902"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BD127E4"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159</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E5"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£700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E6"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£111,300</w:t>
                  </w:r>
                </w:p>
              </w:tc>
            </w:tr>
            <w:tr w:rsidR="00CA57AC" w:rsidRPr="00CA57AC" w14:paraId="3BD127EC"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7E8"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SU01 Sustained Employment 3 Months</w:t>
                  </w:r>
                </w:p>
              </w:tc>
              <w:tc>
                <w:tcPr>
                  <w:tcW w:w="90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7E9"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123</w:t>
                  </w:r>
                </w:p>
              </w:tc>
              <w:tc>
                <w:tcPr>
                  <w:tcW w:w="7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EA"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£600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EB"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£73,800</w:t>
                  </w:r>
                </w:p>
              </w:tc>
            </w:tr>
            <w:tr w:rsidR="00CA57AC" w:rsidRPr="00CA57AC" w14:paraId="3BD127F1"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7ED"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PG05 Progression Traineeship (EDU)</w:t>
                  </w:r>
                </w:p>
              </w:tc>
              <w:tc>
                <w:tcPr>
                  <w:tcW w:w="902"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BD127EE"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141</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EF"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£700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F0"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£98,700</w:t>
                  </w:r>
                </w:p>
              </w:tc>
            </w:tr>
            <w:tr w:rsidR="00CA57AC" w:rsidRPr="00CA57AC" w14:paraId="3BD127F6"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7F2"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SU05 Sustained Traineeship 3 Months</w:t>
                  </w:r>
                </w:p>
              </w:tc>
              <w:tc>
                <w:tcPr>
                  <w:tcW w:w="90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7F3"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105</w:t>
                  </w:r>
                </w:p>
              </w:tc>
              <w:tc>
                <w:tcPr>
                  <w:tcW w:w="7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F4"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£600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F5"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£63,000</w:t>
                  </w:r>
                </w:p>
              </w:tc>
            </w:tr>
            <w:tr w:rsidR="00CA57AC" w:rsidRPr="00CA57AC" w14:paraId="3BD127FB"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7F7"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PG04 Progression Apprenticeship (EDU)</w:t>
                  </w:r>
                </w:p>
              </w:tc>
              <w:tc>
                <w:tcPr>
                  <w:tcW w:w="902"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BD127F8"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175</w:t>
                  </w:r>
                </w:p>
              </w:tc>
              <w:tc>
                <w:tcPr>
                  <w:tcW w:w="7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F9"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£700</w:t>
                  </w:r>
                </w:p>
              </w:tc>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7FA"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£122,500</w:t>
                  </w:r>
                </w:p>
              </w:tc>
            </w:tr>
            <w:tr w:rsidR="00CA57AC" w:rsidRPr="00CA57AC" w14:paraId="3BD12800" w14:textId="77777777" w:rsidTr="00CA57AC">
              <w:trPr>
                <w:trHeight w:val="450"/>
              </w:trPr>
              <w:tc>
                <w:tcPr>
                  <w:tcW w:w="2647"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7FC"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SU04 Sustained Apprenticeship 3 Months</w:t>
                  </w:r>
                </w:p>
              </w:tc>
              <w:tc>
                <w:tcPr>
                  <w:tcW w:w="902"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7FD"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174</w:t>
                  </w:r>
                </w:p>
              </w:tc>
              <w:tc>
                <w:tcPr>
                  <w:tcW w:w="766"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FE"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£600</w:t>
                  </w:r>
                </w:p>
              </w:tc>
              <w:tc>
                <w:tcPr>
                  <w:tcW w:w="68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7FF"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£104,400</w:t>
                  </w:r>
                </w:p>
              </w:tc>
            </w:tr>
            <w:tr w:rsidR="00CA57AC" w:rsidRPr="00CA57AC" w14:paraId="3BD12805" w14:textId="77777777" w:rsidTr="00CA57AC">
              <w:trPr>
                <w:trHeight w:val="450"/>
              </w:trPr>
              <w:tc>
                <w:tcPr>
                  <w:tcW w:w="2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12801"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Total</w:t>
                  </w:r>
                </w:p>
              </w:tc>
              <w:tc>
                <w:tcPr>
                  <w:tcW w:w="902" w:type="pct"/>
                  <w:tcBorders>
                    <w:top w:val="single" w:sz="4" w:space="0" w:color="auto"/>
                    <w:left w:val="nil"/>
                    <w:bottom w:val="single" w:sz="4" w:space="0" w:color="auto"/>
                    <w:right w:val="single" w:sz="4" w:space="0" w:color="auto"/>
                  </w:tcBorders>
                  <w:shd w:val="clear" w:color="000000" w:fill="FFFFFF" w:themeFill="background1"/>
                  <w:vAlign w:val="center"/>
                  <w:hideMark/>
                </w:tcPr>
                <w:p w14:paraId="3BD12802" w14:textId="77777777" w:rsidR="00CA57AC" w:rsidRPr="00CA57AC" w:rsidRDefault="00CA57AC" w:rsidP="00CA57AC">
                  <w:pPr>
                    <w:jc w:val="center"/>
                    <w:rPr>
                      <w:rFonts w:cs="Arial"/>
                      <w:sz w:val="20"/>
                      <w:szCs w:val="20"/>
                      <w:lang w:eastAsia="en-GB"/>
                    </w:rPr>
                  </w:pPr>
                  <w:r w:rsidRPr="00CA57AC">
                    <w:rPr>
                      <w:rFonts w:cs="Arial"/>
                      <w:sz w:val="20"/>
                      <w:szCs w:val="20"/>
                      <w:lang w:eastAsia="en-GB"/>
                    </w:rPr>
                    <w:t> </w:t>
                  </w:r>
                </w:p>
              </w:tc>
              <w:tc>
                <w:tcPr>
                  <w:tcW w:w="766"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BD12803"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 </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14:paraId="3BD12804"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£1,499,800</w:t>
                  </w:r>
                </w:p>
              </w:tc>
            </w:tr>
          </w:tbl>
          <w:p w14:paraId="3BD12806" w14:textId="77777777" w:rsidR="00CA57AC" w:rsidRDefault="00CA57AC" w:rsidP="00C56155">
            <w:pPr>
              <w:autoSpaceDE w:val="0"/>
              <w:autoSpaceDN w:val="0"/>
              <w:adjustRightInd w:val="0"/>
              <w:rPr>
                <w:rFonts w:cs="Arial"/>
                <w:b/>
              </w:rPr>
            </w:pPr>
          </w:p>
          <w:p w14:paraId="0F160D07" w14:textId="290ECC13" w:rsidR="0084012A" w:rsidRDefault="0084012A" w:rsidP="00C56155">
            <w:pPr>
              <w:autoSpaceDE w:val="0"/>
              <w:autoSpaceDN w:val="0"/>
              <w:adjustRightInd w:val="0"/>
              <w:rPr>
                <w:rFonts w:cs="Arial"/>
                <w:b/>
              </w:rPr>
            </w:pPr>
          </w:p>
          <w:p w14:paraId="5B30369D" w14:textId="77777777" w:rsidR="00555175" w:rsidRDefault="00555175" w:rsidP="00C56155">
            <w:pPr>
              <w:autoSpaceDE w:val="0"/>
              <w:autoSpaceDN w:val="0"/>
              <w:adjustRightInd w:val="0"/>
              <w:rPr>
                <w:rFonts w:cs="Arial"/>
                <w:b/>
              </w:rPr>
            </w:pPr>
          </w:p>
          <w:p w14:paraId="63AC0C82" w14:textId="77777777" w:rsidR="00555175" w:rsidRDefault="00555175" w:rsidP="00C56155">
            <w:pPr>
              <w:autoSpaceDE w:val="0"/>
              <w:autoSpaceDN w:val="0"/>
              <w:adjustRightInd w:val="0"/>
              <w:rPr>
                <w:rFonts w:cs="Arial"/>
                <w:b/>
              </w:rPr>
            </w:pPr>
          </w:p>
          <w:p w14:paraId="5A68D182" w14:textId="77777777" w:rsidR="00555175" w:rsidRDefault="00555175" w:rsidP="00C56155">
            <w:pPr>
              <w:autoSpaceDE w:val="0"/>
              <w:autoSpaceDN w:val="0"/>
              <w:adjustRightInd w:val="0"/>
              <w:rPr>
                <w:rFonts w:cs="Arial"/>
                <w:b/>
              </w:rPr>
            </w:pPr>
          </w:p>
          <w:p w14:paraId="023A52DB" w14:textId="77777777" w:rsidR="00555175" w:rsidRDefault="00555175" w:rsidP="00C56155">
            <w:pPr>
              <w:autoSpaceDE w:val="0"/>
              <w:autoSpaceDN w:val="0"/>
              <w:adjustRightInd w:val="0"/>
              <w:rPr>
                <w:rFonts w:cs="Arial"/>
                <w:b/>
              </w:rPr>
            </w:pPr>
          </w:p>
          <w:p w14:paraId="3BD12808" w14:textId="77777777" w:rsidR="00CA57AC" w:rsidRDefault="00CA57AC" w:rsidP="00C56155">
            <w:pPr>
              <w:autoSpaceDE w:val="0"/>
              <w:autoSpaceDN w:val="0"/>
              <w:adjustRightInd w:val="0"/>
              <w:rPr>
                <w:rFonts w:cs="Arial"/>
                <w:b/>
              </w:rPr>
            </w:pPr>
            <w:r>
              <w:rPr>
                <w:rFonts w:cs="Arial"/>
                <w:b/>
              </w:rPr>
              <w:lastRenderedPageBreak/>
              <w:t>Lot 2 Careers Education Information, Advice and Guidance - £1,999,900</w:t>
            </w:r>
          </w:p>
          <w:p w14:paraId="3BD12809" w14:textId="77777777" w:rsidR="00CA57AC" w:rsidRDefault="00CA57AC" w:rsidP="00C56155">
            <w:pPr>
              <w:autoSpaceDE w:val="0"/>
              <w:autoSpaceDN w:val="0"/>
              <w:adjustRightInd w:val="0"/>
              <w:rPr>
                <w:rFonts w:cs="Arial"/>
                <w:b/>
              </w:rPr>
            </w:pPr>
          </w:p>
          <w:tbl>
            <w:tblPr>
              <w:tblW w:w="9460" w:type="dxa"/>
              <w:tblLook w:val="04A0" w:firstRow="1" w:lastRow="0" w:firstColumn="1" w:lastColumn="0" w:noHBand="0" w:noVBand="1"/>
            </w:tblPr>
            <w:tblGrid>
              <w:gridCol w:w="5785"/>
              <w:gridCol w:w="1097"/>
              <w:gridCol w:w="1361"/>
              <w:gridCol w:w="1217"/>
            </w:tblGrid>
            <w:tr w:rsidR="00CA57AC" w:rsidRPr="00CA57AC" w14:paraId="3BD1280E" w14:textId="77777777" w:rsidTr="00CA57AC">
              <w:trPr>
                <w:trHeight w:val="1404"/>
              </w:trPr>
              <w:tc>
                <w:tcPr>
                  <w:tcW w:w="57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0A" w14:textId="77777777" w:rsidR="00CA57AC" w:rsidRPr="00CA57AC" w:rsidRDefault="00CA57AC" w:rsidP="00CA57AC">
                  <w:pPr>
                    <w:rPr>
                      <w:rFonts w:cs="Arial"/>
                      <w:i/>
                      <w:iCs/>
                      <w:color w:val="000000"/>
                      <w:sz w:val="20"/>
                      <w:szCs w:val="20"/>
                      <w:lang w:eastAsia="en-GB"/>
                    </w:rPr>
                  </w:pPr>
                  <w:r w:rsidRPr="00CA57AC">
                    <w:rPr>
                      <w:rFonts w:cs="Arial"/>
                      <w:b/>
                      <w:bCs/>
                      <w:color w:val="000000"/>
                      <w:sz w:val="20"/>
                      <w:szCs w:val="20"/>
                      <w:lang w:eastAsia="en-GB"/>
                    </w:rPr>
                    <w:t>Description</w:t>
                  </w:r>
                </w:p>
              </w:tc>
              <w:tc>
                <w:tcPr>
                  <w:tcW w:w="10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0B" w14:textId="77777777" w:rsidR="00CA57AC" w:rsidRPr="00CA57AC" w:rsidRDefault="00CA57AC" w:rsidP="00CA57AC">
                  <w:pPr>
                    <w:jc w:val="center"/>
                    <w:rPr>
                      <w:rFonts w:cs="Arial"/>
                      <w:b/>
                      <w:bCs/>
                      <w:color w:val="000000"/>
                      <w:sz w:val="20"/>
                      <w:szCs w:val="20"/>
                      <w:lang w:eastAsia="en-GB"/>
                    </w:rPr>
                  </w:pPr>
                  <w:r w:rsidRPr="00CA57AC">
                    <w:rPr>
                      <w:rFonts w:cs="Arial"/>
                      <w:b/>
                      <w:bCs/>
                      <w:color w:val="000000"/>
                      <w:sz w:val="20"/>
                      <w:szCs w:val="20"/>
                      <w:lang w:eastAsia="en-GB"/>
                    </w:rPr>
                    <w:t>Volumes</w:t>
                  </w:r>
                </w:p>
              </w:tc>
              <w:tc>
                <w:tcPr>
                  <w:tcW w:w="136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0C" w14:textId="77777777" w:rsidR="00CA57AC" w:rsidRPr="00CA57AC" w:rsidRDefault="00CA57AC" w:rsidP="00CA57AC">
                  <w:pPr>
                    <w:jc w:val="center"/>
                    <w:rPr>
                      <w:rFonts w:cs="Arial"/>
                      <w:b/>
                      <w:bCs/>
                      <w:color w:val="000000"/>
                      <w:sz w:val="20"/>
                      <w:szCs w:val="20"/>
                      <w:lang w:eastAsia="en-GB"/>
                    </w:rPr>
                  </w:pPr>
                  <w:r w:rsidRPr="00CA57AC">
                    <w:rPr>
                      <w:rFonts w:cs="Arial"/>
                      <w:b/>
                      <w:bCs/>
                      <w:color w:val="000000"/>
                      <w:sz w:val="20"/>
                      <w:szCs w:val="20"/>
                      <w:lang w:eastAsia="en-GB"/>
                    </w:rPr>
                    <w:t>Unit Cost Total Value Average per Intervention</w:t>
                  </w:r>
                </w:p>
              </w:tc>
              <w:tc>
                <w:tcPr>
                  <w:tcW w:w="12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BD1280D" w14:textId="77777777" w:rsidR="00CA57AC" w:rsidRPr="00CA57AC" w:rsidRDefault="00CA57AC" w:rsidP="00CA57AC">
                  <w:pPr>
                    <w:jc w:val="center"/>
                    <w:rPr>
                      <w:rFonts w:cs="Arial"/>
                      <w:b/>
                      <w:bCs/>
                      <w:color w:val="000000"/>
                      <w:sz w:val="20"/>
                      <w:szCs w:val="20"/>
                      <w:lang w:eastAsia="en-GB"/>
                    </w:rPr>
                  </w:pPr>
                  <w:r w:rsidRPr="00CA57AC">
                    <w:rPr>
                      <w:rFonts w:cs="Arial"/>
                      <w:b/>
                      <w:bCs/>
                      <w:color w:val="000000"/>
                      <w:sz w:val="20"/>
                      <w:szCs w:val="20"/>
                      <w:lang w:eastAsia="en-GB"/>
                    </w:rPr>
                    <w:t>£</w:t>
                  </w:r>
                </w:p>
              </w:tc>
            </w:tr>
            <w:tr w:rsidR="00CA57AC" w:rsidRPr="00CA57AC" w14:paraId="3BD12813" w14:textId="77777777" w:rsidTr="00CA57AC">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80F"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ST01 Learner Assessment and Plan</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10"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1,176</w:t>
                  </w:r>
                </w:p>
              </w:tc>
              <w:tc>
                <w:tcPr>
                  <w:tcW w:w="116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12811"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£300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BD12812"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£352,800</w:t>
                  </w:r>
                </w:p>
              </w:tc>
            </w:tr>
            <w:tr w:rsidR="00CA57AC" w:rsidRPr="00CA57AC" w14:paraId="3BD12818" w14:textId="77777777" w:rsidTr="00CA57AC">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814"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NR01 Non Regulated Activity</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12815" w14:textId="77777777" w:rsidR="00CA57AC" w:rsidRPr="00CA57AC" w:rsidRDefault="00CA57AC" w:rsidP="00CA57AC">
                  <w:pPr>
                    <w:jc w:val="center"/>
                    <w:rPr>
                      <w:rFonts w:cs="Arial"/>
                      <w:color w:val="000000"/>
                      <w:sz w:val="20"/>
                      <w:szCs w:val="20"/>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16" w14:textId="77777777" w:rsidR="00CA57AC" w:rsidRPr="00CA57AC" w:rsidRDefault="00CA57AC" w:rsidP="00CA57AC">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17"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£705,600</w:t>
                  </w:r>
                </w:p>
              </w:tc>
            </w:tr>
            <w:tr w:rsidR="00CA57AC" w:rsidRPr="00CA57AC" w14:paraId="3BD1281D" w14:textId="77777777" w:rsidTr="00CA57AC">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819"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PG01 Progression Paid Employment (EMP)</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1A" w14:textId="7EF367EB" w:rsidR="00CA57AC" w:rsidRPr="00CA57AC" w:rsidRDefault="00271BDC" w:rsidP="00CA57AC">
                  <w:pPr>
                    <w:jc w:val="center"/>
                    <w:rPr>
                      <w:rFonts w:cs="Arial"/>
                      <w:color w:val="000000"/>
                      <w:sz w:val="20"/>
                      <w:szCs w:val="20"/>
                      <w:lang w:eastAsia="en-GB"/>
                    </w:rPr>
                  </w:pPr>
                  <w:r>
                    <w:rPr>
                      <w:rFonts w:cs="Arial"/>
                      <w:color w:val="000000"/>
                      <w:sz w:val="20"/>
                      <w:szCs w:val="20"/>
                      <w:lang w:eastAsia="en-GB"/>
                    </w:rPr>
                    <w:t>300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1B" w14:textId="1D7B8669" w:rsidR="00CA57AC" w:rsidRPr="00CA57AC" w:rsidRDefault="00271BDC" w:rsidP="00CA57AC">
                  <w:pPr>
                    <w:jc w:val="center"/>
                    <w:rPr>
                      <w:rFonts w:cs="Arial"/>
                      <w:color w:val="000000"/>
                      <w:sz w:val="20"/>
                      <w:szCs w:val="20"/>
                      <w:lang w:eastAsia="en-GB"/>
                    </w:rPr>
                  </w:pPr>
                  <w:r>
                    <w:rPr>
                      <w:rFonts w:cs="Arial"/>
                      <w:color w:val="000000"/>
                      <w:sz w:val="20"/>
                      <w:szCs w:val="20"/>
                      <w:lang w:eastAsia="en-GB"/>
                    </w:rPr>
                    <w:t>£800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1C"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£240,000</w:t>
                  </w:r>
                </w:p>
              </w:tc>
            </w:tr>
            <w:tr w:rsidR="00CA57AC" w:rsidRPr="00CA57AC" w14:paraId="3BD12822" w14:textId="77777777" w:rsidTr="00CA57AC">
              <w:trPr>
                <w:trHeight w:val="450"/>
              </w:trPr>
              <w:tc>
                <w:tcPr>
                  <w:tcW w:w="610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3BD1281E"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PG02 Progression Unpaid Employment (VOL)</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1281F"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20"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£620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21"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£124,000</w:t>
                  </w:r>
                </w:p>
              </w:tc>
            </w:tr>
            <w:tr w:rsidR="00CA57AC" w:rsidRPr="00CA57AC" w14:paraId="3BD12827" w14:textId="77777777" w:rsidTr="00CA57AC">
              <w:trPr>
                <w:trHeight w:val="450"/>
              </w:trPr>
              <w:tc>
                <w:tcPr>
                  <w:tcW w:w="6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D12823" w14:textId="77777777" w:rsidR="00CA57AC" w:rsidRPr="00CA57AC" w:rsidRDefault="00CA57AC" w:rsidP="00CA57AC">
                  <w:pPr>
                    <w:rPr>
                      <w:rFonts w:cs="Arial"/>
                      <w:sz w:val="20"/>
                      <w:szCs w:val="20"/>
                      <w:lang w:eastAsia="en-GB"/>
                    </w:rPr>
                  </w:pPr>
                  <w:r w:rsidRPr="00CA57AC">
                    <w:rPr>
                      <w:rFonts w:cs="Arial"/>
                      <w:sz w:val="20"/>
                      <w:szCs w:val="20"/>
                      <w:lang w:eastAsia="en-GB"/>
                    </w:rPr>
                    <w:t>PG03 Progression Education (EDU)</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24"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250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25"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£600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26"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£150,000</w:t>
                  </w:r>
                </w:p>
              </w:tc>
            </w:tr>
            <w:tr w:rsidR="00CA57AC" w:rsidRPr="00CA57AC" w14:paraId="3BD1282C" w14:textId="77777777" w:rsidTr="00CA57AC">
              <w:trPr>
                <w:trHeight w:val="45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12828" w14:textId="77777777" w:rsidR="00CA57AC" w:rsidRPr="00CA57AC" w:rsidRDefault="00CA57AC" w:rsidP="00CA57AC">
                  <w:pPr>
                    <w:rPr>
                      <w:rFonts w:cs="Arial"/>
                      <w:sz w:val="20"/>
                      <w:szCs w:val="20"/>
                      <w:lang w:eastAsia="en-GB"/>
                    </w:rPr>
                  </w:pPr>
                  <w:r w:rsidRPr="00CA57AC">
                    <w:rPr>
                      <w:rFonts w:cs="Arial"/>
                      <w:sz w:val="20"/>
                      <w:szCs w:val="20"/>
                      <w:lang w:eastAsia="en-GB"/>
                    </w:rPr>
                    <w:t>PG04 Progression Apprenticeship (EDU)</w:t>
                  </w:r>
                </w:p>
              </w:tc>
              <w:tc>
                <w:tcPr>
                  <w:tcW w:w="110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D12829"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350</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2A"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£900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1282B"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£315,000</w:t>
                  </w:r>
                </w:p>
              </w:tc>
            </w:tr>
            <w:tr w:rsidR="00CA57AC" w:rsidRPr="00CA57AC" w14:paraId="3BD12831" w14:textId="77777777" w:rsidTr="00CA57AC">
              <w:trPr>
                <w:trHeight w:val="450"/>
              </w:trPr>
              <w:tc>
                <w:tcPr>
                  <w:tcW w:w="610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3BD1282D"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PG05 Progression Traineeship (EDU)</w:t>
                  </w:r>
                </w:p>
              </w:tc>
              <w:tc>
                <w:tcPr>
                  <w:tcW w:w="110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BD1282E" w14:textId="77777777" w:rsidR="00CA57AC" w:rsidRPr="00CA57AC" w:rsidRDefault="00CA57AC" w:rsidP="00CA57AC">
                  <w:pPr>
                    <w:jc w:val="center"/>
                    <w:rPr>
                      <w:rFonts w:cs="Arial"/>
                      <w:color w:val="000000"/>
                      <w:sz w:val="20"/>
                      <w:szCs w:val="20"/>
                      <w:lang w:eastAsia="en-GB"/>
                    </w:rPr>
                  </w:pPr>
                  <w:r>
                    <w:rPr>
                      <w:rFonts w:cs="Arial"/>
                      <w:color w:val="000000"/>
                      <w:sz w:val="20"/>
                      <w:szCs w:val="20"/>
                      <w:lang w:eastAsia="en-GB"/>
                    </w:rPr>
                    <w:t>150</w:t>
                  </w:r>
                </w:p>
              </w:tc>
              <w:tc>
                <w:tcPr>
                  <w:tcW w:w="116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2F"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£750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BD12830"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£112,500</w:t>
                  </w:r>
                </w:p>
              </w:tc>
            </w:tr>
            <w:tr w:rsidR="00CA57AC" w:rsidRPr="00CA57AC" w14:paraId="3BD12836" w14:textId="77777777" w:rsidTr="00CA57AC">
              <w:trPr>
                <w:trHeight w:val="450"/>
              </w:trPr>
              <w:tc>
                <w:tcPr>
                  <w:tcW w:w="6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12832" w14:textId="77777777" w:rsidR="00CA57AC" w:rsidRPr="00CA57AC" w:rsidRDefault="00CA57AC" w:rsidP="00CA57AC">
                  <w:pPr>
                    <w:rPr>
                      <w:rFonts w:cs="Arial"/>
                      <w:color w:val="000000"/>
                      <w:sz w:val="20"/>
                      <w:szCs w:val="20"/>
                      <w:lang w:eastAsia="en-GB"/>
                    </w:rPr>
                  </w:pPr>
                  <w:r w:rsidRPr="00CA57AC">
                    <w:rPr>
                      <w:rFonts w:cs="Arial"/>
                      <w:color w:val="000000"/>
                      <w:sz w:val="20"/>
                      <w:szCs w:val="20"/>
                      <w:lang w:eastAsia="en-GB"/>
                    </w:rPr>
                    <w:t>Total</w:t>
                  </w:r>
                </w:p>
              </w:tc>
              <w:tc>
                <w:tcPr>
                  <w:tcW w:w="110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BD12833" w14:textId="77777777" w:rsidR="00CA57AC" w:rsidRPr="00CA57AC" w:rsidRDefault="00CA57AC" w:rsidP="00CA57AC">
                  <w:pPr>
                    <w:jc w:val="center"/>
                    <w:rPr>
                      <w:rFonts w:cs="Arial"/>
                      <w:sz w:val="20"/>
                      <w:szCs w:val="20"/>
                      <w:lang w:eastAsia="en-GB"/>
                    </w:rPr>
                  </w:pPr>
                  <w:r w:rsidRPr="00CA57AC">
                    <w:rPr>
                      <w:rFonts w:cs="Arial"/>
                      <w:sz w:val="20"/>
                      <w:szCs w:val="20"/>
                      <w:lang w:eastAsia="en-GB"/>
                    </w:rPr>
                    <w:t> </w:t>
                  </w:r>
                </w:p>
              </w:tc>
              <w:tc>
                <w:tcPr>
                  <w:tcW w:w="1160"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BD12834"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BD12835" w14:textId="77777777" w:rsidR="00CA57AC" w:rsidRPr="00CA57AC" w:rsidRDefault="00CA57AC" w:rsidP="00CA57AC">
                  <w:pPr>
                    <w:jc w:val="center"/>
                    <w:rPr>
                      <w:rFonts w:cs="Arial"/>
                      <w:color w:val="000000"/>
                      <w:sz w:val="20"/>
                      <w:szCs w:val="20"/>
                      <w:lang w:eastAsia="en-GB"/>
                    </w:rPr>
                  </w:pPr>
                  <w:r w:rsidRPr="00CA57AC">
                    <w:rPr>
                      <w:rFonts w:cs="Arial"/>
                      <w:color w:val="000000"/>
                      <w:sz w:val="20"/>
                      <w:szCs w:val="20"/>
                      <w:lang w:eastAsia="en-GB"/>
                    </w:rPr>
                    <w:t>£1,999,900</w:t>
                  </w:r>
                </w:p>
              </w:tc>
            </w:tr>
          </w:tbl>
          <w:p w14:paraId="3BD12837" w14:textId="77777777" w:rsidR="00CA57AC" w:rsidRDefault="00CA57AC" w:rsidP="00C56155">
            <w:pPr>
              <w:autoSpaceDE w:val="0"/>
              <w:autoSpaceDN w:val="0"/>
              <w:adjustRightInd w:val="0"/>
              <w:rPr>
                <w:rFonts w:cs="Arial"/>
                <w:b/>
              </w:rPr>
            </w:pPr>
          </w:p>
          <w:p w14:paraId="3BD12839" w14:textId="77777777" w:rsidR="00CA57AC" w:rsidRDefault="00CA57AC" w:rsidP="00C56155">
            <w:pPr>
              <w:autoSpaceDE w:val="0"/>
              <w:autoSpaceDN w:val="0"/>
              <w:adjustRightInd w:val="0"/>
              <w:rPr>
                <w:rFonts w:cs="Arial"/>
                <w:b/>
              </w:rPr>
            </w:pPr>
          </w:p>
          <w:p w14:paraId="3BD12862" w14:textId="77777777" w:rsidR="00CA57AC" w:rsidRDefault="00CA57AC" w:rsidP="00C56155">
            <w:pPr>
              <w:autoSpaceDE w:val="0"/>
              <w:autoSpaceDN w:val="0"/>
              <w:adjustRightInd w:val="0"/>
              <w:rPr>
                <w:rFonts w:cs="Arial"/>
                <w:b/>
              </w:rPr>
            </w:pPr>
          </w:p>
          <w:p w14:paraId="3BD12863" w14:textId="77777777" w:rsidR="00CA57AC" w:rsidRDefault="00CA57AC" w:rsidP="00C56155">
            <w:pPr>
              <w:autoSpaceDE w:val="0"/>
              <w:autoSpaceDN w:val="0"/>
              <w:adjustRightInd w:val="0"/>
              <w:rPr>
                <w:rFonts w:cs="Arial"/>
                <w:b/>
              </w:rPr>
            </w:pPr>
          </w:p>
          <w:p w14:paraId="3BD12864" w14:textId="77777777" w:rsidR="00CA57AC" w:rsidRDefault="00CA57AC" w:rsidP="00C56155">
            <w:pPr>
              <w:autoSpaceDE w:val="0"/>
              <w:autoSpaceDN w:val="0"/>
              <w:adjustRightInd w:val="0"/>
              <w:rPr>
                <w:rFonts w:cs="Arial"/>
                <w:b/>
              </w:rPr>
            </w:pPr>
          </w:p>
          <w:p w14:paraId="3BD12865" w14:textId="77777777" w:rsidR="00CA57AC" w:rsidRDefault="00CA57AC" w:rsidP="00C56155">
            <w:pPr>
              <w:autoSpaceDE w:val="0"/>
              <w:autoSpaceDN w:val="0"/>
              <w:adjustRightInd w:val="0"/>
              <w:rPr>
                <w:rFonts w:cs="Arial"/>
                <w:b/>
              </w:rPr>
            </w:pPr>
          </w:p>
          <w:p w14:paraId="3BD12867" w14:textId="77777777" w:rsidR="00CA57AC" w:rsidRDefault="00CA57AC" w:rsidP="00C56155">
            <w:pPr>
              <w:autoSpaceDE w:val="0"/>
              <w:autoSpaceDN w:val="0"/>
              <w:adjustRightInd w:val="0"/>
              <w:rPr>
                <w:rFonts w:cs="Arial"/>
                <w:b/>
              </w:rPr>
            </w:pPr>
          </w:p>
          <w:p w14:paraId="3BD12868" w14:textId="77777777" w:rsidR="00627E01" w:rsidRPr="00DB2FA1" w:rsidRDefault="00627E01" w:rsidP="00627E01">
            <w:pPr>
              <w:rPr>
                <w:rFonts w:cs="Arial"/>
                <w:b/>
              </w:rPr>
            </w:pPr>
          </w:p>
        </w:tc>
      </w:tr>
    </w:tbl>
    <w:p w14:paraId="3BD1286A" w14:textId="77777777" w:rsidR="00A005EF" w:rsidRDefault="00A005EF"/>
    <w:p w14:paraId="65A6B110" w14:textId="77777777" w:rsidR="00FA1803" w:rsidRDefault="00FA1803"/>
    <w:p w14:paraId="46E3A5E7" w14:textId="77777777" w:rsidR="00FA1803" w:rsidRDefault="00FA1803"/>
    <w:p w14:paraId="266068C2" w14:textId="77777777" w:rsidR="00FA1803" w:rsidRDefault="00FA1803"/>
    <w:p w14:paraId="5B9FAC26" w14:textId="77777777" w:rsidR="00FA1803" w:rsidRDefault="00FA1803"/>
    <w:p w14:paraId="179C0732" w14:textId="77777777" w:rsidR="00FA1803" w:rsidRDefault="00FA1803"/>
    <w:p w14:paraId="57CCD763" w14:textId="77777777" w:rsidR="00FA1803" w:rsidRDefault="00FA1803"/>
    <w:p w14:paraId="686FE314" w14:textId="77777777" w:rsidR="00FA1803" w:rsidRDefault="00FA1803"/>
    <w:p w14:paraId="2767689C" w14:textId="77777777" w:rsidR="00FA1803" w:rsidRDefault="00FA1803"/>
    <w:p w14:paraId="4524E331" w14:textId="77777777" w:rsidR="00FA1803" w:rsidRDefault="00FA1803"/>
    <w:p w14:paraId="332CA352" w14:textId="77777777" w:rsidR="00FA1803" w:rsidRDefault="00FA1803"/>
    <w:p w14:paraId="5282566E" w14:textId="77777777" w:rsidR="00FA1803" w:rsidRDefault="00FA1803"/>
    <w:p w14:paraId="6D3AAB66" w14:textId="77777777" w:rsidR="00FA1803" w:rsidRDefault="00FA1803"/>
    <w:p w14:paraId="7ECE6867" w14:textId="77777777" w:rsidR="00FA1803" w:rsidRDefault="00FA1803"/>
    <w:p w14:paraId="4F883D77" w14:textId="77777777" w:rsidR="00FA1803" w:rsidRDefault="00FA1803"/>
    <w:p w14:paraId="38AAD66C" w14:textId="77777777" w:rsidR="00FA1803" w:rsidRDefault="00FA1803"/>
    <w:p w14:paraId="0CF0BF0F" w14:textId="77777777" w:rsidR="00FA1803" w:rsidRDefault="00FA1803"/>
    <w:p w14:paraId="0ADE636A" w14:textId="77777777" w:rsidR="00FA1803" w:rsidRDefault="00FA1803"/>
    <w:p w14:paraId="10989F7E" w14:textId="77777777" w:rsidR="00FA1803" w:rsidRDefault="00FA1803"/>
    <w:p w14:paraId="4A2B7146" w14:textId="77777777" w:rsidR="00FA1803" w:rsidRDefault="00FA1803">
      <w:bookmarkStart w:id="0" w:name="_GoBack"/>
      <w:bookmarkEnd w:id="0"/>
    </w:p>
    <w:sectPr w:rsidR="00FA1803"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73DFB" w14:textId="77777777" w:rsidR="00066439" w:rsidRDefault="00066439">
      <w:r>
        <w:separator/>
      </w:r>
    </w:p>
  </w:endnote>
  <w:endnote w:type="continuationSeparator" w:id="0">
    <w:p w14:paraId="2FD0E445" w14:textId="77777777" w:rsidR="00066439" w:rsidRDefault="0006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3BD1287A" w14:textId="77777777" w:rsidR="00CA57AC" w:rsidRDefault="00CA57AC">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CA57AC" w14:paraId="3BD1287D" w14:textId="77777777" w:rsidTr="009808AC">
          <w:tc>
            <w:tcPr>
              <w:tcW w:w="4908" w:type="dxa"/>
            </w:tcPr>
            <w:p w14:paraId="3BD1287B" w14:textId="77777777" w:rsidR="00CA57AC" w:rsidRDefault="00CA57AC" w:rsidP="009808AC">
              <w:pPr>
                <w:pStyle w:val="Footer"/>
              </w:pPr>
            </w:p>
          </w:tc>
          <w:tc>
            <w:tcPr>
              <w:tcW w:w="3869" w:type="dxa"/>
            </w:tcPr>
            <w:p w14:paraId="3BD1287C" w14:textId="77777777" w:rsidR="00CA57AC" w:rsidRDefault="00CA57AC"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B44FD">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B44FD">
                <w:rPr>
                  <w:b/>
                  <w:bCs/>
                  <w:noProof/>
                </w:rPr>
                <w:t>14</w:t>
              </w:r>
              <w:r>
                <w:rPr>
                  <w:b/>
                  <w:bCs/>
                </w:rPr>
                <w:fldChar w:fldCharType="end"/>
              </w:r>
            </w:p>
          </w:tc>
        </w:tr>
      </w:tbl>
      <w:p w14:paraId="3BD1287E" w14:textId="77777777" w:rsidR="00CA57AC" w:rsidRDefault="00066439">
        <w:pPr>
          <w:pStyle w:val="Footer"/>
          <w:jc w:val="right"/>
        </w:pPr>
      </w:p>
    </w:sdtContent>
  </w:sdt>
  <w:p w14:paraId="3BD1287F" w14:textId="77777777" w:rsidR="00CA57AC" w:rsidRDefault="00CA5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9A514" w14:textId="77777777" w:rsidR="00066439" w:rsidRDefault="00066439">
      <w:r>
        <w:separator/>
      </w:r>
    </w:p>
  </w:footnote>
  <w:footnote w:type="continuationSeparator" w:id="0">
    <w:p w14:paraId="31431917" w14:textId="77777777" w:rsidR="00066439" w:rsidRDefault="00066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3BD12879" w14:textId="77777777" w:rsidR="00CA57AC" w:rsidRDefault="00066439">
        <w:pPr>
          <w:pStyle w:val="Header"/>
        </w:pPr>
        <w:r>
          <w:rPr>
            <w:noProof/>
            <w:lang w:val="en-US"/>
          </w:rPr>
          <w:pict w14:anchorId="3BD12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C2520A2"/>
    <w:multiLevelType w:val="hybridMultilevel"/>
    <w:tmpl w:val="57C6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6C2F13"/>
    <w:multiLevelType w:val="hybridMultilevel"/>
    <w:tmpl w:val="3040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40E6A"/>
    <w:multiLevelType w:val="hybridMultilevel"/>
    <w:tmpl w:val="4DD4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7367768C"/>
    <w:multiLevelType w:val="hybridMultilevel"/>
    <w:tmpl w:val="69041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EB21C4"/>
    <w:multiLevelType w:val="hybridMultilevel"/>
    <w:tmpl w:val="3272B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22"/>
  </w:num>
  <w:num w:numId="4">
    <w:abstractNumId w:val="22"/>
  </w:num>
  <w:num w:numId="5">
    <w:abstractNumId w:val="3"/>
  </w:num>
  <w:num w:numId="6">
    <w:abstractNumId w:val="0"/>
  </w:num>
  <w:num w:numId="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9"/>
  </w:num>
  <w:num w:numId="11">
    <w:abstractNumId w:val="17"/>
  </w:num>
  <w:num w:numId="12">
    <w:abstractNumId w:val="26"/>
  </w:num>
  <w:num w:numId="13">
    <w:abstractNumId w:val="20"/>
  </w:num>
  <w:num w:numId="14">
    <w:abstractNumId w:val="15"/>
  </w:num>
  <w:num w:numId="15">
    <w:abstractNumId w:val="11"/>
  </w:num>
  <w:num w:numId="16">
    <w:abstractNumId w:val="9"/>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6"/>
  </w:num>
  <w:num w:numId="27">
    <w:abstractNumId w:val="10"/>
  </w:num>
  <w:num w:numId="28">
    <w:abstractNumId w:val="14"/>
  </w:num>
  <w:num w:numId="29">
    <w:abstractNumId w:val="6"/>
  </w:num>
  <w:num w:numId="30">
    <w:abstractNumId w:val="8"/>
  </w:num>
  <w:num w:numId="31">
    <w:abstractNumId w:val="4"/>
  </w:num>
  <w:num w:numId="32">
    <w:abstractNumId w:val="21"/>
  </w:num>
  <w:num w:numId="33">
    <w:abstractNumId w:val="23"/>
  </w:num>
  <w:num w:numId="34">
    <w:abstractNumId w:val="27"/>
  </w:num>
  <w:num w:numId="35">
    <w:abstractNumId w:val="1"/>
  </w:num>
  <w:num w:numId="36">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3919"/>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5977"/>
    <w:rsid w:val="0006613A"/>
    <w:rsid w:val="00066439"/>
    <w:rsid w:val="00066B72"/>
    <w:rsid w:val="0006724D"/>
    <w:rsid w:val="0007093F"/>
    <w:rsid w:val="000730F1"/>
    <w:rsid w:val="00073928"/>
    <w:rsid w:val="00077EBF"/>
    <w:rsid w:val="00082629"/>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2B40"/>
    <w:rsid w:val="00101C79"/>
    <w:rsid w:val="00105A7C"/>
    <w:rsid w:val="00110113"/>
    <w:rsid w:val="00111F99"/>
    <w:rsid w:val="00117508"/>
    <w:rsid w:val="0012138E"/>
    <w:rsid w:val="00123C60"/>
    <w:rsid w:val="00131443"/>
    <w:rsid w:val="0013204A"/>
    <w:rsid w:val="00133A11"/>
    <w:rsid w:val="00136327"/>
    <w:rsid w:val="00137737"/>
    <w:rsid w:val="00143A7D"/>
    <w:rsid w:val="0014799D"/>
    <w:rsid w:val="0015011A"/>
    <w:rsid w:val="00151B63"/>
    <w:rsid w:val="001535BC"/>
    <w:rsid w:val="001545B4"/>
    <w:rsid w:val="00155553"/>
    <w:rsid w:val="00162B5B"/>
    <w:rsid w:val="0017038F"/>
    <w:rsid w:val="00171CCB"/>
    <w:rsid w:val="0017418C"/>
    <w:rsid w:val="00174E73"/>
    <w:rsid w:val="00175082"/>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1603B"/>
    <w:rsid w:val="002226E2"/>
    <w:rsid w:val="00225C7E"/>
    <w:rsid w:val="00226225"/>
    <w:rsid w:val="00230104"/>
    <w:rsid w:val="002325E4"/>
    <w:rsid w:val="00234B05"/>
    <w:rsid w:val="002369B8"/>
    <w:rsid w:val="00236EB2"/>
    <w:rsid w:val="00244732"/>
    <w:rsid w:val="00246ACC"/>
    <w:rsid w:val="0024756B"/>
    <w:rsid w:val="00251657"/>
    <w:rsid w:val="0025417A"/>
    <w:rsid w:val="00254DC6"/>
    <w:rsid w:val="00257346"/>
    <w:rsid w:val="00261A57"/>
    <w:rsid w:val="00261BD3"/>
    <w:rsid w:val="00267691"/>
    <w:rsid w:val="00267C1E"/>
    <w:rsid w:val="002706F4"/>
    <w:rsid w:val="00271BDC"/>
    <w:rsid w:val="00271E1C"/>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44FD"/>
    <w:rsid w:val="002B7967"/>
    <w:rsid w:val="002C3DD0"/>
    <w:rsid w:val="002C62CF"/>
    <w:rsid w:val="002C72A2"/>
    <w:rsid w:val="002D4584"/>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40CAC"/>
    <w:rsid w:val="0034251F"/>
    <w:rsid w:val="003436BF"/>
    <w:rsid w:val="003437A8"/>
    <w:rsid w:val="003441FF"/>
    <w:rsid w:val="00344FA1"/>
    <w:rsid w:val="003531F2"/>
    <w:rsid w:val="0035514D"/>
    <w:rsid w:val="003555E1"/>
    <w:rsid w:val="00363111"/>
    <w:rsid w:val="0036417A"/>
    <w:rsid w:val="00365815"/>
    <w:rsid w:val="00370ADD"/>
    <w:rsid w:val="003711BA"/>
    <w:rsid w:val="003721B0"/>
    <w:rsid w:val="00372BC6"/>
    <w:rsid w:val="00375F41"/>
    <w:rsid w:val="00376B4D"/>
    <w:rsid w:val="003815F3"/>
    <w:rsid w:val="003817E6"/>
    <w:rsid w:val="00384AE2"/>
    <w:rsid w:val="003863F2"/>
    <w:rsid w:val="003900BE"/>
    <w:rsid w:val="00391879"/>
    <w:rsid w:val="00392C87"/>
    <w:rsid w:val="00394F36"/>
    <w:rsid w:val="003A017D"/>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58B2"/>
    <w:rsid w:val="003D5D97"/>
    <w:rsid w:val="003D7397"/>
    <w:rsid w:val="003E0C7F"/>
    <w:rsid w:val="003E3DEA"/>
    <w:rsid w:val="003E6244"/>
    <w:rsid w:val="003E657D"/>
    <w:rsid w:val="003F57F0"/>
    <w:rsid w:val="0040027B"/>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5CA"/>
    <w:rsid w:val="00444DB8"/>
    <w:rsid w:val="00447E3D"/>
    <w:rsid w:val="00452CC4"/>
    <w:rsid w:val="00453B24"/>
    <w:rsid w:val="00454193"/>
    <w:rsid w:val="00454504"/>
    <w:rsid w:val="00457BC3"/>
    <w:rsid w:val="00464432"/>
    <w:rsid w:val="00464787"/>
    <w:rsid w:val="00466FA7"/>
    <w:rsid w:val="00471029"/>
    <w:rsid w:val="00475879"/>
    <w:rsid w:val="00476E85"/>
    <w:rsid w:val="004815E5"/>
    <w:rsid w:val="004825CA"/>
    <w:rsid w:val="00483FF7"/>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1A7D"/>
    <w:rsid w:val="004E5C17"/>
    <w:rsid w:val="004E7B93"/>
    <w:rsid w:val="004F671A"/>
    <w:rsid w:val="005005F6"/>
    <w:rsid w:val="0050266A"/>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175"/>
    <w:rsid w:val="00555D03"/>
    <w:rsid w:val="005574E2"/>
    <w:rsid w:val="00567FE1"/>
    <w:rsid w:val="00570163"/>
    <w:rsid w:val="00572EB5"/>
    <w:rsid w:val="0057560E"/>
    <w:rsid w:val="00575A04"/>
    <w:rsid w:val="00580A30"/>
    <w:rsid w:val="00580F4C"/>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F9D"/>
    <w:rsid w:val="005B4B9E"/>
    <w:rsid w:val="005C04A2"/>
    <w:rsid w:val="005C350D"/>
    <w:rsid w:val="005C44C5"/>
    <w:rsid w:val="005C5996"/>
    <w:rsid w:val="005C5B32"/>
    <w:rsid w:val="005C6516"/>
    <w:rsid w:val="005C74C2"/>
    <w:rsid w:val="005D10AE"/>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51A1C"/>
    <w:rsid w:val="00655180"/>
    <w:rsid w:val="00655E68"/>
    <w:rsid w:val="00663C28"/>
    <w:rsid w:val="006640FB"/>
    <w:rsid w:val="0066788F"/>
    <w:rsid w:val="006701D5"/>
    <w:rsid w:val="00670BF4"/>
    <w:rsid w:val="0067125E"/>
    <w:rsid w:val="00673325"/>
    <w:rsid w:val="006769F9"/>
    <w:rsid w:val="00680408"/>
    <w:rsid w:val="00683123"/>
    <w:rsid w:val="00683FE3"/>
    <w:rsid w:val="0068445E"/>
    <w:rsid w:val="00685FB5"/>
    <w:rsid w:val="00692CED"/>
    <w:rsid w:val="0069422E"/>
    <w:rsid w:val="00697265"/>
    <w:rsid w:val="006A28A1"/>
    <w:rsid w:val="006A4FD3"/>
    <w:rsid w:val="006B0A4D"/>
    <w:rsid w:val="006B2902"/>
    <w:rsid w:val="006B412C"/>
    <w:rsid w:val="006B58FF"/>
    <w:rsid w:val="006B627F"/>
    <w:rsid w:val="006B6B87"/>
    <w:rsid w:val="006B7267"/>
    <w:rsid w:val="006C00C2"/>
    <w:rsid w:val="006C5495"/>
    <w:rsid w:val="006C64F5"/>
    <w:rsid w:val="006C75C3"/>
    <w:rsid w:val="006D44CA"/>
    <w:rsid w:val="006D484F"/>
    <w:rsid w:val="006D4F91"/>
    <w:rsid w:val="006D5858"/>
    <w:rsid w:val="006D7C20"/>
    <w:rsid w:val="006E31CF"/>
    <w:rsid w:val="006E4BB8"/>
    <w:rsid w:val="006E609B"/>
    <w:rsid w:val="006E6DED"/>
    <w:rsid w:val="006E7382"/>
    <w:rsid w:val="006E7CEE"/>
    <w:rsid w:val="006F33C3"/>
    <w:rsid w:val="006F520C"/>
    <w:rsid w:val="006F59E0"/>
    <w:rsid w:val="007002C7"/>
    <w:rsid w:val="007014C5"/>
    <w:rsid w:val="0070487E"/>
    <w:rsid w:val="0070702A"/>
    <w:rsid w:val="00710154"/>
    <w:rsid w:val="007118CF"/>
    <w:rsid w:val="007121E9"/>
    <w:rsid w:val="00712473"/>
    <w:rsid w:val="007124C1"/>
    <w:rsid w:val="007167C9"/>
    <w:rsid w:val="0072012D"/>
    <w:rsid w:val="00721D14"/>
    <w:rsid w:val="007221B7"/>
    <w:rsid w:val="00733C44"/>
    <w:rsid w:val="00734B1E"/>
    <w:rsid w:val="007362B9"/>
    <w:rsid w:val="00736E23"/>
    <w:rsid w:val="007371BA"/>
    <w:rsid w:val="00740BBC"/>
    <w:rsid w:val="00741E70"/>
    <w:rsid w:val="00742085"/>
    <w:rsid w:val="007544F0"/>
    <w:rsid w:val="00755E41"/>
    <w:rsid w:val="00757723"/>
    <w:rsid w:val="00757D21"/>
    <w:rsid w:val="0076010B"/>
    <w:rsid w:val="007654E6"/>
    <w:rsid w:val="00765616"/>
    <w:rsid w:val="00766D5A"/>
    <w:rsid w:val="007705C2"/>
    <w:rsid w:val="00772BBA"/>
    <w:rsid w:val="00773DA2"/>
    <w:rsid w:val="00774B40"/>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1DD"/>
    <w:rsid w:val="007E5629"/>
    <w:rsid w:val="007E7731"/>
    <w:rsid w:val="007F51F2"/>
    <w:rsid w:val="007F575A"/>
    <w:rsid w:val="007F61A6"/>
    <w:rsid w:val="008040A8"/>
    <w:rsid w:val="00806C56"/>
    <w:rsid w:val="00812EC6"/>
    <w:rsid w:val="008139C0"/>
    <w:rsid w:val="00814F02"/>
    <w:rsid w:val="0081783D"/>
    <w:rsid w:val="0084012A"/>
    <w:rsid w:val="008441FE"/>
    <w:rsid w:val="008448F4"/>
    <w:rsid w:val="00845EC7"/>
    <w:rsid w:val="00853686"/>
    <w:rsid w:val="00854E5B"/>
    <w:rsid w:val="0086257F"/>
    <w:rsid w:val="00865DD0"/>
    <w:rsid w:val="00866F8D"/>
    <w:rsid w:val="00871CDC"/>
    <w:rsid w:val="008751AB"/>
    <w:rsid w:val="008755C5"/>
    <w:rsid w:val="00876D21"/>
    <w:rsid w:val="00884042"/>
    <w:rsid w:val="00884494"/>
    <w:rsid w:val="00885437"/>
    <w:rsid w:val="008860FE"/>
    <w:rsid w:val="00887400"/>
    <w:rsid w:val="00887561"/>
    <w:rsid w:val="00887CC4"/>
    <w:rsid w:val="008914FB"/>
    <w:rsid w:val="00891C05"/>
    <w:rsid w:val="00892D58"/>
    <w:rsid w:val="00893667"/>
    <w:rsid w:val="00893B59"/>
    <w:rsid w:val="00897951"/>
    <w:rsid w:val="008A35F2"/>
    <w:rsid w:val="008A4B72"/>
    <w:rsid w:val="008A741B"/>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4F84"/>
    <w:rsid w:val="008E6320"/>
    <w:rsid w:val="008F34BD"/>
    <w:rsid w:val="00900D0A"/>
    <w:rsid w:val="009029D4"/>
    <w:rsid w:val="0090511E"/>
    <w:rsid w:val="00906ED1"/>
    <w:rsid w:val="009100F8"/>
    <w:rsid w:val="00911515"/>
    <w:rsid w:val="009116BD"/>
    <w:rsid w:val="00911A56"/>
    <w:rsid w:val="00912377"/>
    <w:rsid w:val="00914BB9"/>
    <w:rsid w:val="00914DF9"/>
    <w:rsid w:val="0091798A"/>
    <w:rsid w:val="00920D7A"/>
    <w:rsid w:val="00936137"/>
    <w:rsid w:val="00937E15"/>
    <w:rsid w:val="00943CFA"/>
    <w:rsid w:val="00945E4C"/>
    <w:rsid w:val="009462C9"/>
    <w:rsid w:val="00946A67"/>
    <w:rsid w:val="00947047"/>
    <w:rsid w:val="009549AE"/>
    <w:rsid w:val="009552C2"/>
    <w:rsid w:val="009612E0"/>
    <w:rsid w:val="009612F7"/>
    <w:rsid w:val="0096491B"/>
    <w:rsid w:val="00965A85"/>
    <w:rsid w:val="00966299"/>
    <w:rsid w:val="00967429"/>
    <w:rsid w:val="00975D7E"/>
    <w:rsid w:val="009808AC"/>
    <w:rsid w:val="00981926"/>
    <w:rsid w:val="009840A5"/>
    <w:rsid w:val="009907A3"/>
    <w:rsid w:val="009924E0"/>
    <w:rsid w:val="00993727"/>
    <w:rsid w:val="009939C0"/>
    <w:rsid w:val="009945CA"/>
    <w:rsid w:val="009949F2"/>
    <w:rsid w:val="009A48CE"/>
    <w:rsid w:val="009A79E6"/>
    <w:rsid w:val="009B020D"/>
    <w:rsid w:val="009B1204"/>
    <w:rsid w:val="009B1CF3"/>
    <w:rsid w:val="009B2F60"/>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4987"/>
    <w:rsid w:val="009E7A30"/>
    <w:rsid w:val="009F1166"/>
    <w:rsid w:val="009F51A8"/>
    <w:rsid w:val="00A005EF"/>
    <w:rsid w:val="00A028E7"/>
    <w:rsid w:val="00A0607C"/>
    <w:rsid w:val="00A06583"/>
    <w:rsid w:val="00A077AE"/>
    <w:rsid w:val="00A11AEC"/>
    <w:rsid w:val="00A11B13"/>
    <w:rsid w:val="00A1546F"/>
    <w:rsid w:val="00A1567A"/>
    <w:rsid w:val="00A205A2"/>
    <w:rsid w:val="00A2101B"/>
    <w:rsid w:val="00A2263A"/>
    <w:rsid w:val="00A2271F"/>
    <w:rsid w:val="00A228E4"/>
    <w:rsid w:val="00A22CAF"/>
    <w:rsid w:val="00A254AE"/>
    <w:rsid w:val="00A3031B"/>
    <w:rsid w:val="00A31AB9"/>
    <w:rsid w:val="00A340EC"/>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0D58"/>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B1C36"/>
    <w:rsid w:val="00AB276E"/>
    <w:rsid w:val="00AB37C6"/>
    <w:rsid w:val="00AB4EEA"/>
    <w:rsid w:val="00AB5F90"/>
    <w:rsid w:val="00AC1A53"/>
    <w:rsid w:val="00AC384B"/>
    <w:rsid w:val="00AC3AC1"/>
    <w:rsid w:val="00AD0B65"/>
    <w:rsid w:val="00AD69CB"/>
    <w:rsid w:val="00AD6D2B"/>
    <w:rsid w:val="00AE01E8"/>
    <w:rsid w:val="00AE2E02"/>
    <w:rsid w:val="00AE46C3"/>
    <w:rsid w:val="00AE65F7"/>
    <w:rsid w:val="00AF0CF1"/>
    <w:rsid w:val="00AF3545"/>
    <w:rsid w:val="00AF6AC9"/>
    <w:rsid w:val="00B01843"/>
    <w:rsid w:val="00B02931"/>
    <w:rsid w:val="00B048EE"/>
    <w:rsid w:val="00B05C27"/>
    <w:rsid w:val="00B06A9F"/>
    <w:rsid w:val="00B13229"/>
    <w:rsid w:val="00B15E45"/>
    <w:rsid w:val="00B20E5C"/>
    <w:rsid w:val="00B21ED4"/>
    <w:rsid w:val="00B24D65"/>
    <w:rsid w:val="00B3130F"/>
    <w:rsid w:val="00B3399A"/>
    <w:rsid w:val="00B345F9"/>
    <w:rsid w:val="00B348CF"/>
    <w:rsid w:val="00B37256"/>
    <w:rsid w:val="00B4070A"/>
    <w:rsid w:val="00B4519A"/>
    <w:rsid w:val="00B505CF"/>
    <w:rsid w:val="00B52D80"/>
    <w:rsid w:val="00B5379B"/>
    <w:rsid w:val="00B5677B"/>
    <w:rsid w:val="00B56C5A"/>
    <w:rsid w:val="00B64855"/>
    <w:rsid w:val="00B650A9"/>
    <w:rsid w:val="00B6696F"/>
    <w:rsid w:val="00B66CC6"/>
    <w:rsid w:val="00B70FB2"/>
    <w:rsid w:val="00B7719E"/>
    <w:rsid w:val="00B8270A"/>
    <w:rsid w:val="00B85F61"/>
    <w:rsid w:val="00B86A6F"/>
    <w:rsid w:val="00B87752"/>
    <w:rsid w:val="00B93DDE"/>
    <w:rsid w:val="00B97A9E"/>
    <w:rsid w:val="00BA120C"/>
    <w:rsid w:val="00BA1865"/>
    <w:rsid w:val="00BA2334"/>
    <w:rsid w:val="00BA47AF"/>
    <w:rsid w:val="00BA61B0"/>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1EEB"/>
    <w:rsid w:val="00BF5593"/>
    <w:rsid w:val="00C00A3A"/>
    <w:rsid w:val="00C0243B"/>
    <w:rsid w:val="00C042F2"/>
    <w:rsid w:val="00C1049A"/>
    <w:rsid w:val="00C107CE"/>
    <w:rsid w:val="00C1183A"/>
    <w:rsid w:val="00C13C99"/>
    <w:rsid w:val="00C13DE3"/>
    <w:rsid w:val="00C14DC6"/>
    <w:rsid w:val="00C20DCE"/>
    <w:rsid w:val="00C279B8"/>
    <w:rsid w:val="00C3030B"/>
    <w:rsid w:val="00C336D2"/>
    <w:rsid w:val="00C34EC6"/>
    <w:rsid w:val="00C35328"/>
    <w:rsid w:val="00C3711A"/>
    <w:rsid w:val="00C4536B"/>
    <w:rsid w:val="00C47F4E"/>
    <w:rsid w:val="00C510A4"/>
    <w:rsid w:val="00C5289B"/>
    <w:rsid w:val="00C56155"/>
    <w:rsid w:val="00C6044B"/>
    <w:rsid w:val="00C60796"/>
    <w:rsid w:val="00C6219F"/>
    <w:rsid w:val="00C641E9"/>
    <w:rsid w:val="00C644F5"/>
    <w:rsid w:val="00C67261"/>
    <w:rsid w:val="00C7641A"/>
    <w:rsid w:val="00C80FAC"/>
    <w:rsid w:val="00C8302D"/>
    <w:rsid w:val="00C84DE2"/>
    <w:rsid w:val="00C86B99"/>
    <w:rsid w:val="00C87D58"/>
    <w:rsid w:val="00C87D6D"/>
    <w:rsid w:val="00C90045"/>
    <w:rsid w:val="00C90744"/>
    <w:rsid w:val="00C90B7D"/>
    <w:rsid w:val="00C92574"/>
    <w:rsid w:val="00C9718A"/>
    <w:rsid w:val="00C97FBF"/>
    <w:rsid w:val="00CA0E8C"/>
    <w:rsid w:val="00CA13F9"/>
    <w:rsid w:val="00CA57AC"/>
    <w:rsid w:val="00CA6149"/>
    <w:rsid w:val="00CA6D27"/>
    <w:rsid w:val="00CA6D69"/>
    <w:rsid w:val="00CB241F"/>
    <w:rsid w:val="00CB61CE"/>
    <w:rsid w:val="00CB6BB7"/>
    <w:rsid w:val="00CC112A"/>
    <w:rsid w:val="00CC1802"/>
    <w:rsid w:val="00CD745F"/>
    <w:rsid w:val="00CD7E69"/>
    <w:rsid w:val="00CE146F"/>
    <w:rsid w:val="00CE298D"/>
    <w:rsid w:val="00CE6114"/>
    <w:rsid w:val="00CF0BD1"/>
    <w:rsid w:val="00CF2F2D"/>
    <w:rsid w:val="00CF62DE"/>
    <w:rsid w:val="00CF7819"/>
    <w:rsid w:val="00D011DE"/>
    <w:rsid w:val="00D01A21"/>
    <w:rsid w:val="00D01B68"/>
    <w:rsid w:val="00D2148A"/>
    <w:rsid w:val="00D30ED0"/>
    <w:rsid w:val="00D40CC3"/>
    <w:rsid w:val="00D4509F"/>
    <w:rsid w:val="00D45315"/>
    <w:rsid w:val="00D47BED"/>
    <w:rsid w:val="00D501D9"/>
    <w:rsid w:val="00D52ABC"/>
    <w:rsid w:val="00D535E6"/>
    <w:rsid w:val="00D60F7B"/>
    <w:rsid w:val="00D6167E"/>
    <w:rsid w:val="00D67580"/>
    <w:rsid w:val="00D70054"/>
    <w:rsid w:val="00D73447"/>
    <w:rsid w:val="00D75418"/>
    <w:rsid w:val="00D76FA8"/>
    <w:rsid w:val="00D85D1C"/>
    <w:rsid w:val="00D8738E"/>
    <w:rsid w:val="00D90744"/>
    <w:rsid w:val="00D92E9F"/>
    <w:rsid w:val="00D934F2"/>
    <w:rsid w:val="00DA37E3"/>
    <w:rsid w:val="00DA39DA"/>
    <w:rsid w:val="00DA3E5E"/>
    <w:rsid w:val="00DA4EEE"/>
    <w:rsid w:val="00DA7651"/>
    <w:rsid w:val="00DB199C"/>
    <w:rsid w:val="00DB2FA1"/>
    <w:rsid w:val="00DB3C97"/>
    <w:rsid w:val="00DB5C0F"/>
    <w:rsid w:val="00DC0E01"/>
    <w:rsid w:val="00DC4D27"/>
    <w:rsid w:val="00DC5127"/>
    <w:rsid w:val="00DC7B87"/>
    <w:rsid w:val="00DD2ADE"/>
    <w:rsid w:val="00DD44CA"/>
    <w:rsid w:val="00DD47E2"/>
    <w:rsid w:val="00DD6338"/>
    <w:rsid w:val="00DE0CAB"/>
    <w:rsid w:val="00DE18A3"/>
    <w:rsid w:val="00DE1B57"/>
    <w:rsid w:val="00DE4672"/>
    <w:rsid w:val="00DE7665"/>
    <w:rsid w:val="00DF4569"/>
    <w:rsid w:val="00DF61FC"/>
    <w:rsid w:val="00E0443E"/>
    <w:rsid w:val="00E0597D"/>
    <w:rsid w:val="00E0685C"/>
    <w:rsid w:val="00E076C0"/>
    <w:rsid w:val="00E102EF"/>
    <w:rsid w:val="00E11599"/>
    <w:rsid w:val="00E21F98"/>
    <w:rsid w:val="00E22EAF"/>
    <w:rsid w:val="00E24CC5"/>
    <w:rsid w:val="00E275C2"/>
    <w:rsid w:val="00E370BC"/>
    <w:rsid w:val="00E37B6C"/>
    <w:rsid w:val="00E413C6"/>
    <w:rsid w:val="00E41BB7"/>
    <w:rsid w:val="00E43DDB"/>
    <w:rsid w:val="00E44261"/>
    <w:rsid w:val="00E45544"/>
    <w:rsid w:val="00E55D00"/>
    <w:rsid w:val="00E56D8F"/>
    <w:rsid w:val="00E57D32"/>
    <w:rsid w:val="00E627AE"/>
    <w:rsid w:val="00E73C1F"/>
    <w:rsid w:val="00E74099"/>
    <w:rsid w:val="00E751A1"/>
    <w:rsid w:val="00E82E42"/>
    <w:rsid w:val="00E838E3"/>
    <w:rsid w:val="00E84720"/>
    <w:rsid w:val="00E91483"/>
    <w:rsid w:val="00E93E97"/>
    <w:rsid w:val="00E97C87"/>
    <w:rsid w:val="00EA180F"/>
    <w:rsid w:val="00EA22BB"/>
    <w:rsid w:val="00EA2DA9"/>
    <w:rsid w:val="00EA599B"/>
    <w:rsid w:val="00EA61ED"/>
    <w:rsid w:val="00EB0715"/>
    <w:rsid w:val="00EB1337"/>
    <w:rsid w:val="00EB6E31"/>
    <w:rsid w:val="00EC0AD0"/>
    <w:rsid w:val="00EC1414"/>
    <w:rsid w:val="00EC2618"/>
    <w:rsid w:val="00EC2AFC"/>
    <w:rsid w:val="00EC2CBB"/>
    <w:rsid w:val="00EC5F1C"/>
    <w:rsid w:val="00EC7C5C"/>
    <w:rsid w:val="00ED0DDC"/>
    <w:rsid w:val="00ED0DEE"/>
    <w:rsid w:val="00ED156A"/>
    <w:rsid w:val="00ED4D0D"/>
    <w:rsid w:val="00ED5C37"/>
    <w:rsid w:val="00ED5E70"/>
    <w:rsid w:val="00ED5F5C"/>
    <w:rsid w:val="00ED67E0"/>
    <w:rsid w:val="00EE3F01"/>
    <w:rsid w:val="00EE6303"/>
    <w:rsid w:val="00EE64E4"/>
    <w:rsid w:val="00EF083B"/>
    <w:rsid w:val="00EF2392"/>
    <w:rsid w:val="00F0539E"/>
    <w:rsid w:val="00F06729"/>
    <w:rsid w:val="00F06766"/>
    <w:rsid w:val="00F06A90"/>
    <w:rsid w:val="00F100E5"/>
    <w:rsid w:val="00F10244"/>
    <w:rsid w:val="00F118A0"/>
    <w:rsid w:val="00F11CC0"/>
    <w:rsid w:val="00F17CE2"/>
    <w:rsid w:val="00F20CFE"/>
    <w:rsid w:val="00F20E79"/>
    <w:rsid w:val="00F213A0"/>
    <w:rsid w:val="00F2255D"/>
    <w:rsid w:val="00F22D1A"/>
    <w:rsid w:val="00F23F81"/>
    <w:rsid w:val="00F24C41"/>
    <w:rsid w:val="00F24D2E"/>
    <w:rsid w:val="00F35014"/>
    <w:rsid w:val="00F351EC"/>
    <w:rsid w:val="00F35776"/>
    <w:rsid w:val="00F3689D"/>
    <w:rsid w:val="00F372E0"/>
    <w:rsid w:val="00F37B2A"/>
    <w:rsid w:val="00F37CFF"/>
    <w:rsid w:val="00F41B74"/>
    <w:rsid w:val="00F43132"/>
    <w:rsid w:val="00F43733"/>
    <w:rsid w:val="00F44661"/>
    <w:rsid w:val="00F45857"/>
    <w:rsid w:val="00F45EF1"/>
    <w:rsid w:val="00F523D2"/>
    <w:rsid w:val="00F5468A"/>
    <w:rsid w:val="00F5623E"/>
    <w:rsid w:val="00F5711C"/>
    <w:rsid w:val="00F65D61"/>
    <w:rsid w:val="00F66474"/>
    <w:rsid w:val="00F722BB"/>
    <w:rsid w:val="00F72938"/>
    <w:rsid w:val="00F87D3E"/>
    <w:rsid w:val="00F9192C"/>
    <w:rsid w:val="00F925C5"/>
    <w:rsid w:val="00FA1803"/>
    <w:rsid w:val="00FA346F"/>
    <w:rsid w:val="00FA5F66"/>
    <w:rsid w:val="00FC0576"/>
    <w:rsid w:val="00FC3A08"/>
    <w:rsid w:val="00FC4E21"/>
    <w:rsid w:val="00FC7AB5"/>
    <w:rsid w:val="00FD0099"/>
    <w:rsid w:val="00FD05D4"/>
    <w:rsid w:val="00FD3B0A"/>
    <w:rsid w:val="00FD4ABD"/>
    <w:rsid w:val="00FD6B67"/>
    <w:rsid w:val="00FE0024"/>
    <w:rsid w:val="00FF0667"/>
    <w:rsid w:val="00FF0769"/>
    <w:rsid w:val="00FF08DF"/>
    <w:rsid w:val="00FF0A81"/>
    <w:rsid w:val="00FF33F2"/>
    <w:rsid w:val="00FF6CCA"/>
    <w:rsid w:val="00FF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D12638"/>
  <w15:docId w15:val="{E89E9FC2-1824-4A21-8971-1D231134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FA1803"/>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FA180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71256">
      <w:bodyDiv w:val="1"/>
      <w:marLeft w:val="0"/>
      <w:marRight w:val="0"/>
      <w:marTop w:val="0"/>
      <w:marBottom w:val="0"/>
      <w:divBdr>
        <w:top w:val="none" w:sz="0" w:space="0" w:color="auto"/>
        <w:left w:val="none" w:sz="0" w:space="0" w:color="auto"/>
        <w:bottom w:val="none" w:sz="0" w:space="0" w:color="auto"/>
        <w:right w:val="none" w:sz="0" w:space="0" w:color="auto"/>
      </w:divBdr>
    </w:div>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04462186">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828663484">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pprenticeships.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BFCD-3849-41D0-8607-01E9E4520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A5132A3C-D80D-43A2-AC97-6CBCBF80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30118</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3</cp:revision>
  <cp:lastPrinted>2016-06-02T10:26:00Z</cp:lastPrinted>
  <dcterms:created xsi:type="dcterms:W3CDTF">2016-06-23T13:34:00Z</dcterms:created>
  <dcterms:modified xsi:type="dcterms:W3CDTF">2016-06-23T13:35:00Z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