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45915B20" w:rsidR="00B63678" w:rsidRDefault="00B63678">
      <w:pPr>
        <w:rPr>
          <w:rFonts w:ascii="Arial" w:hAnsi="Arial" w:cs="Arial"/>
          <w:b/>
          <w:sz w:val="22"/>
          <w:szCs w:val="22"/>
          <w:lang w:eastAsia="en-US"/>
        </w:rPr>
      </w:pPr>
    </w:p>
    <w:p w14:paraId="2A190F35" w14:textId="77777777" w:rsidR="00B63678" w:rsidRDefault="00B63678" w:rsidP="00B63678">
      <w:pPr>
        <w:pStyle w:val="Background1"/>
        <w:numPr>
          <w:ilvl w:val="0"/>
          <w:numId w:val="0"/>
        </w:numPr>
        <w:spacing w:after="120" w:line="240" w:lineRule="atLeast"/>
        <w:rPr>
          <w:rFonts w:cs="Arial"/>
          <w:b/>
          <w:sz w:val="22"/>
          <w:szCs w:val="22"/>
        </w:rPr>
      </w:pPr>
      <w:r>
        <w:rPr>
          <w:rFonts w:cs="Arial"/>
          <w:b/>
          <w:sz w:val="22"/>
          <w:szCs w:val="22"/>
        </w:rPr>
        <w:t>Special Terms:</w:t>
      </w:r>
    </w:p>
    <w:p w14:paraId="26342125" w14:textId="39EDE009" w:rsidR="00B63678" w:rsidRPr="00F04098" w:rsidRDefault="00F04098" w:rsidP="00B63678">
      <w:pPr>
        <w:pStyle w:val="Heading2"/>
        <w:tabs>
          <w:tab w:val="clear" w:pos="709"/>
        </w:tabs>
        <w:spacing w:after="120"/>
        <w:ind w:left="0" w:firstLine="0"/>
        <w:rPr>
          <w:rFonts w:ascii="Arial" w:hAnsi="Arial"/>
          <w:sz w:val="22"/>
          <w:szCs w:val="22"/>
        </w:rPr>
      </w:pPr>
      <w:r w:rsidRPr="00F04098">
        <w:rPr>
          <w:rFonts w:ascii="Arial" w:hAnsi="Arial"/>
          <w:sz w:val="22"/>
          <w:szCs w:val="22"/>
        </w:rPr>
        <w:t xml:space="preserve">Please note that the following statement supersedes Section 9 – Intellectual Property Rights (IPR). </w:t>
      </w:r>
    </w:p>
    <w:p w14:paraId="42B3B769" w14:textId="1A0C1EE9" w:rsidR="00F04098" w:rsidRPr="00F04098" w:rsidRDefault="00F04098" w:rsidP="00F04098">
      <w:pPr>
        <w:pStyle w:val="Heading2"/>
        <w:tabs>
          <w:tab w:val="clear" w:pos="709"/>
        </w:tabs>
        <w:spacing w:after="120"/>
        <w:ind w:left="0" w:firstLine="0"/>
        <w:rPr>
          <w:rFonts w:ascii="Arial" w:hAnsi="Arial"/>
          <w:sz w:val="22"/>
          <w:szCs w:val="22"/>
        </w:rPr>
      </w:pPr>
      <w:r w:rsidRPr="00F04098">
        <w:rPr>
          <w:rFonts w:ascii="Arial" w:hAnsi="Arial"/>
          <w:sz w:val="22"/>
          <w:szCs w:val="22"/>
        </w:rPr>
        <w:t xml:space="preserve">“The Authority will retain full Intellectual Property Rights for the work completed, including the statistical model.” </w:t>
      </w:r>
    </w:p>
    <w:p w14:paraId="7405B560" w14:textId="26EB896E" w:rsidR="00F04098" w:rsidRPr="00F04098" w:rsidRDefault="00F04098" w:rsidP="00F04098">
      <w:pPr>
        <w:rPr>
          <w:rFonts w:ascii="Arial" w:hAnsi="Arial" w:cs="Arial"/>
          <w:sz w:val="22"/>
          <w:szCs w:val="22"/>
          <w:lang w:eastAsia="en-US"/>
        </w:rPr>
      </w:pPr>
      <w:r w:rsidRPr="00F04098">
        <w:rPr>
          <w:rFonts w:ascii="Arial" w:hAnsi="Arial" w:cs="Arial"/>
          <w:sz w:val="22"/>
          <w:szCs w:val="22"/>
          <w:lang w:eastAsia="en-US"/>
        </w:rPr>
        <w:t xml:space="preserve">As stated in Section 18 of Appendix B – Statement of Requirements. </w:t>
      </w:r>
    </w:p>
    <w:p w14:paraId="24D9285B" w14:textId="75B87CDA" w:rsidR="00F04098" w:rsidRPr="00F04098" w:rsidRDefault="00F04098" w:rsidP="00F04098">
      <w:pPr>
        <w:rPr>
          <w:lang w:eastAsia="en-US"/>
        </w:rPr>
      </w:pPr>
    </w:p>
    <w:p w14:paraId="32C207D4" w14:textId="77777777" w:rsidR="00B63678" w:rsidRDefault="00B63678" w:rsidP="00B63678">
      <w:pPr>
        <w:rPr>
          <w:rFonts w:cs="Arial"/>
          <w:b/>
          <w:sz w:val="22"/>
          <w:szCs w:val="22"/>
        </w:rPr>
      </w:pPr>
    </w:p>
    <w:p w14:paraId="58B32702" w14:textId="77777777" w:rsidR="00B63678" w:rsidRDefault="00B63678" w:rsidP="00B63678">
      <w:pPr>
        <w:rPr>
          <w:rFonts w:cs="Arial"/>
          <w:b/>
          <w:sz w:val="22"/>
          <w:szCs w:val="22"/>
        </w:rPr>
      </w:pPr>
    </w:p>
    <w:p w14:paraId="6BEC4D24" w14:textId="77777777" w:rsidR="00B63678" w:rsidRDefault="00B63678" w:rsidP="00B63678">
      <w:pPr>
        <w:rPr>
          <w:rFonts w:cs="Arial"/>
          <w:b/>
          <w:sz w:val="22"/>
          <w:szCs w:val="22"/>
        </w:rPr>
      </w:pPr>
    </w:p>
    <w:p w14:paraId="635860FA" w14:textId="77777777" w:rsidR="00B63678" w:rsidRDefault="00B63678" w:rsidP="00B63678">
      <w:pPr>
        <w:rPr>
          <w:rFonts w:cs="Arial"/>
          <w:b/>
          <w:sz w:val="22"/>
          <w:szCs w:val="22"/>
        </w:rPr>
      </w:pPr>
    </w:p>
    <w:p w14:paraId="508D3D3F" w14:textId="77777777" w:rsidR="00B63678" w:rsidRDefault="00B63678" w:rsidP="00B63678">
      <w:pPr>
        <w:rPr>
          <w:rFonts w:cs="Arial"/>
          <w:b/>
          <w:sz w:val="22"/>
          <w:szCs w:val="22"/>
        </w:rPr>
      </w:pPr>
    </w:p>
    <w:p w14:paraId="55737F57" w14:textId="77777777" w:rsidR="00B63678" w:rsidRDefault="00B63678" w:rsidP="00B63678">
      <w:pPr>
        <w:rPr>
          <w:rFonts w:cs="Arial"/>
          <w:b/>
          <w:sz w:val="22"/>
          <w:szCs w:val="22"/>
        </w:rPr>
      </w:pPr>
    </w:p>
    <w:p w14:paraId="4AE90432" w14:textId="77777777" w:rsidR="00B63678" w:rsidRDefault="00B63678" w:rsidP="00B63678">
      <w:pPr>
        <w:rPr>
          <w:rFonts w:cs="Arial"/>
          <w:b/>
          <w:sz w:val="22"/>
          <w:szCs w:val="22"/>
        </w:rPr>
      </w:pPr>
    </w:p>
    <w:p w14:paraId="6852D8F7" w14:textId="77777777" w:rsidR="00B63678" w:rsidRDefault="00B63678" w:rsidP="00B63678">
      <w:pPr>
        <w:rPr>
          <w:rFonts w:cs="Arial"/>
          <w:b/>
          <w:sz w:val="22"/>
          <w:szCs w:val="22"/>
        </w:rPr>
      </w:pPr>
    </w:p>
    <w:p w14:paraId="4D5A5DA9" w14:textId="77777777" w:rsidR="00B63678" w:rsidRDefault="00B63678" w:rsidP="00B63678">
      <w:pPr>
        <w:rPr>
          <w:rFonts w:cs="Arial"/>
          <w:b/>
          <w:sz w:val="22"/>
          <w:szCs w:val="22"/>
        </w:rPr>
      </w:pPr>
    </w:p>
    <w:p w14:paraId="1EC805BF" w14:textId="77777777" w:rsidR="00B63678" w:rsidRDefault="00B63678" w:rsidP="00B63678">
      <w:pPr>
        <w:rPr>
          <w:rFonts w:cs="Arial"/>
          <w:b/>
          <w:sz w:val="22"/>
          <w:szCs w:val="22"/>
        </w:rPr>
      </w:pPr>
    </w:p>
    <w:p w14:paraId="7A9132B2" w14:textId="77777777" w:rsidR="00B63678" w:rsidRDefault="00B63678" w:rsidP="00B63678">
      <w:pPr>
        <w:rPr>
          <w:rFonts w:cs="Arial"/>
          <w:b/>
          <w:sz w:val="22"/>
          <w:szCs w:val="22"/>
        </w:rPr>
      </w:pPr>
    </w:p>
    <w:p w14:paraId="2F52CD5A" w14:textId="77777777" w:rsidR="00B63678" w:rsidRDefault="00B63678" w:rsidP="00B63678">
      <w:pPr>
        <w:rPr>
          <w:rFonts w:cs="Arial"/>
          <w:b/>
          <w:sz w:val="22"/>
          <w:szCs w:val="22"/>
        </w:rPr>
      </w:pPr>
    </w:p>
    <w:p w14:paraId="169CC4BF" w14:textId="77777777" w:rsidR="00B63678" w:rsidRDefault="00B63678" w:rsidP="00B63678">
      <w:pPr>
        <w:rPr>
          <w:rFonts w:cs="Arial"/>
          <w:b/>
          <w:sz w:val="22"/>
          <w:szCs w:val="22"/>
        </w:rPr>
      </w:pPr>
    </w:p>
    <w:p w14:paraId="17349F11" w14:textId="77777777" w:rsidR="00B63678" w:rsidRDefault="00B63678" w:rsidP="00B63678">
      <w:pPr>
        <w:rPr>
          <w:rFonts w:cs="Arial"/>
          <w:b/>
          <w:sz w:val="22"/>
          <w:szCs w:val="22"/>
        </w:rPr>
      </w:pPr>
    </w:p>
    <w:p w14:paraId="58C7142F" w14:textId="77777777" w:rsidR="00B63678" w:rsidRDefault="00B63678" w:rsidP="00B63678">
      <w:pPr>
        <w:rPr>
          <w:rFonts w:cs="Arial"/>
          <w:b/>
          <w:sz w:val="22"/>
          <w:szCs w:val="22"/>
        </w:rPr>
      </w:pPr>
    </w:p>
    <w:p w14:paraId="685E3413" w14:textId="77777777" w:rsidR="00B63678" w:rsidRDefault="00B63678" w:rsidP="00B63678">
      <w:pPr>
        <w:rPr>
          <w:rFonts w:cs="Arial"/>
          <w:b/>
          <w:sz w:val="22"/>
          <w:szCs w:val="22"/>
        </w:rPr>
      </w:pPr>
    </w:p>
    <w:p w14:paraId="0100B76A" w14:textId="77777777" w:rsidR="00B63678" w:rsidRDefault="00B63678" w:rsidP="00B63678">
      <w:pPr>
        <w:rPr>
          <w:rFonts w:cs="Arial"/>
          <w:b/>
          <w:sz w:val="22"/>
          <w:szCs w:val="22"/>
        </w:rPr>
      </w:pPr>
    </w:p>
    <w:p w14:paraId="13891050" w14:textId="77777777" w:rsidR="00B63678" w:rsidRDefault="00B63678" w:rsidP="00B63678">
      <w:pPr>
        <w:rPr>
          <w:rFonts w:cs="Arial"/>
          <w:b/>
          <w:sz w:val="22"/>
          <w:szCs w:val="22"/>
        </w:rPr>
      </w:pPr>
    </w:p>
    <w:p w14:paraId="0C438663" w14:textId="77777777" w:rsidR="00B63678" w:rsidRDefault="00B63678" w:rsidP="00B63678">
      <w:pPr>
        <w:rPr>
          <w:rFonts w:cs="Arial"/>
          <w:b/>
          <w:sz w:val="22"/>
          <w:szCs w:val="22"/>
        </w:rPr>
      </w:pPr>
    </w:p>
    <w:p w14:paraId="15874139" w14:textId="77777777" w:rsidR="00B63678" w:rsidRDefault="00B63678" w:rsidP="00B63678">
      <w:pPr>
        <w:rPr>
          <w:rFonts w:cs="Arial"/>
          <w:b/>
          <w:sz w:val="22"/>
          <w:szCs w:val="22"/>
        </w:rPr>
      </w:pPr>
    </w:p>
    <w:p w14:paraId="00DDDADA" w14:textId="77777777" w:rsidR="00B63678" w:rsidRDefault="00B63678" w:rsidP="00B63678">
      <w:pPr>
        <w:rPr>
          <w:rFonts w:cs="Arial"/>
          <w:b/>
          <w:sz w:val="22"/>
          <w:szCs w:val="22"/>
        </w:rPr>
      </w:pPr>
    </w:p>
    <w:p w14:paraId="5A217C54" w14:textId="77777777" w:rsidR="00B63678" w:rsidRDefault="00B63678" w:rsidP="00B63678">
      <w:pPr>
        <w:rPr>
          <w:rFonts w:cs="Arial"/>
          <w:b/>
          <w:sz w:val="22"/>
          <w:szCs w:val="22"/>
        </w:rPr>
      </w:pPr>
    </w:p>
    <w:p w14:paraId="51AB7B45" w14:textId="77777777" w:rsidR="00B63678" w:rsidRDefault="00B63678" w:rsidP="00B63678">
      <w:pPr>
        <w:rPr>
          <w:rFonts w:cs="Arial"/>
          <w:b/>
          <w:sz w:val="22"/>
          <w:szCs w:val="22"/>
        </w:rPr>
      </w:pPr>
    </w:p>
    <w:p w14:paraId="3AA4DE1C" w14:textId="77777777" w:rsidR="00B63678" w:rsidRDefault="00B63678" w:rsidP="00B63678">
      <w:pPr>
        <w:rPr>
          <w:rFonts w:cs="Arial"/>
          <w:b/>
          <w:sz w:val="22"/>
          <w:szCs w:val="22"/>
        </w:rPr>
      </w:pPr>
    </w:p>
    <w:p w14:paraId="61E99C0E" w14:textId="77777777" w:rsidR="00B63678" w:rsidRDefault="00B63678" w:rsidP="00B63678">
      <w:pPr>
        <w:rPr>
          <w:rFonts w:cs="Arial"/>
          <w:b/>
          <w:sz w:val="22"/>
          <w:szCs w:val="22"/>
        </w:rPr>
      </w:pPr>
    </w:p>
    <w:p w14:paraId="5A14B4A7" w14:textId="77777777" w:rsidR="00B63678" w:rsidRDefault="00B63678" w:rsidP="00B63678">
      <w:pPr>
        <w:rPr>
          <w:rFonts w:cs="Arial"/>
          <w:b/>
          <w:sz w:val="22"/>
          <w:szCs w:val="22"/>
        </w:rPr>
      </w:pPr>
    </w:p>
    <w:p w14:paraId="67635643" w14:textId="77777777" w:rsidR="00B63678" w:rsidRDefault="00B63678" w:rsidP="00B63678">
      <w:pPr>
        <w:rPr>
          <w:rFonts w:cs="Arial"/>
          <w:b/>
          <w:sz w:val="22"/>
          <w:szCs w:val="22"/>
        </w:rPr>
      </w:pPr>
    </w:p>
    <w:p w14:paraId="68F1423F" w14:textId="77777777" w:rsidR="00B63678" w:rsidRDefault="00B63678" w:rsidP="00B63678">
      <w:pPr>
        <w:rPr>
          <w:rFonts w:cs="Arial"/>
          <w:b/>
          <w:sz w:val="22"/>
          <w:szCs w:val="22"/>
        </w:rPr>
      </w:pPr>
    </w:p>
    <w:p w14:paraId="0A875909" w14:textId="77777777" w:rsidR="00B63678" w:rsidRDefault="00B63678" w:rsidP="00B63678">
      <w:pPr>
        <w:rPr>
          <w:rFonts w:cs="Arial"/>
          <w:b/>
          <w:sz w:val="22"/>
          <w:szCs w:val="22"/>
        </w:rPr>
      </w:pPr>
    </w:p>
    <w:p w14:paraId="056F6233" w14:textId="77777777" w:rsidR="00B63678" w:rsidRDefault="00B63678" w:rsidP="00B63678">
      <w:pPr>
        <w:rPr>
          <w:rFonts w:cs="Arial"/>
          <w:b/>
          <w:sz w:val="22"/>
          <w:szCs w:val="22"/>
        </w:rPr>
      </w:pPr>
    </w:p>
    <w:p w14:paraId="1D16ED49" w14:textId="77777777" w:rsidR="00B63678" w:rsidRDefault="00B63678" w:rsidP="00B63678">
      <w:pPr>
        <w:rPr>
          <w:rFonts w:cs="Arial"/>
          <w:b/>
          <w:sz w:val="22"/>
          <w:szCs w:val="22"/>
        </w:rPr>
      </w:pPr>
    </w:p>
    <w:p w14:paraId="1399CA30" w14:textId="77777777" w:rsidR="00B63678" w:rsidRDefault="00B63678" w:rsidP="00B63678">
      <w:pPr>
        <w:rPr>
          <w:rFonts w:cs="Arial"/>
          <w:b/>
          <w:sz w:val="22"/>
          <w:szCs w:val="22"/>
        </w:rPr>
      </w:pPr>
    </w:p>
    <w:p w14:paraId="0DEE3D8D" w14:textId="77777777" w:rsidR="00B63678" w:rsidRDefault="00B63678" w:rsidP="00B63678">
      <w:pPr>
        <w:rPr>
          <w:rFonts w:cs="Arial"/>
          <w:b/>
          <w:sz w:val="22"/>
          <w:szCs w:val="22"/>
        </w:rPr>
      </w:pPr>
    </w:p>
    <w:p w14:paraId="07BC00D9" w14:textId="77777777" w:rsidR="00B63678" w:rsidRDefault="00B63678" w:rsidP="00B63678">
      <w:pPr>
        <w:rPr>
          <w:rFonts w:cs="Arial"/>
          <w:b/>
          <w:sz w:val="22"/>
          <w:szCs w:val="22"/>
        </w:rPr>
      </w:pPr>
    </w:p>
    <w:p w14:paraId="52794844" w14:textId="77777777" w:rsidR="00B63678" w:rsidRDefault="00B63678" w:rsidP="00B63678">
      <w:pPr>
        <w:rPr>
          <w:rFonts w:cs="Arial"/>
          <w:b/>
          <w:sz w:val="22"/>
          <w:szCs w:val="22"/>
        </w:rPr>
      </w:pPr>
    </w:p>
    <w:p w14:paraId="11D644D4" w14:textId="77777777" w:rsidR="00B63678" w:rsidRDefault="00B63678" w:rsidP="00B63678">
      <w:pPr>
        <w:rPr>
          <w:rFonts w:cs="Arial"/>
          <w:b/>
          <w:sz w:val="22"/>
          <w:szCs w:val="22"/>
        </w:rPr>
      </w:pPr>
    </w:p>
    <w:p w14:paraId="641B309C" w14:textId="77777777" w:rsidR="00B63678" w:rsidRDefault="00B63678" w:rsidP="00B63678">
      <w:pPr>
        <w:rPr>
          <w:rFonts w:cs="Arial"/>
          <w:b/>
          <w:sz w:val="22"/>
          <w:szCs w:val="22"/>
        </w:rPr>
      </w:pPr>
    </w:p>
    <w:p w14:paraId="0224C856" w14:textId="77777777" w:rsidR="00B63678" w:rsidRDefault="00B63678" w:rsidP="00B63678">
      <w:pPr>
        <w:rPr>
          <w:rFonts w:cs="Arial"/>
          <w:b/>
          <w:sz w:val="22"/>
          <w:szCs w:val="22"/>
        </w:rPr>
      </w:pPr>
      <w:bookmarkStart w:id="0" w:name="_GoBack"/>
      <w:bookmarkEnd w:id="0"/>
    </w:p>
    <w:p w14:paraId="582641CA" w14:textId="77777777" w:rsidR="00B63678" w:rsidRDefault="00B63678" w:rsidP="00B63678">
      <w:pPr>
        <w:rPr>
          <w:rFonts w:cs="Arial"/>
          <w:b/>
          <w:sz w:val="22"/>
          <w:szCs w:val="22"/>
        </w:rPr>
      </w:pPr>
    </w:p>
    <w:p w14:paraId="4EB6C537" w14:textId="77777777" w:rsidR="00B63678" w:rsidRDefault="00B63678" w:rsidP="00B63678">
      <w:pPr>
        <w:rPr>
          <w:rFonts w:cs="Arial"/>
          <w:b/>
          <w:sz w:val="22"/>
          <w:szCs w:val="22"/>
        </w:rPr>
      </w:pPr>
    </w:p>
    <w:p w14:paraId="511526A0" w14:textId="0BC5371B" w:rsidR="00CB078F" w:rsidRPr="00B63678" w:rsidRDefault="00B63678" w:rsidP="00B63678">
      <w:pPr>
        <w:rPr>
          <w:rFonts w:ascii="Arial" w:hAnsi="Arial" w:cs="Arial"/>
          <w:b/>
          <w:sz w:val="22"/>
          <w:szCs w:val="22"/>
          <w:lang w:eastAsia="en-US"/>
        </w:rPr>
        <w:sectPr w:rsidR="00CB078F" w:rsidRPr="00B63678"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r>
        <w:rPr>
          <w:rFonts w:cs="Arial"/>
          <w:b/>
          <w:sz w:val="22"/>
          <w:szCs w:val="22"/>
        </w:rPr>
        <w:br/>
      </w: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1CEF7D24" w:rsidR="005D1F96" w:rsidRPr="00035A6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35A66">
        <w:rPr>
          <w:b w:val="0"/>
          <w:sz w:val="22"/>
          <w:szCs w:val="22"/>
        </w:rPr>
        <w:t>The offer comprised in the Award Letter shall be deemed to be accepted by the Supplier on rec</w:t>
      </w:r>
      <w:r w:rsidR="00035A66" w:rsidRPr="00035A66">
        <w:rPr>
          <w:b w:val="0"/>
          <w:sz w:val="22"/>
          <w:szCs w:val="22"/>
        </w:rPr>
        <w:t xml:space="preserve">eipt by the Customer, within </w:t>
      </w:r>
      <w:r w:rsidR="00035A66">
        <w:rPr>
          <w:b w:val="0"/>
          <w:sz w:val="22"/>
          <w:szCs w:val="22"/>
        </w:rPr>
        <w:t>3</w:t>
      </w:r>
      <w:r w:rsidRPr="00035A66">
        <w:rPr>
          <w:b w:val="0"/>
          <w:sz w:val="22"/>
          <w:szCs w:val="22"/>
        </w:rPr>
        <w:t xml:space="preserve"> days of the date of the award letter, of a copy of the Award Letter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w:t>
      </w:r>
      <w:r w:rsidRPr="00F44471">
        <w:rPr>
          <w:rFonts w:cs="Arial"/>
          <w:b w:val="0"/>
          <w:sz w:val="22"/>
          <w:szCs w:val="22"/>
        </w:rPr>
        <w:lastRenderedPageBreak/>
        <w:t xml:space="preserve">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161003CE" w:rsidR="009F490D" w:rsidRPr="00035A66"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035A66">
        <w:rPr>
          <w:rFonts w:cs="Arial"/>
          <w:b w:val="0"/>
          <w:sz w:val="22"/>
          <w:szCs w:val="22"/>
        </w:rPr>
        <w:t xml:space="preserve">The Customer may extend the Agreement for a period of up to </w:t>
      </w:r>
      <w:r w:rsidR="00035A66" w:rsidRPr="00035A66">
        <w:rPr>
          <w:rFonts w:cs="Arial"/>
          <w:b w:val="0"/>
          <w:sz w:val="22"/>
          <w:szCs w:val="22"/>
        </w:rPr>
        <w:t>2</w:t>
      </w:r>
      <w:r w:rsidRPr="00035A66">
        <w:rPr>
          <w:rFonts w:cs="Arial"/>
          <w:b w:val="0"/>
          <w:sz w:val="22"/>
          <w:szCs w:val="22"/>
        </w:rPr>
        <w:t xml:space="preserve"> months by giving </w:t>
      </w:r>
      <w:r w:rsidR="005B6149" w:rsidRPr="00035A66">
        <w:rPr>
          <w:rFonts w:cs="Arial"/>
          <w:b w:val="0"/>
          <w:sz w:val="22"/>
          <w:szCs w:val="22"/>
        </w:rPr>
        <w:t xml:space="preserve">not less than </w:t>
      </w:r>
      <w:r w:rsidR="00CB0344" w:rsidRPr="00035A66">
        <w:rPr>
          <w:rFonts w:cs="Arial"/>
          <w:b w:val="0"/>
          <w:sz w:val="22"/>
          <w:szCs w:val="22"/>
        </w:rPr>
        <w:t>10 Working Days</w:t>
      </w:r>
      <w:r w:rsidR="005B6149" w:rsidRPr="00035A66">
        <w:rPr>
          <w:rFonts w:cs="Arial"/>
          <w:b w:val="0"/>
          <w:sz w:val="22"/>
          <w:szCs w:val="22"/>
        </w:rPr>
        <w:t>’</w:t>
      </w:r>
      <w:r w:rsidRPr="00035A66">
        <w:rPr>
          <w:rFonts w:cs="Arial"/>
          <w:b w:val="0"/>
          <w:sz w:val="22"/>
          <w:szCs w:val="22"/>
        </w:rPr>
        <w:t xml:space="preserve"> notice in writing to the Supplier prior to the Expiry Date.  The </w:t>
      </w:r>
      <w:r w:rsidR="00616F73" w:rsidRPr="00035A66">
        <w:rPr>
          <w:rFonts w:cs="Arial"/>
          <w:b w:val="0"/>
          <w:sz w:val="22"/>
          <w:szCs w:val="22"/>
        </w:rPr>
        <w:t xml:space="preserve">terms and conditions </w:t>
      </w:r>
      <w:r w:rsidRPr="00035A66">
        <w:rPr>
          <w:rFonts w:cs="Arial"/>
          <w:b w:val="0"/>
          <w:sz w:val="22"/>
          <w:szCs w:val="22"/>
        </w:rPr>
        <w:t>of the Agreement shall apply throughout any such exten</w:t>
      </w:r>
      <w:bookmarkEnd w:id="4"/>
      <w:r w:rsidRPr="00035A66">
        <w:rPr>
          <w:rFonts w:cs="Arial"/>
          <w:b w:val="0"/>
          <w:sz w:val="22"/>
          <w:szCs w:val="22"/>
        </w:rPr>
        <w:t>ded period.</w:t>
      </w:r>
      <w:bookmarkEnd w:id="5"/>
      <w:r w:rsidRPr="00035A66">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 xml:space="preserve">ayments </w:t>
      </w:r>
      <w:r w:rsidRPr="00F44471">
        <w:rPr>
          <w:rFonts w:cs="Arial"/>
          <w:b w:val="0"/>
          <w:sz w:val="22"/>
          <w:szCs w:val="22"/>
        </w:rPr>
        <w:lastRenderedPageBreak/>
        <w:t>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lastRenderedPageBreak/>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09EAF76" w14:textId="7F6EA556" w:rsidR="007C0048" w:rsidRPr="00035A66" w:rsidRDefault="007C0048" w:rsidP="00035A66">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D4FE6" w14:textId="77777777" w:rsidR="00B875C8" w:rsidRDefault="00B875C8">
      <w:r>
        <w:separator/>
      </w:r>
    </w:p>
  </w:endnote>
  <w:endnote w:type="continuationSeparator" w:id="0">
    <w:p w14:paraId="6419DD7F" w14:textId="77777777" w:rsidR="00B875C8" w:rsidRDefault="00B875C8">
      <w:r>
        <w:continuationSeparator/>
      </w:r>
    </w:p>
  </w:endnote>
  <w:endnote w:type="continuationNotice" w:id="1">
    <w:p w14:paraId="4A308A9B" w14:textId="77777777" w:rsidR="00B875C8" w:rsidRDefault="00B87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B875C8" w:rsidRDefault="00B875C8"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B875C8" w:rsidRDefault="00B875C8"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B875C8" w:rsidRDefault="00B875C8"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B875C8" w:rsidRDefault="00B875C8" w:rsidP="00F52803">
    <w:pPr>
      <w:pStyle w:val="Footer"/>
      <w:framePr w:wrap="around" w:vAnchor="text" w:hAnchor="page" w:x="1057" w:y="-429"/>
      <w:jc w:val="center"/>
      <w:rPr>
        <w:rStyle w:val="PageNumber"/>
        <w:rFonts w:ascii="Arial" w:hAnsi="Arial" w:cs="Arial"/>
        <w:sz w:val="20"/>
        <w:szCs w:val="20"/>
      </w:rPr>
    </w:pPr>
  </w:p>
  <w:p w14:paraId="2F96F6FA" w14:textId="77777777" w:rsidR="00B875C8" w:rsidRDefault="00B875C8" w:rsidP="00F52803">
    <w:pPr>
      <w:pStyle w:val="Footer"/>
      <w:framePr w:wrap="around" w:vAnchor="text" w:hAnchor="page" w:x="1057" w:y="-429"/>
      <w:jc w:val="center"/>
      <w:rPr>
        <w:rStyle w:val="PageNumber"/>
        <w:rFonts w:ascii="Arial" w:hAnsi="Arial" w:cs="Arial"/>
        <w:sz w:val="20"/>
        <w:szCs w:val="20"/>
      </w:rPr>
    </w:pPr>
  </w:p>
  <w:p w14:paraId="4D8D9017" w14:textId="77777777" w:rsidR="00B875C8" w:rsidRDefault="00B875C8"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B875C8" w:rsidRDefault="00B875C8"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5D74EAF4" w:rsidR="00B875C8" w:rsidRDefault="00B875C8" w:rsidP="00F52803">
    <w:pPr>
      <w:pStyle w:val="Footer"/>
      <w:framePr w:wrap="around" w:vAnchor="text" w:hAnchor="page" w:x="1057" w:y="-429"/>
      <w:rPr>
        <w:rStyle w:val="PageNumber"/>
        <w:rFonts w:ascii="Arial" w:hAnsi="Arial" w:cs="Arial"/>
        <w:sz w:val="20"/>
        <w:szCs w:val="20"/>
      </w:rPr>
    </w:pPr>
    <w:r w:rsidRPr="009623AD">
      <w:rPr>
        <w:rStyle w:val="PageNumber"/>
        <w:rFonts w:ascii="Arial" w:hAnsi="Arial" w:cs="Arial"/>
        <w:sz w:val="20"/>
        <w:szCs w:val="20"/>
      </w:rPr>
      <w:t>Lewis J Evans</w:t>
    </w:r>
  </w:p>
  <w:p w14:paraId="36982DFE" w14:textId="3C18F025" w:rsidR="00B875C8" w:rsidRDefault="00B875C8"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1AD286BF" w:rsidR="00B875C8" w:rsidRDefault="00B875C8"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824205">
      <w:rPr>
        <w:rStyle w:val="PageNumber"/>
        <w:rFonts w:ascii="Arial" w:hAnsi="Arial" w:cs="Arial"/>
        <w:sz w:val="20"/>
        <w:szCs w:val="20"/>
      </w:rPr>
      <w:t xml:space="preserve">0 </w:t>
    </w:r>
    <w:r>
      <w:rPr>
        <w:rStyle w:val="PageNumber"/>
        <w:rFonts w:ascii="Arial" w:hAnsi="Arial" w:cs="Arial"/>
        <w:sz w:val="20"/>
        <w:szCs w:val="20"/>
      </w:rPr>
      <w:t>27/09/2017</w:t>
    </w:r>
  </w:p>
  <w:p w14:paraId="638EA71E" w14:textId="77777777" w:rsidR="00B875C8" w:rsidRPr="008C7C09" w:rsidRDefault="00B875C8"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C104B8">
      <w:rPr>
        <w:rStyle w:val="PageNumber"/>
        <w:rFonts w:ascii="Arial" w:hAnsi="Arial" w:cs="Arial"/>
        <w:noProof/>
        <w:sz w:val="20"/>
        <w:szCs w:val="20"/>
      </w:rPr>
      <w:t>2</w:t>
    </w:r>
    <w:r w:rsidRPr="008C7C09">
      <w:rPr>
        <w:rStyle w:val="PageNumber"/>
        <w:rFonts w:ascii="Arial" w:hAnsi="Arial" w:cs="Arial"/>
        <w:sz w:val="20"/>
        <w:szCs w:val="20"/>
      </w:rPr>
      <w:fldChar w:fldCharType="end"/>
    </w:r>
  </w:p>
  <w:p w14:paraId="72AE21A2" w14:textId="77777777" w:rsidR="00B875C8" w:rsidRDefault="00B875C8"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72C85"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B875C8" w:rsidRPr="004A64FD" w:rsidRDefault="00B875C8"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B875C8" w:rsidRPr="00942186" w:rsidRDefault="00B875C8"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1BE2E" w14:textId="77777777" w:rsidR="00B875C8" w:rsidRDefault="00B875C8">
      <w:r>
        <w:separator/>
      </w:r>
    </w:p>
  </w:footnote>
  <w:footnote w:type="continuationSeparator" w:id="0">
    <w:p w14:paraId="62FB9BEB" w14:textId="77777777" w:rsidR="00B875C8" w:rsidRDefault="00B875C8">
      <w:r>
        <w:continuationSeparator/>
      </w:r>
    </w:p>
  </w:footnote>
  <w:footnote w:type="continuationNotice" w:id="1">
    <w:p w14:paraId="3C3AC738" w14:textId="77777777" w:rsidR="00B875C8" w:rsidRDefault="00B875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B875C8" w:rsidRDefault="00B875C8"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B875C8" w:rsidRDefault="00B875C8"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B875C8" w:rsidRDefault="00B875C8"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145FB8AC" w14:textId="1559A25A" w:rsidR="00B875C8" w:rsidRPr="009623AD" w:rsidRDefault="00B875C8" w:rsidP="00A55D61">
    <w:pPr>
      <w:pStyle w:val="Header"/>
      <w:jc w:val="center"/>
      <w:rPr>
        <w:rFonts w:ascii="Arial" w:hAnsi="Arial" w:cs="Arial"/>
        <w:sz w:val="20"/>
        <w:szCs w:val="20"/>
      </w:rPr>
    </w:pPr>
    <w:r w:rsidRPr="009623AD">
      <w:rPr>
        <w:rFonts w:ascii="Arial" w:hAnsi="Arial" w:cs="Arial"/>
        <w:sz w:val="20"/>
        <w:szCs w:val="20"/>
      </w:rPr>
      <w:t xml:space="preserve">The Provision of </w:t>
    </w:r>
    <w:r>
      <w:rPr>
        <w:rFonts w:ascii="Arial" w:hAnsi="Arial" w:cs="Arial"/>
        <w:sz w:val="20"/>
        <w:szCs w:val="20"/>
      </w:rPr>
      <w:t xml:space="preserve">the </w:t>
    </w:r>
    <w:r w:rsidRPr="009623AD">
      <w:rPr>
        <w:rFonts w:ascii="Arial" w:hAnsi="Arial" w:cs="Arial"/>
        <w:sz w:val="20"/>
        <w:szCs w:val="20"/>
      </w:rPr>
      <w:t>Children’s Services Research</w:t>
    </w:r>
    <w:r>
      <w:rPr>
        <w:rFonts w:ascii="Arial" w:hAnsi="Arial" w:cs="Arial"/>
        <w:sz w:val="20"/>
        <w:szCs w:val="20"/>
      </w:rPr>
      <w:t xml:space="preserve"> Project</w:t>
    </w:r>
    <w:r w:rsidRPr="009623AD">
      <w:rPr>
        <w:rFonts w:ascii="Arial" w:hAnsi="Arial" w:cs="Arial"/>
        <w:sz w:val="20"/>
        <w:szCs w:val="20"/>
      </w:rPr>
      <w:t xml:space="preserve"> for DCLG</w:t>
    </w:r>
  </w:p>
  <w:p w14:paraId="373C60A6" w14:textId="145B22D1" w:rsidR="00B875C8" w:rsidRDefault="00B875C8" w:rsidP="00736C8C">
    <w:pPr>
      <w:pStyle w:val="Header"/>
      <w:jc w:val="center"/>
    </w:pPr>
    <w:r w:rsidRPr="009623AD">
      <w:rPr>
        <w:rFonts w:ascii="Arial" w:hAnsi="Arial" w:cs="Arial"/>
        <w:sz w:val="20"/>
        <w:szCs w:val="20"/>
      </w:rPr>
      <w:t>Reference: CCMK17A05</w:t>
    </w:r>
  </w:p>
  <w:p w14:paraId="225482B1" w14:textId="77777777" w:rsidR="00B875C8" w:rsidRPr="008C7C09" w:rsidRDefault="00B875C8" w:rsidP="00A55D61">
    <w:pPr>
      <w:pStyle w:val="Header"/>
      <w:jc w:val="center"/>
      <w:rPr>
        <w:rFonts w:ascii="Arial" w:hAnsi="Arial" w:cs="Arial"/>
        <w:sz w:val="20"/>
        <w:szCs w:val="20"/>
        <w:highlight w:val="yellow"/>
      </w:rPr>
    </w:pPr>
  </w:p>
  <w:p w14:paraId="1F269798" w14:textId="77777777" w:rsidR="00B875C8" w:rsidRDefault="00B875C8">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778181"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35A66"/>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B67"/>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21CB"/>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0EFB"/>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0174"/>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53430"/>
    <w:rsid w:val="00960FFC"/>
    <w:rsid w:val="009623AD"/>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08CF"/>
    <w:rsid w:val="00B51C9D"/>
    <w:rsid w:val="00B52D53"/>
    <w:rsid w:val="00B62823"/>
    <w:rsid w:val="00B63678"/>
    <w:rsid w:val="00B672BD"/>
    <w:rsid w:val="00B67C31"/>
    <w:rsid w:val="00B715CE"/>
    <w:rsid w:val="00B777C0"/>
    <w:rsid w:val="00B8195A"/>
    <w:rsid w:val="00B83504"/>
    <w:rsid w:val="00B838C6"/>
    <w:rsid w:val="00B86B9C"/>
    <w:rsid w:val="00B875C8"/>
    <w:rsid w:val="00B96B39"/>
    <w:rsid w:val="00B97289"/>
    <w:rsid w:val="00BB0DE8"/>
    <w:rsid w:val="00BB23E8"/>
    <w:rsid w:val="00BB29AF"/>
    <w:rsid w:val="00BC236D"/>
    <w:rsid w:val="00BC3594"/>
    <w:rsid w:val="00BD3894"/>
    <w:rsid w:val="00BE36F4"/>
    <w:rsid w:val="00BE3BC9"/>
    <w:rsid w:val="00BF1255"/>
    <w:rsid w:val="00BF6D07"/>
    <w:rsid w:val="00C04A38"/>
    <w:rsid w:val="00C104B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73A2E"/>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3B8"/>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098"/>
    <w:rsid w:val="00F04CC6"/>
    <w:rsid w:val="00F07021"/>
    <w:rsid w:val="00F1522B"/>
    <w:rsid w:val="00F153FA"/>
    <w:rsid w:val="00F17286"/>
    <w:rsid w:val="00F17F35"/>
    <w:rsid w:val="00F21F98"/>
    <w:rsid w:val="00F32BB2"/>
    <w:rsid w:val="00F35168"/>
    <w:rsid w:val="00F36698"/>
    <w:rsid w:val="00F36B7A"/>
    <w:rsid w:val="00F37FAB"/>
    <w:rsid w:val="00F42189"/>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099564910">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D112A555-6283-4DAD-B162-9A8B119A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5896</Words>
  <Characters>33612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39430</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Lewis J Evans</cp:lastModifiedBy>
  <cp:revision>17</cp:revision>
  <dcterms:created xsi:type="dcterms:W3CDTF">2016-02-26T16:41:00Z</dcterms:created>
  <dcterms:modified xsi:type="dcterms:W3CDTF">2017-10-09T08:14:00Z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