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654" w:rsidRDefault="00ED1648" w:rsidP="00ED1648">
      <w:pPr>
        <w:jc w:val="center"/>
        <w:rPr>
          <w:b/>
          <w:sz w:val="28"/>
        </w:rPr>
      </w:pPr>
      <w:r w:rsidRPr="00ED1648">
        <w:rPr>
          <w:b/>
          <w:sz w:val="28"/>
        </w:rPr>
        <w:t xml:space="preserve">Memorandum of Information (MOI) </w:t>
      </w:r>
      <w:r w:rsidR="00CF093D">
        <w:rPr>
          <w:b/>
          <w:sz w:val="28"/>
        </w:rPr>
        <w:br/>
      </w:r>
      <w:r w:rsidRPr="00ED1648">
        <w:rPr>
          <w:b/>
          <w:sz w:val="28"/>
        </w:rPr>
        <w:t>Community Ophthalmology Procurement</w:t>
      </w:r>
    </w:p>
    <w:p w:rsidR="00ED1648" w:rsidRDefault="00A64E45" w:rsidP="00A64E45">
      <w:pPr>
        <w:pStyle w:val="Heading1"/>
      </w:pPr>
      <w:r>
        <w:t>National context</w:t>
      </w:r>
    </w:p>
    <w:p w:rsidR="00ED1648" w:rsidRDefault="00CF093D" w:rsidP="00ED1648">
      <w:r>
        <w:t xml:space="preserve">The </w:t>
      </w:r>
      <w:r w:rsidR="00ED1648">
        <w:t xml:space="preserve">NHS Five Year Forward View </w:t>
      </w:r>
      <w:r w:rsidR="00BD59F7">
        <w:t xml:space="preserve">(5YFV) </w:t>
      </w:r>
      <w:r w:rsidR="00ED1648">
        <w:t>drives for increase</w:t>
      </w:r>
      <w:r>
        <w:t>d</w:t>
      </w:r>
      <w:r w:rsidR="00ED1648">
        <w:t xml:space="preserve"> health care in the community. A key objective is reorganising services to achieve better management of patient flows</w:t>
      </w:r>
      <w:r w:rsidR="009322BB">
        <w:t>, better patients’ outcome and</w:t>
      </w:r>
      <w:r w:rsidR="00ED1648">
        <w:t xml:space="preserve"> as well as freeing up capacity in secondary care.  </w:t>
      </w:r>
    </w:p>
    <w:p w:rsidR="00ED1648" w:rsidRDefault="00ED1648" w:rsidP="00ED1648">
      <w:r>
        <w:t xml:space="preserve">Almost two million people in the UK are living with sight loss, approximately one person in 30. </w:t>
      </w:r>
      <w:r w:rsidR="00CF093D">
        <w:t xml:space="preserve">This figure is predicted to double by 2050. </w:t>
      </w:r>
      <w:r>
        <w:t xml:space="preserve">Sight loss affects people of all ages, but its occurrence increases markedly with age. </w:t>
      </w:r>
    </w:p>
    <w:p w:rsidR="00ED1648" w:rsidRDefault="00ED1648" w:rsidP="00ED1648">
      <w:r>
        <w:t>The number of people in the UK with sight loss is set to increase in the future. In addition, there is a growing incidence in key underlying causes of sight loss, such as obesity and diabetes. It is predicted that by 2020, the number of people with sight loss will rise to over 2,250,000. By 2050, the numbers of people with sight loss in the UK will double to nearly four million</w:t>
      </w:r>
      <w:r w:rsidR="00A64E45">
        <w:rPr>
          <w:rStyle w:val="FootnoteReference"/>
        </w:rPr>
        <w:footnoteReference w:id="1"/>
      </w:r>
      <w:r>
        <w:t xml:space="preserve">. </w:t>
      </w:r>
    </w:p>
    <w:p w:rsidR="00ED1648" w:rsidRDefault="00ED1648" w:rsidP="00ED1648">
      <w:r>
        <w:t>The cost of eye</w:t>
      </w:r>
      <w:r w:rsidR="00CF093D">
        <w:t>-</w:t>
      </w:r>
      <w:r>
        <w:t xml:space="preserve">care services </w:t>
      </w:r>
      <w:r w:rsidR="0085679D">
        <w:t>was</w:t>
      </w:r>
      <w:r>
        <w:t xml:space="preserve"> expected to rise by 20% by 2019/20, from a </w:t>
      </w:r>
      <w:r w:rsidR="00CF093D">
        <w:t>20</w:t>
      </w:r>
      <w:r>
        <w:t xml:space="preserve">14/15 baseline, driven largely by increases in demand. </w:t>
      </w:r>
      <w:r w:rsidR="0085679D">
        <w:t>However</w:t>
      </w:r>
      <w:r w:rsidR="00951D01">
        <w:t>,</w:t>
      </w:r>
      <w:r w:rsidR="0085679D">
        <w:t xml:space="preserve"> i</w:t>
      </w:r>
      <w:r>
        <w:t>n England in 20</w:t>
      </w:r>
      <w:r w:rsidR="000E3714">
        <w:t>1</w:t>
      </w:r>
      <w:r w:rsidR="00303426">
        <w:t>7</w:t>
      </w:r>
      <w:r>
        <w:t>/1</w:t>
      </w:r>
      <w:r w:rsidR="00303426">
        <w:t>8</w:t>
      </w:r>
      <w:r w:rsidR="00CF093D">
        <w:t>,</w:t>
      </w:r>
      <w:r>
        <w:t xml:space="preserve"> ophthalmology ha</w:t>
      </w:r>
      <w:r w:rsidR="00CC5D95">
        <w:t>s</w:t>
      </w:r>
      <w:r>
        <w:t xml:space="preserve"> the highest number of outpatient attendances of any speciality, accounting for </w:t>
      </w:r>
      <w:r w:rsidR="00E17782">
        <w:t>6</w:t>
      </w:r>
      <w:r>
        <w:t>.</w:t>
      </w:r>
      <w:r w:rsidR="00E17782">
        <w:t>3</w:t>
      </w:r>
      <w:r>
        <w:t>% of all outpatient appointments (</w:t>
      </w:r>
      <w:r w:rsidR="000E3714">
        <w:t>7</w:t>
      </w:r>
      <w:r>
        <w:t>.</w:t>
      </w:r>
      <w:r w:rsidR="000E3714">
        <w:t>6</w:t>
      </w:r>
      <w:r>
        <w:t xml:space="preserve"> million). </w:t>
      </w:r>
    </w:p>
    <w:p w:rsidR="00ED1648" w:rsidRDefault="00ED1648" w:rsidP="00ED1648">
      <w:r>
        <w:t>RNIB (2010) suggest that the annual cost of sight loss in the UK amounted to a minimum of £6.5 billion in direct health care and indirect costs, such as reduced employment.</w:t>
      </w:r>
    </w:p>
    <w:p w:rsidR="00ED1648" w:rsidRDefault="00ED1648" w:rsidP="00ED1648">
      <w:r>
        <w:t>The Access Economics research</w:t>
      </w:r>
      <w:r w:rsidR="009322BB">
        <w:rPr>
          <w:rStyle w:val="FootnoteReference"/>
        </w:rPr>
        <w:footnoteReference w:id="2"/>
      </w:r>
      <w:r>
        <w:t xml:space="preserve"> confirms that ethnicity is a major factor in relation to eye disease. The </w:t>
      </w:r>
      <w:r w:rsidR="00BD59F7">
        <w:t>b</w:t>
      </w:r>
      <w:r>
        <w:t xml:space="preserve">lack population has a higher risk than the </w:t>
      </w:r>
      <w:r w:rsidR="00BD59F7">
        <w:t>w</w:t>
      </w:r>
      <w:r>
        <w:t xml:space="preserve">hite population of developing age-related macular degeneration (AMD) at an earlier age, but at lower risk of developing it after the age of 70. The black population also has a much higher relative risk of developing glaucoma and cataracts. Asian people are at a higher risk of developing cataracts than the black and white populations and </w:t>
      </w:r>
      <w:r w:rsidR="00BD59F7">
        <w:t xml:space="preserve">are </w:t>
      </w:r>
      <w:r>
        <w:t xml:space="preserve">also at a higher risk of developing diabetic eye disease than the white population. </w:t>
      </w:r>
    </w:p>
    <w:p w:rsidR="00ED1648" w:rsidRDefault="00ED1648" w:rsidP="00ED1648">
      <w:r>
        <w:t>The Clinical Council for E</w:t>
      </w:r>
      <w:r w:rsidR="00A64E45">
        <w:t>ye Health Commissioning (CCEHC)</w:t>
      </w:r>
      <w:r w:rsidR="00A64E45">
        <w:rPr>
          <w:rStyle w:val="FootnoteReference"/>
        </w:rPr>
        <w:footnoteReference w:id="3"/>
      </w:r>
      <w:r>
        <w:t xml:space="preserve"> has developed a framework for a Community Ophthalmology Service which this service specification is set to deliver. The CCEHC framework also recommends the provision of support mechanisms to tackle challenges arising from the increase in demand in line with the recommendations of 5YFV. It suggests that appropriate risk stratification of patients and more consistent pathways of care will together lead to better value eye health care</w:t>
      </w:r>
      <w:r w:rsidR="00BD59F7">
        <w:t>.</w:t>
      </w:r>
    </w:p>
    <w:p w:rsidR="00A64E45" w:rsidRDefault="00A64E45" w:rsidP="00A64E45">
      <w:pPr>
        <w:pStyle w:val="Heading1"/>
      </w:pPr>
      <w:r>
        <w:t>Local strategic priorities</w:t>
      </w:r>
    </w:p>
    <w:p w:rsidR="00FB52FB" w:rsidRDefault="00767332" w:rsidP="00767332">
      <w:r>
        <w:t>The eight CCG in North West London have worked in co</w:t>
      </w:r>
      <w:r w:rsidR="003C6C17">
        <w:t>llaboration with providers and l</w:t>
      </w:r>
      <w:r>
        <w:t xml:space="preserve">ocal </w:t>
      </w:r>
      <w:r w:rsidR="003C6C17">
        <w:t>a</w:t>
      </w:r>
      <w:r>
        <w:t xml:space="preserve">uthority colleagues to develop the Strategic Transformation Plan (STP) in response to national requirements. </w:t>
      </w:r>
    </w:p>
    <w:p w:rsidR="00FB52FB" w:rsidRDefault="00FB52FB" w:rsidP="00767332">
      <w:r w:rsidRPr="00FB52FB">
        <w:t xml:space="preserve">The STP builds on the established vision for care delivery in North West London - Shaping a Healthier Future </w:t>
      </w:r>
      <w:r>
        <w:t>(</w:t>
      </w:r>
      <w:proofErr w:type="spellStart"/>
      <w:r w:rsidRPr="00FB52FB">
        <w:t>SaHF</w:t>
      </w:r>
      <w:proofErr w:type="spellEnd"/>
      <w:r w:rsidRPr="00FB52FB">
        <w:t xml:space="preserve">) </w:t>
      </w:r>
      <w:r>
        <w:t>but considers more broadly the</w:t>
      </w:r>
      <w:r w:rsidRPr="00FB52FB">
        <w:t xml:space="preserve"> response to the Five Year Forward View.</w:t>
      </w:r>
    </w:p>
    <w:p w:rsidR="00FB52FB" w:rsidRDefault="00E95D84" w:rsidP="00767332">
      <w:pPr>
        <w:rPr>
          <w:b/>
        </w:rPr>
      </w:pPr>
      <w:r>
        <w:rPr>
          <w:noProof/>
          <w:lang w:eastAsia="en-GB"/>
        </w:rPr>
        <w:drawing>
          <wp:anchor distT="0" distB="0" distL="114300" distR="114300" simplePos="0" relativeHeight="251659264" behindDoc="1" locked="0" layoutInCell="1" allowOverlap="1" wp14:anchorId="28F317C1" wp14:editId="20CCFB1C">
            <wp:simplePos x="0" y="0"/>
            <wp:positionH relativeFrom="column">
              <wp:posOffset>-224790</wp:posOffset>
            </wp:positionH>
            <wp:positionV relativeFrom="paragraph">
              <wp:posOffset>333375</wp:posOffset>
            </wp:positionV>
            <wp:extent cx="6715125" cy="4446905"/>
            <wp:effectExtent l="0" t="0" r="9525" b="0"/>
            <wp:wrapTight wrapText="bothSides">
              <wp:wrapPolygon edited="0">
                <wp:start x="0" y="0"/>
                <wp:lineTo x="0" y="21467"/>
                <wp:lineTo x="21569" y="21467"/>
                <wp:lineTo x="215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5125" cy="444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332" w:rsidRPr="00767332">
        <w:rPr>
          <w:b/>
        </w:rPr>
        <w:t>STP vision in North West London:</w:t>
      </w:r>
    </w:p>
    <w:p w:rsidR="00FB52FB" w:rsidRPr="00FB52FB" w:rsidRDefault="00FB52FB" w:rsidP="00FB52FB"/>
    <w:p w:rsidR="00407F96" w:rsidRDefault="00407F96" w:rsidP="00767332">
      <w:r>
        <w:t xml:space="preserve">It is envisaged that </w:t>
      </w:r>
      <w:r w:rsidR="0085679D">
        <w:t xml:space="preserve">a </w:t>
      </w:r>
      <w:r>
        <w:t>community ophthalmology service will continue to support the agenda to deliver care closer to patients’ home, improve health &amp; wellbeing and quality of care &amp; support to</w:t>
      </w:r>
      <w:r w:rsidR="00E80A0F">
        <w:t xml:space="preserve"> the</w:t>
      </w:r>
      <w:r>
        <w:t xml:space="preserve"> Ealing</w:t>
      </w:r>
      <w:r w:rsidR="009E27A4">
        <w:t xml:space="preserve"> and Harrow</w:t>
      </w:r>
      <w:r>
        <w:t xml:space="preserve"> </w:t>
      </w:r>
      <w:r w:rsidR="00E80A0F">
        <w:t xml:space="preserve">GP </w:t>
      </w:r>
      <w:r>
        <w:t xml:space="preserve">registered population.  </w:t>
      </w:r>
      <w:r w:rsidR="009D6A76">
        <w:t>Thus,</w:t>
      </w:r>
      <w:r>
        <w:t xml:space="preserve"> eliminating unwarranted variation in care and improving the man</w:t>
      </w:r>
      <w:r w:rsidR="003C6C17">
        <w:t xml:space="preserve">agement of </w:t>
      </w:r>
      <w:r w:rsidR="009E27A4">
        <w:t>long-term</w:t>
      </w:r>
      <w:r w:rsidR="006876EF">
        <w:t xml:space="preserve"> </w:t>
      </w:r>
      <w:r w:rsidR="0085679D">
        <w:t xml:space="preserve">eye </w:t>
      </w:r>
      <w:r w:rsidR="003C6C17">
        <w:t>c</w:t>
      </w:r>
      <w:r w:rsidR="006876EF">
        <w:t xml:space="preserve">onditions, as part of the overarching vision to improve productivity and close the financial gap across the sector. </w:t>
      </w:r>
      <w:r>
        <w:t xml:space="preserve"> </w:t>
      </w:r>
    </w:p>
    <w:p w:rsidR="009345E7" w:rsidRDefault="00407F96" w:rsidP="00767332">
      <w:r>
        <w:t xml:space="preserve">As part of the STP delivery plan, </w:t>
      </w:r>
      <w:r w:rsidR="00767332" w:rsidRPr="00767332">
        <w:t>commissioners and providers</w:t>
      </w:r>
      <w:r w:rsidR="007C5579">
        <w:t xml:space="preserve"> across North West London </w:t>
      </w:r>
      <w:r w:rsidR="00767332" w:rsidRPr="00767332">
        <w:t xml:space="preserve">are </w:t>
      </w:r>
      <w:r>
        <w:t xml:space="preserve">also </w:t>
      </w:r>
      <w:r w:rsidR="00767332" w:rsidRPr="00767332">
        <w:t xml:space="preserve">currently working together to consider what </w:t>
      </w:r>
      <w:proofErr w:type="gramStart"/>
      <w:r w:rsidR="00767332" w:rsidRPr="00767332">
        <w:t>accountable</w:t>
      </w:r>
      <w:proofErr w:type="gramEnd"/>
      <w:r w:rsidR="00767332" w:rsidRPr="00767332">
        <w:t xml:space="preserve"> care partnership/s could </w:t>
      </w:r>
      <w:r>
        <w:t>look like. The provider of the community o</w:t>
      </w:r>
      <w:r w:rsidR="00767332" w:rsidRPr="00767332">
        <w:t>phthalmology service will be expected to participate in the discussions to develop this model of care and consider how it could operate within this model. Alignment to this vision of healthcare deli</w:t>
      </w:r>
      <w:r w:rsidR="009345E7">
        <w:t xml:space="preserve">very is critical for Ealing CCG who </w:t>
      </w:r>
      <w:proofErr w:type="gramStart"/>
      <w:r w:rsidR="009345E7">
        <w:t>are</w:t>
      </w:r>
      <w:proofErr w:type="gramEnd"/>
      <w:r w:rsidR="009345E7">
        <w:t xml:space="preserve"> leading the procurement on behalf of Ealing</w:t>
      </w:r>
      <w:r w:rsidR="00951D01">
        <w:t xml:space="preserve"> </w:t>
      </w:r>
      <w:r w:rsidR="009345E7">
        <w:t>and Harrow CCG (EHH CCGs).</w:t>
      </w:r>
    </w:p>
    <w:p w:rsidR="00A64E45" w:rsidRDefault="0035311E" w:rsidP="00A64E45">
      <w:pPr>
        <w:pStyle w:val="Heading1"/>
      </w:pPr>
      <w:r>
        <w:t>Demographic</w:t>
      </w:r>
      <w:r w:rsidR="00A64E45">
        <w:t xml:space="preserve"> information</w:t>
      </w:r>
    </w:p>
    <w:p w:rsidR="0035311E" w:rsidRPr="005925A2" w:rsidRDefault="0035311E" w:rsidP="0035311E">
      <w:pPr>
        <w:rPr>
          <w:rFonts w:cstheme="minorHAnsi"/>
        </w:rPr>
      </w:pPr>
      <w:r w:rsidRPr="005925A2">
        <w:rPr>
          <w:rFonts w:cstheme="minorHAnsi"/>
        </w:rPr>
        <w:t xml:space="preserve">The </w:t>
      </w:r>
      <w:r>
        <w:rPr>
          <w:rFonts w:cstheme="minorHAnsi"/>
        </w:rPr>
        <w:t>two</w:t>
      </w:r>
      <w:r w:rsidRPr="005925A2">
        <w:rPr>
          <w:rFonts w:cstheme="minorHAnsi"/>
        </w:rPr>
        <w:t xml:space="preserve"> CCGs have a total </w:t>
      </w:r>
      <w:r w:rsidRPr="006C7BDC">
        <w:rPr>
          <w:rFonts w:cstheme="minorHAnsi"/>
        </w:rPr>
        <w:t>registered population</w:t>
      </w:r>
      <w:r w:rsidRPr="005925A2">
        <w:rPr>
          <w:rFonts w:cstheme="minorHAnsi"/>
        </w:rPr>
        <w:t xml:space="preserve"> of </w:t>
      </w:r>
      <w:r>
        <w:rPr>
          <w:rFonts w:cstheme="minorHAnsi"/>
        </w:rPr>
        <w:t>709,800</w:t>
      </w:r>
      <w:r w:rsidRPr="005925A2">
        <w:rPr>
          <w:rFonts w:cstheme="minorHAnsi"/>
        </w:rPr>
        <w:t xml:space="preserve"> patients</w:t>
      </w:r>
      <w:r w:rsidRPr="00392E3B">
        <w:rPr>
          <w:rFonts w:cstheme="minorHAnsi"/>
          <w:vertAlign w:val="superscript"/>
        </w:rPr>
        <w:footnoteReference w:id="4"/>
      </w:r>
      <w:r w:rsidRPr="005925A2">
        <w:rPr>
          <w:rFonts w:cstheme="minorHAnsi"/>
        </w:rPr>
        <w:t xml:space="preserve"> (</w:t>
      </w:r>
      <w:r>
        <w:rPr>
          <w:rFonts w:cstheme="minorHAnsi"/>
        </w:rPr>
        <w:t>October</w:t>
      </w:r>
      <w:r w:rsidRPr="005925A2">
        <w:rPr>
          <w:rFonts w:cstheme="minorHAnsi"/>
        </w:rPr>
        <w:t xml:space="preserve"> 2018)</w:t>
      </w:r>
      <w:r>
        <w:rPr>
          <w:rFonts w:cstheme="minorHAnsi"/>
        </w:rPr>
        <w:t>.</w:t>
      </w:r>
      <w:r w:rsidRPr="005925A2">
        <w:rPr>
          <w:rFonts w:cstheme="minorHAnsi"/>
        </w:rPr>
        <w:t xml:space="preserve"> The population of the </w:t>
      </w:r>
      <w:r>
        <w:rPr>
          <w:rFonts w:cstheme="minorHAnsi"/>
        </w:rPr>
        <w:t>two</w:t>
      </w:r>
      <w:r w:rsidRPr="005925A2">
        <w:rPr>
          <w:rFonts w:cstheme="minorHAnsi"/>
        </w:rPr>
        <w:t xml:space="preserve"> CCGs</w:t>
      </w:r>
      <w:r>
        <w:rPr>
          <w:rFonts w:cstheme="minorHAnsi"/>
        </w:rPr>
        <w:t>,</w:t>
      </w:r>
      <w:r w:rsidRPr="005925A2">
        <w:rPr>
          <w:rFonts w:cstheme="minorHAnsi"/>
        </w:rPr>
        <w:t xml:space="preserve"> although ageing</w:t>
      </w:r>
      <w:r>
        <w:rPr>
          <w:rFonts w:cstheme="minorHAnsi"/>
        </w:rPr>
        <w:t>,</w:t>
      </w:r>
      <w:r w:rsidRPr="005925A2">
        <w:rPr>
          <w:rFonts w:cstheme="minorHAnsi"/>
        </w:rPr>
        <w:t xml:space="preserve"> has fewer people over the age of 65 than the national average.  The life expectancy in all </w:t>
      </w:r>
      <w:r>
        <w:rPr>
          <w:rFonts w:cstheme="minorHAnsi"/>
        </w:rPr>
        <w:t>two</w:t>
      </w:r>
      <w:r w:rsidRPr="005925A2">
        <w:rPr>
          <w:rFonts w:cstheme="minorHAnsi"/>
        </w:rPr>
        <w:t xml:space="preserve"> boroughs is above the national average for men and women. </w:t>
      </w:r>
      <w:r>
        <w:rPr>
          <w:rFonts w:cstheme="minorHAnsi"/>
        </w:rPr>
        <w:t xml:space="preserve"> </w:t>
      </w:r>
    </w:p>
    <w:p w:rsidR="0035311E" w:rsidRPr="005925A2" w:rsidRDefault="0035311E" w:rsidP="0035311E">
      <w:pPr>
        <w:rPr>
          <w:rFonts w:cstheme="minorHAnsi"/>
        </w:rPr>
      </w:pPr>
      <w:r w:rsidRPr="005925A2">
        <w:rPr>
          <w:rFonts w:cstheme="minorHAnsi"/>
        </w:rPr>
        <w:t>Ealing has a more dep</w:t>
      </w:r>
      <w:r>
        <w:rPr>
          <w:rFonts w:cstheme="minorHAnsi"/>
        </w:rPr>
        <w:t>rived population than Harrow CCG</w:t>
      </w:r>
      <w:r w:rsidRPr="005925A2">
        <w:rPr>
          <w:rFonts w:cstheme="minorHAnsi"/>
        </w:rPr>
        <w:t xml:space="preserve"> and higher than the national average. Harrow </w:t>
      </w:r>
      <w:r>
        <w:rPr>
          <w:rFonts w:cstheme="minorHAnsi"/>
        </w:rPr>
        <w:t>has a</w:t>
      </w:r>
      <w:r w:rsidRPr="005925A2">
        <w:rPr>
          <w:rFonts w:cstheme="minorHAnsi"/>
        </w:rPr>
        <w:t xml:space="preserve"> lower than national deprivation ind</w:t>
      </w:r>
      <w:r>
        <w:rPr>
          <w:rFonts w:cstheme="minorHAnsi"/>
        </w:rPr>
        <w:t xml:space="preserve">ex. </w:t>
      </w:r>
    </w:p>
    <w:p w:rsidR="0035311E" w:rsidRPr="0035311E" w:rsidRDefault="0035311E" w:rsidP="00A64E45">
      <w:pPr>
        <w:rPr>
          <w:rFonts w:cstheme="minorHAnsi"/>
        </w:rPr>
      </w:pPr>
      <w:r w:rsidRPr="005925A2">
        <w:rPr>
          <w:rFonts w:cstheme="minorHAnsi"/>
        </w:rPr>
        <w:t>Although the CCG</w:t>
      </w:r>
      <w:r>
        <w:rPr>
          <w:rFonts w:cstheme="minorHAnsi"/>
        </w:rPr>
        <w:t>s</w:t>
      </w:r>
      <w:r w:rsidRPr="005925A2">
        <w:rPr>
          <w:rFonts w:cstheme="minorHAnsi"/>
        </w:rPr>
        <w:t xml:space="preserve"> have a young</w:t>
      </w:r>
      <w:r w:rsidR="002304DE">
        <w:rPr>
          <w:rFonts w:cstheme="minorHAnsi"/>
        </w:rPr>
        <w:t>er</w:t>
      </w:r>
      <w:r w:rsidRPr="005925A2">
        <w:rPr>
          <w:rFonts w:cstheme="minorHAnsi"/>
        </w:rPr>
        <w:t xml:space="preserve"> population they have a higher than average proportion of the population</w:t>
      </w:r>
      <w:r>
        <w:rPr>
          <w:rFonts w:cstheme="minorHAnsi"/>
        </w:rPr>
        <w:t xml:space="preserve"> </w:t>
      </w:r>
      <w:r w:rsidRPr="005925A2">
        <w:rPr>
          <w:rFonts w:cstheme="minorHAnsi"/>
        </w:rPr>
        <w:t xml:space="preserve">from </w:t>
      </w:r>
      <w:r>
        <w:rPr>
          <w:rFonts w:cstheme="minorHAnsi"/>
        </w:rPr>
        <w:t>BAME communities</w:t>
      </w:r>
      <w:r w:rsidRPr="005925A2">
        <w:rPr>
          <w:rFonts w:cstheme="minorHAnsi"/>
        </w:rPr>
        <w:t xml:space="preserve"> (Harrow having the highest proportion)</w:t>
      </w:r>
      <w:r>
        <w:rPr>
          <w:rFonts w:cstheme="minorHAnsi"/>
        </w:rPr>
        <w:t>,</w:t>
      </w:r>
      <w:r w:rsidRPr="005925A2">
        <w:rPr>
          <w:rFonts w:cstheme="minorHAnsi"/>
        </w:rPr>
        <w:t xml:space="preserve"> and higher than national prevalence for diabetes.</w:t>
      </w:r>
      <w:r>
        <w:rPr>
          <w:rFonts w:cstheme="minorHAnsi"/>
        </w:rPr>
        <w:t xml:space="preserve"> Diabetes is more prevalent in the Asian population and diabetic eye disease is a major cause of sight loss as is glaucoma.</w:t>
      </w:r>
      <w:r>
        <w:rPr>
          <w:rStyle w:val="FootnoteReference"/>
          <w:rFonts w:cstheme="minorHAnsi"/>
        </w:rPr>
        <w:footnoteReference w:id="5"/>
      </w:r>
    </w:p>
    <w:p w:rsidR="001755AE" w:rsidRDefault="001755AE" w:rsidP="00A64E45">
      <w:r w:rsidRPr="001755AE">
        <w:t>Ealing Joint Strategic Needs Assessment</w:t>
      </w:r>
      <w:r>
        <w:rPr>
          <w:rStyle w:val="FootnoteReference"/>
        </w:rPr>
        <w:footnoteReference w:id="6"/>
      </w:r>
      <w:r w:rsidRPr="001755AE">
        <w:t xml:space="preserve"> projected that White ethnic group population is expected to have a small drop in numbers between 2010 and 2025 (from 167,000 to 163,900), but would then rise again to 2010 levels by 2040. For all other ethnicities the projections show a steady rise in numbers over the 30 years’ period: Asian/Asian British by 41%, Black/Black British by 49%, </w:t>
      </w:r>
      <w:proofErr w:type="gramStart"/>
      <w:r w:rsidRPr="001755AE">
        <w:t>Chinese</w:t>
      </w:r>
      <w:proofErr w:type="gramEnd"/>
      <w:r w:rsidRPr="001755AE">
        <w:t xml:space="preserve"> by 38% and population of </w:t>
      </w:r>
      <w:r w:rsidR="00680B00" w:rsidRPr="001755AE">
        <w:t>other</w:t>
      </w:r>
      <w:r w:rsidRPr="001755AE">
        <w:t xml:space="preserve"> ethnic origin by 87%</w:t>
      </w:r>
      <w:r>
        <w:t>.</w:t>
      </w:r>
    </w:p>
    <w:p w:rsidR="001755AE" w:rsidRDefault="001755AE" w:rsidP="00A64E45">
      <w:r w:rsidRPr="001755AE">
        <w:t>It is estimated that by 2020 there will be a 19.5% rise in the number of people over 65 years of age, and a 48% rise in the number of people over 85 in Ealing. The population is very diverse with a steady rise projected for BAME groups at 52%</w:t>
      </w:r>
      <w:r>
        <w:rPr>
          <w:rStyle w:val="FootnoteReference"/>
        </w:rPr>
        <w:footnoteReference w:id="7"/>
      </w:r>
    </w:p>
    <w:p w:rsidR="006548D8" w:rsidRDefault="002304DE" w:rsidP="006548D8">
      <w:r>
        <w:t>T</w:t>
      </w:r>
      <w:r w:rsidR="006548D8">
        <w:t xml:space="preserve">he Harrow Joint Strategic Needs Assessment is projecting that over the next ten years, the proportion of those over 65 will increase by 4% while the proportion of people who are of working age (16-64) will decrease by 4%. Compared to London, the population of Harrow has a greater proportion of older people and a lower proportion of people in their 20s and 30s. </w:t>
      </w:r>
    </w:p>
    <w:p w:rsidR="006548D8" w:rsidRDefault="006548D8" w:rsidP="006548D8">
      <w:r>
        <w:t>As with the age structure of the population, the ethnic mix also varies across the borough, Harrow is one of the most ethnically diverse boroughs in the country. In 2011, 42% of the Harrow populations were from a white ethnic background, while 43% were from an Asian/ Asian British background and 8% were from Black/ African/ Caribbean/ Black British ethnic background.  By 2021, a 14% rise is being predicted across Harrow in the local Black, Asian and minority ethnic (BAME) population.</w:t>
      </w:r>
      <w:r>
        <w:rPr>
          <w:rStyle w:val="FootnoteReference"/>
        </w:rPr>
        <w:footnoteReference w:id="8"/>
      </w:r>
    </w:p>
    <w:p w:rsidR="0035311E" w:rsidRDefault="0035311E" w:rsidP="0035311E">
      <w:r>
        <w:t>The CCGs directly purchase health services from a number of health organisations, such as hospital trusts, mental health trusts and community organisations. The CCG also works in partnership with local people to deliver excellent health care services.</w:t>
      </w:r>
    </w:p>
    <w:p w:rsidR="002304DE" w:rsidRDefault="00384360" w:rsidP="0035311E">
      <w:pPr>
        <w:pStyle w:val="NormalWeb"/>
        <w:shd w:val="clear" w:color="auto" w:fill="FCFEFD"/>
        <w:spacing w:before="144" w:beforeAutospacing="0" w:after="144" w:afterAutospacing="0" w:line="276" w:lineRule="auto"/>
        <w:rPr>
          <w:rFonts w:ascii="Arial" w:hAnsi="Arial" w:cs="Arial"/>
          <w:color w:val="000000" w:themeColor="text1"/>
          <w:sz w:val="22"/>
          <w:szCs w:val="22"/>
        </w:rPr>
      </w:pPr>
      <w:r>
        <w:rPr>
          <w:rFonts w:ascii="Arial" w:hAnsi="Arial" w:cs="Arial"/>
          <w:color w:val="000000" w:themeColor="text1"/>
          <w:sz w:val="22"/>
          <w:szCs w:val="22"/>
        </w:rPr>
        <w:t xml:space="preserve">NHS </w:t>
      </w:r>
      <w:r w:rsidR="00A64E45" w:rsidRPr="0035311E">
        <w:rPr>
          <w:rFonts w:ascii="Arial" w:hAnsi="Arial" w:cs="Arial"/>
          <w:color w:val="000000" w:themeColor="text1"/>
          <w:sz w:val="22"/>
          <w:szCs w:val="22"/>
        </w:rPr>
        <w:t>Ealing CCG is a</w:t>
      </w:r>
      <w:r w:rsidR="00703653">
        <w:rPr>
          <w:rFonts w:ascii="Arial" w:hAnsi="Arial" w:cs="Arial"/>
          <w:color w:val="000000" w:themeColor="text1"/>
          <w:sz w:val="22"/>
          <w:szCs w:val="22"/>
        </w:rPr>
        <w:t xml:space="preserve"> GP-led </w:t>
      </w:r>
      <w:r w:rsidR="00A64E45" w:rsidRPr="0035311E">
        <w:rPr>
          <w:rFonts w:ascii="Arial" w:hAnsi="Arial" w:cs="Arial"/>
          <w:color w:val="000000" w:themeColor="text1"/>
          <w:sz w:val="22"/>
          <w:szCs w:val="22"/>
        </w:rPr>
        <w:t>membership organisation responsible for the health of approximately 425,000 registered people living in Acton, Ealing, Hanwell, Northolt, Perivale and Southall. Primary healthca</w:t>
      </w:r>
      <w:r w:rsidR="0035311E" w:rsidRPr="0035311E">
        <w:rPr>
          <w:rFonts w:ascii="Arial" w:hAnsi="Arial" w:cs="Arial"/>
          <w:color w:val="000000" w:themeColor="text1"/>
          <w:sz w:val="22"/>
          <w:szCs w:val="22"/>
        </w:rPr>
        <w:t>re incorporates 76 GP practices</w:t>
      </w:r>
      <w:r w:rsidR="00A64E45" w:rsidRPr="0035311E">
        <w:rPr>
          <w:rFonts w:ascii="Arial" w:hAnsi="Arial" w:cs="Arial"/>
          <w:color w:val="000000" w:themeColor="text1"/>
          <w:sz w:val="22"/>
          <w:szCs w:val="22"/>
        </w:rPr>
        <w:t xml:space="preserve">; </w:t>
      </w:r>
      <w:bookmarkStart w:id="0" w:name="_Hlk528512965"/>
      <w:r w:rsidR="00A64E45" w:rsidRPr="0035311E">
        <w:rPr>
          <w:rFonts w:ascii="Arial" w:hAnsi="Arial" w:cs="Arial"/>
          <w:color w:val="000000" w:themeColor="text1"/>
          <w:sz w:val="22"/>
          <w:szCs w:val="22"/>
        </w:rPr>
        <w:t>41 optical providers are commissioned by NHS England</w:t>
      </w:r>
      <w:bookmarkEnd w:id="0"/>
      <w:r w:rsidR="00A64E45" w:rsidRPr="0035311E">
        <w:rPr>
          <w:rFonts w:ascii="Arial" w:hAnsi="Arial" w:cs="Arial"/>
          <w:color w:val="000000" w:themeColor="text1"/>
          <w:sz w:val="22"/>
          <w:szCs w:val="22"/>
        </w:rPr>
        <w:t xml:space="preserve">. </w:t>
      </w:r>
    </w:p>
    <w:p w:rsidR="00A64E45" w:rsidRPr="0035311E" w:rsidRDefault="0035311E" w:rsidP="0035311E">
      <w:pPr>
        <w:pStyle w:val="NormalWeb"/>
        <w:shd w:val="clear" w:color="auto" w:fill="FCFEFD"/>
        <w:spacing w:before="144" w:beforeAutospacing="0" w:after="144" w:afterAutospacing="0" w:line="276" w:lineRule="auto"/>
        <w:rPr>
          <w:rFonts w:ascii="Arial" w:hAnsi="Arial" w:cs="Arial"/>
          <w:color w:val="000000" w:themeColor="text1"/>
          <w:sz w:val="22"/>
          <w:szCs w:val="22"/>
        </w:rPr>
      </w:pPr>
      <w:r w:rsidRPr="0035311E">
        <w:rPr>
          <w:rFonts w:ascii="Arial" w:hAnsi="Arial" w:cs="Arial"/>
          <w:color w:val="000000" w:themeColor="text1"/>
          <w:sz w:val="22"/>
          <w:szCs w:val="22"/>
        </w:rPr>
        <w:t xml:space="preserve">NHS Harrow CCG is the GP-led </w:t>
      </w:r>
      <w:r w:rsidR="00703653">
        <w:rPr>
          <w:rFonts w:ascii="Arial" w:hAnsi="Arial" w:cs="Arial"/>
          <w:color w:val="000000" w:themeColor="text1"/>
          <w:sz w:val="22"/>
          <w:szCs w:val="22"/>
        </w:rPr>
        <w:t xml:space="preserve">membership </w:t>
      </w:r>
      <w:r w:rsidRPr="0035311E">
        <w:rPr>
          <w:rFonts w:ascii="Arial" w:hAnsi="Arial" w:cs="Arial"/>
          <w:color w:val="000000" w:themeColor="text1"/>
          <w:sz w:val="22"/>
          <w:szCs w:val="22"/>
        </w:rPr>
        <w:t xml:space="preserve">organisation responsible for planning and buying (commissioning) many of the health services needed by the approximately 260,000 people registered with GPs in Harrow, covering </w:t>
      </w:r>
      <w:r w:rsidRPr="0035311E">
        <w:rPr>
          <w:rFonts w:ascii="Arial" w:hAnsi="Arial" w:cs="Arial"/>
          <w:sz w:val="22"/>
          <w:szCs w:val="22"/>
        </w:rPr>
        <w:t>South Harrow, Central Harrow, Pinner/Hatch End, Kenton area, Stanmore &amp; North East Harrow and East Harrow.</w:t>
      </w:r>
      <w:r w:rsidRPr="0035311E">
        <w:rPr>
          <w:rFonts w:ascii="Arial" w:hAnsi="Arial" w:cs="Arial"/>
          <w:color w:val="000000" w:themeColor="text1"/>
          <w:sz w:val="22"/>
          <w:szCs w:val="22"/>
        </w:rPr>
        <w:t> It is made up of all 33 GP practices in the borough</w:t>
      </w:r>
      <w:r w:rsidR="00321B33">
        <w:rPr>
          <w:rFonts w:ascii="Arial" w:hAnsi="Arial" w:cs="Arial"/>
          <w:color w:val="000000" w:themeColor="text1"/>
          <w:sz w:val="22"/>
          <w:szCs w:val="22"/>
        </w:rPr>
        <w:t>.</w:t>
      </w:r>
    </w:p>
    <w:p w:rsidR="00A64E45" w:rsidRDefault="00A64E45" w:rsidP="00A64E45">
      <w:r>
        <w:t>The CCG</w:t>
      </w:r>
      <w:r w:rsidR="00362ED5">
        <w:t>s aim</w:t>
      </w:r>
      <w:r>
        <w:t xml:space="preserve"> to ensure that the highest quality of care is delivered by those organisations best qualified to do so for the diverse needs of our population</w:t>
      </w:r>
      <w:r w:rsidR="00362ED5">
        <w:t>s</w:t>
      </w:r>
      <w:r>
        <w:t>, and at the best value for money so that public money is spent wisely.</w:t>
      </w:r>
    </w:p>
    <w:p w:rsidR="00A64E45" w:rsidRDefault="00A64E45" w:rsidP="00A64E45">
      <w:pPr>
        <w:pStyle w:val="Heading1"/>
      </w:pPr>
      <w:r>
        <w:t>Overview of the outcomes sought from the service</w:t>
      </w:r>
    </w:p>
    <w:p w:rsidR="00755077" w:rsidRDefault="00A64E45" w:rsidP="00410A97">
      <w:pPr>
        <w:pStyle w:val="Prebullet"/>
      </w:pPr>
      <w:r>
        <w:t xml:space="preserve">Provision of a multidisciplinary, community service, led by </w:t>
      </w:r>
      <w:r w:rsidR="00BD59F7">
        <w:t xml:space="preserve">a </w:t>
      </w:r>
      <w:r>
        <w:t>Consultant ophthalmologist where patients are seen by accredited clinicians working under and with direct access to a consultant</w:t>
      </w:r>
      <w:r w:rsidR="00BD59F7">
        <w:t>.</w:t>
      </w:r>
      <w:r>
        <w:t xml:space="preserve"> </w:t>
      </w:r>
    </w:p>
    <w:p w:rsidR="00ED1648" w:rsidRDefault="00A64E45" w:rsidP="00410A97">
      <w:pPr>
        <w:pStyle w:val="Prebullet"/>
      </w:pPr>
      <w:r>
        <w:t>The service will</w:t>
      </w:r>
      <w:r w:rsidR="00BD59F7">
        <w:t>:</w:t>
      </w:r>
    </w:p>
    <w:p w:rsidR="00A64E45" w:rsidRDefault="00A64E45" w:rsidP="009322BB">
      <w:pPr>
        <w:pStyle w:val="ListBullet"/>
        <w:numPr>
          <w:ilvl w:val="0"/>
          <w:numId w:val="8"/>
        </w:numPr>
      </w:pPr>
      <w:r>
        <w:t>Triage urgent and routine referrals from GPs and optometrists through a Single Point of Access</w:t>
      </w:r>
    </w:p>
    <w:p w:rsidR="00A64E45" w:rsidRDefault="00A64E45" w:rsidP="009322BB">
      <w:pPr>
        <w:pStyle w:val="ListBullet"/>
        <w:numPr>
          <w:ilvl w:val="0"/>
          <w:numId w:val="8"/>
        </w:numPr>
      </w:pPr>
      <w:r>
        <w:t>Facilitate onward referral to secondary care for patients who are unsuitable for management in the community</w:t>
      </w:r>
    </w:p>
    <w:p w:rsidR="00A64E45" w:rsidRDefault="00A64E45" w:rsidP="009322BB">
      <w:pPr>
        <w:pStyle w:val="ListBullet"/>
        <w:numPr>
          <w:ilvl w:val="0"/>
          <w:numId w:val="8"/>
        </w:numPr>
      </w:pPr>
      <w:r>
        <w:t xml:space="preserve">Facilitate transfer of chronic stable eye conditions from hospital services to </w:t>
      </w:r>
      <w:r w:rsidR="00BD59F7">
        <w:t xml:space="preserve">the </w:t>
      </w:r>
      <w:r>
        <w:t>community where safe and clinically appropriate e.g.</w:t>
      </w:r>
      <w:r w:rsidR="006A187C">
        <w:t xml:space="preserve"> </w:t>
      </w:r>
      <w:r w:rsidR="000C285A">
        <w:t>step-down</w:t>
      </w:r>
      <w:r>
        <w:t xml:space="preserve"> pathway development and clinical networking with secondary care</w:t>
      </w:r>
    </w:p>
    <w:p w:rsidR="00A64E45" w:rsidRDefault="00A64E45" w:rsidP="009322BB">
      <w:pPr>
        <w:pStyle w:val="ListBullet"/>
        <w:numPr>
          <w:ilvl w:val="0"/>
          <w:numId w:val="8"/>
        </w:numPr>
      </w:pPr>
      <w:r>
        <w:t>Support patient</w:t>
      </w:r>
      <w:r w:rsidR="00BD59F7">
        <w:t>s</w:t>
      </w:r>
      <w:r>
        <w:t xml:space="preserve"> to self-manage</w:t>
      </w:r>
    </w:p>
    <w:p w:rsidR="00A64E45" w:rsidRPr="00CA282F" w:rsidRDefault="00A64E45" w:rsidP="009322BB">
      <w:pPr>
        <w:pStyle w:val="ListBullet"/>
        <w:numPr>
          <w:ilvl w:val="0"/>
          <w:numId w:val="8"/>
        </w:numPr>
      </w:pPr>
      <w:r>
        <w:t>Improve primary prevention, primary medical and ophthalmic care management and referral quality by e.g. education programme, development of p</w:t>
      </w:r>
      <w:r w:rsidR="008F07C7">
        <w:t>rimary care</w:t>
      </w:r>
      <w:r>
        <w:t xml:space="preserve"> pathways, clinical </w:t>
      </w:r>
      <w:r w:rsidRPr="000C285A">
        <w:t>networking</w:t>
      </w:r>
    </w:p>
    <w:p w:rsidR="00A64E45" w:rsidRPr="00FA68D0" w:rsidRDefault="00A64E45" w:rsidP="009322BB">
      <w:pPr>
        <w:pStyle w:val="ListBullet"/>
        <w:numPr>
          <w:ilvl w:val="0"/>
          <w:numId w:val="8"/>
        </w:numPr>
      </w:pPr>
      <w:r w:rsidRPr="00FA68D0">
        <w:t>Assess and manage acute minor eye conditions</w:t>
      </w:r>
    </w:p>
    <w:p w:rsidR="00A64E45" w:rsidRPr="00FA68D0" w:rsidRDefault="00A64E45" w:rsidP="009322BB">
      <w:pPr>
        <w:pStyle w:val="ListBullet"/>
        <w:numPr>
          <w:ilvl w:val="0"/>
          <w:numId w:val="8"/>
        </w:numPr>
      </w:pPr>
      <w:r w:rsidRPr="00FA68D0">
        <w:t xml:space="preserve">Assess and manage </w:t>
      </w:r>
      <w:r w:rsidR="000C285A" w:rsidRPr="006B1F3C">
        <w:t>cataract (pre</w:t>
      </w:r>
      <w:r w:rsidR="000C285A">
        <w:t>-assessment</w:t>
      </w:r>
      <w:r w:rsidR="000C285A" w:rsidRPr="006B1F3C">
        <w:t xml:space="preserve"> and post-operative care</w:t>
      </w:r>
      <w:r w:rsidR="00C67A65">
        <w:t xml:space="preserve"> including </w:t>
      </w:r>
      <w:r w:rsidR="002C7E29">
        <w:t xml:space="preserve">data for </w:t>
      </w:r>
      <w:r w:rsidR="00C67A65">
        <w:t>national ophthalmology database audit</w:t>
      </w:r>
      <w:r w:rsidR="000C285A">
        <w:t>)</w:t>
      </w:r>
      <w:r w:rsidR="000C285A" w:rsidRPr="006B1F3C">
        <w:t xml:space="preserve"> and </w:t>
      </w:r>
      <w:r w:rsidRPr="000C285A">
        <w:t xml:space="preserve">chronic stable eye conditions with a low risk of sight loss, including: </w:t>
      </w:r>
      <w:r w:rsidRPr="00CA282F">
        <w:t>glaucoma, ocular hypertension and suspected ocular hypertension (repeated measurements)</w:t>
      </w:r>
    </w:p>
    <w:p w:rsidR="00A64E45" w:rsidRPr="006B1F3C" w:rsidRDefault="00A64E45" w:rsidP="009322BB">
      <w:pPr>
        <w:pStyle w:val="ListBullet"/>
        <w:numPr>
          <w:ilvl w:val="0"/>
          <w:numId w:val="8"/>
        </w:numPr>
      </w:pPr>
      <w:r w:rsidRPr="006B1F3C">
        <w:t>Minor eyelid surgery</w:t>
      </w:r>
    </w:p>
    <w:p w:rsidR="00484B96" w:rsidRDefault="00484B96" w:rsidP="00410A97">
      <w:pPr>
        <w:pStyle w:val="Prebullet"/>
      </w:pPr>
    </w:p>
    <w:p w:rsidR="00A64E45" w:rsidRDefault="00A64E45" w:rsidP="00410A97">
      <w:pPr>
        <w:pStyle w:val="Prebullet"/>
      </w:pPr>
      <w:r w:rsidRPr="00CA282F">
        <w:t xml:space="preserve">The </w:t>
      </w:r>
      <w:r w:rsidR="00571087" w:rsidRPr="00CA282F">
        <w:t xml:space="preserve">outcomes </w:t>
      </w:r>
      <w:r w:rsidRPr="00CA282F">
        <w:t>of the service will include:</w:t>
      </w:r>
    </w:p>
    <w:p w:rsidR="00A64E45" w:rsidRDefault="00A64E45" w:rsidP="009322BB">
      <w:pPr>
        <w:pStyle w:val="ListBullet"/>
        <w:numPr>
          <w:ilvl w:val="0"/>
          <w:numId w:val="9"/>
        </w:numPr>
      </w:pPr>
      <w:r>
        <w:t xml:space="preserve">Improved access and reduction in unwarranted variation in care </w:t>
      </w:r>
    </w:p>
    <w:p w:rsidR="00A64E45" w:rsidRDefault="00571087" w:rsidP="009322BB">
      <w:pPr>
        <w:pStyle w:val="ListBullet"/>
        <w:numPr>
          <w:ilvl w:val="0"/>
          <w:numId w:val="9"/>
        </w:numPr>
      </w:pPr>
      <w:r>
        <w:t>C</w:t>
      </w:r>
      <w:r w:rsidR="00A64E45">
        <w:t xml:space="preserve">are </w:t>
      </w:r>
      <w:r>
        <w:t xml:space="preserve">provided </w:t>
      </w:r>
      <w:r w:rsidR="00A64E45">
        <w:t>closer to home</w:t>
      </w:r>
    </w:p>
    <w:p w:rsidR="00A64E45" w:rsidRDefault="00A64E45" w:rsidP="009322BB">
      <w:pPr>
        <w:pStyle w:val="ListBullet"/>
        <w:numPr>
          <w:ilvl w:val="0"/>
          <w:numId w:val="9"/>
        </w:numPr>
      </w:pPr>
      <w:r>
        <w:t>Reduce</w:t>
      </w:r>
      <w:r w:rsidR="00571087">
        <w:t>d</w:t>
      </w:r>
      <w:r>
        <w:t xml:space="preserve"> secondary care referrals, where clinically appropriate </w:t>
      </w:r>
    </w:p>
    <w:p w:rsidR="00A64E45" w:rsidRDefault="00A64E45" w:rsidP="009322BB">
      <w:pPr>
        <w:pStyle w:val="ListBullet"/>
        <w:numPr>
          <w:ilvl w:val="0"/>
          <w:numId w:val="9"/>
        </w:numPr>
      </w:pPr>
      <w:r>
        <w:t>Increased patient satisfaction and quality of life</w:t>
      </w:r>
    </w:p>
    <w:p w:rsidR="00410A97" w:rsidRDefault="00410A97" w:rsidP="00410A97">
      <w:pPr>
        <w:pStyle w:val="Heading1"/>
      </w:pPr>
      <w:r>
        <w:t>Commercial information</w:t>
      </w:r>
    </w:p>
    <w:p w:rsidR="00410A97" w:rsidRDefault="00410A97" w:rsidP="00CF093D">
      <w:pPr>
        <w:pStyle w:val="Heading2"/>
        <w:spacing w:before="120"/>
        <w:ind w:left="578" w:hanging="578"/>
      </w:pPr>
      <w:r>
        <w:t xml:space="preserve">Contract duration </w:t>
      </w:r>
    </w:p>
    <w:p w:rsidR="00410A97" w:rsidRDefault="00410A97" w:rsidP="00410A97">
      <w:r>
        <w:t xml:space="preserve">The Contract to be offered to the successful Bidder at the end of this Procurement will be for a duration of three years, which is intended to run from </w:t>
      </w:r>
      <w:r w:rsidR="00F268D7">
        <w:t>1 October 2019 to September 2022</w:t>
      </w:r>
      <w:r>
        <w:t xml:space="preserve"> with the possibility</w:t>
      </w:r>
      <w:r w:rsidR="00571087">
        <w:t xml:space="preserve"> of</w:t>
      </w:r>
      <w:r>
        <w:t xml:space="preserve"> two years</w:t>
      </w:r>
      <w:r w:rsidR="00571087">
        <w:t>’</w:t>
      </w:r>
      <w:r>
        <w:t xml:space="preserve"> extension.</w:t>
      </w:r>
    </w:p>
    <w:p w:rsidR="00410A97" w:rsidRDefault="00410A97" w:rsidP="00410A97">
      <w:r>
        <w:t>Activity ba</w:t>
      </w:r>
      <w:r w:rsidR="00C95450">
        <w:t>seline for new service</w:t>
      </w:r>
    </w:p>
    <w:tbl>
      <w:tblPr>
        <w:tblW w:w="5000" w:type="pct"/>
        <w:tblLook w:val="04A0" w:firstRow="1" w:lastRow="0" w:firstColumn="1" w:lastColumn="0" w:noHBand="0" w:noVBand="1"/>
      </w:tblPr>
      <w:tblGrid>
        <w:gridCol w:w="2616"/>
        <w:gridCol w:w="1481"/>
        <w:gridCol w:w="1131"/>
        <w:gridCol w:w="914"/>
        <w:gridCol w:w="1145"/>
        <w:gridCol w:w="1086"/>
        <w:gridCol w:w="1481"/>
      </w:tblGrid>
      <w:tr w:rsidR="00703D2B" w:rsidRPr="00703D2B" w:rsidTr="00BF6429">
        <w:trPr>
          <w:trHeight w:val="300"/>
        </w:trPr>
        <w:tc>
          <w:tcPr>
            <w:tcW w:w="1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 </w:t>
            </w:r>
          </w:p>
        </w:tc>
        <w:tc>
          <w:tcPr>
            <w:tcW w:w="751"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Year 1 (Q3&amp;4)</w:t>
            </w:r>
          </w:p>
        </w:tc>
        <w:tc>
          <w:tcPr>
            <w:tcW w:w="574"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Year 2</w:t>
            </w:r>
          </w:p>
        </w:tc>
        <w:tc>
          <w:tcPr>
            <w:tcW w:w="464"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Year 3</w:t>
            </w:r>
          </w:p>
        </w:tc>
        <w:tc>
          <w:tcPr>
            <w:tcW w:w="581"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Year 4</w:t>
            </w:r>
          </w:p>
        </w:tc>
        <w:tc>
          <w:tcPr>
            <w:tcW w:w="551"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Year 5</w:t>
            </w:r>
          </w:p>
        </w:tc>
        <w:tc>
          <w:tcPr>
            <w:tcW w:w="751"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Year 6 (Q1&amp;2)</w:t>
            </w:r>
          </w:p>
        </w:tc>
      </w:tr>
      <w:tr w:rsidR="00703D2B" w:rsidRPr="00703D2B" w:rsidTr="00BF6429">
        <w:trPr>
          <w:trHeight w:val="300"/>
        </w:trPr>
        <w:tc>
          <w:tcPr>
            <w:tcW w:w="1327" w:type="pct"/>
            <w:tcBorders>
              <w:top w:val="nil"/>
              <w:left w:val="single" w:sz="4" w:space="0" w:color="auto"/>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First Attendance</w:t>
            </w:r>
          </w:p>
        </w:tc>
        <w:tc>
          <w:tcPr>
            <w:tcW w:w="75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3007</w:t>
            </w:r>
          </w:p>
        </w:tc>
        <w:tc>
          <w:tcPr>
            <w:tcW w:w="574"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7331</w:t>
            </w:r>
          </w:p>
        </w:tc>
        <w:tc>
          <w:tcPr>
            <w:tcW w:w="464"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7596</w:t>
            </w:r>
          </w:p>
        </w:tc>
        <w:tc>
          <w:tcPr>
            <w:tcW w:w="58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7871</w:t>
            </w:r>
          </w:p>
        </w:tc>
        <w:tc>
          <w:tcPr>
            <w:tcW w:w="55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8155</w:t>
            </w:r>
          </w:p>
        </w:tc>
        <w:tc>
          <w:tcPr>
            <w:tcW w:w="75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4225</w:t>
            </w:r>
          </w:p>
        </w:tc>
      </w:tr>
      <w:tr w:rsidR="00703D2B" w:rsidRPr="00703D2B" w:rsidTr="00BF6429">
        <w:trPr>
          <w:trHeight w:val="300"/>
        </w:trPr>
        <w:tc>
          <w:tcPr>
            <w:tcW w:w="1327" w:type="pct"/>
            <w:tcBorders>
              <w:top w:val="nil"/>
              <w:left w:val="single" w:sz="4" w:space="0" w:color="auto"/>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Follow-ups</w:t>
            </w:r>
          </w:p>
        </w:tc>
        <w:tc>
          <w:tcPr>
            <w:tcW w:w="75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5811</w:t>
            </w:r>
          </w:p>
        </w:tc>
        <w:tc>
          <w:tcPr>
            <w:tcW w:w="574"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14167</w:t>
            </w:r>
          </w:p>
        </w:tc>
        <w:tc>
          <w:tcPr>
            <w:tcW w:w="464"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14679</w:t>
            </w:r>
          </w:p>
        </w:tc>
        <w:tc>
          <w:tcPr>
            <w:tcW w:w="58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15210</w:t>
            </w:r>
          </w:p>
        </w:tc>
        <w:tc>
          <w:tcPr>
            <w:tcW w:w="55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15760</w:t>
            </w:r>
          </w:p>
        </w:tc>
        <w:tc>
          <w:tcPr>
            <w:tcW w:w="75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8165</w:t>
            </w:r>
          </w:p>
        </w:tc>
      </w:tr>
      <w:tr w:rsidR="00703D2B" w:rsidRPr="00703D2B" w:rsidTr="00BF6429">
        <w:trPr>
          <w:trHeight w:val="300"/>
        </w:trPr>
        <w:tc>
          <w:tcPr>
            <w:tcW w:w="1327" w:type="pct"/>
            <w:tcBorders>
              <w:top w:val="nil"/>
              <w:left w:val="single" w:sz="4" w:space="0" w:color="auto"/>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Procedures</w:t>
            </w:r>
          </w:p>
        </w:tc>
        <w:tc>
          <w:tcPr>
            <w:tcW w:w="75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2700</w:t>
            </w:r>
          </w:p>
        </w:tc>
        <w:tc>
          <w:tcPr>
            <w:tcW w:w="574"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6584</w:t>
            </w:r>
          </w:p>
        </w:tc>
        <w:tc>
          <w:tcPr>
            <w:tcW w:w="464"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6822</w:t>
            </w:r>
          </w:p>
        </w:tc>
        <w:tc>
          <w:tcPr>
            <w:tcW w:w="58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7069</w:t>
            </w:r>
          </w:p>
        </w:tc>
        <w:tc>
          <w:tcPr>
            <w:tcW w:w="55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7324</w:t>
            </w:r>
          </w:p>
        </w:tc>
        <w:tc>
          <w:tcPr>
            <w:tcW w:w="751" w:type="pct"/>
            <w:tcBorders>
              <w:top w:val="nil"/>
              <w:left w:val="nil"/>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3794</w:t>
            </w:r>
          </w:p>
        </w:tc>
      </w:tr>
      <w:tr w:rsidR="00BF6429" w:rsidRPr="00703D2B" w:rsidTr="00BF6429">
        <w:trPr>
          <w:trHeight w:val="300"/>
        </w:trPr>
        <w:tc>
          <w:tcPr>
            <w:tcW w:w="1327" w:type="pct"/>
            <w:tcBorders>
              <w:top w:val="nil"/>
              <w:left w:val="single" w:sz="4" w:space="0" w:color="auto"/>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Total</w:t>
            </w:r>
          </w:p>
        </w:tc>
        <w:tc>
          <w:tcPr>
            <w:tcW w:w="751"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11518</w:t>
            </w:r>
          </w:p>
        </w:tc>
        <w:tc>
          <w:tcPr>
            <w:tcW w:w="574"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28082</w:t>
            </w:r>
          </w:p>
        </w:tc>
        <w:tc>
          <w:tcPr>
            <w:tcW w:w="464"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29097</w:t>
            </w:r>
          </w:p>
        </w:tc>
        <w:tc>
          <w:tcPr>
            <w:tcW w:w="581"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30150</w:t>
            </w:r>
          </w:p>
        </w:tc>
        <w:tc>
          <w:tcPr>
            <w:tcW w:w="551"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31239</w:t>
            </w:r>
          </w:p>
        </w:tc>
        <w:tc>
          <w:tcPr>
            <w:tcW w:w="751"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16184</w:t>
            </w:r>
          </w:p>
        </w:tc>
      </w:tr>
    </w:tbl>
    <w:p w:rsidR="00BF6429" w:rsidRDefault="00BF6429" w:rsidP="00410A97"/>
    <w:p w:rsidR="00BF6429" w:rsidRDefault="00BF6429">
      <w:pPr>
        <w:keepLines w:val="0"/>
        <w:spacing w:after="160" w:line="259" w:lineRule="auto"/>
      </w:pPr>
      <w:r>
        <w:br w:type="page"/>
      </w:r>
    </w:p>
    <w:p w:rsidR="00410A97" w:rsidRDefault="00410A97" w:rsidP="00410A97">
      <w:pPr>
        <w:pStyle w:val="Heading2"/>
      </w:pPr>
      <w:r>
        <w:t xml:space="preserve">Affordability and </w:t>
      </w:r>
      <w:r w:rsidR="00571087">
        <w:t>b</w:t>
      </w:r>
      <w:r>
        <w:t xml:space="preserve">idding </w:t>
      </w:r>
      <w:r w:rsidR="00571087">
        <w:t>e</w:t>
      </w:r>
      <w:r>
        <w:t xml:space="preserve">nvelope </w:t>
      </w:r>
    </w:p>
    <w:p w:rsidR="00410A97" w:rsidRPr="00751D28" w:rsidRDefault="00410A97" w:rsidP="00410A97">
      <w:r>
        <w:t>In setting an af</w:t>
      </w:r>
      <w:r w:rsidR="009345E7">
        <w:t xml:space="preserve">fordability ceiling, </w:t>
      </w:r>
      <w:r w:rsidR="00751D28">
        <w:t>Ealing &amp; Harrow CCGs</w:t>
      </w:r>
      <w:r>
        <w:t xml:space="preserve"> considered the funding availability and the expected changes in activity. </w:t>
      </w:r>
    </w:p>
    <w:p w:rsidR="00ED1648" w:rsidRDefault="00410A97" w:rsidP="00410A97">
      <w:r w:rsidRPr="00751D28">
        <w:t>The total affordability ceiling for the Core Activity for a 5 year contract is £</w:t>
      </w:r>
      <w:r w:rsidR="00827935">
        <w:t>9</w:t>
      </w:r>
      <w:r w:rsidR="003E149C">
        <w:t>.3m</w:t>
      </w:r>
      <w:r w:rsidRPr="00751D28">
        <w:t>.</w:t>
      </w:r>
      <w:r w:rsidR="00571087">
        <w:t xml:space="preserve"> </w:t>
      </w:r>
      <w:r>
        <w:t xml:space="preserve">The table below set outs the affordability ceiling for each year of the contract (years 1 to </w:t>
      </w:r>
      <w:r w:rsidR="00827935">
        <w:t>5</w:t>
      </w:r>
      <w:r>
        <w:t>) based upon the expected activity. A minimum price threshold for each year has also been set.</w:t>
      </w:r>
    </w:p>
    <w:p w:rsidR="00D34B1D" w:rsidRDefault="00D34B1D" w:rsidP="00410A97"/>
    <w:tbl>
      <w:tblPr>
        <w:tblW w:w="5000" w:type="pct"/>
        <w:tblLayout w:type="fixed"/>
        <w:tblCellMar>
          <w:left w:w="0" w:type="dxa"/>
          <w:right w:w="0" w:type="dxa"/>
        </w:tblCellMar>
        <w:tblLook w:val="04A0" w:firstRow="1" w:lastRow="0" w:firstColumn="1" w:lastColumn="0" w:noHBand="0" w:noVBand="1"/>
      </w:tblPr>
      <w:tblGrid>
        <w:gridCol w:w="1231"/>
        <w:gridCol w:w="1231"/>
        <w:gridCol w:w="1232"/>
        <w:gridCol w:w="1232"/>
        <w:gridCol w:w="1232"/>
        <w:gridCol w:w="1232"/>
        <w:gridCol w:w="1232"/>
        <w:gridCol w:w="1232"/>
      </w:tblGrid>
      <w:tr w:rsidR="00AE1096" w:rsidRPr="00AE1096" w:rsidTr="00592950">
        <w:trPr>
          <w:trHeight w:val="255"/>
        </w:trPr>
        <w:tc>
          <w:tcPr>
            <w:tcW w:w="625" w:type="pct"/>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ascii="Times New Roman" w:eastAsia="Times New Roman" w:hAnsi="Times New Roman" w:cs="Times New Roman"/>
                <w:sz w:val="18"/>
                <w:szCs w:val="18"/>
                <w:lang w:eastAsia="en-GB"/>
              </w:rPr>
            </w:pPr>
          </w:p>
        </w:tc>
        <w:tc>
          <w:tcPr>
            <w:tcW w:w="625" w:type="pct"/>
            <w:tcBorders>
              <w:top w:val="single" w:sz="8" w:space="0" w:color="auto"/>
              <w:left w:val="single" w:sz="8" w:space="0" w:color="auto"/>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19/20 Q3&amp;Q4</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20/21</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21/22</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22/23</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24/25</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25/26 Q1 &amp; Q2</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 xml:space="preserve">Total </w:t>
            </w:r>
          </w:p>
        </w:tc>
      </w:tr>
      <w:tr w:rsidR="00AE1096" w:rsidRPr="00AE1096" w:rsidTr="00592950">
        <w:trPr>
          <w:trHeight w:val="255"/>
        </w:trPr>
        <w:tc>
          <w:tcPr>
            <w:tcW w:w="625"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Max (10k)</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w:t>
            </w:r>
            <w:r w:rsidRPr="00592950">
              <w:rPr>
                <w:rFonts w:eastAsia="Calibri" w:cs="Arial"/>
                <w:color w:val="000000"/>
                <w:sz w:val="18"/>
                <w:szCs w:val="18"/>
                <w:lang w:eastAsia="en-GB"/>
              </w:rPr>
              <w:t xml:space="preserve">960,000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sidRPr="00592950">
              <w:rPr>
                <w:rFonts w:eastAsia="Calibri" w:cs="Arial"/>
                <w:color w:val="000000"/>
                <w:sz w:val="18"/>
                <w:szCs w:val="18"/>
                <w:lang w:eastAsia="en-GB"/>
              </w:rPr>
              <w:t xml:space="preserve"> £1,800,000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sidRPr="00592950">
              <w:rPr>
                <w:rFonts w:eastAsia="Calibri" w:cs="Arial"/>
                <w:color w:val="000000"/>
                <w:sz w:val="18"/>
                <w:szCs w:val="18"/>
                <w:lang w:eastAsia="en-GB"/>
              </w:rPr>
              <w:t xml:space="preserve"> £1,840,000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sidRPr="00592950">
              <w:rPr>
                <w:rFonts w:eastAsia="Calibri" w:cs="Arial"/>
                <w:color w:val="000000"/>
                <w:sz w:val="18"/>
                <w:szCs w:val="18"/>
                <w:lang w:eastAsia="en-GB"/>
              </w:rPr>
              <w:t xml:space="preserve"> £1,850,000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sidRPr="00592950">
              <w:rPr>
                <w:rFonts w:eastAsia="Calibri" w:cs="Arial"/>
                <w:color w:val="000000"/>
                <w:sz w:val="18"/>
                <w:szCs w:val="18"/>
                <w:lang w:eastAsia="en-GB"/>
              </w:rPr>
              <w:t xml:space="preserve"> £1,900,000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Pr="00592950">
              <w:rPr>
                <w:rFonts w:eastAsia="Calibri" w:cs="Arial"/>
                <w:color w:val="000000"/>
                <w:sz w:val="18"/>
                <w:szCs w:val="18"/>
                <w:lang w:eastAsia="en-GB"/>
              </w:rPr>
              <w:t xml:space="preserve"> 950,000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 </w:t>
            </w:r>
            <w:r w:rsidRPr="00592950">
              <w:rPr>
                <w:rFonts w:eastAsia="Calibri" w:cs="Arial"/>
                <w:color w:val="000000"/>
                <w:sz w:val="18"/>
                <w:szCs w:val="18"/>
                <w:lang w:eastAsia="en-GB"/>
              </w:rPr>
              <w:t xml:space="preserve">9,300,000 </w:t>
            </w:r>
          </w:p>
        </w:tc>
      </w:tr>
      <w:tr w:rsidR="00AE1096" w:rsidRPr="00AE1096" w:rsidTr="00592950">
        <w:trPr>
          <w:trHeight w:val="255"/>
        </w:trPr>
        <w:tc>
          <w:tcPr>
            <w:tcW w:w="62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Bottom up costing</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sidRPr="00592950">
              <w:rPr>
                <w:rFonts w:eastAsia="Calibri" w:cs="Arial"/>
                <w:color w:val="000000"/>
                <w:sz w:val="18"/>
                <w:szCs w:val="18"/>
                <w:lang w:eastAsia="en-GB"/>
              </w:rPr>
              <w:t xml:space="preserve">£ 955,813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Pr="00592950">
              <w:rPr>
                <w:rFonts w:eastAsia="Calibri" w:cs="Arial"/>
                <w:color w:val="000000"/>
                <w:sz w:val="18"/>
                <w:szCs w:val="18"/>
                <w:lang w:eastAsia="en-GB"/>
              </w:rPr>
              <w:t xml:space="preserve">1,790,679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sidRPr="00592950">
              <w:rPr>
                <w:rFonts w:eastAsia="Calibri" w:cs="Arial"/>
                <w:color w:val="000000"/>
                <w:sz w:val="18"/>
                <w:szCs w:val="18"/>
                <w:lang w:eastAsia="en-GB"/>
              </w:rPr>
              <w:t xml:space="preserve"> £1,831,395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sidRPr="00592950">
              <w:rPr>
                <w:rFonts w:eastAsia="Calibri" w:cs="Arial"/>
                <w:color w:val="000000"/>
                <w:sz w:val="18"/>
                <w:szCs w:val="18"/>
                <w:lang w:eastAsia="en-GB"/>
              </w:rPr>
              <w:t xml:space="preserve"> £1,840,792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sidRPr="00592950">
              <w:rPr>
                <w:rFonts w:eastAsia="Calibri" w:cs="Arial"/>
                <w:color w:val="000000"/>
                <w:sz w:val="18"/>
                <w:szCs w:val="18"/>
                <w:lang w:eastAsia="en-GB"/>
              </w:rPr>
              <w:t xml:space="preserve"> £1,896,045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Pr="00592950">
              <w:rPr>
                <w:rFonts w:eastAsia="Calibri" w:cs="Arial"/>
                <w:color w:val="000000"/>
                <w:sz w:val="18"/>
                <w:szCs w:val="18"/>
                <w:lang w:eastAsia="en-GB"/>
              </w:rPr>
              <w:t xml:space="preserve"> 948,022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Pr="00592950">
              <w:rPr>
                <w:rFonts w:eastAsia="Calibri" w:cs="Arial"/>
                <w:color w:val="000000"/>
                <w:sz w:val="18"/>
                <w:szCs w:val="18"/>
                <w:lang w:eastAsia="en-GB"/>
              </w:rPr>
              <w:t xml:space="preserve"> 9,262,747 </w:t>
            </w:r>
          </w:p>
        </w:tc>
      </w:tr>
      <w:tr w:rsidR="00AE1096" w:rsidRPr="00AE1096" w:rsidTr="00592950">
        <w:trPr>
          <w:trHeight w:val="255"/>
        </w:trPr>
        <w:tc>
          <w:tcPr>
            <w:tcW w:w="62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Min (80%)</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w:t>
            </w:r>
            <w:r w:rsidRPr="00592950">
              <w:rPr>
                <w:rFonts w:eastAsia="Calibri" w:cs="Arial"/>
                <w:color w:val="000000"/>
                <w:sz w:val="18"/>
                <w:szCs w:val="18"/>
                <w:lang w:eastAsia="en-GB"/>
              </w:rPr>
              <w:t xml:space="preserve">765,000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Pr="00592950">
              <w:rPr>
                <w:rFonts w:eastAsia="Calibri" w:cs="Arial"/>
                <w:color w:val="000000"/>
                <w:sz w:val="18"/>
                <w:szCs w:val="18"/>
                <w:lang w:eastAsia="en-GB"/>
              </w:rPr>
              <w:t xml:space="preserve">1,440,000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sidRPr="00592950">
              <w:rPr>
                <w:rFonts w:eastAsia="Calibri" w:cs="Arial"/>
                <w:color w:val="000000"/>
                <w:sz w:val="18"/>
                <w:szCs w:val="18"/>
                <w:lang w:eastAsia="en-GB"/>
              </w:rPr>
              <w:t xml:space="preserve"> £1,470,000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Pr="00592950">
              <w:rPr>
                <w:rFonts w:eastAsia="Calibri" w:cs="Arial"/>
                <w:color w:val="000000"/>
                <w:sz w:val="18"/>
                <w:szCs w:val="18"/>
                <w:lang w:eastAsia="en-GB"/>
              </w:rPr>
              <w:t xml:space="preserve">1,480,000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Pr="00592950">
              <w:rPr>
                <w:rFonts w:eastAsia="Calibri" w:cs="Arial"/>
                <w:color w:val="000000"/>
                <w:sz w:val="18"/>
                <w:szCs w:val="18"/>
                <w:lang w:eastAsia="en-GB"/>
              </w:rPr>
              <w:t xml:space="preserve">1,520,000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sidRPr="00592950">
              <w:rPr>
                <w:rFonts w:eastAsia="Calibri" w:cs="Arial"/>
                <w:color w:val="000000"/>
                <w:sz w:val="18"/>
                <w:szCs w:val="18"/>
                <w:lang w:eastAsia="en-GB"/>
              </w:rPr>
              <w:t xml:space="preserve"> £  760,000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Pr="00592950">
              <w:rPr>
                <w:rFonts w:eastAsia="Calibri" w:cs="Arial"/>
                <w:color w:val="000000"/>
                <w:sz w:val="18"/>
                <w:szCs w:val="18"/>
                <w:lang w:eastAsia="en-GB"/>
              </w:rPr>
              <w:t xml:space="preserve"> 7,435,000 </w:t>
            </w:r>
          </w:p>
        </w:tc>
      </w:tr>
    </w:tbl>
    <w:p w:rsidR="00703D2B" w:rsidRDefault="00703D2B" w:rsidP="00410A97"/>
    <w:p w:rsidR="00703D2B" w:rsidRDefault="00703D2B" w:rsidP="00410A97"/>
    <w:p w:rsidR="00ED1648" w:rsidRDefault="00ED1648"/>
    <w:p w:rsidR="00ED1648" w:rsidRDefault="00ED1648"/>
    <w:p w:rsidR="00ED1648" w:rsidRDefault="00ED1648"/>
    <w:sectPr w:rsidR="00ED1648" w:rsidSect="00822F75">
      <w:headerReference w:type="even" r:id="rId10"/>
      <w:headerReference w:type="default" r:id="rId11"/>
      <w:footerReference w:type="even" r:id="rId12"/>
      <w:footerReference w:type="default" r:id="rId13"/>
      <w:headerReference w:type="first" r:id="rId14"/>
      <w:footerReference w:type="first" r:id="rId15"/>
      <w:pgSz w:w="11906" w:h="16838" w:code="9"/>
      <w:pgMar w:top="1702" w:right="1134" w:bottom="1276" w:left="1134" w:header="624" w:footer="60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8B66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B662B" w16cid:durableId="1F81AA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D6D" w:rsidRDefault="00A15D6D" w:rsidP="000B5654">
      <w:pPr>
        <w:spacing w:after="0" w:line="240" w:lineRule="auto"/>
      </w:pPr>
      <w:r>
        <w:separator/>
      </w:r>
    </w:p>
  </w:endnote>
  <w:endnote w:type="continuationSeparator" w:id="0">
    <w:p w:rsidR="00A15D6D" w:rsidRDefault="00A15D6D" w:rsidP="000B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JPBCEC+Arial">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21" w:rsidRDefault="00BF3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21" w:rsidRPr="00C27268" w:rsidRDefault="00BF3821" w:rsidP="00822F75">
    <w:pPr>
      <w:pStyle w:val="Footer"/>
      <w:pBdr>
        <w:top w:val="single" w:sz="8" w:space="1" w:color="0072C6"/>
      </w:pBdr>
      <w:tabs>
        <w:tab w:val="clear" w:pos="4513"/>
        <w:tab w:val="clear" w:pos="9026"/>
        <w:tab w:val="center" w:pos="4536"/>
        <w:tab w:val="right" w:pos="9638"/>
      </w:tabs>
      <w:rPr>
        <w:sz w:val="20"/>
      </w:rPr>
    </w:pPr>
    <w:r>
      <w:rPr>
        <w:sz w:val="20"/>
      </w:rPr>
      <w:t>19/10/18</w:t>
    </w:r>
    <w:r w:rsidRPr="00C27268">
      <w:rPr>
        <w:sz w:val="20"/>
      </w:rPr>
      <w:tab/>
    </w:r>
    <w:r>
      <w:rPr>
        <w:sz w:val="20"/>
      </w:rPr>
      <w:t xml:space="preserve">Memorandum of Information </w:t>
    </w:r>
    <w:r>
      <w:rPr>
        <w:sz w:val="20"/>
      </w:rPr>
      <w:tab/>
    </w:r>
    <w:r w:rsidRPr="00C27268">
      <w:rPr>
        <w:sz w:val="20"/>
      </w:rPr>
      <w:t xml:space="preserve">Page </w:t>
    </w:r>
    <w:r w:rsidRPr="00C27268">
      <w:rPr>
        <w:sz w:val="20"/>
      </w:rPr>
      <w:fldChar w:fldCharType="begin"/>
    </w:r>
    <w:r w:rsidRPr="00C27268">
      <w:rPr>
        <w:sz w:val="20"/>
      </w:rPr>
      <w:instrText xml:space="preserve"> PAGE  \* Arabic  \* MERGEFORMAT </w:instrText>
    </w:r>
    <w:r w:rsidRPr="00C27268">
      <w:rPr>
        <w:sz w:val="20"/>
      </w:rPr>
      <w:fldChar w:fldCharType="separate"/>
    </w:r>
    <w:r w:rsidR="007F71D5">
      <w:rPr>
        <w:noProof/>
        <w:sz w:val="20"/>
      </w:rPr>
      <w:t>1</w:t>
    </w:r>
    <w:r w:rsidRPr="00C27268">
      <w:rPr>
        <w:sz w:val="20"/>
      </w:rPr>
      <w:fldChar w:fldCharType="end"/>
    </w:r>
    <w:r w:rsidRPr="00C27268">
      <w:rPr>
        <w:sz w:val="20"/>
      </w:rPr>
      <w:t xml:space="preserve"> of </w:t>
    </w:r>
    <w:r w:rsidRPr="00C27268">
      <w:rPr>
        <w:sz w:val="20"/>
      </w:rPr>
      <w:fldChar w:fldCharType="begin"/>
    </w:r>
    <w:r w:rsidRPr="00C27268">
      <w:rPr>
        <w:sz w:val="20"/>
      </w:rPr>
      <w:instrText xml:space="preserve"> NUMPAGES  \* Arabic  \* MERGEFORMAT </w:instrText>
    </w:r>
    <w:r w:rsidRPr="00C27268">
      <w:rPr>
        <w:sz w:val="20"/>
      </w:rPr>
      <w:fldChar w:fldCharType="separate"/>
    </w:r>
    <w:r w:rsidR="007F71D5">
      <w:rPr>
        <w:noProof/>
        <w:sz w:val="20"/>
      </w:rPr>
      <w:t>5</w:t>
    </w:r>
    <w:r w:rsidRPr="00C27268">
      <w:rPr>
        <w:sz w:val="20"/>
      </w:rPr>
      <w:fldChar w:fldCharType="end"/>
    </w:r>
    <w:r>
      <w:rPr>
        <w:sz w:val="20"/>
      </w:rPr>
      <w:br/>
    </w:r>
    <w:r>
      <w:rPr>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21" w:rsidRDefault="00BF3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D6D" w:rsidRDefault="00A15D6D" w:rsidP="000B5654">
      <w:pPr>
        <w:spacing w:after="0" w:line="240" w:lineRule="auto"/>
      </w:pPr>
      <w:r>
        <w:separator/>
      </w:r>
    </w:p>
  </w:footnote>
  <w:footnote w:type="continuationSeparator" w:id="0">
    <w:p w:rsidR="00A15D6D" w:rsidRDefault="00A15D6D" w:rsidP="000B5654">
      <w:pPr>
        <w:spacing w:after="0" w:line="240" w:lineRule="auto"/>
      </w:pPr>
      <w:r>
        <w:continuationSeparator/>
      </w:r>
    </w:p>
  </w:footnote>
  <w:footnote w:id="1">
    <w:p w:rsidR="00BF3821" w:rsidRDefault="00BF3821">
      <w:pPr>
        <w:pStyle w:val="FootnoteText"/>
      </w:pPr>
      <w:r>
        <w:rPr>
          <w:rStyle w:val="FootnoteReference"/>
        </w:rPr>
        <w:footnoteRef/>
      </w:r>
      <w:r>
        <w:t xml:space="preserve"> </w:t>
      </w:r>
      <w:r w:rsidRPr="00A64E45">
        <w:t>http://www.rnib.org.uk/knowledge-and-research-hub/key-information-and-statistics</w:t>
      </w:r>
    </w:p>
  </w:footnote>
  <w:footnote w:id="2">
    <w:p w:rsidR="00BF3821" w:rsidRDefault="00BF3821">
      <w:pPr>
        <w:pStyle w:val="FootnoteText"/>
      </w:pPr>
      <w:r>
        <w:rPr>
          <w:rStyle w:val="FootnoteReference"/>
        </w:rPr>
        <w:footnoteRef/>
      </w:r>
      <w:r>
        <w:t xml:space="preserve"> </w:t>
      </w:r>
      <w:r w:rsidRPr="00767332">
        <w:t>RNIB (2009) Cost Oversight. The cost of eye disease and sight loss in the UK today and in the future</w:t>
      </w:r>
    </w:p>
  </w:footnote>
  <w:footnote w:id="3">
    <w:p w:rsidR="00BF3821" w:rsidRDefault="00BF3821">
      <w:pPr>
        <w:pStyle w:val="FootnoteText"/>
      </w:pPr>
      <w:r>
        <w:rPr>
          <w:rStyle w:val="FootnoteReference"/>
        </w:rPr>
        <w:footnoteRef/>
      </w:r>
      <w:r>
        <w:t xml:space="preserve"> </w:t>
      </w:r>
      <w:r w:rsidRPr="00A64E45">
        <w:t>https://www.college-optometrists.org/the-college/ccehc/delivery-models.html</w:t>
      </w:r>
    </w:p>
  </w:footnote>
  <w:footnote w:id="4">
    <w:p w:rsidR="00BF3821" w:rsidRDefault="00BF3821" w:rsidP="0035311E">
      <w:pPr>
        <w:pStyle w:val="FootnoteText"/>
      </w:pPr>
      <w:r>
        <w:rPr>
          <w:rStyle w:val="FootnoteReference"/>
        </w:rPr>
        <w:footnoteRef/>
      </w:r>
      <w:r>
        <w:t xml:space="preserve"> </w:t>
      </w:r>
      <w:r w:rsidRPr="00502B0A">
        <w:t>https://digital.nhs.uk/data-and-information/publications/statistical/patients-registered-at-a-gp-practice</w:t>
      </w:r>
    </w:p>
  </w:footnote>
  <w:footnote w:id="5">
    <w:p w:rsidR="00BF3821" w:rsidRDefault="00BF3821" w:rsidP="0035311E">
      <w:pPr>
        <w:pStyle w:val="FootnoteText"/>
      </w:pPr>
      <w:r>
        <w:rPr>
          <w:rStyle w:val="FootnoteReference"/>
        </w:rPr>
        <w:footnoteRef/>
      </w:r>
      <w:r>
        <w:t xml:space="preserve"> </w:t>
      </w:r>
      <w:r w:rsidRPr="003E03AA">
        <w:t>https://www.london.gov.uk/sites/default/files/sightlossfinalv2.pdf</w:t>
      </w:r>
    </w:p>
  </w:footnote>
  <w:footnote w:id="6">
    <w:p w:rsidR="00BF3821" w:rsidRDefault="00BF3821">
      <w:pPr>
        <w:pStyle w:val="FootnoteText"/>
      </w:pPr>
      <w:r>
        <w:rPr>
          <w:rStyle w:val="FootnoteReference"/>
        </w:rPr>
        <w:footnoteRef/>
      </w:r>
      <w:r>
        <w:t xml:space="preserve"> </w:t>
      </w:r>
      <w:r w:rsidRPr="001755AE">
        <w:t>https://www.ealing.gov.uk/downloads/download/1018/ealing_joint_strategic_needs_assessment</w:t>
      </w:r>
    </w:p>
  </w:footnote>
  <w:footnote w:id="7">
    <w:p w:rsidR="00BF3821" w:rsidRDefault="00BF3821">
      <w:pPr>
        <w:pStyle w:val="FootnoteText"/>
      </w:pPr>
      <w:r>
        <w:rPr>
          <w:rStyle w:val="FootnoteReference"/>
        </w:rPr>
        <w:footnoteRef/>
      </w:r>
      <w:r>
        <w:t xml:space="preserve"> </w:t>
      </w:r>
      <w:r w:rsidRPr="001755AE">
        <w:t>https://www.healthiernorthwestlondon.nhs.uk/sites/nhsnwlondon/files/documents/nwl_s</w:t>
      </w:r>
      <w:r>
        <w:t>tp_october</w:t>
      </w:r>
    </w:p>
  </w:footnote>
  <w:footnote w:id="8">
    <w:p w:rsidR="00BF3821" w:rsidRDefault="00BF3821">
      <w:pPr>
        <w:pStyle w:val="FootnoteText"/>
      </w:pPr>
      <w:r>
        <w:rPr>
          <w:rStyle w:val="FootnoteReference"/>
        </w:rPr>
        <w:footnoteRef/>
      </w:r>
      <w:r>
        <w:t xml:space="preserve"> </w:t>
      </w:r>
      <w:r w:rsidRPr="006548D8">
        <w:t>Harrow JSNA 2015 - 2020.pdf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21" w:rsidRDefault="00BF3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21" w:rsidRDefault="00BF3821" w:rsidP="002C3CB7">
    <w:pPr>
      <w:pStyle w:val="Header"/>
      <w:tabs>
        <w:tab w:val="clear" w:pos="4513"/>
        <w:tab w:val="clear" w:pos="9026"/>
        <w:tab w:val="left" w:pos="5772"/>
      </w:tabs>
      <w:rPr>
        <w:sz w:val="18"/>
      </w:rPr>
    </w:pPr>
    <w:r w:rsidRPr="00E84B9D">
      <w:rPr>
        <w:noProof/>
        <w:sz w:val="12"/>
        <w:szCs w:val="12"/>
        <w:lang w:eastAsia="en-GB"/>
      </w:rPr>
      <w:drawing>
        <wp:anchor distT="0" distB="0" distL="114300" distR="114300" simplePos="0" relativeHeight="251664384" behindDoc="0" locked="0" layoutInCell="1" allowOverlap="1" wp14:anchorId="49D54577" wp14:editId="3441F581">
          <wp:simplePos x="0" y="0"/>
          <wp:positionH relativeFrom="margin">
            <wp:posOffset>3412490</wp:posOffset>
          </wp:positionH>
          <wp:positionV relativeFrom="margin">
            <wp:posOffset>-901700</wp:posOffset>
          </wp:positionV>
          <wp:extent cx="1679575" cy="432435"/>
          <wp:effectExtent l="0" t="0" r="0" b="5715"/>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57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8480" behindDoc="0" locked="0" layoutInCell="1" allowOverlap="1" wp14:anchorId="2FFA40CC" wp14:editId="616D2C1B">
          <wp:simplePos x="0" y="0"/>
          <wp:positionH relativeFrom="column">
            <wp:posOffset>5170170</wp:posOffset>
          </wp:positionH>
          <wp:positionV relativeFrom="paragraph">
            <wp:posOffset>-266700</wp:posOffset>
          </wp:positionV>
          <wp:extent cx="1468755" cy="472440"/>
          <wp:effectExtent l="0" t="0" r="0" b="3810"/>
          <wp:wrapSquare wrapText="bothSides"/>
          <wp:docPr id="3" name="Picture 3" descr="Image result for harrow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arrow cc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8755" cy="472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8"/>
      </w:rPr>
      <w:tab/>
    </w:r>
  </w:p>
  <w:p w:rsidR="00BF3821" w:rsidRDefault="00BF3821" w:rsidP="002C3CB7">
    <w:pPr>
      <w:pStyle w:val="Header"/>
      <w:jc w:val="right"/>
      <w:rPr>
        <w:sz w:val="18"/>
      </w:rPr>
    </w:pPr>
  </w:p>
  <w:p w:rsidR="00BF3821" w:rsidRDefault="00BF3821">
    <w:pPr>
      <w:pStyle w:val="Header"/>
      <w:rPr>
        <w:sz w:val="18"/>
      </w:rPr>
    </w:pPr>
  </w:p>
  <w:p w:rsidR="00BF3821" w:rsidRPr="00822F75" w:rsidRDefault="00BF3821" w:rsidP="00AE70DA">
    <w:pPr>
      <w:pStyle w:val="Header"/>
      <w:pBdr>
        <w:bottom w:val="single" w:sz="8" w:space="1" w:color="0072C6"/>
      </w:pBdr>
      <w:jc w:val="center"/>
      <w:rPr>
        <w:b/>
        <w:sz w:val="32"/>
      </w:rPr>
    </w:pPr>
    <w:r w:rsidRPr="00ED1648">
      <w:rPr>
        <w:b/>
        <w:sz w:val="24"/>
      </w:rPr>
      <w:t>MOI Community Ophthalmology Procurement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21" w:rsidRDefault="00BF3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30DB1E"/>
    <w:lvl w:ilvl="0">
      <w:start w:val="1"/>
      <w:numFmt w:val="bullet"/>
      <w:pStyle w:val="ListBullet"/>
      <w:lvlText w:val=""/>
      <w:lvlJc w:val="left"/>
      <w:pPr>
        <w:tabs>
          <w:tab w:val="num" w:pos="360"/>
        </w:tabs>
        <w:ind w:left="360" w:hanging="360"/>
      </w:pPr>
      <w:rPr>
        <w:rFonts w:ascii="Symbol" w:hAnsi="Symbol" w:hint="default"/>
        <w:color w:val="005EB8"/>
      </w:rPr>
    </w:lvl>
  </w:abstractNum>
  <w:abstractNum w:abstractNumId="1">
    <w:nsid w:val="01C75F9E"/>
    <w:multiLevelType w:val="multilevel"/>
    <w:tmpl w:val="957070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lowerLetter"/>
      <w:pStyle w:val="Heading6"/>
      <w:lvlText w:val="%6)"/>
      <w:lvlJc w:val="left"/>
      <w:pPr>
        <w:tabs>
          <w:tab w:val="num" w:pos="357"/>
        </w:tabs>
        <w:ind w:left="357" w:hanging="357"/>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255328A"/>
    <w:multiLevelType w:val="multilevel"/>
    <w:tmpl w:val="E48C75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B8910B7"/>
    <w:multiLevelType w:val="hybridMultilevel"/>
    <w:tmpl w:val="2842A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CB772B"/>
    <w:multiLevelType w:val="hybridMultilevel"/>
    <w:tmpl w:val="170A4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7477BE9"/>
    <w:multiLevelType w:val="hybridMultilevel"/>
    <w:tmpl w:val="B8BA33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C827419"/>
    <w:multiLevelType w:val="multilevel"/>
    <w:tmpl w:val="A5C289B4"/>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21"/>
        </w:tabs>
        <w:ind w:left="1021" w:hanging="1021"/>
      </w:pPr>
      <w:rPr>
        <w:rFonts w:hint="default"/>
      </w:rPr>
    </w:lvl>
    <w:lvl w:ilvl="5">
      <w:start w:val="1"/>
      <w:numFmt w:val="lowerLetter"/>
      <w:lvlText w:val="%6)"/>
      <w:lvlJc w:val="left"/>
      <w:pPr>
        <w:tabs>
          <w:tab w:val="num" w:pos="357"/>
        </w:tabs>
        <w:ind w:left="357" w:hanging="357"/>
      </w:pPr>
      <w:rPr>
        <w:rFonts w:hint="default"/>
      </w:rPr>
    </w:lvl>
    <w:lvl w:ilvl="6">
      <w:start w:val="1"/>
      <w:numFmt w:val="decimal"/>
      <w:lvlText w:val="%6.%7)"/>
      <w:lvlJc w:val="left"/>
      <w:pPr>
        <w:tabs>
          <w:tab w:val="num" w:pos="454"/>
        </w:tabs>
        <w:ind w:left="454" w:hanging="454"/>
      </w:pPr>
      <w:rPr>
        <w:rFonts w:hint="default"/>
      </w:rPr>
    </w:lvl>
    <w:lvl w:ilvl="7">
      <w:start w:val="1"/>
      <w:numFmt w:val="lowerRoman"/>
      <w:lvlText w:val="%8."/>
      <w:lvlJc w:val="left"/>
      <w:pPr>
        <w:tabs>
          <w:tab w:val="num" w:pos="357"/>
        </w:tabs>
        <w:ind w:left="357" w:hanging="357"/>
      </w:pPr>
      <w:rPr>
        <w:rFonts w:hint="default"/>
      </w:rPr>
    </w:lvl>
    <w:lvl w:ilvl="8">
      <w:start w:val="1"/>
      <w:numFmt w:val="lowerRoman"/>
      <w:lvlText w:val="%9."/>
      <w:lvlJc w:val="left"/>
      <w:pPr>
        <w:ind w:left="3240" w:hanging="360"/>
      </w:pPr>
      <w:rPr>
        <w:rFonts w:hint="default"/>
      </w:rPr>
    </w:lvl>
  </w:abstractNum>
  <w:abstractNum w:abstractNumId="7">
    <w:nsid w:val="7C8D0BE7"/>
    <w:multiLevelType w:val="hybridMultilevel"/>
    <w:tmpl w:val="7CA4F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0"/>
    <w:lvlOverride w:ilvl="0">
      <w:startOverride w:val="1"/>
    </w:lvlOverride>
  </w:num>
  <w:num w:numId="7">
    <w:abstractNumId w:val="0"/>
    <w:lvlOverride w:ilvl="0">
      <w:startOverride w:val="1"/>
    </w:lvlOverride>
  </w:num>
  <w:num w:numId="8">
    <w:abstractNumId w:val="7"/>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Parkins">
    <w15:presenceInfo w15:providerId="Windows Live" w15:userId="8d3025e27dd6e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C6"/>
    <w:rsid w:val="000051C1"/>
    <w:rsid w:val="0001453F"/>
    <w:rsid w:val="00023212"/>
    <w:rsid w:val="000476F8"/>
    <w:rsid w:val="00056A71"/>
    <w:rsid w:val="000B5654"/>
    <w:rsid w:val="000C285A"/>
    <w:rsid w:val="000D6263"/>
    <w:rsid w:val="000E3714"/>
    <w:rsid w:val="000F70E7"/>
    <w:rsid w:val="000F74BA"/>
    <w:rsid w:val="001319AC"/>
    <w:rsid w:val="001755AE"/>
    <w:rsid w:val="00196B78"/>
    <w:rsid w:val="001C5276"/>
    <w:rsid w:val="001C634A"/>
    <w:rsid w:val="001D0E7A"/>
    <w:rsid w:val="001E606F"/>
    <w:rsid w:val="002304DE"/>
    <w:rsid w:val="002C3CB7"/>
    <w:rsid w:val="002C7E29"/>
    <w:rsid w:val="00303426"/>
    <w:rsid w:val="00321B33"/>
    <w:rsid w:val="00336567"/>
    <w:rsid w:val="0035311E"/>
    <w:rsid w:val="003551F9"/>
    <w:rsid w:val="00362ED5"/>
    <w:rsid w:val="00377490"/>
    <w:rsid w:val="00384360"/>
    <w:rsid w:val="003A1F01"/>
    <w:rsid w:val="003A5ED7"/>
    <w:rsid w:val="003B08F8"/>
    <w:rsid w:val="003B1F2C"/>
    <w:rsid w:val="003C6C17"/>
    <w:rsid w:val="003E149C"/>
    <w:rsid w:val="00401DD5"/>
    <w:rsid w:val="00407F96"/>
    <w:rsid w:val="00410A97"/>
    <w:rsid w:val="0046157B"/>
    <w:rsid w:val="00470778"/>
    <w:rsid w:val="00484B96"/>
    <w:rsid w:val="00485744"/>
    <w:rsid w:val="004A2BD6"/>
    <w:rsid w:val="004A4000"/>
    <w:rsid w:val="004C632C"/>
    <w:rsid w:val="005359CC"/>
    <w:rsid w:val="0056412A"/>
    <w:rsid w:val="00571087"/>
    <w:rsid w:val="005725DE"/>
    <w:rsid w:val="00573302"/>
    <w:rsid w:val="00592950"/>
    <w:rsid w:val="005B1378"/>
    <w:rsid w:val="005B1CE0"/>
    <w:rsid w:val="005F186A"/>
    <w:rsid w:val="005F1C15"/>
    <w:rsid w:val="00602D24"/>
    <w:rsid w:val="00620B62"/>
    <w:rsid w:val="006548D8"/>
    <w:rsid w:val="006800F8"/>
    <w:rsid w:val="00680B00"/>
    <w:rsid w:val="00682E80"/>
    <w:rsid w:val="006876EF"/>
    <w:rsid w:val="00692AFE"/>
    <w:rsid w:val="006A187C"/>
    <w:rsid w:val="006B1F3C"/>
    <w:rsid w:val="006F5EB6"/>
    <w:rsid w:val="00703653"/>
    <w:rsid w:val="00703D2B"/>
    <w:rsid w:val="00751D28"/>
    <w:rsid w:val="00755077"/>
    <w:rsid w:val="00767332"/>
    <w:rsid w:val="00772E2A"/>
    <w:rsid w:val="007C5579"/>
    <w:rsid w:val="007D5EBB"/>
    <w:rsid w:val="007F3138"/>
    <w:rsid w:val="007F71D5"/>
    <w:rsid w:val="008143E8"/>
    <w:rsid w:val="00822F75"/>
    <w:rsid w:val="00825EB4"/>
    <w:rsid w:val="00827935"/>
    <w:rsid w:val="0085679D"/>
    <w:rsid w:val="008D3D4D"/>
    <w:rsid w:val="008F07C7"/>
    <w:rsid w:val="00925672"/>
    <w:rsid w:val="009322BB"/>
    <w:rsid w:val="009345E7"/>
    <w:rsid w:val="00951D01"/>
    <w:rsid w:val="00955B50"/>
    <w:rsid w:val="00991252"/>
    <w:rsid w:val="009B7572"/>
    <w:rsid w:val="009C562F"/>
    <w:rsid w:val="009D6A76"/>
    <w:rsid w:val="009E0A2E"/>
    <w:rsid w:val="009E27A4"/>
    <w:rsid w:val="009E64D0"/>
    <w:rsid w:val="00A1596A"/>
    <w:rsid w:val="00A15D6D"/>
    <w:rsid w:val="00A177AE"/>
    <w:rsid w:val="00A336E9"/>
    <w:rsid w:val="00A44E97"/>
    <w:rsid w:val="00A61829"/>
    <w:rsid w:val="00A64E45"/>
    <w:rsid w:val="00A76CC4"/>
    <w:rsid w:val="00A82098"/>
    <w:rsid w:val="00A92C59"/>
    <w:rsid w:val="00AA68DB"/>
    <w:rsid w:val="00AD7245"/>
    <w:rsid w:val="00AE1096"/>
    <w:rsid w:val="00AE70DA"/>
    <w:rsid w:val="00B15E47"/>
    <w:rsid w:val="00B25409"/>
    <w:rsid w:val="00B273ED"/>
    <w:rsid w:val="00B27E1E"/>
    <w:rsid w:val="00B945B8"/>
    <w:rsid w:val="00BB0ABD"/>
    <w:rsid w:val="00BD0545"/>
    <w:rsid w:val="00BD59F7"/>
    <w:rsid w:val="00BF3821"/>
    <w:rsid w:val="00BF6429"/>
    <w:rsid w:val="00C27268"/>
    <w:rsid w:val="00C47EF8"/>
    <w:rsid w:val="00C67A65"/>
    <w:rsid w:val="00C7117E"/>
    <w:rsid w:val="00C95450"/>
    <w:rsid w:val="00CA282F"/>
    <w:rsid w:val="00CB4E08"/>
    <w:rsid w:val="00CC5D95"/>
    <w:rsid w:val="00CC6D26"/>
    <w:rsid w:val="00CF093D"/>
    <w:rsid w:val="00D34B1D"/>
    <w:rsid w:val="00D45B21"/>
    <w:rsid w:val="00E103B7"/>
    <w:rsid w:val="00E17782"/>
    <w:rsid w:val="00E80A0F"/>
    <w:rsid w:val="00E90FBB"/>
    <w:rsid w:val="00E95D84"/>
    <w:rsid w:val="00EA2B00"/>
    <w:rsid w:val="00EB20C6"/>
    <w:rsid w:val="00ED1648"/>
    <w:rsid w:val="00F268D7"/>
    <w:rsid w:val="00F365BF"/>
    <w:rsid w:val="00F41DC5"/>
    <w:rsid w:val="00F4764F"/>
    <w:rsid w:val="00F727C0"/>
    <w:rsid w:val="00FA68D0"/>
    <w:rsid w:val="00FB5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F8"/>
    <w:pPr>
      <w:keepLines/>
      <w:spacing w:after="120" w:line="280" w:lineRule="exact"/>
    </w:pPr>
    <w:rPr>
      <w:rFonts w:ascii="Arial" w:hAnsi="Arial"/>
    </w:rPr>
  </w:style>
  <w:style w:type="paragraph" w:styleId="Heading1">
    <w:name w:val="heading 1"/>
    <w:basedOn w:val="Normal"/>
    <w:next w:val="Normal"/>
    <w:link w:val="Heading1Char"/>
    <w:uiPriority w:val="9"/>
    <w:qFormat/>
    <w:rsid w:val="008D3D4D"/>
    <w:pPr>
      <w:keepNext/>
      <w:numPr>
        <w:numId w:val="4"/>
      </w:numPr>
      <w:spacing w:before="480" w:line="240" w:lineRule="auto"/>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8D3D4D"/>
    <w:pPr>
      <w:keepNext/>
      <w:numPr>
        <w:ilvl w:val="1"/>
        <w:numId w:val="4"/>
      </w:numPr>
      <w:spacing w:before="360" w:after="60" w:line="240" w:lineRule="auto"/>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1C5276"/>
    <w:pPr>
      <w:keepNext/>
      <w:numPr>
        <w:ilvl w:val="2"/>
        <w:numId w:val="4"/>
      </w:numPr>
      <w:spacing w:before="36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8D3D4D"/>
    <w:pPr>
      <w:keepNext/>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3D4D"/>
    <w:pPr>
      <w:keepNext/>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800F8"/>
    <w:pPr>
      <w:keepNext/>
      <w:numPr>
        <w:ilvl w:val="5"/>
        <w:numId w:val="4"/>
      </w:numPr>
      <w:spacing w:before="240" w:after="0"/>
      <w:outlineLvl w:val="5"/>
    </w:pPr>
    <w:rPr>
      <w:rFonts w:eastAsiaTheme="majorEastAsia" w:cstheme="majorBidi"/>
      <w:b/>
      <w:color w:val="000000" w:themeColor="text1"/>
    </w:rPr>
  </w:style>
  <w:style w:type="paragraph" w:styleId="Heading7">
    <w:name w:val="heading 7"/>
    <w:basedOn w:val="Normal"/>
    <w:next w:val="Normal"/>
    <w:link w:val="Heading7Char"/>
    <w:uiPriority w:val="9"/>
    <w:unhideWhenUsed/>
    <w:qFormat/>
    <w:rsid w:val="00F41DC5"/>
    <w:pPr>
      <w:keepNext/>
      <w:widowControl w:val="0"/>
      <w:numPr>
        <w:ilvl w:val="6"/>
        <w:numId w:val="4"/>
      </w:numPr>
      <w:spacing w:before="24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unhideWhenUsed/>
    <w:qFormat/>
    <w:rsid w:val="008D3D4D"/>
    <w:pPr>
      <w:keepNext/>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3D4D"/>
    <w:pPr>
      <w:keepNext/>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
    <w:name w:val="Table head"/>
    <w:basedOn w:val="Normal"/>
    <w:uiPriority w:val="1"/>
    <w:qFormat/>
    <w:rsid w:val="00925672"/>
    <w:pPr>
      <w:widowControl w:val="0"/>
      <w:spacing w:before="60" w:after="60" w:line="240" w:lineRule="auto"/>
    </w:pPr>
    <w:rPr>
      <w:b/>
      <w:spacing w:val="-1"/>
      <w:lang w:val="en-US"/>
    </w:rPr>
  </w:style>
  <w:style w:type="paragraph" w:customStyle="1" w:styleId="Tabletext">
    <w:name w:val="Table text"/>
    <w:basedOn w:val="Normal"/>
    <w:uiPriority w:val="1"/>
    <w:qFormat/>
    <w:rsid w:val="00925672"/>
    <w:pPr>
      <w:widowControl w:val="0"/>
      <w:spacing w:before="60" w:after="60" w:line="240" w:lineRule="auto"/>
    </w:pPr>
    <w:rPr>
      <w:spacing w:val="-1"/>
      <w:lang w:val="en-US"/>
    </w:rPr>
  </w:style>
  <w:style w:type="paragraph" w:customStyle="1" w:styleId="Prebullet">
    <w:name w:val="Prebullet"/>
    <w:basedOn w:val="Normal"/>
    <w:next w:val="Normal"/>
    <w:qFormat/>
    <w:rsid w:val="008D3D4D"/>
    <w:pPr>
      <w:spacing w:after="60"/>
    </w:pPr>
    <w:rPr>
      <w:szCs w:val="20"/>
    </w:rPr>
  </w:style>
  <w:style w:type="character" w:customStyle="1" w:styleId="Heading7Char">
    <w:name w:val="Heading 7 Char"/>
    <w:basedOn w:val="DefaultParagraphFont"/>
    <w:link w:val="Heading7"/>
    <w:uiPriority w:val="9"/>
    <w:rsid w:val="00F41DC5"/>
    <w:rPr>
      <w:rFonts w:ascii="Arial" w:eastAsiaTheme="majorEastAsia" w:hAnsi="Arial" w:cstheme="majorBidi"/>
      <w:i/>
      <w:iCs/>
      <w:color w:val="000000" w:themeColor="text1"/>
    </w:rPr>
  </w:style>
  <w:style w:type="paragraph" w:styleId="Header">
    <w:name w:val="header"/>
    <w:basedOn w:val="Normal"/>
    <w:link w:val="HeaderChar"/>
    <w:uiPriority w:val="99"/>
    <w:unhideWhenUsed/>
    <w:rsid w:val="000B5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654"/>
  </w:style>
  <w:style w:type="paragraph" w:styleId="Footer">
    <w:name w:val="footer"/>
    <w:basedOn w:val="Normal"/>
    <w:link w:val="FooterChar"/>
    <w:uiPriority w:val="99"/>
    <w:unhideWhenUsed/>
    <w:rsid w:val="000B5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654"/>
  </w:style>
  <w:style w:type="paragraph" w:styleId="ListParagraph">
    <w:name w:val="List Paragraph"/>
    <w:basedOn w:val="Normal"/>
    <w:uiPriority w:val="34"/>
    <w:qFormat/>
    <w:rsid w:val="000B5654"/>
    <w:pPr>
      <w:ind w:left="720"/>
      <w:contextualSpacing/>
    </w:pPr>
  </w:style>
  <w:style w:type="table" w:styleId="TableGrid">
    <w:name w:val="Table Grid"/>
    <w:basedOn w:val="TableNormal"/>
    <w:uiPriority w:val="59"/>
    <w:rsid w:val="00196B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7E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EF8"/>
    <w:rPr>
      <w:rFonts w:ascii="Arial" w:hAnsi="Arial"/>
      <w:sz w:val="20"/>
      <w:szCs w:val="20"/>
    </w:rPr>
  </w:style>
  <w:style w:type="character" w:styleId="FootnoteReference">
    <w:name w:val="footnote reference"/>
    <w:basedOn w:val="DefaultParagraphFont"/>
    <w:uiPriority w:val="99"/>
    <w:semiHidden/>
    <w:unhideWhenUsed/>
    <w:rsid w:val="00C47EF8"/>
    <w:rPr>
      <w:vertAlign w:val="superscript"/>
    </w:rPr>
  </w:style>
  <w:style w:type="character" w:customStyle="1" w:styleId="Heading1Char">
    <w:name w:val="Heading 1 Char"/>
    <w:basedOn w:val="DefaultParagraphFont"/>
    <w:link w:val="Heading1"/>
    <w:uiPriority w:val="9"/>
    <w:rsid w:val="008D3D4D"/>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8D3D4D"/>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C5276"/>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semiHidden/>
    <w:rsid w:val="008D3D4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D3D4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800F8"/>
    <w:rPr>
      <w:rFonts w:ascii="Arial" w:eastAsiaTheme="majorEastAsia" w:hAnsi="Arial" w:cstheme="majorBidi"/>
      <w:b/>
      <w:color w:val="000000" w:themeColor="text1"/>
    </w:rPr>
  </w:style>
  <w:style w:type="character" w:customStyle="1" w:styleId="Heading8Char">
    <w:name w:val="Heading 8 Char"/>
    <w:basedOn w:val="DefaultParagraphFont"/>
    <w:link w:val="Heading8"/>
    <w:uiPriority w:val="9"/>
    <w:semiHidden/>
    <w:rsid w:val="008D3D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D3D4D"/>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unhideWhenUsed/>
    <w:rsid w:val="001C5276"/>
    <w:pPr>
      <w:numPr>
        <w:numId w:val="5"/>
      </w:numPr>
    </w:pPr>
  </w:style>
  <w:style w:type="paragraph" w:customStyle="1" w:styleId="default">
    <w:name w:val="default"/>
    <w:basedOn w:val="Normal"/>
    <w:rsid w:val="009C562F"/>
    <w:pPr>
      <w:spacing w:after="0" w:line="240" w:lineRule="auto"/>
    </w:pPr>
    <w:rPr>
      <w:rFonts w:ascii="JPBCEC+Arial" w:eastAsia="Times New Roman" w:hAnsi="JPBCEC+Arial" w:cs="Times New Roman"/>
      <w:color w:val="000000"/>
      <w:sz w:val="24"/>
      <w:szCs w:val="24"/>
      <w:lang w:eastAsia="en-GB"/>
    </w:rPr>
  </w:style>
  <w:style w:type="paragraph" w:styleId="TOC1">
    <w:name w:val="toc 1"/>
    <w:basedOn w:val="Normal"/>
    <w:next w:val="Normal"/>
    <w:autoRedefine/>
    <w:uiPriority w:val="39"/>
    <w:unhideWhenUsed/>
    <w:rsid w:val="00B27E1E"/>
    <w:pPr>
      <w:tabs>
        <w:tab w:val="left" w:pos="440"/>
        <w:tab w:val="right" w:leader="dot" w:pos="9628"/>
      </w:tabs>
      <w:spacing w:before="360" w:after="40" w:line="240" w:lineRule="auto"/>
    </w:pPr>
    <w:rPr>
      <w:b/>
      <w:noProof/>
    </w:rPr>
  </w:style>
  <w:style w:type="paragraph" w:styleId="TOC2">
    <w:name w:val="toc 2"/>
    <w:basedOn w:val="Normal"/>
    <w:next w:val="Normal"/>
    <w:autoRedefine/>
    <w:uiPriority w:val="39"/>
    <w:unhideWhenUsed/>
    <w:rsid w:val="004C632C"/>
    <w:pPr>
      <w:tabs>
        <w:tab w:val="left" w:pos="936"/>
        <w:tab w:val="right" w:leader="dot" w:pos="9628"/>
      </w:tabs>
      <w:spacing w:before="40" w:after="40" w:line="240" w:lineRule="auto"/>
      <w:ind w:left="935" w:hanging="510"/>
    </w:pPr>
  </w:style>
  <w:style w:type="paragraph" w:styleId="TOC3">
    <w:name w:val="toc 3"/>
    <w:basedOn w:val="Normal"/>
    <w:next w:val="Normal"/>
    <w:autoRedefine/>
    <w:uiPriority w:val="39"/>
    <w:unhideWhenUsed/>
    <w:rsid w:val="004C632C"/>
    <w:pPr>
      <w:tabs>
        <w:tab w:val="left" w:pos="1560"/>
        <w:tab w:val="right" w:leader="dot" w:pos="9628"/>
      </w:tabs>
      <w:spacing w:after="40" w:line="240" w:lineRule="auto"/>
      <w:ind w:left="1588" w:hanging="624"/>
    </w:pPr>
  </w:style>
  <w:style w:type="character" w:styleId="Hyperlink">
    <w:name w:val="Hyperlink"/>
    <w:basedOn w:val="DefaultParagraphFont"/>
    <w:uiPriority w:val="99"/>
    <w:unhideWhenUsed/>
    <w:rsid w:val="009C562F"/>
    <w:rPr>
      <w:color w:val="0563C1" w:themeColor="hyperlink"/>
      <w:u w:val="single"/>
    </w:rPr>
  </w:style>
  <w:style w:type="paragraph" w:styleId="Caption">
    <w:name w:val="caption"/>
    <w:basedOn w:val="Normal"/>
    <w:next w:val="Normal"/>
    <w:uiPriority w:val="35"/>
    <w:unhideWhenUsed/>
    <w:qFormat/>
    <w:rsid w:val="000F74BA"/>
    <w:pPr>
      <w:spacing w:after="200" w:line="240" w:lineRule="auto"/>
      <w:jc w:val="right"/>
    </w:pPr>
    <w:rPr>
      <w:b/>
      <w:iCs/>
      <w:color w:val="000000" w:themeColor="text1"/>
      <w:szCs w:val="18"/>
    </w:rPr>
  </w:style>
  <w:style w:type="character" w:styleId="CommentReference">
    <w:name w:val="annotation reference"/>
    <w:basedOn w:val="DefaultParagraphFont"/>
    <w:uiPriority w:val="99"/>
    <w:semiHidden/>
    <w:unhideWhenUsed/>
    <w:rsid w:val="006F5EB6"/>
    <w:rPr>
      <w:sz w:val="16"/>
      <w:szCs w:val="16"/>
    </w:rPr>
  </w:style>
  <w:style w:type="paragraph" w:styleId="CommentText">
    <w:name w:val="annotation text"/>
    <w:basedOn w:val="Normal"/>
    <w:link w:val="CommentTextChar"/>
    <w:uiPriority w:val="99"/>
    <w:semiHidden/>
    <w:unhideWhenUsed/>
    <w:rsid w:val="006F5EB6"/>
    <w:pPr>
      <w:spacing w:line="240" w:lineRule="auto"/>
    </w:pPr>
    <w:rPr>
      <w:sz w:val="20"/>
      <w:szCs w:val="20"/>
    </w:rPr>
  </w:style>
  <w:style w:type="character" w:customStyle="1" w:styleId="CommentTextChar">
    <w:name w:val="Comment Text Char"/>
    <w:basedOn w:val="DefaultParagraphFont"/>
    <w:link w:val="CommentText"/>
    <w:uiPriority w:val="99"/>
    <w:semiHidden/>
    <w:rsid w:val="006F5E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5EB6"/>
    <w:rPr>
      <w:b/>
      <w:bCs/>
    </w:rPr>
  </w:style>
  <w:style w:type="character" w:customStyle="1" w:styleId="CommentSubjectChar">
    <w:name w:val="Comment Subject Char"/>
    <w:basedOn w:val="CommentTextChar"/>
    <w:link w:val="CommentSubject"/>
    <w:uiPriority w:val="99"/>
    <w:semiHidden/>
    <w:rsid w:val="006F5EB6"/>
    <w:rPr>
      <w:rFonts w:ascii="Arial" w:hAnsi="Arial"/>
      <w:b/>
      <w:bCs/>
      <w:sz w:val="20"/>
      <w:szCs w:val="20"/>
    </w:rPr>
  </w:style>
  <w:style w:type="paragraph" w:styleId="Revision">
    <w:name w:val="Revision"/>
    <w:hidden/>
    <w:uiPriority w:val="99"/>
    <w:semiHidden/>
    <w:rsid w:val="006F5EB6"/>
    <w:pPr>
      <w:spacing w:after="0" w:line="240" w:lineRule="auto"/>
    </w:pPr>
    <w:rPr>
      <w:rFonts w:ascii="Arial" w:hAnsi="Arial"/>
    </w:rPr>
  </w:style>
  <w:style w:type="paragraph" w:styleId="BalloonText">
    <w:name w:val="Balloon Text"/>
    <w:basedOn w:val="Normal"/>
    <w:link w:val="BalloonTextChar"/>
    <w:uiPriority w:val="99"/>
    <w:semiHidden/>
    <w:unhideWhenUsed/>
    <w:rsid w:val="006F5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B6"/>
    <w:rPr>
      <w:rFonts w:ascii="Segoe UI" w:hAnsi="Segoe UI" w:cs="Segoe UI"/>
      <w:sz w:val="18"/>
      <w:szCs w:val="18"/>
    </w:rPr>
  </w:style>
  <w:style w:type="character" w:customStyle="1" w:styleId="ITTnormalChar">
    <w:name w:val="ITT normal Char"/>
    <w:basedOn w:val="DefaultParagraphFont"/>
    <w:link w:val="ITTnormal"/>
    <w:uiPriority w:val="99"/>
    <w:locked/>
    <w:rsid w:val="00410A97"/>
    <w:rPr>
      <w:rFonts w:ascii="Arial" w:eastAsia="Times New Roman" w:hAnsi="Arial" w:cs="Arial"/>
      <w:lang w:eastAsia="en-GB"/>
    </w:rPr>
  </w:style>
  <w:style w:type="paragraph" w:customStyle="1" w:styleId="ITTnormal">
    <w:name w:val="ITT normal"/>
    <w:basedOn w:val="Normal"/>
    <w:link w:val="ITTnormalChar"/>
    <w:uiPriority w:val="99"/>
    <w:rsid w:val="00410A97"/>
    <w:pPr>
      <w:keepLines w:val="0"/>
      <w:autoSpaceDE w:val="0"/>
      <w:autoSpaceDN w:val="0"/>
      <w:adjustRightInd w:val="0"/>
      <w:spacing w:before="60" w:after="60" w:line="240" w:lineRule="auto"/>
      <w:ind w:left="720"/>
      <w:jc w:val="both"/>
    </w:pPr>
    <w:rPr>
      <w:rFonts w:eastAsia="Times New Roman" w:cs="Arial"/>
      <w:lang w:eastAsia="en-GB"/>
    </w:rPr>
  </w:style>
  <w:style w:type="paragraph" w:styleId="NormalWeb">
    <w:name w:val="Normal (Web)"/>
    <w:basedOn w:val="Normal"/>
    <w:uiPriority w:val="99"/>
    <w:unhideWhenUsed/>
    <w:rsid w:val="0035311E"/>
    <w:pPr>
      <w:keepLine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F8"/>
    <w:pPr>
      <w:keepLines/>
      <w:spacing w:after="120" w:line="280" w:lineRule="exact"/>
    </w:pPr>
    <w:rPr>
      <w:rFonts w:ascii="Arial" w:hAnsi="Arial"/>
    </w:rPr>
  </w:style>
  <w:style w:type="paragraph" w:styleId="Heading1">
    <w:name w:val="heading 1"/>
    <w:basedOn w:val="Normal"/>
    <w:next w:val="Normal"/>
    <w:link w:val="Heading1Char"/>
    <w:uiPriority w:val="9"/>
    <w:qFormat/>
    <w:rsid w:val="008D3D4D"/>
    <w:pPr>
      <w:keepNext/>
      <w:numPr>
        <w:numId w:val="4"/>
      </w:numPr>
      <w:spacing w:before="480" w:line="240" w:lineRule="auto"/>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8D3D4D"/>
    <w:pPr>
      <w:keepNext/>
      <w:numPr>
        <w:ilvl w:val="1"/>
        <w:numId w:val="4"/>
      </w:numPr>
      <w:spacing w:before="360" w:after="60" w:line="240" w:lineRule="auto"/>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1C5276"/>
    <w:pPr>
      <w:keepNext/>
      <w:numPr>
        <w:ilvl w:val="2"/>
        <w:numId w:val="4"/>
      </w:numPr>
      <w:spacing w:before="36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8D3D4D"/>
    <w:pPr>
      <w:keepNext/>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3D4D"/>
    <w:pPr>
      <w:keepNext/>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800F8"/>
    <w:pPr>
      <w:keepNext/>
      <w:numPr>
        <w:ilvl w:val="5"/>
        <w:numId w:val="4"/>
      </w:numPr>
      <w:spacing w:before="240" w:after="0"/>
      <w:outlineLvl w:val="5"/>
    </w:pPr>
    <w:rPr>
      <w:rFonts w:eastAsiaTheme="majorEastAsia" w:cstheme="majorBidi"/>
      <w:b/>
      <w:color w:val="000000" w:themeColor="text1"/>
    </w:rPr>
  </w:style>
  <w:style w:type="paragraph" w:styleId="Heading7">
    <w:name w:val="heading 7"/>
    <w:basedOn w:val="Normal"/>
    <w:next w:val="Normal"/>
    <w:link w:val="Heading7Char"/>
    <w:uiPriority w:val="9"/>
    <w:unhideWhenUsed/>
    <w:qFormat/>
    <w:rsid w:val="00F41DC5"/>
    <w:pPr>
      <w:keepNext/>
      <w:widowControl w:val="0"/>
      <w:numPr>
        <w:ilvl w:val="6"/>
        <w:numId w:val="4"/>
      </w:numPr>
      <w:spacing w:before="24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unhideWhenUsed/>
    <w:qFormat/>
    <w:rsid w:val="008D3D4D"/>
    <w:pPr>
      <w:keepNext/>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3D4D"/>
    <w:pPr>
      <w:keepNext/>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
    <w:name w:val="Table head"/>
    <w:basedOn w:val="Normal"/>
    <w:uiPriority w:val="1"/>
    <w:qFormat/>
    <w:rsid w:val="00925672"/>
    <w:pPr>
      <w:widowControl w:val="0"/>
      <w:spacing w:before="60" w:after="60" w:line="240" w:lineRule="auto"/>
    </w:pPr>
    <w:rPr>
      <w:b/>
      <w:spacing w:val="-1"/>
      <w:lang w:val="en-US"/>
    </w:rPr>
  </w:style>
  <w:style w:type="paragraph" w:customStyle="1" w:styleId="Tabletext">
    <w:name w:val="Table text"/>
    <w:basedOn w:val="Normal"/>
    <w:uiPriority w:val="1"/>
    <w:qFormat/>
    <w:rsid w:val="00925672"/>
    <w:pPr>
      <w:widowControl w:val="0"/>
      <w:spacing w:before="60" w:after="60" w:line="240" w:lineRule="auto"/>
    </w:pPr>
    <w:rPr>
      <w:spacing w:val="-1"/>
      <w:lang w:val="en-US"/>
    </w:rPr>
  </w:style>
  <w:style w:type="paragraph" w:customStyle="1" w:styleId="Prebullet">
    <w:name w:val="Prebullet"/>
    <w:basedOn w:val="Normal"/>
    <w:next w:val="Normal"/>
    <w:qFormat/>
    <w:rsid w:val="008D3D4D"/>
    <w:pPr>
      <w:spacing w:after="60"/>
    </w:pPr>
    <w:rPr>
      <w:szCs w:val="20"/>
    </w:rPr>
  </w:style>
  <w:style w:type="character" w:customStyle="1" w:styleId="Heading7Char">
    <w:name w:val="Heading 7 Char"/>
    <w:basedOn w:val="DefaultParagraphFont"/>
    <w:link w:val="Heading7"/>
    <w:uiPriority w:val="9"/>
    <w:rsid w:val="00F41DC5"/>
    <w:rPr>
      <w:rFonts w:ascii="Arial" w:eastAsiaTheme="majorEastAsia" w:hAnsi="Arial" w:cstheme="majorBidi"/>
      <w:i/>
      <w:iCs/>
      <w:color w:val="000000" w:themeColor="text1"/>
    </w:rPr>
  </w:style>
  <w:style w:type="paragraph" w:styleId="Header">
    <w:name w:val="header"/>
    <w:basedOn w:val="Normal"/>
    <w:link w:val="HeaderChar"/>
    <w:uiPriority w:val="99"/>
    <w:unhideWhenUsed/>
    <w:rsid w:val="000B5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654"/>
  </w:style>
  <w:style w:type="paragraph" w:styleId="Footer">
    <w:name w:val="footer"/>
    <w:basedOn w:val="Normal"/>
    <w:link w:val="FooterChar"/>
    <w:uiPriority w:val="99"/>
    <w:unhideWhenUsed/>
    <w:rsid w:val="000B5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654"/>
  </w:style>
  <w:style w:type="paragraph" w:styleId="ListParagraph">
    <w:name w:val="List Paragraph"/>
    <w:basedOn w:val="Normal"/>
    <w:uiPriority w:val="34"/>
    <w:qFormat/>
    <w:rsid w:val="000B5654"/>
    <w:pPr>
      <w:ind w:left="720"/>
      <w:contextualSpacing/>
    </w:pPr>
  </w:style>
  <w:style w:type="table" w:styleId="TableGrid">
    <w:name w:val="Table Grid"/>
    <w:basedOn w:val="TableNormal"/>
    <w:uiPriority w:val="59"/>
    <w:rsid w:val="00196B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7E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EF8"/>
    <w:rPr>
      <w:rFonts w:ascii="Arial" w:hAnsi="Arial"/>
      <w:sz w:val="20"/>
      <w:szCs w:val="20"/>
    </w:rPr>
  </w:style>
  <w:style w:type="character" w:styleId="FootnoteReference">
    <w:name w:val="footnote reference"/>
    <w:basedOn w:val="DefaultParagraphFont"/>
    <w:uiPriority w:val="99"/>
    <w:semiHidden/>
    <w:unhideWhenUsed/>
    <w:rsid w:val="00C47EF8"/>
    <w:rPr>
      <w:vertAlign w:val="superscript"/>
    </w:rPr>
  </w:style>
  <w:style w:type="character" w:customStyle="1" w:styleId="Heading1Char">
    <w:name w:val="Heading 1 Char"/>
    <w:basedOn w:val="DefaultParagraphFont"/>
    <w:link w:val="Heading1"/>
    <w:uiPriority w:val="9"/>
    <w:rsid w:val="008D3D4D"/>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8D3D4D"/>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C5276"/>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semiHidden/>
    <w:rsid w:val="008D3D4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D3D4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800F8"/>
    <w:rPr>
      <w:rFonts w:ascii="Arial" w:eastAsiaTheme="majorEastAsia" w:hAnsi="Arial" w:cstheme="majorBidi"/>
      <w:b/>
      <w:color w:val="000000" w:themeColor="text1"/>
    </w:rPr>
  </w:style>
  <w:style w:type="character" w:customStyle="1" w:styleId="Heading8Char">
    <w:name w:val="Heading 8 Char"/>
    <w:basedOn w:val="DefaultParagraphFont"/>
    <w:link w:val="Heading8"/>
    <w:uiPriority w:val="9"/>
    <w:semiHidden/>
    <w:rsid w:val="008D3D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D3D4D"/>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unhideWhenUsed/>
    <w:rsid w:val="001C5276"/>
    <w:pPr>
      <w:numPr>
        <w:numId w:val="5"/>
      </w:numPr>
    </w:pPr>
  </w:style>
  <w:style w:type="paragraph" w:customStyle="1" w:styleId="default">
    <w:name w:val="default"/>
    <w:basedOn w:val="Normal"/>
    <w:rsid w:val="009C562F"/>
    <w:pPr>
      <w:spacing w:after="0" w:line="240" w:lineRule="auto"/>
    </w:pPr>
    <w:rPr>
      <w:rFonts w:ascii="JPBCEC+Arial" w:eastAsia="Times New Roman" w:hAnsi="JPBCEC+Arial" w:cs="Times New Roman"/>
      <w:color w:val="000000"/>
      <w:sz w:val="24"/>
      <w:szCs w:val="24"/>
      <w:lang w:eastAsia="en-GB"/>
    </w:rPr>
  </w:style>
  <w:style w:type="paragraph" w:styleId="TOC1">
    <w:name w:val="toc 1"/>
    <w:basedOn w:val="Normal"/>
    <w:next w:val="Normal"/>
    <w:autoRedefine/>
    <w:uiPriority w:val="39"/>
    <w:unhideWhenUsed/>
    <w:rsid w:val="00B27E1E"/>
    <w:pPr>
      <w:tabs>
        <w:tab w:val="left" w:pos="440"/>
        <w:tab w:val="right" w:leader="dot" w:pos="9628"/>
      </w:tabs>
      <w:spacing w:before="360" w:after="40" w:line="240" w:lineRule="auto"/>
    </w:pPr>
    <w:rPr>
      <w:b/>
      <w:noProof/>
    </w:rPr>
  </w:style>
  <w:style w:type="paragraph" w:styleId="TOC2">
    <w:name w:val="toc 2"/>
    <w:basedOn w:val="Normal"/>
    <w:next w:val="Normal"/>
    <w:autoRedefine/>
    <w:uiPriority w:val="39"/>
    <w:unhideWhenUsed/>
    <w:rsid w:val="004C632C"/>
    <w:pPr>
      <w:tabs>
        <w:tab w:val="left" w:pos="936"/>
        <w:tab w:val="right" w:leader="dot" w:pos="9628"/>
      </w:tabs>
      <w:spacing w:before="40" w:after="40" w:line="240" w:lineRule="auto"/>
      <w:ind w:left="935" w:hanging="510"/>
    </w:pPr>
  </w:style>
  <w:style w:type="paragraph" w:styleId="TOC3">
    <w:name w:val="toc 3"/>
    <w:basedOn w:val="Normal"/>
    <w:next w:val="Normal"/>
    <w:autoRedefine/>
    <w:uiPriority w:val="39"/>
    <w:unhideWhenUsed/>
    <w:rsid w:val="004C632C"/>
    <w:pPr>
      <w:tabs>
        <w:tab w:val="left" w:pos="1560"/>
        <w:tab w:val="right" w:leader="dot" w:pos="9628"/>
      </w:tabs>
      <w:spacing w:after="40" w:line="240" w:lineRule="auto"/>
      <w:ind w:left="1588" w:hanging="624"/>
    </w:pPr>
  </w:style>
  <w:style w:type="character" w:styleId="Hyperlink">
    <w:name w:val="Hyperlink"/>
    <w:basedOn w:val="DefaultParagraphFont"/>
    <w:uiPriority w:val="99"/>
    <w:unhideWhenUsed/>
    <w:rsid w:val="009C562F"/>
    <w:rPr>
      <w:color w:val="0563C1" w:themeColor="hyperlink"/>
      <w:u w:val="single"/>
    </w:rPr>
  </w:style>
  <w:style w:type="paragraph" w:styleId="Caption">
    <w:name w:val="caption"/>
    <w:basedOn w:val="Normal"/>
    <w:next w:val="Normal"/>
    <w:uiPriority w:val="35"/>
    <w:unhideWhenUsed/>
    <w:qFormat/>
    <w:rsid w:val="000F74BA"/>
    <w:pPr>
      <w:spacing w:after="200" w:line="240" w:lineRule="auto"/>
      <w:jc w:val="right"/>
    </w:pPr>
    <w:rPr>
      <w:b/>
      <w:iCs/>
      <w:color w:val="000000" w:themeColor="text1"/>
      <w:szCs w:val="18"/>
    </w:rPr>
  </w:style>
  <w:style w:type="character" w:styleId="CommentReference">
    <w:name w:val="annotation reference"/>
    <w:basedOn w:val="DefaultParagraphFont"/>
    <w:uiPriority w:val="99"/>
    <w:semiHidden/>
    <w:unhideWhenUsed/>
    <w:rsid w:val="006F5EB6"/>
    <w:rPr>
      <w:sz w:val="16"/>
      <w:szCs w:val="16"/>
    </w:rPr>
  </w:style>
  <w:style w:type="paragraph" w:styleId="CommentText">
    <w:name w:val="annotation text"/>
    <w:basedOn w:val="Normal"/>
    <w:link w:val="CommentTextChar"/>
    <w:uiPriority w:val="99"/>
    <w:semiHidden/>
    <w:unhideWhenUsed/>
    <w:rsid w:val="006F5EB6"/>
    <w:pPr>
      <w:spacing w:line="240" w:lineRule="auto"/>
    </w:pPr>
    <w:rPr>
      <w:sz w:val="20"/>
      <w:szCs w:val="20"/>
    </w:rPr>
  </w:style>
  <w:style w:type="character" w:customStyle="1" w:styleId="CommentTextChar">
    <w:name w:val="Comment Text Char"/>
    <w:basedOn w:val="DefaultParagraphFont"/>
    <w:link w:val="CommentText"/>
    <w:uiPriority w:val="99"/>
    <w:semiHidden/>
    <w:rsid w:val="006F5E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5EB6"/>
    <w:rPr>
      <w:b/>
      <w:bCs/>
    </w:rPr>
  </w:style>
  <w:style w:type="character" w:customStyle="1" w:styleId="CommentSubjectChar">
    <w:name w:val="Comment Subject Char"/>
    <w:basedOn w:val="CommentTextChar"/>
    <w:link w:val="CommentSubject"/>
    <w:uiPriority w:val="99"/>
    <w:semiHidden/>
    <w:rsid w:val="006F5EB6"/>
    <w:rPr>
      <w:rFonts w:ascii="Arial" w:hAnsi="Arial"/>
      <w:b/>
      <w:bCs/>
      <w:sz w:val="20"/>
      <w:szCs w:val="20"/>
    </w:rPr>
  </w:style>
  <w:style w:type="paragraph" w:styleId="Revision">
    <w:name w:val="Revision"/>
    <w:hidden/>
    <w:uiPriority w:val="99"/>
    <w:semiHidden/>
    <w:rsid w:val="006F5EB6"/>
    <w:pPr>
      <w:spacing w:after="0" w:line="240" w:lineRule="auto"/>
    </w:pPr>
    <w:rPr>
      <w:rFonts w:ascii="Arial" w:hAnsi="Arial"/>
    </w:rPr>
  </w:style>
  <w:style w:type="paragraph" w:styleId="BalloonText">
    <w:name w:val="Balloon Text"/>
    <w:basedOn w:val="Normal"/>
    <w:link w:val="BalloonTextChar"/>
    <w:uiPriority w:val="99"/>
    <w:semiHidden/>
    <w:unhideWhenUsed/>
    <w:rsid w:val="006F5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B6"/>
    <w:rPr>
      <w:rFonts w:ascii="Segoe UI" w:hAnsi="Segoe UI" w:cs="Segoe UI"/>
      <w:sz w:val="18"/>
      <w:szCs w:val="18"/>
    </w:rPr>
  </w:style>
  <w:style w:type="character" w:customStyle="1" w:styleId="ITTnormalChar">
    <w:name w:val="ITT normal Char"/>
    <w:basedOn w:val="DefaultParagraphFont"/>
    <w:link w:val="ITTnormal"/>
    <w:uiPriority w:val="99"/>
    <w:locked/>
    <w:rsid w:val="00410A97"/>
    <w:rPr>
      <w:rFonts w:ascii="Arial" w:eastAsia="Times New Roman" w:hAnsi="Arial" w:cs="Arial"/>
      <w:lang w:eastAsia="en-GB"/>
    </w:rPr>
  </w:style>
  <w:style w:type="paragraph" w:customStyle="1" w:styleId="ITTnormal">
    <w:name w:val="ITT normal"/>
    <w:basedOn w:val="Normal"/>
    <w:link w:val="ITTnormalChar"/>
    <w:uiPriority w:val="99"/>
    <w:rsid w:val="00410A97"/>
    <w:pPr>
      <w:keepLines w:val="0"/>
      <w:autoSpaceDE w:val="0"/>
      <w:autoSpaceDN w:val="0"/>
      <w:adjustRightInd w:val="0"/>
      <w:spacing w:before="60" w:after="60" w:line="240" w:lineRule="auto"/>
      <w:ind w:left="720"/>
      <w:jc w:val="both"/>
    </w:pPr>
    <w:rPr>
      <w:rFonts w:eastAsia="Times New Roman" w:cs="Arial"/>
      <w:lang w:eastAsia="en-GB"/>
    </w:rPr>
  </w:style>
  <w:style w:type="paragraph" w:styleId="NormalWeb">
    <w:name w:val="Normal (Web)"/>
    <w:basedOn w:val="Normal"/>
    <w:uiPriority w:val="99"/>
    <w:unhideWhenUsed/>
    <w:rsid w:val="0035311E"/>
    <w:pPr>
      <w:keepLine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1761">
      <w:bodyDiv w:val="1"/>
      <w:marLeft w:val="0"/>
      <w:marRight w:val="0"/>
      <w:marTop w:val="0"/>
      <w:marBottom w:val="0"/>
      <w:divBdr>
        <w:top w:val="none" w:sz="0" w:space="0" w:color="auto"/>
        <w:left w:val="none" w:sz="0" w:space="0" w:color="auto"/>
        <w:bottom w:val="none" w:sz="0" w:space="0" w:color="auto"/>
        <w:right w:val="none" w:sz="0" w:space="0" w:color="auto"/>
      </w:divBdr>
    </w:div>
    <w:div w:id="268978208">
      <w:bodyDiv w:val="1"/>
      <w:marLeft w:val="0"/>
      <w:marRight w:val="0"/>
      <w:marTop w:val="0"/>
      <w:marBottom w:val="0"/>
      <w:divBdr>
        <w:top w:val="none" w:sz="0" w:space="0" w:color="auto"/>
        <w:left w:val="none" w:sz="0" w:space="0" w:color="auto"/>
        <w:bottom w:val="none" w:sz="0" w:space="0" w:color="auto"/>
        <w:right w:val="none" w:sz="0" w:space="0" w:color="auto"/>
      </w:divBdr>
    </w:div>
    <w:div w:id="391394955">
      <w:bodyDiv w:val="1"/>
      <w:marLeft w:val="0"/>
      <w:marRight w:val="0"/>
      <w:marTop w:val="0"/>
      <w:marBottom w:val="0"/>
      <w:divBdr>
        <w:top w:val="none" w:sz="0" w:space="0" w:color="auto"/>
        <w:left w:val="none" w:sz="0" w:space="0" w:color="auto"/>
        <w:bottom w:val="none" w:sz="0" w:space="0" w:color="auto"/>
        <w:right w:val="none" w:sz="0" w:space="0" w:color="auto"/>
      </w:divBdr>
    </w:div>
    <w:div w:id="748961692">
      <w:bodyDiv w:val="1"/>
      <w:marLeft w:val="0"/>
      <w:marRight w:val="0"/>
      <w:marTop w:val="0"/>
      <w:marBottom w:val="0"/>
      <w:divBdr>
        <w:top w:val="none" w:sz="0" w:space="0" w:color="auto"/>
        <w:left w:val="none" w:sz="0" w:space="0" w:color="auto"/>
        <w:bottom w:val="none" w:sz="0" w:space="0" w:color="auto"/>
        <w:right w:val="none" w:sz="0" w:space="0" w:color="auto"/>
      </w:divBdr>
    </w:div>
    <w:div w:id="1023365776">
      <w:bodyDiv w:val="1"/>
      <w:marLeft w:val="0"/>
      <w:marRight w:val="0"/>
      <w:marTop w:val="0"/>
      <w:marBottom w:val="0"/>
      <w:divBdr>
        <w:top w:val="none" w:sz="0" w:space="0" w:color="auto"/>
        <w:left w:val="none" w:sz="0" w:space="0" w:color="auto"/>
        <w:bottom w:val="none" w:sz="0" w:space="0" w:color="auto"/>
        <w:right w:val="none" w:sz="0" w:space="0" w:color="auto"/>
      </w:divBdr>
    </w:div>
    <w:div w:id="1358384506">
      <w:bodyDiv w:val="1"/>
      <w:marLeft w:val="0"/>
      <w:marRight w:val="0"/>
      <w:marTop w:val="0"/>
      <w:marBottom w:val="0"/>
      <w:divBdr>
        <w:top w:val="none" w:sz="0" w:space="0" w:color="auto"/>
        <w:left w:val="none" w:sz="0" w:space="0" w:color="auto"/>
        <w:bottom w:val="none" w:sz="0" w:space="0" w:color="auto"/>
        <w:right w:val="none" w:sz="0" w:space="0" w:color="auto"/>
      </w:divBdr>
    </w:div>
    <w:div w:id="1555114981">
      <w:bodyDiv w:val="1"/>
      <w:marLeft w:val="0"/>
      <w:marRight w:val="0"/>
      <w:marTop w:val="0"/>
      <w:marBottom w:val="0"/>
      <w:divBdr>
        <w:top w:val="none" w:sz="0" w:space="0" w:color="auto"/>
        <w:left w:val="none" w:sz="0" w:space="0" w:color="auto"/>
        <w:bottom w:val="none" w:sz="0" w:space="0" w:color="auto"/>
        <w:right w:val="none" w:sz="0" w:space="0" w:color="auto"/>
      </w:divBdr>
    </w:div>
    <w:div w:id="1573197202">
      <w:bodyDiv w:val="1"/>
      <w:marLeft w:val="0"/>
      <w:marRight w:val="0"/>
      <w:marTop w:val="0"/>
      <w:marBottom w:val="0"/>
      <w:divBdr>
        <w:top w:val="none" w:sz="0" w:space="0" w:color="auto"/>
        <w:left w:val="none" w:sz="0" w:space="0" w:color="auto"/>
        <w:bottom w:val="none" w:sz="0" w:space="0" w:color="auto"/>
        <w:right w:val="none" w:sz="0" w:space="0" w:color="auto"/>
      </w:divBdr>
    </w:div>
    <w:div w:id="1669597215">
      <w:bodyDiv w:val="1"/>
      <w:marLeft w:val="0"/>
      <w:marRight w:val="0"/>
      <w:marTop w:val="0"/>
      <w:marBottom w:val="0"/>
      <w:divBdr>
        <w:top w:val="none" w:sz="0" w:space="0" w:color="auto"/>
        <w:left w:val="none" w:sz="0" w:space="0" w:color="auto"/>
        <w:bottom w:val="none" w:sz="0" w:space="0" w:color="auto"/>
        <w:right w:val="none" w:sz="0" w:space="0" w:color="auto"/>
      </w:divBdr>
    </w:div>
    <w:div w:id="209415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4C56B-562C-4DC6-AFCC-F5ED7CF44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oonagh heron</dc:creator>
  <cp:lastModifiedBy>Ekkehard Kugler</cp:lastModifiedBy>
  <cp:revision>1</cp:revision>
  <cp:lastPrinted>2018-08-30T14:05:00Z</cp:lastPrinted>
  <dcterms:created xsi:type="dcterms:W3CDTF">2019-01-02T13:54:00Z</dcterms:created>
  <dcterms:modified xsi:type="dcterms:W3CDTF">2019-01-02T13:54:00Z</dcterms:modified>
</cp:coreProperties>
</file>