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14 (Service Levels)</w:t>
      </w:r>
    </w:p>
    <w:p w:rsidR="00000000" w:rsidDel="00000000" w:rsidP="00000000" w:rsidRDefault="00000000" w:rsidRPr="00000000" w14:paraId="000000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363.0" w:type="dxa"/>
        <w:jc w:val="left"/>
        <w:tblInd w:w="959.0" w:type="dxa"/>
        <w:tblLayout w:type="fixed"/>
        <w:tblLook w:val="0400"/>
      </w:tblPr>
      <w:tblGrid>
        <w:gridCol w:w="2410"/>
        <w:gridCol w:w="5953"/>
        <w:tblGridChange w:id="0">
          <w:tblGrid>
            <w:gridCol w:w="2410"/>
            <w:gridCol w:w="5953"/>
          </w:tblGrid>
        </w:tblGridChange>
      </w:tblGrid>
      <w:tr>
        <w:trPr>
          <w:cantSplit w:val="0"/>
          <w:tblHeader w:val="0"/>
        </w:trPr>
        <w:tc>
          <w:tcPr>
            <w:shd w:fill="auto" w:val="cle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“Critical Service Level Failure”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the Order Form;</w:t>
            </w:r>
          </w:p>
        </w:tc>
      </w:tr>
      <w:tr>
        <w:trPr>
          <w:cantSplit w:val="0"/>
          <w:tblHeader w:val="0"/>
        </w:trPr>
        <w:tc>
          <w:tcPr>
            <w:shd w:fill="auto"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Credits"</w:t>
            </w:r>
          </w:p>
        </w:tc>
        <w:tc>
          <w:tcPr>
            <w:shd w:fill="auto" w:val="clear"/>
          </w:tcPr>
          <w:p w:rsidR="00000000" w:rsidDel="00000000" w:rsidP="00000000" w:rsidRDefault="00000000" w:rsidRPr="00000000" w14:paraId="0000000B">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service credits specified in the Annex to Part A of this Schedule being payable by the Supplier to the Buyer in respect of any failure by the Supplier to meet one or more Service Levels;</w:t>
            </w:r>
          </w:p>
        </w:tc>
      </w:tr>
      <w:tr>
        <w:trPr>
          <w:cantSplit w:val="0"/>
          <w:trHeight w:val="359" w:hRule="atLeast"/>
          <w:tblHeader w:val="0"/>
        </w:trPr>
        <w:tc>
          <w:tcPr>
            <w:shd w:fill="auto"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Credit Cap"</w:t>
            </w:r>
          </w:p>
        </w:tc>
        <w:tc>
          <w:tcPr>
            <w:shd w:fill="auto" w:val="clear"/>
          </w:tcPr>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the Order Form;</w:t>
            </w:r>
          </w:p>
        </w:tc>
      </w:tr>
      <w:tr>
        <w:trPr>
          <w:cantSplit w:val="0"/>
          <w:tblHeader w:val="0"/>
        </w:trPr>
        <w:tc>
          <w:tcPr>
            <w:shd w:fill="auto" w:val="cle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Level Failure"</w:t>
            </w:r>
          </w:p>
        </w:tc>
        <w:tc>
          <w:tcPr>
            <w:shd w:fill="auto" w:val="clear"/>
          </w:tcPr>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a failure to meet the Service Level Performance Measure in respect of a Service Level;</w:t>
            </w:r>
          </w:p>
        </w:tc>
      </w:tr>
      <w:tr>
        <w:trPr>
          <w:cantSplit w:val="0"/>
          <w:tblHeader w:val="0"/>
        </w:trPr>
        <w:tc>
          <w:tcPr>
            <w:shd w:fill="auto" w:val="cle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Level Performance Measure"</w:t>
            </w:r>
          </w:p>
        </w:tc>
        <w:tc>
          <w:tcPr>
            <w:shd w:fill="auto" w:val="clear"/>
          </w:tcPr>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as set out against the relevant Service Level in the Annex to Part A of this Schedule; and</w:t>
            </w:r>
          </w:p>
        </w:tc>
      </w:tr>
      <w:tr>
        <w:trPr>
          <w:cantSplit w:val="0"/>
          <w:tblHeader w:val="0"/>
        </w:trPr>
        <w:tc>
          <w:tcPr>
            <w:shd w:fill="auto" w:val="cle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Level Threshold"</w:t>
            </w:r>
          </w:p>
        </w:tc>
        <w:tc>
          <w:tcPr>
            <w:shd w:fill="auto" w:val="clear"/>
          </w:tcPr>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as set out against the relevant Service Level in the Annex to Part A of this Schedule.</w:t>
            </w:r>
          </w:p>
        </w:tc>
      </w:tr>
    </w:tbl>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you don’t meet the Service Levels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at all times provide the Deliverables to meet or exceed the Service Level Performance Measure for each Service Level.</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send Performance Monitoring Reports to the Buyer detailing the level of service which was achieved in accordance with the provisions of Part B (Performance Monitoring) of this Schedule.</w:t>
      </w:r>
    </w:p>
    <w:p w:rsidR="00000000" w:rsidDel="00000000" w:rsidP="00000000" w:rsidRDefault="00000000" w:rsidRPr="00000000" w14:paraId="0000001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Service Credit shall be the Buyer’s exclusive financial remedy for a Service Level Failure except where: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over the previous (twelve) 12 Month period exceeded the Service Credit Cap; and/or</w:t>
      </w:r>
    </w:p>
    <w:p w:rsidR="00000000" w:rsidDel="00000000" w:rsidP="00000000" w:rsidRDefault="00000000" w:rsidRPr="00000000" w14:paraId="0000001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Service Level Failure:</w:t>
      </w:r>
    </w:p>
    <w:p w:rsidR="00000000" w:rsidDel="00000000" w:rsidP="00000000" w:rsidRDefault="00000000" w:rsidRPr="00000000" w14:paraId="0000001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exceeds the relevant Service Level Threshold;</w:t>
      </w:r>
    </w:p>
    <w:p w:rsidR="00000000" w:rsidDel="00000000" w:rsidP="00000000" w:rsidRDefault="00000000" w:rsidRPr="00000000" w14:paraId="0000001E">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arisen due to a Prohibited Act or wilful Default by the Supplier; </w:t>
      </w:r>
    </w:p>
    <w:p w:rsidR="00000000" w:rsidDel="00000000" w:rsidP="00000000" w:rsidRDefault="00000000" w:rsidRPr="00000000" w14:paraId="0000001F">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results in the corruption or loss of any Government Data; and/or</w:t>
      </w:r>
    </w:p>
    <w:p w:rsidR="00000000" w:rsidDel="00000000" w:rsidP="00000000" w:rsidRDefault="00000000" w:rsidRPr="00000000" w14:paraId="0000002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results in the Buyer being required to make a compensation payment to one or more third parties; and/or</w:t>
      </w:r>
    </w:p>
    <w:p w:rsidR="00000000" w:rsidDel="00000000" w:rsidP="00000000" w:rsidRDefault="00000000" w:rsidRPr="00000000" w14:paraId="0000002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is entitled to or does terminate this Contract pursuant to Clause 10.4 (CCS and Buyer Termination Rights).</w:t>
      </w:r>
    </w:p>
    <w:p w:rsidR="00000000" w:rsidDel="00000000" w:rsidP="00000000" w:rsidRDefault="00000000" w:rsidRPr="00000000" w14:paraId="0000002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000000" w:rsidDel="00000000" w:rsidP="00000000" w:rsidRDefault="00000000" w:rsidRPr="00000000" w14:paraId="0000002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number of Service Levels for which the weighting is to be changed does not exceed the number applicable as at the Start Date; </w:t>
      </w:r>
    </w:p>
    <w:p w:rsidR="00000000" w:rsidDel="00000000" w:rsidP="00000000" w:rsidRDefault="00000000" w:rsidRPr="00000000" w14:paraId="0000002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principal purpose of the change is to reflect changes in the Buyer's business requirements and/or priorities or to reflect changing industry standards; and</w:t>
      </w:r>
    </w:p>
    <w:p w:rsidR="00000000" w:rsidDel="00000000" w:rsidP="00000000" w:rsidRDefault="00000000" w:rsidRPr="00000000" w14:paraId="0000002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no change to the Service Credit Cap.</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Critical Service Level Failure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 occurrence of a Critical Service Level Failure:</w:t>
      </w:r>
    </w:p>
    <w:p w:rsidR="00000000" w:rsidDel="00000000" w:rsidP="00000000" w:rsidRDefault="00000000" w:rsidRPr="00000000" w14:paraId="0000002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Service Credits that would otherwise have accrued during the relevant Service Period shall not accrue; and</w:t>
      </w:r>
    </w:p>
    <w:p w:rsidR="00000000" w:rsidDel="00000000" w:rsidP="00000000" w:rsidRDefault="00000000" w:rsidRPr="00000000" w14:paraId="0000002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(subject to the Service Credit Cap) be entitled to withhold and retain as compensation a sum equal to any Charges which would otherwise have been due to the Supplier in respect of that Service Period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Compensation for Critical Service Level Failure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provided that the operation of this paragraph 3 shall be without prejudice to the right of the Buyer to terminate this Contract and/or to claim damages from the Supplier for material Default.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426"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Part A: Service Levels and Service Credits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Service Levels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level of performance of the Supplier:</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likely to or fails to meet any Service Level Performance Measure; or</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likely to cause or causes a Critical Service Failure to occur,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immediately notify the Buyer in writing and the Buyer, in its absolute discretion and without limiting any other of its rights, may:</w:t>
      </w:r>
    </w:p>
    <w:p w:rsidR="00000000" w:rsidDel="00000000" w:rsidP="00000000" w:rsidRDefault="00000000" w:rsidRPr="00000000" w14:paraId="0000003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the Supplier to immediately take all remedial action that is reasonable to mitigate the impact on the Buyer and to rectify or prevent a Service Level Failure or Critical Service Level Failure from taking place or recurring; </w:t>
      </w:r>
    </w:p>
    <w:p w:rsidR="00000000" w:rsidDel="00000000" w:rsidP="00000000" w:rsidRDefault="00000000" w:rsidRPr="00000000" w14:paraId="0000003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instruct the Supplier to comply with the Rectification Plan Process; </w:t>
      </w:r>
    </w:p>
    <w:p w:rsidR="00000000" w:rsidDel="00000000" w:rsidP="00000000" w:rsidRDefault="00000000" w:rsidRPr="00000000" w14:paraId="0000003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Service Level Failure has occurred, deduct the applicable Service Level Credits payable by the Supplier to the Buyer; and/or</w:t>
      </w:r>
    </w:p>
    <w:p w:rsidR="00000000" w:rsidDel="00000000" w:rsidP="00000000" w:rsidRDefault="00000000" w:rsidRPr="00000000" w14:paraId="0000003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Critical Service Level Failure has occurred, exercise its right to Compensation for Critical Service Level Failure (including the right to terminate for material Default).</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Service Credits</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use the Performance Monitoring Reports supplied by the Supplier to verify the calculation and accuracy of the Service Credits, if any, applicable to each Service Period.</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rsidR="00000000" w:rsidDel="00000000" w:rsidP="00000000" w:rsidRDefault="00000000" w:rsidRPr="00000000" w14:paraId="0000003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Annex A to Part A: Services Levels and Service Credits Table</w:t>
      </w:r>
      <w:r w:rsidDel="00000000" w:rsidR="00000000" w:rsidRPr="00000000">
        <w:rPr>
          <w:rtl w:val="0"/>
        </w:rPr>
      </w:r>
    </w:p>
    <w:tbl>
      <w:tblPr>
        <w:tblStyle w:val="Table2"/>
        <w:tblW w:w="9872.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7"/>
        <w:gridCol w:w="3117"/>
        <w:gridCol w:w="1071"/>
        <w:gridCol w:w="1215"/>
        <w:gridCol w:w="1215"/>
        <w:gridCol w:w="1197"/>
        <w:tblGridChange w:id="0">
          <w:tblGrid>
            <w:gridCol w:w="2057"/>
            <w:gridCol w:w="3117"/>
            <w:gridCol w:w="1071"/>
            <w:gridCol w:w="1215"/>
            <w:gridCol w:w="1215"/>
            <w:gridCol w:w="1197"/>
          </w:tblGrid>
        </w:tblGridChange>
      </w:tblGrid>
      <w:tr>
        <w:trPr>
          <w:cantSplit w:val="0"/>
          <w:trHeight w:val="507" w:hRule="atLeast"/>
          <w:tblHeader w:val="0"/>
        </w:trPr>
        <w:tc>
          <w:tcPr>
            <w:shd w:fill="d0cece" w:val="clear"/>
            <w:vAlign w:val="center"/>
          </w:tcPr>
          <w:p w:rsidR="00000000" w:rsidDel="00000000" w:rsidP="00000000" w:rsidRDefault="00000000" w:rsidRPr="00000000" w14:paraId="0000003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Service Level Performance Criterion</w:t>
            </w:r>
          </w:p>
        </w:tc>
        <w:tc>
          <w:tcPr>
            <w:shd w:fill="d0cece" w:val="clear"/>
            <w:vAlign w:val="center"/>
          </w:tcPr>
          <w:p w:rsidR="00000000" w:rsidDel="00000000" w:rsidP="00000000" w:rsidRDefault="00000000" w:rsidRPr="00000000" w14:paraId="0000003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Description</w:t>
            </w:r>
          </w:p>
        </w:tc>
        <w:tc>
          <w:tcPr>
            <w:shd w:fill="c00000" w:val="clear"/>
            <w:vAlign w:val="center"/>
          </w:tcPr>
          <w:p w:rsidR="00000000" w:rsidDel="00000000" w:rsidP="00000000" w:rsidRDefault="00000000" w:rsidRPr="00000000" w14:paraId="0000003C">
            <w:pPr>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Service Level Fail </w:t>
            </w:r>
          </w:p>
          <w:p w:rsidR="00000000" w:rsidDel="00000000" w:rsidP="00000000" w:rsidRDefault="00000000" w:rsidRPr="00000000" w14:paraId="0000003D">
            <w:pPr>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RED</w:t>
            </w:r>
          </w:p>
        </w:tc>
        <w:tc>
          <w:tcPr>
            <w:shd w:fill="385623" w:val="clear"/>
            <w:vAlign w:val="center"/>
          </w:tcPr>
          <w:p w:rsidR="00000000" w:rsidDel="00000000" w:rsidP="00000000" w:rsidRDefault="00000000" w:rsidRPr="00000000" w14:paraId="0000003E">
            <w:pPr>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Service Level Pass</w:t>
            </w:r>
          </w:p>
          <w:p w:rsidR="00000000" w:rsidDel="00000000" w:rsidP="00000000" w:rsidRDefault="00000000" w:rsidRPr="00000000" w14:paraId="0000003F">
            <w:pPr>
              <w:jc w:val="center"/>
              <w:rPr>
                <w:rFonts w:ascii="Arial" w:cs="Arial" w:eastAsia="Arial" w:hAnsi="Arial"/>
                <w:sz w:val="24"/>
                <w:szCs w:val="24"/>
              </w:rPr>
            </w:pPr>
            <w:r w:rsidDel="00000000" w:rsidR="00000000" w:rsidRPr="00000000">
              <w:rPr>
                <w:rFonts w:ascii="Arial" w:cs="Arial" w:eastAsia="Arial" w:hAnsi="Arial"/>
                <w:b w:val="1"/>
                <w:color w:val="ffffff"/>
                <w:sz w:val="24"/>
                <w:szCs w:val="24"/>
                <w:rtl w:val="0"/>
              </w:rPr>
              <w:t xml:space="preserve">GREEN</w:t>
            </w:r>
            <w:r w:rsidDel="00000000" w:rsidR="00000000" w:rsidRPr="00000000">
              <w:rPr>
                <w:rtl w:val="0"/>
              </w:rPr>
            </w:r>
          </w:p>
        </w:tc>
        <w:tc>
          <w:tcPr>
            <w:shd w:fill="d0cece" w:val="clear"/>
            <w:vAlign w:val="center"/>
          </w:tcPr>
          <w:p w:rsidR="00000000" w:rsidDel="00000000" w:rsidP="00000000" w:rsidRDefault="00000000" w:rsidRPr="00000000" w14:paraId="0000004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Service Credit Payable</w:t>
            </w:r>
          </w:p>
        </w:tc>
        <w:tc>
          <w:tcPr>
            <w:shd w:fill="d0cece" w:val="clear"/>
            <w:vAlign w:val="center"/>
          </w:tcPr>
          <w:p w:rsidR="00000000" w:rsidDel="00000000" w:rsidP="00000000" w:rsidRDefault="00000000" w:rsidRPr="00000000" w14:paraId="0000004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Critical Service Level</w:t>
            </w:r>
          </w:p>
          <w:p w:rsidR="00000000" w:rsidDel="00000000" w:rsidP="00000000" w:rsidRDefault="00000000" w:rsidRPr="00000000" w14:paraId="00000042">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04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Application Processing</w:t>
            </w:r>
          </w:p>
        </w:tc>
        <w:tc>
          <w:tcPr/>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All correctly completed applications to open an account made by or on behalf of the Authority shall be processed within five working days of receipt.</w:t>
            </w:r>
          </w:p>
        </w:tc>
        <w:tc>
          <w:tcPr>
            <w:vAlign w:val="center"/>
          </w:tcPr>
          <w:p w:rsidR="00000000" w:rsidDel="00000000" w:rsidP="00000000" w:rsidRDefault="00000000" w:rsidRPr="00000000" w14:paraId="0000004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&lt;98%</w:t>
            </w:r>
          </w:p>
        </w:tc>
        <w:tc>
          <w:tcPr>
            <w:vAlign w:val="center"/>
          </w:tcPr>
          <w:p w:rsidR="00000000" w:rsidDel="00000000" w:rsidP="00000000" w:rsidRDefault="00000000" w:rsidRPr="00000000" w14:paraId="0000004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4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0.5%</w:t>
            </w:r>
          </w:p>
        </w:tc>
        <w:tc>
          <w:tcPr>
            <w:vAlign w:val="center"/>
          </w:tcPr>
          <w:p w:rsidR="00000000" w:rsidDel="00000000" w:rsidP="00000000" w:rsidRDefault="00000000" w:rsidRPr="00000000" w14:paraId="0000004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Critical Service Level</w:t>
            </w:r>
          </w:p>
        </w:tc>
      </w:tr>
      <w:tr>
        <w:trPr>
          <w:cantSplit w:val="0"/>
          <w:trHeight w:val="507" w:hRule="atLeast"/>
          <w:tblHeader w:val="0"/>
        </w:trPr>
        <w:tc>
          <w:tcPr>
            <w:vAlign w:val="center"/>
          </w:tcPr>
          <w:p w:rsidR="00000000" w:rsidDel="00000000" w:rsidP="00000000" w:rsidRDefault="00000000" w:rsidRPr="00000000" w14:paraId="0000004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Issue of first batch of Cards</w:t>
            </w:r>
          </w:p>
        </w:tc>
        <w:tc>
          <w:tcPr/>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All new cards applied for shall be dispatched to the agreed address within 5 working days of receipt by the service provider of the correctly completed application.</w:t>
            </w:r>
          </w:p>
        </w:tc>
        <w:tc>
          <w:tcPr>
            <w:vAlign w:val="center"/>
          </w:tcPr>
          <w:p w:rsidR="00000000" w:rsidDel="00000000" w:rsidP="00000000" w:rsidRDefault="00000000" w:rsidRPr="00000000" w14:paraId="0000004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&lt;98%</w:t>
            </w:r>
          </w:p>
        </w:tc>
        <w:tc>
          <w:tcPr>
            <w:vAlign w:val="center"/>
          </w:tcPr>
          <w:p w:rsidR="00000000" w:rsidDel="00000000" w:rsidP="00000000" w:rsidRDefault="00000000" w:rsidRPr="00000000" w14:paraId="0000004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4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4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Critical Service Level</w:t>
            </w:r>
          </w:p>
        </w:tc>
      </w:tr>
      <w:tr>
        <w:trPr>
          <w:cantSplit w:val="0"/>
          <w:trHeight w:val="507" w:hRule="atLeast"/>
          <w:tblHeader w:val="0"/>
        </w:trPr>
        <w:tc>
          <w:tcPr>
            <w:vAlign w:val="center"/>
          </w:tcPr>
          <w:p w:rsidR="00000000" w:rsidDel="00000000" w:rsidP="00000000" w:rsidRDefault="00000000" w:rsidRPr="00000000" w14:paraId="0000004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Card Issue (for existing accounts)</w:t>
            </w:r>
          </w:p>
        </w:tc>
        <w:tc>
          <w:tcPr/>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sz w:val="24"/>
                <w:szCs w:val="24"/>
                <w:rtl w:val="0"/>
              </w:rPr>
              <w:t xml:space="preserve">New Cards shall be issued and dispatched within 5 working days of receipt of a correctly completed application.</w:t>
            </w:r>
          </w:p>
        </w:tc>
        <w:tc>
          <w:tcPr>
            <w:vAlign w:val="center"/>
          </w:tcPr>
          <w:p w:rsidR="00000000" w:rsidDel="00000000" w:rsidP="00000000" w:rsidRDefault="00000000" w:rsidRPr="00000000" w14:paraId="00000051">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&lt;98%</w:t>
            </w:r>
          </w:p>
        </w:tc>
        <w:tc>
          <w:tcPr>
            <w:vAlign w:val="center"/>
          </w:tcPr>
          <w:p w:rsidR="00000000" w:rsidDel="00000000" w:rsidP="00000000" w:rsidRDefault="00000000" w:rsidRPr="00000000" w14:paraId="00000052">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5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5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Critical Service Level</w:t>
            </w:r>
          </w:p>
        </w:tc>
      </w:tr>
      <w:tr>
        <w:trPr>
          <w:cantSplit w:val="0"/>
          <w:trHeight w:val="507" w:hRule="atLeast"/>
          <w:tblHeader w:val="0"/>
        </w:trPr>
        <w:tc>
          <w:tcPr>
            <w:vAlign w:val="center"/>
          </w:tcPr>
          <w:p w:rsidR="00000000" w:rsidDel="00000000" w:rsidP="00000000" w:rsidRDefault="00000000" w:rsidRPr="00000000" w14:paraId="0000005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Card Re-Issue (for existing accounts)</w:t>
            </w:r>
          </w:p>
        </w:tc>
        <w:tc>
          <w:tcPr/>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All replacement Cards shall be issued within 5 working days of receipt of an authorised request for a replacement: or not later than three weeks before the expiry of the existing Card.</w:t>
            </w:r>
          </w:p>
        </w:tc>
        <w:tc>
          <w:tcPr>
            <w:vAlign w:val="center"/>
          </w:tcPr>
          <w:p w:rsidR="00000000" w:rsidDel="00000000" w:rsidP="00000000" w:rsidRDefault="00000000" w:rsidRPr="00000000" w14:paraId="0000005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&lt;98%</w:t>
            </w:r>
          </w:p>
        </w:tc>
        <w:tc>
          <w:tcPr>
            <w:vAlign w:val="center"/>
          </w:tcPr>
          <w:p w:rsidR="00000000" w:rsidDel="00000000" w:rsidP="00000000" w:rsidRDefault="00000000" w:rsidRPr="00000000" w14:paraId="0000005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5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5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Critical Service Level</w:t>
            </w:r>
          </w:p>
        </w:tc>
      </w:tr>
      <w:tr>
        <w:trPr>
          <w:cantSplit w:val="0"/>
          <w:trHeight w:val="507" w:hRule="atLeast"/>
          <w:tblHeader w:val="0"/>
        </w:trPr>
        <w:tc>
          <w:tcPr>
            <w:vAlign w:val="center"/>
          </w:tcPr>
          <w:p w:rsidR="00000000" w:rsidDel="00000000" w:rsidP="00000000" w:rsidRDefault="00000000" w:rsidRPr="00000000" w14:paraId="0000005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Dispatch of Statements</w:t>
            </w:r>
          </w:p>
        </w:tc>
        <w:tc>
          <w:tcPr/>
          <w:p w:rsidR="00000000" w:rsidDel="00000000" w:rsidP="00000000" w:rsidRDefault="00000000" w:rsidRPr="00000000" w14:paraId="0000005C">
            <w:pPr>
              <w:rPr>
                <w:rFonts w:ascii="Arial" w:cs="Arial" w:eastAsia="Arial" w:hAnsi="Arial"/>
                <w:sz w:val="24"/>
                <w:szCs w:val="24"/>
              </w:rPr>
            </w:pPr>
            <w:r w:rsidDel="00000000" w:rsidR="00000000" w:rsidRPr="00000000">
              <w:rPr>
                <w:rFonts w:ascii="Arial" w:cs="Arial" w:eastAsia="Arial" w:hAnsi="Arial"/>
                <w:sz w:val="24"/>
                <w:szCs w:val="24"/>
                <w:rtl w:val="0"/>
              </w:rPr>
              <w:t xml:space="preserve">Statements (whether electronic or paper form) shall be dispatched on the working day of production (which shall be within 24 hours of the customers statement date).</w:t>
            </w:r>
          </w:p>
        </w:tc>
        <w:tc>
          <w:tcPr>
            <w:vAlign w:val="center"/>
          </w:tcPr>
          <w:p w:rsidR="00000000" w:rsidDel="00000000" w:rsidP="00000000" w:rsidRDefault="00000000" w:rsidRPr="00000000" w14:paraId="0000005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&lt;95%</w:t>
            </w:r>
          </w:p>
        </w:tc>
        <w:tc>
          <w:tcPr>
            <w:vAlign w:val="center"/>
          </w:tcPr>
          <w:p w:rsidR="00000000" w:rsidDel="00000000" w:rsidP="00000000" w:rsidRDefault="00000000" w:rsidRPr="00000000" w14:paraId="0000005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&gt;=98%</w:t>
            </w:r>
          </w:p>
        </w:tc>
        <w:tc>
          <w:tcPr>
            <w:vAlign w:val="center"/>
          </w:tcPr>
          <w:p w:rsidR="00000000" w:rsidDel="00000000" w:rsidP="00000000" w:rsidRDefault="00000000" w:rsidRPr="00000000" w14:paraId="0000005F">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60">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06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Reporting Lost and Stolen Cards</w:t>
            </w:r>
          </w:p>
        </w:tc>
        <w:tc>
          <w:tcPr/>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The facility for reporting lost or stolen Cards shall be open 24 hours a day, fifty-two (52) weeks a year, 24/7 including public and bank holidays.</w:t>
            </w:r>
          </w:p>
        </w:tc>
        <w:tc>
          <w:tcPr>
            <w:vAlign w:val="center"/>
          </w:tcPr>
          <w:p w:rsidR="00000000" w:rsidDel="00000000" w:rsidP="00000000" w:rsidRDefault="00000000" w:rsidRPr="00000000" w14:paraId="0000006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&lt;98%</w:t>
            </w:r>
          </w:p>
        </w:tc>
        <w:tc>
          <w:tcPr>
            <w:vAlign w:val="center"/>
          </w:tcPr>
          <w:p w:rsidR="00000000" w:rsidDel="00000000" w:rsidP="00000000" w:rsidRDefault="00000000" w:rsidRPr="00000000" w14:paraId="0000006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6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vAlign w:val="center"/>
          </w:tcPr>
          <w:p w:rsidR="00000000" w:rsidDel="00000000" w:rsidP="00000000" w:rsidRDefault="00000000" w:rsidRPr="00000000" w14:paraId="0000006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Critical Service Level</w:t>
            </w:r>
          </w:p>
        </w:tc>
      </w:tr>
      <w:tr>
        <w:trPr>
          <w:cantSplit w:val="0"/>
          <w:trHeight w:val="507" w:hRule="atLeast"/>
          <w:tblHeader w:val="0"/>
        </w:trPr>
        <w:tc>
          <w:tcPr>
            <w:vAlign w:val="center"/>
          </w:tcPr>
          <w:p w:rsidR="00000000" w:rsidDel="00000000" w:rsidP="00000000" w:rsidRDefault="00000000" w:rsidRPr="00000000" w14:paraId="0000006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Customer Service Telephone Line</w:t>
            </w:r>
          </w:p>
        </w:tc>
        <w:tc>
          <w:tcPr/>
          <w:p w:rsidR="00000000" w:rsidDel="00000000" w:rsidP="00000000" w:rsidRDefault="00000000" w:rsidRPr="00000000" w14:paraId="0000006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Telephone Support Services available fifty-two (52) weeks a year,</w:t>
            </w:r>
          </w:p>
          <w:p w:rsidR="00000000" w:rsidDel="00000000" w:rsidP="00000000" w:rsidRDefault="00000000" w:rsidRPr="00000000" w14:paraId="00000069">
            <w:pPr>
              <w:rPr>
                <w:rFonts w:ascii="Arial" w:cs="Arial" w:eastAsia="Arial" w:hAnsi="Arial"/>
                <w:sz w:val="24"/>
                <w:szCs w:val="24"/>
              </w:rPr>
            </w:pPr>
            <w:r w:rsidDel="00000000" w:rsidR="00000000" w:rsidRPr="00000000">
              <w:rPr>
                <w:rFonts w:ascii="Arial" w:cs="Arial" w:eastAsia="Arial" w:hAnsi="Arial"/>
                <w:sz w:val="24"/>
                <w:szCs w:val="24"/>
                <w:rtl w:val="0"/>
              </w:rPr>
              <w:t xml:space="preserve">24/7 including Public and Bank Holidays.</w:t>
            </w:r>
          </w:p>
        </w:tc>
        <w:tc>
          <w:tcPr>
            <w:vAlign w:val="center"/>
          </w:tcPr>
          <w:p w:rsidR="00000000" w:rsidDel="00000000" w:rsidP="00000000" w:rsidRDefault="00000000" w:rsidRPr="00000000" w14:paraId="0000006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&lt;98%</w:t>
            </w:r>
          </w:p>
        </w:tc>
        <w:tc>
          <w:tcPr>
            <w:vAlign w:val="center"/>
          </w:tcPr>
          <w:p w:rsidR="00000000" w:rsidDel="00000000" w:rsidP="00000000" w:rsidRDefault="00000000" w:rsidRPr="00000000" w14:paraId="0000006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6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vAlign w:val="center"/>
          </w:tcPr>
          <w:p w:rsidR="00000000" w:rsidDel="00000000" w:rsidP="00000000" w:rsidRDefault="00000000" w:rsidRPr="00000000" w14:paraId="0000006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Critical Service Level</w:t>
            </w:r>
          </w:p>
        </w:tc>
      </w:tr>
      <w:tr>
        <w:trPr>
          <w:cantSplit w:val="0"/>
          <w:trHeight w:val="507" w:hRule="atLeast"/>
          <w:tblHeader w:val="0"/>
        </w:trPr>
        <w:tc>
          <w:tcPr>
            <w:vAlign w:val="center"/>
          </w:tcPr>
          <w:p w:rsidR="00000000" w:rsidDel="00000000" w:rsidP="00000000" w:rsidRDefault="00000000" w:rsidRPr="00000000" w14:paraId="0000006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Telephone Responses</w:t>
            </w:r>
          </w:p>
        </w:tc>
        <w:tc>
          <w:tcPr/>
          <w:p w:rsidR="00000000" w:rsidDel="00000000" w:rsidP="00000000" w:rsidRDefault="00000000" w:rsidRPr="00000000" w14:paraId="0000006F">
            <w:pPr>
              <w:rPr>
                <w:rFonts w:ascii="Arial" w:cs="Arial" w:eastAsia="Arial" w:hAnsi="Arial"/>
                <w:sz w:val="24"/>
                <w:szCs w:val="24"/>
              </w:rPr>
            </w:pPr>
            <w:r w:rsidDel="00000000" w:rsidR="00000000" w:rsidRPr="00000000">
              <w:rPr>
                <w:rFonts w:ascii="Arial" w:cs="Arial" w:eastAsia="Arial" w:hAnsi="Arial"/>
                <w:sz w:val="24"/>
                <w:szCs w:val="24"/>
                <w:rtl w:val="0"/>
              </w:rPr>
              <w:t xml:space="preserve">Calls to the help desk shall be answered by a customer services representative within 20 seconds.</w:t>
            </w:r>
          </w:p>
        </w:tc>
        <w:tc>
          <w:tcPr>
            <w:vAlign w:val="center"/>
          </w:tcPr>
          <w:p w:rsidR="00000000" w:rsidDel="00000000" w:rsidP="00000000" w:rsidRDefault="00000000" w:rsidRPr="00000000" w14:paraId="0000007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&lt;98%</w:t>
            </w:r>
          </w:p>
        </w:tc>
        <w:tc>
          <w:tcPr>
            <w:vAlign w:val="center"/>
          </w:tcPr>
          <w:p w:rsidR="00000000" w:rsidDel="00000000" w:rsidP="00000000" w:rsidRDefault="00000000" w:rsidRPr="00000000" w14:paraId="0000007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&gt;=99%</w:t>
            </w:r>
          </w:p>
        </w:tc>
        <w:tc>
          <w:tcPr>
            <w:vAlign w:val="center"/>
          </w:tcPr>
          <w:p w:rsidR="00000000" w:rsidDel="00000000" w:rsidP="00000000" w:rsidRDefault="00000000" w:rsidRPr="00000000" w14:paraId="00000072">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73">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07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Call Abandonment Rate</w:t>
            </w:r>
          </w:p>
        </w:tc>
        <w:tc>
          <w:tcPr/>
          <w:p w:rsidR="00000000" w:rsidDel="00000000" w:rsidP="00000000" w:rsidRDefault="00000000" w:rsidRPr="00000000" w14:paraId="00000075">
            <w:pPr>
              <w:rPr>
                <w:rFonts w:ascii="Arial" w:cs="Arial" w:eastAsia="Arial" w:hAnsi="Arial"/>
                <w:sz w:val="24"/>
                <w:szCs w:val="24"/>
              </w:rPr>
            </w:pPr>
            <w:r w:rsidDel="00000000" w:rsidR="00000000" w:rsidRPr="00000000">
              <w:rPr>
                <w:rFonts w:ascii="Arial" w:cs="Arial" w:eastAsia="Arial" w:hAnsi="Arial"/>
                <w:sz w:val="24"/>
                <w:szCs w:val="24"/>
                <w:rtl w:val="0"/>
              </w:rPr>
              <w:t xml:space="preserve">Call abandonment rate prior to calls being answered to be less than 3% of calls.</w:t>
            </w:r>
          </w:p>
        </w:tc>
        <w:tc>
          <w:tcPr>
            <w:vAlign w:val="center"/>
          </w:tcPr>
          <w:p w:rsidR="00000000" w:rsidDel="00000000" w:rsidP="00000000" w:rsidRDefault="00000000" w:rsidRPr="00000000" w14:paraId="0000007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&lt;97%</w:t>
            </w:r>
          </w:p>
        </w:tc>
        <w:tc>
          <w:tcPr>
            <w:vAlign w:val="center"/>
          </w:tcPr>
          <w:p w:rsidR="00000000" w:rsidDel="00000000" w:rsidP="00000000" w:rsidRDefault="00000000" w:rsidRPr="00000000" w14:paraId="0000007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&gt;=99%</w:t>
            </w:r>
          </w:p>
        </w:tc>
        <w:tc>
          <w:tcPr>
            <w:vAlign w:val="center"/>
          </w:tcPr>
          <w:p w:rsidR="00000000" w:rsidDel="00000000" w:rsidP="00000000" w:rsidRDefault="00000000" w:rsidRPr="00000000" w14:paraId="00000078">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79">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07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Account queries</w:t>
            </w:r>
          </w:p>
        </w:tc>
        <w:tc>
          <w:tcPr/>
          <w:p w:rsidR="00000000" w:rsidDel="00000000" w:rsidP="00000000" w:rsidRDefault="00000000" w:rsidRPr="00000000" w14:paraId="0000007B">
            <w:pPr>
              <w:rPr>
                <w:rFonts w:ascii="Arial" w:cs="Arial" w:eastAsia="Arial" w:hAnsi="Arial"/>
                <w:sz w:val="24"/>
                <w:szCs w:val="24"/>
              </w:rPr>
            </w:pPr>
            <w:r w:rsidDel="00000000" w:rsidR="00000000" w:rsidRPr="00000000">
              <w:rPr>
                <w:rFonts w:ascii="Arial" w:cs="Arial" w:eastAsia="Arial" w:hAnsi="Arial"/>
                <w:sz w:val="24"/>
                <w:szCs w:val="24"/>
                <w:rtl w:val="0"/>
              </w:rPr>
              <w:t xml:space="preserve">Queries which cannot be answered immediately will be resolved within 5 working days. If not resolved, the query will be escalated in accordance with the service providers’ standard procedures.</w:t>
            </w:r>
          </w:p>
        </w:tc>
        <w:tc>
          <w:tcPr>
            <w:vAlign w:val="center"/>
          </w:tcPr>
          <w:p w:rsidR="00000000" w:rsidDel="00000000" w:rsidP="00000000" w:rsidRDefault="00000000" w:rsidRPr="00000000" w14:paraId="0000007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&lt;97%</w:t>
            </w:r>
          </w:p>
        </w:tc>
        <w:tc>
          <w:tcPr>
            <w:vAlign w:val="center"/>
          </w:tcPr>
          <w:p w:rsidR="00000000" w:rsidDel="00000000" w:rsidP="00000000" w:rsidRDefault="00000000" w:rsidRPr="00000000" w14:paraId="0000007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&gt;=99%</w:t>
            </w:r>
          </w:p>
        </w:tc>
        <w:tc>
          <w:tcPr>
            <w:vAlign w:val="center"/>
          </w:tcPr>
          <w:p w:rsidR="00000000" w:rsidDel="00000000" w:rsidP="00000000" w:rsidRDefault="00000000" w:rsidRPr="00000000" w14:paraId="0000007E">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7F">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08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Email Responses</w:t>
            </w:r>
          </w:p>
        </w:tc>
        <w:tc>
          <w:tcPr/>
          <w:p w:rsidR="00000000" w:rsidDel="00000000" w:rsidP="00000000" w:rsidRDefault="00000000" w:rsidRPr="00000000" w14:paraId="00000081">
            <w:pPr>
              <w:rPr>
                <w:rFonts w:ascii="Arial" w:cs="Arial" w:eastAsia="Arial" w:hAnsi="Arial"/>
                <w:sz w:val="24"/>
                <w:szCs w:val="24"/>
              </w:rPr>
            </w:pPr>
            <w:r w:rsidDel="00000000" w:rsidR="00000000" w:rsidRPr="00000000">
              <w:rPr>
                <w:rFonts w:ascii="Arial" w:cs="Arial" w:eastAsia="Arial" w:hAnsi="Arial"/>
                <w:sz w:val="24"/>
                <w:szCs w:val="24"/>
                <w:rtl w:val="0"/>
              </w:rPr>
              <w:t xml:space="preserve">All complaints to be acknowledged within one (1) Working Day of receipt  </w:t>
            </w:r>
          </w:p>
        </w:tc>
        <w:tc>
          <w:tcPr>
            <w:vAlign w:val="center"/>
          </w:tcPr>
          <w:p w:rsidR="00000000" w:rsidDel="00000000" w:rsidP="00000000" w:rsidRDefault="00000000" w:rsidRPr="00000000" w14:paraId="0000008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&lt;97%</w:t>
            </w:r>
          </w:p>
        </w:tc>
        <w:tc>
          <w:tcPr>
            <w:vAlign w:val="center"/>
          </w:tcPr>
          <w:p w:rsidR="00000000" w:rsidDel="00000000" w:rsidP="00000000" w:rsidRDefault="00000000" w:rsidRPr="00000000" w14:paraId="0000008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&gt;=99%</w:t>
            </w:r>
          </w:p>
        </w:tc>
        <w:tc>
          <w:tcPr>
            <w:vAlign w:val="center"/>
          </w:tcPr>
          <w:p w:rsidR="00000000" w:rsidDel="00000000" w:rsidP="00000000" w:rsidRDefault="00000000" w:rsidRPr="00000000" w14:paraId="00000084">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85">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08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Online Portal</w:t>
            </w:r>
          </w:p>
        </w:tc>
        <w:tc>
          <w:tcPr/>
          <w:p w:rsidR="00000000" w:rsidDel="00000000" w:rsidP="00000000" w:rsidRDefault="00000000" w:rsidRPr="00000000" w14:paraId="00000087">
            <w:pPr>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provider shall ensure that online portal is available fifty-two (52) weeks a year, 24/7, including Public and Bank Holidays, except for agreed downtime and maintenance which will be agreed with the HO Contract Manager at least seventy-two (72) hours in advance of such work being carried.</w:t>
            </w:r>
          </w:p>
        </w:tc>
        <w:tc>
          <w:tcPr>
            <w:vAlign w:val="center"/>
          </w:tcPr>
          <w:p w:rsidR="00000000" w:rsidDel="00000000" w:rsidP="00000000" w:rsidRDefault="00000000" w:rsidRPr="00000000" w14:paraId="0000008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&lt;97%</w:t>
            </w:r>
          </w:p>
        </w:tc>
        <w:tc>
          <w:tcPr>
            <w:vAlign w:val="center"/>
          </w:tcPr>
          <w:p w:rsidR="00000000" w:rsidDel="00000000" w:rsidP="00000000" w:rsidRDefault="00000000" w:rsidRPr="00000000" w14:paraId="0000008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&gt;=99%</w:t>
            </w:r>
          </w:p>
        </w:tc>
        <w:tc>
          <w:tcPr>
            <w:vAlign w:val="center"/>
          </w:tcPr>
          <w:p w:rsidR="00000000" w:rsidDel="00000000" w:rsidP="00000000" w:rsidRDefault="00000000" w:rsidRPr="00000000" w14:paraId="0000008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vAlign w:val="center"/>
          </w:tcPr>
          <w:p w:rsidR="00000000" w:rsidDel="00000000" w:rsidP="00000000" w:rsidRDefault="00000000" w:rsidRPr="00000000" w14:paraId="0000008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Critical Service Level</w:t>
            </w:r>
          </w:p>
        </w:tc>
      </w:tr>
      <w:tr>
        <w:trPr>
          <w:cantSplit w:val="0"/>
          <w:trHeight w:val="507" w:hRule="atLeast"/>
          <w:tblHeader w:val="0"/>
        </w:trPr>
        <w:tc>
          <w:tcPr>
            <w:vAlign w:val="center"/>
          </w:tcPr>
          <w:p w:rsidR="00000000" w:rsidDel="00000000" w:rsidP="00000000" w:rsidRDefault="00000000" w:rsidRPr="00000000" w14:paraId="0000008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Contract/Account Manager</w:t>
            </w:r>
          </w:p>
        </w:tc>
        <w:tc>
          <w:tcPr/>
          <w:p w:rsidR="00000000" w:rsidDel="00000000" w:rsidP="00000000" w:rsidRDefault="00000000" w:rsidRPr="00000000" w14:paraId="0000008D">
            <w:pPr>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provider is required to provide a full-time dedicated account manager with a nominated deputy to cover periods of absence. Dedicated Account Manager or nominated deputy should be available Monday to Friday 9.00am-5.15pm with responses to queries from the Contracting Authorities within one (1) Working Day.</w:t>
            </w:r>
          </w:p>
        </w:tc>
        <w:tc>
          <w:tcPr>
            <w:vAlign w:val="center"/>
          </w:tcPr>
          <w:p w:rsidR="00000000" w:rsidDel="00000000" w:rsidP="00000000" w:rsidRDefault="00000000" w:rsidRPr="00000000" w14:paraId="0000008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&lt;97%</w:t>
            </w:r>
          </w:p>
        </w:tc>
        <w:tc>
          <w:tcPr>
            <w:vAlign w:val="center"/>
          </w:tcPr>
          <w:p w:rsidR="00000000" w:rsidDel="00000000" w:rsidP="00000000" w:rsidRDefault="00000000" w:rsidRPr="00000000" w14:paraId="0000008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&gt;=99%</w:t>
            </w:r>
          </w:p>
        </w:tc>
        <w:tc>
          <w:tcPr>
            <w:vAlign w:val="center"/>
          </w:tcPr>
          <w:p w:rsidR="00000000" w:rsidDel="00000000" w:rsidP="00000000" w:rsidRDefault="00000000" w:rsidRPr="00000000" w14:paraId="00000090">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91">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09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Management Information</w:t>
            </w:r>
          </w:p>
        </w:tc>
        <w:tc>
          <w:tcPr/>
          <w:p w:rsidR="00000000" w:rsidDel="00000000" w:rsidP="00000000" w:rsidRDefault="00000000" w:rsidRPr="00000000" w14:paraId="00000093">
            <w:pPr>
              <w:rPr>
                <w:rFonts w:ascii="Arial" w:cs="Arial" w:eastAsia="Arial" w:hAnsi="Arial"/>
                <w:sz w:val="24"/>
                <w:szCs w:val="24"/>
              </w:rPr>
            </w:pPr>
            <w:r w:rsidDel="00000000" w:rsidR="00000000" w:rsidRPr="00000000">
              <w:rPr>
                <w:rFonts w:ascii="Arial" w:cs="Arial" w:eastAsia="Arial" w:hAnsi="Arial"/>
                <w:sz w:val="24"/>
                <w:szCs w:val="24"/>
                <w:rtl w:val="0"/>
              </w:rPr>
              <w:t xml:space="preserve">A monthly MI report is required to be submitted within 5 working days before month end.</w:t>
            </w:r>
          </w:p>
        </w:tc>
        <w:tc>
          <w:tcPr>
            <w:vAlign w:val="center"/>
          </w:tcPr>
          <w:p w:rsidR="00000000" w:rsidDel="00000000" w:rsidP="00000000" w:rsidRDefault="00000000" w:rsidRPr="00000000" w14:paraId="0000009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&lt;98%</w:t>
            </w:r>
          </w:p>
        </w:tc>
        <w:tc>
          <w:tcPr>
            <w:vAlign w:val="center"/>
          </w:tcPr>
          <w:p w:rsidR="00000000" w:rsidDel="00000000" w:rsidP="00000000" w:rsidRDefault="00000000" w:rsidRPr="00000000" w14:paraId="0000009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96">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97">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09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Management Information / Irregular Requests</w:t>
            </w:r>
          </w:p>
        </w:tc>
        <w:tc>
          <w:tcPr/>
          <w:p w:rsidR="00000000" w:rsidDel="00000000" w:rsidP="00000000" w:rsidRDefault="00000000" w:rsidRPr="00000000" w14:paraId="00000099">
            <w:pPr>
              <w:rPr>
                <w:rFonts w:ascii="Arial" w:cs="Arial" w:eastAsia="Arial" w:hAnsi="Arial"/>
                <w:sz w:val="24"/>
                <w:szCs w:val="24"/>
              </w:rPr>
            </w:pPr>
            <w:r w:rsidDel="00000000" w:rsidR="00000000" w:rsidRPr="00000000">
              <w:rPr>
                <w:rFonts w:ascii="Arial" w:cs="Arial" w:eastAsia="Arial" w:hAnsi="Arial"/>
                <w:sz w:val="24"/>
                <w:szCs w:val="24"/>
                <w:rtl w:val="0"/>
              </w:rPr>
              <w:t xml:space="preserve">MI requests above and beyond standard reporting to be completed within 15 working days.</w:t>
            </w:r>
          </w:p>
        </w:tc>
        <w:tc>
          <w:tcPr>
            <w:vAlign w:val="center"/>
          </w:tcPr>
          <w:p w:rsidR="00000000" w:rsidDel="00000000" w:rsidP="00000000" w:rsidRDefault="00000000" w:rsidRPr="00000000" w14:paraId="0000009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&lt;98%</w:t>
            </w:r>
          </w:p>
        </w:tc>
        <w:tc>
          <w:tcPr>
            <w:vAlign w:val="center"/>
          </w:tcPr>
          <w:p w:rsidR="00000000" w:rsidDel="00000000" w:rsidP="00000000" w:rsidRDefault="00000000" w:rsidRPr="00000000" w14:paraId="0000009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9C">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9D">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09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Governance</w:t>
            </w:r>
          </w:p>
        </w:tc>
        <w:tc>
          <w:tcPr/>
          <w:p w:rsidR="00000000" w:rsidDel="00000000" w:rsidP="00000000" w:rsidRDefault="00000000" w:rsidRPr="00000000" w14:paraId="0000009F">
            <w:pPr>
              <w:rPr>
                <w:rFonts w:ascii="Arial" w:cs="Arial" w:eastAsia="Arial" w:hAnsi="Arial"/>
                <w:sz w:val="24"/>
                <w:szCs w:val="24"/>
              </w:rPr>
            </w:pPr>
            <w:r w:rsidDel="00000000" w:rsidR="00000000" w:rsidRPr="00000000">
              <w:rPr>
                <w:rFonts w:ascii="Arial" w:cs="Arial" w:eastAsia="Arial" w:hAnsi="Arial"/>
                <w:sz w:val="24"/>
                <w:szCs w:val="24"/>
                <w:rtl w:val="0"/>
              </w:rPr>
              <w:t xml:space="preserve">Freedom of Information requests Acknowledged within 72 working hours.</w:t>
            </w:r>
          </w:p>
        </w:tc>
        <w:tc>
          <w:tcPr>
            <w:vAlign w:val="center"/>
          </w:tcPr>
          <w:p w:rsidR="00000000" w:rsidDel="00000000" w:rsidP="00000000" w:rsidRDefault="00000000" w:rsidRPr="00000000" w14:paraId="000000A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&lt;99%</w:t>
            </w:r>
          </w:p>
        </w:tc>
        <w:tc>
          <w:tcPr>
            <w:vAlign w:val="center"/>
          </w:tcPr>
          <w:p w:rsidR="00000000" w:rsidDel="00000000" w:rsidP="00000000" w:rsidRDefault="00000000" w:rsidRPr="00000000" w14:paraId="000000A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A2">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A3">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0A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Governance</w:t>
            </w:r>
          </w:p>
        </w:tc>
        <w:tc>
          <w:tcPr/>
          <w:p w:rsidR="00000000" w:rsidDel="00000000" w:rsidP="00000000" w:rsidRDefault="00000000" w:rsidRPr="00000000" w14:paraId="000000A5">
            <w:pPr>
              <w:rPr>
                <w:rFonts w:ascii="Arial" w:cs="Arial" w:eastAsia="Arial" w:hAnsi="Arial"/>
                <w:sz w:val="24"/>
                <w:szCs w:val="24"/>
              </w:rPr>
            </w:pPr>
            <w:r w:rsidDel="00000000" w:rsidR="00000000" w:rsidRPr="00000000">
              <w:rPr>
                <w:rFonts w:ascii="Arial" w:cs="Arial" w:eastAsia="Arial" w:hAnsi="Arial"/>
                <w:sz w:val="24"/>
                <w:szCs w:val="24"/>
                <w:rtl w:val="0"/>
              </w:rPr>
              <w:t xml:space="preserve">Parliamentary Questions will be acknowledged within the following timelines: Within 3 working hours of receipt of request.</w:t>
            </w:r>
          </w:p>
        </w:tc>
        <w:tc>
          <w:tcPr>
            <w:vAlign w:val="center"/>
          </w:tcPr>
          <w:p w:rsidR="00000000" w:rsidDel="00000000" w:rsidP="00000000" w:rsidRDefault="00000000" w:rsidRPr="00000000" w14:paraId="000000A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&lt;99%</w:t>
            </w:r>
          </w:p>
        </w:tc>
        <w:tc>
          <w:tcPr>
            <w:vAlign w:val="center"/>
          </w:tcPr>
          <w:p w:rsidR="00000000" w:rsidDel="00000000" w:rsidP="00000000" w:rsidRDefault="00000000" w:rsidRPr="00000000" w14:paraId="000000A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A8">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A9">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0A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Security Breach</w:t>
            </w:r>
          </w:p>
        </w:tc>
        <w:tc>
          <w:tcPr/>
          <w:p w:rsidR="00000000" w:rsidDel="00000000" w:rsidP="00000000" w:rsidRDefault="00000000" w:rsidRPr="00000000" w14:paraId="000000AB">
            <w:pPr>
              <w:rPr>
                <w:rFonts w:ascii="Arial" w:cs="Arial" w:eastAsia="Arial" w:hAnsi="Arial"/>
                <w:sz w:val="24"/>
                <w:szCs w:val="24"/>
              </w:rPr>
            </w:pPr>
            <w:r w:rsidDel="00000000" w:rsidR="00000000" w:rsidRPr="00000000">
              <w:rPr>
                <w:rFonts w:ascii="Arial" w:cs="Arial" w:eastAsia="Arial" w:hAnsi="Arial"/>
                <w:sz w:val="24"/>
                <w:szCs w:val="24"/>
                <w:rtl w:val="0"/>
              </w:rPr>
              <w:t xml:space="preserve">The Authority (Customer Contract Manager and Buyer) to be informed by email of any breaches within 24 hours of occurrence.</w:t>
            </w:r>
          </w:p>
        </w:tc>
        <w:tc>
          <w:tcPr>
            <w:vAlign w:val="center"/>
          </w:tcPr>
          <w:p w:rsidR="00000000" w:rsidDel="00000000" w:rsidP="00000000" w:rsidRDefault="00000000" w:rsidRPr="00000000" w14:paraId="000000A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&lt;99%</w:t>
            </w:r>
          </w:p>
        </w:tc>
        <w:tc>
          <w:tcPr>
            <w:vAlign w:val="center"/>
          </w:tcPr>
          <w:p w:rsidR="00000000" w:rsidDel="00000000" w:rsidP="00000000" w:rsidRDefault="00000000" w:rsidRPr="00000000" w14:paraId="000000A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A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vAlign w:val="center"/>
          </w:tcPr>
          <w:p w:rsidR="00000000" w:rsidDel="00000000" w:rsidP="00000000" w:rsidRDefault="00000000" w:rsidRPr="00000000" w14:paraId="000000A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Critical Service Level</w:t>
            </w:r>
          </w:p>
        </w:tc>
      </w:tr>
    </w:tbl>
    <w:p w:rsidR="00000000" w:rsidDel="00000000" w:rsidP="00000000" w:rsidRDefault="00000000" w:rsidRPr="00000000" w14:paraId="000000B0">
      <w:pPr>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Credits shall be calculated on the basis of the following formula:</w:t>
      </w:r>
    </w:p>
    <w:p w:rsidR="00000000" w:rsidDel="00000000" w:rsidP="00000000" w:rsidRDefault="00000000" w:rsidRPr="00000000" w14:paraId="000000B2">
      <w:pPr>
        <w:ind w:left="709"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[Example:</w:t>
      </w:r>
    </w:p>
    <w:tbl>
      <w:tblPr>
        <w:tblStyle w:val="Table3"/>
        <w:tblW w:w="9026.0" w:type="dxa"/>
        <w:jc w:val="left"/>
        <w:tblLayout w:type="fixed"/>
        <w:tblLook w:val="0000"/>
      </w:tblPr>
      <w:tblGrid>
        <w:gridCol w:w="4375"/>
        <w:gridCol w:w="685"/>
        <w:gridCol w:w="3966"/>
        <w:tblGridChange w:id="0">
          <w:tblGrid>
            <w:gridCol w:w="4375"/>
            <w:gridCol w:w="685"/>
            <w:gridCol w:w="3966"/>
          </w:tblGrid>
        </w:tblGridChange>
      </w:tblGrid>
      <w:tr>
        <w:trPr>
          <w:cantSplit w:val="0"/>
          <w:tblHeader w:val="0"/>
        </w:trPr>
        <w:tc>
          <w:tcPr/>
          <w:p w:rsidR="00000000" w:rsidDel="00000000" w:rsidP="00000000" w:rsidRDefault="00000000" w:rsidRPr="00000000" w14:paraId="000000B3">
            <w:pPr>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Formula: x% (Service Level Performance Measure) - x% (actual Service Level performance)  </w:t>
            </w:r>
          </w:p>
        </w:tc>
        <w:tc>
          <w:tcPr/>
          <w:p w:rsidR="00000000" w:rsidDel="00000000" w:rsidP="00000000" w:rsidRDefault="00000000" w:rsidRPr="00000000" w14:paraId="000000B4">
            <w:pPr>
              <w:ind w:left="21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B5">
            <w:pPr>
              <w:ind w:left="14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x% of the Charges payable to the Buyer as Service Credits to be deducted from the next Invoice payable by the Buyer</w:t>
            </w:r>
          </w:p>
        </w:tc>
      </w:tr>
      <w:tr>
        <w:trPr>
          <w:cantSplit w:val="0"/>
          <w:tblHeader w:val="0"/>
        </w:trPr>
        <w:tc>
          <w:tcPr/>
          <w:p w:rsidR="00000000" w:rsidDel="00000000" w:rsidP="00000000" w:rsidRDefault="00000000" w:rsidRPr="00000000" w14:paraId="000000B6">
            <w:pPr>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Worked example: 98% (e.g. Service Level Performance Measure requirement for accurate and timely billing Service Level) - 75% (e.g. actual performance achieved against this Service Level in a Service Period) </w:t>
            </w:r>
          </w:p>
        </w:tc>
        <w:tc>
          <w:tcPr/>
          <w:p w:rsidR="00000000" w:rsidDel="00000000" w:rsidP="00000000" w:rsidRDefault="00000000" w:rsidRPr="00000000" w14:paraId="000000B7">
            <w:pPr>
              <w:ind w:left="21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B8">
            <w:pPr>
              <w:ind w:left="14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 of the Charges payable to the Buyer as Service Credits to be deducted from the next Invoice payable by the Buyer]</w:t>
            </w:r>
          </w:p>
          <w:p w:rsidR="00000000" w:rsidDel="00000000" w:rsidP="00000000" w:rsidRDefault="00000000" w:rsidRPr="00000000" w14:paraId="000000B9">
            <w:pPr>
              <w:ind w:left="145"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BA">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Credit Cap</w:t>
      </w:r>
    </w:p>
    <w:p w:rsidR="00000000" w:rsidDel="00000000" w:rsidP="00000000" w:rsidRDefault="00000000" w:rsidRPr="00000000" w14:paraId="000000BB">
      <w:pPr>
        <w:rPr>
          <w:rFonts w:ascii="Arial" w:cs="Arial" w:eastAsia="Arial" w:hAnsi="Arial"/>
          <w:color w:val="000000"/>
        </w:rPr>
      </w:pPr>
      <w:r w:rsidDel="00000000" w:rsidR="00000000" w:rsidRPr="00000000">
        <w:rPr>
          <w:rFonts w:ascii="Arial" w:cs="Arial" w:eastAsia="Arial" w:hAnsi="Arial"/>
          <w:color w:val="000000"/>
          <w:rtl w:val="0"/>
        </w:rPr>
        <w:t xml:space="preserve">The Service Credit Cap is: </w:t>
      </w:r>
    </w:p>
    <w:p w:rsidR="00000000" w:rsidDel="00000000" w:rsidP="00000000" w:rsidRDefault="00000000" w:rsidRPr="00000000" w14:paraId="000000BC">
      <w:pPr>
        <w:rPr>
          <w:rFonts w:ascii="Arial" w:cs="Arial" w:eastAsia="Arial" w:hAnsi="Arial"/>
          <w:color w:val="000000"/>
        </w:rPr>
      </w:pPr>
      <w:r w:rsidDel="00000000" w:rsidR="00000000" w:rsidRPr="00000000">
        <w:rPr>
          <w:rFonts w:ascii="Arial" w:cs="Arial" w:eastAsia="Arial" w:hAnsi="Arial"/>
          <w:color w:val="000000"/>
          <w:rtl w:val="0"/>
        </w:rPr>
        <w:t xml:space="preserve">(a) In the period from the Call-Off Start Date to the end of the first Call-Off Contract Year 10% of the Estimated Year 1 Call-Off Contract Charges; </w:t>
      </w:r>
    </w:p>
    <w:p w:rsidR="00000000" w:rsidDel="00000000" w:rsidP="00000000" w:rsidRDefault="00000000" w:rsidRPr="00000000" w14:paraId="000000BD">
      <w:pPr>
        <w:rPr>
          <w:rFonts w:ascii="Arial" w:cs="Arial" w:eastAsia="Arial" w:hAnsi="Arial"/>
          <w:sz w:val="32"/>
          <w:szCs w:val="32"/>
        </w:rPr>
      </w:pPr>
      <w:r w:rsidDel="00000000" w:rsidR="00000000" w:rsidRPr="00000000">
        <w:rPr>
          <w:rFonts w:ascii="Arial" w:cs="Arial" w:eastAsia="Arial" w:hAnsi="Arial"/>
          <w:color w:val="000000"/>
          <w:rtl w:val="0"/>
        </w:rPr>
        <w:t xml:space="preserve">and (b) During the remainder of the Call-Off Contract Period, 10% of the Call-Off Contract Charges payable to the Supplier under this Call-Off Contract in the period of 12 months immediately preceding the Month in respect of which Service Credits are accrued</w:t>
      </w:r>
      <w:r w:rsidDel="00000000" w:rsidR="00000000" w:rsidRPr="00000000">
        <w:rPr>
          <w:rFonts w:ascii="Arial" w:cs="Arial" w:eastAsia="Arial" w:hAnsi="Arial"/>
          <w:sz w:val="32"/>
          <w:szCs w:val="32"/>
          <w:rtl w:val="0"/>
        </w:rPr>
        <w:t xml:space="preserve">.</w:t>
      </w:r>
    </w:p>
    <w:p w:rsidR="00000000" w:rsidDel="00000000" w:rsidP="00000000" w:rsidRDefault="00000000" w:rsidRPr="00000000" w14:paraId="000000B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Part B: Performance Monitoring </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Performance Monitoring and Performance Review</w:t>
      </w:r>
    </w:p>
    <w:p w:rsidR="00000000" w:rsidDel="00000000" w:rsidP="00000000" w:rsidRDefault="00000000" w:rsidRPr="00000000" w14:paraId="000000C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rsidR="00000000" w:rsidDel="00000000" w:rsidP="00000000" w:rsidRDefault="00000000" w:rsidRPr="00000000" w14:paraId="000000C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the Buyer with performance monitoring reports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Performance Monitoring Reports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accordance with the process and timescales agreed pursuant to paragraph 1.1 of Part B of this Schedule which shall contain, as a minimum, the following information in respect of the relevant Service Period just ended:</w:t>
      </w:r>
    </w:p>
    <w:p w:rsidR="00000000" w:rsidDel="00000000" w:rsidP="00000000" w:rsidRDefault="00000000" w:rsidRPr="00000000" w14:paraId="000000C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each Service Level, the actual performance achieved over the Service Level for the relevant Service Period;</w:t>
      </w:r>
    </w:p>
    <w:p w:rsidR="00000000" w:rsidDel="00000000" w:rsidP="00000000" w:rsidRDefault="00000000" w:rsidRPr="00000000" w14:paraId="000000C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summary of all failures to achieve Service Levels that occurred during that Service Period;</w:t>
      </w:r>
    </w:p>
    <w:p w:rsidR="00000000" w:rsidDel="00000000" w:rsidP="00000000" w:rsidRDefault="00000000" w:rsidRPr="00000000" w14:paraId="000000C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any Critical Service Level Failures;</w:t>
      </w:r>
    </w:p>
    <w:p w:rsidR="00000000" w:rsidDel="00000000" w:rsidP="00000000" w:rsidRDefault="00000000" w:rsidRPr="00000000" w14:paraId="000000C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any repeat failures, actions taken to resolve the underlying cause and prevent recurrence;</w:t>
      </w:r>
    </w:p>
    <w:p w:rsidR="00000000" w:rsidDel="00000000" w:rsidP="00000000" w:rsidRDefault="00000000" w:rsidRPr="00000000" w14:paraId="000000C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Service Credits to be applied in respect of the relevant period indicating the failures and Service Levels to which the Service Credits relate; and</w:t>
      </w:r>
    </w:p>
    <w:p w:rsidR="00000000" w:rsidDel="00000000" w:rsidP="00000000" w:rsidRDefault="00000000" w:rsidRPr="00000000" w14:paraId="000000C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other details as the Buyer may reasonably require from time to time.</w:t>
      </w:r>
    </w:p>
    <w:p w:rsidR="00000000" w:rsidDel="00000000" w:rsidP="00000000" w:rsidRDefault="00000000" w:rsidRPr="00000000" w14:paraId="000000C9">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shall attend meetings to discuss Performance Monitoring Reports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Performance Review Meetings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 a Monthly basis. The Performance Review Meetings will be the forum for the review by the Supplier and the Buyer of the Performance Monitoring Reports.  The Performance Review Meetings shall:</w:t>
      </w:r>
    </w:p>
    <w:p w:rsidR="00000000" w:rsidDel="00000000" w:rsidP="00000000" w:rsidRDefault="00000000" w:rsidRPr="00000000" w14:paraId="000000C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place within one (1) week of the Performance Monitoring Reports being issued by the Supplier at such location and time (within normal business hours) as the Buyer shall reasonably require;</w:t>
      </w:r>
    </w:p>
    <w:p w:rsidR="00000000" w:rsidDel="00000000" w:rsidP="00000000" w:rsidRDefault="00000000" w:rsidRPr="00000000" w14:paraId="000000C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attended by the Supplier's Representative and the Buyer’s Representative; and</w:t>
      </w:r>
    </w:p>
    <w:p w:rsidR="00000000" w:rsidDel="00000000" w:rsidP="00000000" w:rsidRDefault="00000000" w:rsidRPr="00000000" w14:paraId="000000C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fully minuted by the Supplier and the minutes will be circulated by the Supplier to all attendees at the relevant meeting and also to the Buyer’s Representative and any other recipients agreed at the relevant meeting.  </w:t>
      </w:r>
    </w:p>
    <w:p w:rsidR="00000000" w:rsidDel="00000000" w:rsidP="00000000" w:rsidRDefault="00000000" w:rsidRPr="00000000" w14:paraId="000000C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minutes of the preceding Month's Performance Review Meeting will be agreed and signed by both the Supplier's Representative and the Buyer’s Representative at each meeting.</w:t>
      </w:r>
    </w:p>
    <w:p w:rsidR="00000000" w:rsidDel="00000000" w:rsidP="00000000" w:rsidRDefault="00000000" w:rsidRPr="00000000" w14:paraId="000000C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to the Buyer such documentation as the Buyer may reasonably require in order to verify the level of the performance by the Supplier and the calculations of the amount of Service Credits for any specified Service Period.</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Satisfaction Surveys</w:t>
      </w:r>
    </w:p>
    <w:p w:rsidR="00000000" w:rsidDel="00000000" w:rsidP="00000000" w:rsidRDefault="00000000" w:rsidRPr="00000000" w14:paraId="000000D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hanging="576"/>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tabs>
        <w:tab w:val="center" w:leader="none" w:pos="4513"/>
        <w:tab w:val="right" w:leader="none" w:pos="9026"/>
      </w:tabs>
      <w:spacing w:after="0" w:line="240" w:lineRule="auto"/>
      <w:jc w:val="both"/>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RM6186 – Fuel Cards VI</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tabs>
        <w:tab w:val="center" w:leader="none" w:pos="4513"/>
        <w:tab w:val="right" w:leader="none" w:pos="9026"/>
      </w:tabs>
      <w:spacing w:after="0" w:line="240" w:lineRule="auto"/>
      <w:jc w:val="both"/>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tab/>
      <w:t xml:space="preserve">                                           </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 v2.9</w:t>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Schedule14 (Service Levels)</w:t>
    </w: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r w:rsidDel="00000000" w:rsidR="00000000" w:rsidRPr="00000000">
      <w:rPr>
        <w:rFonts w:ascii="Arial" w:cs="Arial" w:eastAsia="Arial" w:hAnsi="Arial"/>
        <w:sz w:val="20"/>
        <w:szCs w:val="20"/>
        <w:rtl w:val="0"/>
      </w:rPr>
      <w:t xml:space="preserve">: C23780/</w:t>
    </w:r>
    <w:r w:rsidDel="00000000" w:rsidR="00000000" w:rsidRPr="00000000">
      <w:rPr>
        <w:rFonts w:ascii="Roboto" w:cs="Roboto" w:eastAsia="Roboto" w:hAnsi="Roboto"/>
        <w:color w:val="181818"/>
        <w:sz w:val="21"/>
        <w:szCs w:val="21"/>
        <w:highlight w:val="white"/>
        <w:rtl w:val="0"/>
      </w:rPr>
      <w:t xml:space="preserve">CCFU23A01</w:t>
    </w:r>
    <w:r w:rsidDel="00000000" w:rsidR="00000000" w:rsidRPr="00000000">
      <w:rPr>
        <w:rFonts w:ascii="Arial" w:cs="Arial" w:eastAsia="Arial" w:hAnsi="Arial"/>
        <w:b w:val="1"/>
        <w:sz w:val="20"/>
        <w:szCs w:val="20"/>
        <w:rtl w:val="0"/>
      </w:rPr>
      <w:t xml:space="preserve"> </w:t>
    </w: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720"/>
      </w:pPr>
      <w:rPr>
        <w:rFonts w:ascii="Calibri" w:cs="Calibri" w:eastAsia="Calibri" w:hAnsi="Calibri"/>
        <w:b w:val="1"/>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0uPVLLBo2X80mCRMWMbp3nmdbw==">CgMxLjAyCGguZ2pkZ3hzOAByITFTYkxfczAyeUs4c3p3M05fYXViR2QtRlRzdGdIM0g0bw==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gCurrentVersion">
    <vt:lpwstr>17 November 2017 D1V8</vt:lpwstr>
  </property>
</Properties>
</file>