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0B" w:rsidRDefault="008F4D0B" w:rsidP="00CB6E9C">
      <w:pPr>
        <w:pStyle w:val="Heading1"/>
        <w:numPr>
          <w:ilvl w:val="0"/>
          <w:numId w:val="0"/>
        </w:numPr>
        <w:rPr>
          <w:rFonts w:cs="Arial"/>
          <w:b/>
          <w:szCs w:val="22"/>
        </w:rPr>
      </w:pPr>
    </w:p>
    <w:p w:rsidR="00CB6E9C" w:rsidRDefault="0029380B" w:rsidP="00CB6E9C">
      <w:pPr>
        <w:pStyle w:val="Heading1"/>
        <w:numPr>
          <w:ilvl w:val="0"/>
          <w:numId w:val="0"/>
        </w:numPr>
        <w:rPr>
          <w:rFonts w:cs="Arial"/>
          <w:b/>
          <w:szCs w:val="22"/>
        </w:rPr>
      </w:pPr>
      <w:r>
        <w:rPr>
          <w:rFonts w:cs="Arial"/>
          <w:b/>
          <w:szCs w:val="22"/>
        </w:rPr>
        <w:t>annex 1</w:t>
      </w:r>
      <w:bookmarkStart w:id="0" w:name="_GoBack"/>
      <w:bookmarkEnd w:id="0"/>
      <w:r w:rsidR="00CB6E9C">
        <w:rPr>
          <w:rFonts w:cs="Arial"/>
          <w:b/>
          <w:szCs w:val="22"/>
        </w:rPr>
        <w:t xml:space="preserve"> – key deliverables AND TIMESCALES</w:t>
      </w:r>
    </w:p>
    <w:p w:rsidR="00CB6E9C" w:rsidRDefault="00CB6E9C" w:rsidP="00CB6E9C">
      <w:pPr>
        <w:jc w:val="both"/>
        <w:rPr>
          <w:rFonts w:ascii="Arial" w:hAnsi="Arial" w:cs="Arial"/>
        </w:rPr>
      </w:pPr>
      <w:r>
        <w:rPr>
          <w:rFonts w:ascii="Arial" w:hAnsi="Arial" w:cs="Arial"/>
        </w:rPr>
        <w:t xml:space="preserve">The table below sets out the Key Deliverables of this Contract that the Supplier shall complete and deliver in full, on time (in accordance with the timescale stated in the table below), and to the satisfaction of the Authority:  </w:t>
      </w:r>
    </w:p>
    <w:tbl>
      <w:tblPr>
        <w:tblStyle w:val="TableGrid"/>
        <w:tblW w:w="0" w:type="auto"/>
        <w:tblInd w:w="-5" w:type="dxa"/>
        <w:tblLayout w:type="fixed"/>
        <w:tblLook w:val="04A0" w:firstRow="1" w:lastRow="0" w:firstColumn="1" w:lastColumn="0" w:noHBand="0" w:noVBand="1"/>
      </w:tblPr>
      <w:tblGrid>
        <w:gridCol w:w="567"/>
        <w:gridCol w:w="4170"/>
        <w:gridCol w:w="1492"/>
        <w:gridCol w:w="2956"/>
      </w:tblGrid>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1723" w:rsidRPr="0038619E" w:rsidRDefault="00461723" w:rsidP="00A93D0D">
            <w:pPr>
              <w:spacing w:before="120" w:after="120" w:line="240" w:lineRule="auto"/>
              <w:jc w:val="center"/>
              <w:rPr>
                <w:rFonts w:cs="Arial"/>
                <w:b/>
                <w:color w:val="000000" w:themeColor="text1"/>
                <w:szCs w:val="20"/>
              </w:rPr>
            </w:pPr>
            <w:r>
              <w:rPr>
                <w:rFonts w:cs="Arial"/>
                <w:b/>
                <w:color w:val="000000" w:themeColor="text1"/>
                <w:szCs w:val="20"/>
              </w:rPr>
              <w:t>No.</w:t>
            </w:r>
          </w:p>
        </w:tc>
        <w:tc>
          <w:tcPr>
            <w:tcW w:w="4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1723" w:rsidRPr="0038619E" w:rsidRDefault="00461723" w:rsidP="00A93D0D">
            <w:pPr>
              <w:spacing w:before="120" w:after="120" w:line="240" w:lineRule="auto"/>
              <w:rPr>
                <w:rFonts w:cs="Arial"/>
                <w:b/>
                <w:color w:val="000000" w:themeColor="text1"/>
                <w:szCs w:val="20"/>
              </w:rPr>
            </w:pPr>
            <w:r w:rsidRPr="0038619E">
              <w:rPr>
                <w:rFonts w:cs="Arial"/>
                <w:b/>
                <w:color w:val="000000" w:themeColor="text1"/>
                <w:szCs w:val="20"/>
              </w:rPr>
              <w:t>Deliverable</w:t>
            </w: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1723" w:rsidRPr="0038619E" w:rsidRDefault="00461723" w:rsidP="00A93D0D">
            <w:pPr>
              <w:spacing w:before="120" w:after="120" w:line="240" w:lineRule="auto"/>
              <w:jc w:val="center"/>
              <w:rPr>
                <w:rFonts w:cs="Arial"/>
                <w:b/>
                <w:color w:val="000000" w:themeColor="text1"/>
                <w:szCs w:val="20"/>
              </w:rPr>
            </w:pPr>
            <w:r w:rsidRPr="0038619E">
              <w:rPr>
                <w:rFonts w:cs="Arial"/>
                <w:b/>
                <w:color w:val="000000" w:themeColor="text1"/>
                <w:szCs w:val="20"/>
              </w:rPr>
              <w:t>To be delivered by:</w:t>
            </w:r>
          </w:p>
        </w:tc>
        <w:tc>
          <w:tcPr>
            <w:tcW w:w="2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1723" w:rsidRPr="0038619E" w:rsidRDefault="00461723" w:rsidP="00461723">
            <w:pPr>
              <w:spacing w:before="120" w:after="120" w:line="240" w:lineRule="auto"/>
              <w:jc w:val="center"/>
              <w:rPr>
                <w:rFonts w:cs="Arial"/>
                <w:b/>
                <w:color w:val="000000" w:themeColor="text1"/>
                <w:szCs w:val="20"/>
              </w:rPr>
            </w:pPr>
            <w:r>
              <w:rPr>
                <w:rFonts w:ascii="Arial" w:hAnsi="Arial"/>
                <w:b/>
              </w:rPr>
              <w:t>Percentage (%) of  Extension Fixed Price  payable upon complete and full delivery:</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r w:rsidRPr="00B3014F">
              <w:rPr>
                <w:rFonts w:cs="Arial"/>
                <w:b/>
                <w:color w:val="000000" w:themeColor="text1"/>
                <w:szCs w:val="20"/>
              </w:rPr>
              <w:t>1</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8C0628">
            <w:pPr>
              <w:spacing w:before="120" w:after="120" w:line="240" w:lineRule="auto"/>
              <w:rPr>
                <w:rFonts w:cs="Arial"/>
                <w:b/>
                <w:color w:val="000000" w:themeColor="text1"/>
                <w:szCs w:val="20"/>
              </w:rPr>
            </w:pPr>
            <w:r w:rsidRPr="00B3014F">
              <w:rPr>
                <w:rFonts w:cs="Arial"/>
                <w:b/>
                <w:color w:val="000000" w:themeColor="text1"/>
                <w:szCs w:val="20"/>
              </w:rPr>
              <w:t xml:space="preserve">Establish the reporting framework for the </w:t>
            </w:r>
            <w:r>
              <w:rPr>
                <w:rFonts w:cs="Arial"/>
                <w:b/>
                <w:color w:val="000000" w:themeColor="text1"/>
                <w:szCs w:val="20"/>
              </w:rPr>
              <w:t xml:space="preserve">DSNT </w:t>
            </w:r>
            <w:r w:rsidRPr="00B3014F">
              <w:rPr>
                <w:rFonts w:cs="Arial"/>
                <w:b/>
                <w:color w:val="000000" w:themeColor="text1"/>
                <w:szCs w:val="20"/>
              </w:rPr>
              <w:t>P</w:t>
            </w:r>
            <w:r>
              <w:rPr>
                <w:rFonts w:cs="Arial"/>
                <w:b/>
                <w:color w:val="000000" w:themeColor="text1"/>
                <w:szCs w:val="20"/>
              </w:rPr>
              <w:t xml:space="preserve">rogramme Management Office (PMO) </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1a</w:t>
            </w:r>
          </w:p>
        </w:tc>
        <w:tc>
          <w:tcPr>
            <w:tcW w:w="4170"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A93D0D">
            <w:pPr>
              <w:spacing w:before="120" w:after="120" w:line="240" w:lineRule="auto"/>
              <w:rPr>
                <w:rFonts w:cs="Arial"/>
                <w:color w:val="000000" w:themeColor="text1"/>
                <w:szCs w:val="20"/>
              </w:rPr>
            </w:pPr>
            <w:r w:rsidRPr="0038619E">
              <w:rPr>
                <w:rFonts w:cs="Arial"/>
                <w:color w:val="000000" w:themeColor="text1"/>
                <w:szCs w:val="20"/>
              </w:rPr>
              <w:t>Development of reporting dashboards for project, programme and portfolio level</w:t>
            </w:r>
          </w:p>
        </w:tc>
        <w:tc>
          <w:tcPr>
            <w:tcW w:w="1492"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March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r w:rsidRPr="00B3014F">
              <w:rPr>
                <w:rFonts w:cs="Arial"/>
                <w:b/>
                <w:color w:val="000000" w:themeColor="text1"/>
                <w:szCs w:val="20"/>
              </w:rPr>
              <w:t>2</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rPr>
                <w:rFonts w:cs="Arial"/>
                <w:b/>
                <w:color w:val="000000" w:themeColor="text1"/>
                <w:szCs w:val="20"/>
              </w:rPr>
            </w:pPr>
            <w:r w:rsidRPr="00B3014F">
              <w:rPr>
                <w:rFonts w:cs="Arial"/>
                <w:b/>
                <w:color w:val="000000" w:themeColor="text1"/>
                <w:szCs w:val="20"/>
              </w:rPr>
              <w:t xml:space="preserve">Establish </w:t>
            </w:r>
            <w:r>
              <w:rPr>
                <w:rFonts w:cs="Arial"/>
                <w:b/>
                <w:color w:val="000000" w:themeColor="text1"/>
                <w:szCs w:val="20"/>
              </w:rPr>
              <w:t xml:space="preserve">the </w:t>
            </w:r>
            <w:r w:rsidRPr="00B3014F">
              <w:rPr>
                <w:rFonts w:cs="Arial"/>
                <w:b/>
                <w:color w:val="000000" w:themeColor="text1"/>
                <w:szCs w:val="20"/>
              </w:rPr>
              <w:t xml:space="preserve">shape and size of </w:t>
            </w:r>
            <w:r>
              <w:rPr>
                <w:rFonts w:cs="Arial"/>
                <w:b/>
                <w:color w:val="000000" w:themeColor="text1"/>
                <w:szCs w:val="20"/>
              </w:rPr>
              <w:t xml:space="preserve">the DSNT </w:t>
            </w:r>
            <w:r w:rsidRPr="00B3014F">
              <w:rPr>
                <w:rFonts w:cs="Arial"/>
                <w:b/>
                <w:color w:val="000000" w:themeColor="text1"/>
                <w:szCs w:val="20"/>
              </w:rPr>
              <w:t>portfolio</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2a</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D4084D" w:rsidP="00D4084D">
            <w:pPr>
              <w:spacing w:before="120" w:after="120" w:line="240" w:lineRule="auto"/>
              <w:rPr>
                <w:rFonts w:cs="Arial"/>
                <w:color w:val="000000" w:themeColor="text1"/>
                <w:szCs w:val="20"/>
              </w:rPr>
            </w:pPr>
            <w:r>
              <w:rPr>
                <w:rFonts w:cs="Arial"/>
                <w:color w:val="000000" w:themeColor="text1"/>
                <w:szCs w:val="20"/>
              </w:rPr>
              <w:t xml:space="preserve">Provide support to each of the </w:t>
            </w:r>
            <w:r w:rsidR="00461723" w:rsidRPr="0038619E">
              <w:rPr>
                <w:rFonts w:cs="Arial"/>
                <w:color w:val="000000" w:themeColor="text1"/>
                <w:szCs w:val="20"/>
              </w:rPr>
              <w:t>programme group workshops</w:t>
            </w:r>
            <w:r>
              <w:rPr>
                <w:rFonts w:cs="Arial"/>
                <w:color w:val="000000" w:themeColor="text1"/>
                <w:szCs w:val="20"/>
              </w:rPr>
              <w:t xml:space="preserve"> including preparation material and post workshop actions</w:t>
            </w:r>
            <w:r w:rsidR="00461723" w:rsidRPr="0038619E">
              <w:rPr>
                <w:rFonts w:cs="Arial"/>
                <w:color w:val="000000" w:themeColor="text1"/>
                <w:szCs w:val="20"/>
              </w:rPr>
              <w:t>.</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March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2b</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D4084D" w:rsidP="00D4084D">
            <w:pPr>
              <w:spacing w:before="120" w:after="120" w:line="240" w:lineRule="auto"/>
              <w:rPr>
                <w:rFonts w:cs="Arial"/>
                <w:color w:val="000000" w:themeColor="text1"/>
                <w:szCs w:val="20"/>
              </w:rPr>
            </w:pPr>
            <w:r>
              <w:rPr>
                <w:rFonts w:cs="Arial"/>
                <w:color w:val="000000" w:themeColor="text1"/>
                <w:szCs w:val="20"/>
              </w:rPr>
              <w:t>C</w:t>
            </w:r>
            <w:r w:rsidR="00461723" w:rsidRPr="0038619E">
              <w:rPr>
                <w:rFonts w:cs="Arial"/>
                <w:color w:val="000000" w:themeColor="text1"/>
                <w:szCs w:val="20"/>
              </w:rPr>
              <w:t>ompil</w:t>
            </w:r>
            <w:r>
              <w:rPr>
                <w:rFonts w:cs="Arial"/>
                <w:color w:val="000000" w:themeColor="text1"/>
                <w:szCs w:val="20"/>
              </w:rPr>
              <w:t xml:space="preserve">e and then update on a weekly basis the </w:t>
            </w:r>
            <w:r w:rsidR="00461723" w:rsidRPr="0038619E">
              <w:rPr>
                <w:rFonts w:cs="Arial"/>
                <w:color w:val="000000" w:themeColor="text1"/>
                <w:szCs w:val="20"/>
              </w:rPr>
              <w:t>Project Master Register, including collation of benefits data when available</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D4084D" w:rsidP="00D4084D">
            <w:pPr>
              <w:spacing w:before="120" w:after="120" w:line="240" w:lineRule="auto"/>
              <w:jc w:val="center"/>
              <w:rPr>
                <w:rFonts w:cs="Arial"/>
                <w:color w:val="000000" w:themeColor="text1"/>
                <w:szCs w:val="20"/>
              </w:rPr>
            </w:pPr>
            <w:r>
              <w:rPr>
                <w:rFonts w:cs="Arial"/>
                <w:color w:val="000000" w:themeColor="text1"/>
                <w:szCs w:val="20"/>
              </w:rPr>
              <w:t xml:space="preserve">May </w:t>
            </w:r>
            <w:r w:rsidR="00461723">
              <w:rPr>
                <w:rFonts w:cs="Arial"/>
                <w:color w:val="000000" w:themeColor="text1"/>
                <w:szCs w:val="20"/>
              </w:rPr>
              <w:t xml:space="preserve"> </w:t>
            </w:r>
            <w:r w:rsidR="00461723" w:rsidRPr="0038619E">
              <w:rPr>
                <w:rFonts w:cs="Arial"/>
                <w:color w:val="000000" w:themeColor="text1"/>
                <w:szCs w:val="20"/>
              </w:rPr>
              <w:t>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r w:rsidRPr="00B3014F">
              <w:rPr>
                <w:rFonts w:cs="Arial"/>
                <w:b/>
                <w:color w:val="000000" w:themeColor="text1"/>
                <w:szCs w:val="20"/>
              </w:rPr>
              <w:t>3</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8C0628">
            <w:pPr>
              <w:spacing w:before="120" w:after="120" w:line="240" w:lineRule="auto"/>
              <w:rPr>
                <w:rFonts w:cs="Arial"/>
                <w:b/>
                <w:color w:val="000000" w:themeColor="text1"/>
                <w:szCs w:val="20"/>
              </w:rPr>
            </w:pPr>
            <w:r>
              <w:rPr>
                <w:rFonts w:cs="Arial"/>
                <w:b/>
                <w:color w:val="000000" w:themeColor="text1"/>
                <w:szCs w:val="20"/>
              </w:rPr>
              <w:t xml:space="preserve">Defence Logistics Board ( DLB) Paper </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8C0628">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8C0628">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3a</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8C0628">
            <w:pPr>
              <w:spacing w:before="120" w:after="120" w:line="240" w:lineRule="auto"/>
              <w:rPr>
                <w:rFonts w:cs="Arial"/>
                <w:color w:val="000000" w:themeColor="text1"/>
                <w:szCs w:val="20"/>
              </w:rPr>
            </w:pPr>
            <w:r>
              <w:rPr>
                <w:rFonts w:cs="Arial"/>
                <w:color w:val="000000" w:themeColor="text1"/>
                <w:szCs w:val="20"/>
              </w:rPr>
              <w:t xml:space="preserve">Deliver a final </w:t>
            </w:r>
            <w:r w:rsidRPr="0038619E">
              <w:rPr>
                <w:rFonts w:cs="Arial"/>
                <w:color w:val="000000" w:themeColor="text1"/>
                <w:szCs w:val="20"/>
              </w:rPr>
              <w:t xml:space="preserve">draft </w:t>
            </w:r>
            <w:r>
              <w:rPr>
                <w:rFonts w:cs="Arial"/>
                <w:color w:val="000000" w:themeColor="text1"/>
                <w:szCs w:val="20"/>
              </w:rPr>
              <w:t xml:space="preserve">DSNT </w:t>
            </w:r>
            <w:r w:rsidRPr="0038619E">
              <w:rPr>
                <w:rFonts w:cs="Arial"/>
                <w:color w:val="000000" w:themeColor="text1"/>
                <w:szCs w:val="20"/>
              </w:rPr>
              <w:t xml:space="preserve">DLB </w:t>
            </w:r>
            <w:r>
              <w:rPr>
                <w:rFonts w:cs="Arial"/>
                <w:color w:val="000000" w:themeColor="text1"/>
                <w:szCs w:val="20"/>
              </w:rPr>
              <w:t xml:space="preserve">Paper in preparation for the May </w:t>
            </w:r>
            <w:r w:rsidR="00023B8E">
              <w:rPr>
                <w:rFonts w:cs="Arial"/>
                <w:color w:val="000000" w:themeColor="text1"/>
                <w:szCs w:val="20"/>
              </w:rPr>
              <w:t xml:space="preserve">2017 </w:t>
            </w:r>
            <w:r>
              <w:rPr>
                <w:rFonts w:cs="Arial"/>
                <w:color w:val="000000" w:themeColor="text1"/>
                <w:szCs w:val="20"/>
              </w:rPr>
              <w:t>DLB</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April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5D692C" w:rsidP="005D692C">
            <w:pPr>
              <w:spacing w:before="120" w:after="120" w:line="240" w:lineRule="auto"/>
              <w:jc w:val="center"/>
              <w:rPr>
                <w:rFonts w:cs="Arial"/>
                <w:color w:val="000000" w:themeColor="text1"/>
                <w:szCs w:val="20"/>
              </w:rPr>
            </w:pPr>
            <w:r>
              <w:rPr>
                <w:rFonts w:cs="Arial"/>
                <w:color w:val="000000" w:themeColor="text1"/>
                <w:szCs w:val="20"/>
              </w:rPr>
              <w:t>15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r w:rsidRPr="00B3014F">
              <w:rPr>
                <w:rFonts w:cs="Arial"/>
                <w:b/>
                <w:color w:val="000000" w:themeColor="text1"/>
                <w:szCs w:val="20"/>
              </w:rPr>
              <w:t>4</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8C0628">
            <w:pPr>
              <w:spacing w:before="120" w:after="120" w:line="240" w:lineRule="auto"/>
              <w:rPr>
                <w:rFonts w:cs="Arial"/>
                <w:b/>
                <w:color w:val="000000" w:themeColor="text1"/>
                <w:szCs w:val="20"/>
              </w:rPr>
            </w:pPr>
            <w:r w:rsidRPr="00B3014F">
              <w:rPr>
                <w:rFonts w:cs="Arial"/>
                <w:b/>
                <w:color w:val="000000" w:themeColor="text1"/>
                <w:szCs w:val="20"/>
              </w:rPr>
              <w:t>D</w:t>
            </w:r>
            <w:r>
              <w:rPr>
                <w:rFonts w:cs="Arial"/>
                <w:b/>
                <w:color w:val="000000" w:themeColor="text1"/>
                <w:szCs w:val="20"/>
              </w:rPr>
              <w:t xml:space="preserve">efence Support Operating Model (DSOM) </w:t>
            </w:r>
            <w:r w:rsidRPr="00B3014F">
              <w:rPr>
                <w:rFonts w:cs="Arial"/>
                <w:b/>
                <w:color w:val="000000" w:themeColor="text1"/>
                <w:szCs w:val="20"/>
              </w:rPr>
              <w:t>Implementation Options Development</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FD02A2" w:rsidRDefault="00461723" w:rsidP="00A93D0D">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4a</w:t>
            </w:r>
          </w:p>
        </w:tc>
        <w:tc>
          <w:tcPr>
            <w:tcW w:w="4170"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D4084D" w:rsidP="00D4084D">
            <w:pPr>
              <w:spacing w:before="120" w:after="120" w:line="240" w:lineRule="auto"/>
              <w:rPr>
                <w:rFonts w:cs="Arial"/>
                <w:color w:val="000000" w:themeColor="text1"/>
                <w:szCs w:val="20"/>
              </w:rPr>
            </w:pPr>
            <w:r>
              <w:rPr>
                <w:rFonts w:cs="Arial"/>
                <w:color w:val="000000" w:themeColor="text1"/>
                <w:szCs w:val="20"/>
              </w:rPr>
              <w:t>Building on Key Deliverable 2 i</w:t>
            </w:r>
            <w:r w:rsidR="00461723">
              <w:rPr>
                <w:rFonts w:cs="Arial"/>
                <w:color w:val="000000" w:themeColor="text1"/>
                <w:szCs w:val="20"/>
              </w:rPr>
              <w:t xml:space="preserve">dentify the </w:t>
            </w:r>
            <w:r>
              <w:rPr>
                <w:rFonts w:cs="Arial"/>
                <w:color w:val="000000" w:themeColor="text1"/>
                <w:szCs w:val="20"/>
              </w:rPr>
              <w:t xml:space="preserve">range of </w:t>
            </w:r>
            <w:r w:rsidR="00461723">
              <w:rPr>
                <w:rFonts w:cs="Arial"/>
                <w:color w:val="000000" w:themeColor="text1"/>
                <w:szCs w:val="20"/>
              </w:rPr>
              <w:t>D</w:t>
            </w:r>
            <w:r>
              <w:rPr>
                <w:rFonts w:cs="Arial"/>
                <w:color w:val="000000" w:themeColor="text1"/>
                <w:szCs w:val="20"/>
              </w:rPr>
              <w:t xml:space="preserve">efence Support Operating Model </w:t>
            </w:r>
            <w:r w:rsidR="00461723">
              <w:rPr>
                <w:rFonts w:cs="Arial"/>
                <w:color w:val="000000" w:themeColor="text1"/>
                <w:szCs w:val="20"/>
              </w:rPr>
              <w:t xml:space="preserve"> </w:t>
            </w:r>
            <w:r>
              <w:rPr>
                <w:rFonts w:cs="Arial"/>
                <w:color w:val="000000" w:themeColor="text1"/>
                <w:szCs w:val="20"/>
              </w:rPr>
              <w:t xml:space="preserve">implementation options and carry out  an analysis of each of the identified options and make recommendations as to the optimum options(s). </w:t>
            </w:r>
          </w:p>
        </w:tc>
        <w:tc>
          <w:tcPr>
            <w:tcW w:w="1492"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D4084D" w:rsidP="00A93D0D">
            <w:pPr>
              <w:spacing w:before="120" w:after="120" w:line="240" w:lineRule="auto"/>
              <w:jc w:val="center"/>
              <w:rPr>
                <w:rFonts w:cs="Arial"/>
                <w:color w:val="000000" w:themeColor="text1"/>
                <w:szCs w:val="20"/>
              </w:rPr>
            </w:pPr>
            <w:r>
              <w:rPr>
                <w:rFonts w:cs="Arial"/>
                <w:color w:val="000000" w:themeColor="text1"/>
                <w:szCs w:val="20"/>
              </w:rPr>
              <w:t>April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D4084D" w:rsidP="00D4084D">
            <w:pPr>
              <w:spacing w:before="120" w:after="120" w:line="240" w:lineRule="auto"/>
              <w:jc w:val="center"/>
              <w:rPr>
                <w:rFonts w:cs="Arial"/>
                <w:color w:val="000000" w:themeColor="text1"/>
                <w:szCs w:val="20"/>
              </w:rPr>
            </w:pPr>
            <w:r>
              <w:rPr>
                <w:rFonts w:cs="Arial"/>
                <w:color w:val="000000" w:themeColor="text1"/>
                <w:szCs w:val="20"/>
              </w:rPr>
              <w:t>15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4729B2">
            <w:pPr>
              <w:spacing w:before="120" w:after="120" w:line="240" w:lineRule="auto"/>
              <w:jc w:val="center"/>
              <w:rPr>
                <w:rFonts w:cs="Arial"/>
                <w:b/>
                <w:color w:val="000000" w:themeColor="text1"/>
                <w:szCs w:val="20"/>
              </w:rPr>
            </w:pPr>
            <w:r>
              <w:rPr>
                <w:rFonts w:cs="Arial"/>
                <w:b/>
                <w:color w:val="000000" w:themeColor="text1"/>
                <w:szCs w:val="20"/>
              </w:rPr>
              <w:t>5</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D4084D">
            <w:pPr>
              <w:rPr>
                <w:rFonts w:cs="Arial"/>
                <w:b/>
                <w:color w:val="000000" w:themeColor="text1"/>
                <w:szCs w:val="20"/>
              </w:rPr>
            </w:pPr>
            <w:r>
              <w:rPr>
                <w:b/>
                <w:color w:val="000000" w:themeColor="text1"/>
                <w:szCs w:val="20"/>
              </w:rPr>
              <w:t xml:space="preserve">Deliver a </w:t>
            </w:r>
            <w:r w:rsidRPr="00B3014F">
              <w:rPr>
                <w:b/>
                <w:color w:val="000000" w:themeColor="text1"/>
                <w:szCs w:val="20"/>
              </w:rPr>
              <w:t xml:space="preserve">robust </w:t>
            </w:r>
            <w:r w:rsidR="00D4084D">
              <w:rPr>
                <w:b/>
                <w:color w:val="000000" w:themeColor="text1"/>
                <w:szCs w:val="20"/>
              </w:rPr>
              <w:t>Logistic Information Services (</w:t>
            </w:r>
            <w:proofErr w:type="gramStart"/>
            <w:r>
              <w:rPr>
                <w:b/>
                <w:color w:val="000000" w:themeColor="text1"/>
                <w:szCs w:val="20"/>
              </w:rPr>
              <w:t>L</w:t>
            </w:r>
            <w:r w:rsidRPr="00B3014F">
              <w:rPr>
                <w:b/>
                <w:color w:val="000000" w:themeColor="text1"/>
                <w:szCs w:val="20"/>
              </w:rPr>
              <w:t>og(</w:t>
            </w:r>
            <w:proofErr w:type="gramEnd"/>
            <w:r w:rsidRPr="00B3014F">
              <w:rPr>
                <w:b/>
                <w:color w:val="000000" w:themeColor="text1"/>
                <w:szCs w:val="20"/>
              </w:rPr>
              <w:t>IS)</w:t>
            </w:r>
            <w:r w:rsidR="00D4084D">
              <w:rPr>
                <w:b/>
                <w:color w:val="000000" w:themeColor="text1"/>
                <w:szCs w:val="20"/>
              </w:rPr>
              <w:t>)</w:t>
            </w:r>
            <w:r w:rsidRPr="00B3014F">
              <w:rPr>
                <w:b/>
                <w:color w:val="000000" w:themeColor="text1"/>
                <w:szCs w:val="20"/>
              </w:rPr>
              <w:t xml:space="preserve"> strategy and enterprise architecture to underpin future decision making in relation to the IS landscape as </w:t>
            </w:r>
            <w:r w:rsidRPr="00B3014F">
              <w:rPr>
                <w:b/>
                <w:color w:val="000000" w:themeColor="text1"/>
                <w:szCs w:val="20"/>
              </w:rPr>
              <w:lastRenderedPageBreak/>
              <w:t>the business requirement for supply chain and support engineering activities evolves.</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4729B2">
            <w:pPr>
              <w:spacing w:before="120" w:after="120" w:line="240" w:lineRule="auto"/>
              <w:jc w:val="center"/>
              <w:rPr>
                <w:rFonts w:cs="Arial"/>
                <w:color w:val="000000" w:themeColor="text1"/>
                <w:szCs w:val="20"/>
              </w:rPr>
            </w:pPr>
            <w:r>
              <w:rPr>
                <w:rFonts w:cs="Arial"/>
                <w:color w:val="000000" w:themeColor="text1"/>
                <w:szCs w:val="20"/>
              </w:rPr>
              <w:t>5</w:t>
            </w:r>
            <w:r w:rsidRPr="0038619E">
              <w:rPr>
                <w:rFonts w:cs="Arial"/>
                <w:color w:val="000000" w:themeColor="text1"/>
                <w:szCs w:val="20"/>
              </w:rPr>
              <w:t>a</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F92194" w:rsidP="00A93D0D">
            <w:pPr>
              <w:spacing w:before="120" w:after="120" w:line="240" w:lineRule="auto"/>
              <w:rPr>
                <w:rFonts w:cs="Arial"/>
                <w:color w:val="000000" w:themeColor="text1"/>
                <w:szCs w:val="20"/>
              </w:rPr>
            </w:pPr>
            <w:r>
              <w:rPr>
                <w:rFonts w:cs="Arial"/>
                <w:color w:val="000000" w:themeColor="text1"/>
                <w:szCs w:val="20"/>
              </w:rPr>
              <w:t xml:space="preserve">Scope of </w:t>
            </w:r>
            <w:r w:rsidR="00461723" w:rsidRPr="0038619E">
              <w:rPr>
                <w:rFonts w:cs="Arial"/>
                <w:color w:val="000000" w:themeColor="text1"/>
                <w:szCs w:val="20"/>
              </w:rPr>
              <w:t>Log (IS) strategy &amp; vision agreed</w:t>
            </w:r>
            <w:r w:rsidR="00D4084D">
              <w:rPr>
                <w:rFonts w:cs="Arial"/>
                <w:color w:val="000000" w:themeColor="text1"/>
                <w:szCs w:val="20"/>
              </w:rPr>
              <w:t xml:space="preserve"> and existing artefacts identified</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March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D4084D" w:rsidP="00D4084D">
            <w:pPr>
              <w:spacing w:before="120" w:after="120" w:line="240" w:lineRule="auto"/>
              <w:jc w:val="center"/>
              <w:rPr>
                <w:rFonts w:cs="Arial"/>
                <w:color w:val="000000" w:themeColor="text1"/>
                <w:szCs w:val="20"/>
              </w:rPr>
            </w:pPr>
            <w:r>
              <w:rPr>
                <w:rFonts w:cs="Arial"/>
                <w:color w:val="000000" w:themeColor="text1"/>
                <w:szCs w:val="20"/>
              </w:rPr>
              <w:t>5</w:t>
            </w:r>
            <w:r w:rsidR="00461723">
              <w:rPr>
                <w:rFonts w:cs="Arial"/>
                <w:color w:val="000000" w:themeColor="text1"/>
                <w:szCs w:val="20"/>
              </w:rPr>
              <w:t>%</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4729B2">
            <w:pPr>
              <w:spacing w:before="120" w:after="120" w:line="240" w:lineRule="auto"/>
              <w:jc w:val="center"/>
              <w:rPr>
                <w:rFonts w:cs="Arial"/>
                <w:color w:val="000000" w:themeColor="text1"/>
                <w:szCs w:val="20"/>
              </w:rPr>
            </w:pPr>
            <w:r>
              <w:rPr>
                <w:rFonts w:cs="Arial"/>
                <w:color w:val="000000" w:themeColor="text1"/>
                <w:szCs w:val="20"/>
              </w:rPr>
              <w:t>5</w:t>
            </w:r>
            <w:r w:rsidRPr="0038619E">
              <w:rPr>
                <w:rFonts w:cs="Arial"/>
                <w:color w:val="000000" w:themeColor="text1"/>
                <w:szCs w:val="20"/>
              </w:rPr>
              <w:t>b</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F92194" w:rsidP="00EA726F">
            <w:pPr>
              <w:spacing w:before="60" w:after="60"/>
              <w:rPr>
                <w:color w:val="000000" w:themeColor="text1"/>
                <w:szCs w:val="20"/>
              </w:rPr>
            </w:pPr>
            <w:r>
              <w:rPr>
                <w:color w:val="000000" w:themeColor="text1"/>
                <w:szCs w:val="20"/>
              </w:rPr>
              <w:t xml:space="preserve">Delivery of Log IS </w:t>
            </w:r>
            <w:r w:rsidR="00EA726F">
              <w:rPr>
                <w:color w:val="000000" w:themeColor="text1"/>
                <w:szCs w:val="20"/>
              </w:rPr>
              <w:t>s</w:t>
            </w:r>
            <w:r>
              <w:rPr>
                <w:color w:val="000000" w:themeColor="text1"/>
                <w:szCs w:val="20"/>
              </w:rPr>
              <w:t xml:space="preserve">trategy including high level delivery road map </w:t>
            </w:r>
            <w:r w:rsidR="00EA726F">
              <w:rPr>
                <w:color w:val="000000" w:themeColor="text1"/>
                <w:szCs w:val="20"/>
              </w:rPr>
              <w:t xml:space="preserve"> </w:t>
            </w:r>
            <w:r>
              <w:rPr>
                <w:color w:val="000000" w:themeColor="text1"/>
                <w:szCs w:val="20"/>
              </w:rPr>
              <w:t xml:space="preserve"> </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F92194" w:rsidP="00F92194">
            <w:pPr>
              <w:spacing w:before="60" w:after="60"/>
              <w:jc w:val="center"/>
              <w:rPr>
                <w:color w:val="000000" w:themeColor="text1"/>
                <w:szCs w:val="20"/>
              </w:rPr>
            </w:pPr>
            <w:r>
              <w:rPr>
                <w:color w:val="000000" w:themeColor="text1"/>
                <w:szCs w:val="20"/>
              </w:rPr>
              <w:t xml:space="preserve">May </w:t>
            </w:r>
            <w:r w:rsidR="00461723" w:rsidRPr="0038619E">
              <w:rPr>
                <w:color w:val="000000" w:themeColor="text1"/>
                <w:szCs w:val="20"/>
              </w:rPr>
              <w:t xml:space="preserve">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4395B" w:rsidP="00F92194">
            <w:pPr>
              <w:spacing w:before="120" w:after="120" w:line="240" w:lineRule="auto"/>
              <w:jc w:val="center"/>
              <w:rPr>
                <w:rFonts w:cs="Arial"/>
                <w:color w:val="000000" w:themeColor="text1"/>
                <w:szCs w:val="20"/>
              </w:rPr>
            </w:pPr>
            <w:r>
              <w:rPr>
                <w:rFonts w:cs="Arial"/>
                <w:color w:val="000000" w:themeColor="text1"/>
                <w:szCs w:val="20"/>
              </w:rPr>
              <w:t>1</w:t>
            </w:r>
            <w:r w:rsidR="00F92194">
              <w:rPr>
                <w:rFonts w:cs="Arial"/>
                <w:color w:val="000000" w:themeColor="text1"/>
                <w:szCs w:val="20"/>
              </w:rPr>
              <w:t>5</w:t>
            </w:r>
            <w:r w:rsidR="00461723">
              <w:rPr>
                <w:rFonts w:cs="Arial"/>
                <w:color w:val="000000" w:themeColor="text1"/>
                <w:szCs w:val="20"/>
              </w:rPr>
              <w:t>%</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4729B2">
            <w:pPr>
              <w:spacing w:before="120" w:after="120" w:line="240" w:lineRule="auto"/>
              <w:jc w:val="center"/>
              <w:rPr>
                <w:rFonts w:cs="Arial"/>
                <w:b/>
                <w:color w:val="000000" w:themeColor="text1"/>
                <w:szCs w:val="20"/>
              </w:rPr>
            </w:pPr>
            <w:r>
              <w:rPr>
                <w:rFonts w:cs="Arial"/>
                <w:b/>
                <w:color w:val="000000" w:themeColor="text1"/>
                <w:szCs w:val="20"/>
              </w:rPr>
              <w:t>6</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EA726F">
            <w:pPr>
              <w:spacing w:before="120" w:after="120" w:line="240" w:lineRule="auto"/>
              <w:rPr>
                <w:rFonts w:cs="Arial"/>
                <w:b/>
                <w:color w:val="000000" w:themeColor="text1"/>
                <w:szCs w:val="20"/>
              </w:rPr>
            </w:pPr>
            <w:r>
              <w:rPr>
                <w:rFonts w:cs="Arial"/>
                <w:b/>
                <w:color w:val="000000" w:themeColor="text1"/>
                <w:szCs w:val="20"/>
              </w:rPr>
              <w:t xml:space="preserve">Design and develop a Strategic Base Assurance Model (SBAM) </w:t>
            </w:r>
            <w:r w:rsidR="00834CC0">
              <w:rPr>
                <w:rFonts w:cs="Arial"/>
                <w:b/>
                <w:color w:val="000000" w:themeColor="text1"/>
                <w:szCs w:val="20"/>
              </w:rPr>
              <w:t xml:space="preserve">to enable a </w:t>
            </w:r>
            <w:r>
              <w:rPr>
                <w:rFonts w:cs="Arial"/>
                <w:b/>
                <w:color w:val="000000" w:themeColor="text1"/>
                <w:szCs w:val="20"/>
              </w:rPr>
              <w:t xml:space="preserve">  virtual</w:t>
            </w:r>
            <w:r w:rsidRPr="00B3014F">
              <w:rPr>
                <w:rFonts w:cs="Arial"/>
                <w:b/>
                <w:color w:val="000000" w:themeColor="text1"/>
                <w:szCs w:val="20"/>
              </w:rPr>
              <w:t xml:space="preserve"> exercise</w:t>
            </w:r>
            <w:r w:rsidR="00EA726F">
              <w:rPr>
                <w:rFonts w:cs="Arial"/>
                <w:b/>
                <w:color w:val="000000" w:themeColor="text1"/>
                <w:szCs w:val="20"/>
              </w:rPr>
              <w:t xml:space="preserve"> (simulation) </w:t>
            </w:r>
            <w:r w:rsidRPr="00B3014F">
              <w:rPr>
                <w:rFonts w:cs="Arial"/>
                <w:b/>
                <w:color w:val="000000" w:themeColor="text1"/>
                <w:szCs w:val="20"/>
              </w:rPr>
              <w:t xml:space="preserve">of the end to end </w:t>
            </w:r>
            <w:r>
              <w:rPr>
                <w:rFonts w:cs="Arial"/>
                <w:b/>
                <w:color w:val="000000" w:themeColor="text1"/>
                <w:szCs w:val="20"/>
              </w:rPr>
              <w:t xml:space="preserve">strategic base </w:t>
            </w:r>
            <w:r w:rsidRPr="00B3014F">
              <w:rPr>
                <w:rFonts w:cs="Arial"/>
                <w:b/>
                <w:color w:val="000000" w:themeColor="text1"/>
                <w:szCs w:val="20"/>
              </w:rPr>
              <w:t xml:space="preserve">outload processes </w:t>
            </w:r>
            <w:r w:rsidR="00834CC0">
              <w:rPr>
                <w:rFonts w:cs="Arial"/>
                <w:b/>
                <w:color w:val="000000" w:themeColor="text1"/>
                <w:szCs w:val="20"/>
              </w:rPr>
              <w:t xml:space="preserve">to be carried out, </w:t>
            </w:r>
            <w:r w:rsidRPr="00B3014F">
              <w:rPr>
                <w:rFonts w:cs="Arial"/>
                <w:b/>
                <w:color w:val="000000" w:themeColor="text1"/>
                <w:szCs w:val="20"/>
              </w:rPr>
              <w:t>and provide recommendations regarding any require remedial activity</w:t>
            </w:r>
            <w:r>
              <w:rPr>
                <w:rFonts w:cs="Arial"/>
                <w:b/>
                <w:color w:val="000000" w:themeColor="text1"/>
                <w:szCs w:val="20"/>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FD02A2" w:rsidRDefault="00461723" w:rsidP="00A93D0D">
            <w:pPr>
              <w:spacing w:before="120" w:after="120" w:line="240" w:lineRule="auto"/>
              <w:jc w:val="center"/>
              <w:rPr>
                <w:rFonts w:cs="Arial"/>
                <w:b/>
                <w:color w:val="000000" w:themeColor="text1"/>
                <w:szCs w:val="20"/>
              </w:rPr>
            </w:pP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7a</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CC58EF">
            <w:pPr>
              <w:spacing w:before="120" w:after="120" w:line="240" w:lineRule="auto"/>
              <w:rPr>
                <w:rFonts w:cs="Arial"/>
                <w:color w:val="000000" w:themeColor="text1"/>
                <w:szCs w:val="20"/>
              </w:rPr>
            </w:pPr>
            <w:r>
              <w:rPr>
                <w:rFonts w:cs="Arial"/>
                <w:color w:val="000000" w:themeColor="text1"/>
                <w:szCs w:val="20"/>
              </w:rPr>
              <w:t xml:space="preserve">Establish the </w:t>
            </w:r>
            <w:r w:rsidRPr="0038619E">
              <w:rPr>
                <w:rFonts w:cs="Arial"/>
                <w:color w:val="000000" w:themeColor="text1"/>
                <w:szCs w:val="20"/>
              </w:rPr>
              <w:t>strategic objectives and the data architecture of the simulation</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March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7b</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rPr>
                <w:rFonts w:cs="Arial"/>
                <w:color w:val="000000" w:themeColor="text1"/>
                <w:szCs w:val="20"/>
              </w:rPr>
            </w:pPr>
            <w:r w:rsidRPr="0038619E">
              <w:rPr>
                <w:rFonts w:cs="Arial"/>
                <w:color w:val="000000" w:themeColor="text1"/>
                <w:szCs w:val="20"/>
              </w:rPr>
              <w:t>Undertake required data gathering and cleansing exercise</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March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sidRPr="0038619E">
              <w:rPr>
                <w:rFonts w:cs="Arial"/>
                <w:color w:val="000000" w:themeColor="text1"/>
                <w:szCs w:val="20"/>
              </w:rPr>
              <w:t>7c</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rPr>
                <w:rFonts w:cs="Arial"/>
                <w:color w:val="000000" w:themeColor="text1"/>
                <w:szCs w:val="20"/>
              </w:rPr>
            </w:pPr>
            <w:r w:rsidRPr="0038619E">
              <w:rPr>
                <w:rFonts w:cs="Arial"/>
                <w:color w:val="000000" w:themeColor="text1"/>
                <w:szCs w:val="20"/>
              </w:rPr>
              <w:t>Present a prototype and then undergo the full simulation</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CC58EF">
            <w:pPr>
              <w:spacing w:before="120" w:after="120" w:line="240" w:lineRule="auto"/>
              <w:jc w:val="center"/>
              <w:rPr>
                <w:rFonts w:cs="Arial"/>
                <w:color w:val="000000" w:themeColor="text1"/>
                <w:szCs w:val="20"/>
              </w:rPr>
            </w:pPr>
            <w:r>
              <w:rPr>
                <w:rFonts w:cs="Arial"/>
                <w:color w:val="000000" w:themeColor="text1"/>
                <w:szCs w:val="20"/>
              </w:rPr>
              <w:t>April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723" w:rsidRPr="00B3014F" w:rsidRDefault="00461723" w:rsidP="00A93D0D">
            <w:pPr>
              <w:spacing w:before="120" w:after="120" w:line="240" w:lineRule="auto"/>
              <w:jc w:val="center"/>
              <w:rPr>
                <w:rFonts w:cs="Arial"/>
                <w:b/>
                <w:color w:val="000000" w:themeColor="text1"/>
                <w:szCs w:val="20"/>
              </w:rPr>
            </w:pPr>
            <w:r w:rsidRPr="00B3014F">
              <w:rPr>
                <w:rFonts w:cs="Arial"/>
                <w:b/>
                <w:color w:val="000000" w:themeColor="text1"/>
                <w:szCs w:val="20"/>
              </w:rPr>
              <w:t>8</w:t>
            </w:r>
          </w:p>
        </w:tc>
        <w:tc>
          <w:tcPr>
            <w:tcW w:w="4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CC58EF" w:rsidRDefault="00461723" w:rsidP="00CC58EF">
            <w:pPr>
              <w:spacing w:before="120" w:after="120" w:line="240" w:lineRule="auto"/>
              <w:rPr>
                <w:rFonts w:cs="Arial"/>
                <w:b/>
                <w:szCs w:val="20"/>
              </w:rPr>
            </w:pPr>
            <w:r w:rsidRPr="00CC58EF">
              <w:rPr>
                <w:rFonts w:cs="Arial"/>
                <w:b/>
                <w:szCs w:val="20"/>
              </w:rPr>
              <w:t xml:space="preserve">Deliver an updated DSN Strategy </w:t>
            </w:r>
            <w:proofErr w:type="gramStart"/>
            <w:r w:rsidRPr="00CC58EF">
              <w:rPr>
                <w:rFonts w:cs="Arial"/>
                <w:b/>
                <w:szCs w:val="20"/>
              </w:rPr>
              <w:t>Paper .</w:t>
            </w:r>
            <w:proofErr w:type="gramEnd"/>
            <w:r w:rsidRPr="00CC58EF">
              <w:rPr>
                <w:rFonts w:cs="Arial"/>
                <w:b/>
                <w:szCs w:val="20"/>
              </w:rPr>
              <w:t xml:space="preserve"> As a minimum this should cover :</w:t>
            </w:r>
          </w:p>
          <w:p w:rsidR="00461723" w:rsidRPr="00CC58EF" w:rsidRDefault="00461723" w:rsidP="004729B2">
            <w:pPr>
              <w:pStyle w:val="ListParagraph"/>
              <w:numPr>
                <w:ilvl w:val="1"/>
                <w:numId w:val="2"/>
              </w:numPr>
              <w:ind w:left="0"/>
              <w:rPr>
                <w:b/>
                <w:bCs/>
                <w:i/>
                <w:iCs/>
              </w:rPr>
            </w:pPr>
            <w:r w:rsidRPr="00CC58EF">
              <w:t>What is driving the need to change</w:t>
            </w:r>
          </w:p>
          <w:p w:rsidR="00461723" w:rsidRPr="00CC58EF" w:rsidRDefault="00461723" w:rsidP="004729B2">
            <w:pPr>
              <w:pStyle w:val="ListParagraph"/>
              <w:numPr>
                <w:ilvl w:val="1"/>
                <w:numId w:val="2"/>
              </w:numPr>
              <w:ind w:left="0"/>
              <w:rPr>
                <w:b/>
                <w:bCs/>
                <w:i/>
                <w:iCs/>
              </w:rPr>
            </w:pPr>
            <w:r w:rsidRPr="00CC58EF">
              <w:t xml:space="preserve">The scale of the challenge </w:t>
            </w:r>
            <w:r>
              <w:t>–</w:t>
            </w:r>
            <w:r w:rsidRPr="00CC58EF">
              <w:t xml:space="preserve"> J</w:t>
            </w:r>
            <w:r>
              <w:t>oint Expeditionary Force 18 ( JEF 18) and Joint Force 2025 (</w:t>
            </w:r>
            <w:r w:rsidRPr="00CC58EF">
              <w:t>JF25)</w:t>
            </w:r>
          </w:p>
          <w:p w:rsidR="00461723" w:rsidRPr="00CC58EF" w:rsidRDefault="00461723" w:rsidP="004729B2">
            <w:pPr>
              <w:pStyle w:val="ListParagraph"/>
              <w:numPr>
                <w:ilvl w:val="1"/>
                <w:numId w:val="2"/>
              </w:numPr>
              <w:ind w:left="0"/>
              <w:rPr>
                <w:b/>
                <w:bCs/>
                <w:i/>
                <w:iCs/>
              </w:rPr>
            </w:pPr>
            <w:r w:rsidRPr="00CC58EF">
              <w:t xml:space="preserve">The scale of the opportunity.  This should demonstrate that there is value in delivering a transformed DSN including the case for a </w:t>
            </w:r>
            <w:r w:rsidRPr="00CC58EF">
              <w:rPr>
                <w:bCs/>
              </w:rPr>
              <w:t>focus on reduced lead times, reduced demand and greater coherence.</w:t>
            </w:r>
            <w:r w:rsidRPr="00CC58EF">
              <w:t xml:space="preserve"> </w:t>
            </w:r>
          </w:p>
          <w:p w:rsidR="00461723" w:rsidRPr="00CC58EF" w:rsidRDefault="00461723" w:rsidP="004729B2">
            <w:pPr>
              <w:pStyle w:val="ListParagraph"/>
              <w:numPr>
                <w:ilvl w:val="1"/>
                <w:numId w:val="2"/>
              </w:numPr>
              <w:ind w:left="0"/>
              <w:rPr>
                <w:b/>
                <w:bCs/>
                <w:i/>
                <w:iCs/>
              </w:rPr>
            </w:pPr>
            <w:r w:rsidRPr="00CC58EF">
              <w:t>How will success be measured -(what are the KPIs that the DLB will be given to assess the effectiveness of the DSN</w:t>
            </w:r>
          </w:p>
          <w:p w:rsidR="00461723" w:rsidRPr="004729B2" w:rsidRDefault="00461723" w:rsidP="004729B2">
            <w:pPr>
              <w:pStyle w:val="ListParagraph"/>
              <w:numPr>
                <w:ilvl w:val="1"/>
                <w:numId w:val="2"/>
              </w:numPr>
              <w:ind w:left="0"/>
              <w:rPr>
                <w:b/>
                <w:bCs/>
                <w:i/>
                <w:iCs/>
              </w:rPr>
            </w:pPr>
            <w:r>
              <w:t>The risks/cost of delay</w:t>
            </w:r>
          </w:p>
          <w:p w:rsidR="00461723" w:rsidRPr="00B3014F" w:rsidRDefault="00461723" w:rsidP="00CC58EF">
            <w:pPr>
              <w:spacing w:before="120" w:after="120" w:line="240" w:lineRule="auto"/>
              <w:rPr>
                <w:rFonts w:cs="Arial"/>
                <w:b/>
                <w:color w:val="FF0000"/>
                <w:szCs w:val="20"/>
              </w:rPr>
            </w:pPr>
            <w:r>
              <w:rPr>
                <w:rFonts w:cs="Arial"/>
                <w:b/>
                <w:color w:val="FF0000"/>
                <w:szCs w:val="20"/>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B3014F" w:rsidRDefault="00461723" w:rsidP="00A93D0D">
            <w:pPr>
              <w:spacing w:before="120" w:after="120" w:line="240" w:lineRule="auto"/>
              <w:jc w:val="center"/>
              <w:rPr>
                <w:rFonts w:cs="Arial"/>
                <w:b/>
                <w:color w:val="000000" w:themeColor="text1"/>
                <w:szCs w:val="20"/>
              </w:rPr>
            </w:pP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723" w:rsidRPr="00FD02A2" w:rsidRDefault="00461723" w:rsidP="00A93D0D">
            <w:pPr>
              <w:spacing w:before="120" w:after="120" w:line="240" w:lineRule="auto"/>
              <w:jc w:val="center"/>
              <w:rPr>
                <w:rFonts w:cs="Arial"/>
                <w:b/>
                <w:color w:val="000000" w:themeColor="text1"/>
                <w:szCs w:val="20"/>
              </w:rPr>
            </w:pPr>
          </w:p>
        </w:tc>
      </w:tr>
      <w:tr w:rsidR="00461723" w:rsidRPr="0038619E" w:rsidTr="00461723">
        <w:trPr>
          <w:trHeight w:val="757"/>
        </w:trPr>
        <w:tc>
          <w:tcPr>
            <w:tcW w:w="567" w:type="dxa"/>
            <w:tcBorders>
              <w:top w:val="single" w:sz="4" w:space="0" w:color="auto"/>
              <w:left w:val="single" w:sz="4" w:space="0" w:color="auto"/>
              <w:bottom w:val="single" w:sz="4" w:space="0" w:color="auto"/>
              <w:right w:val="single" w:sz="4" w:space="0" w:color="auto"/>
            </w:tcBorders>
            <w:vAlign w:val="center"/>
            <w:hideMark/>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8a</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4729B2">
            <w:pPr>
              <w:spacing w:before="120" w:after="120" w:line="240" w:lineRule="auto"/>
              <w:rPr>
                <w:rFonts w:cs="Arial"/>
                <w:color w:val="000000" w:themeColor="text1"/>
                <w:szCs w:val="20"/>
              </w:rPr>
            </w:pPr>
            <w:r>
              <w:rPr>
                <w:rFonts w:cs="Arial"/>
                <w:color w:val="000000" w:themeColor="text1"/>
                <w:szCs w:val="20"/>
              </w:rPr>
              <w:t xml:space="preserve">Final Draft   </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4729B2">
            <w:pPr>
              <w:spacing w:before="120" w:after="120" w:line="240" w:lineRule="auto"/>
              <w:jc w:val="center"/>
              <w:rPr>
                <w:rFonts w:cs="Arial"/>
                <w:color w:val="000000" w:themeColor="text1"/>
                <w:szCs w:val="20"/>
              </w:rPr>
            </w:pPr>
            <w:r>
              <w:rPr>
                <w:rFonts w:cs="Arial"/>
                <w:color w:val="000000" w:themeColor="text1"/>
                <w:szCs w:val="20"/>
              </w:rPr>
              <w:t>24 May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CA4A6E">
            <w:pPr>
              <w:spacing w:before="120" w:after="120" w:line="240" w:lineRule="auto"/>
              <w:jc w:val="center"/>
              <w:rPr>
                <w:rFonts w:cs="Arial"/>
                <w:color w:val="000000" w:themeColor="text1"/>
                <w:szCs w:val="20"/>
              </w:rPr>
            </w:pPr>
            <w:r>
              <w:rPr>
                <w:rFonts w:cs="Arial"/>
                <w:color w:val="000000" w:themeColor="text1"/>
                <w:szCs w:val="20"/>
              </w:rPr>
              <w:t>5</w:t>
            </w:r>
          </w:p>
        </w:tc>
      </w:tr>
      <w:tr w:rsidR="00461723" w:rsidRPr="0038619E" w:rsidTr="00461723">
        <w:trPr>
          <w:trHeight w:val="838"/>
        </w:trPr>
        <w:tc>
          <w:tcPr>
            <w:tcW w:w="567" w:type="dxa"/>
            <w:tcBorders>
              <w:top w:val="single" w:sz="4" w:space="0" w:color="auto"/>
              <w:left w:val="single" w:sz="4" w:space="0" w:color="auto"/>
              <w:bottom w:val="single" w:sz="4" w:space="0" w:color="auto"/>
              <w:right w:val="single" w:sz="4" w:space="0" w:color="auto"/>
            </w:tcBorders>
            <w:vAlign w:val="center"/>
          </w:tcPr>
          <w:p w:rsidR="00461723" w:rsidRDefault="00461723" w:rsidP="00CC58EF">
            <w:pPr>
              <w:spacing w:before="120" w:after="120" w:line="240" w:lineRule="auto"/>
              <w:jc w:val="center"/>
              <w:rPr>
                <w:rFonts w:cs="Arial"/>
                <w:color w:val="000000" w:themeColor="text1"/>
                <w:szCs w:val="20"/>
              </w:rPr>
            </w:pPr>
            <w:r>
              <w:rPr>
                <w:rFonts w:cs="Arial"/>
                <w:color w:val="000000" w:themeColor="text1"/>
                <w:szCs w:val="20"/>
              </w:rPr>
              <w:t>8b</w:t>
            </w:r>
          </w:p>
        </w:tc>
        <w:tc>
          <w:tcPr>
            <w:tcW w:w="4170"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CA4A6E">
            <w:pPr>
              <w:spacing w:before="120" w:after="120" w:line="240" w:lineRule="auto"/>
              <w:rPr>
                <w:rFonts w:cs="Arial"/>
                <w:color w:val="000000" w:themeColor="text1"/>
                <w:szCs w:val="20"/>
              </w:rPr>
            </w:pPr>
            <w:r>
              <w:rPr>
                <w:rFonts w:cs="Arial"/>
                <w:color w:val="000000" w:themeColor="text1"/>
                <w:szCs w:val="20"/>
              </w:rPr>
              <w:t xml:space="preserve">Final Paper  </w:t>
            </w:r>
          </w:p>
        </w:tc>
        <w:tc>
          <w:tcPr>
            <w:tcW w:w="1492" w:type="dxa"/>
            <w:tcBorders>
              <w:top w:val="single" w:sz="4" w:space="0" w:color="auto"/>
              <w:left w:val="single" w:sz="4" w:space="0" w:color="auto"/>
              <w:bottom w:val="single" w:sz="4" w:space="0" w:color="auto"/>
              <w:right w:val="single" w:sz="4" w:space="0" w:color="auto"/>
            </w:tcBorders>
            <w:vAlign w:val="center"/>
          </w:tcPr>
          <w:p w:rsidR="00461723" w:rsidRDefault="00461723" w:rsidP="004729B2">
            <w:pPr>
              <w:spacing w:before="120" w:after="120" w:line="240" w:lineRule="auto"/>
              <w:jc w:val="center"/>
              <w:rPr>
                <w:rFonts w:cs="Arial"/>
                <w:color w:val="000000" w:themeColor="text1"/>
                <w:szCs w:val="20"/>
              </w:rPr>
            </w:pPr>
            <w:r>
              <w:rPr>
                <w:rFonts w:cs="Arial"/>
                <w:color w:val="000000" w:themeColor="text1"/>
                <w:szCs w:val="20"/>
              </w:rPr>
              <w:t>29 May 2017</w:t>
            </w:r>
          </w:p>
        </w:tc>
        <w:tc>
          <w:tcPr>
            <w:tcW w:w="2956" w:type="dxa"/>
            <w:tcBorders>
              <w:top w:val="single" w:sz="4" w:space="0" w:color="auto"/>
              <w:left w:val="single" w:sz="4" w:space="0" w:color="auto"/>
              <w:bottom w:val="single" w:sz="4" w:space="0" w:color="auto"/>
              <w:right w:val="single" w:sz="4" w:space="0" w:color="auto"/>
            </w:tcBorders>
            <w:vAlign w:val="center"/>
          </w:tcPr>
          <w:p w:rsidR="00461723" w:rsidRPr="0038619E" w:rsidRDefault="00461723" w:rsidP="00A93D0D">
            <w:pPr>
              <w:spacing w:before="120" w:after="120" w:line="240" w:lineRule="auto"/>
              <w:jc w:val="center"/>
              <w:rPr>
                <w:rFonts w:cs="Arial"/>
                <w:color w:val="000000" w:themeColor="text1"/>
                <w:szCs w:val="20"/>
              </w:rPr>
            </w:pPr>
            <w:r>
              <w:rPr>
                <w:rFonts w:cs="Arial"/>
                <w:color w:val="000000" w:themeColor="text1"/>
                <w:szCs w:val="20"/>
              </w:rPr>
              <w:t>15</w:t>
            </w:r>
          </w:p>
        </w:tc>
      </w:tr>
    </w:tbl>
    <w:p w:rsidR="00FA7E8A" w:rsidRDefault="00FA7E8A" w:rsidP="008F4D0B"/>
    <w:sectPr w:rsidR="00FA7E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0E5" w:rsidRDefault="005820E5" w:rsidP="00980121">
      <w:pPr>
        <w:spacing w:after="0" w:line="240" w:lineRule="auto"/>
      </w:pPr>
      <w:r>
        <w:separator/>
      </w:r>
    </w:p>
  </w:endnote>
  <w:endnote w:type="continuationSeparator" w:id="0">
    <w:p w:rsidR="005820E5" w:rsidRDefault="005820E5" w:rsidP="0098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0E5" w:rsidRDefault="005820E5" w:rsidP="00980121">
      <w:pPr>
        <w:spacing w:after="0" w:line="240" w:lineRule="auto"/>
      </w:pPr>
      <w:r>
        <w:separator/>
      </w:r>
    </w:p>
  </w:footnote>
  <w:footnote w:type="continuationSeparator" w:id="0">
    <w:p w:rsidR="005820E5" w:rsidRDefault="005820E5" w:rsidP="0098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0B" w:rsidRDefault="008F4D0B" w:rsidP="008F4D0B">
    <w:pPr>
      <w:pStyle w:val="Header"/>
      <w:jc w:val="center"/>
    </w:pPr>
    <w:r w:rsidRPr="009D0EAE">
      <w:rPr>
        <w:noProof/>
        <w:sz w:val="20"/>
        <w:szCs w:val="20"/>
        <w:lang w:eastAsia="en-GB"/>
      </w:rPr>
      <w:drawing>
        <wp:anchor distT="0" distB="0" distL="114300" distR="114300" simplePos="0" relativeHeight="251659264" behindDoc="0" locked="0" layoutInCell="1" allowOverlap="1" wp14:anchorId="464AE4B9" wp14:editId="42355C68">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rsidR="008F4D0B" w:rsidRDefault="008F4D0B" w:rsidP="008F4D0B">
    <w:pPr>
      <w:pStyle w:val="Header"/>
      <w:tabs>
        <w:tab w:val="left" w:pos="1884"/>
        <w:tab w:val="center" w:pos="4680"/>
      </w:tabs>
    </w:pPr>
    <w:r>
      <w:rPr>
        <w:sz w:val="20"/>
        <w:szCs w:val="20"/>
      </w:rPr>
      <w:tab/>
    </w:r>
    <w:r>
      <w:rPr>
        <w:sz w:val="20"/>
        <w:szCs w:val="20"/>
      </w:rPr>
      <w:tab/>
    </w:r>
    <w:r>
      <w:t>Annex 1 to CCN16ABT – 01</w:t>
    </w:r>
  </w:p>
  <w:p w:rsidR="008F4D0B" w:rsidRPr="00B51DFB" w:rsidRDefault="008F4D0B" w:rsidP="008F4D0B">
    <w:pPr>
      <w:pStyle w:val="Header"/>
      <w:tabs>
        <w:tab w:val="left" w:pos="1884"/>
        <w:tab w:val="center" w:pos="4680"/>
      </w:tabs>
      <w:jc w:val="center"/>
    </w:pPr>
    <w:r w:rsidRPr="008F4D0B">
      <w:t>Specialist Support for the Defence Support Network (Transformation)</w:t>
    </w:r>
  </w:p>
  <w:p w:rsidR="008F4D0B" w:rsidRDefault="008F4D0B" w:rsidP="008F4D0B">
    <w:pPr>
      <w:pStyle w:val="Header"/>
      <w:jc w:val="center"/>
      <w:rPr>
        <w:rFonts w:cs="Arial"/>
      </w:rPr>
    </w:pPr>
    <w:r>
      <w:rPr>
        <w:rFonts w:cs="Arial"/>
      </w:rPr>
      <w:t>Contract Reference: RM3793 Contract Number: CCCC16ABT</w:t>
    </w:r>
  </w:p>
  <w:p w:rsidR="00980121" w:rsidRDefault="008F4D0B" w:rsidP="008F4D0B">
    <w:pPr>
      <w:pStyle w:val="Header"/>
      <w:jc w:val="center"/>
    </w:pPr>
    <w:r w:rsidRPr="008F4D0B">
      <w:t>Variation Ref: CCCC16ABT - 01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1AAB"/>
    <w:multiLevelType w:val="hybridMultilevel"/>
    <w:tmpl w:val="09B48E9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A30BFC"/>
    <w:multiLevelType w:val="hybridMultilevel"/>
    <w:tmpl w:val="E766E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41541C0"/>
    <w:multiLevelType w:val="multilevel"/>
    <w:tmpl w:val="4F48EE10"/>
    <w:lvl w:ilvl="0">
      <w:start w:val="1"/>
      <w:numFmt w:val="decimal"/>
      <w:pStyle w:val="Heading1"/>
      <w:lvlText w:val="%1"/>
      <w:lvlJc w:val="left"/>
      <w:pPr>
        <w:ind w:left="1134" w:hanging="1134"/>
      </w:pPr>
      <w:rPr>
        <w:b/>
      </w:rPr>
    </w:lvl>
    <w:lvl w:ilvl="1">
      <w:start w:val="1"/>
      <w:numFmt w:val="decimal"/>
      <w:pStyle w:val="Heading2"/>
      <w:lvlText w:val="%1.%2"/>
      <w:lvlJc w:val="left"/>
      <w:pPr>
        <w:ind w:left="1134" w:hanging="1134"/>
      </w:pPr>
      <w:rPr>
        <w:b w:val="0"/>
        <w:color w:val="000000" w:themeColor="text1"/>
        <w:sz w:val="22"/>
        <w:szCs w:val="22"/>
      </w:rPr>
    </w:lvl>
    <w:lvl w:ilvl="2">
      <w:start w:val="1"/>
      <w:numFmt w:val="decimal"/>
      <w:pStyle w:val="Heading3"/>
      <w:lvlText w:val="%1.%2.%3"/>
      <w:lvlJc w:val="left"/>
      <w:pPr>
        <w:ind w:left="2127" w:hanging="1134"/>
      </w:pPr>
      <w:rPr>
        <w:b w:val="0"/>
        <w:color w:val="000000" w:themeColor="text1"/>
        <w:sz w:val="22"/>
        <w:szCs w:val="22"/>
      </w:rPr>
    </w:lvl>
    <w:lvl w:ilvl="3">
      <w:start w:val="1"/>
      <w:numFmt w:val="decimal"/>
      <w:pStyle w:val="Heading4"/>
      <w:lvlText w:val="%1.%2.%3.%4"/>
      <w:lvlJc w:val="left"/>
      <w:pPr>
        <w:ind w:left="2126" w:firstLine="142"/>
      </w:pPr>
      <w:rPr>
        <w:b w:val="0"/>
      </w:rPr>
    </w:lvl>
    <w:lvl w:ilvl="4">
      <w:start w:val="1"/>
      <w:numFmt w:val="decimal"/>
      <w:pStyle w:val="Heading5"/>
      <w:lvlText w:val="%1.%2.%3.%4.%5"/>
      <w:lvlJc w:val="left"/>
      <w:pPr>
        <w:ind w:left="3827" w:firstLine="0"/>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9C"/>
    <w:rsid w:val="000143BB"/>
    <w:rsid w:val="00023B8E"/>
    <w:rsid w:val="0002404C"/>
    <w:rsid w:val="00035A90"/>
    <w:rsid w:val="000378EB"/>
    <w:rsid w:val="000645BB"/>
    <w:rsid w:val="00097D74"/>
    <w:rsid w:val="000A102F"/>
    <w:rsid w:val="000B1898"/>
    <w:rsid w:val="000E53CC"/>
    <w:rsid w:val="000F393F"/>
    <w:rsid w:val="0013292C"/>
    <w:rsid w:val="00176D4F"/>
    <w:rsid w:val="001C3DC7"/>
    <w:rsid w:val="001F3A11"/>
    <w:rsid w:val="001F7B90"/>
    <w:rsid w:val="0020230A"/>
    <w:rsid w:val="00204C49"/>
    <w:rsid w:val="002133D8"/>
    <w:rsid w:val="0023073F"/>
    <w:rsid w:val="00254947"/>
    <w:rsid w:val="00257A93"/>
    <w:rsid w:val="002715AD"/>
    <w:rsid w:val="00276902"/>
    <w:rsid w:val="0029380B"/>
    <w:rsid w:val="002A7835"/>
    <w:rsid w:val="002B5B37"/>
    <w:rsid w:val="002C4F1F"/>
    <w:rsid w:val="002D5312"/>
    <w:rsid w:val="002D6BF1"/>
    <w:rsid w:val="003052FB"/>
    <w:rsid w:val="00307A6E"/>
    <w:rsid w:val="00356E20"/>
    <w:rsid w:val="00363D1D"/>
    <w:rsid w:val="00375383"/>
    <w:rsid w:val="0038619E"/>
    <w:rsid w:val="003E5406"/>
    <w:rsid w:val="003F133E"/>
    <w:rsid w:val="003F29ED"/>
    <w:rsid w:val="003F52AA"/>
    <w:rsid w:val="00403099"/>
    <w:rsid w:val="00412C34"/>
    <w:rsid w:val="004173E0"/>
    <w:rsid w:val="00431F09"/>
    <w:rsid w:val="0044395B"/>
    <w:rsid w:val="00445FF9"/>
    <w:rsid w:val="00454F87"/>
    <w:rsid w:val="00461723"/>
    <w:rsid w:val="004665EB"/>
    <w:rsid w:val="004729B2"/>
    <w:rsid w:val="00483C40"/>
    <w:rsid w:val="004C3069"/>
    <w:rsid w:val="0051641C"/>
    <w:rsid w:val="005820E5"/>
    <w:rsid w:val="005911B7"/>
    <w:rsid w:val="005917F7"/>
    <w:rsid w:val="0059302C"/>
    <w:rsid w:val="005A5669"/>
    <w:rsid w:val="005A73E7"/>
    <w:rsid w:val="005B0544"/>
    <w:rsid w:val="005B20B3"/>
    <w:rsid w:val="005B7200"/>
    <w:rsid w:val="005D692C"/>
    <w:rsid w:val="005E49A5"/>
    <w:rsid w:val="00605AB0"/>
    <w:rsid w:val="0062742B"/>
    <w:rsid w:val="00635ECF"/>
    <w:rsid w:val="0065699F"/>
    <w:rsid w:val="00671A49"/>
    <w:rsid w:val="00683AC5"/>
    <w:rsid w:val="00685A12"/>
    <w:rsid w:val="006917F0"/>
    <w:rsid w:val="00696F6E"/>
    <w:rsid w:val="006A29E1"/>
    <w:rsid w:val="006A2FC7"/>
    <w:rsid w:val="006B188B"/>
    <w:rsid w:val="006C1738"/>
    <w:rsid w:val="006C3811"/>
    <w:rsid w:val="006E0658"/>
    <w:rsid w:val="007141EB"/>
    <w:rsid w:val="00721787"/>
    <w:rsid w:val="00740D93"/>
    <w:rsid w:val="00743918"/>
    <w:rsid w:val="00746799"/>
    <w:rsid w:val="007A1745"/>
    <w:rsid w:val="007B7DE1"/>
    <w:rsid w:val="007C3326"/>
    <w:rsid w:val="007E770C"/>
    <w:rsid w:val="007F2F54"/>
    <w:rsid w:val="00810BC0"/>
    <w:rsid w:val="0081444C"/>
    <w:rsid w:val="008147BB"/>
    <w:rsid w:val="00834CC0"/>
    <w:rsid w:val="00840B78"/>
    <w:rsid w:val="00845B22"/>
    <w:rsid w:val="008878DF"/>
    <w:rsid w:val="00893A38"/>
    <w:rsid w:val="008C0628"/>
    <w:rsid w:val="008C08F7"/>
    <w:rsid w:val="008E3287"/>
    <w:rsid w:val="008F0970"/>
    <w:rsid w:val="008F4D0B"/>
    <w:rsid w:val="00917C50"/>
    <w:rsid w:val="0092572D"/>
    <w:rsid w:val="00935C7F"/>
    <w:rsid w:val="00945CF3"/>
    <w:rsid w:val="009549F0"/>
    <w:rsid w:val="009769C2"/>
    <w:rsid w:val="00980121"/>
    <w:rsid w:val="009C2805"/>
    <w:rsid w:val="009E1D51"/>
    <w:rsid w:val="00A0108C"/>
    <w:rsid w:val="00A76B13"/>
    <w:rsid w:val="00A76DB7"/>
    <w:rsid w:val="00A92103"/>
    <w:rsid w:val="00A93D0D"/>
    <w:rsid w:val="00AA180F"/>
    <w:rsid w:val="00AA6E61"/>
    <w:rsid w:val="00B12F32"/>
    <w:rsid w:val="00B2162B"/>
    <w:rsid w:val="00B3014F"/>
    <w:rsid w:val="00B33BE7"/>
    <w:rsid w:val="00B42593"/>
    <w:rsid w:val="00B572C0"/>
    <w:rsid w:val="00B624A7"/>
    <w:rsid w:val="00B90438"/>
    <w:rsid w:val="00B93FDF"/>
    <w:rsid w:val="00B97D33"/>
    <w:rsid w:val="00BF1B8A"/>
    <w:rsid w:val="00BF1B8D"/>
    <w:rsid w:val="00C225CD"/>
    <w:rsid w:val="00C2265A"/>
    <w:rsid w:val="00C251AA"/>
    <w:rsid w:val="00C503E7"/>
    <w:rsid w:val="00C60FE5"/>
    <w:rsid w:val="00C620DA"/>
    <w:rsid w:val="00C75A5C"/>
    <w:rsid w:val="00C828E9"/>
    <w:rsid w:val="00C845C3"/>
    <w:rsid w:val="00C93485"/>
    <w:rsid w:val="00CA4A6E"/>
    <w:rsid w:val="00CB6E9C"/>
    <w:rsid w:val="00CC0CA3"/>
    <w:rsid w:val="00CC58EF"/>
    <w:rsid w:val="00CF61A2"/>
    <w:rsid w:val="00D01F92"/>
    <w:rsid w:val="00D04A07"/>
    <w:rsid w:val="00D10561"/>
    <w:rsid w:val="00D21ECD"/>
    <w:rsid w:val="00D34F23"/>
    <w:rsid w:val="00D4084D"/>
    <w:rsid w:val="00D43FBA"/>
    <w:rsid w:val="00D83239"/>
    <w:rsid w:val="00DA0004"/>
    <w:rsid w:val="00DA5EBC"/>
    <w:rsid w:val="00DC3958"/>
    <w:rsid w:val="00DC4DF7"/>
    <w:rsid w:val="00DF0CF8"/>
    <w:rsid w:val="00DF0FB7"/>
    <w:rsid w:val="00E00D61"/>
    <w:rsid w:val="00E16463"/>
    <w:rsid w:val="00E335BE"/>
    <w:rsid w:val="00E342C6"/>
    <w:rsid w:val="00E36990"/>
    <w:rsid w:val="00E41B87"/>
    <w:rsid w:val="00E461CE"/>
    <w:rsid w:val="00E73104"/>
    <w:rsid w:val="00E82831"/>
    <w:rsid w:val="00E933D4"/>
    <w:rsid w:val="00EA49E7"/>
    <w:rsid w:val="00EA726F"/>
    <w:rsid w:val="00EB48EE"/>
    <w:rsid w:val="00ED136E"/>
    <w:rsid w:val="00ED15A4"/>
    <w:rsid w:val="00EF180E"/>
    <w:rsid w:val="00F23C43"/>
    <w:rsid w:val="00F272ED"/>
    <w:rsid w:val="00F51F02"/>
    <w:rsid w:val="00F73606"/>
    <w:rsid w:val="00F92194"/>
    <w:rsid w:val="00FA081C"/>
    <w:rsid w:val="00FA7E8A"/>
    <w:rsid w:val="00FB0A5C"/>
    <w:rsid w:val="00FB7CDE"/>
    <w:rsid w:val="00FD02A2"/>
    <w:rsid w:val="00FD661D"/>
    <w:rsid w:val="00FE7B2A"/>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260D5-CFC8-435A-B85D-C9B9F5B4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E9C"/>
    <w:pPr>
      <w:spacing w:line="256" w:lineRule="auto"/>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CB6E9C"/>
    <w:pPr>
      <w:keepNext/>
      <w:numPr>
        <w:numId w:val="1"/>
      </w:numPr>
      <w:adjustRightInd w:val="0"/>
      <w:spacing w:after="240" w:line="240" w:lineRule="auto"/>
      <w:jc w:val="both"/>
      <w:outlineLvl w:val="0"/>
    </w:pPr>
    <w:rPr>
      <w:rFonts w:ascii="Arial" w:eastAsia="STZhongsong" w:hAnsi="Arial" w:cs="Times New Roman"/>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semiHidden/>
    <w:unhideWhenUsed/>
    <w:qFormat/>
    <w:rsid w:val="00CB6E9C"/>
    <w:pPr>
      <w:numPr>
        <w:ilvl w:val="1"/>
        <w:numId w:val="1"/>
      </w:numPr>
      <w:adjustRightInd w:val="0"/>
      <w:spacing w:after="240" w:line="240" w:lineRule="auto"/>
      <w:jc w:val="both"/>
      <w:outlineLvl w:val="1"/>
    </w:pPr>
    <w:rPr>
      <w:rFonts w:ascii="Arial" w:eastAsia="STZhongsong" w:hAnsi="Arial" w:cs="Times New Roman"/>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CB6E9C"/>
    <w:pPr>
      <w:numPr>
        <w:ilvl w:val="2"/>
        <w:numId w:val="1"/>
      </w:numPr>
      <w:adjustRightInd w:val="0"/>
      <w:spacing w:after="240" w:line="240" w:lineRule="auto"/>
      <w:jc w:val="both"/>
      <w:outlineLvl w:val="2"/>
    </w:pPr>
    <w:rPr>
      <w:rFonts w:ascii="Arial" w:eastAsia="STZhongsong" w:hAnsi="Arial" w:cs="Times New Roman"/>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semiHidden/>
    <w:unhideWhenUsed/>
    <w:qFormat/>
    <w:rsid w:val="00CB6E9C"/>
    <w:pPr>
      <w:numPr>
        <w:ilvl w:val="3"/>
        <w:numId w:val="1"/>
      </w:numPr>
      <w:adjustRightInd w:val="0"/>
      <w:spacing w:after="240" w:line="240" w:lineRule="auto"/>
      <w:jc w:val="both"/>
      <w:outlineLvl w:val="3"/>
    </w:pPr>
    <w:rPr>
      <w:rFonts w:ascii="Arial" w:eastAsia="STZhongsong" w:hAnsi="Arial" w:cs="Times New Roman"/>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CB6E9C"/>
    <w:pPr>
      <w:numPr>
        <w:ilvl w:val="4"/>
        <w:numId w:val="1"/>
      </w:numPr>
      <w:adjustRightInd w:val="0"/>
      <w:spacing w:after="240" w:line="240" w:lineRule="auto"/>
      <w:jc w:val="both"/>
      <w:outlineLvl w:val="4"/>
    </w:pPr>
    <w:rPr>
      <w:rFonts w:ascii="Arial" w:eastAsia="STZhongsong" w:hAnsi="Arial" w:cs="Times New Roman"/>
      <w:szCs w:val="24"/>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CB6E9C"/>
    <w:pPr>
      <w:numPr>
        <w:ilvl w:val="5"/>
        <w:numId w:val="1"/>
      </w:numPr>
      <w:adjustRightInd w:val="0"/>
      <w:spacing w:after="240" w:line="240" w:lineRule="auto"/>
      <w:jc w:val="both"/>
      <w:outlineLvl w:val="5"/>
    </w:pPr>
    <w:rPr>
      <w:rFonts w:ascii="Arial" w:eastAsia="STZhongsong" w:hAnsi="Arial" w:cs="Times New Roman"/>
      <w:szCs w:val="24"/>
      <w:lang w:eastAsia="zh-CN"/>
    </w:rPr>
  </w:style>
  <w:style w:type="paragraph" w:styleId="Heading7">
    <w:name w:val="heading 7"/>
    <w:aliases w:val="Heading 7 (Do Not Use),Heading 7(unused),Legal Level 1.1.,L2 PIP,Lev 7,H7DO NOT USE,PA Appendix Major"/>
    <w:basedOn w:val="Normal"/>
    <w:link w:val="Heading7Char"/>
    <w:uiPriority w:val="9"/>
    <w:semiHidden/>
    <w:unhideWhenUsed/>
    <w:qFormat/>
    <w:rsid w:val="00CB6E9C"/>
    <w:pPr>
      <w:numPr>
        <w:ilvl w:val="6"/>
        <w:numId w:val="1"/>
      </w:numPr>
      <w:adjustRightInd w:val="0"/>
      <w:spacing w:after="240" w:line="240" w:lineRule="auto"/>
      <w:jc w:val="both"/>
      <w:outlineLvl w:val="6"/>
    </w:pPr>
    <w:rPr>
      <w:rFonts w:ascii="Arial" w:eastAsia="STZhongsong" w:hAnsi="Arial" w:cs="Times New Roman"/>
      <w:szCs w:val="24"/>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CB6E9C"/>
    <w:pPr>
      <w:numPr>
        <w:ilvl w:val="7"/>
        <w:numId w:val="1"/>
      </w:numPr>
      <w:adjustRightInd w:val="0"/>
      <w:spacing w:after="240" w:line="240" w:lineRule="auto"/>
      <w:jc w:val="both"/>
      <w:outlineLvl w:val="7"/>
    </w:pPr>
    <w:rPr>
      <w:rFonts w:ascii="Arial" w:eastAsia="STZhongsong" w:hAnsi="Arial" w:cs="Times New Roman"/>
      <w:szCs w:val="24"/>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CB6E9C"/>
    <w:pPr>
      <w:numPr>
        <w:ilvl w:val="8"/>
        <w:numId w:val="1"/>
      </w:numPr>
      <w:adjustRightInd w:val="0"/>
      <w:spacing w:after="240" w:line="240" w:lineRule="auto"/>
      <w:jc w:val="both"/>
      <w:outlineLvl w:val="8"/>
    </w:pPr>
    <w:rPr>
      <w:rFonts w:ascii="Arial" w:eastAsia="STZhongsong"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CB6E9C"/>
    <w:rPr>
      <w:rFonts w:ascii="Arial" w:eastAsia="STZhongsong" w:hAnsi="Arial" w:cs="Times New Roman"/>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CB6E9C"/>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CB6E9C"/>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CB6E9C"/>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CB6E9C"/>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CB6E9C"/>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semiHidden/>
    <w:rsid w:val="00CB6E9C"/>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CB6E9C"/>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CB6E9C"/>
    <w:rPr>
      <w:rFonts w:ascii="Arial" w:eastAsia="STZhongsong" w:hAnsi="Arial" w:cs="Times New Roman"/>
      <w:szCs w:val="24"/>
      <w:lang w:eastAsia="zh-CN"/>
    </w:rPr>
  </w:style>
  <w:style w:type="table" w:styleId="TableGrid">
    <w:name w:val="Table Grid"/>
    <w:basedOn w:val="TableNormal"/>
    <w:uiPriority w:val="39"/>
    <w:rsid w:val="00CB6E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8EF"/>
    <w:pPr>
      <w:spacing w:after="0" w:line="240" w:lineRule="auto"/>
      <w:ind w:left="720"/>
    </w:pPr>
    <w:rPr>
      <w:rFonts w:ascii="Calibri" w:hAnsi="Calibri" w:cs="Times New Roman"/>
    </w:rPr>
  </w:style>
  <w:style w:type="paragraph" w:styleId="Header">
    <w:name w:val="header"/>
    <w:basedOn w:val="Normal"/>
    <w:link w:val="HeaderChar"/>
    <w:uiPriority w:val="99"/>
    <w:unhideWhenUsed/>
    <w:rsid w:val="00980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21"/>
  </w:style>
  <w:style w:type="paragraph" w:styleId="Footer">
    <w:name w:val="footer"/>
    <w:basedOn w:val="Normal"/>
    <w:link w:val="FooterChar"/>
    <w:uiPriority w:val="99"/>
    <w:unhideWhenUsed/>
    <w:rsid w:val="00980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0473">
      <w:bodyDiv w:val="1"/>
      <w:marLeft w:val="0"/>
      <w:marRight w:val="0"/>
      <w:marTop w:val="0"/>
      <w:marBottom w:val="0"/>
      <w:divBdr>
        <w:top w:val="none" w:sz="0" w:space="0" w:color="auto"/>
        <w:left w:val="none" w:sz="0" w:space="0" w:color="auto"/>
        <w:bottom w:val="none" w:sz="0" w:space="0" w:color="auto"/>
        <w:right w:val="none" w:sz="0" w:space="0" w:color="auto"/>
      </w:divBdr>
    </w:div>
    <w:div w:id="739330735">
      <w:bodyDiv w:val="1"/>
      <w:marLeft w:val="0"/>
      <w:marRight w:val="0"/>
      <w:marTop w:val="0"/>
      <w:marBottom w:val="0"/>
      <w:divBdr>
        <w:top w:val="none" w:sz="0" w:space="0" w:color="auto"/>
        <w:left w:val="none" w:sz="0" w:space="0" w:color="auto"/>
        <w:bottom w:val="none" w:sz="0" w:space="0" w:color="auto"/>
        <w:right w:val="none" w:sz="0" w:space="0" w:color="auto"/>
      </w:divBdr>
    </w:div>
    <w:div w:id="20008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John P (UK - Bristol)</dc:creator>
  <cp:lastModifiedBy>Julia Aldous</cp:lastModifiedBy>
  <cp:revision>6</cp:revision>
  <dcterms:created xsi:type="dcterms:W3CDTF">2017-05-09T09:29:00Z</dcterms:created>
  <dcterms:modified xsi:type="dcterms:W3CDTF">2017-05-26T10:29:00Z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