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DE1" w:rsidRPr="009A3DE1" w:rsidRDefault="00FB1C2F" w:rsidP="007429E5">
      <w:pPr>
        <w:jc w:val="center"/>
        <w:rPr>
          <w:b/>
          <w:sz w:val="28"/>
        </w:rPr>
      </w:pPr>
      <w:r w:rsidRPr="009A3DE1">
        <w:rPr>
          <w:b/>
          <w:sz w:val="28"/>
        </w:rPr>
        <w:t>Houn</w:t>
      </w:r>
      <w:r w:rsidR="00717C58">
        <w:rPr>
          <w:b/>
          <w:sz w:val="28"/>
        </w:rPr>
        <w:t>slow integrated consultant led community p</w:t>
      </w:r>
      <w:r w:rsidRPr="009A3DE1">
        <w:rPr>
          <w:b/>
          <w:sz w:val="28"/>
        </w:rPr>
        <w:t>ulmonary rehabilitation, home oxygen assessment and specialist nurse support service</w:t>
      </w:r>
    </w:p>
    <w:p w:rsidR="00FB1C2F" w:rsidRDefault="00FB1C2F" w:rsidP="007429E5">
      <w:pPr>
        <w:jc w:val="center"/>
        <w:rPr>
          <w:b/>
          <w:sz w:val="28"/>
          <w:u w:val="single"/>
        </w:rPr>
      </w:pPr>
      <w:r>
        <w:rPr>
          <w:b/>
          <w:sz w:val="28"/>
          <w:u w:val="single"/>
        </w:rPr>
        <w:t xml:space="preserve"> </w:t>
      </w:r>
      <w:r w:rsidR="00AA06CF" w:rsidRPr="007429E5">
        <w:rPr>
          <w:b/>
          <w:sz w:val="28"/>
          <w:u w:val="single"/>
        </w:rPr>
        <w:t xml:space="preserve"> </w:t>
      </w:r>
    </w:p>
    <w:p w:rsidR="006628AC" w:rsidRPr="009A3DE1" w:rsidRDefault="00AA06CF" w:rsidP="007429E5">
      <w:pPr>
        <w:jc w:val="center"/>
        <w:rPr>
          <w:b/>
          <w:sz w:val="28"/>
        </w:rPr>
      </w:pPr>
      <w:r w:rsidRPr="009A3DE1">
        <w:rPr>
          <w:b/>
          <w:sz w:val="28"/>
        </w:rPr>
        <w:t>M</w:t>
      </w:r>
      <w:r w:rsidR="00FB1C2F" w:rsidRPr="009A3DE1">
        <w:rPr>
          <w:b/>
          <w:sz w:val="28"/>
        </w:rPr>
        <w:t xml:space="preserve">emorandum </w:t>
      </w:r>
      <w:r w:rsidR="009A3DE1">
        <w:rPr>
          <w:b/>
          <w:sz w:val="28"/>
        </w:rPr>
        <w:t>o</w:t>
      </w:r>
      <w:r w:rsidR="00FB1C2F" w:rsidRPr="009A3DE1">
        <w:rPr>
          <w:b/>
          <w:sz w:val="28"/>
        </w:rPr>
        <w:t xml:space="preserve">f </w:t>
      </w:r>
      <w:r w:rsidRPr="009A3DE1">
        <w:rPr>
          <w:b/>
          <w:sz w:val="28"/>
        </w:rPr>
        <w:t>I</w:t>
      </w:r>
      <w:r w:rsidR="00FB1C2F" w:rsidRPr="009A3DE1">
        <w:rPr>
          <w:b/>
          <w:sz w:val="28"/>
        </w:rPr>
        <w:t>nformation</w:t>
      </w:r>
      <w:r w:rsidRPr="009A3DE1">
        <w:rPr>
          <w:b/>
          <w:sz w:val="28"/>
        </w:rPr>
        <w:t xml:space="preserve"> </w:t>
      </w:r>
    </w:p>
    <w:p w:rsidR="00AA06CF" w:rsidRDefault="00AA06CF" w:rsidP="007429E5">
      <w:pPr>
        <w:jc w:val="both"/>
        <w:rPr>
          <w:b/>
        </w:rPr>
      </w:pPr>
    </w:p>
    <w:p w:rsidR="003B0F26" w:rsidRDefault="00271EF3" w:rsidP="00FD5EBF">
      <w:pPr>
        <w:jc w:val="center"/>
        <w:rPr>
          <w:b/>
        </w:rPr>
      </w:pPr>
      <w:r w:rsidRPr="00271EF3">
        <w:rPr>
          <w:b/>
        </w:rPr>
        <w:t>TRANSFORMING HEALTHCARE IN NORTH WEST LONDON</w:t>
      </w:r>
    </w:p>
    <w:p w:rsidR="00271EF3" w:rsidRDefault="00271EF3" w:rsidP="007429E5">
      <w:pPr>
        <w:jc w:val="both"/>
        <w:rPr>
          <w:b/>
        </w:rPr>
      </w:pPr>
    </w:p>
    <w:p w:rsidR="003B0F26" w:rsidRDefault="003B0F26" w:rsidP="007429E5">
      <w:pPr>
        <w:jc w:val="both"/>
      </w:pPr>
      <w:r>
        <w:t xml:space="preserve">People living and working in North West London want a healthcare system that supports them to understand their health and wellbeing, provides high quality personalised care at a time and in a place convenient to them, and for this care to be coordinated and simple to understand. We know our system faces challenges in meeting these needs: our population is ageing; people are living longer with more conditions; care is fragmented; we have workforce shortages; there aren’t enough services based in the community. </w:t>
      </w:r>
    </w:p>
    <w:p w:rsidR="003B0F26" w:rsidRDefault="003B0F26" w:rsidP="007429E5">
      <w:pPr>
        <w:jc w:val="both"/>
        <w:rPr>
          <w:b/>
        </w:rPr>
      </w:pPr>
    </w:p>
    <w:p w:rsidR="0060615B" w:rsidRPr="007F5A2C" w:rsidRDefault="007F5A2C" w:rsidP="007F5A2C">
      <w:pPr>
        <w:jc w:val="both"/>
      </w:pPr>
      <w:r w:rsidRPr="007F5A2C">
        <w:t>The NHS Five Year Forward View (October 2014) emphasises the need to break down barriers in how care is provided; with far more care delivered locally, supported by specialist c</w:t>
      </w:r>
      <w:r>
        <w:t xml:space="preserve">entres for more complex needs. </w:t>
      </w:r>
      <w:r w:rsidRPr="007F5A2C">
        <w:t>The provision of a more integrated respiratory care in the community is a step towards meeting this objective of care closer to patients and primary care and will have significant benefits; providing a more convenient service to patients and helping to relieve the pressure on secondary care services, focusing the most complex respiratory diagnostics and treatments in secondary care.</w:t>
      </w:r>
    </w:p>
    <w:p w:rsidR="00214748" w:rsidRPr="00AA06CF" w:rsidRDefault="00214748" w:rsidP="007429E5">
      <w:pPr>
        <w:jc w:val="both"/>
        <w:rPr>
          <w:b/>
        </w:rPr>
      </w:pPr>
    </w:p>
    <w:p w:rsidR="007A495D" w:rsidRPr="007A495D" w:rsidRDefault="007A495D" w:rsidP="007A495D">
      <w:pPr>
        <w:jc w:val="both"/>
      </w:pPr>
      <w:r w:rsidRPr="007A495D">
        <w:t xml:space="preserve">For many years, the NHS has been increasing its focus on improving the provision, access and quality of care provided outside of an acute hospital setting. NHS England Guidance (2013) highlights that in order to meet the needs of our population, it is not possible to maintain the current duplication and fragmentation of care which drains resources and does not offer consistently high quality and cost effective care. The guidance states that; </w:t>
      </w:r>
      <w:r w:rsidRPr="007A495D">
        <w:rPr>
          <w:i/>
        </w:rPr>
        <w:t>‘without transformational change in how services are delivered, a high quality, yet free at the point of use health service will not be available to future generations.’</w:t>
      </w:r>
    </w:p>
    <w:p w:rsidR="007A495D" w:rsidRPr="007A495D" w:rsidRDefault="007A495D" w:rsidP="007A495D">
      <w:pPr>
        <w:jc w:val="both"/>
      </w:pPr>
    </w:p>
    <w:p w:rsidR="007A495D" w:rsidRPr="007A495D" w:rsidRDefault="007A495D" w:rsidP="007A495D">
      <w:pPr>
        <w:jc w:val="both"/>
      </w:pPr>
      <w:r w:rsidRPr="007A495D">
        <w:t xml:space="preserve">The NHS Five Year Forward View (October 2014) emphasises the need to break down barriers in how care is provided; with far more care delivered locally, supported by specialist centres for more complex needs. </w:t>
      </w:r>
    </w:p>
    <w:p w:rsidR="007A495D" w:rsidRPr="007A495D" w:rsidRDefault="007A495D" w:rsidP="007A495D">
      <w:pPr>
        <w:jc w:val="both"/>
      </w:pPr>
    </w:p>
    <w:p w:rsidR="007A495D" w:rsidRPr="007A495D" w:rsidRDefault="007A495D" w:rsidP="007A495D">
      <w:pPr>
        <w:jc w:val="both"/>
      </w:pPr>
      <w:r w:rsidRPr="007A495D">
        <w:t xml:space="preserve">The provision of a more integrated respiratory </w:t>
      </w:r>
      <w:r w:rsidR="00AB3D89">
        <w:t xml:space="preserve">service </w:t>
      </w:r>
      <w:r w:rsidRPr="007A495D">
        <w:t>in the community is a step towards meeting this objective of care closer to patients and primary care and will have significant benefits; providing a more convenient service to patients and helping to relieve the pressure on secondary care services, focusing the most complex respiratory diagnostics and treatments in secondary care.</w:t>
      </w:r>
    </w:p>
    <w:p w:rsidR="0060615B" w:rsidRDefault="0060615B" w:rsidP="007429E5">
      <w:pPr>
        <w:jc w:val="both"/>
        <w:rPr>
          <w:b/>
        </w:rPr>
      </w:pPr>
    </w:p>
    <w:p w:rsidR="007A495D" w:rsidRPr="007A495D" w:rsidRDefault="007A495D" w:rsidP="007A495D">
      <w:pPr>
        <w:jc w:val="both"/>
      </w:pPr>
      <w:r w:rsidRPr="007A495D">
        <w:t>Respiratory diseases are a major cause of morbidity and mortality and place significant demand on NHS resources. Chronic Obstructive Pulmonary Disease (COPD) accounts for a substantial number of deaths in Great Britain: it has consistently given rise to between 25,000 and 30,000 deaths each year over the last 25 years with 15% of those admitted to hospital dying within 3 months of admission, 25% dying within 12 months and 50% dying within 2 years. The number of people suffering from the disease at any given time (prevalence) is difficult to estimate because of different definitions of the disease and under-diagnosis. One recent estimate suggested that there are currently 900,000 diagnosed cases in England and Wales and that, allowing for under-diagnosis, the true prevalence could be 2.8 million.</w:t>
      </w:r>
    </w:p>
    <w:p w:rsidR="007A495D" w:rsidRPr="007A495D" w:rsidRDefault="007A495D" w:rsidP="007A495D">
      <w:pPr>
        <w:jc w:val="both"/>
      </w:pPr>
    </w:p>
    <w:p w:rsidR="007A495D" w:rsidRPr="007A495D" w:rsidRDefault="007A495D" w:rsidP="007A495D">
      <w:pPr>
        <w:jc w:val="both"/>
      </w:pPr>
      <w:r w:rsidRPr="007A495D">
        <w:lastRenderedPageBreak/>
        <w:t>In England, COPD is the second most common cause of emergency admissions and one of the most costly inpatient conditions to be treated. It is estimated that the direct cost of providing care in the NHS for people with COPD is almost £500 million a year, more than half of which relates to hospital care. The estimated annual cost of treating people with mild COPD is £149 and £1,307 for a person with severe COPD. COPD is a term used to describe a progressive and irreversible decline in lung function which results in reduced airflow in the lungs.</w:t>
      </w:r>
    </w:p>
    <w:p w:rsidR="007A495D" w:rsidRPr="007A495D" w:rsidRDefault="007A495D" w:rsidP="007A495D">
      <w:pPr>
        <w:jc w:val="both"/>
      </w:pPr>
    </w:p>
    <w:p w:rsidR="007A495D" w:rsidRPr="007A495D" w:rsidRDefault="007A495D" w:rsidP="007A495D">
      <w:pPr>
        <w:jc w:val="both"/>
      </w:pPr>
      <w:r w:rsidRPr="007A495D">
        <w:t>The national aspiration is to reduce the number of people with COPD dying prematurely. It requires proactive care and management at all stages of the disease, with a particular focus on disadvantaged groups and areas with high prevalence. The aim is to improve respiratory health and wellbeing of all communities and to minimise inequalities between communities.</w:t>
      </w:r>
    </w:p>
    <w:p w:rsidR="007A495D" w:rsidRPr="007A495D" w:rsidRDefault="007A495D" w:rsidP="007A495D">
      <w:pPr>
        <w:jc w:val="both"/>
      </w:pPr>
    </w:p>
    <w:p w:rsidR="007A495D" w:rsidRPr="007A495D" w:rsidRDefault="007A495D" w:rsidP="007A495D">
      <w:pPr>
        <w:jc w:val="both"/>
      </w:pPr>
      <w:r w:rsidRPr="007A495D">
        <w:t>The 2011 Outcomes Strategy for COPD and Asthma recommends a proactive approach to prevention, early identification, diagnosis and intervention. Integration is required across the NHS, Public Health and Social Care services to achieve the goal of a positive, enabling, experience of care and support right through to the end of life.</w:t>
      </w:r>
    </w:p>
    <w:p w:rsidR="0060615B" w:rsidRDefault="0060615B" w:rsidP="007429E5">
      <w:pPr>
        <w:jc w:val="both"/>
        <w:rPr>
          <w:b/>
        </w:rPr>
      </w:pPr>
    </w:p>
    <w:p w:rsidR="0060615B" w:rsidRPr="00AA06CF" w:rsidRDefault="00F9776F" w:rsidP="007429E5">
      <w:pPr>
        <w:jc w:val="both"/>
        <w:rPr>
          <w:b/>
        </w:rPr>
      </w:pPr>
      <w:r>
        <w:rPr>
          <w:b/>
        </w:rPr>
        <w:t>LOCAL STRATEGIC PRIORITIES</w:t>
      </w:r>
    </w:p>
    <w:p w:rsidR="0060615B" w:rsidRDefault="0060615B" w:rsidP="007429E5">
      <w:pPr>
        <w:jc w:val="both"/>
      </w:pPr>
    </w:p>
    <w:p w:rsidR="008D344C" w:rsidRPr="008D344C" w:rsidRDefault="008D344C" w:rsidP="008D344C">
      <w:pPr>
        <w:jc w:val="both"/>
      </w:pPr>
      <w:r w:rsidRPr="008D344C">
        <w:t xml:space="preserve">The commissioning of a Hounslow Integrated Consultant Led Community Pulmonary Rehabilitation, Home Oxygen Assessment and Specialist Nurse Support Service will support Delivery Area 2 (DA2) of the North West London Sustainability and Transformation Plan (STP). </w:t>
      </w:r>
    </w:p>
    <w:p w:rsidR="008D344C" w:rsidRPr="008D344C" w:rsidRDefault="008D344C" w:rsidP="008D344C">
      <w:pPr>
        <w:jc w:val="both"/>
      </w:pPr>
    </w:p>
    <w:p w:rsidR="008D344C" w:rsidRPr="008D344C" w:rsidRDefault="008D344C" w:rsidP="008D344C">
      <w:pPr>
        <w:jc w:val="both"/>
      </w:pPr>
      <w:r w:rsidRPr="008D344C">
        <w:t xml:space="preserve">As well as cross-over into other areas of deliverables within DA2 of the STP, the Hounslow respiratory service will by 2022 be aimed at supporting the achievement of Part C deliverables, these have been stated with the STP as: </w:t>
      </w:r>
    </w:p>
    <w:p w:rsidR="008D344C" w:rsidRPr="008D344C" w:rsidRDefault="008D344C" w:rsidP="008D344C">
      <w:pPr>
        <w:jc w:val="both"/>
        <w:rPr>
          <w:u w:val="single"/>
        </w:rPr>
      </w:pPr>
    </w:p>
    <w:p w:rsidR="008D344C" w:rsidRPr="008D344C" w:rsidRDefault="008D344C" w:rsidP="008D344C">
      <w:pPr>
        <w:jc w:val="both"/>
        <w:rPr>
          <w:u w:val="single"/>
        </w:rPr>
      </w:pPr>
      <w:r w:rsidRPr="008D344C">
        <w:rPr>
          <w:noProof/>
          <w:u w:val="single"/>
          <w:lang w:eastAsia="en-GB"/>
        </w:rPr>
        <mc:AlternateContent>
          <mc:Choice Requires="wps">
            <w:drawing>
              <wp:anchor distT="0" distB="0" distL="114300" distR="114300" simplePos="0" relativeHeight="251659264" behindDoc="0" locked="0" layoutInCell="1" allowOverlap="1" wp14:anchorId="61AD6B9C" wp14:editId="55062B7E">
                <wp:simplePos x="0" y="0"/>
                <wp:positionH relativeFrom="column">
                  <wp:posOffset>2326005</wp:posOffset>
                </wp:positionH>
                <wp:positionV relativeFrom="paragraph">
                  <wp:posOffset>941070</wp:posOffset>
                </wp:positionV>
                <wp:extent cx="3914775" cy="9620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914775" cy="962025"/>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83.15pt;margin-top:74.1pt;width:308.25pt;height:7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" filled="f" strokecolor="red" strokeweight=".5pt"/>
            </w:pict>
          </mc:Fallback>
        </mc:AlternateContent>
      </w:r>
      <w:r w:rsidRPr="008D344C">
        <w:rPr>
          <w:noProof/>
          <w:u w:val="single"/>
          <w:lang w:eastAsia="en-GB"/>
        </w:rPr>
        <w:drawing>
          <wp:inline distT="0" distB="0" distL="0" distR="0" wp14:anchorId="68BF6939" wp14:editId="1234917E">
            <wp:extent cx="6241311" cy="299582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33001" r="38017" b="26083"/>
                    <a:stretch/>
                  </pic:blipFill>
                  <pic:spPr bwMode="auto">
                    <a:xfrm>
                      <a:off x="0" y="0"/>
                      <a:ext cx="6240143" cy="2995268"/>
                    </a:xfrm>
                    <a:prstGeom prst="rect">
                      <a:avLst/>
                    </a:prstGeom>
                    <a:noFill/>
                    <a:ln>
                      <a:noFill/>
                    </a:ln>
                    <a:extLst>
                      <a:ext uri="{53640926-AAD7-44D8-BBD7-CCE9431645EC}">
                        <a14:shadowObscured xmlns:a14="http://schemas.microsoft.com/office/drawing/2010/main"/>
                      </a:ext>
                    </a:extLst>
                  </pic:spPr>
                </pic:pic>
              </a:graphicData>
            </a:graphic>
          </wp:inline>
        </w:drawing>
      </w:r>
    </w:p>
    <w:p w:rsidR="008D344C" w:rsidRPr="008D344C" w:rsidRDefault="008D344C" w:rsidP="008D344C">
      <w:pPr>
        <w:jc w:val="both"/>
      </w:pPr>
    </w:p>
    <w:p w:rsidR="00AE5C46" w:rsidRDefault="00A76701" w:rsidP="00A76701">
      <w:pPr>
        <w:spacing w:after="120"/>
        <w:jc w:val="both"/>
        <w:rPr>
          <w:rFonts w:cs="Arial"/>
          <w:szCs w:val="24"/>
          <w:u w:val="single"/>
        </w:rPr>
      </w:pPr>
      <w:r>
        <w:rPr>
          <w:rFonts w:cs="Arial"/>
          <w:szCs w:val="24"/>
          <w:u w:val="single"/>
        </w:rPr>
        <w:t>Local Context</w:t>
      </w:r>
    </w:p>
    <w:p w:rsidR="008D344C" w:rsidRPr="00A76701" w:rsidRDefault="008D344C" w:rsidP="00A76701">
      <w:pPr>
        <w:pStyle w:val="ListParagraph"/>
        <w:numPr>
          <w:ilvl w:val="3"/>
          <w:numId w:val="14"/>
        </w:numPr>
        <w:spacing w:after="120"/>
        <w:ind w:left="426" w:hanging="426"/>
        <w:jc w:val="both"/>
        <w:rPr>
          <w:rFonts w:cs="Arial"/>
          <w:szCs w:val="24"/>
        </w:rPr>
      </w:pPr>
      <w:r w:rsidRPr="00A76701">
        <w:rPr>
          <w:rFonts w:cs="Arial"/>
          <w:szCs w:val="24"/>
        </w:rPr>
        <w:t>Chronic obstructive pulmonary disease (COPD) prevalence: Hounslow CCG has a registered prevalence rate of 1.04% (3,225 patients) which is 0.1% lower than the overall London prevalence rates.</w:t>
      </w:r>
    </w:p>
    <w:p w:rsidR="008D344C" w:rsidRPr="008D344C" w:rsidRDefault="008D344C" w:rsidP="008D344C">
      <w:pPr>
        <w:numPr>
          <w:ilvl w:val="0"/>
          <w:numId w:val="14"/>
        </w:numPr>
        <w:jc w:val="both"/>
        <w:rPr>
          <w:rFonts w:cs="Arial"/>
          <w:szCs w:val="24"/>
        </w:rPr>
      </w:pPr>
      <w:r w:rsidRPr="008D344C">
        <w:rPr>
          <w:rFonts w:cs="Arial"/>
          <w:szCs w:val="24"/>
        </w:rPr>
        <w:lastRenderedPageBreak/>
        <w:t>Based on Public Health Outcome Framework (PHOF), in 2011 the estimated prevalence of COPD in Hounslow was 2.72%, which means there are at least 4,900 more patients in Hounslow who have not been diagnosed or are not registered with a GP yet</w:t>
      </w:r>
    </w:p>
    <w:p w:rsidR="008D344C" w:rsidRPr="008D344C" w:rsidRDefault="008D344C" w:rsidP="008D344C">
      <w:pPr>
        <w:numPr>
          <w:ilvl w:val="0"/>
          <w:numId w:val="14"/>
        </w:numPr>
        <w:jc w:val="both"/>
        <w:rPr>
          <w:rFonts w:cs="Arial"/>
          <w:szCs w:val="24"/>
        </w:rPr>
      </w:pPr>
      <w:r w:rsidRPr="008D344C">
        <w:rPr>
          <w:rFonts w:cs="Arial"/>
          <w:szCs w:val="24"/>
        </w:rPr>
        <w:t xml:space="preserve">Non – elective admission for COPD: 451 ( 2015/2016) and 456 (2016/17)  </w:t>
      </w:r>
    </w:p>
    <w:p w:rsidR="008D344C" w:rsidRPr="008D344C" w:rsidRDefault="008D344C" w:rsidP="008D344C">
      <w:pPr>
        <w:numPr>
          <w:ilvl w:val="0"/>
          <w:numId w:val="14"/>
        </w:numPr>
        <w:jc w:val="both"/>
        <w:rPr>
          <w:rFonts w:cs="Arial"/>
          <w:szCs w:val="24"/>
        </w:rPr>
      </w:pPr>
      <w:r w:rsidRPr="008D344C">
        <w:rPr>
          <w:rFonts w:cs="Arial"/>
          <w:szCs w:val="24"/>
        </w:rPr>
        <w:t>Readmission rate for COPD : Number of COPD patients who have more than two admissions in one year is 78 resulting in total of 259 admissions (2016/17)</w:t>
      </w:r>
    </w:p>
    <w:p w:rsidR="008D344C" w:rsidRPr="008D344C" w:rsidRDefault="008D344C" w:rsidP="008D344C">
      <w:pPr>
        <w:numPr>
          <w:ilvl w:val="0"/>
          <w:numId w:val="14"/>
        </w:numPr>
        <w:jc w:val="both"/>
        <w:rPr>
          <w:rFonts w:cs="Arial"/>
          <w:szCs w:val="24"/>
        </w:rPr>
      </w:pPr>
      <w:proofErr w:type="spellStart"/>
      <w:r w:rsidRPr="008D344C">
        <w:rPr>
          <w:rFonts w:cs="Arial"/>
          <w:szCs w:val="24"/>
        </w:rPr>
        <w:t>Rightcare</w:t>
      </w:r>
      <w:proofErr w:type="spellEnd"/>
      <w:r w:rsidRPr="008D344C">
        <w:rPr>
          <w:rFonts w:cs="Arial"/>
          <w:szCs w:val="24"/>
        </w:rPr>
        <w:t xml:space="preserve"> also identifies non- elective admission spent for COPD patients is an area for improvement for Hounslow CCG, when benchmarked with other 10 similar CCGs</w:t>
      </w:r>
    </w:p>
    <w:p w:rsidR="00AE5C46" w:rsidRPr="00AE5C46" w:rsidRDefault="00AE5C46" w:rsidP="00AE5C46">
      <w:pPr>
        <w:pStyle w:val="ListParagraph"/>
        <w:numPr>
          <w:ilvl w:val="0"/>
          <w:numId w:val="13"/>
        </w:numPr>
        <w:spacing w:after="200" w:line="276" w:lineRule="auto"/>
        <w:jc w:val="both"/>
        <w:rPr>
          <w:rFonts w:cs="Arial"/>
          <w:szCs w:val="24"/>
        </w:rPr>
      </w:pPr>
      <w:r w:rsidRPr="00AE5C46">
        <w:rPr>
          <w:rFonts w:cs="Arial"/>
          <w:szCs w:val="24"/>
        </w:rPr>
        <w:t xml:space="preserve">Hounslow Pulmonary Rehabilitation (PR), Home Oxygen Assessment and Community-based respiratory nursing services (HO) were initially contracted in September 2012 for patients with Chronic Obstructive Pulmonary Disease (COPD) MRC 3 – 5. </w:t>
      </w:r>
    </w:p>
    <w:p w:rsidR="00AE5C46" w:rsidRPr="00AE5C46" w:rsidRDefault="00AE5C46" w:rsidP="00AE5C46">
      <w:pPr>
        <w:pStyle w:val="ListParagraph"/>
        <w:numPr>
          <w:ilvl w:val="0"/>
          <w:numId w:val="13"/>
        </w:numPr>
        <w:spacing w:after="200" w:line="276" w:lineRule="auto"/>
        <w:jc w:val="both"/>
        <w:rPr>
          <w:rFonts w:cs="Arial"/>
          <w:szCs w:val="24"/>
        </w:rPr>
      </w:pPr>
      <w:r w:rsidRPr="00AE5C46">
        <w:rPr>
          <w:rFonts w:cs="Arial"/>
          <w:szCs w:val="24"/>
        </w:rPr>
        <w:t>The contract with the incumbent provider, having been extended to its full lawful term, expires on the 31st March 2018.</w:t>
      </w:r>
    </w:p>
    <w:p w:rsidR="00AE5C46" w:rsidRPr="00AE5C46" w:rsidRDefault="00AE5C46" w:rsidP="00AE5C46">
      <w:pPr>
        <w:pStyle w:val="ListParagraph"/>
        <w:numPr>
          <w:ilvl w:val="0"/>
          <w:numId w:val="13"/>
        </w:numPr>
        <w:spacing w:after="200" w:line="276" w:lineRule="auto"/>
        <w:jc w:val="both"/>
        <w:rPr>
          <w:rFonts w:cs="Arial"/>
          <w:szCs w:val="24"/>
        </w:rPr>
      </w:pPr>
      <w:r w:rsidRPr="00AE5C46">
        <w:rPr>
          <w:rFonts w:cs="Arial"/>
          <w:szCs w:val="24"/>
        </w:rPr>
        <w:t>The recommendation is to include the current services (Pulmonary Rehabilitation, Home Oxygen Assessment and Community-based respiratory nursing services) with some additions and changes, including increased investment in case management and service integration.</w:t>
      </w:r>
    </w:p>
    <w:p w:rsidR="00AE5C46" w:rsidRPr="00FB1C2F" w:rsidRDefault="00AE5C46" w:rsidP="007429E5">
      <w:pPr>
        <w:pStyle w:val="ListParagraph"/>
        <w:numPr>
          <w:ilvl w:val="0"/>
          <w:numId w:val="13"/>
        </w:numPr>
        <w:spacing w:after="200" w:line="276" w:lineRule="auto"/>
        <w:jc w:val="both"/>
        <w:rPr>
          <w:rFonts w:cs="Arial"/>
          <w:szCs w:val="24"/>
        </w:rPr>
      </w:pPr>
      <w:r w:rsidRPr="00AE5C46">
        <w:rPr>
          <w:rFonts w:cs="Arial"/>
          <w:szCs w:val="24"/>
        </w:rPr>
        <w:t xml:space="preserve">The total current contract </w:t>
      </w:r>
      <w:r w:rsidRPr="008D344C">
        <w:rPr>
          <w:rFonts w:cs="Arial"/>
          <w:szCs w:val="24"/>
        </w:rPr>
        <w:t>value is £1,</w:t>
      </w:r>
      <w:r w:rsidR="00221328">
        <w:rPr>
          <w:rFonts w:cs="Arial"/>
          <w:szCs w:val="24"/>
        </w:rPr>
        <w:t>820</w:t>
      </w:r>
      <w:r w:rsidR="008D344C" w:rsidRPr="008D344C">
        <w:rPr>
          <w:rFonts w:cs="Arial"/>
          <w:szCs w:val="24"/>
        </w:rPr>
        <w:t>,000</w:t>
      </w:r>
      <w:r w:rsidRPr="008D344C">
        <w:rPr>
          <w:rFonts w:cs="Arial"/>
          <w:szCs w:val="24"/>
        </w:rPr>
        <w:t xml:space="preserve"> over 5 years</w:t>
      </w:r>
      <w:r w:rsidR="0062545C">
        <w:rPr>
          <w:rFonts w:cs="Arial"/>
          <w:szCs w:val="24"/>
        </w:rPr>
        <w:t xml:space="preserve"> with an average of £363,000 per year.</w:t>
      </w:r>
    </w:p>
    <w:p w:rsidR="00AA06CF" w:rsidRPr="00AA06CF" w:rsidRDefault="003B0F26" w:rsidP="007429E5">
      <w:pPr>
        <w:jc w:val="both"/>
        <w:rPr>
          <w:b/>
        </w:rPr>
      </w:pPr>
      <w:r w:rsidRPr="00AA06CF">
        <w:rPr>
          <w:b/>
        </w:rPr>
        <w:t>HOUNSLOW DEMOGRAPHIC INFORMATION</w:t>
      </w:r>
    </w:p>
    <w:p w:rsidR="00AA06CF" w:rsidRDefault="00AA06CF" w:rsidP="007429E5">
      <w:pPr>
        <w:jc w:val="both"/>
      </w:pPr>
    </w:p>
    <w:p w:rsidR="0060615B" w:rsidRDefault="0060615B" w:rsidP="007429E5">
      <w:pPr>
        <w:jc w:val="both"/>
      </w:pPr>
      <w:r>
        <w:t>Hounslow CCG is a membership</w:t>
      </w:r>
      <w:r w:rsidR="008C6A41">
        <w:t xml:space="preserve"> organisation, m</w:t>
      </w:r>
      <w:r w:rsidR="008D344C">
        <w:t>ade up of all 49</w:t>
      </w:r>
      <w:r>
        <w:t xml:space="preserve"> GP practices serving a registered patient population of 305,000 people in Hounslow. We manage an annual budget of £</w:t>
      </w:r>
      <w:r w:rsidR="0062545C">
        <w:t>345</w:t>
      </w:r>
      <w:r>
        <w:t xml:space="preserve"> million, across an area diverse in terms of wealth, deprivation and health. </w:t>
      </w:r>
      <w:r w:rsidR="00A820AA">
        <w:t>Hounslow</w:t>
      </w:r>
      <w:r>
        <w:t xml:space="preserve"> GPs are making decisions about local health services using their local knowledge to shape services and target resources where the need is greatest. </w:t>
      </w:r>
      <w:r w:rsidR="00A820AA">
        <w:t>They</w:t>
      </w:r>
      <w:r>
        <w:t xml:space="preserve"> use their experience and knowledge to influence and sha</w:t>
      </w:r>
      <w:r w:rsidR="00A820AA">
        <w:t>pe the decisions the CCG makes.</w:t>
      </w:r>
    </w:p>
    <w:p w:rsidR="0060615B" w:rsidRDefault="0060615B" w:rsidP="007429E5">
      <w:pPr>
        <w:jc w:val="both"/>
      </w:pPr>
    </w:p>
    <w:p w:rsidR="00AA06CF" w:rsidRDefault="00A820AA" w:rsidP="007429E5">
      <w:pPr>
        <w:jc w:val="both"/>
      </w:pPr>
      <w:r>
        <w:t xml:space="preserve">Locations across the borough of Hounslow GP surgeries can be found on the map below: </w:t>
      </w:r>
    </w:p>
    <w:p w:rsidR="008C6A41" w:rsidRDefault="008C6A41" w:rsidP="007429E5">
      <w:pPr>
        <w:jc w:val="both"/>
      </w:pPr>
      <w:r>
        <w:rPr>
          <w:noProof/>
          <w:lang w:eastAsia="en-GB"/>
        </w:rPr>
        <w:drawing>
          <wp:inline distT="0" distB="0" distL="0" distR="0" wp14:anchorId="38C6A2A5" wp14:editId="375A5787">
            <wp:extent cx="5607170" cy="3757818"/>
            <wp:effectExtent l="0" t="0" r="0" b="0"/>
            <wp:docPr id="2" name="Picture 2" descr="C:\Users\makvin\AppData\Local\Microsoft\Windows\Temporary Internet Files\Content.Word\OOH with GP loc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vin\AppData\Local\Microsoft\Windows\Temporary Internet Files\Content.Word\OOH with GP localiti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665" cy="3760161"/>
                    </a:xfrm>
                    <a:prstGeom prst="rect">
                      <a:avLst/>
                    </a:prstGeom>
                    <a:noFill/>
                    <a:ln>
                      <a:noFill/>
                    </a:ln>
                  </pic:spPr>
                </pic:pic>
              </a:graphicData>
            </a:graphic>
          </wp:inline>
        </w:drawing>
      </w:r>
    </w:p>
    <w:p w:rsidR="00AA06CF" w:rsidRDefault="003B0F26" w:rsidP="007429E5">
      <w:pPr>
        <w:jc w:val="both"/>
        <w:rPr>
          <w:b/>
        </w:rPr>
      </w:pPr>
      <w:r w:rsidRPr="00AA06CF">
        <w:rPr>
          <w:b/>
        </w:rPr>
        <w:lastRenderedPageBreak/>
        <w:t>OVERVIEW OF THE SERVICE</w:t>
      </w:r>
    </w:p>
    <w:p w:rsidR="008D344C" w:rsidRDefault="008D344C" w:rsidP="008D344C">
      <w:pPr>
        <w:jc w:val="both"/>
        <w:rPr>
          <w:lang w:val="en-US"/>
        </w:rPr>
      </w:pPr>
    </w:p>
    <w:p w:rsidR="0062545C" w:rsidRDefault="00221328" w:rsidP="008D344C">
      <w:pPr>
        <w:jc w:val="both"/>
        <w:rPr>
          <w:b/>
          <w:lang w:val="en-US"/>
        </w:rPr>
      </w:pPr>
      <w:r w:rsidRPr="00221328">
        <w:rPr>
          <w:b/>
          <w:lang w:val="en-US"/>
        </w:rPr>
        <w:t>Aim of the service</w:t>
      </w:r>
    </w:p>
    <w:p w:rsidR="00D374DB" w:rsidRDefault="00D374DB" w:rsidP="008D344C">
      <w:pPr>
        <w:jc w:val="both"/>
        <w:rPr>
          <w:b/>
          <w:lang w:val="en-US"/>
        </w:rPr>
      </w:pPr>
    </w:p>
    <w:p w:rsidR="00D374DB" w:rsidRPr="00D374DB" w:rsidRDefault="00D374DB" w:rsidP="008D344C">
      <w:pPr>
        <w:jc w:val="both"/>
        <w:rPr>
          <w:lang w:val="en-US"/>
        </w:rPr>
      </w:pPr>
      <w:r w:rsidRPr="00D374DB">
        <w:rPr>
          <w:lang w:val="en-US"/>
        </w:rPr>
        <w:t>The overall aim of the Hounslow integ</w:t>
      </w:r>
      <w:r>
        <w:rPr>
          <w:lang w:val="en-US"/>
        </w:rPr>
        <w:t>rated consultant led community p</w:t>
      </w:r>
      <w:r w:rsidRPr="00D374DB">
        <w:rPr>
          <w:lang w:val="en-US"/>
        </w:rPr>
        <w:t>ulmonary rehabilitation, home oxygen assessment and specialist nurse support service is to provide all eligible patients with a service that meets their needs and achieves the outcomes.</w:t>
      </w:r>
    </w:p>
    <w:p w:rsidR="0062545C" w:rsidRDefault="0062545C" w:rsidP="008D344C">
      <w:pPr>
        <w:jc w:val="both"/>
        <w:rPr>
          <w:b/>
          <w:lang w:val="en-US"/>
        </w:rPr>
      </w:pPr>
    </w:p>
    <w:p w:rsidR="0062545C" w:rsidRDefault="003E2685" w:rsidP="008D344C">
      <w:pPr>
        <w:jc w:val="both"/>
        <w:rPr>
          <w:b/>
          <w:lang w:val="en-US"/>
        </w:rPr>
      </w:pPr>
      <w:r>
        <w:rPr>
          <w:b/>
          <w:lang w:val="en-US"/>
        </w:rPr>
        <w:t>Please put the aim of the service</w:t>
      </w:r>
      <w:r w:rsidR="0062545C">
        <w:rPr>
          <w:b/>
          <w:lang w:val="en-US"/>
        </w:rPr>
        <w:t xml:space="preserve"> in from the service specification</w:t>
      </w:r>
    </w:p>
    <w:p w:rsidR="0062545C" w:rsidRDefault="0062545C" w:rsidP="008D344C">
      <w:pPr>
        <w:jc w:val="both"/>
        <w:rPr>
          <w:b/>
          <w:lang w:val="en-US"/>
        </w:rPr>
      </w:pPr>
    </w:p>
    <w:p w:rsidR="008D344C" w:rsidRDefault="008D344C" w:rsidP="008D344C">
      <w:pPr>
        <w:jc w:val="both"/>
        <w:rPr>
          <w:lang w:val="en-US"/>
        </w:rPr>
      </w:pPr>
      <w:r w:rsidRPr="008D344C">
        <w:rPr>
          <w:lang w:val="en-US"/>
        </w:rPr>
        <w:t>The following service provisions for patients with chronic respiratory conditions are</w:t>
      </w:r>
      <w:r w:rsidR="005E2E33">
        <w:rPr>
          <w:lang w:val="en-US"/>
        </w:rPr>
        <w:t xml:space="preserve"> covered in the</w:t>
      </w:r>
      <w:r w:rsidRPr="008D344C">
        <w:rPr>
          <w:lang w:val="en-US"/>
        </w:rPr>
        <w:t xml:space="preserve"> </w:t>
      </w:r>
      <w:r w:rsidR="00221328">
        <w:rPr>
          <w:lang w:val="en-US"/>
        </w:rPr>
        <w:t xml:space="preserve">service </w:t>
      </w:r>
      <w:r w:rsidRPr="008D344C">
        <w:rPr>
          <w:lang w:val="en-US"/>
        </w:rPr>
        <w:t>specification:</w:t>
      </w:r>
    </w:p>
    <w:p w:rsidR="008D344C" w:rsidRPr="008D344C" w:rsidRDefault="008D344C" w:rsidP="008D344C">
      <w:pPr>
        <w:jc w:val="both"/>
        <w:rPr>
          <w:lang w:val="en-US"/>
        </w:rPr>
      </w:pPr>
    </w:p>
    <w:p w:rsidR="008D344C" w:rsidRPr="008D344C" w:rsidRDefault="008D344C" w:rsidP="008D344C">
      <w:pPr>
        <w:numPr>
          <w:ilvl w:val="0"/>
          <w:numId w:val="15"/>
        </w:numPr>
        <w:jc w:val="both"/>
      </w:pPr>
      <w:r w:rsidRPr="008D344C">
        <w:t>Pulmonary Rehabilitation Service</w:t>
      </w:r>
    </w:p>
    <w:p w:rsidR="008D344C" w:rsidRPr="008D344C" w:rsidRDefault="008D344C" w:rsidP="008D344C">
      <w:pPr>
        <w:numPr>
          <w:ilvl w:val="0"/>
          <w:numId w:val="15"/>
        </w:numPr>
        <w:jc w:val="both"/>
      </w:pPr>
      <w:r w:rsidRPr="008D344C">
        <w:t>Home Oxygen Assessment Service</w:t>
      </w:r>
    </w:p>
    <w:p w:rsidR="008D344C" w:rsidRPr="008D344C" w:rsidRDefault="008D344C" w:rsidP="008D344C">
      <w:pPr>
        <w:numPr>
          <w:ilvl w:val="0"/>
          <w:numId w:val="15"/>
        </w:numPr>
        <w:jc w:val="both"/>
      </w:pPr>
      <w:r w:rsidRPr="008D344C">
        <w:t>Community-based specialist Nursing and consultant Service</w:t>
      </w:r>
    </w:p>
    <w:p w:rsidR="008D344C" w:rsidRDefault="008D344C" w:rsidP="008D344C">
      <w:pPr>
        <w:numPr>
          <w:ilvl w:val="0"/>
          <w:numId w:val="15"/>
        </w:numPr>
        <w:jc w:val="both"/>
      </w:pPr>
      <w:r w:rsidRPr="008D344C">
        <w:t xml:space="preserve">Chest Rehabilitation </w:t>
      </w:r>
    </w:p>
    <w:p w:rsidR="00221328" w:rsidRDefault="00221328" w:rsidP="00221328">
      <w:pPr>
        <w:jc w:val="both"/>
      </w:pPr>
    </w:p>
    <w:p w:rsidR="00221328" w:rsidRDefault="00221328" w:rsidP="00221328">
      <w:pPr>
        <w:jc w:val="both"/>
      </w:pPr>
      <w:r>
        <w:t xml:space="preserve">The </w:t>
      </w:r>
      <w:r w:rsidR="002551BF">
        <w:t xml:space="preserve">locally defined </w:t>
      </w:r>
      <w:r>
        <w:t>outcomes of this service will include:</w:t>
      </w:r>
    </w:p>
    <w:p w:rsidR="00221328" w:rsidRDefault="00221328" w:rsidP="00221328">
      <w:pPr>
        <w:jc w:val="both"/>
      </w:pPr>
    </w:p>
    <w:p w:rsidR="002551BF" w:rsidRDefault="002551BF" w:rsidP="002551BF">
      <w:pPr>
        <w:pStyle w:val="ListParagraph"/>
        <w:numPr>
          <w:ilvl w:val="0"/>
          <w:numId w:val="17"/>
        </w:numPr>
        <w:ind w:left="709" w:hanging="567"/>
        <w:jc w:val="both"/>
      </w:pPr>
      <w:r>
        <w:t>Reduction in the number of A&amp;E attendances and Non-Elective admission (NEL) for patients with chronic respiratory conditions e.g. COPD</w:t>
      </w:r>
    </w:p>
    <w:p w:rsidR="002551BF" w:rsidRDefault="002551BF" w:rsidP="002551BF">
      <w:pPr>
        <w:pStyle w:val="ListParagraph"/>
        <w:numPr>
          <w:ilvl w:val="0"/>
          <w:numId w:val="17"/>
        </w:numPr>
        <w:ind w:left="709" w:hanging="567"/>
        <w:jc w:val="both"/>
      </w:pPr>
      <w:r>
        <w:t>Improved health outcomes for patients with chronic respiratory conditions e.g. COPD i.e. fewer exacerbation, less absence through illness and less hospitalisation</w:t>
      </w:r>
    </w:p>
    <w:p w:rsidR="002551BF" w:rsidRDefault="002551BF" w:rsidP="002551BF">
      <w:pPr>
        <w:pStyle w:val="ListParagraph"/>
        <w:numPr>
          <w:ilvl w:val="0"/>
          <w:numId w:val="17"/>
        </w:numPr>
        <w:ind w:left="709" w:hanging="567"/>
        <w:jc w:val="both"/>
      </w:pPr>
      <w:r>
        <w:t>Improved patient awareness and self-management of their own chronic respiratory conditions e.g. COPD condition, i.e. more independent management of their own condition.</w:t>
      </w:r>
    </w:p>
    <w:p w:rsidR="002551BF" w:rsidRDefault="002551BF" w:rsidP="002551BF">
      <w:pPr>
        <w:pStyle w:val="ListParagraph"/>
        <w:numPr>
          <w:ilvl w:val="0"/>
          <w:numId w:val="17"/>
        </w:numPr>
        <w:ind w:left="709" w:hanging="567"/>
        <w:jc w:val="both"/>
      </w:pPr>
      <w:r>
        <w:t>Improved patient satisfaction of the integrated consultant led community Pulmonary rehabilitation, home oxygen assessment and specialist nurse support service</w:t>
      </w:r>
    </w:p>
    <w:p w:rsidR="002551BF" w:rsidRDefault="002551BF" w:rsidP="002551BF">
      <w:pPr>
        <w:pStyle w:val="ListParagraph"/>
        <w:numPr>
          <w:ilvl w:val="0"/>
          <w:numId w:val="17"/>
        </w:numPr>
        <w:ind w:left="709" w:hanging="567"/>
        <w:jc w:val="both"/>
      </w:pPr>
      <w:r>
        <w:t>Improved GP awareness of chronic respiratory conditions, diagnosis and treatment</w:t>
      </w:r>
    </w:p>
    <w:p w:rsidR="00221328" w:rsidRDefault="002551BF" w:rsidP="002551BF">
      <w:pPr>
        <w:pStyle w:val="ListParagraph"/>
        <w:numPr>
          <w:ilvl w:val="0"/>
          <w:numId w:val="17"/>
        </w:numPr>
        <w:ind w:left="709" w:hanging="567"/>
        <w:jc w:val="both"/>
      </w:pPr>
      <w:r>
        <w:t>Integration with other services i.e. hospitals, social services, voluntary sector, health and social care, other community services and mental health services.</w:t>
      </w:r>
    </w:p>
    <w:p w:rsidR="005F4A3B" w:rsidRDefault="005F4A3B" w:rsidP="008B2578">
      <w:pPr>
        <w:ind w:left="142"/>
        <w:jc w:val="both"/>
      </w:pPr>
    </w:p>
    <w:p w:rsidR="008B2578" w:rsidRPr="008D344C" w:rsidRDefault="008B2578" w:rsidP="008B2578">
      <w:pPr>
        <w:ind w:left="142"/>
        <w:jc w:val="both"/>
      </w:pPr>
      <w:r>
        <w:t>For further and more detailed information, please see the draft service specification.</w:t>
      </w:r>
    </w:p>
    <w:p w:rsidR="005326B6" w:rsidRDefault="005326B6"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621CEF" w:rsidRDefault="00621CEF" w:rsidP="007429E5">
      <w:pPr>
        <w:jc w:val="both"/>
        <w:rPr>
          <w:b/>
        </w:rPr>
      </w:pPr>
    </w:p>
    <w:p w:rsidR="00AA06CF" w:rsidRDefault="00F9776F" w:rsidP="007429E5">
      <w:pPr>
        <w:jc w:val="both"/>
        <w:rPr>
          <w:b/>
        </w:rPr>
      </w:pPr>
      <w:r>
        <w:rPr>
          <w:b/>
        </w:rPr>
        <w:lastRenderedPageBreak/>
        <w:t>COMMERCIAL INFORMATION</w:t>
      </w:r>
    </w:p>
    <w:p w:rsidR="008C6A41" w:rsidRDefault="008C6A41" w:rsidP="007429E5">
      <w:pPr>
        <w:jc w:val="both"/>
        <w:rPr>
          <w:b/>
        </w:rPr>
      </w:pPr>
    </w:p>
    <w:p w:rsidR="008C6A41" w:rsidRDefault="008C6A41" w:rsidP="007429E5">
      <w:pPr>
        <w:jc w:val="both"/>
      </w:pPr>
      <w:r>
        <w:t>The Contract to be offered to the successful Bidder at the end of this Procurement</w:t>
      </w:r>
      <w:r w:rsidR="00277B52">
        <w:t xml:space="preserve"> will be for a duration of three</w:t>
      </w:r>
      <w:r>
        <w:t xml:space="preserve"> years, which is int</w:t>
      </w:r>
      <w:r w:rsidR="007A495D">
        <w:t>ended to run from 1st April 2018</w:t>
      </w:r>
      <w:r>
        <w:t xml:space="preserve"> until 31st March 202</w:t>
      </w:r>
      <w:r w:rsidR="008D27AA">
        <w:t>1</w:t>
      </w:r>
      <w:r>
        <w:t xml:space="preserve"> with the possibili</w:t>
      </w:r>
      <w:r w:rsidR="008D27AA">
        <w:t>ty of one extension of up to two</w:t>
      </w:r>
      <w:r>
        <w:t xml:space="preserve"> years, subject to any restrictions placed nationally by NHS England or the Department of Health.</w:t>
      </w:r>
    </w:p>
    <w:p w:rsidR="008C6A41" w:rsidRDefault="008C6A41" w:rsidP="007429E5">
      <w:pPr>
        <w:jc w:val="both"/>
      </w:pPr>
    </w:p>
    <w:p w:rsidR="008C6A41" w:rsidRDefault="008C6A41" w:rsidP="007429E5">
      <w:pPr>
        <w:jc w:val="both"/>
      </w:pPr>
      <w:r>
        <w:t>As advertised, the anticipated, maximum total contract value (is £</w:t>
      </w:r>
      <w:r w:rsidR="005326B6">
        <w:t>1,820</w:t>
      </w:r>
      <w:r w:rsidR="005E2E33">
        <w:t>,000</w:t>
      </w:r>
      <w:r w:rsidR="003E2685">
        <w:t xml:space="preserve"> over 5 years</w:t>
      </w:r>
      <w:r w:rsidR="00621CEF">
        <w:t>)</w:t>
      </w:r>
    </w:p>
    <w:p w:rsidR="00FB1C2F" w:rsidRDefault="00FB1C2F" w:rsidP="007429E5">
      <w:pPr>
        <w:jc w:val="both"/>
      </w:pPr>
    </w:p>
    <w:tbl>
      <w:tblPr>
        <w:tblW w:w="0" w:type="auto"/>
        <w:tblLayout w:type="fixed"/>
        <w:tblLook w:val="04A0" w:firstRow="1" w:lastRow="0" w:firstColumn="1" w:lastColumn="0" w:noHBand="0" w:noVBand="1"/>
      </w:tblPr>
      <w:tblGrid>
        <w:gridCol w:w="2802"/>
        <w:gridCol w:w="1134"/>
        <w:gridCol w:w="1134"/>
        <w:gridCol w:w="1134"/>
        <w:gridCol w:w="850"/>
        <w:gridCol w:w="1134"/>
        <w:gridCol w:w="1054"/>
      </w:tblGrid>
      <w:tr w:rsidR="00AA3470" w:rsidRPr="008C6A41" w:rsidTr="00B046DF">
        <w:trPr>
          <w:trHeight w:val="435"/>
        </w:trPr>
        <w:tc>
          <w:tcPr>
            <w:tcW w:w="3936" w:type="dxa"/>
            <w:gridSpan w:val="2"/>
            <w:tcBorders>
              <w:top w:val="single" w:sz="4" w:space="0" w:color="auto"/>
              <w:left w:val="single" w:sz="4" w:space="0" w:color="auto"/>
              <w:bottom w:val="single" w:sz="8" w:space="0" w:color="auto"/>
              <w:right w:val="nil"/>
            </w:tcBorders>
            <w:shd w:val="clear" w:color="000000" w:fill="000000"/>
            <w:vAlign w:val="center"/>
            <w:hideMark/>
          </w:tcPr>
          <w:p w:rsidR="00377D16" w:rsidRPr="008C6A41" w:rsidRDefault="00CA341B" w:rsidP="00CA341B">
            <w:pPr>
              <w:jc w:val="both"/>
              <w:rPr>
                <w:rFonts w:ascii="Arial" w:eastAsia="Times New Roman" w:hAnsi="Arial" w:cs="Arial"/>
                <w:b/>
                <w:bCs/>
                <w:color w:val="FFFFFF"/>
                <w:sz w:val="20"/>
                <w:szCs w:val="20"/>
                <w:lang w:eastAsia="en-GB"/>
              </w:rPr>
            </w:pPr>
            <w:r>
              <w:rPr>
                <w:rFonts w:ascii="Arial" w:eastAsia="Times New Roman" w:hAnsi="Arial" w:cs="Arial"/>
                <w:b/>
                <w:bCs/>
                <w:color w:val="FFFFFF"/>
                <w:sz w:val="20"/>
                <w:szCs w:val="20"/>
                <w:lang w:eastAsia="en-GB"/>
              </w:rPr>
              <w:t>Indicative a</w:t>
            </w:r>
            <w:r w:rsidR="00377D16" w:rsidRPr="008C6A41">
              <w:rPr>
                <w:rFonts w:ascii="Arial" w:eastAsia="Times New Roman" w:hAnsi="Arial" w:cs="Arial"/>
                <w:b/>
                <w:bCs/>
                <w:color w:val="FFFFFF"/>
                <w:sz w:val="20"/>
                <w:szCs w:val="20"/>
                <w:lang w:eastAsia="en-GB"/>
              </w:rPr>
              <w:t xml:space="preserve">ctivity baselines </w:t>
            </w:r>
          </w:p>
        </w:tc>
        <w:tc>
          <w:tcPr>
            <w:tcW w:w="1134" w:type="dxa"/>
            <w:tcBorders>
              <w:top w:val="single" w:sz="4" w:space="0" w:color="auto"/>
              <w:left w:val="nil"/>
              <w:bottom w:val="single" w:sz="8" w:space="0" w:color="auto"/>
              <w:right w:val="nil"/>
            </w:tcBorders>
            <w:shd w:val="clear" w:color="000000" w:fill="000000"/>
            <w:vAlign w:val="center"/>
            <w:hideMark/>
          </w:tcPr>
          <w:p w:rsidR="00377D16" w:rsidRPr="008C6A41" w:rsidRDefault="00377D16" w:rsidP="00FB1C2F">
            <w:pPr>
              <w:jc w:val="both"/>
              <w:rPr>
                <w:rFonts w:ascii="Arial" w:eastAsia="Times New Roman" w:hAnsi="Arial" w:cs="Arial"/>
                <w:b/>
                <w:bCs/>
                <w:color w:val="FFFFFF"/>
                <w:sz w:val="20"/>
                <w:szCs w:val="20"/>
                <w:lang w:eastAsia="en-GB"/>
              </w:rPr>
            </w:pPr>
            <w:r w:rsidRPr="008C6A41">
              <w:rPr>
                <w:rFonts w:ascii="Arial" w:eastAsia="Times New Roman" w:hAnsi="Arial" w:cs="Arial"/>
                <w:b/>
                <w:bCs/>
                <w:color w:val="FFFFFF"/>
                <w:sz w:val="20"/>
                <w:szCs w:val="20"/>
                <w:lang w:eastAsia="en-GB"/>
              </w:rPr>
              <w:t> </w:t>
            </w:r>
          </w:p>
        </w:tc>
        <w:tc>
          <w:tcPr>
            <w:tcW w:w="1134" w:type="dxa"/>
            <w:tcBorders>
              <w:top w:val="single" w:sz="4" w:space="0" w:color="auto"/>
              <w:left w:val="nil"/>
              <w:bottom w:val="single" w:sz="8" w:space="0" w:color="auto"/>
              <w:right w:val="nil"/>
            </w:tcBorders>
            <w:shd w:val="clear" w:color="000000" w:fill="000000"/>
            <w:vAlign w:val="center"/>
            <w:hideMark/>
          </w:tcPr>
          <w:p w:rsidR="00377D16" w:rsidRPr="008C6A41" w:rsidRDefault="00377D16" w:rsidP="00FB1C2F">
            <w:pPr>
              <w:jc w:val="both"/>
              <w:rPr>
                <w:rFonts w:ascii="Arial" w:eastAsia="Times New Roman" w:hAnsi="Arial" w:cs="Arial"/>
                <w:b/>
                <w:bCs/>
                <w:color w:val="FFFFFF"/>
                <w:sz w:val="20"/>
                <w:szCs w:val="20"/>
                <w:lang w:eastAsia="en-GB"/>
              </w:rPr>
            </w:pPr>
            <w:r w:rsidRPr="008C6A41">
              <w:rPr>
                <w:rFonts w:ascii="Arial" w:eastAsia="Times New Roman" w:hAnsi="Arial" w:cs="Arial"/>
                <w:b/>
                <w:bCs/>
                <w:color w:val="FFFFFF"/>
                <w:sz w:val="20"/>
                <w:szCs w:val="20"/>
                <w:lang w:eastAsia="en-GB"/>
              </w:rPr>
              <w:t> </w:t>
            </w:r>
          </w:p>
        </w:tc>
        <w:tc>
          <w:tcPr>
            <w:tcW w:w="850" w:type="dxa"/>
            <w:tcBorders>
              <w:top w:val="single" w:sz="4" w:space="0" w:color="auto"/>
              <w:left w:val="nil"/>
              <w:bottom w:val="single" w:sz="8" w:space="0" w:color="auto"/>
              <w:right w:val="nil"/>
            </w:tcBorders>
            <w:shd w:val="clear" w:color="000000" w:fill="000000"/>
            <w:vAlign w:val="center"/>
            <w:hideMark/>
          </w:tcPr>
          <w:p w:rsidR="00377D16" w:rsidRPr="008C6A41" w:rsidRDefault="00377D16" w:rsidP="00FB1C2F">
            <w:pPr>
              <w:jc w:val="both"/>
              <w:rPr>
                <w:rFonts w:ascii="Arial" w:eastAsia="Times New Roman" w:hAnsi="Arial" w:cs="Arial"/>
                <w:b/>
                <w:bCs/>
                <w:color w:val="FFFFFF"/>
                <w:sz w:val="20"/>
                <w:szCs w:val="20"/>
                <w:lang w:eastAsia="en-GB"/>
              </w:rPr>
            </w:pPr>
            <w:r w:rsidRPr="008C6A41">
              <w:rPr>
                <w:rFonts w:ascii="Arial" w:eastAsia="Times New Roman" w:hAnsi="Arial" w:cs="Arial"/>
                <w:b/>
                <w:bCs/>
                <w:color w:val="FFFFFF"/>
                <w:sz w:val="20"/>
                <w:szCs w:val="20"/>
                <w:lang w:eastAsia="en-GB"/>
              </w:rPr>
              <w:t> </w:t>
            </w:r>
          </w:p>
        </w:tc>
        <w:tc>
          <w:tcPr>
            <w:tcW w:w="1134" w:type="dxa"/>
            <w:tcBorders>
              <w:top w:val="single" w:sz="4" w:space="0" w:color="auto"/>
              <w:left w:val="nil"/>
              <w:bottom w:val="single" w:sz="8" w:space="0" w:color="auto"/>
              <w:right w:val="nil"/>
            </w:tcBorders>
            <w:shd w:val="clear" w:color="000000" w:fill="000000"/>
            <w:vAlign w:val="center"/>
            <w:hideMark/>
          </w:tcPr>
          <w:p w:rsidR="00377D16" w:rsidRPr="008C6A41" w:rsidRDefault="00377D16" w:rsidP="00FB1C2F">
            <w:pPr>
              <w:jc w:val="both"/>
              <w:rPr>
                <w:rFonts w:ascii="Arial" w:eastAsia="Times New Roman" w:hAnsi="Arial" w:cs="Arial"/>
                <w:b/>
                <w:bCs/>
                <w:color w:val="FFFFFF"/>
                <w:sz w:val="20"/>
                <w:szCs w:val="20"/>
                <w:lang w:eastAsia="en-GB"/>
              </w:rPr>
            </w:pPr>
            <w:r w:rsidRPr="008C6A41">
              <w:rPr>
                <w:rFonts w:ascii="Arial" w:eastAsia="Times New Roman" w:hAnsi="Arial" w:cs="Arial"/>
                <w:b/>
                <w:bCs/>
                <w:color w:val="FFFFFF"/>
                <w:sz w:val="20"/>
                <w:szCs w:val="20"/>
                <w:lang w:eastAsia="en-GB"/>
              </w:rPr>
              <w:t> </w:t>
            </w:r>
          </w:p>
        </w:tc>
        <w:tc>
          <w:tcPr>
            <w:tcW w:w="1054" w:type="dxa"/>
            <w:tcBorders>
              <w:top w:val="single" w:sz="4" w:space="0" w:color="auto"/>
              <w:left w:val="nil"/>
              <w:bottom w:val="single" w:sz="8" w:space="0" w:color="auto"/>
              <w:right w:val="single" w:sz="4" w:space="0" w:color="auto"/>
            </w:tcBorders>
            <w:shd w:val="clear" w:color="000000" w:fill="000000"/>
            <w:vAlign w:val="center"/>
            <w:hideMark/>
          </w:tcPr>
          <w:p w:rsidR="00377D16" w:rsidRPr="008C6A41" w:rsidRDefault="00377D16" w:rsidP="00FB1C2F">
            <w:pPr>
              <w:jc w:val="both"/>
              <w:rPr>
                <w:rFonts w:ascii="Arial" w:eastAsia="Times New Roman" w:hAnsi="Arial" w:cs="Arial"/>
                <w:b/>
                <w:bCs/>
                <w:color w:val="FFFFFF"/>
                <w:sz w:val="20"/>
                <w:szCs w:val="20"/>
                <w:lang w:eastAsia="en-GB"/>
              </w:rPr>
            </w:pPr>
            <w:r w:rsidRPr="008C6A41">
              <w:rPr>
                <w:rFonts w:ascii="Arial" w:eastAsia="Times New Roman" w:hAnsi="Arial" w:cs="Arial"/>
                <w:b/>
                <w:bCs/>
                <w:color w:val="FFFFFF"/>
                <w:sz w:val="20"/>
                <w:szCs w:val="20"/>
                <w:lang w:eastAsia="en-GB"/>
              </w:rPr>
              <w:t> </w:t>
            </w:r>
          </w:p>
        </w:tc>
      </w:tr>
      <w:tr w:rsidR="00D003F6" w:rsidRPr="008C6A41" w:rsidTr="00B046DF">
        <w:trPr>
          <w:trHeight w:val="589"/>
        </w:trPr>
        <w:tc>
          <w:tcPr>
            <w:tcW w:w="2802" w:type="dxa"/>
            <w:tcBorders>
              <w:top w:val="nil"/>
              <w:left w:val="single" w:sz="4" w:space="0" w:color="auto"/>
              <w:bottom w:val="nil"/>
              <w:right w:val="nil"/>
            </w:tcBorders>
            <w:shd w:val="clear" w:color="000000" w:fill="FFFFFF"/>
            <w:noWrap/>
            <w:vAlign w:val="center"/>
            <w:hideMark/>
          </w:tcPr>
          <w:p w:rsidR="00377D16" w:rsidRPr="008C6A41" w:rsidRDefault="00377D16" w:rsidP="00FB1C2F">
            <w:pPr>
              <w:jc w:val="both"/>
              <w:rPr>
                <w:rFonts w:ascii="Arial" w:eastAsia="Times New Roman" w:hAnsi="Arial" w:cs="Arial"/>
                <w:b/>
                <w:bCs/>
                <w:color w:val="000000"/>
                <w:sz w:val="20"/>
                <w:szCs w:val="20"/>
                <w:lang w:eastAsia="en-GB"/>
              </w:rPr>
            </w:pPr>
            <w:r w:rsidRPr="008C6A41">
              <w:rPr>
                <w:rFonts w:ascii="Arial" w:eastAsia="Times New Roman" w:hAnsi="Arial" w:cs="Arial"/>
                <w:b/>
                <w:bCs/>
                <w:color w:val="000000"/>
                <w:sz w:val="20"/>
                <w:szCs w:val="20"/>
                <w:lang w:eastAsia="en-GB"/>
              </w:rPr>
              <w:t> </w:t>
            </w:r>
          </w:p>
        </w:tc>
        <w:tc>
          <w:tcPr>
            <w:tcW w:w="1134" w:type="dxa"/>
            <w:tcBorders>
              <w:top w:val="nil"/>
              <w:left w:val="nil"/>
              <w:bottom w:val="nil"/>
              <w:right w:val="nil"/>
            </w:tcBorders>
            <w:shd w:val="clear" w:color="auto" w:fill="auto"/>
            <w:noWrap/>
            <w:vAlign w:val="center"/>
            <w:hideMark/>
          </w:tcPr>
          <w:p w:rsidR="00377D16" w:rsidRPr="008C6A41" w:rsidRDefault="00377D16" w:rsidP="00FB1C2F">
            <w:pPr>
              <w:jc w:val="both"/>
              <w:rPr>
                <w:rFonts w:ascii="Arial" w:eastAsia="Times New Roman" w:hAnsi="Arial" w:cs="Arial"/>
                <w:sz w:val="16"/>
                <w:szCs w:val="20"/>
                <w:lang w:eastAsia="en-GB"/>
              </w:rPr>
            </w:pPr>
            <w:r w:rsidRPr="008C6A41">
              <w:rPr>
                <w:rFonts w:ascii="Arial" w:eastAsia="Times New Roman" w:hAnsi="Arial" w:cs="Arial"/>
                <w:sz w:val="16"/>
                <w:szCs w:val="20"/>
                <w:lang w:eastAsia="en-GB"/>
              </w:rPr>
              <w:t> </w:t>
            </w:r>
          </w:p>
        </w:tc>
        <w:tc>
          <w:tcPr>
            <w:tcW w:w="1134" w:type="dxa"/>
            <w:tcBorders>
              <w:top w:val="nil"/>
              <w:left w:val="nil"/>
              <w:bottom w:val="nil"/>
              <w:right w:val="nil"/>
            </w:tcBorders>
            <w:shd w:val="clear" w:color="auto" w:fill="auto"/>
            <w:noWrap/>
            <w:vAlign w:val="center"/>
            <w:hideMark/>
          </w:tcPr>
          <w:p w:rsidR="00377D16" w:rsidRPr="008C6A41" w:rsidRDefault="00377D16" w:rsidP="00FB1C2F">
            <w:pPr>
              <w:jc w:val="both"/>
              <w:rPr>
                <w:rFonts w:ascii="Arial" w:eastAsia="Times New Roman" w:hAnsi="Arial" w:cs="Arial"/>
                <w:sz w:val="16"/>
                <w:szCs w:val="20"/>
                <w:lang w:eastAsia="en-GB"/>
              </w:rPr>
            </w:pPr>
            <w:r w:rsidRPr="008C6A41">
              <w:rPr>
                <w:rFonts w:ascii="Arial" w:eastAsia="Times New Roman" w:hAnsi="Arial" w:cs="Arial"/>
                <w:sz w:val="16"/>
                <w:szCs w:val="20"/>
                <w:lang w:eastAsia="en-GB"/>
              </w:rPr>
              <w:t> </w:t>
            </w:r>
          </w:p>
        </w:tc>
        <w:tc>
          <w:tcPr>
            <w:tcW w:w="1134" w:type="dxa"/>
            <w:tcBorders>
              <w:top w:val="nil"/>
              <w:left w:val="nil"/>
              <w:bottom w:val="nil"/>
              <w:right w:val="nil"/>
            </w:tcBorders>
            <w:shd w:val="clear" w:color="auto" w:fill="auto"/>
            <w:noWrap/>
            <w:vAlign w:val="center"/>
            <w:hideMark/>
          </w:tcPr>
          <w:p w:rsidR="00377D16" w:rsidRPr="008C6A41" w:rsidRDefault="00377D16" w:rsidP="00FB1C2F">
            <w:pPr>
              <w:jc w:val="both"/>
              <w:rPr>
                <w:rFonts w:ascii="Arial" w:eastAsia="Times New Roman" w:hAnsi="Arial" w:cs="Arial"/>
                <w:sz w:val="16"/>
                <w:szCs w:val="20"/>
                <w:lang w:eastAsia="en-GB"/>
              </w:rPr>
            </w:pPr>
            <w:r w:rsidRPr="008C6A41">
              <w:rPr>
                <w:rFonts w:ascii="Arial" w:eastAsia="Times New Roman" w:hAnsi="Arial" w:cs="Arial"/>
                <w:sz w:val="16"/>
                <w:szCs w:val="20"/>
                <w:lang w:eastAsia="en-GB"/>
              </w:rPr>
              <w:t> </w:t>
            </w:r>
          </w:p>
        </w:tc>
        <w:tc>
          <w:tcPr>
            <w:tcW w:w="850" w:type="dxa"/>
            <w:tcBorders>
              <w:top w:val="nil"/>
              <w:left w:val="nil"/>
              <w:bottom w:val="nil"/>
              <w:right w:val="nil"/>
            </w:tcBorders>
            <w:shd w:val="clear" w:color="auto" w:fill="auto"/>
            <w:noWrap/>
            <w:vAlign w:val="center"/>
            <w:hideMark/>
          </w:tcPr>
          <w:p w:rsidR="00377D16" w:rsidRPr="008C6A41" w:rsidRDefault="00377D16" w:rsidP="00FB1C2F">
            <w:pPr>
              <w:jc w:val="both"/>
              <w:rPr>
                <w:rFonts w:ascii="Arial" w:eastAsia="Times New Roman" w:hAnsi="Arial" w:cs="Arial"/>
                <w:sz w:val="16"/>
                <w:szCs w:val="20"/>
                <w:lang w:eastAsia="en-GB"/>
              </w:rPr>
            </w:pPr>
            <w:r w:rsidRPr="008C6A41">
              <w:rPr>
                <w:rFonts w:ascii="Arial" w:eastAsia="Times New Roman" w:hAnsi="Arial" w:cs="Arial"/>
                <w:sz w:val="16"/>
                <w:szCs w:val="20"/>
                <w:lang w:eastAsia="en-GB"/>
              </w:rPr>
              <w:t> </w:t>
            </w:r>
          </w:p>
        </w:tc>
        <w:tc>
          <w:tcPr>
            <w:tcW w:w="1134" w:type="dxa"/>
            <w:tcBorders>
              <w:top w:val="nil"/>
              <w:left w:val="nil"/>
              <w:bottom w:val="nil"/>
              <w:right w:val="nil"/>
            </w:tcBorders>
            <w:shd w:val="clear" w:color="auto" w:fill="auto"/>
            <w:vAlign w:val="center"/>
            <w:hideMark/>
          </w:tcPr>
          <w:p w:rsidR="00377D16" w:rsidRPr="008C6A41" w:rsidRDefault="00377D16" w:rsidP="00FB1C2F">
            <w:pPr>
              <w:jc w:val="both"/>
              <w:rPr>
                <w:rFonts w:ascii="Arial" w:eastAsia="Times New Roman" w:hAnsi="Arial" w:cs="Arial"/>
                <w:sz w:val="16"/>
                <w:szCs w:val="20"/>
                <w:lang w:eastAsia="en-GB"/>
              </w:rPr>
            </w:pPr>
            <w:r w:rsidRPr="008C6A41">
              <w:rPr>
                <w:rFonts w:ascii="Arial" w:eastAsia="Times New Roman" w:hAnsi="Arial" w:cs="Arial"/>
                <w:sz w:val="16"/>
                <w:szCs w:val="20"/>
                <w:lang w:eastAsia="en-GB"/>
              </w:rPr>
              <w:t xml:space="preserve"> Optional Extension </w:t>
            </w:r>
          </w:p>
        </w:tc>
        <w:tc>
          <w:tcPr>
            <w:tcW w:w="1054" w:type="dxa"/>
            <w:tcBorders>
              <w:top w:val="nil"/>
              <w:left w:val="nil"/>
              <w:bottom w:val="nil"/>
              <w:right w:val="single" w:sz="4" w:space="0" w:color="auto"/>
            </w:tcBorders>
            <w:shd w:val="clear" w:color="auto" w:fill="auto"/>
            <w:vAlign w:val="center"/>
            <w:hideMark/>
          </w:tcPr>
          <w:p w:rsidR="00377D16" w:rsidRPr="008C6A41" w:rsidRDefault="00377D16" w:rsidP="00FB1C2F">
            <w:pPr>
              <w:jc w:val="both"/>
              <w:rPr>
                <w:rFonts w:ascii="Arial" w:eastAsia="Times New Roman" w:hAnsi="Arial" w:cs="Arial"/>
                <w:sz w:val="16"/>
                <w:szCs w:val="20"/>
                <w:lang w:eastAsia="en-GB"/>
              </w:rPr>
            </w:pPr>
            <w:r w:rsidRPr="008C6A41">
              <w:rPr>
                <w:rFonts w:ascii="Arial" w:eastAsia="Times New Roman" w:hAnsi="Arial" w:cs="Arial"/>
                <w:sz w:val="16"/>
                <w:szCs w:val="20"/>
                <w:lang w:eastAsia="en-GB"/>
              </w:rPr>
              <w:t xml:space="preserve"> Optional Extension </w:t>
            </w:r>
          </w:p>
        </w:tc>
      </w:tr>
      <w:tr w:rsidR="00D003F6" w:rsidRPr="008C6A41" w:rsidTr="00B046DF">
        <w:trPr>
          <w:trHeight w:val="278"/>
        </w:trPr>
        <w:tc>
          <w:tcPr>
            <w:tcW w:w="2802" w:type="dxa"/>
            <w:tcBorders>
              <w:top w:val="nil"/>
              <w:left w:val="single" w:sz="4" w:space="0" w:color="auto"/>
              <w:bottom w:val="nil"/>
              <w:right w:val="nil"/>
            </w:tcBorders>
            <w:shd w:val="clear" w:color="000000" w:fill="FFFFFF"/>
            <w:noWrap/>
            <w:vAlign w:val="center"/>
            <w:hideMark/>
          </w:tcPr>
          <w:p w:rsidR="00377D16" w:rsidRPr="008C6A41" w:rsidRDefault="00377D16" w:rsidP="00FB1C2F">
            <w:pPr>
              <w:jc w:val="both"/>
              <w:rPr>
                <w:rFonts w:ascii="Arial" w:eastAsia="Times New Roman" w:hAnsi="Arial" w:cs="Arial"/>
                <w:b/>
                <w:bCs/>
                <w:color w:val="000000"/>
                <w:sz w:val="20"/>
                <w:szCs w:val="20"/>
                <w:lang w:eastAsia="en-GB"/>
              </w:rPr>
            </w:pPr>
            <w:r w:rsidRPr="008C6A41">
              <w:rPr>
                <w:rFonts w:ascii="Arial" w:eastAsia="Times New Roman" w:hAnsi="Arial" w:cs="Arial"/>
                <w:b/>
                <w:bCs/>
                <w:color w:val="000000"/>
                <w:sz w:val="20"/>
                <w:szCs w:val="20"/>
                <w:lang w:eastAsia="en-GB"/>
              </w:rPr>
              <w:t> </w:t>
            </w:r>
          </w:p>
        </w:tc>
        <w:tc>
          <w:tcPr>
            <w:tcW w:w="1134" w:type="dxa"/>
            <w:tcBorders>
              <w:top w:val="nil"/>
              <w:left w:val="nil"/>
              <w:bottom w:val="nil"/>
              <w:right w:val="nil"/>
            </w:tcBorders>
            <w:shd w:val="clear" w:color="auto" w:fill="auto"/>
            <w:noWrap/>
            <w:vAlign w:val="center"/>
            <w:hideMark/>
          </w:tcPr>
          <w:p w:rsidR="00377D16" w:rsidRPr="008C6A41" w:rsidRDefault="00377D16" w:rsidP="00FB1C2F">
            <w:pPr>
              <w:jc w:val="both"/>
              <w:rPr>
                <w:rFonts w:ascii="Arial" w:eastAsia="Times New Roman" w:hAnsi="Arial" w:cs="Arial"/>
                <w:sz w:val="16"/>
                <w:szCs w:val="20"/>
                <w:lang w:eastAsia="en-GB"/>
              </w:rPr>
            </w:pPr>
            <w:r w:rsidRPr="008C6A41">
              <w:rPr>
                <w:rFonts w:ascii="Arial" w:eastAsia="Times New Roman" w:hAnsi="Arial" w:cs="Arial"/>
                <w:sz w:val="16"/>
                <w:szCs w:val="20"/>
                <w:lang w:eastAsia="en-GB"/>
              </w:rPr>
              <w:t xml:space="preserve"> Year 1 </w:t>
            </w:r>
          </w:p>
        </w:tc>
        <w:tc>
          <w:tcPr>
            <w:tcW w:w="1134" w:type="dxa"/>
            <w:tcBorders>
              <w:top w:val="nil"/>
              <w:left w:val="nil"/>
              <w:bottom w:val="nil"/>
              <w:right w:val="nil"/>
            </w:tcBorders>
            <w:shd w:val="clear" w:color="auto" w:fill="auto"/>
            <w:noWrap/>
            <w:vAlign w:val="center"/>
            <w:hideMark/>
          </w:tcPr>
          <w:p w:rsidR="00377D16" w:rsidRPr="008C6A41" w:rsidRDefault="00377D16" w:rsidP="00FB1C2F">
            <w:pPr>
              <w:jc w:val="both"/>
              <w:rPr>
                <w:rFonts w:ascii="Arial" w:eastAsia="Times New Roman" w:hAnsi="Arial" w:cs="Arial"/>
                <w:sz w:val="16"/>
                <w:szCs w:val="20"/>
                <w:lang w:eastAsia="en-GB"/>
              </w:rPr>
            </w:pPr>
            <w:r w:rsidRPr="008C6A41">
              <w:rPr>
                <w:rFonts w:ascii="Arial" w:eastAsia="Times New Roman" w:hAnsi="Arial" w:cs="Arial"/>
                <w:sz w:val="16"/>
                <w:szCs w:val="20"/>
                <w:lang w:eastAsia="en-GB"/>
              </w:rPr>
              <w:t xml:space="preserve"> Year 2 </w:t>
            </w:r>
          </w:p>
        </w:tc>
        <w:tc>
          <w:tcPr>
            <w:tcW w:w="1134" w:type="dxa"/>
            <w:tcBorders>
              <w:top w:val="nil"/>
              <w:left w:val="nil"/>
              <w:bottom w:val="nil"/>
              <w:right w:val="nil"/>
            </w:tcBorders>
            <w:shd w:val="clear" w:color="auto" w:fill="auto"/>
            <w:noWrap/>
            <w:vAlign w:val="center"/>
            <w:hideMark/>
          </w:tcPr>
          <w:p w:rsidR="00377D16" w:rsidRPr="008C6A41" w:rsidRDefault="00377D16" w:rsidP="00FB1C2F">
            <w:pPr>
              <w:jc w:val="both"/>
              <w:rPr>
                <w:rFonts w:ascii="Arial" w:eastAsia="Times New Roman" w:hAnsi="Arial" w:cs="Arial"/>
                <w:sz w:val="16"/>
                <w:szCs w:val="20"/>
                <w:lang w:eastAsia="en-GB"/>
              </w:rPr>
            </w:pPr>
            <w:r w:rsidRPr="008C6A41">
              <w:rPr>
                <w:rFonts w:ascii="Arial" w:eastAsia="Times New Roman" w:hAnsi="Arial" w:cs="Arial"/>
                <w:sz w:val="16"/>
                <w:szCs w:val="20"/>
                <w:lang w:eastAsia="en-GB"/>
              </w:rPr>
              <w:t xml:space="preserve"> Year 3 </w:t>
            </w:r>
          </w:p>
        </w:tc>
        <w:tc>
          <w:tcPr>
            <w:tcW w:w="850" w:type="dxa"/>
            <w:tcBorders>
              <w:top w:val="nil"/>
              <w:left w:val="nil"/>
              <w:bottom w:val="nil"/>
              <w:right w:val="nil"/>
            </w:tcBorders>
            <w:shd w:val="clear" w:color="auto" w:fill="auto"/>
            <w:noWrap/>
            <w:vAlign w:val="center"/>
            <w:hideMark/>
          </w:tcPr>
          <w:p w:rsidR="00377D16" w:rsidRPr="008C6A41" w:rsidRDefault="00377D16" w:rsidP="00FB1C2F">
            <w:pPr>
              <w:jc w:val="both"/>
              <w:rPr>
                <w:rFonts w:ascii="Arial" w:eastAsia="Times New Roman" w:hAnsi="Arial" w:cs="Arial"/>
                <w:sz w:val="16"/>
                <w:szCs w:val="20"/>
                <w:lang w:eastAsia="en-GB"/>
              </w:rPr>
            </w:pPr>
            <w:r w:rsidRPr="008C6A41">
              <w:rPr>
                <w:rFonts w:ascii="Arial" w:eastAsia="Times New Roman" w:hAnsi="Arial" w:cs="Arial"/>
                <w:sz w:val="16"/>
                <w:szCs w:val="20"/>
                <w:lang w:eastAsia="en-GB"/>
              </w:rPr>
              <w:t xml:space="preserve"> Total 3 Years </w:t>
            </w:r>
          </w:p>
        </w:tc>
        <w:tc>
          <w:tcPr>
            <w:tcW w:w="1134" w:type="dxa"/>
            <w:tcBorders>
              <w:top w:val="nil"/>
              <w:left w:val="nil"/>
              <w:bottom w:val="nil"/>
              <w:right w:val="nil"/>
            </w:tcBorders>
            <w:shd w:val="clear" w:color="auto" w:fill="auto"/>
            <w:noWrap/>
            <w:vAlign w:val="center"/>
            <w:hideMark/>
          </w:tcPr>
          <w:p w:rsidR="00377D16" w:rsidRPr="008C6A41" w:rsidRDefault="00377D16" w:rsidP="00FB1C2F">
            <w:pPr>
              <w:jc w:val="both"/>
              <w:rPr>
                <w:rFonts w:ascii="Arial" w:eastAsia="Times New Roman" w:hAnsi="Arial" w:cs="Arial"/>
                <w:sz w:val="16"/>
                <w:szCs w:val="20"/>
                <w:lang w:eastAsia="en-GB"/>
              </w:rPr>
            </w:pPr>
            <w:r w:rsidRPr="008C6A41">
              <w:rPr>
                <w:rFonts w:ascii="Arial" w:eastAsia="Times New Roman" w:hAnsi="Arial" w:cs="Arial"/>
                <w:sz w:val="16"/>
                <w:szCs w:val="20"/>
                <w:lang w:eastAsia="en-GB"/>
              </w:rPr>
              <w:t xml:space="preserve"> Year 1 </w:t>
            </w:r>
          </w:p>
        </w:tc>
        <w:tc>
          <w:tcPr>
            <w:tcW w:w="1054" w:type="dxa"/>
            <w:tcBorders>
              <w:top w:val="nil"/>
              <w:left w:val="nil"/>
              <w:bottom w:val="nil"/>
              <w:right w:val="single" w:sz="4" w:space="0" w:color="auto"/>
            </w:tcBorders>
            <w:shd w:val="clear" w:color="auto" w:fill="auto"/>
            <w:noWrap/>
            <w:vAlign w:val="center"/>
            <w:hideMark/>
          </w:tcPr>
          <w:p w:rsidR="00377D16" w:rsidRPr="008C6A41" w:rsidRDefault="00377D16" w:rsidP="00FB1C2F">
            <w:pPr>
              <w:jc w:val="both"/>
              <w:rPr>
                <w:rFonts w:ascii="Arial" w:eastAsia="Times New Roman" w:hAnsi="Arial" w:cs="Arial"/>
                <w:sz w:val="16"/>
                <w:szCs w:val="20"/>
                <w:lang w:eastAsia="en-GB"/>
              </w:rPr>
            </w:pPr>
            <w:r w:rsidRPr="008C6A41">
              <w:rPr>
                <w:rFonts w:ascii="Arial" w:eastAsia="Times New Roman" w:hAnsi="Arial" w:cs="Arial"/>
                <w:sz w:val="16"/>
                <w:szCs w:val="20"/>
                <w:lang w:eastAsia="en-GB"/>
              </w:rPr>
              <w:t xml:space="preserve"> Year 2 </w:t>
            </w:r>
          </w:p>
        </w:tc>
      </w:tr>
      <w:tr w:rsidR="00F158B0" w:rsidRPr="008C6A41" w:rsidTr="00B046DF">
        <w:trPr>
          <w:trHeight w:val="278"/>
        </w:trPr>
        <w:tc>
          <w:tcPr>
            <w:tcW w:w="2802" w:type="dxa"/>
            <w:tcBorders>
              <w:top w:val="nil"/>
              <w:left w:val="single" w:sz="4" w:space="0" w:color="auto"/>
              <w:bottom w:val="single" w:sz="4" w:space="0" w:color="auto"/>
              <w:right w:val="nil"/>
            </w:tcBorders>
            <w:shd w:val="clear" w:color="000000" w:fill="FFFFFF"/>
            <w:noWrap/>
            <w:vAlign w:val="center"/>
            <w:hideMark/>
          </w:tcPr>
          <w:p w:rsidR="0060671C" w:rsidRPr="008C6A41" w:rsidRDefault="0060671C" w:rsidP="00FB1C2F">
            <w:pPr>
              <w:jc w:val="both"/>
              <w:rPr>
                <w:rFonts w:ascii="Arial" w:eastAsia="Times New Roman" w:hAnsi="Arial" w:cs="Arial"/>
                <w:b/>
                <w:bCs/>
                <w:color w:val="000000"/>
                <w:sz w:val="20"/>
                <w:szCs w:val="20"/>
                <w:lang w:eastAsia="en-GB"/>
              </w:rPr>
            </w:pPr>
            <w:r w:rsidRPr="008C6A41">
              <w:rPr>
                <w:rFonts w:ascii="Arial" w:eastAsia="Times New Roman" w:hAnsi="Arial" w:cs="Arial"/>
                <w:b/>
                <w:bCs/>
                <w:color w:val="000000"/>
                <w:sz w:val="20"/>
                <w:szCs w:val="20"/>
                <w:lang w:eastAsia="en-GB"/>
              </w:rPr>
              <w:t> </w:t>
            </w:r>
          </w:p>
        </w:tc>
        <w:tc>
          <w:tcPr>
            <w:tcW w:w="1134" w:type="dxa"/>
            <w:tcBorders>
              <w:top w:val="single" w:sz="4" w:space="0" w:color="auto"/>
              <w:left w:val="single" w:sz="4" w:space="0" w:color="auto"/>
              <w:bottom w:val="single" w:sz="4" w:space="0" w:color="auto"/>
              <w:right w:val="nil"/>
            </w:tcBorders>
            <w:shd w:val="clear" w:color="000000" w:fill="F2F2F2"/>
            <w:vAlign w:val="bottom"/>
          </w:tcPr>
          <w:p w:rsidR="0060671C" w:rsidRPr="008C6A41" w:rsidRDefault="0060671C" w:rsidP="00FB1C2F">
            <w:pPr>
              <w:jc w:val="both"/>
              <w:rPr>
                <w:rFonts w:ascii="Arial" w:eastAsia="Times New Roman" w:hAnsi="Arial" w:cs="Arial"/>
                <w:b/>
                <w:bCs/>
                <w:color w:val="000000"/>
                <w:sz w:val="20"/>
                <w:szCs w:val="20"/>
                <w:lang w:eastAsia="en-GB"/>
              </w:rPr>
            </w:pPr>
            <w:r w:rsidRPr="008C6A41">
              <w:rPr>
                <w:rFonts w:ascii="Arial" w:eastAsia="Times New Roman" w:hAnsi="Arial" w:cs="Arial"/>
                <w:b/>
                <w:bCs/>
                <w:color w:val="000000"/>
                <w:sz w:val="20"/>
                <w:szCs w:val="20"/>
                <w:lang w:eastAsia="en-GB"/>
              </w:rPr>
              <w:t xml:space="preserve"> 2018-19</w:t>
            </w:r>
          </w:p>
        </w:tc>
        <w:tc>
          <w:tcPr>
            <w:tcW w:w="1134" w:type="dxa"/>
            <w:tcBorders>
              <w:top w:val="single" w:sz="4" w:space="0" w:color="auto"/>
              <w:left w:val="single" w:sz="4" w:space="0" w:color="auto"/>
              <w:bottom w:val="single" w:sz="4" w:space="0" w:color="auto"/>
              <w:right w:val="nil"/>
            </w:tcBorders>
            <w:shd w:val="clear" w:color="000000" w:fill="F2F2F2"/>
            <w:vAlign w:val="bottom"/>
          </w:tcPr>
          <w:p w:rsidR="0060671C" w:rsidRPr="008C6A41" w:rsidRDefault="0060671C" w:rsidP="00FB1C2F">
            <w:pPr>
              <w:jc w:val="both"/>
              <w:rPr>
                <w:rFonts w:ascii="Arial" w:eastAsia="Times New Roman" w:hAnsi="Arial" w:cs="Arial"/>
                <w:b/>
                <w:bCs/>
                <w:color w:val="000000"/>
                <w:sz w:val="20"/>
                <w:szCs w:val="20"/>
                <w:lang w:eastAsia="en-GB"/>
              </w:rPr>
            </w:pPr>
            <w:r w:rsidRPr="008C6A41">
              <w:rPr>
                <w:rFonts w:ascii="Arial" w:eastAsia="Times New Roman" w:hAnsi="Arial" w:cs="Arial"/>
                <w:b/>
                <w:bCs/>
                <w:color w:val="000000"/>
                <w:sz w:val="20"/>
                <w:szCs w:val="20"/>
                <w:lang w:eastAsia="en-GB"/>
              </w:rPr>
              <w:t xml:space="preserve"> 2019-20</w:t>
            </w:r>
          </w:p>
        </w:tc>
        <w:tc>
          <w:tcPr>
            <w:tcW w:w="1134" w:type="dxa"/>
            <w:tcBorders>
              <w:top w:val="single" w:sz="4" w:space="0" w:color="auto"/>
              <w:left w:val="single" w:sz="4" w:space="0" w:color="auto"/>
              <w:bottom w:val="single" w:sz="4" w:space="0" w:color="auto"/>
              <w:right w:val="single" w:sz="4" w:space="0" w:color="auto"/>
            </w:tcBorders>
            <w:shd w:val="clear" w:color="000000" w:fill="F2F2F2"/>
            <w:vAlign w:val="bottom"/>
          </w:tcPr>
          <w:p w:rsidR="0060671C" w:rsidRPr="008C6A41" w:rsidRDefault="0060671C" w:rsidP="00FB1C2F">
            <w:pPr>
              <w:jc w:val="both"/>
              <w:rPr>
                <w:rFonts w:ascii="Arial" w:eastAsia="Times New Roman" w:hAnsi="Arial" w:cs="Arial"/>
                <w:b/>
                <w:bCs/>
                <w:color w:val="000000"/>
                <w:sz w:val="20"/>
                <w:szCs w:val="20"/>
                <w:lang w:eastAsia="en-GB"/>
              </w:rPr>
            </w:pPr>
            <w:r w:rsidRPr="008C6A41">
              <w:rPr>
                <w:rFonts w:ascii="Arial" w:eastAsia="Times New Roman" w:hAnsi="Arial" w:cs="Arial"/>
                <w:b/>
                <w:bCs/>
                <w:color w:val="000000"/>
                <w:sz w:val="20"/>
                <w:szCs w:val="20"/>
                <w:lang w:eastAsia="en-GB"/>
              </w:rPr>
              <w:t xml:space="preserve"> 2020-21</w:t>
            </w:r>
          </w:p>
        </w:tc>
        <w:tc>
          <w:tcPr>
            <w:tcW w:w="850" w:type="dxa"/>
            <w:tcBorders>
              <w:top w:val="single" w:sz="4" w:space="0" w:color="auto"/>
              <w:left w:val="nil"/>
              <w:bottom w:val="single" w:sz="4" w:space="0" w:color="auto"/>
              <w:right w:val="single" w:sz="4" w:space="0" w:color="auto"/>
            </w:tcBorders>
            <w:shd w:val="clear" w:color="000000" w:fill="F2F2F2"/>
            <w:vAlign w:val="bottom"/>
          </w:tcPr>
          <w:p w:rsidR="0060671C" w:rsidRPr="008C6A41" w:rsidRDefault="0060671C" w:rsidP="00FB1C2F">
            <w:pPr>
              <w:jc w:val="both"/>
              <w:rPr>
                <w:rFonts w:ascii="Arial" w:eastAsia="Times New Roman" w:hAnsi="Arial" w:cs="Arial"/>
                <w:b/>
                <w:bCs/>
                <w:color w:val="000000"/>
                <w:sz w:val="20"/>
                <w:szCs w:val="20"/>
                <w:lang w:eastAsia="en-GB"/>
              </w:rPr>
            </w:pPr>
          </w:p>
        </w:tc>
        <w:tc>
          <w:tcPr>
            <w:tcW w:w="1134" w:type="dxa"/>
            <w:tcBorders>
              <w:top w:val="single" w:sz="4" w:space="0" w:color="auto"/>
              <w:left w:val="nil"/>
              <w:bottom w:val="single" w:sz="4" w:space="0" w:color="auto"/>
              <w:right w:val="single" w:sz="4" w:space="0" w:color="auto"/>
            </w:tcBorders>
            <w:shd w:val="clear" w:color="000000" w:fill="F2F2F2"/>
            <w:vAlign w:val="bottom"/>
          </w:tcPr>
          <w:p w:rsidR="0060671C" w:rsidRPr="008C6A41" w:rsidRDefault="0060671C" w:rsidP="00FB1C2F">
            <w:pPr>
              <w:jc w:val="both"/>
              <w:rPr>
                <w:rFonts w:ascii="Arial" w:eastAsia="Times New Roman" w:hAnsi="Arial" w:cs="Arial"/>
                <w:b/>
                <w:bCs/>
                <w:color w:val="000000"/>
                <w:sz w:val="20"/>
                <w:szCs w:val="20"/>
                <w:lang w:eastAsia="en-GB"/>
              </w:rPr>
            </w:pPr>
            <w:r w:rsidRPr="008C6A41">
              <w:rPr>
                <w:rFonts w:ascii="Arial" w:eastAsia="Times New Roman" w:hAnsi="Arial" w:cs="Arial"/>
                <w:b/>
                <w:bCs/>
                <w:color w:val="000000"/>
                <w:sz w:val="20"/>
                <w:szCs w:val="20"/>
                <w:lang w:eastAsia="en-GB"/>
              </w:rPr>
              <w:t xml:space="preserve"> 2021-22</w:t>
            </w:r>
          </w:p>
        </w:tc>
        <w:tc>
          <w:tcPr>
            <w:tcW w:w="1054" w:type="dxa"/>
            <w:tcBorders>
              <w:top w:val="single" w:sz="4" w:space="0" w:color="auto"/>
              <w:left w:val="nil"/>
              <w:bottom w:val="single" w:sz="4" w:space="0" w:color="auto"/>
              <w:right w:val="single" w:sz="4" w:space="0" w:color="auto"/>
            </w:tcBorders>
            <w:shd w:val="clear" w:color="000000" w:fill="F2F2F2"/>
            <w:vAlign w:val="bottom"/>
          </w:tcPr>
          <w:p w:rsidR="0060671C" w:rsidRPr="008C6A41" w:rsidRDefault="0060671C" w:rsidP="00FB1C2F">
            <w:pPr>
              <w:jc w:val="both"/>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2022-23</w:t>
            </w:r>
          </w:p>
        </w:tc>
      </w:tr>
      <w:tr w:rsidR="00D003F6" w:rsidRPr="008C6A41" w:rsidTr="00B046DF">
        <w:trPr>
          <w:trHeight w:val="630"/>
        </w:trPr>
        <w:tc>
          <w:tcPr>
            <w:tcW w:w="2802" w:type="dxa"/>
            <w:tcBorders>
              <w:top w:val="single" w:sz="4" w:space="0" w:color="auto"/>
              <w:left w:val="single" w:sz="4" w:space="0" w:color="auto"/>
              <w:bottom w:val="single" w:sz="4" w:space="0" w:color="auto"/>
              <w:right w:val="nil"/>
            </w:tcBorders>
            <w:shd w:val="clear" w:color="auto" w:fill="auto"/>
            <w:noWrap/>
            <w:vAlign w:val="center"/>
          </w:tcPr>
          <w:p w:rsidR="0060671C" w:rsidRPr="008C6A41" w:rsidRDefault="0060671C" w:rsidP="00F158B0">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w:t>
            </w:r>
            <w:r w:rsidR="005B1B20">
              <w:rPr>
                <w:rFonts w:ascii="Arial" w:eastAsia="Times New Roman" w:hAnsi="Arial" w:cs="Arial"/>
                <w:color w:val="000000"/>
                <w:sz w:val="20"/>
                <w:szCs w:val="20"/>
                <w:lang w:eastAsia="en-GB"/>
              </w:rPr>
              <w:t xml:space="preserve">ulmonary </w:t>
            </w:r>
            <w:r>
              <w:rPr>
                <w:rFonts w:ascii="Arial" w:eastAsia="Times New Roman" w:hAnsi="Arial" w:cs="Arial"/>
                <w:color w:val="000000"/>
                <w:sz w:val="20"/>
                <w:szCs w:val="20"/>
                <w:lang w:eastAsia="en-GB"/>
              </w:rPr>
              <w:t>R</w:t>
            </w:r>
            <w:r w:rsidR="005B1B20">
              <w:rPr>
                <w:rFonts w:ascii="Arial" w:eastAsia="Times New Roman" w:hAnsi="Arial" w:cs="Arial"/>
                <w:color w:val="000000"/>
                <w:sz w:val="20"/>
                <w:szCs w:val="20"/>
                <w:lang w:eastAsia="en-GB"/>
              </w:rPr>
              <w:t>ehabilitation</w:t>
            </w:r>
          </w:p>
        </w:tc>
        <w:tc>
          <w:tcPr>
            <w:tcW w:w="1134" w:type="dxa"/>
            <w:tcBorders>
              <w:top w:val="single" w:sz="4" w:space="0" w:color="auto"/>
              <w:left w:val="single" w:sz="4" w:space="0" w:color="auto"/>
              <w:bottom w:val="single" w:sz="4" w:space="0" w:color="auto"/>
              <w:right w:val="single" w:sz="4" w:space="0" w:color="auto"/>
            </w:tcBorders>
            <w:shd w:val="clear" w:color="000000" w:fill="92CDDC"/>
            <w:noWrap/>
            <w:vAlign w:val="center"/>
          </w:tcPr>
          <w:p w:rsidR="0060671C" w:rsidRPr="008C6A41" w:rsidRDefault="0062545C" w:rsidP="00FB1C2F">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453</w:t>
            </w:r>
          </w:p>
        </w:tc>
        <w:tc>
          <w:tcPr>
            <w:tcW w:w="1134" w:type="dxa"/>
            <w:tcBorders>
              <w:top w:val="single" w:sz="4" w:space="0" w:color="auto"/>
              <w:left w:val="nil"/>
              <w:bottom w:val="single" w:sz="4" w:space="0" w:color="auto"/>
              <w:right w:val="single" w:sz="4" w:space="0" w:color="auto"/>
            </w:tcBorders>
            <w:shd w:val="clear" w:color="000000" w:fill="92CDDC"/>
            <w:noWrap/>
            <w:vAlign w:val="center"/>
          </w:tcPr>
          <w:p w:rsidR="0060671C" w:rsidRPr="008C6A41" w:rsidRDefault="0062545C" w:rsidP="00FB1C2F">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607</w:t>
            </w:r>
          </w:p>
        </w:tc>
        <w:tc>
          <w:tcPr>
            <w:tcW w:w="1134" w:type="dxa"/>
            <w:tcBorders>
              <w:top w:val="single" w:sz="4" w:space="0" w:color="auto"/>
              <w:left w:val="nil"/>
              <w:bottom w:val="single" w:sz="4" w:space="0" w:color="auto"/>
              <w:right w:val="single" w:sz="4" w:space="0" w:color="auto"/>
            </w:tcBorders>
            <w:shd w:val="clear" w:color="000000" w:fill="92CDDC"/>
            <w:noWrap/>
            <w:vAlign w:val="center"/>
          </w:tcPr>
          <w:p w:rsidR="0060671C" w:rsidRPr="008C6A41" w:rsidRDefault="0062545C" w:rsidP="00FB1C2F">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626</w:t>
            </w:r>
          </w:p>
        </w:tc>
        <w:tc>
          <w:tcPr>
            <w:tcW w:w="850" w:type="dxa"/>
            <w:tcBorders>
              <w:top w:val="single" w:sz="4" w:space="0" w:color="auto"/>
              <w:left w:val="nil"/>
              <w:bottom w:val="single" w:sz="4" w:space="0" w:color="auto"/>
              <w:right w:val="single" w:sz="4" w:space="0" w:color="auto"/>
            </w:tcBorders>
            <w:shd w:val="clear" w:color="000000" w:fill="92CDDC"/>
            <w:noWrap/>
            <w:vAlign w:val="center"/>
          </w:tcPr>
          <w:p w:rsidR="0060671C" w:rsidRPr="008C6A41" w:rsidRDefault="0062545C" w:rsidP="00FB1C2F">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1,686</w:t>
            </w:r>
          </w:p>
        </w:tc>
        <w:tc>
          <w:tcPr>
            <w:tcW w:w="1134" w:type="dxa"/>
            <w:tcBorders>
              <w:top w:val="single" w:sz="4" w:space="0" w:color="auto"/>
              <w:left w:val="nil"/>
              <w:bottom w:val="single" w:sz="4" w:space="0" w:color="auto"/>
              <w:right w:val="single" w:sz="4" w:space="0" w:color="auto"/>
            </w:tcBorders>
            <w:shd w:val="clear" w:color="000000" w:fill="92CDDC"/>
            <w:noWrap/>
            <w:vAlign w:val="center"/>
          </w:tcPr>
          <w:p w:rsidR="0060671C" w:rsidRPr="008C6A41" w:rsidRDefault="0062545C" w:rsidP="00FB1C2F">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638</w:t>
            </w:r>
          </w:p>
        </w:tc>
        <w:tc>
          <w:tcPr>
            <w:tcW w:w="1054" w:type="dxa"/>
            <w:tcBorders>
              <w:top w:val="single" w:sz="4" w:space="0" w:color="auto"/>
              <w:left w:val="nil"/>
              <w:bottom w:val="single" w:sz="4" w:space="0" w:color="auto"/>
              <w:right w:val="single" w:sz="4" w:space="0" w:color="auto"/>
            </w:tcBorders>
            <w:shd w:val="clear" w:color="000000" w:fill="92CDDC"/>
            <w:noWrap/>
            <w:vAlign w:val="center"/>
          </w:tcPr>
          <w:p w:rsidR="0060671C" w:rsidRPr="008C6A41" w:rsidRDefault="0062545C" w:rsidP="00FB1C2F">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638</w:t>
            </w:r>
          </w:p>
        </w:tc>
      </w:tr>
      <w:tr w:rsidR="00D003F6" w:rsidRPr="008C6A41" w:rsidTr="00B046DF">
        <w:trPr>
          <w:trHeight w:val="630"/>
        </w:trPr>
        <w:tc>
          <w:tcPr>
            <w:tcW w:w="2802" w:type="dxa"/>
            <w:tcBorders>
              <w:top w:val="single" w:sz="4" w:space="0" w:color="auto"/>
              <w:left w:val="single" w:sz="4" w:space="0" w:color="auto"/>
              <w:bottom w:val="single" w:sz="4" w:space="0" w:color="auto"/>
              <w:right w:val="nil"/>
            </w:tcBorders>
            <w:shd w:val="clear" w:color="auto" w:fill="auto"/>
            <w:noWrap/>
            <w:vAlign w:val="center"/>
          </w:tcPr>
          <w:p w:rsidR="0060671C" w:rsidRDefault="0062545C" w:rsidP="00F158B0">
            <w:pP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Home oxygen </w:t>
            </w:r>
            <w:r w:rsidR="00B046DF">
              <w:rPr>
                <w:rFonts w:ascii="Arial" w:eastAsia="Times New Roman" w:hAnsi="Arial" w:cs="Arial"/>
                <w:color w:val="000000"/>
                <w:sz w:val="20"/>
                <w:szCs w:val="20"/>
                <w:lang w:eastAsia="en-GB"/>
              </w:rPr>
              <w:t>assessment</w:t>
            </w:r>
            <w:bookmarkStart w:id="0" w:name="_GoBack"/>
            <w:bookmarkEnd w:id="0"/>
          </w:p>
        </w:tc>
        <w:tc>
          <w:tcPr>
            <w:tcW w:w="1134" w:type="dxa"/>
            <w:tcBorders>
              <w:top w:val="single" w:sz="4" w:space="0" w:color="auto"/>
              <w:left w:val="single" w:sz="4" w:space="0" w:color="auto"/>
              <w:bottom w:val="single" w:sz="4" w:space="0" w:color="auto"/>
              <w:right w:val="single" w:sz="4" w:space="0" w:color="auto"/>
            </w:tcBorders>
            <w:shd w:val="clear" w:color="000000" w:fill="92CDDC"/>
            <w:noWrap/>
            <w:vAlign w:val="center"/>
          </w:tcPr>
          <w:p w:rsidR="0060671C" w:rsidRPr="008C6A41" w:rsidRDefault="009248B3" w:rsidP="00FB1C2F">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280</w:t>
            </w:r>
          </w:p>
        </w:tc>
        <w:tc>
          <w:tcPr>
            <w:tcW w:w="1134" w:type="dxa"/>
            <w:tcBorders>
              <w:top w:val="single" w:sz="4" w:space="0" w:color="auto"/>
              <w:left w:val="nil"/>
              <w:bottom w:val="single" w:sz="4" w:space="0" w:color="auto"/>
              <w:right w:val="single" w:sz="4" w:space="0" w:color="auto"/>
            </w:tcBorders>
            <w:shd w:val="clear" w:color="000000" w:fill="92CDDC"/>
            <w:noWrap/>
            <w:vAlign w:val="center"/>
          </w:tcPr>
          <w:p w:rsidR="0060671C" w:rsidRPr="008C6A41" w:rsidRDefault="009248B3" w:rsidP="00FB1C2F">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280</w:t>
            </w:r>
          </w:p>
        </w:tc>
        <w:tc>
          <w:tcPr>
            <w:tcW w:w="1134" w:type="dxa"/>
            <w:tcBorders>
              <w:top w:val="single" w:sz="4" w:space="0" w:color="auto"/>
              <w:left w:val="nil"/>
              <w:bottom w:val="single" w:sz="4" w:space="0" w:color="auto"/>
              <w:right w:val="single" w:sz="4" w:space="0" w:color="auto"/>
            </w:tcBorders>
            <w:shd w:val="clear" w:color="000000" w:fill="92CDDC"/>
            <w:noWrap/>
            <w:vAlign w:val="center"/>
          </w:tcPr>
          <w:p w:rsidR="0060671C" w:rsidRPr="008C6A41" w:rsidRDefault="009248B3" w:rsidP="00FB1C2F">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280</w:t>
            </w:r>
          </w:p>
        </w:tc>
        <w:tc>
          <w:tcPr>
            <w:tcW w:w="850" w:type="dxa"/>
            <w:tcBorders>
              <w:top w:val="single" w:sz="4" w:space="0" w:color="auto"/>
              <w:left w:val="nil"/>
              <w:bottom w:val="single" w:sz="4" w:space="0" w:color="auto"/>
              <w:right w:val="single" w:sz="4" w:space="0" w:color="auto"/>
            </w:tcBorders>
            <w:shd w:val="clear" w:color="000000" w:fill="92CDDC"/>
            <w:noWrap/>
            <w:vAlign w:val="center"/>
          </w:tcPr>
          <w:p w:rsidR="0060671C" w:rsidRPr="008C6A41" w:rsidRDefault="009248B3" w:rsidP="00FB1C2F">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840</w:t>
            </w:r>
          </w:p>
        </w:tc>
        <w:tc>
          <w:tcPr>
            <w:tcW w:w="1134" w:type="dxa"/>
            <w:tcBorders>
              <w:top w:val="single" w:sz="4" w:space="0" w:color="auto"/>
              <w:left w:val="nil"/>
              <w:bottom w:val="single" w:sz="4" w:space="0" w:color="auto"/>
              <w:right w:val="single" w:sz="4" w:space="0" w:color="auto"/>
            </w:tcBorders>
            <w:shd w:val="clear" w:color="000000" w:fill="92CDDC"/>
            <w:noWrap/>
            <w:vAlign w:val="center"/>
          </w:tcPr>
          <w:p w:rsidR="0060671C" w:rsidRDefault="009248B3" w:rsidP="00FB1C2F">
            <w:pPr>
              <w:jc w:val="both"/>
              <w:rPr>
                <w:rStyle w:val="CommentReference"/>
              </w:rPr>
            </w:pPr>
            <w:r>
              <w:rPr>
                <w:rStyle w:val="CommentReference"/>
              </w:rPr>
              <w:t>280</w:t>
            </w:r>
          </w:p>
        </w:tc>
        <w:tc>
          <w:tcPr>
            <w:tcW w:w="1054" w:type="dxa"/>
            <w:tcBorders>
              <w:top w:val="single" w:sz="4" w:space="0" w:color="auto"/>
              <w:left w:val="nil"/>
              <w:bottom w:val="single" w:sz="4" w:space="0" w:color="auto"/>
              <w:right w:val="single" w:sz="4" w:space="0" w:color="auto"/>
            </w:tcBorders>
            <w:shd w:val="clear" w:color="000000" w:fill="92CDDC"/>
            <w:noWrap/>
            <w:vAlign w:val="center"/>
          </w:tcPr>
          <w:p w:rsidR="0060671C" w:rsidRPr="008C6A41" w:rsidRDefault="009248B3" w:rsidP="00FB1C2F">
            <w:pPr>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280</w:t>
            </w:r>
          </w:p>
        </w:tc>
      </w:tr>
    </w:tbl>
    <w:p w:rsidR="008C6A41" w:rsidRPr="008C6A41" w:rsidRDefault="008C6A41" w:rsidP="007429E5">
      <w:pPr>
        <w:jc w:val="both"/>
      </w:pPr>
    </w:p>
    <w:sectPr w:rsidR="008C6A41" w:rsidRPr="008C6A41" w:rsidSect="00F979AA">
      <w:headerReference w:type="default" r:id="rId11"/>
      <w:footerReference w:type="default" r:id="rId12"/>
      <w:pgSz w:w="11906" w:h="16838"/>
      <w:pgMar w:top="1440" w:right="1440" w:bottom="1134"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25EC" w:rsidRDefault="00CB25EC" w:rsidP="00AA06CF">
      <w:r>
        <w:separator/>
      </w:r>
    </w:p>
  </w:endnote>
  <w:endnote w:type="continuationSeparator" w:id="0">
    <w:p w:rsidR="00CB25EC" w:rsidRDefault="00CB25EC" w:rsidP="00AA0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211849"/>
      <w:docPartObj>
        <w:docPartGallery w:val="Page Numbers (Bottom of Page)"/>
        <w:docPartUnique/>
      </w:docPartObj>
    </w:sdtPr>
    <w:sdtEndPr>
      <w:rPr>
        <w:noProof/>
      </w:rPr>
    </w:sdtEndPr>
    <w:sdtContent>
      <w:p w:rsidR="00F979AA" w:rsidRDefault="00F979AA">
        <w:pPr>
          <w:pStyle w:val="Footer"/>
          <w:jc w:val="right"/>
        </w:pPr>
        <w:r>
          <w:fldChar w:fldCharType="begin"/>
        </w:r>
        <w:r>
          <w:instrText xml:space="preserve"> PAGE   \* MERGEFORMAT </w:instrText>
        </w:r>
        <w:r>
          <w:fldChar w:fldCharType="separate"/>
        </w:r>
        <w:r w:rsidR="00B046DF">
          <w:rPr>
            <w:noProof/>
          </w:rPr>
          <w:t>5</w:t>
        </w:r>
        <w:r>
          <w:rPr>
            <w:noProof/>
          </w:rPr>
          <w:fldChar w:fldCharType="end"/>
        </w:r>
      </w:p>
    </w:sdtContent>
  </w:sdt>
  <w:p w:rsidR="00F979AA" w:rsidRDefault="00F979AA" w:rsidP="00BC47B8">
    <w:pPr>
      <w:pStyle w:val="Footer"/>
    </w:pPr>
    <w:r>
      <w:t>V 1.3 15/08/2017</w:t>
    </w:r>
  </w:p>
  <w:p w:rsidR="00F979AA" w:rsidRDefault="00F979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25EC" w:rsidRDefault="00CB25EC" w:rsidP="00AA06CF">
      <w:r>
        <w:separator/>
      </w:r>
    </w:p>
  </w:footnote>
  <w:footnote w:type="continuationSeparator" w:id="0">
    <w:p w:rsidR="00CB25EC" w:rsidRDefault="00CB25EC" w:rsidP="00AA0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9AA" w:rsidRDefault="00F979AA" w:rsidP="00DC562B">
    <w:pPr>
      <w:pStyle w:val="Header"/>
      <w:jc w:val="right"/>
    </w:pPr>
    <w:r>
      <w:rPr>
        <w:noProof/>
        <w:lang w:eastAsia="en-GB"/>
      </w:rPr>
      <w:drawing>
        <wp:inline distT="0" distB="0" distL="0" distR="0" wp14:anchorId="50AE6520" wp14:editId="4D6A5531">
          <wp:extent cx="2169041" cy="552893"/>
          <wp:effectExtent l="0" t="0" r="3175" b="0"/>
          <wp:docPr id="10" name="Picture 0" descr="Hounslow CCG col.jpg"/>
          <wp:cNvGraphicFramePr/>
          <a:graphic xmlns:a="http://schemas.openxmlformats.org/drawingml/2006/main">
            <a:graphicData uri="http://schemas.openxmlformats.org/drawingml/2006/picture">
              <pic:pic xmlns:pic="http://schemas.openxmlformats.org/drawingml/2006/picture">
                <pic:nvPicPr>
                  <pic:cNvPr id="1" name="Picture 0" descr="Hounslow CCG col.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83" cy="553592"/>
                  </a:xfrm>
                  <a:prstGeom prst="rect">
                    <a:avLst/>
                  </a:prstGeom>
                  <a:noFill/>
                  <a:ln>
                    <a:noFill/>
                  </a:ln>
                </pic:spPr>
              </pic:pic>
            </a:graphicData>
          </a:graphic>
        </wp:inline>
      </w:drawing>
    </w:r>
  </w:p>
  <w:p w:rsidR="00F979AA" w:rsidRDefault="00F979AA" w:rsidP="00DC562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42C5"/>
    <w:multiLevelType w:val="hybridMultilevel"/>
    <w:tmpl w:val="93140636"/>
    <w:lvl w:ilvl="0" w:tplc="DFFEA1A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420D81"/>
    <w:multiLevelType w:val="hybridMultilevel"/>
    <w:tmpl w:val="92AAE634"/>
    <w:lvl w:ilvl="0" w:tplc="B088DCB4">
      <w:numFmt w:val="bullet"/>
      <w:lvlText w:val=""/>
      <w:lvlJc w:val="left"/>
      <w:pPr>
        <w:ind w:left="720" w:hanging="72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F4D409A"/>
    <w:multiLevelType w:val="hybridMultilevel"/>
    <w:tmpl w:val="4C640734"/>
    <w:lvl w:ilvl="0" w:tplc="B088DCB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702DF0"/>
    <w:multiLevelType w:val="hybridMultilevel"/>
    <w:tmpl w:val="6276A302"/>
    <w:lvl w:ilvl="0" w:tplc="85FA469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BD7D21"/>
    <w:multiLevelType w:val="hybridMultilevel"/>
    <w:tmpl w:val="7E10B90C"/>
    <w:lvl w:ilvl="0" w:tplc="B088DCB4">
      <w:numFmt w:val="bullet"/>
      <w:lvlText w:val=""/>
      <w:lvlJc w:val="left"/>
      <w:pPr>
        <w:ind w:left="72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CC4194"/>
    <w:multiLevelType w:val="hybridMultilevel"/>
    <w:tmpl w:val="3768F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A529EC"/>
    <w:multiLevelType w:val="hybridMultilevel"/>
    <w:tmpl w:val="F75AB82E"/>
    <w:lvl w:ilvl="0" w:tplc="B088DCB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EAE12E0"/>
    <w:multiLevelType w:val="hybridMultilevel"/>
    <w:tmpl w:val="02781558"/>
    <w:lvl w:ilvl="0" w:tplc="699AC89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5F001EA"/>
    <w:multiLevelType w:val="hybridMultilevel"/>
    <w:tmpl w:val="479C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3636F2"/>
    <w:multiLevelType w:val="hybridMultilevel"/>
    <w:tmpl w:val="E1482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22A7E1E"/>
    <w:multiLevelType w:val="hybridMultilevel"/>
    <w:tmpl w:val="77384064"/>
    <w:lvl w:ilvl="0" w:tplc="FA7E5AC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08264A0"/>
    <w:multiLevelType w:val="hybridMultilevel"/>
    <w:tmpl w:val="449EDE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9DA49B4"/>
    <w:multiLevelType w:val="hybridMultilevel"/>
    <w:tmpl w:val="8D92B4AA"/>
    <w:lvl w:ilvl="0" w:tplc="B088DCB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0C1215A"/>
    <w:multiLevelType w:val="hybridMultilevel"/>
    <w:tmpl w:val="468A91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C704B68"/>
    <w:multiLevelType w:val="hybridMultilevel"/>
    <w:tmpl w:val="45A4343E"/>
    <w:lvl w:ilvl="0" w:tplc="B088DCB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267311A"/>
    <w:multiLevelType w:val="hybridMultilevel"/>
    <w:tmpl w:val="D434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9C724E6"/>
    <w:multiLevelType w:val="hybridMultilevel"/>
    <w:tmpl w:val="99C22AEC"/>
    <w:lvl w:ilvl="0" w:tplc="FA7E5AC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10"/>
  </w:num>
  <w:num w:numId="5">
    <w:abstractNumId w:val="16"/>
  </w:num>
  <w:num w:numId="6">
    <w:abstractNumId w:val="6"/>
  </w:num>
  <w:num w:numId="7">
    <w:abstractNumId w:val="12"/>
  </w:num>
  <w:num w:numId="8">
    <w:abstractNumId w:val="7"/>
  </w:num>
  <w:num w:numId="9">
    <w:abstractNumId w:val="14"/>
  </w:num>
  <w:num w:numId="10">
    <w:abstractNumId w:val="2"/>
  </w:num>
  <w:num w:numId="11">
    <w:abstractNumId w:val="0"/>
  </w:num>
  <w:num w:numId="12">
    <w:abstractNumId w:val="11"/>
  </w:num>
  <w:num w:numId="13">
    <w:abstractNumId w:val="15"/>
  </w:num>
  <w:num w:numId="14">
    <w:abstractNumId w:val="9"/>
  </w:num>
  <w:num w:numId="15">
    <w:abstractNumId w:val="13"/>
  </w:num>
  <w:num w:numId="16">
    <w:abstractNumId w:val="8"/>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6CF"/>
    <w:rsid w:val="00053CB2"/>
    <w:rsid w:val="0007458C"/>
    <w:rsid w:val="000E76A1"/>
    <w:rsid w:val="00214748"/>
    <w:rsid w:val="00221328"/>
    <w:rsid w:val="002551BF"/>
    <w:rsid w:val="002670B8"/>
    <w:rsid w:val="00271EF3"/>
    <w:rsid w:val="00277B52"/>
    <w:rsid w:val="0028313F"/>
    <w:rsid w:val="0031660E"/>
    <w:rsid w:val="00365384"/>
    <w:rsid w:val="00377D16"/>
    <w:rsid w:val="003A0369"/>
    <w:rsid w:val="003B0F26"/>
    <w:rsid w:val="003E2685"/>
    <w:rsid w:val="003F0A70"/>
    <w:rsid w:val="00482E4D"/>
    <w:rsid w:val="00526CDD"/>
    <w:rsid w:val="005326B6"/>
    <w:rsid w:val="00554802"/>
    <w:rsid w:val="005B1B20"/>
    <w:rsid w:val="005E2E33"/>
    <w:rsid w:val="005E7F25"/>
    <w:rsid w:val="005F4A3B"/>
    <w:rsid w:val="0060615B"/>
    <w:rsid w:val="0060671C"/>
    <w:rsid w:val="00621CEF"/>
    <w:rsid w:val="00624408"/>
    <w:rsid w:val="0062545C"/>
    <w:rsid w:val="00652F97"/>
    <w:rsid w:val="006628AC"/>
    <w:rsid w:val="00674A18"/>
    <w:rsid w:val="00717C58"/>
    <w:rsid w:val="007429E5"/>
    <w:rsid w:val="00791992"/>
    <w:rsid w:val="007A495D"/>
    <w:rsid w:val="007F5A2C"/>
    <w:rsid w:val="00811672"/>
    <w:rsid w:val="008455D4"/>
    <w:rsid w:val="008B2578"/>
    <w:rsid w:val="008C6A41"/>
    <w:rsid w:val="008D27AA"/>
    <w:rsid w:val="008D344C"/>
    <w:rsid w:val="009248B3"/>
    <w:rsid w:val="00927160"/>
    <w:rsid w:val="00936563"/>
    <w:rsid w:val="00994214"/>
    <w:rsid w:val="009A3DE1"/>
    <w:rsid w:val="009B4BCB"/>
    <w:rsid w:val="009E3482"/>
    <w:rsid w:val="00A27F40"/>
    <w:rsid w:val="00A76701"/>
    <w:rsid w:val="00A820AA"/>
    <w:rsid w:val="00A9101F"/>
    <w:rsid w:val="00AA06CF"/>
    <w:rsid w:val="00AA3470"/>
    <w:rsid w:val="00AB3D89"/>
    <w:rsid w:val="00AC6745"/>
    <w:rsid w:val="00AE54F7"/>
    <w:rsid w:val="00AE5C46"/>
    <w:rsid w:val="00AF1703"/>
    <w:rsid w:val="00B046DF"/>
    <w:rsid w:val="00B36B4C"/>
    <w:rsid w:val="00B5009D"/>
    <w:rsid w:val="00B708DD"/>
    <w:rsid w:val="00BA3A35"/>
    <w:rsid w:val="00BC47B8"/>
    <w:rsid w:val="00C25257"/>
    <w:rsid w:val="00CA341B"/>
    <w:rsid w:val="00CB25EC"/>
    <w:rsid w:val="00D003F6"/>
    <w:rsid w:val="00D11B39"/>
    <w:rsid w:val="00D374DB"/>
    <w:rsid w:val="00D468EE"/>
    <w:rsid w:val="00D95ECC"/>
    <w:rsid w:val="00DB286F"/>
    <w:rsid w:val="00DC562B"/>
    <w:rsid w:val="00DD4CB5"/>
    <w:rsid w:val="00DE0834"/>
    <w:rsid w:val="00DE3B0C"/>
    <w:rsid w:val="00DF7245"/>
    <w:rsid w:val="00E410BC"/>
    <w:rsid w:val="00EB35AE"/>
    <w:rsid w:val="00EB3ADC"/>
    <w:rsid w:val="00F0599A"/>
    <w:rsid w:val="00F158B0"/>
    <w:rsid w:val="00F86F1F"/>
    <w:rsid w:val="00F9776F"/>
    <w:rsid w:val="00F979AA"/>
    <w:rsid w:val="00FB1C2F"/>
    <w:rsid w:val="00FC1A65"/>
    <w:rsid w:val="00FD5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06CF"/>
    <w:pPr>
      <w:ind w:left="720"/>
      <w:contextualSpacing/>
    </w:pPr>
  </w:style>
  <w:style w:type="paragraph" w:styleId="FootnoteText">
    <w:name w:val="footnote text"/>
    <w:aliases w:val="~FootnoteText,RSK-FT Char,RSK-FT1 Char,RSK-FT2 Char,RSK-FT,RSK-FT1,RSK-FT2,Harestanes Ref,Char1, Char1"/>
    <w:basedOn w:val="Normal"/>
    <w:link w:val="FootnoteTextChar"/>
    <w:uiPriority w:val="99"/>
    <w:unhideWhenUsed/>
    <w:rsid w:val="00214748"/>
    <w:rPr>
      <w:rFonts w:ascii="Times New Roman" w:eastAsia="Times New Roman" w:hAnsi="Times New Roman" w:cs="Times New Roman"/>
      <w:sz w:val="20"/>
      <w:szCs w:val="20"/>
      <w:lang w:val="x-none" w:eastAsia="x-none"/>
    </w:rPr>
  </w:style>
  <w:style w:type="character" w:customStyle="1" w:styleId="FootnoteTextChar">
    <w:name w:val="Footnote Text Char"/>
    <w:aliases w:val="~FootnoteText Char,RSK-FT Char Char,RSK-FT1 Char Char,RSK-FT2 Char Char,RSK-FT Char1,RSK-FT1 Char1,RSK-FT2 Char1,Harestanes Ref Char,Char1 Char, Char1 Char"/>
    <w:basedOn w:val="DefaultParagraphFont"/>
    <w:link w:val="FootnoteText"/>
    <w:uiPriority w:val="99"/>
    <w:rsid w:val="00214748"/>
    <w:rPr>
      <w:rFonts w:ascii="Times New Roman" w:eastAsia="Times New Roman" w:hAnsi="Times New Roman" w:cs="Times New Roman"/>
      <w:sz w:val="20"/>
      <w:szCs w:val="20"/>
      <w:lang w:val="x-none" w:eastAsia="x-none"/>
    </w:rPr>
  </w:style>
  <w:style w:type="character" w:styleId="FootnoteReference">
    <w:name w:val="footnote reference"/>
    <w:uiPriority w:val="99"/>
    <w:unhideWhenUsed/>
    <w:rsid w:val="00214748"/>
    <w:rPr>
      <w:vertAlign w:val="superscript"/>
    </w:rPr>
  </w:style>
  <w:style w:type="paragraph" w:styleId="Header">
    <w:name w:val="header"/>
    <w:basedOn w:val="Normal"/>
    <w:link w:val="HeaderChar"/>
    <w:uiPriority w:val="99"/>
    <w:unhideWhenUsed/>
    <w:rsid w:val="00214748"/>
    <w:pPr>
      <w:tabs>
        <w:tab w:val="center" w:pos="4513"/>
        <w:tab w:val="right" w:pos="9026"/>
      </w:tabs>
    </w:pPr>
  </w:style>
  <w:style w:type="character" w:customStyle="1" w:styleId="HeaderChar">
    <w:name w:val="Header Char"/>
    <w:basedOn w:val="DefaultParagraphFont"/>
    <w:link w:val="Header"/>
    <w:uiPriority w:val="99"/>
    <w:rsid w:val="00214748"/>
  </w:style>
  <w:style w:type="paragraph" w:styleId="Footer">
    <w:name w:val="footer"/>
    <w:basedOn w:val="Normal"/>
    <w:link w:val="FooterChar"/>
    <w:uiPriority w:val="99"/>
    <w:unhideWhenUsed/>
    <w:rsid w:val="00214748"/>
    <w:pPr>
      <w:tabs>
        <w:tab w:val="center" w:pos="4513"/>
        <w:tab w:val="right" w:pos="9026"/>
      </w:tabs>
    </w:pPr>
  </w:style>
  <w:style w:type="character" w:customStyle="1" w:styleId="FooterChar">
    <w:name w:val="Footer Char"/>
    <w:basedOn w:val="DefaultParagraphFont"/>
    <w:link w:val="Footer"/>
    <w:uiPriority w:val="99"/>
    <w:rsid w:val="00214748"/>
  </w:style>
  <w:style w:type="paragraph" w:styleId="BalloonText">
    <w:name w:val="Balloon Text"/>
    <w:basedOn w:val="Normal"/>
    <w:link w:val="BalloonTextChar"/>
    <w:uiPriority w:val="99"/>
    <w:semiHidden/>
    <w:unhideWhenUsed/>
    <w:rsid w:val="008C6A41"/>
    <w:rPr>
      <w:rFonts w:ascii="Tahoma" w:hAnsi="Tahoma" w:cs="Tahoma"/>
      <w:sz w:val="16"/>
      <w:szCs w:val="16"/>
    </w:rPr>
  </w:style>
  <w:style w:type="character" w:customStyle="1" w:styleId="BalloonTextChar">
    <w:name w:val="Balloon Text Char"/>
    <w:basedOn w:val="DefaultParagraphFont"/>
    <w:link w:val="BalloonText"/>
    <w:uiPriority w:val="99"/>
    <w:semiHidden/>
    <w:rsid w:val="008C6A41"/>
    <w:rPr>
      <w:rFonts w:ascii="Tahoma" w:hAnsi="Tahoma" w:cs="Tahoma"/>
      <w:sz w:val="16"/>
      <w:szCs w:val="16"/>
    </w:rPr>
  </w:style>
  <w:style w:type="character" w:styleId="CommentReference">
    <w:name w:val="annotation reference"/>
    <w:basedOn w:val="DefaultParagraphFont"/>
    <w:uiPriority w:val="99"/>
    <w:semiHidden/>
    <w:unhideWhenUsed/>
    <w:rsid w:val="00AC6745"/>
    <w:rPr>
      <w:sz w:val="16"/>
      <w:szCs w:val="16"/>
    </w:rPr>
  </w:style>
  <w:style w:type="paragraph" w:styleId="CommentText">
    <w:name w:val="annotation text"/>
    <w:basedOn w:val="Normal"/>
    <w:link w:val="CommentTextChar"/>
    <w:uiPriority w:val="99"/>
    <w:semiHidden/>
    <w:unhideWhenUsed/>
    <w:rsid w:val="00AC6745"/>
    <w:rPr>
      <w:sz w:val="20"/>
      <w:szCs w:val="20"/>
    </w:rPr>
  </w:style>
  <w:style w:type="character" w:customStyle="1" w:styleId="CommentTextChar">
    <w:name w:val="Comment Text Char"/>
    <w:basedOn w:val="DefaultParagraphFont"/>
    <w:link w:val="CommentText"/>
    <w:uiPriority w:val="99"/>
    <w:semiHidden/>
    <w:rsid w:val="00AC6745"/>
    <w:rPr>
      <w:sz w:val="20"/>
      <w:szCs w:val="20"/>
    </w:rPr>
  </w:style>
  <w:style w:type="paragraph" w:styleId="CommentSubject">
    <w:name w:val="annotation subject"/>
    <w:basedOn w:val="CommentText"/>
    <w:next w:val="CommentText"/>
    <w:link w:val="CommentSubjectChar"/>
    <w:uiPriority w:val="99"/>
    <w:semiHidden/>
    <w:unhideWhenUsed/>
    <w:rsid w:val="00AC6745"/>
    <w:rPr>
      <w:b/>
      <w:bCs/>
    </w:rPr>
  </w:style>
  <w:style w:type="character" w:customStyle="1" w:styleId="CommentSubjectChar">
    <w:name w:val="Comment Subject Char"/>
    <w:basedOn w:val="CommentTextChar"/>
    <w:link w:val="CommentSubject"/>
    <w:uiPriority w:val="99"/>
    <w:semiHidden/>
    <w:rsid w:val="00AC674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06CF"/>
    <w:pPr>
      <w:ind w:left="720"/>
      <w:contextualSpacing/>
    </w:pPr>
  </w:style>
  <w:style w:type="paragraph" w:styleId="FootnoteText">
    <w:name w:val="footnote text"/>
    <w:aliases w:val="~FootnoteText,RSK-FT Char,RSK-FT1 Char,RSK-FT2 Char,RSK-FT,RSK-FT1,RSK-FT2,Harestanes Ref,Char1, Char1"/>
    <w:basedOn w:val="Normal"/>
    <w:link w:val="FootnoteTextChar"/>
    <w:uiPriority w:val="99"/>
    <w:unhideWhenUsed/>
    <w:rsid w:val="00214748"/>
    <w:rPr>
      <w:rFonts w:ascii="Times New Roman" w:eastAsia="Times New Roman" w:hAnsi="Times New Roman" w:cs="Times New Roman"/>
      <w:sz w:val="20"/>
      <w:szCs w:val="20"/>
      <w:lang w:val="x-none" w:eastAsia="x-none"/>
    </w:rPr>
  </w:style>
  <w:style w:type="character" w:customStyle="1" w:styleId="FootnoteTextChar">
    <w:name w:val="Footnote Text Char"/>
    <w:aliases w:val="~FootnoteText Char,RSK-FT Char Char,RSK-FT1 Char Char,RSK-FT2 Char Char,RSK-FT Char1,RSK-FT1 Char1,RSK-FT2 Char1,Harestanes Ref Char,Char1 Char, Char1 Char"/>
    <w:basedOn w:val="DefaultParagraphFont"/>
    <w:link w:val="FootnoteText"/>
    <w:uiPriority w:val="99"/>
    <w:rsid w:val="00214748"/>
    <w:rPr>
      <w:rFonts w:ascii="Times New Roman" w:eastAsia="Times New Roman" w:hAnsi="Times New Roman" w:cs="Times New Roman"/>
      <w:sz w:val="20"/>
      <w:szCs w:val="20"/>
      <w:lang w:val="x-none" w:eastAsia="x-none"/>
    </w:rPr>
  </w:style>
  <w:style w:type="character" w:styleId="FootnoteReference">
    <w:name w:val="footnote reference"/>
    <w:uiPriority w:val="99"/>
    <w:unhideWhenUsed/>
    <w:rsid w:val="00214748"/>
    <w:rPr>
      <w:vertAlign w:val="superscript"/>
    </w:rPr>
  </w:style>
  <w:style w:type="paragraph" w:styleId="Header">
    <w:name w:val="header"/>
    <w:basedOn w:val="Normal"/>
    <w:link w:val="HeaderChar"/>
    <w:uiPriority w:val="99"/>
    <w:unhideWhenUsed/>
    <w:rsid w:val="00214748"/>
    <w:pPr>
      <w:tabs>
        <w:tab w:val="center" w:pos="4513"/>
        <w:tab w:val="right" w:pos="9026"/>
      </w:tabs>
    </w:pPr>
  </w:style>
  <w:style w:type="character" w:customStyle="1" w:styleId="HeaderChar">
    <w:name w:val="Header Char"/>
    <w:basedOn w:val="DefaultParagraphFont"/>
    <w:link w:val="Header"/>
    <w:uiPriority w:val="99"/>
    <w:rsid w:val="00214748"/>
  </w:style>
  <w:style w:type="paragraph" w:styleId="Footer">
    <w:name w:val="footer"/>
    <w:basedOn w:val="Normal"/>
    <w:link w:val="FooterChar"/>
    <w:uiPriority w:val="99"/>
    <w:unhideWhenUsed/>
    <w:rsid w:val="00214748"/>
    <w:pPr>
      <w:tabs>
        <w:tab w:val="center" w:pos="4513"/>
        <w:tab w:val="right" w:pos="9026"/>
      </w:tabs>
    </w:pPr>
  </w:style>
  <w:style w:type="character" w:customStyle="1" w:styleId="FooterChar">
    <w:name w:val="Footer Char"/>
    <w:basedOn w:val="DefaultParagraphFont"/>
    <w:link w:val="Footer"/>
    <w:uiPriority w:val="99"/>
    <w:rsid w:val="00214748"/>
  </w:style>
  <w:style w:type="paragraph" w:styleId="BalloonText">
    <w:name w:val="Balloon Text"/>
    <w:basedOn w:val="Normal"/>
    <w:link w:val="BalloonTextChar"/>
    <w:uiPriority w:val="99"/>
    <w:semiHidden/>
    <w:unhideWhenUsed/>
    <w:rsid w:val="008C6A41"/>
    <w:rPr>
      <w:rFonts w:ascii="Tahoma" w:hAnsi="Tahoma" w:cs="Tahoma"/>
      <w:sz w:val="16"/>
      <w:szCs w:val="16"/>
    </w:rPr>
  </w:style>
  <w:style w:type="character" w:customStyle="1" w:styleId="BalloonTextChar">
    <w:name w:val="Balloon Text Char"/>
    <w:basedOn w:val="DefaultParagraphFont"/>
    <w:link w:val="BalloonText"/>
    <w:uiPriority w:val="99"/>
    <w:semiHidden/>
    <w:rsid w:val="008C6A41"/>
    <w:rPr>
      <w:rFonts w:ascii="Tahoma" w:hAnsi="Tahoma" w:cs="Tahoma"/>
      <w:sz w:val="16"/>
      <w:szCs w:val="16"/>
    </w:rPr>
  </w:style>
  <w:style w:type="character" w:styleId="CommentReference">
    <w:name w:val="annotation reference"/>
    <w:basedOn w:val="DefaultParagraphFont"/>
    <w:uiPriority w:val="99"/>
    <w:semiHidden/>
    <w:unhideWhenUsed/>
    <w:rsid w:val="00AC6745"/>
    <w:rPr>
      <w:sz w:val="16"/>
      <w:szCs w:val="16"/>
    </w:rPr>
  </w:style>
  <w:style w:type="paragraph" w:styleId="CommentText">
    <w:name w:val="annotation text"/>
    <w:basedOn w:val="Normal"/>
    <w:link w:val="CommentTextChar"/>
    <w:uiPriority w:val="99"/>
    <w:semiHidden/>
    <w:unhideWhenUsed/>
    <w:rsid w:val="00AC6745"/>
    <w:rPr>
      <w:sz w:val="20"/>
      <w:szCs w:val="20"/>
    </w:rPr>
  </w:style>
  <w:style w:type="character" w:customStyle="1" w:styleId="CommentTextChar">
    <w:name w:val="Comment Text Char"/>
    <w:basedOn w:val="DefaultParagraphFont"/>
    <w:link w:val="CommentText"/>
    <w:uiPriority w:val="99"/>
    <w:semiHidden/>
    <w:rsid w:val="00AC6745"/>
    <w:rPr>
      <w:sz w:val="20"/>
      <w:szCs w:val="20"/>
    </w:rPr>
  </w:style>
  <w:style w:type="paragraph" w:styleId="CommentSubject">
    <w:name w:val="annotation subject"/>
    <w:basedOn w:val="CommentText"/>
    <w:next w:val="CommentText"/>
    <w:link w:val="CommentSubjectChar"/>
    <w:uiPriority w:val="99"/>
    <w:semiHidden/>
    <w:unhideWhenUsed/>
    <w:rsid w:val="00AC6745"/>
    <w:rPr>
      <w:b/>
      <w:bCs/>
    </w:rPr>
  </w:style>
  <w:style w:type="character" w:customStyle="1" w:styleId="CommentSubjectChar">
    <w:name w:val="Comment Subject Char"/>
    <w:basedOn w:val="CommentTextChar"/>
    <w:link w:val="CommentSubject"/>
    <w:uiPriority w:val="99"/>
    <w:semiHidden/>
    <w:rsid w:val="00AC67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568426">
      <w:bodyDiv w:val="1"/>
      <w:marLeft w:val="0"/>
      <w:marRight w:val="0"/>
      <w:marTop w:val="0"/>
      <w:marBottom w:val="0"/>
      <w:divBdr>
        <w:top w:val="none" w:sz="0" w:space="0" w:color="auto"/>
        <w:left w:val="none" w:sz="0" w:space="0" w:color="auto"/>
        <w:bottom w:val="none" w:sz="0" w:space="0" w:color="auto"/>
        <w:right w:val="none" w:sz="0" w:space="0" w:color="auto"/>
      </w:divBdr>
    </w:div>
    <w:div w:id="1435049920">
      <w:bodyDiv w:val="1"/>
      <w:marLeft w:val="0"/>
      <w:marRight w:val="0"/>
      <w:marTop w:val="0"/>
      <w:marBottom w:val="0"/>
      <w:divBdr>
        <w:top w:val="none" w:sz="0" w:space="0" w:color="auto"/>
        <w:left w:val="none" w:sz="0" w:space="0" w:color="auto"/>
        <w:bottom w:val="none" w:sz="0" w:space="0" w:color="auto"/>
        <w:right w:val="none" w:sz="0" w:space="0" w:color="auto"/>
      </w:divBdr>
    </w:div>
    <w:div w:id="1507592047">
      <w:bodyDiv w:val="1"/>
      <w:marLeft w:val="0"/>
      <w:marRight w:val="0"/>
      <w:marTop w:val="0"/>
      <w:marBottom w:val="0"/>
      <w:divBdr>
        <w:top w:val="none" w:sz="0" w:space="0" w:color="auto"/>
        <w:left w:val="none" w:sz="0" w:space="0" w:color="auto"/>
        <w:bottom w:val="none" w:sz="0" w:space="0" w:color="auto"/>
        <w:right w:val="none" w:sz="0" w:space="0" w:color="auto"/>
      </w:divBdr>
    </w:div>
    <w:div w:id="1510412881">
      <w:bodyDiv w:val="1"/>
      <w:marLeft w:val="0"/>
      <w:marRight w:val="0"/>
      <w:marTop w:val="0"/>
      <w:marBottom w:val="0"/>
      <w:divBdr>
        <w:top w:val="none" w:sz="0" w:space="0" w:color="auto"/>
        <w:left w:val="none" w:sz="0" w:space="0" w:color="auto"/>
        <w:bottom w:val="none" w:sz="0" w:space="0" w:color="auto"/>
        <w:right w:val="none" w:sz="0" w:space="0" w:color="auto"/>
      </w:divBdr>
    </w:div>
    <w:div w:id="1683898095">
      <w:bodyDiv w:val="1"/>
      <w:marLeft w:val="0"/>
      <w:marRight w:val="0"/>
      <w:marTop w:val="0"/>
      <w:marBottom w:val="0"/>
      <w:divBdr>
        <w:top w:val="none" w:sz="0" w:space="0" w:color="auto"/>
        <w:left w:val="none" w:sz="0" w:space="0" w:color="auto"/>
        <w:bottom w:val="none" w:sz="0" w:space="0" w:color="auto"/>
        <w:right w:val="none" w:sz="0" w:space="0" w:color="auto"/>
      </w:divBdr>
    </w:div>
    <w:div w:id="1730688987">
      <w:bodyDiv w:val="1"/>
      <w:marLeft w:val="0"/>
      <w:marRight w:val="0"/>
      <w:marTop w:val="0"/>
      <w:marBottom w:val="0"/>
      <w:divBdr>
        <w:top w:val="none" w:sz="0" w:space="0" w:color="auto"/>
        <w:left w:val="none" w:sz="0" w:space="0" w:color="auto"/>
        <w:bottom w:val="none" w:sz="0" w:space="0" w:color="auto"/>
        <w:right w:val="none" w:sz="0" w:space="0" w:color="auto"/>
      </w:divBdr>
    </w:div>
    <w:div w:id="210842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3F713E80680D44933E32293D1D8663" ma:contentTypeVersion="3" ma:contentTypeDescription="Create a new document." ma:contentTypeScope="" ma:versionID="fd74eac9f02bfbf48ceebc857aae8945">
  <xsd:schema xmlns:xsd="http://www.w3.org/2001/XMLSchema" xmlns:xs="http://www.w3.org/2001/XMLSchema" xmlns:p="http://schemas.microsoft.com/office/2006/metadata/properties" targetNamespace="http://schemas.microsoft.com/office/2006/metadata/properties" ma:root="true" ma:fieldsID="1e0c01f8207a74e77387c2e70c6401a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37DA14-3D03-49B8-BD3A-9162165D1B2E}"/>
</file>

<file path=customXml/itemProps2.xml><?xml version="1.0" encoding="utf-8"?>
<ds:datastoreItem xmlns:ds="http://schemas.openxmlformats.org/officeDocument/2006/customXml" ds:itemID="{9AE31898-FDEB-44CC-BAAF-8377BD3F2AF2}"/>
</file>

<file path=customXml/itemProps3.xml><?xml version="1.0" encoding="utf-8"?>
<ds:datastoreItem xmlns:ds="http://schemas.openxmlformats.org/officeDocument/2006/customXml" ds:itemID="{12341E55-3480-4F60-A524-B420D5358793}"/>
</file>

<file path=customXml/itemProps4.xml><?xml version="1.0" encoding="utf-8"?>
<ds:datastoreItem xmlns:ds="http://schemas.openxmlformats.org/officeDocument/2006/customXml" ds:itemID="{65805328-DAC1-4880-A7B5-2BF220EEBC5C}"/>
</file>

<file path=docProps/app.xml><?xml version="1.0" encoding="utf-8"?>
<Properties xmlns="http://schemas.openxmlformats.org/officeDocument/2006/extended-properties" xmlns:vt="http://schemas.openxmlformats.org/officeDocument/2006/docPropsVTypes">
  <Template>Normal</Template>
  <TotalTime>3</TotalTime>
  <Pages>5</Pages>
  <Words>1451</Words>
  <Characters>8274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NWL Collaboration of CCG's</Company>
  <LinksUpToDate>false</LinksUpToDate>
  <CharactersWithSpaces>9706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 Makin</dc:creator>
  <cp:lastModifiedBy>Ekkehard Kugler</cp:lastModifiedBy>
  <cp:revision>4</cp:revision>
  <dcterms:created xsi:type="dcterms:W3CDTF">2017-08-16T14:10:00Z</dcterms:created>
  <dcterms:modified xsi:type="dcterms:W3CDTF">2017-08-17T07:52:00Z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0x010100C93F713E80680D44933E32293D1D8663</vt:lpwstr>
  </property>
</Properties>
</file>