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6BE" w:rsidRDefault="00D456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D456BE" w:rsidRDefault="0076523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D456BE" w:rsidRDefault="00D456B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D456BE" w:rsidRPr="008E6AB1" w:rsidRDefault="009861F3">
      <w:pPr>
        <w:spacing w:after="200" w:line="276" w:lineRule="auto"/>
        <w:jc w:val="left"/>
        <w:rPr>
          <w:rFonts w:ascii="Arial" w:eastAsia="Arial" w:hAnsi="Arial" w:cs="Arial"/>
          <w:color w:val="FF0000"/>
          <w:sz w:val="24"/>
          <w:szCs w:val="24"/>
        </w:rPr>
      </w:pPr>
      <w:bookmarkStart w:id="1" w:name="_GoBack"/>
      <w:r w:rsidRPr="008E6AB1">
        <w:rPr>
          <w:rFonts w:ascii="Arial" w:eastAsia="Arial" w:hAnsi="Arial" w:cs="Arial"/>
          <w:b/>
          <w:color w:val="FF0000"/>
          <w:sz w:val="24"/>
          <w:szCs w:val="24"/>
        </w:rPr>
        <w:t>Redacted under FOIA section 43, Commercial Interests</w:t>
      </w:r>
    </w:p>
    <w:bookmarkEnd w:id="1"/>
    <w:p w:rsidR="00D456BE" w:rsidRDefault="00D456BE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D456BE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D456BE" w:rsidRDefault="00D456BE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D456BE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718" w:rsidRDefault="00BF0718">
      <w:pPr>
        <w:spacing w:after="0" w:line="240" w:lineRule="auto"/>
      </w:pPr>
      <w:r>
        <w:separator/>
      </w:r>
    </w:p>
  </w:endnote>
  <w:endnote w:type="continuationSeparator" w:id="0">
    <w:p w:rsidR="00BF0718" w:rsidRDefault="00BF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D456B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D456BE" w:rsidRDefault="0076523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D456BE" w:rsidRDefault="007652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718" w:rsidRDefault="00BF0718">
      <w:pPr>
        <w:spacing w:after="0" w:line="240" w:lineRule="auto"/>
      </w:pPr>
      <w:r>
        <w:separator/>
      </w:r>
    </w:p>
  </w:footnote>
  <w:footnote w:type="continuationSeparator" w:id="0">
    <w:p w:rsidR="00BF0718" w:rsidRDefault="00BF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D456BE" w:rsidRDefault="007652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D456BE" w:rsidRDefault="00D45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60290"/>
    <w:multiLevelType w:val="multilevel"/>
    <w:tmpl w:val="D6C85B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BE"/>
    <w:rsid w:val="00765232"/>
    <w:rsid w:val="008E6AB1"/>
    <w:rsid w:val="009861F3"/>
    <w:rsid w:val="00BF0718"/>
    <w:rsid w:val="00D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14986-F1E1-4A11-A053-2F01AB72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2024-01-12T10:53:00Z</dcterms:created>
  <dcterms:modified xsi:type="dcterms:W3CDTF">2024-01-12T10:53:00Z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