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E888" w14:textId="27AE9566" w:rsidR="007C75EE" w:rsidRDefault="007C75EE" w:rsidP="003E33A5">
      <w:pPr>
        <w:rPr>
          <w:rFonts w:ascii="Gill Sans" w:hAnsi="Gill Sans" w:cs="Arial"/>
          <w:sz w:val="22"/>
        </w:rPr>
      </w:pPr>
      <w:bookmarkStart w:id="0" w:name="_Hlk36818515"/>
      <w:r>
        <w:rPr>
          <w:rFonts w:ascii="Gill Sans" w:hAnsi="Gill Sans" w:cs="Arial"/>
          <w:sz w:val="22"/>
        </w:rPr>
        <w:t>.</w:t>
      </w:r>
    </w:p>
    <w:sdt>
      <w:sdtPr>
        <w:rPr>
          <w:rFonts w:ascii="Gill Sans" w:hAnsi="Gill Sans" w:cs="Arial"/>
          <w:sz w:val="22"/>
        </w:rPr>
        <w:id w:val="639922847"/>
        <w:docPartObj>
          <w:docPartGallery w:val="Cover Pages"/>
          <w:docPartUnique/>
        </w:docPartObj>
      </w:sdtPr>
      <w:sdtEndPr>
        <w:rPr>
          <w:rFonts w:ascii="Arial" w:hAnsi="Arial"/>
          <w:color w:val="4F81BD" w:themeColor="accent1"/>
        </w:rPr>
      </w:sdtEndPr>
      <w:sdtContent>
        <w:p w14:paraId="68392D12" w14:textId="2046A086" w:rsidR="00AE6708" w:rsidRDefault="00711D67" w:rsidP="003E33A5">
          <w:pPr>
            <w:rPr>
              <w:rFonts w:ascii="Gill Sans" w:hAnsi="Gill Sans" w:cs="Arial"/>
              <w:b/>
              <w:sz w:val="40"/>
            </w:rPr>
          </w:pPr>
          <w:r>
            <w:rPr>
              <w:rFonts w:ascii="Gill Sans" w:hAnsi="Gill Sans" w:cs="Arial"/>
              <w:b/>
              <w:sz w:val="40"/>
            </w:rPr>
            <w:t>Industr</w:t>
          </w:r>
          <w:r w:rsidR="00CF2BF6">
            <w:rPr>
              <w:rFonts w:ascii="Gill Sans" w:hAnsi="Gill Sans" w:cs="Arial"/>
              <w:b/>
              <w:sz w:val="40"/>
            </w:rPr>
            <w:t>ial Dwellings Society</w:t>
          </w:r>
        </w:p>
        <w:p w14:paraId="1E7DB3AB" w14:textId="77777777" w:rsidR="00CC025D" w:rsidRPr="00C32EDC" w:rsidRDefault="00CC025D" w:rsidP="003E33A5">
          <w:pPr>
            <w:rPr>
              <w:rFonts w:ascii="Gill Sans" w:hAnsi="Gill Sans" w:cs="Arial"/>
              <w:sz w:val="22"/>
            </w:rPr>
          </w:pPr>
        </w:p>
        <w:p w14:paraId="7482FBDB" w14:textId="77777777" w:rsidR="00AE6708" w:rsidRPr="00C32EDC" w:rsidRDefault="00AE6708" w:rsidP="0028386F">
          <w:pPr>
            <w:rPr>
              <w:rFonts w:ascii="Gill Sans" w:hAnsi="Gill Sans" w:cs="Arial"/>
              <w:b/>
              <w:bCs/>
              <w:sz w:val="40"/>
            </w:rPr>
          </w:pPr>
        </w:p>
        <w:p w14:paraId="73EE960F" w14:textId="77777777" w:rsidR="009605AC" w:rsidRDefault="009605AC" w:rsidP="0028386F">
          <w:pPr>
            <w:jc w:val="center"/>
            <w:rPr>
              <w:rFonts w:ascii="Gill Sans" w:hAnsi="Gill Sans" w:cs="Arial"/>
              <w:sz w:val="36"/>
            </w:rPr>
          </w:pPr>
        </w:p>
        <w:p w14:paraId="36D65A62" w14:textId="4645843B" w:rsidR="00AE6708" w:rsidRPr="00C32EDC" w:rsidRDefault="00AE6708" w:rsidP="0028386F">
          <w:pPr>
            <w:jc w:val="center"/>
            <w:rPr>
              <w:rFonts w:ascii="Gill Sans" w:hAnsi="Gill Sans" w:cs="Arial"/>
              <w:sz w:val="36"/>
            </w:rPr>
          </w:pPr>
          <w:r w:rsidRPr="00C32EDC">
            <w:rPr>
              <w:rFonts w:ascii="Gill Sans" w:hAnsi="Gill Sans" w:cs="Arial"/>
              <w:noProof/>
              <w:sz w:val="20"/>
              <w:lang w:eastAsia="en-GB"/>
            </w:rPr>
            <mc:AlternateContent>
              <mc:Choice Requires="wps">
                <w:drawing>
                  <wp:anchor distT="0" distB="0" distL="114300" distR="114300" simplePos="0" relativeHeight="251654144" behindDoc="0" locked="0" layoutInCell="1" allowOverlap="1" wp14:anchorId="2EB527A1" wp14:editId="76BE26E6">
                    <wp:simplePos x="0" y="0"/>
                    <wp:positionH relativeFrom="column">
                      <wp:posOffset>-76200</wp:posOffset>
                    </wp:positionH>
                    <wp:positionV relativeFrom="paragraph">
                      <wp:posOffset>175260</wp:posOffset>
                    </wp:positionV>
                    <wp:extent cx="6019800" cy="0"/>
                    <wp:effectExtent l="9525" t="13335" r="9525" b="571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0C3B"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"/>
                </w:pict>
              </mc:Fallback>
            </mc:AlternateContent>
          </w:r>
        </w:p>
        <w:p w14:paraId="58563B11" w14:textId="77777777" w:rsidR="00AE6708" w:rsidRPr="00C32EDC" w:rsidRDefault="00AE6708" w:rsidP="0028386F">
          <w:pPr>
            <w:jc w:val="center"/>
            <w:rPr>
              <w:rFonts w:ascii="Gill Sans" w:hAnsi="Gill Sans" w:cs="Arial"/>
              <w:sz w:val="36"/>
            </w:rPr>
          </w:pPr>
        </w:p>
        <w:p w14:paraId="7F24D05E" w14:textId="77777777" w:rsidR="00AE6708" w:rsidRPr="00C32EDC" w:rsidRDefault="00AE6708" w:rsidP="00D477F5">
          <w:pPr>
            <w:tabs>
              <w:tab w:val="left" w:pos="3180"/>
            </w:tabs>
            <w:rPr>
              <w:rFonts w:ascii="Gill Sans" w:hAnsi="Gill Sans" w:cs="Arial"/>
              <w:b/>
              <w:bCs/>
              <w:sz w:val="22"/>
            </w:rPr>
          </w:pPr>
          <w:r w:rsidRPr="00C32EDC">
            <w:rPr>
              <w:rFonts w:ascii="Gill Sans" w:hAnsi="Gill Sans" w:cs="Arial"/>
              <w:b/>
              <w:bCs/>
              <w:sz w:val="22"/>
            </w:rPr>
            <w:tab/>
          </w:r>
        </w:p>
        <w:p w14:paraId="425A9425" w14:textId="77777777" w:rsidR="00AE6708" w:rsidRPr="00C32EDC" w:rsidRDefault="00AE6708" w:rsidP="0028386F">
          <w:pPr>
            <w:rPr>
              <w:rFonts w:ascii="Gill Sans" w:hAnsi="Gill Sans" w:cs="Arial"/>
              <w:b/>
              <w:bCs/>
              <w:sz w:val="22"/>
            </w:rPr>
          </w:pPr>
          <w:r w:rsidRPr="00C32EDC">
            <w:rPr>
              <w:rFonts w:ascii="Gill Sans" w:hAnsi="Gill Sans" w:cs="Arial"/>
              <w:b/>
              <w:bCs/>
              <w:noProof/>
              <w:sz w:val="20"/>
              <w:lang w:eastAsia="en-GB"/>
            </w:rPr>
            <mc:AlternateContent>
              <mc:Choice Requires="wps">
                <w:drawing>
                  <wp:anchor distT="0" distB="0" distL="114300" distR="114300" simplePos="0" relativeHeight="251655168" behindDoc="0" locked="0" layoutInCell="1" allowOverlap="1" wp14:anchorId="77E73678" wp14:editId="7C218F9A">
                    <wp:simplePos x="0" y="0"/>
                    <wp:positionH relativeFrom="column">
                      <wp:posOffset>1828800</wp:posOffset>
                    </wp:positionH>
                    <wp:positionV relativeFrom="paragraph">
                      <wp:posOffset>139700</wp:posOffset>
                    </wp:positionV>
                    <wp:extent cx="4114800" cy="0"/>
                    <wp:effectExtent l="9525" t="6350" r="9525" b="1270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CB2AF"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"/>
                </w:pict>
              </mc:Fallback>
            </mc:AlternateContent>
          </w:r>
        </w:p>
        <w:p w14:paraId="27F21BCC" w14:textId="77777777" w:rsidR="00AE6708" w:rsidRPr="00C32EDC" w:rsidRDefault="00AE6708" w:rsidP="0028386F">
          <w:pPr>
            <w:rPr>
              <w:rFonts w:ascii="Gill Sans" w:hAnsi="Gill Sans" w:cs="Arial"/>
              <w:b/>
              <w:bCs/>
              <w:sz w:val="22"/>
            </w:rPr>
          </w:pPr>
        </w:p>
        <w:p w14:paraId="0E21181C" w14:textId="6209F047" w:rsidR="00AE6708" w:rsidRPr="00C32EDC" w:rsidRDefault="00AE6708" w:rsidP="00241702">
          <w:pPr>
            <w:ind w:left="2880"/>
            <w:rPr>
              <w:rFonts w:ascii="Gill Sans" w:hAnsi="Gill Sans" w:cs="Arial"/>
              <w:b/>
              <w:bCs/>
              <w:sz w:val="22"/>
            </w:rPr>
          </w:pPr>
          <w:r w:rsidRPr="00C32EDC">
            <w:rPr>
              <w:rFonts w:ascii="Gill Sans" w:hAnsi="Gill Sans" w:cs="Arial"/>
              <w:b/>
              <w:bCs/>
              <w:sz w:val="22"/>
            </w:rPr>
            <w:t>Contract for:</w:t>
          </w:r>
        </w:p>
        <w:p w14:paraId="3253CC6E" w14:textId="77777777" w:rsidR="00390319" w:rsidRPr="00C32EDC" w:rsidRDefault="00390319" w:rsidP="00241702">
          <w:pPr>
            <w:ind w:left="2880"/>
            <w:rPr>
              <w:rFonts w:ascii="Gill Sans" w:hAnsi="Gill Sans" w:cs="Arial"/>
              <w:b/>
              <w:bCs/>
              <w:sz w:val="22"/>
            </w:rPr>
          </w:pPr>
        </w:p>
        <w:p w14:paraId="44AE4036" w14:textId="2DAD9A47" w:rsidR="00F01AC6" w:rsidRPr="008C3227" w:rsidRDefault="00F01AC6" w:rsidP="00C32EDC">
          <w:pPr>
            <w:pStyle w:val="Body"/>
            <w:tabs>
              <w:tab w:val="clear" w:pos="1008"/>
              <w:tab w:val="clear" w:pos="2016"/>
              <w:tab w:val="clear" w:pos="3024"/>
              <w:tab w:val="clear" w:pos="4032"/>
              <w:tab w:val="clear" w:pos="5040"/>
              <w:tab w:val="clear" w:pos="6048"/>
              <w:tab w:val="clear" w:pos="7056"/>
              <w:tab w:val="clear" w:pos="8064"/>
              <w:tab w:val="clear" w:pos="9029"/>
              <w:tab w:val="left" w:pos="9607"/>
            </w:tabs>
            <w:ind w:left="2835"/>
            <w:jc w:val="left"/>
            <w:rPr>
              <w:rFonts w:ascii="Gill Sans" w:hAnsi="Gill Sans" w:cs="Arial"/>
              <w:b/>
              <w:bCs/>
              <w:sz w:val="36"/>
              <w:szCs w:val="36"/>
            </w:rPr>
          </w:pPr>
          <w:r w:rsidRPr="00C32EDC">
            <w:rPr>
              <w:rFonts w:ascii="Gill Sans" w:hAnsi="Gill Sans" w:cs="Arial"/>
              <w:sz w:val="28"/>
              <w:szCs w:val="28"/>
            </w:rPr>
            <w:tab/>
          </w:r>
          <w:r w:rsidR="00762FE9" w:rsidRPr="00762FE9">
            <w:rPr>
              <w:rFonts w:ascii="Gill Sans" w:hAnsi="Gill Sans" w:cs="Arial"/>
              <w:b/>
              <w:bCs/>
              <w:sz w:val="36"/>
              <w:szCs w:val="36"/>
            </w:rPr>
            <w:t xml:space="preserve">Internal Works Programme - </w:t>
          </w:r>
          <w:r w:rsidRPr="008C3227">
            <w:rPr>
              <w:rFonts w:ascii="Gill Sans" w:hAnsi="Gill Sans" w:cs="Arial"/>
              <w:b/>
              <w:bCs/>
              <w:sz w:val="36"/>
              <w:szCs w:val="36"/>
            </w:rPr>
            <w:t>Kitchens, Bathrooms Replacement</w:t>
          </w:r>
        </w:p>
        <w:p w14:paraId="1BD4747A" w14:textId="06ABD0EC" w:rsidR="00AE6708" w:rsidRPr="00C32EDC" w:rsidRDefault="00AE6708" w:rsidP="0028386F">
          <w:pPr>
            <w:rPr>
              <w:rFonts w:ascii="Gill Sans" w:hAnsi="Gill Sans" w:cs="Arial"/>
              <w:b/>
              <w:bCs/>
              <w:sz w:val="22"/>
            </w:rPr>
          </w:pPr>
        </w:p>
        <w:p w14:paraId="40853227" w14:textId="77777777" w:rsidR="00AE6708" w:rsidRPr="00C32EDC" w:rsidRDefault="00AE6708" w:rsidP="0028386F">
          <w:pPr>
            <w:rPr>
              <w:rFonts w:ascii="Gill Sans" w:hAnsi="Gill Sans" w:cs="Arial"/>
              <w:b/>
              <w:bCs/>
              <w:sz w:val="22"/>
            </w:rPr>
          </w:pPr>
          <w:r w:rsidRPr="00C32EDC">
            <w:rPr>
              <w:rFonts w:ascii="Gill Sans" w:hAnsi="Gill Sans" w:cs="Arial"/>
              <w:b/>
              <w:bCs/>
              <w:noProof/>
              <w:sz w:val="20"/>
              <w:lang w:eastAsia="en-GB"/>
            </w:rPr>
            <mc:AlternateContent>
              <mc:Choice Requires="wps">
                <w:drawing>
                  <wp:anchor distT="0" distB="0" distL="114300" distR="114300" simplePos="0" relativeHeight="251656192" behindDoc="0" locked="0" layoutInCell="1" allowOverlap="1" wp14:anchorId="2E8F0A72" wp14:editId="409088DD">
                    <wp:simplePos x="0" y="0"/>
                    <wp:positionH relativeFrom="column">
                      <wp:posOffset>1828800</wp:posOffset>
                    </wp:positionH>
                    <wp:positionV relativeFrom="paragraph">
                      <wp:posOffset>0</wp:posOffset>
                    </wp:positionV>
                    <wp:extent cx="4114800" cy="0"/>
                    <wp:effectExtent l="9525" t="9525" r="9525" b="952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62AD9"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"/>
                </w:pict>
              </mc:Fallback>
            </mc:AlternateContent>
          </w:r>
        </w:p>
        <w:p w14:paraId="50E1E718" w14:textId="30F83575" w:rsidR="00AE6708" w:rsidRPr="00C32EDC" w:rsidRDefault="00D6086F" w:rsidP="0028386F">
          <w:pPr>
            <w:rPr>
              <w:rFonts w:ascii="Gill Sans" w:hAnsi="Gill Sans" w:cs="Arial"/>
              <w:b/>
              <w:bCs/>
              <w:sz w:val="22"/>
            </w:rPr>
          </w:pPr>
          <w:r w:rsidRPr="00C32EDC">
            <w:rPr>
              <w:rFonts w:ascii="Gill Sans" w:hAnsi="Gill Sans" w:cs="Arial"/>
              <w:b/>
              <w:bCs/>
              <w:sz w:val="22"/>
            </w:rPr>
            <w:tab/>
          </w:r>
          <w:r w:rsidRPr="00C32EDC">
            <w:rPr>
              <w:rFonts w:ascii="Gill Sans" w:hAnsi="Gill Sans" w:cs="Arial"/>
              <w:b/>
              <w:bCs/>
              <w:sz w:val="22"/>
            </w:rPr>
            <w:tab/>
          </w:r>
          <w:r w:rsidRPr="00C32EDC">
            <w:rPr>
              <w:rFonts w:ascii="Gill Sans" w:hAnsi="Gill Sans" w:cs="Arial"/>
              <w:b/>
              <w:bCs/>
              <w:sz w:val="22"/>
            </w:rPr>
            <w:tab/>
          </w:r>
          <w:r w:rsidRPr="00C32EDC">
            <w:rPr>
              <w:rFonts w:ascii="Gill Sans" w:hAnsi="Gill Sans" w:cs="Arial"/>
              <w:b/>
              <w:bCs/>
              <w:sz w:val="22"/>
            </w:rPr>
            <w:tab/>
            <w:t xml:space="preserve">Ref: </w:t>
          </w:r>
          <w:r w:rsidR="00762FE9">
            <w:rPr>
              <w:rFonts w:ascii="Gill Sans" w:hAnsi="Gill Sans" w:cs="Arial"/>
              <w:b/>
              <w:bCs/>
              <w:sz w:val="22"/>
            </w:rPr>
            <w:t>IDS 001</w:t>
          </w:r>
          <w:r w:rsidR="00AE6708" w:rsidRPr="00C32EDC">
            <w:rPr>
              <w:rFonts w:ascii="Gill Sans" w:hAnsi="Gill Sans" w:cs="Arial"/>
              <w:b/>
              <w:bCs/>
              <w:sz w:val="22"/>
            </w:rPr>
            <w:tab/>
          </w:r>
          <w:r w:rsidR="00AE6708" w:rsidRPr="00C32EDC">
            <w:rPr>
              <w:rFonts w:ascii="Gill Sans" w:hAnsi="Gill Sans" w:cs="Arial"/>
              <w:b/>
              <w:bCs/>
              <w:sz w:val="22"/>
            </w:rPr>
            <w:tab/>
          </w:r>
          <w:r w:rsidR="00AE6708" w:rsidRPr="00C32EDC">
            <w:rPr>
              <w:rFonts w:ascii="Gill Sans" w:hAnsi="Gill Sans" w:cs="Arial"/>
              <w:b/>
              <w:bCs/>
              <w:sz w:val="22"/>
            </w:rPr>
            <w:tab/>
          </w:r>
          <w:r w:rsidR="00AE6708" w:rsidRPr="00C32EDC">
            <w:rPr>
              <w:rFonts w:ascii="Gill Sans" w:hAnsi="Gill Sans" w:cs="Arial"/>
              <w:b/>
              <w:bCs/>
              <w:sz w:val="22"/>
            </w:rPr>
            <w:tab/>
          </w:r>
          <w:r w:rsidRPr="00C32EDC">
            <w:rPr>
              <w:rFonts w:ascii="Gill Sans" w:hAnsi="Gill Sans" w:cs="Arial"/>
              <w:b/>
              <w:bCs/>
              <w:sz w:val="22"/>
            </w:rPr>
            <w:t xml:space="preserve">Date: </w:t>
          </w:r>
          <w:r w:rsidR="00762FE9">
            <w:rPr>
              <w:rFonts w:ascii="Gill Sans" w:hAnsi="Gill Sans" w:cs="Arial"/>
              <w:b/>
              <w:bCs/>
              <w:sz w:val="22"/>
            </w:rPr>
            <w:t>July</w:t>
          </w:r>
          <w:r w:rsidR="00AE6708" w:rsidRPr="00C32EDC">
            <w:rPr>
              <w:rFonts w:ascii="Gill Sans" w:hAnsi="Gill Sans" w:cs="Arial"/>
              <w:b/>
              <w:bCs/>
              <w:sz w:val="22"/>
            </w:rPr>
            <w:t xml:space="preserve"> 202</w:t>
          </w:r>
          <w:r w:rsidR="000208A7">
            <w:rPr>
              <w:rFonts w:ascii="Gill Sans" w:hAnsi="Gill Sans" w:cs="Arial"/>
              <w:b/>
              <w:bCs/>
              <w:sz w:val="22"/>
            </w:rPr>
            <w:t>3</w:t>
          </w:r>
        </w:p>
        <w:p w14:paraId="056B7743" w14:textId="77777777" w:rsidR="00AE6708" w:rsidRPr="00C32EDC" w:rsidRDefault="00AE6708" w:rsidP="0028386F">
          <w:pPr>
            <w:rPr>
              <w:rFonts w:ascii="Gill Sans" w:hAnsi="Gill Sans" w:cs="Arial"/>
              <w:b/>
              <w:bCs/>
              <w:sz w:val="22"/>
            </w:rPr>
          </w:pPr>
          <w:r w:rsidRPr="00C32EDC">
            <w:rPr>
              <w:rFonts w:ascii="Gill Sans" w:hAnsi="Gill Sans" w:cs="Arial"/>
              <w:b/>
              <w:bCs/>
              <w:noProof/>
              <w:sz w:val="20"/>
              <w:lang w:eastAsia="en-GB"/>
            </w:rPr>
            <mc:AlternateContent>
              <mc:Choice Requires="wps">
                <w:drawing>
                  <wp:anchor distT="0" distB="0" distL="114300" distR="114300" simplePos="0" relativeHeight="251657216" behindDoc="0" locked="0" layoutInCell="1" allowOverlap="1" wp14:anchorId="03DF4AC6" wp14:editId="28444228">
                    <wp:simplePos x="0" y="0"/>
                    <wp:positionH relativeFrom="column">
                      <wp:posOffset>1828800</wp:posOffset>
                    </wp:positionH>
                    <wp:positionV relativeFrom="paragraph">
                      <wp:posOffset>154940</wp:posOffset>
                    </wp:positionV>
                    <wp:extent cx="4114800" cy="0"/>
                    <wp:effectExtent l="9525" t="12065" r="9525" b="698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E17B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"/>
                </w:pict>
              </mc:Fallback>
            </mc:AlternateContent>
          </w:r>
        </w:p>
        <w:p w14:paraId="06CAFC44" w14:textId="77777777" w:rsidR="00AE6708" w:rsidRPr="00C32EDC" w:rsidRDefault="00AE6708" w:rsidP="0028386F">
          <w:pPr>
            <w:rPr>
              <w:rFonts w:ascii="Gill Sans" w:hAnsi="Gill Sans" w:cs="Arial"/>
              <w:b/>
              <w:bCs/>
              <w:sz w:val="22"/>
            </w:rPr>
          </w:pPr>
        </w:p>
        <w:p w14:paraId="21AC3B4D" w14:textId="1C4C65BE" w:rsidR="00AE6708" w:rsidRPr="00C32EDC" w:rsidRDefault="00AE6708" w:rsidP="00BA05CA">
          <w:pPr>
            <w:ind w:left="2160" w:firstLine="720"/>
            <w:rPr>
              <w:rFonts w:ascii="Gill Sans" w:hAnsi="Gill Sans" w:cs="Arial"/>
              <w:b/>
              <w:bCs/>
              <w:sz w:val="22"/>
            </w:rPr>
          </w:pPr>
          <w:bookmarkStart w:id="1" w:name="_Hlk38008954"/>
          <w:r w:rsidRPr="00C32EDC">
            <w:rPr>
              <w:rFonts w:ascii="Gill Sans" w:hAnsi="Gill Sans" w:cs="Arial"/>
              <w:b/>
              <w:bCs/>
              <w:sz w:val="22"/>
            </w:rPr>
            <w:t>Contract Administrator:</w:t>
          </w:r>
          <w:r w:rsidR="00BA05CA">
            <w:rPr>
              <w:rFonts w:ascii="Gill Sans" w:hAnsi="Gill Sans" w:cs="Arial"/>
              <w:b/>
              <w:bCs/>
              <w:sz w:val="22"/>
            </w:rPr>
            <w:tab/>
          </w:r>
          <w:r w:rsidR="000208A7" w:rsidRPr="00CC025D">
            <w:rPr>
              <w:rFonts w:ascii="Gill Sans" w:hAnsi="Gill Sans" w:cs="Arial"/>
              <w:b/>
              <w:bCs/>
              <w:sz w:val="22"/>
            </w:rPr>
            <w:t>Alvin Sum</w:t>
          </w:r>
        </w:p>
        <w:bookmarkEnd w:id="1"/>
        <w:p w14:paraId="676BD030" w14:textId="77777777" w:rsidR="00AE6708" w:rsidRPr="00C32EDC" w:rsidRDefault="00AE6708" w:rsidP="00571443">
          <w:pPr>
            <w:tabs>
              <w:tab w:val="left" w:pos="6360"/>
            </w:tabs>
            <w:rPr>
              <w:rFonts w:ascii="Gill Sans" w:hAnsi="Gill Sans" w:cs="Arial"/>
              <w:b/>
              <w:bCs/>
              <w:sz w:val="22"/>
            </w:rPr>
          </w:pPr>
          <w:r w:rsidRPr="00C32EDC">
            <w:rPr>
              <w:rFonts w:ascii="Gill Sans" w:hAnsi="Gill Sans" w:cs="Arial"/>
              <w:b/>
              <w:bCs/>
              <w:sz w:val="22"/>
            </w:rPr>
            <w:tab/>
          </w:r>
        </w:p>
        <w:p w14:paraId="2E1EC2C4" w14:textId="77777777" w:rsidR="00AE6708" w:rsidRPr="00C32EDC" w:rsidRDefault="00AE6708" w:rsidP="00571443">
          <w:pPr>
            <w:tabs>
              <w:tab w:val="left" w:pos="6360"/>
            </w:tabs>
            <w:rPr>
              <w:rFonts w:ascii="Gill Sans" w:hAnsi="Gill Sans" w:cs="Arial"/>
              <w:b/>
              <w:bCs/>
              <w:sz w:val="22"/>
            </w:rPr>
          </w:pPr>
        </w:p>
        <w:p w14:paraId="6D22A04F" w14:textId="77777777" w:rsidR="00AE6708" w:rsidRPr="00C32EDC" w:rsidRDefault="00AE6708">
          <w:pPr>
            <w:pStyle w:val="Title"/>
            <w:jc w:val="left"/>
            <w:rPr>
              <w:rFonts w:ascii="Gill Sans" w:hAnsi="Gill Sans"/>
              <w:sz w:val="40"/>
            </w:rPr>
          </w:pPr>
        </w:p>
        <w:p w14:paraId="646CDEFF" w14:textId="77777777" w:rsidR="00AE6708" w:rsidRPr="00C32EDC" w:rsidRDefault="007B1490" w:rsidP="0091750D">
          <w:pPr>
            <w:pStyle w:val="Title"/>
            <w:ind w:firstLine="2835"/>
            <w:jc w:val="left"/>
            <w:rPr>
              <w:rFonts w:ascii="Gill Sans" w:hAnsi="Gill Sans"/>
              <w:sz w:val="36"/>
              <w:szCs w:val="36"/>
            </w:rPr>
          </w:pPr>
          <w:r w:rsidRPr="00C32EDC">
            <w:rPr>
              <w:rFonts w:ascii="Gill Sans" w:hAnsi="Gill Sans"/>
              <w:sz w:val="36"/>
              <w:szCs w:val="36"/>
            </w:rPr>
            <w:t>Introduction to the Procurement</w:t>
          </w:r>
        </w:p>
        <w:p w14:paraId="3FB3D6D8" w14:textId="77777777" w:rsidR="00AE6708" w:rsidRPr="00C32EDC" w:rsidRDefault="00AE6708" w:rsidP="0091750D">
          <w:pPr>
            <w:pStyle w:val="Title"/>
            <w:ind w:firstLine="2835"/>
            <w:jc w:val="left"/>
            <w:rPr>
              <w:rFonts w:ascii="Gill Sans" w:hAnsi="Gill Sans"/>
              <w:sz w:val="36"/>
              <w:szCs w:val="36"/>
            </w:rPr>
          </w:pPr>
        </w:p>
        <w:p w14:paraId="7146001F" w14:textId="77777777" w:rsidR="00AE6708" w:rsidRPr="00C32EDC" w:rsidRDefault="0010528E" w:rsidP="0091750D">
          <w:pPr>
            <w:pStyle w:val="Title"/>
            <w:ind w:firstLine="2835"/>
            <w:jc w:val="left"/>
            <w:rPr>
              <w:rFonts w:ascii="Gill Sans" w:hAnsi="Gill Sans"/>
              <w:sz w:val="36"/>
              <w:szCs w:val="36"/>
            </w:rPr>
          </w:pPr>
          <w:r w:rsidRPr="00C32EDC">
            <w:rPr>
              <w:rFonts w:ascii="Gill Sans" w:hAnsi="Gill Sans"/>
              <w:sz w:val="36"/>
              <w:szCs w:val="36"/>
            </w:rPr>
            <w:t>Document</w:t>
          </w:r>
          <w:r w:rsidR="00AE6708" w:rsidRPr="00C32EDC">
            <w:rPr>
              <w:rFonts w:ascii="Gill Sans" w:hAnsi="Gill Sans"/>
              <w:sz w:val="36"/>
              <w:szCs w:val="36"/>
            </w:rPr>
            <w:t xml:space="preserve"> 1</w:t>
          </w:r>
        </w:p>
        <w:p w14:paraId="257F956E" w14:textId="77777777" w:rsidR="00AE6708" w:rsidRPr="00C32EDC" w:rsidRDefault="00AE6708" w:rsidP="0091750D">
          <w:pPr>
            <w:pStyle w:val="Title"/>
            <w:ind w:firstLine="2835"/>
            <w:jc w:val="left"/>
            <w:rPr>
              <w:rFonts w:ascii="Gill Sans" w:hAnsi="Gill Sans"/>
              <w:sz w:val="36"/>
              <w:szCs w:val="36"/>
            </w:rPr>
          </w:pPr>
        </w:p>
        <w:p w14:paraId="2A9473A8" w14:textId="77777777" w:rsidR="00AE6708" w:rsidRPr="00C32EDC" w:rsidRDefault="00AE6708" w:rsidP="0091750D">
          <w:pPr>
            <w:pStyle w:val="Title"/>
            <w:ind w:firstLine="2835"/>
            <w:jc w:val="left"/>
            <w:rPr>
              <w:rFonts w:ascii="Gill Sans" w:hAnsi="Gill Sans"/>
              <w:sz w:val="36"/>
              <w:szCs w:val="36"/>
            </w:rPr>
          </w:pPr>
        </w:p>
        <w:p w14:paraId="1C25AD94" w14:textId="77777777" w:rsidR="00AE6708" w:rsidRPr="00C32EDC" w:rsidRDefault="00AE6708" w:rsidP="0091750D">
          <w:pPr>
            <w:pStyle w:val="Title"/>
            <w:ind w:firstLine="2835"/>
            <w:jc w:val="left"/>
            <w:rPr>
              <w:rFonts w:ascii="Gill Sans" w:hAnsi="Gill Sans"/>
              <w:sz w:val="36"/>
              <w:szCs w:val="36"/>
            </w:rPr>
          </w:pPr>
        </w:p>
        <w:p w14:paraId="6C80CD6C" w14:textId="5FD9F9F0" w:rsidR="00AE6708" w:rsidRPr="00C32EDC" w:rsidRDefault="009E77B0" w:rsidP="00D477F5">
          <w:pPr>
            <w:pStyle w:val="Title"/>
            <w:jc w:val="left"/>
            <w:rPr>
              <w:rFonts w:ascii="Gill Sans" w:hAnsi="Gill Sans"/>
              <w:sz w:val="36"/>
              <w:szCs w:val="36"/>
            </w:rPr>
          </w:pPr>
          <w:r>
            <w:rPr>
              <w:b w:val="0"/>
              <w:noProof/>
              <w:color w:val="C00000"/>
              <w:sz w:val="28"/>
              <w:szCs w:val="28"/>
            </w:rPr>
            <w:drawing>
              <wp:anchor distT="0" distB="0" distL="114300" distR="114300" simplePos="0" relativeHeight="251659264" behindDoc="1" locked="0" layoutInCell="1" allowOverlap="1" wp14:anchorId="34CA5FF0" wp14:editId="71542713">
                <wp:simplePos x="0" y="0"/>
                <wp:positionH relativeFrom="column">
                  <wp:posOffset>4765040</wp:posOffset>
                </wp:positionH>
                <wp:positionV relativeFrom="paragraph">
                  <wp:posOffset>177800</wp:posOffset>
                </wp:positionV>
                <wp:extent cx="1286510" cy="878205"/>
                <wp:effectExtent l="0" t="0" r="0" b="0"/>
                <wp:wrapNone/>
                <wp:docPr id="469315863" name="Picture 3" descr="A picture containing font, screenshot,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15863" name="Picture 3" descr="A picture containing font, screenshot, graphics,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878205"/>
                        </a:xfrm>
                        <a:prstGeom prst="rect">
                          <a:avLst/>
                        </a:prstGeom>
                        <a:noFill/>
                      </pic:spPr>
                    </pic:pic>
                  </a:graphicData>
                </a:graphic>
                <wp14:sizeRelH relativeFrom="page">
                  <wp14:pctWidth>0</wp14:pctWidth>
                </wp14:sizeRelH>
                <wp14:sizeRelV relativeFrom="page">
                  <wp14:pctHeight>0</wp14:pctHeight>
                </wp14:sizeRelV>
              </wp:anchor>
            </w:drawing>
          </w:r>
        </w:p>
        <w:p w14:paraId="24558D17" w14:textId="42A3D07A" w:rsidR="00AE6708" w:rsidRPr="00C32EDC" w:rsidRDefault="00AE6708" w:rsidP="00D477F5">
          <w:pPr>
            <w:pStyle w:val="Header"/>
            <w:tabs>
              <w:tab w:val="clear" w:pos="4320"/>
              <w:tab w:val="clear" w:pos="8640"/>
            </w:tabs>
            <w:rPr>
              <w:rFonts w:ascii="Gill Sans" w:hAnsi="Gill Sans" w:cs="Arial"/>
              <w:sz w:val="28"/>
              <w:szCs w:val="28"/>
            </w:rPr>
          </w:pPr>
        </w:p>
        <w:p w14:paraId="011271B8" w14:textId="7C8A9950" w:rsidR="00AE6708" w:rsidRPr="00C32EDC" w:rsidRDefault="000208A7" w:rsidP="00D477F5">
          <w:pPr>
            <w:pStyle w:val="Header"/>
            <w:tabs>
              <w:tab w:val="clear" w:pos="4320"/>
              <w:tab w:val="clear" w:pos="8640"/>
            </w:tabs>
            <w:rPr>
              <w:rFonts w:ascii="Gill Sans" w:hAnsi="Gill Sans" w:cs="Arial"/>
              <w:sz w:val="22"/>
            </w:rPr>
          </w:pPr>
          <w:r>
            <w:rPr>
              <w:rFonts w:ascii="Gill Sans" w:hAnsi="Gill Sans" w:cs="Arial"/>
              <w:sz w:val="22"/>
            </w:rPr>
            <w:t>1</w:t>
          </w:r>
          <w:r w:rsidRPr="000208A7">
            <w:rPr>
              <w:rFonts w:ascii="Gill Sans" w:hAnsi="Gill Sans" w:cs="Arial"/>
              <w:sz w:val="22"/>
              <w:vertAlign w:val="superscript"/>
            </w:rPr>
            <w:t>st</w:t>
          </w:r>
          <w:r>
            <w:rPr>
              <w:rFonts w:ascii="Gill Sans" w:hAnsi="Gill Sans" w:cs="Arial"/>
              <w:sz w:val="22"/>
            </w:rPr>
            <w:t xml:space="preserve"> Floor, </w:t>
          </w:r>
          <w:r w:rsidR="00CE598D">
            <w:rPr>
              <w:rFonts w:ascii="Gill Sans" w:hAnsi="Gill Sans" w:cs="Arial"/>
              <w:sz w:val="22"/>
            </w:rPr>
            <w:t>A</w:t>
          </w:r>
          <w:r>
            <w:rPr>
              <w:rFonts w:ascii="Gill Sans" w:hAnsi="Gill Sans" w:cs="Arial"/>
              <w:sz w:val="22"/>
            </w:rPr>
            <w:t>nna House</w:t>
          </w:r>
          <w:r w:rsidR="00AE6708" w:rsidRPr="00C32EDC">
            <w:rPr>
              <w:rFonts w:ascii="Gill Sans" w:hAnsi="Gill Sans" w:cs="Arial"/>
              <w:sz w:val="22"/>
            </w:rPr>
            <w:t xml:space="preserve">, </w:t>
          </w:r>
        </w:p>
        <w:p w14:paraId="3BA14276" w14:textId="2E7A53D9" w:rsidR="00AE6708" w:rsidRPr="00C32EDC" w:rsidRDefault="000208A7" w:rsidP="00D477F5">
          <w:pPr>
            <w:pStyle w:val="Header"/>
            <w:tabs>
              <w:tab w:val="clear" w:pos="4320"/>
              <w:tab w:val="clear" w:pos="8640"/>
            </w:tabs>
            <w:rPr>
              <w:rFonts w:ascii="Gill Sans" w:hAnsi="Gill Sans" w:cs="Arial"/>
              <w:sz w:val="22"/>
            </w:rPr>
          </w:pPr>
          <w:r>
            <w:rPr>
              <w:rFonts w:ascii="Gill Sans" w:hAnsi="Gill Sans" w:cs="Arial"/>
              <w:sz w:val="22"/>
            </w:rPr>
            <w:t>214-218 High Street</w:t>
          </w:r>
          <w:r w:rsidR="00AE6708" w:rsidRPr="00C32EDC">
            <w:rPr>
              <w:rFonts w:ascii="Gill Sans" w:hAnsi="Gill Sans" w:cs="Arial"/>
              <w:sz w:val="22"/>
            </w:rPr>
            <w:t xml:space="preserve"> </w:t>
          </w:r>
        </w:p>
        <w:p w14:paraId="347F7F90" w14:textId="09076797" w:rsidR="00AE6708" w:rsidRPr="00C32EDC" w:rsidRDefault="00AE6708" w:rsidP="00D477F5">
          <w:pPr>
            <w:pStyle w:val="Header"/>
            <w:tabs>
              <w:tab w:val="clear" w:pos="4320"/>
              <w:tab w:val="clear" w:pos="8640"/>
            </w:tabs>
            <w:rPr>
              <w:rFonts w:ascii="Gill Sans" w:hAnsi="Gill Sans" w:cs="Arial"/>
              <w:sz w:val="22"/>
            </w:rPr>
          </w:pPr>
          <w:r w:rsidRPr="00C32EDC">
            <w:rPr>
              <w:rFonts w:ascii="Gill Sans" w:hAnsi="Gill Sans" w:cs="Arial"/>
              <w:sz w:val="22"/>
            </w:rPr>
            <w:t xml:space="preserve">London, </w:t>
          </w:r>
          <w:r w:rsidR="00711D67">
            <w:rPr>
              <w:rFonts w:ascii="Gill Sans" w:hAnsi="Gill Sans" w:cs="Arial"/>
              <w:sz w:val="22"/>
            </w:rPr>
            <w:t>N15 4NP</w:t>
          </w:r>
          <w:r w:rsidRPr="00C32EDC">
            <w:rPr>
              <w:rFonts w:ascii="Gill Sans" w:hAnsi="Gill Sans" w:cs="Arial"/>
              <w:sz w:val="22"/>
            </w:rPr>
            <w:tab/>
          </w:r>
        </w:p>
        <w:p w14:paraId="1A4D7C53" w14:textId="77777777" w:rsidR="00AE6708" w:rsidRPr="00381427" w:rsidRDefault="00AE6708">
          <w:pPr>
            <w:rPr>
              <w:rFonts w:ascii="Arial" w:hAnsi="Arial" w:cs="Arial"/>
              <w:color w:val="4F81BD" w:themeColor="accent1"/>
              <w:sz w:val="22"/>
            </w:rPr>
          </w:pPr>
          <w:r w:rsidRPr="00381427">
            <w:rPr>
              <w:rFonts w:ascii="Arial" w:hAnsi="Arial" w:cs="Arial"/>
              <w:color w:val="4F81BD" w:themeColor="accent1"/>
              <w:sz w:val="22"/>
            </w:rPr>
            <w:br w:type="page"/>
          </w:r>
        </w:p>
      </w:sdtContent>
    </w:sdt>
    <w:bookmarkEnd w:id="0"/>
    <w:p w14:paraId="29A73ACB" w14:textId="77777777" w:rsidR="00A702D6" w:rsidRPr="00381427" w:rsidRDefault="00A702D6" w:rsidP="00A702D6">
      <w:pPr>
        <w:rPr>
          <w:rFonts w:ascii="Arial" w:hAnsi="Arial" w:cs="Arial"/>
          <w:color w:val="4F81BD" w:themeColor="accent1"/>
          <w:sz w:val="22"/>
        </w:rPr>
      </w:pPr>
    </w:p>
    <w:p w14:paraId="0F8751E5" w14:textId="77777777" w:rsidR="00A702D6" w:rsidRPr="00381427" w:rsidRDefault="00A702D6" w:rsidP="00A702D6">
      <w:pPr>
        <w:tabs>
          <w:tab w:val="left" w:pos="1065"/>
        </w:tabs>
        <w:rPr>
          <w:rFonts w:ascii="Arial" w:hAnsi="Arial" w:cs="Arial"/>
          <w:color w:val="4F81BD" w:themeColor="accent1"/>
        </w:rPr>
      </w:pPr>
      <w:r w:rsidRPr="00381427">
        <w:rPr>
          <w:rFonts w:ascii="Arial" w:hAnsi="Arial" w:cs="Arial"/>
          <w:color w:val="4F81BD" w:themeColor="accent1"/>
        </w:rPr>
        <w:tab/>
      </w:r>
    </w:p>
    <w:p w14:paraId="555D70FE" w14:textId="77777777" w:rsidR="0028386F" w:rsidRPr="00381427" w:rsidRDefault="00A508D6" w:rsidP="00AE6708">
      <w:pPr>
        <w:tabs>
          <w:tab w:val="left" w:pos="1065"/>
        </w:tabs>
        <w:rPr>
          <w:rFonts w:ascii="Arial" w:hAnsi="Arial" w:cs="Arial"/>
          <w:b/>
          <w:color w:val="4F81BD" w:themeColor="accent1"/>
        </w:rPr>
      </w:pPr>
      <w:r w:rsidRPr="00381427">
        <w:rPr>
          <w:rFonts w:ascii="Arial" w:hAnsi="Arial" w:cs="Arial"/>
          <w:b/>
          <w:color w:val="4F81BD" w:themeColor="accent1"/>
        </w:rPr>
        <w:t>Contents</w:t>
      </w:r>
    </w:p>
    <w:p w14:paraId="7CC49FF4" w14:textId="77777777" w:rsidR="0013519B" w:rsidRPr="00381427" w:rsidRDefault="0013519B" w:rsidP="00AE6708">
      <w:pPr>
        <w:tabs>
          <w:tab w:val="left" w:pos="1065"/>
        </w:tabs>
        <w:rPr>
          <w:rFonts w:ascii="Arial" w:hAnsi="Arial" w:cs="Arial"/>
          <w:b/>
          <w:color w:val="4F81BD" w:themeColor="accent1"/>
        </w:rPr>
      </w:pPr>
    </w:p>
    <w:p w14:paraId="1E39521F" w14:textId="77777777" w:rsidR="0013519B" w:rsidRPr="00381427" w:rsidRDefault="0013519B" w:rsidP="00AE6708">
      <w:pPr>
        <w:tabs>
          <w:tab w:val="left" w:pos="1065"/>
        </w:tabs>
        <w:rPr>
          <w:rFonts w:ascii="Arial" w:hAnsi="Arial" w:cs="Arial"/>
          <w:b/>
          <w:color w:val="4F81BD" w:themeColor="accent1"/>
        </w:rPr>
      </w:pPr>
    </w:p>
    <w:p w14:paraId="18103A1E" w14:textId="77777777" w:rsidR="0013519B" w:rsidRPr="00381427" w:rsidRDefault="0013519B" w:rsidP="0013519B">
      <w:pPr>
        <w:pStyle w:val="ListParagraph"/>
        <w:numPr>
          <w:ilvl w:val="0"/>
          <w:numId w:val="21"/>
        </w:numPr>
        <w:tabs>
          <w:tab w:val="left" w:pos="1065"/>
        </w:tabs>
        <w:rPr>
          <w:rFonts w:ascii="Arial" w:hAnsi="Arial" w:cs="Arial"/>
          <w:b/>
          <w:color w:val="4F81BD" w:themeColor="accent1"/>
        </w:rPr>
      </w:pPr>
      <w:r w:rsidRPr="00381427">
        <w:rPr>
          <w:rFonts w:ascii="Arial" w:hAnsi="Arial" w:cs="Arial"/>
          <w:b/>
          <w:color w:val="4F81BD" w:themeColor="accent1"/>
        </w:rPr>
        <w:t>Introduction</w:t>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t>2</w:t>
      </w:r>
    </w:p>
    <w:p w14:paraId="419255FC" w14:textId="77777777" w:rsidR="0013519B" w:rsidRPr="00381427" w:rsidRDefault="0013519B" w:rsidP="0013519B">
      <w:pPr>
        <w:pStyle w:val="ListParagraph"/>
        <w:tabs>
          <w:tab w:val="left" w:pos="1065"/>
        </w:tabs>
        <w:ind w:left="1425"/>
        <w:rPr>
          <w:rFonts w:ascii="Arial" w:hAnsi="Arial" w:cs="Arial"/>
          <w:b/>
          <w:color w:val="4F81BD" w:themeColor="accent1"/>
        </w:rPr>
      </w:pPr>
    </w:p>
    <w:p w14:paraId="53E674DC" w14:textId="77777777" w:rsidR="0013519B" w:rsidRPr="00381427" w:rsidRDefault="0013519B" w:rsidP="00475BFC">
      <w:pPr>
        <w:rPr>
          <w:rFonts w:ascii="Arial" w:hAnsi="Arial" w:cs="Arial"/>
          <w:b/>
          <w:color w:val="4F81BD" w:themeColor="accent1"/>
        </w:rPr>
      </w:pPr>
    </w:p>
    <w:p w14:paraId="4B1E0CC3" w14:textId="77777777" w:rsidR="0013519B" w:rsidRPr="00381427" w:rsidRDefault="0013519B" w:rsidP="0013519B">
      <w:pPr>
        <w:pStyle w:val="ListParagraph"/>
        <w:numPr>
          <w:ilvl w:val="0"/>
          <w:numId w:val="21"/>
        </w:numPr>
        <w:tabs>
          <w:tab w:val="left" w:pos="1065"/>
        </w:tabs>
        <w:rPr>
          <w:rFonts w:ascii="Arial" w:hAnsi="Arial" w:cs="Arial"/>
          <w:b/>
          <w:color w:val="4F81BD" w:themeColor="accent1"/>
        </w:rPr>
      </w:pPr>
      <w:r w:rsidRPr="00381427">
        <w:rPr>
          <w:rFonts w:ascii="Arial" w:hAnsi="Arial" w:cs="Arial"/>
          <w:b/>
          <w:color w:val="4F81BD" w:themeColor="accent1"/>
        </w:rPr>
        <w:t>Sustainability</w:t>
      </w:r>
      <w:r w:rsidR="00C111C7" w:rsidRPr="00381427">
        <w:rPr>
          <w:rFonts w:ascii="Arial" w:hAnsi="Arial" w:cs="Arial"/>
          <w:b/>
          <w:color w:val="4F81BD" w:themeColor="accent1"/>
        </w:rPr>
        <w:tab/>
      </w:r>
      <w:r w:rsidR="00C111C7" w:rsidRPr="00381427">
        <w:rPr>
          <w:rFonts w:ascii="Arial" w:hAnsi="Arial" w:cs="Arial"/>
          <w:b/>
          <w:color w:val="4F81BD" w:themeColor="accent1"/>
        </w:rPr>
        <w:tab/>
      </w:r>
      <w:r w:rsidR="00C111C7" w:rsidRPr="00381427">
        <w:rPr>
          <w:rFonts w:ascii="Arial" w:hAnsi="Arial" w:cs="Arial"/>
          <w:b/>
          <w:color w:val="4F81BD" w:themeColor="accent1"/>
        </w:rPr>
        <w:tab/>
      </w:r>
      <w:r w:rsidR="00C111C7" w:rsidRPr="00381427">
        <w:rPr>
          <w:rFonts w:ascii="Arial" w:hAnsi="Arial" w:cs="Arial"/>
          <w:b/>
          <w:color w:val="4F81BD" w:themeColor="accent1"/>
        </w:rPr>
        <w:tab/>
      </w:r>
      <w:r w:rsidR="00C111C7" w:rsidRPr="00381427">
        <w:rPr>
          <w:rFonts w:ascii="Arial" w:hAnsi="Arial" w:cs="Arial"/>
          <w:b/>
          <w:color w:val="4F81BD" w:themeColor="accent1"/>
        </w:rPr>
        <w:tab/>
      </w:r>
      <w:r w:rsidR="00C111C7" w:rsidRPr="00381427">
        <w:rPr>
          <w:rFonts w:ascii="Arial" w:hAnsi="Arial" w:cs="Arial"/>
          <w:b/>
          <w:color w:val="4F81BD" w:themeColor="accent1"/>
        </w:rPr>
        <w:tab/>
      </w:r>
      <w:r w:rsidR="00C111C7" w:rsidRPr="00381427">
        <w:rPr>
          <w:rFonts w:ascii="Arial" w:hAnsi="Arial" w:cs="Arial"/>
          <w:b/>
          <w:color w:val="4F81BD" w:themeColor="accent1"/>
        </w:rPr>
        <w:tab/>
        <w:t>3</w:t>
      </w:r>
    </w:p>
    <w:p w14:paraId="5ADC83CF" w14:textId="77777777" w:rsidR="0013519B" w:rsidRPr="00381427" w:rsidRDefault="0013519B" w:rsidP="0013519B">
      <w:pPr>
        <w:pStyle w:val="ListParagraph"/>
        <w:tabs>
          <w:tab w:val="left" w:pos="1065"/>
        </w:tabs>
        <w:ind w:left="1425"/>
        <w:rPr>
          <w:rFonts w:ascii="Arial" w:hAnsi="Arial" w:cs="Arial"/>
          <w:b/>
          <w:color w:val="4F81BD" w:themeColor="accent1"/>
        </w:rPr>
      </w:pPr>
    </w:p>
    <w:p w14:paraId="58B97669" w14:textId="77777777" w:rsidR="0013519B" w:rsidRPr="00381427" w:rsidRDefault="0013519B" w:rsidP="0013519B">
      <w:pPr>
        <w:pStyle w:val="ListParagraph"/>
        <w:rPr>
          <w:rFonts w:ascii="Arial" w:hAnsi="Arial" w:cs="Arial"/>
          <w:b/>
          <w:color w:val="4F81BD" w:themeColor="accent1"/>
        </w:rPr>
      </w:pPr>
    </w:p>
    <w:p w14:paraId="5E008EA8" w14:textId="77777777" w:rsidR="0013519B" w:rsidRPr="00381427" w:rsidRDefault="0013519B" w:rsidP="0013519B">
      <w:pPr>
        <w:pStyle w:val="ListParagraph"/>
        <w:numPr>
          <w:ilvl w:val="0"/>
          <w:numId w:val="21"/>
        </w:numPr>
        <w:tabs>
          <w:tab w:val="left" w:pos="1065"/>
        </w:tabs>
        <w:rPr>
          <w:rFonts w:ascii="Arial" w:hAnsi="Arial" w:cs="Arial"/>
          <w:b/>
          <w:color w:val="4F81BD" w:themeColor="accent1"/>
        </w:rPr>
      </w:pPr>
      <w:r w:rsidRPr="00381427">
        <w:rPr>
          <w:rFonts w:ascii="Arial" w:hAnsi="Arial" w:cs="Arial"/>
          <w:b/>
          <w:color w:val="4F81BD" w:themeColor="accent1"/>
        </w:rPr>
        <w:t>Social Value</w:t>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t>3</w:t>
      </w:r>
    </w:p>
    <w:p w14:paraId="566DAE2D" w14:textId="77777777" w:rsidR="0013519B" w:rsidRPr="00381427" w:rsidRDefault="0013519B" w:rsidP="0013519B">
      <w:pPr>
        <w:pStyle w:val="ListParagraph"/>
        <w:tabs>
          <w:tab w:val="left" w:pos="1065"/>
        </w:tabs>
        <w:ind w:left="1425"/>
        <w:rPr>
          <w:rFonts w:ascii="Arial" w:hAnsi="Arial" w:cs="Arial"/>
          <w:b/>
          <w:color w:val="4F81BD" w:themeColor="accent1"/>
        </w:rPr>
      </w:pPr>
    </w:p>
    <w:p w14:paraId="48BFEACF" w14:textId="77777777" w:rsidR="0013519B" w:rsidRPr="00381427" w:rsidRDefault="0013519B" w:rsidP="0013519B">
      <w:pPr>
        <w:pStyle w:val="ListParagraph"/>
        <w:rPr>
          <w:rFonts w:ascii="Arial" w:hAnsi="Arial" w:cs="Arial"/>
          <w:b/>
          <w:color w:val="4F81BD" w:themeColor="accent1"/>
        </w:rPr>
      </w:pPr>
    </w:p>
    <w:p w14:paraId="059FE7B6" w14:textId="77777777" w:rsidR="0013519B" w:rsidRPr="00381427" w:rsidRDefault="0013519B" w:rsidP="0013519B">
      <w:pPr>
        <w:pStyle w:val="ListParagraph"/>
        <w:numPr>
          <w:ilvl w:val="0"/>
          <w:numId w:val="21"/>
        </w:numPr>
        <w:tabs>
          <w:tab w:val="left" w:pos="1065"/>
        </w:tabs>
        <w:rPr>
          <w:rFonts w:ascii="Arial" w:hAnsi="Arial" w:cs="Arial"/>
          <w:b/>
          <w:color w:val="4F81BD" w:themeColor="accent1"/>
        </w:rPr>
      </w:pPr>
      <w:r w:rsidRPr="00381427">
        <w:rPr>
          <w:rFonts w:ascii="Arial" w:hAnsi="Arial" w:cs="Arial"/>
          <w:b/>
          <w:color w:val="4F81BD" w:themeColor="accent1"/>
        </w:rPr>
        <w:t>London Living Wage</w:t>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t>3</w:t>
      </w:r>
    </w:p>
    <w:p w14:paraId="6288E2CB" w14:textId="77777777" w:rsidR="0013519B" w:rsidRPr="00381427" w:rsidRDefault="0013519B" w:rsidP="0013519B">
      <w:pPr>
        <w:pStyle w:val="ListParagraph"/>
        <w:tabs>
          <w:tab w:val="left" w:pos="1065"/>
        </w:tabs>
        <w:ind w:left="1425"/>
        <w:rPr>
          <w:rFonts w:ascii="Arial" w:hAnsi="Arial" w:cs="Arial"/>
          <w:b/>
          <w:color w:val="4F81BD" w:themeColor="accent1"/>
        </w:rPr>
      </w:pPr>
    </w:p>
    <w:p w14:paraId="38716FFF" w14:textId="77777777" w:rsidR="0013519B" w:rsidRPr="00381427" w:rsidRDefault="0013519B" w:rsidP="00DD59D7">
      <w:pPr>
        <w:rPr>
          <w:rFonts w:ascii="Arial" w:hAnsi="Arial" w:cs="Arial"/>
          <w:b/>
          <w:color w:val="4F81BD" w:themeColor="accent1"/>
        </w:rPr>
      </w:pPr>
    </w:p>
    <w:p w14:paraId="72E252D7" w14:textId="77777777" w:rsidR="0013519B" w:rsidRPr="00381427" w:rsidRDefault="00A93739" w:rsidP="0013519B">
      <w:pPr>
        <w:pStyle w:val="ListParagraph"/>
        <w:numPr>
          <w:ilvl w:val="0"/>
          <w:numId w:val="21"/>
        </w:numPr>
        <w:tabs>
          <w:tab w:val="left" w:pos="1065"/>
        </w:tabs>
        <w:rPr>
          <w:rFonts w:ascii="Arial" w:hAnsi="Arial" w:cs="Arial"/>
          <w:b/>
          <w:color w:val="4F81BD" w:themeColor="accent1"/>
        </w:rPr>
      </w:pPr>
      <w:r w:rsidRPr="00381427">
        <w:rPr>
          <w:rFonts w:ascii="Arial" w:hAnsi="Arial" w:cs="Arial"/>
          <w:b/>
          <w:color w:val="4F81BD" w:themeColor="accent1"/>
        </w:rPr>
        <w:t>Procurement T</w:t>
      </w:r>
      <w:r w:rsidR="0013519B" w:rsidRPr="00381427">
        <w:rPr>
          <w:rFonts w:ascii="Arial" w:hAnsi="Arial" w:cs="Arial"/>
          <w:b/>
          <w:color w:val="4F81BD" w:themeColor="accent1"/>
        </w:rPr>
        <w:t>imetable</w:t>
      </w:r>
      <w:r w:rsidR="00546DFE" w:rsidRPr="00381427">
        <w:rPr>
          <w:rFonts w:ascii="Arial" w:hAnsi="Arial" w:cs="Arial"/>
          <w:b/>
          <w:color w:val="4F81BD" w:themeColor="accent1"/>
        </w:rPr>
        <w:tab/>
      </w:r>
      <w:r w:rsidR="00546DFE" w:rsidRPr="00381427">
        <w:rPr>
          <w:rFonts w:ascii="Arial" w:hAnsi="Arial" w:cs="Arial"/>
          <w:b/>
          <w:color w:val="4F81BD" w:themeColor="accent1"/>
        </w:rPr>
        <w:tab/>
      </w:r>
      <w:r w:rsidR="00546DFE" w:rsidRPr="00381427">
        <w:rPr>
          <w:rFonts w:ascii="Arial" w:hAnsi="Arial" w:cs="Arial"/>
          <w:b/>
          <w:color w:val="4F81BD" w:themeColor="accent1"/>
        </w:rPr>
        <w:tab/>
      </w:r>
      <w:r w:rsidR="00546DFE" w:rsidRPr="00381427">
        <w:rPr>
          <w:rFonts w:ascii="Arial" w:hAnsi="Arial" w:cs="Arial"/>
          <w:b/>
          <w:color w:val="4F81BD" w:themeColor="accent1"/>
        </w:rPr>
        <w:tab/>
      </w:r>
      <w:r w:rsidR="00546DFE" w:rsidRPr="00381427">
        <w:rPr>
          <w:rFonts w:ascii="Arial" w:hAnsi="Arial" w:cs="Arial"/>
          <w:b/>
          <w:color w:val="4F81BD" w:themeColor="accent1"/>
        </w:rPr>
        <w:tab/>
      </w:r>
      <w:r w:rsidR="00546DFE" w:rsidRPr="00381427">
        <w:rPr>
          <w:rFonts w:ascii="Arial" w:hAnsi="Arial" w:cs="Arial"/>
          <w:b/>
          <w:color w:val="4F81BD" w:themeColor="accent1"/>
        </w:rPr>
        <w:tab/>
        <w:t>3</w:t>
      </w:r>
    </w:p>
    <w:p w14:paraId="6F90EDB3" w14:textId="77777777" w:rsidR="0013519B" w:rsidRPr="00381427" w:rsidRDefault="0013519B" w:rsidP="0013519B">
      <w:pPr>
        <w:pStyle w:val="ListParagraph"/>
        <w:tabs>
          <w:tab w:val="left" w:pos="1065"/>
        </w:tabs>
        <w:ind w:left="1425"/>
        <w:rPr>
          <w:rFonts w:ascii="Arial" w:hAnsi="Arial" w:cs="Arial"/>
          <w:b/>
          <w:color w:val="4F81BD" w:themeColor="accent1"/>
        </w:rPr>
      </w:pPr>
    </w:p>
    <w:p w14:paraId="25FBE5F0" w14:textId="77777777" w:rsidR="0013519B" w:rsidRPr="00381427" w:rsidRDefault="0013519B" w:rsidP="0013519B">
      <w:pPr>
        <w:pStyle w:val="ListParagraph"/>
        <w:rPr>
          <w:rFonts w:ascii="Arial" w:hAnsi="Arial" w:cs="Arial"/>
          <w:b/>
          <w:color w:val="4F81BD" w:themeColor="accent1"/>
        </w:rPr>
      </w:pPr>
    </w:p>
    <w:p w14:paraId="4BB0F00B" w14:textId="77777777" w:rsidR="0013519B" w:rsidRPr="00381427" w:rsidRDefault="0013519B" w:rsidP="0013519B">
      <w:pPr>
        <w:pStyle w:val="ListParagraph"/>
        <w:numPr>
          <w:ilvl w:val="0"/>
          <w:numId w:val="21"/>
        </w:numPr>
        <w:tabs>
          <w:tab w:val="left" w:pos="1065"/>
        </w:tabs>
        <w:rPr>
          <w:rFonts w:ascii="Arial" w:hAnsi="Arial" w:cs="Arial"/>
          <w:b/>
          <w:color w:val="4F81BD" w:themeColor="accent1"/>
        </w:rPr>
      </w:pPr>
      <w:r w:rsidRPr="00381427">
        <w:rPr>
          <w:rFonts w:ascii="Arial" w:hAnsi="Arial" w:cs="Arial"/>
          <w:b/>
          <w:color w:val="4F81BD" w:themeColor="accent1"/>
        </w:rPr>
        <w:t>Documentation Package</w:t>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r>
      <w:r w:rsidR="00B5101A" w:rsidRPr="00381427">
        <w:rPr>
          <w:rFonts w:ascii="Arial" w:hAnsi="Arial" w:cs="Arial"/>
          <w:b/>
          <w:color w:val="4F81BD" w:themeColor="accent1"/>
        </w:rPr>
        <w:tab/>
        <w:t>4</w:t>
      </w:r>
    </w:p>
    <w:p w14:paraId="5DF5B740" w14:textId="77777777" w:rsidR="00B5101A" w:rsidRPr="00381427" w:rsidRDefault="00B5101A" w:rsidP="00B5101A">
      <w:pPr>
        <w:pStyle w:val="ListParagraph"/>
        <w:tabs>
          <w:tab w:val="left" w:pos="1065"/>
        </w:tabs>
        <w:ind w:left="1425"/>
        <w:rPr>
          <w:rFonts w:ascii="Arial" w:hAnsi="Arial" w:cs="Arial"/>
          <w:b/>
          <w:color w:val="4F81BD" w:themeColor="accent1"/>
        </w:rPr>
      </w:pPr>
    </w:p>
    <w:p w14:paraId="3684099D" w14:textId="77777777" w:rsidR="00B5101A" w:rsidRPr="00381427" w:rsidRDefault="00B5101A">
      <w:pPr>
        <w:rPr>
          <w:rFonts w:ascii="Arial" w:hAnsi="Arial" w:cs="Arial"/>
          <w:b/>
          <w:color w:val="4F81BD" w:themeColor="accent1"/>
        </w:rPr>
      </w:pPr>
    </w:p>
    <w:p w14:paraId="02718D14" w14:textId="77777777" w:rsidR="00B5101A" w:rsidRPr="00381427" w:rsidRDefault="00B5101A" w:rsidP="00B5101A">
      <w:pPr>
        <w:pStyle w:val="ListParagraph"/>
        <w:tabs>
          <w:tab w:val="left" w:pos="1065"/>
        </w:tabs>
        <w:ind w:left="1425"/>
        <w:rPr>
          <w:rFonts w:ascii="Arial" w:hAnsi="Arial" w:cs="Arial"/>
          <w:b/>
          <w:color w:val="4F81BD" w:themeColor="accent1"/>
        </w:rPr>
      </w:pPr>
    </w:p>
    <w:p w14:paraId="593DDEDA" w14:textId="77777777" w:rsidR="009F466B" w:rsidRPr="00381427" w:rsidRDefault="009F466B" w:rsidP="009F466B">
      <w:pPr>
        <w:rPr>
          <w:color w:val="4F81BD" w:themeColor="accent1"/>
        </w:rPr>
      </w:pPr>
    </w:p>
    <w:p w14:paraId="359B3FF1" w14:textId="77777777" w:rsidR="009F466B" w:rsidRPr="00381427" w:rsidRDefault="009F466B" w:rsidP="009F466B">
      <w:pPr>
        <w:rPr>
          <w:color w:val="4F81BD" w:themeColor="accent1"/>
        </w:rPr>
      </w:pPr>
    </w:p>
    <w:p w14:paraId="1FF0DCDD" w14:textId="05F1139B" w:rsidR="00546DFE" w:rsidRPr="00381427" w:rsidRDefault="00546DFE" w:rsidP="00546DFE">
      <w:pPr>
        <w:rPr>
          <w:b/>
          <w:color w:val="4F81BD" w:themeColor="accent1"/>
          <w:sz w:val="28"/>
          <w:szCs w:val="28"/>
        </w:rPr>
      </w:pPr>
      <w:r w:rsidRPr="00381427">
        <w:rPr>
          <w:b/>
          <w:color w:val="4F81BD" w:themeColor="accent1"/>
          <w:sz w:val="28"/>
          <w:szCs w:val="28"/>
        </w:rPr>
        <w:br w:type="page"/>
      </w:r>
    </w:p>
    <w:p w14:paraId="560FF6A5" w14:textId="77777777" w:rsidR="00C32EDC" w:rsidRPr="00381427" w:rsidRDefault="00C32EDC" w:rsidP="00B16C0C">
      <w:pPr>
        <w:pStyle w:val="Heading1"/>
        <w:numPr>
          <w:ilvl w:val="0"/>
          <w:numId w:val="25"/>
        </w:numPr>
        <w:ind w:left="567" w:hanging="567"/>
        <w:rPr>
          <w:rFonts w:ascii="Gill Sans" w:hAnsi="Gill Sans"/>
          <w:b/>
          <w:color w:val="4F81BD" w:themeColor="accent1"/>
          <w:sz w:val="24"/>
        </w:rPr>
      </w:pPr>
      <w:r w:rsidRPr="00381427">
        <w:rPr>
          <w:rFonts w:ascii="Gill Sans" w:hAnsi="Gill Sans"/>
          <w:b/>
          <w:color w:val="4F81BD" w:themeColor="accent1"/>
          <w:sz w:val="24"/>
        </w:rPr>
        <w:lastRenderedPageBreak/>
        <w:t>Introduction</w:t>
      </w:r>
    </w:p>
    <w:p w14:paraId="3D760902" w14:textId="77777777" w:rsidR="00C32EDC" w:rsidRPr="00C32EDC" w:rsidRDefault="00C32EDC" w:rsidP="00C32EDC">
      <w:pPr>
        <w:pStyle w:val="Default"/>
        <w:rPr>
          <w:rFonts w:ascii="Gill Sans" w:hAnsi="Gill Sans"/>
          <w:b/>
          <w:color w:val="C00000"/>
        </w:rPr>
      </w:pPr>
      <w:r w:rsidRPr="00C32EDC">
        <w:rPr>
          <w:rFonts w:ascii="Gill Sans" w:hAnsi="Gill Sans"/>
          <w:b/>
          <w:color w:val="C00000"/>
        </w:rPr>
        <w:t xml:space="preserve"> </w:t>
      </w:r>
    </w:p>
    <w:p w14:paraId="74446F3C" w14:textId="110CA6CE" w:rsidR="00C32EDC" w:rsidRPr="009006A2" w:rsidRDefault="000F291E" w:rsidP="00C32EDC">
      <w:pPr>
        <w:pStyle w:val="Heading3"/>
        <w:ind w:left="567" w:hanging="567"/>
        <w:rPr>
          <w:rFonts w:ascii="Gill Sans" w:hAnsi="Gill Sans"/>
          <w:b w:val="0"/>
          <w:color w:val="auto"/>
          <w:sz w:val="22"/>
          <w:szCs w:val="22"/>
        </w:rPr>
      </w:pPr>
      <w:r w:rsidRPr="000F291E">
        <w:rPr>
          <w:rFonts w:ascii="Gill Sans" w:hAnsi="Gill Sans"/>
          <w:b w:val="0"/>
          <w:color w:val="auto"/>
          <w:sz w:val="22"/>
          <w:szCs w:val="22"/>
        </w:rPr>
        <w:t xml:space="preserve">Industrial Dwellings Society </w:t>
      </w:r>
      <w:r w:rsidR="00C32EDC" w:rsidRPr="00C32EDC">
        <w:rPr>
          <w:rFonts w:ascii="Gill Sans" w:hAnsi="Gill Sans"/>
          <w:b w:val="0"/>
          <w:color w:val="auto"/>
          <w:sz w:val="22"/>
          <w:szCs w:val="22"/>
        </w:rPr>
        <w:t>(</w:t>
      </w:r>
      <w:r>
        <w:rPr>
          <w:rFonts w:ascii="Gill Sans" w:hAnsi="Gill Sans"/>
          <w:b w:val="0"/>
          <w:color w:val="auto"/>
          <w:sz w:val="22"/>
          <w:szCs w:val="22"/>
        </w:rPr>
        <w:t>IDS</w:t>
      </w:r>
      <w:r w:rsidR="00C32EDC" w:rsidRPr="00C32EDC">
        <w:rPr>
          <w:rFonts w:ascii="Gill Sans" w:hAnsi="Gill Sans"/>
          <w:b w:val="0"/>
          <w:color w:val="auto"/>
          <w:sz w:val="22"/>
          <w:szCs w:val="22"/>
        </w:rPr>
        <w:t xml:space="preserve">) is pleased to offer an opportunity for Contractors to provide a tender for </w:t>
      </w:r>
      <w:r w:rsidR="00C32EDC">
        <w:rPr>
          <w:rFonts w:ascii="Gill Sans" w:hAnsi="Gill Sans"/>
          <w:b w:val="0"/>
          <w:color w:val="auto"/>
          <w:sz w:val="22"/>
          <w:szCs w:val="22"/>
        </w:rPr>
        <w:t xml:space="preserve">the supply and installation of Kitchens and Bathrooms and ancillary work </w:t>
      </w:r>
      <w:r w:rsidR="00C32EDC" w:rsidRPr="00C32EDC">
        <w:rPr>
          <w:rFonts w:ascii="Gill Sans" w:hAnsi="Gill Sans"/>
          <w:b w:val="0"/>
          <w:color w:val="auto"/>
          <w:sz w:val="22"/>
          <w:szCs w:val="22"/>
        </w:rPr>
        <w:t xml:space="preserve">which must be received by the </w:t>
      </w:r>
      <w:r>
        <w:rPr>
          <w:rFonts w:ascii="Gill Sans" w:hAnsi="Gill Sans"/>
          <w:b w:val="0"/>
          <w:color w:val="auto"/>
          <w:sz w:val="22"/>
          <w:szCs w:val="22"/>
        </w:rPr>
        <w:t xml:space="preserve">IDS </w:t>
      </w:r>
      <w:r w:rsidR="00C32EDC" w:rsidRPr="00C32EDC">
        <w:rPr>
          <w:rFonts w:ascii="Gill Sans" w:hAnsi="Gill Sans"/>
          <w:b w:val="0"/>
          <w:color w:val="auto"/>
          <w:sz w:val="22"/>
          <w:szCs w:val="22"/>
        </w:rPr>
        <w:t xml:space="preserve">by no later than 12.00 on </w:t>
      </w:r>
      <w:r w:rsidR="00C32EDC" w:rsidRPr="00A47AB6">
        <w:rPr>
          <w:rFonts w:ascii="Gill Sans" w:hAnsi="Gill Sans"/>
          <w:b w:val="0"/>
          <w:color w:val="auto"/>
          <w:sz w:val="22"/>
          <w:szCs w:val="22"/>
          <w:highlight w:val="yellow"/>
        </w:rPr>
        <w:t>30</w:t>
      </w:r>
      <w:r w:rsidRPr="00A47AB6">
        <w:rPr>
          <w:rFonts w:ascii="Gill Sans" w:hAnsi="Gill Sans"/>
          <w:b w:val="0"/>
          <w:color w:val="auto"/>
          <w:sz w:val="22"/>
          <w:szCs w:val="22"/>
          <w:highlight w:val="yellow"/>
          <w:vertAlign w:val="superscript"/>
        </w:rPr>
        <w:t>th</w:t>
      </w:r>
      <w:r w:rsidRPr="00A47AB6">
        <w:rPr>
          <w:rFonts w:ascii="Gill Sans" w:hAnsi="Gill Sans"/>
          <w:b w:val="0"/>
          <w:color w:val="auto"/>
          <w:sz w:val="22"/>
          <w:szCs w:val="22"/>
          <w:highlight w:val="yellow"/>
        </w:rPr>
        <w:t xml:space="preserve"> </w:t>
      </w:r>
      <w:r w:rsidR="00BF72A8">
        <w:rPr>
          <w:rFonts w:ascii="Gill Sans" w:hAnsi="Gill Sans"/>
          <w:b w:val="0"/>
          <w:color w:val="auto"/>
          <w:sz w:val="22"/>
          <w:szCs w:val="22"/>
          <w:highlight w:val="yellow"/>
        </w:rPr>
        <w:t xml:space="preserve">July </w:t>
      </w:r>
      <w:r w:rsidR="00C32EDC" w:rsidRPr="00A47AB6">
        <w:rPr>
          <w:rFonts w:ascii="Gill Sans" w:hAnsi="Gill Sans"/>
          <w:b w:val="0"/>
          <w:color w:val="auto"/>
          <w:sz w:val="22"/>
          <w:szCs w:val="22"/>
          <w:highlight w:val="yellow"/>
        </w:rPr>
        <w:t>202</w:t>
      </w:r>
      <w:r w:rsidRPr="00A47AB6">
        <w:rPr>
          <w:rFonts w:ascii="Gill Sans" w:hAnsi="Gill Sans"/>
          <w:b w:val="0"/>
          <w:color w:val="auto"/>
          <w:sz w:val="22"/>
          <w:szCs w:val="22"/>
          <w:highlight w:val="yellow"/>
        </w:rPr>
        <w:t>3</w:t>
      </w:r>
      <w:r w:rsidR="00C32EDC" w:rsidRPr="00A47AB6">
        <w:rPr>
          <w:rFonts w:ascii="Gill Sans" w:hAnsi="Gill Sans"/>
          <w:b w:val="0"/>
          <w:color w:val="auto"/>
          <w:sz w:val="22"/>
          <w:szCs w:val="22"/>
          <w:highlight w:val="yellow"/>
        </w:rPr>
        <w:t>.</w:t>
      </w:r>
    </w:p>
    <w:p w14:paraId="5325A443" w14:textId="661B8F8E" w:rsidR="00D118CE" w:rsidRDefault="00D118CE" w:rsidP="00D118CE">
      <w:pPr>
        <w:rPr>
          <w:highlight w:val="yellow"/>
        </w:rPr>
      </w:pPr>
    </w:p>
    <w:p w14:paraId="3F42ECE1" w14:textId="0E33D8F4" w:rsidR="00D118CE" w:rsidRPr="00C32EDC" w:rsidRDefault="00D118CE" w:rsidP="00D118CE">
      <w:pPr>
        <w:pStyle w:val="Heading3"/>
        <w:numPr>
          <w:ilvl w:val="0"/>
          <w:numId w:val="0"/>
        </w:numPr>
        <w:ind w:left="567" w:hanging="567"/>
        <w:rPr>
          <w:rFonts w:ascii="Gill Sans" w:hAnsi="Gill Sans"/>
          <w:b w:val="0"/>
          <w:color w:val="auto"/>
          <w:sz w:val="22"/>
          <w:szCs w:val="22"/>
        </w:rPr>
      </w:pPr>
      <w:r>
        <w:rPr>
          <w:rFonts w:ascii="Gill Sans" w:hAnsi="Gill Sans"/>
          <w:b w:val="0"/>
          <w:color w:val="auto"/>
          <w:sz w:val="22"/>
          <w:szCs w:val="22"/>
        </w:rPr>
        <w:t>1.2</w:t>
      </w:r>
      <w:r>
        <w:rPr>
          <w:rFonts w:ascii="Gill Sans" w:hAnsi="Gill Sans"/>
          <w:b w:val="0"/>
          <w:color w:val="auto"/>
          <w:sz w:val="22"/>
          <w:szCs w:val="22"/>
        </w:rPr>
        <w:tab/>
      </w:r>
      <w:r w:rsidRPr="00C32EDC">
        <w:rPr>
          <w:rFonts w:ascii="Gill Sans" w:hAnsi="Gill Sans"/>
          <w:b w:val="0"/>
          <w:color w:val="auto"/>
          <w:sz w:val="22"/>
          <w:szCs w:val="22"/>
        </w:rPr>
        <w:t xml:space="preserve">It is intended to award </w:t>
      </w:r>
      <w:r w:rsidR="00A47AB6">
        <w:rPr>
          <w:rFonts w:ascii="Gill Sans" w:hAnsi="Gill Sans"/>
          <w:b w:val="0"/>
          <w:color w:val="auto"/>
          <w:sz w:val="22"/>
          <w:szCs w:val="22"/>
        </w:rPr>
        <w:t xml:space="preserve">one </w:t>
      </w:r>
      <w:r w:rsidRPr="00C32EDC">
        <w:rPr>
          <w:rFonts w:ascii="Gill Sans" w:hAnsi="Gill Sans"/>
          <w:b w:val="0"/>
          <w:color w:val="auto"/>
          <w:sz w:val="22"/>
          <w:szCs w:val="22"/>
        </w:rPr>
        <w:t>contrac</w:t>
      </w:r>
      <w:r w:rsidR="00A47AB6">
        <w:rPr>
          <w:rFonts w:ascii="Gill Sans" w:hAnsi="Gill Sans"/>
          <w:b w:val="0"/>
          <w:color w:val="auto"/>
          <w:sz w:val="22"/>
          <w:szCs w:val="22"/>
        </w:rPr>
        <w:t>t</w:t>
      </w:r>
      <w:r w:rsidRPr="00C32EDC">
        <w:rPr>
          <w:rFonts w:ascii="Gill Sans" w:hAnsi="Gill Sans"/>
          <w:b w:val="0"/>
          <w:color w:val="auto"/>
          <w:sz w:val="22"/>
          <w:szCs w:val="22"/>
        </w:rPr>
        <w:t xml:space="preserve"> for a period of </w:t>
      </w:r>
      <w:r w:rsidR="00A47AB6">
        <w:rPr>
          <w:rFonts w:ascii="Gill Sans" w:hAnsi="Gill Sans"/>
          <w:b w:val="0"/>
          <w:color w:val="auto"/>
          <w:sz w:val="22"/>
          <w:szCs w:val="22"/>
        </w:rPr>
        <w:t>two</w:t>
      </w:r>
      <w:r w:rsidRPr="00C32EDC">
        <w:rPr>
          <w:rFonts w:ascii="Gill Sans" w:hAnsi="Gill Sans"/>
          <w:b w:val="0"/>
          <w:color w:val="auto"/>
          <w:sz w:val="22"/>
          <w:szCs w:val="22"/>
        </w:rPr>
        <w:t xml:space="preserve"> years</w:t>
      </w:r>
      <w:r w:rsidR="00A47AB6">
        <w:rPr>
          <w:rFonts w:ascii="Gill Sans" w:hAnsi="Gill Sans"/>
          <w:b w:val="0"/>
          <w:color w:val="auto"/>
          <w:sz w:val="22"/>
          <w:szCs w:val="22"/>
        </w:rPr>
        <w:t xml:space="preserve"> with the </w:t>
      </w:r>
      <w:r w:rsidR="00D065C6">
        <w:rPr>
          <w:rFonts w:ascii="Gill Sans" w:hAnsi="Gill Sans"/>
          <w:b w:val="0"/>
          <w:color w:val="auto"/>
          <w:sz w:val="22"/>
          <w:szCs w:val="22"/>
        </w:rPr>
        <w:t>possibility</w:t>
      </w:r>
      <w:r w:rsidR="00A47AB6">
        <w:rPr>
          <w:rFonts w:ascii="Gill Sans" w:hAnsi="Gill Sans"/>
          <w:b w:val="0"/>
          <w:color w:val="auto"/>
          <w:sz w:val="22"/>
          <w:szCs w:val="22"/>
        </w:rPr>
        <w:t xml:space="preserve"> to extend this for a further </w:t>
      </w:r>
      <w:r w:rsidR="00D065C6">
        <w:rPr>
          <w:rFonts w:ascii="Gill Sans" w:hAnsi="Gill Sans"/>
          <w:b w:val="0"/>
          <w:color w:val="auto"/>
          <w:sz w:val="22"/>
          <w:szCs w:val="22"/>
        </w:rPr>
        <w:t>two years based on performance.</w:t>
      </w:r>
    </w:p>
    <w:p w14:paraId="058643C4" w14:textId="77777777" w:rsidR="00D118CE" w:rsidRPr="00C32EDC" w:rsidRDefault="00D118CE" w:rsidP="00D118CE">
      <w:pPr>
        <w:pStyle w:val="Heading3"/>
        <w:numPr>
          <w:ilvl w:val="0"/>
          <w:numId w:val="0"/>
        </w:numPr>
        <w:ind w:left="567" w:hanging="567"/>
        <w:rPr>
          <w:rFonts w:ascii="Gill Sans" w:hAnsi="Gill Sans"/>
          <w:b w:val="0"/>
          <w:color w:val="auto"/>
          <w:sz w:val="22"/>
          <w:szCs w:val="22"/>
        </w:rPr>
      </w:pPr>
    </w:p>
    <w:p w14:paraId="4A5F2608" w14:textId="6293029B" w:rsidR="00D118CE" w:rsidRPr="008C3227" w:rsidRDefault="00D118CE" w:rsidP="008C3227">
      <w:pPr>
        <w:ind w:left="567" w:hanging="567"/>
        <w:rPr>
          <w:b/>
          <w:highlight w:val="yellow"/>
        </w:rPr>
      </w:pPr>
      <w:r>
        <w:rPr>
          <w:rFonts w:ascii="Gill Sans" w:hAnsi="Gill Sans"/>
          <w:sz w:val="22"/>
          <w:szCs w:val="22"/>
        </w:rPr>
        <w:t>1.3</w:t>
      </w:r>
      <w:r>
        <w:rPr>
          <w:rFonts w:ascii="Gill Sans" w:hAnsi="Gill Sans"/>
          <w:sz w:val="22"/>
          <w:szCs w:val="22"/>
        </w:rPr>
        <w:tab/>
      </w:r>
      <w:r w:rsidRPr="00C32EDC">
        <w:rPr>
          <w:rFonts w:ascii="Gill Sans" w:hAnsi="Gill Sans"/>
          <w:sz w:val="22"/>
          <w:szCs w:val="22"/>
        </w:rPr>
        <w:t>This document provides an overview for Contractors expressing an interest in the</w:t>
      </w:r>
      <w:r>
        <w:rPr>
          <w:rFonts w:ascii="Gill Sans" w:hAnsi="Gill Sans"/>
          <w:sz w:val="22"/>
          <w:szCs w:val="22"/>
        </w:rPr>
        <w:t xml:space="preserve"> contract</w:t>
      </w:r>
      <w:r w:rsidRPr="00C32EDC">
        <w:rPr>
          <w:rFonts w:ascii="Gill Sans" w:hAnsi="Gill Sans"/>
          <w:sz w:val="22"/>
          <w:szCs w:val="22"/>
        </w:rPr>
        <w:t xml:space="preserve">s to enable them to provide a robust response to the tender document which should be completed via the </w:t>
      </w:r>
      <w:r w:rsidR="00EE390F" w:rsidRPr="00EE390F">
        <w:rPr>
          <w:rFonts w:ascii="Gill Sans" w:hAnsi="Gill Sans"/>
          <w:sz w:val="22"/>
          <w:szCs w:val="22"/>
          <w:highlight w:val="yellow"/>
        </w:rPr>
        <w:t xml:space="preserve">SEC through their </w:t>
      </w:r>
      <w:r w:rsidRPr="00EE390F">
        <w:rPr>
          <w:rFonts w:ascii="Gill Sans" w:hAnsi="Gill Sans"/>
          <w:sz w:val="22"/>
          <w:szCs w:val="22"/>
          <w:highlight w:val="yellow"/>
        </w:rPr>
        <w:t>e-tendering system</w:t>
      </w:r>
      <w:r w:rsidRPr="00C32EDC">
        <w:rPr>
          <w:rFonts w:ascii="Gill Sans" w:hAnsi="Gill Sans"/>
          <w:sz w:val="22"/>
          <w:szCs w:val="22"/>
        </w:rPr>
        <w:t>.</w:t>
      </w:r>
    </w:p>
    <w:p w14:paraId="029285EA" w14:textId="77777777" w:rsidR="00C32EDC" w:rsidRDefault="00C32EDC" w:rsidP="00C32EDC">
      <w:pPr>
        <w:rPr>
          <w:rFonts w:ascii="Gill Sans" w:eastAsia="Calibri" w:hAnsi="Gill Sans" w:cs="Arial"/>
          <w:bCs/>
          <w:iCs/>
          <w:color w:val="000000"/>
          <w:lang w:eastAsia="en-GB"/>
        </w:rPr>
      </w:pPr>
    </w:p>
    <w:p w14:paraId="7DC2387E" w14:textId="1683A2F0" w:rsidR="00F01AC6" w:rsidRPr="00B16C0C" w:rsidRDefault="00C32EDC" w:rsidP="00B16C0C">
      <w:pPr>
        <w:ind w:left="567" w:hanging="567"/>
        <w:rPr>
          <w:rFonts w:ascii="Gill Sans" w:eastAsia="Calibri" w:hAnsi="Gill Sans" w:cs="Arial"/>
          <w:bCs/>
          <w:iCs/>
          <w:color w:val="000000"/>
          <w:sz w:val="22"/>
          <w:szCs w:val="22"/>
          <w:lang w:eastAsia="en-GB"/>
        </w:rPr>
      </w:pPr>
      <w:r w:rsidRPr="00B16C0C">
        <w:rPr>
          <w:rFonts w:ascii="Gill Sans" w:eastAsia="Calibri" w:hAnsi="Gill Sans" w:cs="Arial"/>
          <w:bCs/>
          <w:iCs/>
          <w:color w:val="000000"/>
          <w:sz w:val="22"/>
          <w:szCs w:val="22"/>
          <w:lang w:eastAsia="en-GB"/>
        </w:rPr>
        <w:t>1.</w:t>
      </w:r>
      <w:r w:rsidR="00D118CE">
        <w:rPr>
          <w:rFonts w:ascii="Gill Sans" w:eastAsia="Calibri" w:hAnsi="Gill Sans" w:cs="Arial"/>
          <w:bCs/>
          <w:iCs/>
          <w:color w:val="000000"/>
          <w:sz w:val="22"/>
          <w:szCs w:val="22"/>
          <w:lang w:eastAsia="en-GB"/>
        </w:rPr>
        <w:t>4</w:t>
      </w:r>
      <w:r w:rsidRPr="00B16C0C">
        <w:rPr>
          <w:rFonts w:ascii="Gill Sans" w:eastAsia="Calibri" w:hAnsi="Gill Sans" w:cs="Arial"/>
          <w:bCs/>
          <w:iCs/>
          <w:color w:val="000000"/>
          <w:sz w:val="22"/>
          <w:szCs w:val="22"/>
          <w:lang w:eastAsia="en-GB"/>
        </w:rPr>
        <w:tab/>
      </w:r>
      <w:r w:rsidR="00F01AC6" w:rsidRPr="00B16C0C">
        <w:rPr>
          <w:rFonts w:ascii="Gill Sans" w:eastAsia="Calibri" w:hAnsi="Gill Sans" w:cs="Arial"/>
          <w:bCs/>
          <w:iCs/>
          <w:color w:val="000000"/>
          <w:sz w:val="22"/>
          <w:szCs w:val="22"/>
          <w:lang w:eastAsia="en-GB"/>
        </w:rPr>
        <w:t xml:space="preserve">This is a mini competition off the </w:t>
      </w:r>
      <w:proofErr w:type="gramStart"/>
      <w:r w:rsidR="00F01AC6" w:rsidRPr="00B16C0C">
        <w:rPr>
          <w:rFonts w:ascii="Gill Sans" w:eastAsia="Calibri" w:hAnsi="Gill Sans" w:cs="Arial"/>
          <w:bCs/>
          <w:iCs/>
          <w:color w:val="000000"/>
          <w:sz w:val="22"/>
          <w:szCs w:val="22"/>
          <w:lang w:eastAsia="en-GB"/>
        </w:rPr>
        <w:t>South East</w:t>
      </w:r>
      <w:proofErr w:type="gramEnd"/>
      <w:r w:rsidR="00F01AC6" w:rsidRPr="00B16C0C">
        <w:rPr>
          <w:rFonts w:ascii="Gill Sans" w:eastAsia="Calibri" w:hAnsi="Gill Sans" w:cs="Arial"/>
          <w:bCs/>
          <w:iCs/>
          <w:color w:val="000000"/>
          <w:sz w:val="22"/>
          <w:szCs w:val="22"/>
          <w:lang w:eastAsia="en-GB"/>
        </w:rPr>
        <w:t xml:space="preserve"> Consortium’s</w:t>
      </w:r>
      <w:r w:rsidR="00D5336A" w:rsidRPr="00D5336A">
        <w:t xml:space="preserve"> </w:t>
      </w:r>
      <w:r w:rsidR="00D5336A" w:rsidRPr="00D5336A">
        <w:rPr>
          <w:rFonts w:ascii="Gill Sans" w:eastAsia="Calibri" w:hAnsi="Gill Sans" w:cs="Arial"/>
          <w:bCs/>
          <w:iCs/>
          <w:color w:val="000000"/>
          <w:sz w:val="22"/>
          <w:szCs w:val="22"/>
          <w:lang w:eastAsia="en-GB"/>
        </w:rPr>
        <w:t>SEC Responsive Repairs, Voids, Planned Works DPS, Lot 3 (Planned Works</w:t>
      </w:r>
      <w:r w:rsidR="00D5336A">
        <w:rPr>
          <w:rFonts w:ascii="Gill Sans" w:eastAsia="Calibri" w:hAnsi="Gill Sans" w:cs="Arial"/>
          <w:bCs/>
          <w:iCs/>
          <w:color w:val="000000"/>
          <w:sz w:val="22"/>
          <w:szCs w:val="22"/>
          <w:lang w:eastAsia="en-GB"/>
        </w:rPr>
        <w:t>).</w:t>
      </w:r>
    </w:p>
    <w:p w14:paraId="1EFE3BED" w14:textId="521CCAEE" w:rsidR="00F01AC6" w:rsidRPr="00B16C0C" w:rsidRDefault="00F01AC6" w:rsidP="00B16C0C">
      <w:pPr>
        <w:ind w:left="567"/>
        <w:rPr>
          <w:rFonts w:ascii="Gill Sans" w:eastAsia="Calibri" w:hAnsi="Gill Sans" w:cs="Arial"/>
          <w:bCs/>
          <w:iCs/>
          <w:color w:val="000000"/>
          <w:sz w:val="22"/>
          <w:szCs w:val="22"/>
          <w:lang w:eastAsia="en-GB"/>
        </w:rPr>
      </w:pPr>
      <w:r w:rsidRPr="00B16C0C">
        <w:rPr>
          <w:rFonts w:ascii="Gill Sans" w:eastAsia="Calibri" w:hAnsi="Gill Sans" w:cs="Arial"/>
          <w:bCs/>
          <w:iCs/>
          <w:color w:val="000000"/>
          <w:sz w:val="22"/>
          <w:szCs w:val="22"/>
          <w:lang w:eastAsia="en-GB"/>
        </w:rPr>
        <w:t xml:space="preserve"> </w:t>
      </w:r>
      <w:r w:rsidR="00D5336A">
        <w:rPr>
          <w:rFonts w:ascii="Gill Sans" w:eastAsia="Calibri" w:hAnsi="Gill Sans" w:cs="Arial"/>
          <w:bCs/>
          <w:iCs/>
          <w:color w:val="000000"/>
          <w:sz w:val="22"/>
          <w:szCs w:val="22"/>
          <w:lang w:eastAsia="en-GB"/>
        </w:rPr>
        <w:t>OJ</w:t>
      </w:r>
      <w:r w:rsidRPr="00B16C0C">
        <w:rPr>
          <w:rFonts w:ascii="Gill Sans" w:eastAsia="Calibri" w:hAnsi="Gill Sans" w:cs="Arial"/>
          <w:bCs/>
          <w:iCs/>
          <w:color w:val="000000"/>
          <w:sz w:val="22"/>
          <w:szCs w:val="22"/>
          <w:lang w:eastAsia="en-GB"/>
        </w:rPr>
        <w:t xml:space="preserve">EU/Tender reference:  </w:t>
      </w:r>
      <w:r w:rsidR="00EF51CC" w:rsidRPr="00EF51CC">
        <w:rPr>
          <w:rFonts w:ascii="Gill Sans" w:eastAsia="Calibri" w:hAnsi="Gill Sans" w:cs="Arial"/>
          <w:bCs/>
          <w:iCs/>
          <w:color w:val="000000"/>
          <w:sz w:val="22"/>
          <w:szCs w:val="22"/>
          <w:highlight w:val="yellow"/>
          <w:lang w:eastAsia="en-GB"/>
        </w:rPr>
        <w:t>XXXXXXX</w:t>
      </w:r>
      <w:r w:rsidRPr="00B16C0C">
        <w:rPr>
          <w:rFonts w:ascii="Gill Sans" w:eastAsia="Calibri" w:hAnsi="Gill Sans" w:cs="Arial"/>
          <w:bCs/>
          <w:iCs/>
          <w:color w:val="000000"/>
          <w:sz w:val="22"/>
          <w:szCs w:val="22"/>
          <w:lang w:eastAsia="en-GB"/>
        </w:rPr>
        <w:tab/>
        <w:t xml:space="preserve">Date: </w:t>
      </w:r>
      <w:r w:rsidR="00EF51CC" w:rsidRPr="00EF51CC">
        <w:rPr>
          <w:rFonts w:ascii="Gill Sans" w:eastAsia="Calibri" w:hAnsi="Gill Sans" w:cs="Arial"/>
          <w:bCs/>
          <w:iCs/>
          <w:color w:val="000000"/>
          <w:sz w:val="22"/>
          <w:szCs w:val="22"/>
          <w:highlight w:val="yellow"/>
          <w:lang w:eastAsia="en-GB"/>
        </w:rPr>
        <w:t>XXXXXXXX</w:t>
      </w:r>
    </w:p>
    <w:p w14:paraId="32ED4531" w14:textId="77777777" w:rsidR="00F01AC6" w:rsidRPr="00B16C0C" w:rsidRDefault="00F01AC6" w:rsidP="00C32EDC">
      <w:pPr>
        <w:rPr>
          <w:rFonts w:ascii="Gill Sans" w:eastAsia="Calibri" w:hAnsi="Gill Sans" w:cs="Arial"/>
          <w:bCs/>
          <w:iCs/>
          <w:color w:val="000000"/>
          <w:sz w:val="22"/>
          <w:szCs w:val="22"/>
          <w:lang w:eastAsia="en-GB"/>
        </w:rPr>
      </w:pPr>
    </w:p>
    <w:p w14:paraId="53843CA5" w14:textId="12E47158" w:rsidR="00F01AC6" w:rsidRPr="00B16C0C" w:rsidRDefault="00C32EDC" w:rsidP="00B16C0C">
      <w:pPr>
        <w:ind w:left="567" w:hanging="567"/>
        <w:rPr>
          <w:rFonts w:ascii="Gill Sans" w:eastAsia="Calibri" w:hAnsi="Gill Sans" w:cs="Arial"/>
          <w:bCs/>
          <w:color w:val="000000"/>
          <w:sz w:val="22"/>
          <w:szCs w:val="22"/>
          <w:lang w:eastAsia="en-GB"/>
        </w:rPr>
      </w:pPr>
      <w:r w:rsidRPr="00B16C0C">
        <w:rPr>
          <w:rFonts w:ascii="Gill Sans" w:eastAsia="Calibri" w:hAnsi="Gill Sans" w:cs="Arial"/>
          <w:bCs/>
          <w:color w:val="000000"/>
          <w:sz w:val="22"/>
          <w:szCs w:val="22"/>
          <w:lang w:eastAsia="en-GB"/>
        </w:rPr>
        <w:t>1.</w:t>
      </w:r>
      <w:r w:rsidR="00D118CE">
        <w:rPr>
          <w:rFonts w:ascii="Gill Sans" w:eastAsia="Calibri" w:hAnsi="Gill Sans" w:cs="Arial"/>
          <w:bCs/>
          <w:color w:val="000000"/>
          <w:sz w:val="22"/>
          <w:szCs w:val="22"/>
          <w:lang w:eastAsia="en-GB"/>
        </w:rPr>
        <w:t>5</w:t>
      </w:r>
      <w:r w:rsidRPr="00B16C0C">
        <w:rPr>
          <w:rFonts w:ascii="Gill Sans" w:eastAsia="Calibri" w:hAnsi="Gill Sans" w:cs="Arial"/>
          <w:bCs/>
          <w:color w:val="000000"/>
          <w:sz w:val="22"/>
          <w:szCs w:val="22"/>
          <w:lang w:eastAsia="en-GB"/>
        </w:rPr>
        <w:tab/>
      </w:r>
      <w:r w:rsidR="00F01AC6" w:rsidRPr="00B16C0C">
        <w:rPr>
          <w:rFonts w:ascii="Gill Sans" w:eastAsia="Calibri" w:hAnsi="Gill Sans" w:cs="Arial"/>
          <w:bCs/>
          <w:color w:val="000000"/>
          <w:sz w:val="22"/>
          <w:szCs w:val="22"/>
          <w:lang w:eastAsia="en-GB"/>
        </w:rPr>
        <w:t>Costs to be Included in Tender Pricing</w:t>
      </w:r>
    </w:p>
    <w:p w14:paraId="13176999" w14:textId="77777777" w:rsidR="00F01AC6" w:rsidRPr="00B16C0C" w:rsidRDefault="00F01AC6" w:rsidP="00B16C0C">
      <w:pPr>
        <w:ind w:left="567"/>
        <w:rPr>
          <w:rFonts w:ascii="Gill Sans" w:eastAsia="Calibri" w:hAnsi="Gill Sans" w:cs="Arial"/>
          <w:color w:val="000000"/>
          <w:sz w:val="22"/>
          <w:szCs w:val="22"/>
          <w:lang w:eastAsia="en-GB"/>
        </w:rPr>
      </w:pPr>
      <w:r w:rsidRPr="00B16C0C">
        <w:rPr>
          <w:rFonts w:ascii="Gill Sans" w:eastAsia="Calibri" w:hAnsi="Gill Sans" w:cs="Arial"/>
          <w:color w:val="000000"/>
          <w:sz w:val="22"/>
          <w:szCs w:val="22"/>
          <w:lang w:eastAsia="en-GB"/>
        </w:rPr>
        <w:t>The Tenderer is to allow for the costs of fulfilling all liabilities and obligations referred to in the preliminaries, specifications and other tender documents as part of the tender pricing. Pricing must be inclusive of the SEC Levy (2%), overheads, prelims and profit but exclusive of VAT. The Tenderer shall have included in its tender for the appropriate number of operatives to complete each task, all costs involved in carrying out the works including all staff travelling, accommodation, access facilities and other expenses.</w:t>
      </w:r>
    </w:p>
    <w:p w14:paraId="043ADC64" w14:textId="77777777" w:rsidR="00F01AC6" w:rsidRPr="00B16C0C" w:rsidRDefault="00F01AC6" w:rsidP="00C32EDC">
      <w:pPr>
        <w:rPr>
          <w:rFonts w:ascii="Gill Sans" w:eastAsia="Calibri" w:hAnsi="Gill Sans" w:cs="Arial"/>
          <w:b/>
          <w:bCs/>
          <w:iCs/>
          <w:color w:val="000000"/>
          <w:sz w:val="22"/>
          <w:szCs w:val="22"/>
          <w:lang w:eastAsia="en-GB"/>
        </w:rPr>
      </w:pPr>
    </w:p>
    <w:p w14:paraId="61259895" w14:textId="4FDA21A9" w:rsidR="00F01AC6" w:rsidRDefault="00C32EDC" w:rsidP="00B16C0C">
      <w:pPr>
        <w:ind w:left="567" w:hanging="567"/>
        <w:rPr>
          <w:rFonts w:ascii="Gill Sans" w:eastAsia="Calibri" w:hAnsi="Gill Sans" w:cs="Arial"/>
          <w:iCs/>
          <w:color w:val="000000"/>
          <w:sz w:val="22"/>
          <w:szCs w:val="22"/>
          <w:lang w:eastAsia="en-GB"/>
        </w:rPr>
      </w:pPr>
      <w:r w:rsidRPr="00B16C0C">
        <w:rPr>
          <w:rFonts w:ascii="Gill Sans" w:eastAsia="Calibri" w:hAnsi="Gill Sans" w:cs="Arial"/>
          <w:iCs/>
          <w:color w:val="000000"/>
          <w:sz w:val="22"/>
          <w:szCs w:val="22"/>
          <w:lang w:eastAsia="en-GB"/>
        </w:rPr>
        <w:t>1.</w:t>
      </w:r>
      <w:r w:rsidR="00D118CE">
        <w:rPr>
          <w:rFonts w:ascii="Gill Sans" w:eastAsia="Calibri" w:hAnsi="Gill Sans" w:cs="Arial"/>
          <w:iCs/>
          <w:color w:val="000000"/>
          <w:sz w:val="22"/>
          <w:szCs w:val="22"/>
          <w:lang w:eastAsia="en-GB"/>
        </w:rPr>
        <w:t>6</w:t>
      </w:r>
      <w:r w:rsidRPr="00B16C0C">
        <w:rPr>
          <w:rFonts w:ascii="Gill Sans" w:eastAsia="Calibri" w:hAnsi="Gill Sans" w:cs="Arial"/>
          <w:iCs/>
          <w:color w:val="000000"/>
          <w:sz w:val="22"/>
          <w:szCs w:val="22"/>
          <w:lang w:eastAsia="en-GB"/>
        </w:rPr>
        <w:tab/>
      </w:r>
      <w:r w:rsidR="00F01AC6" w:rsidRPr="00B16C0C">
        <w:rPr>
          <w:rFonts w:ascii="Gill Sans" w:eastAsia="Calibri" w:hAnsi="Gill Sans" w:cs="Arial"/>
          <w:iCs/>
          <w:color w:val="000000"/>
          <w:sz w:val="22"/>
          <w:szCs w:val="22"/>
          <w:lang w:eastAsia="en-GB"/>
        </w:rPr>
        <w:t xml:space="preserve">SEC </w:t>
      </w:r>
      <w:r w:rsidR="00A476CA">
        <w:rPr>
          <w:rFonts w:ascii="Gill Sans" w:eastAsia="Calibri" w:hAnsi="Gill Sans" w:cs="Arial"/>
          <w:iCs/>
          <w:color w:val="000000"/>
          <w:sz w:val="22"/>
          <w:szCs w:val="22"/>
          <w:lang w:eastAsia="en-GB"/>
        </w:rPr>
        <w:t xml:space="preserve">DPS </w:t>
      </w:r>
      <w:r w:rsidR="00F01AC6" w:rsidRPr="00B16C0C">
        <w:rPr>
          <w:rFonts w:ascii="Gill Sans" w:eastAsia="Calibri" w:hAnsi="Gill Sans" w:cs="Arial"/>
          <w:iCs/>
          <w:color w:val="000000"/>
          <w:sz w:val="22"/>
          <w:szCs w:val="22"/>
          <w:lang w:eastAsia="en-GB"/>
        </w:rPr>
        <w:t>Levy</w:t>
      </w:r>
    </w:p>
    <w:p w14:paraId="27801C15" w14:textId="77777777" w:rsidR="00A476CA" w:rsidRPr="00A476CA" w:rsidRDefault="00A476CA" w:rsidP="00A476CA">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 xml:space="preserve">You’ll have noted SEC introduced details of a levy system in the Supporting Document which went alongside the SQ Document you successfully completed for this DPS. </w:t>
      </w:r>
    </w:p>
    <w:p w14:paraId="78C22432" w14:textId="77777777" w:rsidR="00A476CA" w:rsidRPr="00A476CA" w:rsidRDefault="00A476CA" w:rsidP="00A476CA">
      <w:pPr>
        <w:ind w:left="567"/>
        <w:rPr>
          <w:rFonts w:ascii="Gill Sans" w:eastAsia="Calibri" w:hAnsi="Gill Sans" w:cs="Arial"/>
          <w:color w:val="000000"/>
          <w:sz w:val="22"/>
          <w:szCs w:val="22"/>
          <w:lang w:eastAsia="en-GB"/>
        </w:rPr>
      </w:pPr>
    </w:p>
    <w:p w14:paraId="4AF398CF" w14:textId="77777777" w:rsidR="00A476CA" w:rsidRPr="00A476CA" w:rsidRDefault="00A476CA" w:rsidP="00A476CA">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For the purposes of this DPS we propose that SEC will not include its traditional levy until a project or contract value goes above a value of £150,001. Up until that point SEC will levy a fixed fee – per project or contract – on the following basis:</w:t>
      </w:r>
    </w:p>
    <w:p w14:paraId="7E3A26C5" w14:textId="77777777" w:rsidR="00A476CA" w:rsidRPr="00A476CA" w:rsidRDefault="00A476CA" w:rsidP="00A476CA">
      <w:pPr>
        <w:spacing w:after="200"/>
        <w:contextualSpacing/>
        <w:jc w:val="both"/>
        <w:rPr>
          <w:rFonts w:ascii="Calibri" w:eastAsia="Calibri" w:hAnsi="Calibri" w:cs="Arial"/>
          <w:sz w:val="22"/>
        </w:rPr>
      </w:pPr>
    </w:p>
    <w:p w14:paraId="17EE5126" w14:textId="77777777" w:rsidR="00A476CA" w:rsidRPr="00A476CA" w:rsidRDefault="00A476CA" w:rsidP="009C3BF1">
      <w:pPr>
        <w:ind w:left="567"/>
        <w:rPr>
          <w:rFonts w:ascii="Gill Sans" w:eastAsia="Calibri" w:hAnsi="Gill Sans" w:cs="Arial"/>
          <w:b/>
          <w:bCs/>
          <w:color w:val="000000"/>
          <w:sz w:val="22"/>
          <w:szCs w:val="22"/>
          <w:u w:val="single"/>
          <w:lang w:eastAsia="en-GB"/>
        </w:rPr>
      </w:pPr>
      <w:r w:rsidRPr="00A476CA">
        <w:rPr>
          <w:rFonts w:ascii="Gill Sans" w:eastAsia="Calibri" w:hAnsi="Gill Sans" w:cs="Arial"/>
          <w:b/>
          <w:bCs/>
          <w:color w:val="000000"/>
          <w:sz w:val="22"/>
          <w:szCs w:val="22"/>
          <w:u w:val="single"/>
          <w:lang w:eastAsia="en-GB"/>
        </w:rPr>
        <w:t>Project / Contract Value</w:t>
      </w:r>
    </w:p>
    <w:tbl>
      <w:tblPr>
        <w:tblW w:w="6435" w:type="dxa"/>
        <w:tblInd w:w="1455" w:type="dxa"/>
        <w:tblLook w:val="04A0" w:firstRow="1" w:lastRow="0" w:firstColumn="1" w:lastColumn="0" w:noHBand="0" w:noVBand="1"/>
      </w:tblPr>
      <w:tblGrid>
        <w:gridCol w:w="4800"/>
        <w:gridCol w:w="992"/>
        <w:gridCol w:w="740"/>
      </w:tblGrid>
      <w:tr w:rsidR="00A476CA" w:rsidRPr="00A476CA" w14:paraId="59274960" w14:textId="77777777" w:rsidTr="00A476CA">
        <w:trPr>
          <w:trHeight w:val="315"/>
        </w:trPr>
        <w:tc>
          <w:tcPr>
            <w:tcW w:w="6435" w:type="dxa"/>
            <w:gridSpan w:val="3"/>
            <w:tcBorders>
              <w:top w:val="nil"/>
              <w:left w:val="nil"/>
              <w:bottom w:val="single" w:sz="8" w:space="0" w:color="auto"/>
              <w:right w:val="nil"/>
            </w:tcBorders>
            <w:noWrap/>
            <w:vAlign w:val="center"/>
            <w:hideMark/>
          </w:tcPr>
          <w:p w14:paraId="2CABE2C4" w14:textId="77777777" w:rsidR="00A476CA" w:rsidRPr="00A476CA" w:rsidRDefault="00A476CA" w:rsidP="009C3BF1">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Fixed Fee Values to be applied by total contract value</w:t>
            </w:r>
          </w:p>
        </w:tc>
      </w:tr>
      <w:tr w:rsidR="00A476CA" w:rsidRPr="00A476CA" w14:paraId="53AC0127" w14:textId="77777777" w:rsidTr="00A476CA">
        <w:trPr>
          <w:trHeight w:val="315"/>
        </w:trPr>
        <w:tc>
          <w:tcPr>
            <w:tcW w:w="4800" w:type="dxa"/>
            <w:tcBorders>
              <w:top w:val="nil"/>
              <w:left w:val="single" w:sz="8" w:space="0" w:color="auto"/>
              <w:bottom w:val="single" w:sz="8" w:space="0" w:color="auto"/>
              <w:right w:val="single" w:sz="8" w:space="0" w:color="auto"/>
            </w:tcBorders>
            <w:shd w:val="clear" w:color="auto" w:fill="BDD6EE"/>
            <w:noWrap/>
            <w:vAlign w:val="center"/>
            <w:hideMark/>
          </w:tcPr>
          <w:p w14:paraId="5336CF5A" w14:textId="77777777" w:rsidR="00A476CA" w:rsidRPr="00A476CA" w:rsidRDefault="00A476CA" w:rsidP="009C3BF1">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Contract Value &amp; Evaluation Method</w:t>
            </w:r>
          </w:p>
        </w:tc>
        <w:tc>
          <w:tcPr>
            <w:tcW w:w="934" w:type="dxa"/>
            <w:tcBorders>
              <w:top w:val="nil"/>
              <w:left w:val="nil"/>
              <w:bottom w:val="single" w:sz="8" w:space="0" w:color="auto"/>
              <w:right w:val="single" w:sz="8" w:space="0" w:color="auto"/>
            </w:tcBorders>
            <w:shd w:val="clear" w:color="auto" w:fill="BDD6EE"/>
            <w:noWrap/>
            <w:vAlign w:val="center"/>
            <w:hideMark/>
          </w:tcPr>
          <w:p w14:paraId="78BD839D" w14:textId="77777777" w:rsidR="00A476CA" w:rsidRPr="00A476CA" w:rsidRDefault="00A476CA" w:rsidP="00475BFC">
            <w:pPr>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Member £</w:t>
            </w:r>
          </w:p>
        </w:tc>
        <w:tc>
          <w:tcPr>
            <w:tcW w:w="701" w:type="dxa"/>
            <w:tcBorders>
              <w:top w:val="nil"/>
              <w:left w:val="nil"/>
              <w:bottom w:val="single" w:sz="8" w:space="0" w:color="auto"/>
              <w:right w:val="single" w:sz="8" w:space="0" w:color="auto"/>
            </w:tcBorders>
            <w:shd w:val="clear" w:color="auto" w:fill="BDD6EE"/>
            <w:noWrap/>
            <w:vAlign w:val="center"/>
            <w:hideMark/>
          </w:tcPr>
          <w:p w14:paraId="196F08A9" w14:textId="77777777" w:rsidR="00A476CA" w:rsidRPr="00A476CA" w:rsidRDefault="00A476CA" w:rsidP="00475BFC">
            <w:pPr>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Guest £</w:t>
            </w:r>
          </w:p>
        </w:tc>
      </w:tr>
      <w:tr w:rsidR="00A476CA" w:rsidRPr="00A476CA" w14:paraId="45B08F6E" w14:textId="77777777" w:rsidTr="00A476CA">
        <w:trPr>
          <w:trHeight w:val="315"/>
        </w:trPr>
        <w:tc>
          <w:tcPr>
            <w:tcW w:w="4800" w:type="dxa"/>
            <w:tcBorders>
              <w:top w:val="nil"/>
              <w:left w:val="single" w:sz="8" w:space="0" w:color="auto"/>
              <w:bottom w:val="single" w:sz="8" w:space="0" w:color="auto"/>
              <w:right w:val="single" w:sz="8" w:space="0" w:color="auto"/>
            </w:tcBorders>
            <w:noWrap/>
            <w:vAlign w:val="center"/>
            <w:hideMark/>
          </w:tcPr>
          <w:p w14:paraId="08B51322" w14:textId="77777777" w:rsidR="00A476CA" w:rsidRPr="00A476CA" w:rsidRDefault="00A476CA" w:rsidP="009C3BF1">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Projects value of £150,000 or less – Price Only Evaluation</w:t>
            </w:r>
          </w:p>
        </w:tc>
        <w:tc>
          <w:tcPr>
            <w:tcW w:w="1635" w:type="dxa"/>
            <w:gridSpan w:val="2"/>
            <w:tcBorders>
              <w:top w:val="single" w:sz="8" w:space="0" w:color="auto"/>
              <w:left w:val="nil"/>
              <w:bottom w:val="single" w:sz="8" w:space="0" w:color="auto"/>
              <w:right w:val="single" w:sz="8" w:space="0" w:color="000000"/>
            </w:tcBorders>
            <w:noWrap/>
            <w:vAlign w:val="center"/>
            <w:hideMark/>
          </w:tcPr>
          <w:p w14:paraId="25ABAA4A"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£500</w:t>
            </w:r>
          </w:p>
        </w:tc>
      </w:tr>
      <w:tr w:rsidR="00A476CA" w:rsidRPr="00A476CA" w14:paraId="2754B1B6" w14:textId="77777777" w:rsidTr="00A476CA">
        <w:trPr>
          <w:trHeight w:val="315"/>
        </w:trPr>
        <w:tc>
          <w:tcPr>
            <w:tcW w:w="4800" w:type="dxa"/>
            <w:tcBorders>
              <w:top w:val="single" w:sz="8" w:space="0" w:color="auto"/>
              <w:left w:val="single" w:sz="8" w:space="0" w:color="auto"/>
              <w:bottom w:val="single" w:sz="4" w:space="0" w:color="auto"/>
              <w:right w:val="single" w:sz="8" w:space="0" w:color="auto"/>
            </w:tcBorders>
            <w:noWrap/>
            <w:vAlign w:val="center"/>
            <w:hideMark/>
          </w:tcPr>
          <w:p w14:paraId="217B51CB" w14:textId="77777777" w:rsidR="00A476CA" w:rsidRPr="00A476CA" w:rsidRDefault="00A476CA" w:rsidP="009C3BF1">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Projects value of £150,000 or less – Price AND Quality Evaluation</w:t>
            </w:r>
          </w:p>
        </w:tc>
        <w:tc>
          <w:tcPr>
            <w:tcW w:w="1635" w:type="dxa"/>
            <w:gridSpan w:val="2"/>
            <w:tcBorders>
              <w:top w:val="single" w:sz="8" w:space="0" w:color="auto"/>
              <w:left w:val="nil"/>
              <w:bottom w:val="single" w:sz="8" w:space="0" w:color="auto"/>
              <w:right w:val="single" w:sz="8" w:space="0" w:color="000000"/>
            </w:tcBorders>
            <w:noWrap/>
            <w:vAlign w:val="center"/>
            <w:hideMark/>
          </w:tcPr>
          <w:p w14:paraId="12FDA2A1"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£2250</w:t>
            </w:r>
          </w:p>
        </w:tc>
      </w:tr>
      <w:tr w:rsidR="00A476CA" w:rsidRPr="00A476CA" w14:paraId="5E3A43A3" w14:textId="77777777" w:rsidTr="00A476CA">
        <w:trPr>
          <w:trHeight w:val="315"/>
        </w:trPr>
        <w:tc>
          <w:tcPr>
            <w:tcW w:w="4800"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773267EF" w14:textId="77777777" w:rsidR="00A476CA" w:rsidRPr="00A476CA" w:rsidRDefault="00A476CA" w:rsidP="009C3BF1">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Over £150,000</w:t>
            </w:r>
          </w:p>
        </w:tc>
        <w:tc>
          <w:tcPr>
            <w:tcW w:w="1635" w:type="dxa"/>
            <w:gridSpan w:val="2"/>
            <w:tcBorders>
              <w:top w:val="single" w:sz="8" w:space="0" w:color="auto"/>
              <w:left w:val="nil"/>
              <w:bottom w:val="single" w:sz="8" w:space="0" w:color="auto"/>
              <w:right w:val="single" w:sz="8" w:space="0" w:color="000000"/>
            </w:tcBorders>
            <w:noWrap/>
            <w:vAlign w:val="center"/>
            <w:hideMark/>
          </w:tcPr>
          <w:p w14:paraId="63CA2D57"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Std SEC Levy applies – see table below</w:t>
            </w:r>
          </w:p>
        </w:tc>
      </w:tr>
    </w:tbl>
    <w:p w14:paraId="7C41A6AB" w14:textId="77777777" w:rsidR="00A476CA" w:rsidRPr="00A476CA" w:rsidRDefault="00A476CA" w:rsidP="00A476CA">
      <w:pPr>
        <w:spacing w:after="200" w:line="276" w:lineRule="auto"/>
        <w:jc w:val="both"/>
        <w:rPr>
          <w:rFonts w:ascii="Gill Sans MT" w:eastAsia="Calibri" w:hAnsi="Gill Sans MT"/>
          <w:b/>
          <w:sz w:val="22"/>
          <w:szCs w:val="22"/>
          <w:highlight w:val="yellow"/>
          <w:u w:val="single"/>
        </w:rPr>
      </w:pPr>
    </w:p>
    <w:p w14:paraId="7DA3E1E2" w14:textId="77777777" w:rsidR="00A476CA" w:rsidRDefault="00A476CA" w:rsidP="00A476CA">
      <w:pPr>
        <w:spacing w:after="200" w:line="276" w:lineRule="auto"/>
        <w:ind w:left="720"/>
        <w:jc w:val="both"/>
        <w:rPr>
          <w:rFonts w:ascii="Gill Sans" w:eastAsia="Calibri" w:hAnsi="Gill Sans" w:cs="Arial"/>
          <w:color w:val="000000"/>
          <w:sz w:val="22"/>
          <w:szCs w:val="22"/>
          <w:lang w:eastAsia="en-GB"/>
        </w:rPr>
      </w:pPr>
      <w:r w:rsidRPr="00A476CA">
        <w:rPr>
          <w:rFonts w:ascii="Gill Sans" w:eastAsia="Calibri" w:hAnsi="Gill Sans" w:cs="Arial"/>
          <w:b/>
          <w:bCs/>
          <w:color w:val="000000"/>
          <w:sz w:val="22"/>
          <w:szCs w:val="22"/>
          <w:u w:val="single"/>
          <w:lang w:eastAsia="en-GB"/>
        </w:rPr>
        <w:t>All pricing for further competitions from this DPS up to and including £150,000 (Low Value Contracts)</w:t>
      </w:r>
      <w:r w:rsidRPr="00A476CA">
        <w:rPr>
          <w:rFonts w:ascii="Gill Sans MT" w:eastAsia="Calibri" w:hAnsi="Gill Sans MT"/>
          <w:b/>
          <w:sz w:val="22"/>
          <w:szCs w:val="22"/>
        </w:rPr>
        <w:t xml:space="preserve"> </w:t>
      </w:r>
      <w:r w:rsidRPr="00A476CA">
        <w:rPr>
          <w:rFonts w:ascii="Gill Sans" w:eastAsia="Calibri" w:hAnsi="Gill Sans" w:cs="Arial"/>
          <w:color w:val="000000"/>
          <w:sz w:val="22"/>
          <w:szCs w:val="22"/>
          <w:lang w:eastAsia="en-GB"/>
        </w:rPr>
        <w:t>should allow for the relevant fixed fee within their pricing submission. All payments will be in accordance with clause 28 of the DPS Agreement and is outlined below.</w:t>
      </w:r>
    </w:p>
    <w:p w14:paraId="131D8D5F" w14:textId="77777777" w:rsidR="00A476CA" w:rsidRPr="00A476CA" w:rsidRDefault="00A476CA" w:rsidP="00790C32">
      <w:pPr>
        <w:ind w:left="567"/>
        <w:rPr>
          <w:rFonts w:ascii="Gill Sans" w:eastAsia="Calibri" w:hAnsi="Gill Sans" w:cs="Arial"/>
          <w:b/>
          <w:bCs/>
          <w:color w:val="000000"/>
          <w:sz w:val="22"/>
          <w:szCs w:val="22"/>
          <w:u w:val="single"/>
          <w:lang w:eastAsia="en-GB"/>
        </w:rPr>
      </w:pPr>
      <w:r w:rsidRPr="00A476CA">
        <w:rPr>
          <w:rFonts w:ascii="Gill Sans" w:eastAsia="Calibri" w:hAnsi="Gill Sans" w:cs="Arial"/>
          <w:b/>
          <w:bCs/>
          <w:color w:val="000000"/>
          <w:sz w:val="22"/>
          <w:szCs w:val="22"/>
          <w:u w:val="single"/>
          <w:lang w:eastAsia="en-GB"/>
        </w:rPr>
        <w:lastRenderedPageBreak/>
        <w:t>LEVY COLLECTION PROCESS Low Value Call Off Contracts</w:t>
      </w:r>
    </w:p>
    <w:p w14:paraId="6FC52922" w14:textId="77777777" w:rsidR="00A476CA" w:rsidRPr="00A476CA" w:rsidRDefault="00A476CA" w:rsidP="00790C3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The Supplier shall be invoiced the SEC Fixed Fee payable - detailed above - the month following each Low Value Call Off Contract awarded to it under this DPS Agreement. The supplier will then be required to pay that invoice / fee within [30] days of the date of that invoice.</w:t>
      </w:r>
    </w:p>
    <w:p w14:paraId="76587837" w14:textId="77777777" w:rsidR="00790C32" w:rsidRPr="004B7DF2" w:rsidRDefault="00790C32" w:rsidP="004B7DF2">
      <w:pPr>
        <w:ind w:left="567"/>
        <w:rPr>
          <w:rFonts w:ascii="Gill Sans" w:eastAsia="Calibri" w:hAnsi="Gill Sans" w:cs="Arial"/>
          <w:color w:val="000000"/>
          <w:sz w:val="22"/>
          <w:szCs w:val="22"/>
          <w:lang w:eastAsia="en-GB"/>
        </w:rPr>
      </w:pPr>
    </w:p>
    <w:p w14:paraId="79C80352" w14:textId="3833DB0A" w:rsidR="00A476CA" w:rsidRPr="00A476CA" w:rsidRDefault="00A476CA" w:rsidP="00790C32">
      <w:pPr>
        <w:spacing w:after="200" w:line="276" w:lineRule="auto"/>
        <w:ind w:left="567"/>
        <w:jc w:val="both"/>
        <w:rPr>
          <w:rFonts w:ascii="Gill Sans" w:eastAsia="Calibri" w:hAnsi="Gill Sans" w:cs="Arial"/>
          <w:color w:val="000000"/>
          <w:sz w:val="22"/>
          <w:szCs w:val="22"/>
          <w:lang w:eastAsia="en-GB"/>
        </w:rPr>
      </w:pPr>
      <w:r w:rsidRPr="00A476CA">
        <w:rPr>
          <w:rFonts w:ascii="Gill Sans" w:eastAsia="Calibri" w:hAnsi="Gill Sans" w:cs="Arial"/>
          <w:b/>
          <w:bCs/>
          <w:color w:val="000000"/>
          <w:sz w:val="22"/>
          <w:szCs w:val="22"/>
          <w:u w:val="single"/>
          <w:lang w:eastAsia="en-GB"/>
        </w:rPr>
        <w:t>All pricing for further competitions from this DPS above £150,000</w:t>
      </w:r>
      <w:r w:rsidRPr="00A476CA">
        <w:rPr>
          <w:rFonts w:ascii="Gill Sans MT" w:eastAsia="Calibri" w:hAnsi="Gill Sans MT"/>
          <w:sz w:val="22"/>
          <w:szCs w:val="22"/>
        </w:rPr>
        <w:t xml:space="preserve"> </w:t>
      </w:r>
      <w:r w:rsidRPr="00A476CA">
        <w:rPr>
          <w:rFonts w:ascii="Gill Sans" w:eastAsia="Calibri" w:hAnsi="Gill Sans" w:cs="Arial"/>
          <w:color w:val="000000"/>
          <w:sz w:val="22"/>
          <w:szCs w:val="22"/>
          <w:lang w:eastAsia="en-GB"/>
        </w:rPr>
        <w:t>must include the SEC Levy within all submitted pricing, as detailed in the table below. The Levy is a percentage of the total contract value.</w:t>
      </w:r>
    </w:p>
    <w:p w14:paraId="22994E89" w14:textId="77777777" w:rsidR="002111DC" w:rsidRDefault="00A476CA" w:rsidP="004B7DF2">
      <w:pPr>
        <w:ind w:left="567"/>
        <w:rPr>
          <w:rFonts w:ascii="Gill Sans" w:eastAsia="Calibri" w:hAnsi="Gill Sans" w:cs="Arial"/>
          <w:b/>
          <w:bCs/>
          <w:color w:val="000000"/>
          <w:sz w:val="22"/>
          <w:szCs w:val="22"/>
          <w:u w:val="single"/>
          <w:lang w:eastAsia="en-GB"/>
        </w:rPr>
      </w:pPr>
      <w:r w:rsidRPr="00A476CA">
        <w:rPr>
          <w:rFonts w:ascii="Gill Sans" w:eastAsia="Calibri" w:hAnsi="Gill Sans" w:cs="Arial"/>
          <w:b/>
          <w:bCs/>
          <w:color w:val="000000"/>
          <w:sz w:val="22"/>
          <w:szCs w:val="22"/>
          <w:u w:val="single"/>
          <w:lang w:eastAsia="en-GB"/>
        </w:rPr>
        <w:t xml:space="preserve">LEVY COLLECTION PROCESS for further competitions from this DPS above £150,001  </w:t>
      </w:r>
    </w:p>
    <w:p w14:paraId="382C5106" w14:textId="2791E20A" w:rsidR="00A476CA" w:rsidRPr="00A476CA" w:rsidRDefault="00A476CA" w:rsidP="002111DC">
      <w:pPr>
        <w:spacing w:after="200" w:line="276" w:lineRule="auto"/>
        <w:ind w:left="567"/>
        <w:jc w:val="both"/>
        <w:rPr>
          <w:rFonts w:ascii="Gill Sans" w:eastAsia="Calibri" w:hAnsi="Gill Sans" w:cs="Arial"/>
          <w:b/>
          <w:bCs/>
          <w:color w:val="000000"/>
          <w:sz w:val="22"/>
          <w:szCs w:val="22"/>
          <w:u w:val="single"/>
          <w:lang w:eastAsia="en-GB"/>
        </w:rPr>
      </w:pPr>
      <w:r w:rsidRPr="00A476CA">
        <w:rPr>
          <w:rFonts w:ascii="Gill Sans" w:eastAsia="Calibri" w:hAnsi="Gill Sans" w:cs="Arial"/>
          <w:color w:val="000000"/>
          <w:sz w:val="22"/>
          <w:szCs w:val="22"/>
          <w:lang w:eastAsia="en-GB"/>
        </w:rPr>
        <w:t>SEC have designed a process which makes managing levy charges as straight forward as possible. The process consists of 3 simple steps which work as outlined below:</w:t>
      </w:r>
    </w:p>
    <w:p w14:paraId="172D1EDC"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Step 1:</w:t>
      </w:r>
    </w:p>
    <w:p w14:paraId="3905A2EE"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 xml:space="preserve">Contractors will need to share a copy of each invoice sent to their Client with SEC. If the contract requires numerous </w:t>
      </w:r>
      <w:proofErr w:type="gramStart"/>
      <w:r w:rsidRPr="00A476CA">
        <w:rPr>
          <w:rFonts w:ascii="Gill Sans" w:eastAsia="Calibri" w:hAnsi="Gill Sans" w:cs="Arial"/>
          <w:color w:val="000000"/>
          <w:sz w:val="22"/>
          <w:szCs w:val="22"/>
          <w:lang w:eastAsia="en-GB"/>
        </w:rPr>
        <w:t>invoices</w:t>
      </w:r>
      <w:proofErr w:type="gramEnd"/>
      <w:r w:rsidRPr="00A476CA">
        <w:rPr>
          <w:rFonts w:ascii="Gill Sans" w:eastAsia="Calibri" w:hAnsi="Gill Sans" w:cs="Arial"/>
          <w:color w:val="000000"/>
          <w:sz w:val="22"/>
          <w:szCs w:val="22"/>
          <w:lang w:eastAsia="en-GB"/>
        </w:rPr>
        <w:t xml:space="preserve"> then a monthly statement will suffice.</w:t>
      </w:r>
    </w:p>
    <w:p w14:paraId="28486977" w14:textId="77777777" w:rsid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 xml:space="preserve">Contractors need to share this at the invoicing stage or within 4 working days of month end. This will need to be e-mailed to </w:t>
      </w:r>
      <w:hyperlink r:id="rId12" w:history="1">
        <w:r w:rsidRPr="00A476CA">
          <w:rPr>
            <w:rFonts w:ascii="Gill Sans" w:eastAsia="Calibri" w:hAnsi="Gill Sans" w:cs="Arial"/>
            <w:color w:val="000000"/>
            <w:sz w:val="22"/>
            <w:szCs w:val="22"/>
            <w:lang w:eastAsia="en-GB"/>
          </w:rPr>
          <w:t>sec.levy@southeastconsortium.org.uk</w:t>
        </w:r>
      </w:hyperlink>
      <w:r w:rsidRPr="00A476CA">
        <w:rPr>
          <w:rFonts w:ascii="Gill Sans" w:eastAsia="Calibri" w:hAnsi="Gill Sans" w:cs="Arial"/>
          <w:color w:val="000000"/>
          <w:sz w:val="22"/>
          <w:szCs w:val="22"/>
          <w:lang w:eastAsia="en-GB"/>
        </w:rPr>
        <w:t>.</w:t>
      </w:r>
    </w:p>
    <w:p w14:paraId="1AED3FFE" w14:textId="77777777" w:rsidR="004B7DF2" w:rsidRPr="00A476CA" w:rsidRDefault="004B7DF2" w:rsidP="004B7DF2">
      <w:pPr>
        <w:ind w:left="567"/>
        <w:rPr>
          <w:rFonts w:ascii="Gill Sans" w:eastAsia="Calibri" w:hAnsi="Gill Sans" w:cs="Arial"/>
          <w:color w:val="000000"/>
          <w:sz w:val="22"/>
          <w:szCs w:val="22"/>
          <w:lang w:eastAsia="en-GB"/>
        </w:rPr>
      </w:pPr>
    </w:p>
    <w:p w14:paraId="7D02CE5F"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Step 2:</w:t>
      </w:r>
    </w:p>
    <w:p w14:paraId="6FB41209"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SEC shall submit an invoice to Contractors for 1.5% (or 2.0% for non-members) of the invoice value charged to the SEC Member. We will also include any applicable VAT.</w:t>
      </w:r>
    </w:p>
    <w:p w14:paraId="6A24E977" w14:textId="77777777" w:rsid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SEC will work with Contractors to arrange one single transaction where multiple payments are due (due to multiple contract awards through SEC frameworks).</w:t>
      </w:r>
    </w:p>
    <w:p w14:paraId="7AA7477F" w14:textId="77777777" w:rsidR="00475BFC" w:rsidRPr="00A476CA" w:rsidRDefault="00475BFC" w:rsidP="004B7DF2">
      <w:pPr>
        <w:ind w:left="567"/>
        <w:rPr>
          <w:rFonts w:ascii="Gill Sans" w:eastAsia="Calibri" w:hAnsi="Gill Sans" w:cs="Arial"/>
          <w:color w:val="000000"/>
          <w:sz w:val="22"/>
          <w:szCs w:val="22"/>
          <w:lang w:eastAsia="en-GB"/>
        </w:rPr>
      </w:pPr>
    </w:p>
    <w:p w14:paraId="251D605C" w14:textId="77777777" w:rsid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Step 3:</w:t>
      </w:r>
    </w:p>
    <w:p w14:paraId="73067300" w14:textId="77777777" w:rsidR="00A476CA" w:rsidRPr="00A476CA" w:rsidRDefault="00A476CA" w:rsidP="00475BFC">
      <w:pPr>
        <w:ind w:firstLine="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Contractors will be required to pay SEC within 30 days of receipt of any invoice.</w:t>
      </w:r>
    </w:p>
    <w:tbl>
      <w:tblPr>
        <w:tblW w:w="7559" w:type="dxa"/>
        <w:jc w:val="center"/>
        <w:tblLook w:val="04A0" w:firstRow="1" w:lastRow="0" w:firstColumn="1" w:lastColumn="0" w:noHBand="0" w:noVBand="1"/>
      </w:tblPr>
      <w:tblGrid>
        <w:gridCol w:w="3206"/>
        <w:gridCol w:w="2420"/>
        <w:gridCol w:w="1933"/>
      </w:tblGrid>
      <w:tr w:rsidR="00A476CA" w:rsidRPr="00A476CA" w14:paraId="39275148" w14:textId="77777777" w:rsidTr="00A476CA">
        <w:trPr>
          <w:trHeight w:val="239"/>
          <w:jc w:val="center"/>
        </w:trPr>
        <w:tc>
          <w:tcPr>
            <w:tcW w:w="7559" w:type="dxa"/>
            <w:gridSpan w:val="3"/>
            <w:noWrap/>
            <w:vAlign w:val="bottom"/>
            <w:hideMark/>
          </w:tcPr>
          <w:p w14:paraId="5976AF13"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Levy Values to be applied by total contract value</w:t>
            </w:r>
          </w:p>
        </w:tc>
      </w:tr>
      <w:tr w:rsidR="00A476CA" w:rsidRPr="00A476CA" w14:paraId="79F53FA3" w14:textId="77777777" w:rsidTr="00A476CA">
        <w:trPr>
          <w:trHeight w:val="228"/>
          <w:jc w:val="center"/>
        </w:trPr>
        <w:tc>
          <w:tcPr>
            <w:tcW w:w="3206" w:type="dxa"/>
            <w:tcBorders>
              <w:top w:val="single" w:sz="8" w:space="0" w:color="auto"/>
              <w:left w:val="single" w:sz="8" w:space="0" w:color="auto"/>
              <w:bottom w:val="single" w:sz="4" w:space="0" w:color="auto"/>
              <w:right w:val="single" w:sz="4" w:space="0" w:color="auto"/>
            </w:tcBorders>
            <w:shd w:val="clear" w:color="auto" w:fill="BDD6EE"/>
            <w:noWrap/>
            <w:vAlign w:val="bottom"/>
            <w:hideMark/>
          </w:tcPr>
          <w:p w14:paraId="346607C8"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Total Project Values</w:t>
            </w:r>
          </w:p>
        </w:tc>
        <w:tc>
          <w:tcPr>
            <w:tcW w:w="2420" w:type="dxa"/>
            <w:tcBorders>
              <w:top w:val="single" w:sz="8" w:space="0" w:color="auto"/>
              <w:left w:val="nil"/>
              <w:bottom w:val="single" w:sz="4" w:space="0" w:color="auto"/>
              <w:right w:val="single" w:sz="4" w:space="0" w:color="auto"/>
            </w:tcBorders>
            <w:shd w:val="clear" w:color="auto" w:fill="BDD6EE"/>
            <w:noWrap/>
            <w:vAlign w:val="bottom"/>
            <w:hideMark/>
          </w:tcPr>
          <w:p w14:paraId="49454837"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Member %</w:t>
            </w:r>
          </w:p>
        </w:tc>
        <w:tc>
          <w:tcPr>
            <w:tcW w:w="1933" w:type="dxa"/>
            <w:tcBorders>
              <w:top w:val="single" w:sz="8" w:space="0" w:color="auto"/>
              <w:left w:val="nil"/>
              <w:bottom w:val="single" w:sz="4" w:space="0" w:color="auto"/>
              <w:right w:val="single" w:sz="8" w:space="0" w:color="auto"/>
            </w:tcBorders>
            <w:shd w:val="clear" w:color="auto" w:fill="BDD6EE"/>
            <w:noWrap/>
            <w:vAlign w:val="bottom"/>
            <w:hideMark/>
          </w:tcPr>
          <w:p w14:paraId="01F0478B"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Guest %</w:t>
            </w:r>
          </w:p>
        </w:tc>
      </w:tr>
      <w:tr w:rsidR="00A476CA" w:rsidRPr="00A476CA" w14:paraId="183D941C" w14:textId="77777777" w:rsidTr="00A476CA">
        <w:trPr>
          <w:trHeight w:val="228"/>
          <w:jc w:val="center"/>
        </w:trPr>
        <w:tc>
          <w:tcPr>
            <w:tcW w:w="3206" w:type="dxa"/>
            <w:tcBorders>
              <w:top w:val="nil"/>
              <w:left w:val="single" w:sz="8" w:space="0" w:color="auto"/>
              <w:bottom w:val="single" w:sz="4" w:space="0" w:color="auto"/>
              <w:right w:val="single" w:sz="4" w:space="0" w:color="auto"/>
            </w:tcBorders>
            <w:noWrap/>
            <w:vAlign w:val="bottom"/>
            <w:hideMark/>
          </w:tcPr>
          <w:p w14:paraId="50974D7F"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£150,001 - £5,000,000</w:t>
            </w:r>
          </w:p>
        </w:tc>
        <w:tc>
          <w:tcPr>
            <w:tcW w:w="2420" w:type="dxa"/>
            <w:tcBorders>
              <w:top w:val="nil"/>
              <w:left w:val="nil"/>
              <w:bottom w:val="single" w:sz="4" w:space="0" w:color="auto"/>
              <w:right w:val="single" w:sz="4" w:space="0" w:color="auto"/>
            </w:tcBorders>
            <w:noWrap/>
            <w:vAlign w:val="bottom"/>
            <w:hideMark/>
          </w:tcPr>
          <w:p w14:paraId="5784E6AA"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1.50%</w:t>
            </w:r>
          </w:p>
        </w:tc>
        <w:tc>
          <w:tcPr>
            <w:tcW w:w="1933" w:type="dxa"/>
            <w:tcBorders>
              <w:top w:val="nil"/>
              <w:left w:val="nil"/>
              <w:bottom w:val="single" w:sz="4" w:space="0" w:color="auto"/>
              <w:right w:val="single" w:sz="8" w:space="0" w:color="auto"/>
            </w:tcBorders>
            <w:noWrap/>
            <w:vAlign w:val="bottom"/>
            <w:hideMark/>
          </w:tcPr>
          <w:p w14:paraId="2091E652"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2.00%</w:t>
            </w:r>
          </w:p>
        </w:tc>
      </w:tr>
      <w:tr w:rsidR="00A476CA" w:rsidRPr="00A476CA" w14:paraId="263EA2C2" w14:textId="77777777" w:rsidTr="00A476CA">
        <w:trPr>
          <w:trHeight w:val="228"/>
          <w:jc w:val="center"/>
        </w:trPr>
        <w:tc>
          <w:tcPr>
            <w:tcW w:w="3206" w:type="dxa"/>
            <w:tcBorders>
              <w:top w:val="single" w:sz="4" w:space="0" w:color="auto"/>
              <w:left w:val="single" w:sz="8" w:space="0" w:color="auto"/>
              <w:bottom w:val="single" w:sz="4" w:space="0" w:color="auto"/>
              <w:right w:val="single" w:sz="4" w:space="0" w:color="auto"/>
            </w:tcBorders>
            <w:noWrap/>
            <w:vAlign w:val="bottom"/>
            <w:hideMark/>
          </w:tcPr>
          <w:p w14:paraId="0D67B21E"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£5,000,001 - £10,000,000</w:t>
            </w:r>
          </w:p>
        </w:tc>
        <w:tc>
          <w:tcPr>
            <w:tcW w:w="2420" w:type="dxa"/>
            <w:tcBorders>
              <w:top w:val="single" w:sz="4" w:space="0" w:color="auto"/>
              <w:left w:val="nil"/>
              <w:bottom w:val="single" w:sz="4" w:space="0" w:color="auto"/>
              <w:right w:val="single" w:sz="4" w:space="0" w:color="auto"/>
            </w:tcBorders>
            <w:noWrap/>
            <w:vAlign w:val="bottom"/>
            <w:hideMark/>
          </w:tcPr>
          <w:p w14:paraId="5E28E85C"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1.00%</w:t>
            </w:r>
          </w:p>
        </w:tc>
        <w:tc>
          <w:tcPr>
            <w:tcW w:w="1933" w:type="dxa"/>
            <w:tcBorders>
              <w:top w:val="single" w:sz="4" w:space="0" w:color="auto"/>
              <w:left w:val="nil"/>
              <w:bottom w:val="single" w:sz="4" w:space="0" w:color="auto"/>
              <w:right w:val="single" w:sz="8" w:space="0" w:color="auto"/>
            </w:tcBorders>
            <w:noWrap/>
            <w:vAlign w:val="bottom"/>
            <w:hideMark/>
          </w:tcPr>
          <w:p w14:paraId="62670BDA"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1.50%</w:t>
            </w:r>
          </w:p>
        </w:tc>
      </w:tr>
      <w:tr w:rsidR="00A476CA" w:rsidRPr="00A476CA" w14:paraId="7BB6A655" w14:textId="77777777" w:rsidTr="00A476CA">
        <w:trPr>
          <w:trHeight w:val="228"/>
          <w:jc w:val="center"/>
        </w:trPr>
        <w:tc>
          <w:tcPr>
            <w:tcW w:w="3206" w:type="dxa"/>
            <w:tcBorders>
              <w:top w:val="single" w:sz="4" w:space="0" w:color="auto"/>
              <w:left w:val="single" w:sz="8" w:space="0" w:color="auto"/>
              <w:bottom w:val="single" w:sz="4" w:space="0" w:color="auto"/>
              <w:right w:val="single" w:sz="4" w:space="0" w:color="auto"/>
            </w:tcBorders>
            <w:noWrap/>
            <w:vAlign w:val="bottom"/>
            <w:hideMark/>
          </w:tcPr>
          <w:p w14:paraId="4BF6A9EB"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£10,000,001 - £20,000,000</w:t>
            </w:r>
          </w:p>
        </w:tc>
        <w:tc>
          <w:tcPr>
            <w:tcW w:w="2420" w:type="dxa"/>
            <w:tcBorders>
              <w:top w:val="single" w:sz="4" w:space="0" w:color="auto"/>
              <w:left w:val="nil"/>
              <w:bottom w:val="single" w:sz="4" w:space="0" w:color="auto"/>
              <w:right w:val="single" w:sz="4" w:space="0" w:color="auto"/>
            </w:tcBorders>
            <w:noWrap/>
            <w:vAlign w:val="bottom"/>
            <w:hideMark/>
          </w:tcPr>
          <w:p w14:paraId="50E1741D"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0.50%</w:t>
            </w:r>
          </w:p>
        </w:tc>
        <w:tc>
          <w:tcPr>
            <w:tcW w:w="1933" w:type="dxa"/>
            <w:tcBorders>
              <w:top w:val="single" w:sz="4" w:space="0" w:color="auto"/>
              <w:left w:val="nil"/>
              <w:bottom w:val="single" w:sz="4" w:space="0" w:color="auto"/>
              <w:right w:val="single" w:sz="8" w:space="0" w:color="auto"/>
            </w:tcBorders>
            <w:noWrap/>
            <w:vAlign w:val="bottom"/>
            <w:hideMark/>
          </w:tcPr>
          <w:p w14:paraId="74304AE8"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1.00%</w:t>
            </w:r>
          </w:p>
        </w:tc>
      </w:tr>
      <w:tr w:rsidR="00A476CA" w:rsidRPr="00A476CA" w14:paraId="2F3F294A" w14:textId="77777777" w:rsidTr="00A476CA">
        <w:trPr>
          <w:trHeight w:val="239"/>
          <w:jc w:val="center"/>
        </w:trPr>
        <w:tc>
          <w:tcPr>
            <w:tcW w:w="3206" w:type="dxa"/>
            <w:tcBorders>
              <w:top w:val="nil"/>
              <w:left w:val="single" w:sz="8" w:space="0" w:color="auto"/>
              <w:bottom w:val="single" w:sz="4" w:space="0" w:color="auto"/>
              <w:right w:val="single" w:sz="4" w:space="0" w:color="auto"/>
            </w:tcBorders>
            <w:shd w:val="clear" w:color="auto" w:fill="FFFFFF"/>
            <w:noWrap/>
            <w:vAlign w:val="bottom"/>
            <w:hideMark/>
          </w:tcPr>
          <w:p w14:paraId="2917F50E"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£20,000,001 - £40,000,000</w:t>
            </w:r>
          </w:p>
        </w:tc>
        <w:tc>
          <w:tcPr>
            <w:tcW w:w="2420" w:type="dxa"/>
            <w:tcBorders>
              <w:top w:val="nil"/>
              <w:left w:val="nil"/>
              <w:bottom w:val="single" w:sz="4" w:space="0" w:color="auto"/>
              <w:right w:val="single" w:sz="4" w:space="0" w:color="auto"/>
            </w:tcBorders>
            <w:noWrap/>
            <w:vAlign w:val="bottom"/>
            <w:hideMark/>
          </w:tcPr>
          <w:p w14:paraId="1720DC66"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0.25%</w:t>
            </w:r>
          </w:p>
        </w:tc>
        <w:tc>
          <w:tcPr>
            <w:tcW w:w="1933" w:type="dxa"/>
            <w:tcBorders>
              <w:top w:val="nil"/>
              <w:left w:val="nil"/>
              <w:bottom w:val="single" w:sz="4" w:space="0" w:color="auto"/>
              <w:right w:val="single" w:sz="8" w:space="0" w:color="auto"/>
            </w:tcBorders>
            <w:noWrap/>
            <w:vAlign w:val="bottom"/>
            <w:hideMark/>
          </w:tcPr>
          <w:p w14:paraId="62B40560"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0.50%</w:t>
            </w:r>
          </w:p>
        </w:tc>
      </w:tr>
      <w:tr w:rsidR="00A476CA" w:rsidRPr="00A476CA" w14:paraId="52E8B9E4" w14:textId="77777777" w:rsidTr="00A476CA">
        <w:trPr>
          <w:trHeight w:val="239"/>
          <w:jc w:val="center"/>
        </w:trPr>
        <w:tc>
          <w:tcPr>
            <w:tcW w:w="3206" w:type="dxa"/>
            <w:tcBorders>
              <w:top w:val="single" w:sz="4" w:space="0" w:color="auto"/>
              <w:left w:val="single" w:sz="8" w:space="0" w:color="auto"/>
              <w:bottom w:val="single" w:sz="8" w:space="0" w:color="auto"/>
              <w:right w:val="single" w:sz="4" w:space="0" w:color="auto"/>
            </w:tcBorders>
            <w:shd w:val="clear" w:color="auto" w:fill="FFFFFF"/>
            <w:noWrap/>
            <w:vAlign w:val="bottom"/>
            <w:hideMark/>
          </w:tcPr>
          <w:p w14:paraId="251FC790"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£40,000,001 - £70,000,000</w:t>
            </w:r>
          </w:p>
        </w:tc>
        <w:tc>
          <w:tcPr>
            <w:tcW w:w="2420" w:type="dxa"/>
            <w:tcBorders>
              <w:top w:val="single" w:sz="4" w:space="0" w:color="auto"/>
              <w:left w:val="nil"/>
              <w:bottom w:val="single" w:sz="8" w:space="0" w:color="auto"/>
              <w:right w:val="single" w:sz="4" w:space="0" w:color="auto"/>
            </w:tcBorders>
            <w:noWrap/>
            <w:vAlign w:val="bottom"/>
            <w:hideMark/>
          </w:tcPr>
          <w:p w14:paraId="4F37A452"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0.13%</w:t>
            </w:r>
          </w:p>
        </w:tc>
        <w:tc>
          <w:tcPr>
            <w:tcW w:w="1933" w:type="dxa"/>
            <w:tcBorders>
              <w:top w:val="single" w:sz="4" w:space="0" w:color="auto"/>
              <w:left w:val="nil"/>
              <w:bottom w:val="single" w:sz="8" w:space="0" w:color="auto"/>
              <w:right w:val="single" w:sz="8" w:space="0" w:color="auto"/>
            </w:tcBorders>
            <w:noWrap/>
            <w:vAlign w:val="bottom"/>
            <w:hideMark/>
          </w:tcPr>
          <w:p w14:paraId="24A7C2CB"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0.25%</w:t>
            </w:r>
          </w:p>
        </w:tc>
      </w:tr>
    </w:tbl>
    <w:p w14:paraId="453038FE" w14:textId="77777777" w:rsidR="00A476CA" w:rsidRPr="00A476CA" w:rsidRDefault="00A476CA" w:rsidP="004B7DF2">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 xml:space="preserve"> </w:t>
      </w:r>
    </w:p>
    <w:p w14:paraId="660747F4"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b/>
          <w:bCs/>
          <w:color w:val="000000"/>
          <w:sz w:val="22"/>
          <w:szCs w:val="22"/>
          <w:lang w:eastAsia="en-GB"/>
        </w:rPr>
        <w:t xml:space="preserve">NB </w:t>
      </w:r>
      <w:r w:rsidRPr="00A476CA">
        <w:rPr>
          <w:rFonts w:ascii="Gill Sans" w:eastAsia="Calibri" w:hAnsi="Gill Sans" w:cs="Arial"/>
          <w:color w:val="000000"/>
          <w:sz w:val="22"/>
          <w:szCs w:val="22"/>
          <w:lang w:eastAsia="en-GB"/>
        </w:rPr>
        <w:t xml:space="preserve">– The above levy operates on a cascade system, so for example, a contract for £7.5 million will have a levy of 1.5% for a full member on the first £5 million and a 1% levy on the next £2.5 million. [Please note that there is a cap on the levy payable to SEC that applies to contracts over the value of </w:t>
      </w:r>
      <w:r w:rsidRPr="00A476CA">
        <w:rPr>
          <w:rFonts w:ascii="Gill Sans" w:eastAsia="Calibri" w:hAnsi="Gill Sans" w:cs="Arial"/>
          <w:b/>
          <w:bCs/>
          <w:color w:val="000000"/>
          <w:sz w:val="22"/>
          <w:szCs w:val="22"/>
          <w:lang w:eastAsia="en-GB"/>
        </w:rPr>
        <w:t>£70,000,000</w:t>
      </w:r>
      <w:r w:rsidRPr="00A476CA">
        <w:rPr>
          <w:rFonts w:ascii="Gill Sans" w:eastAsia="Calibri" w:hAnsi="Gill Sans" w:cs="Arial"/>
          <w:color w:val="000000"/>
          <w:sz w:val="22"/>
          <w:szCs w:val="22"/>
          <w:lang w:eastAsia="en-GB"/>
        </w:rPr>
        <w:t xml:space="preserve">.] </w:t>
      </w:r>
    </w:p>
    <w:p w14:paraId="40605A1F" w14:textId="77777777" w:rsidR="00A476CA" w:rsidRPr="00A476CA" w:rsidRDefault="00A476CA" w:rsidP="00475BFC">
      <w:pPr>
        <w:ind w:firstLine="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Contractors are to note that Industrial Dwelling Society (IDS) are a full member of SEC.</w:t>
      </w:r>
    </w:p>
    <w:p w14:paraId="4B6E221D" w14:textId="77777777" w:rsidR="00A476CA" w:rsidRPr="00A476CA" w:rsidRDefault="00A476CA" w:rsidP="00475BFC">
      <w:pPr>
        <w:ind w:firstLine="567"/>
        <w:rPr>
          <w:rFonts w:ascii="Gill Sans" w:eastAsia="Calibri" w:hAnsi="Gill Sans" w:cs="Arial"/>
          <w:color w:val="000000"/>
          <w:sz w:val="22"/>
          <w:szCs w:val="22"/>
          <w:lang w:eastAsia="en-GB"/>
        </w:rPr>
      </w:pPr>
    </w:p>
    <w:p w14:paraId="5B1F9DFB" w14:textId="77777777" w:rsidR="00A476CA" w:rsidRPr="00A476CA" w:rsidRDefault="00A476CA" w:rsidP="00475BFC">
      <w:pPr>
        <w:ind w:firstLine="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Contractors are also to note that the client has chosen a price and quality evaluation for this tender.</w:t>
      </w:r>
    </w:p>
    <w:p w14:paraId="66FC9227" w14:textId="77777777" w:rsidR="00A476CA" w:rsidRPr="00A476CA" w:rsidRDefault="00A476CA" w:rsidP="00475BFC">
      <w:pPr>
        <w:ind w:firstLine="567"/>
        <w:rPr>
          <w:rFonts w:ascii="Gill Sans" w:eastAsia="Calibri" w:hAnsi="Gill Sans" w:cs="Arial"/>
          <w:color w:val="000000"/>
          <w:sz w:val="22"/>
          <w:szCs w:val="22"/>
          <w:lang w:eastAsia="en-GB"/>
        </w:rPr>
      </w:pPr>
    </w:p>
    <w:p w14:paraId="027FD88F"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 xml:space="preserve">Tenderers should take account of this when pricing this further competition requirement. </w:t>
      </w:r>
    </w:p>
    <w:p w14:paraId="7DA3991F"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 xml:space="preserve">The successful contractor will need to copy SEC into all electronic invoicing or provide monthly invoicing summaries. Invoices which are shared with SEC will be for all works carried out. SEC will liaise with the successful tenderer upon contract award.   </w:t>
      </w:r>
    </w:p>
    <w:p w14:paraId="08363CCB" w14:textId="77777777" w:rsidR="00A476CA" w:rsidRPr="00A476CA" w:rsidRDefault="00A476CA" w:rsidP="00475BFC">
      <w:pPr>
        <w:ind w:left="567"/>
        <w:rPr>
          <w:rFonts w:ascii="Gill Sans" w:eastAsia="Calibri" w:hAnsi="Gill Sans" w:cs="Arial"/>
          <w:color w:val="000000"/>
          <w:sz w:val="22"/>
          <w:szCs w:val="22"/>
          <w:lang w:eastAsia="en-GB"/>
        </w:rPr>
      </w:pPr>
    </w:p>
    <w:p w14:paraId="23C6EBF9"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Upon contract commencement all payments and invoices need to be in line with the SEC DPS Agreement.</w:t>
      </w:r>
    </w:p>
    <w:p w14:paraId="21577A16" w14:textId="77777777" w:rsidR="00A476CA" w:rsidRPr="00A476CA" w:rsidRDefault="00A476CA" w:rsidP="00475BFC">
      <w:pPr>
        <w:ind w:left="567"/>
        <w:rPr>
          <w:rFonts w:ascii="Gill Sans" w:eastAsia="Calibri" w:hAnsi="Gill Sans" w:cs="Arial"/>
          <w:color w:val="000000"/>
          <w:sz w:val="22"/>
          <w:szCs w:val="22"/>
          <w:lang w:eastAsia="en-GB"/>
        </w:rPr>
      </w:pPr>
    </w:p>
    <w:p w14:paraId="33F37489"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lastRenderedPageBreak/>
        <w:t xml:space="preserve">Please refer to </w:t>
      </w:r>
      <w:r w:rsidRPr="00A476CA">
        <w:rPr>
          <w:rFonts w:ascii="Gill Sans" w:eastAsia="Calibri" w:hAnsi="Gill Sans" w:cs="Arial"/>
          <w:b/>
          <w:bCs/>
          <w:color w:val="000000"/>
          <w:sz w:val="22"/>
          <w:szCs w:val="22"/>
          <w:lang w:eastAsia="en-GB"/>
        </w:rPr>
        <w:t>Appendix 1 (Draft Levy Letter)</w:t>
      </w:r>
      <w:r w:rsidRPr="00A476CA">
        <w:rPr>
          <w:rFonts w:ascii="Gill Sans" w:eastAsia="Calibri" w:hAnsi="Gill Sans" w:cs="Arial"/>
          <w:color w:val="000000"/>
          <w:sz w:val="22"/>
          <w:szCs w:val="22"/>
          <w:lang w:eastAsia="en-GB"/>
        </w:rPr>
        <w:t xml:space="preserve"> which will be issued to the successful tenderer for completion.  This will be included as part of the contract documents. This outlines the information we requested prior to starting the levy collection.</w:t>
      </w:r>
    </w:p>
    <w:p w14:paraId="1DCA7DBE" w14:textId="77777777" w:rsidR="00A476CA" w:rsidRPr="00A476CA" w:rsidRDefault="00A476CA" w:rsidP="00475BFC">
      <w:pPr>
        <w:ind w:left="567"/>
        <w:rPr>
          <w:rFonts w:ascii="Gill Sans" w:eastAsia="Calibri" w:hAnsi="Gill Sans" w:cs="Arial"/>
          <w:color w:val="000000"/>
          <w:sz w:val="22"/>
          <w:szCs w:val="22"/>
          <w:lang w:eastAsia="en-GB"/>
        </w:rPr>
      </w:pPr>
    </w:p>
    <w:p w14:paraId="7C46B0EB" w14:textId="77777777" w:rsidR="00A476CA" w:rsidRPr="00A476CA" w:rsidRDefault="00A476CA" w:rsidP="00475BFC">
      <w:pPr>
        <w:ind w:left="567"/>
        <w:rPr>
          <w:rFonts w:ascii="Gill Sans" w:eastAsia="Calibri" w:hAnsi="Gill Sans" w:cs="Arial"/>
          <w:color w:val="000000"/>
          <w:sz w:val="22"/>
          <w:szCs w:val="22"/>
          <w:lang w:eastAsia="en-GB"/>
        </w:rPr>
      </w:pPr>
      <w:r w:rsidRPr="00A476CA">
        <w:rPr>
          <w:rFonts w:ascii="Gill Sans" w:eastAsia="Calibri" w:hAnsi="Gill Sans" w:cs="Arial"/>
          <w:color w:val="000000"/>
          <w:sz w:val="22"/>
          <w:szCs w:val="22"/>
          <w:lang w:eastAsia="en-GB"/>
        </w:rPr>
        <w:t xml:space="preserve">Please refer to </w:t>
      </w:r>
      <w:r w:rsidRPr="00A476CA">
        <w:rPr>
          <w:rFonts w:ascii="Gill Sans" w:eastAsia="Calibri" w:hAnsi="Gill Sans" w:cs="Arial"/>
          <w:b/>
          <w:bCs/>
          <w:color w:val="000000"/>
          <w:sz w:val="22"/>
          <w:szCs w:val="22"/>
          <w:lang w:eastAsia="en-GB"/>
        </w:rPr>
        <w:t>Appendix 2 (Levy Collection Process for Contractors)</w:t>
      </w:r>
      <w:r w:rsidRPr="00A476CA">
        <w:rPr>
          <w:rFonts w:ascii="Gill Sans" w:eastAsia="Calibri" w:hAnsi="Gill Sans" w:cs="Arial"/>
          <w:color w:val="000000"/>
          <w:sz w:val="22"/>
          <w:szCs w:val="22"/>
          <w:lang w:eastAsia="en-GB"/>
        </w:rPr>
        <w:t xml:space="preserve"> which outlines the process for SEC collecting the levy with the successful tenderer. </w:t>
      </w:r>
    </w:p>
    <w:p w14:paraId="75B7A8BD" w14:textId="77777777" w:rsidR="00F01AC6" w:rsidRPr="00B16C0C" w:rsidRDefault="00F01AC6" w:rsidP="00C32EDC">
      <w:pPr>
        <w:rPr>
          <w:rFonts w:ascii="Gill Sans" w:eastAsia="Calibri" w:hAnsi="Gill Sans" w:cs="Arial"/>
          <w:color w:val="000000"/>
          <w:sz w:val="22"/>
          <w:szCs w:val="22"/>
          <w:lang w:eastAsia="en-GB"/>
        </w:rPr>
      </w:pPr>
    </w:p>
    <w:p w14:paraId="21D14F2D" w14:textId="07CD4860" w:rsidR="00F01AC6" w:rsidRPr="00B16C0C" w:rsidRDefault="009F3859" w:rsidP="00B16C0C">
      <w:pPr>
        <w:ind w:left="567" w:hanging="567"/>
        <w:rPr>
          <w:rFonts w:ascii="Gill Sans" w:eastAsia="Calibri" w:hAnsi="Gill Sans" w:cs="Arial"/>
          <w:color w:val="000000"/>
          <w:sz w:val="22"/>
          <w:szCs w:val="22"/>
          <w:lang w:eastAsia="en-GB"/>
        </w:rPr>
      </w:pPr>
      <w:r w:rsidRPr="00B16C0C">
        <w:rPr>
          <w:rFonts w:ascii="Gill Sans" w:eastAsia="Calibri" w:hAnsi="Gill Sans" w:cs="Arial"/>
          <w:color w:val="000000"/>
          <w:sz w:val="22"/>
          <w:szCs w:val="22"/>
          <w:lang w:eastAsia="en-GB"/>
        </w:rPr>
        <w:t>1.</w:t>
      </w:r>
      <w:r w:rsidR="00D118CE">
        <w:rPr>
          <w:rFonts w:ascii="Gill Sans" w:eastAsia="Calibri" w:hAnsi="Gill Sans" w:cs="Arial"/>
          <w:color w:val="000000"/>
          <w:sz w:val="22"/>
          <w:szCs w:val="22"/>
          <w:lang w:eastAsia="en-GB"/>
        </w:rPr>
        <w:t>9</w:t>
      </w:r>
      <w:r w:rsidRPr="00B16C0C">
        <w:rPr>
          <w:rFonts w:ascii="Gill Sans" w:eastAsia="Calibri" w:hAnsi="Gill Sans" w:cs="Arial"/>
          <w:color w:val="000000"/>
          <w:sz w:val="22"/>
          <w:szCs w:val="22"/>
          <w:lang w:eastAsia="en-GB"/>
        </w:rPr>
        <w:tab/>
      </w:r>
      <w:r w:rsidR="00F01AC6" w:rsidRPr="00B16C0C">
        <w:rPr>
          <w:rFonts w:ascii="Gill Sans" w:eastAsia="Calibri" w:hAnsi="Gill Sans" w:cs="Arial"/>
          <w:color w:val="000000"/>
          <w:sz w:val="22"/>
          <w:szCs w:val="22"/>
          <w:lang w:eastAsia="en-GB"/>
        </w:rPr>
        <w:t>Invoicing</w:t>
      </w:r>
    </w:p>
    <w:p w14:paraId="75D73634" w14:textId="77777777" w:rsidR="00F01AC6" w:rsidRPr="00B16C0C" w:rsidRDefault="00F01AC6" w:rsidP="00C32EDC">
      <w:pPr>
        <w:rPr>
          <w:rFonts w:ascii="Gill Sans" w:eastAsia="Calibri" w:hAnsi="Gill Sans" w:cs="Arial"/>
          <w:b/>
          <w:bCs/>
          <w:color w:val="000000"/>
          <w:sz w:val="22"/>
          <w:szCs w:val="22"/>
          <w:lang w:eastAsia="en-GB"/>
        </w:rPr>
      </w:pPr>
    </w:p>
    <w:p w14:paraId="5C476652" w14:textId="77777777" w:rsidR="00F01AC6" w:rsidRPr="00B16C0C" w:rsidRDefault="00F01AC6" w:rsidP="00B16C0C">
      <w:pPr>
        <w:ind w:left="567"/>
        <w:rPr>
          <w:rFonts w:ascii="Gill Sans" w:eastAsia="Calibri" w:hAnsi="Gill Sans" w:cs="Arial"/>
          <w:color w:val="000000"/>
          <w:sz w:val="22"/>
          <w:szCs w:val="22"/>
          <w:lang w:eastAsia="en-GB"/>
        </w:rPr>
      </w:pPr>
      <w:r w:rsidRPr="00B16C0C">
        <w:rPr>
          <w:rFonts w:ascii="Gill Sans" w:eastAsia="Calibri" w:hAnsi="Gill Sans" w:cs="Arial"/>
          <w:bCs/>
          <w:iCs/>
          <w:color w:val="000000"/>
          <w:sz w:val="22"/>
          <w:szCs w:val="22"/>
          <w:lang w:eastAsia="en-GB"/>
        </w:rPr>
        <w:t xml:space="preserve">The successful contractor will need to copy SEC into all electronic invoicing or provide monthly invoicing summaries. Invoices which are shared with SEC will be for all works carried out. SEC will liaise with the successful tenderer upon contract award.   </w:t>
      </w:r>
    </w:p>
    <w:p w14:paraId="3A2D3454" w14:textId="77777777" w:rsidR="00F01AC6" w:rsidRPr="00B16C0C" w:rsidRDefault="00F01AC6" w:rsidP="00B16C0C">
      <w:pPr>
        <w:ind w:left="567"/>
        <w:rPr>
          <w:rFonts w:ascii="Gill Sans" w:eastAsia="Calibri" w:hAnsi="Gill Sans" w:cs="Arial"/>
          <w:color w:val="000000"/>
          <w:sz w:val="22"/>
          <w:szCs w:val="22"/>
          <w:lang w:eastAsia="en-GB"/>
        </w:rPr>
      </w:pPr>
      <w:r w:rsidRPr="00B16C0C">
        <w:rPr>
          <w:rFonts w:ascii="Gill Sans" w:eastAsia="Calibri" w:hAnsi="Gill Sans" w:cs="Arial"/>
          <w:bCs/>
          <w:iCs/>
          <w:color w:val="000000"/>
          <w:sz w:val="22"/>
          <w:szCs w:val="22"/>
          <w:lang w:eastAsia="en-GB"/>
        </w:rPr>
        <w:t> </w:t>
      </w:r>
    </w:p>
    <w:p w14:paraId="733D3A80" w14:textId="77777777" w:rsidR="00F01AC6" w:rsidRPr="00B16C0C" w:rsidRDefault="00F01AC6" w:rsidP="00B16C0C">
      <w:pPr>
        <w:ind w:left="567"/>
        <w:rPr>
          <w:rFonts w:ascii="Gill Sans" w:eastAsia="Calibri" w:hAnsi="Gill Sans" w:cs="Arial"/>
          <w:color w:val="000000"/>
          <w:sz w:val="22"/>
          <w:szCs w:val="22"/>
          <w:lang w:eastAsia="en-GB"/>
        </w:rPr>
      </w:pPr>
      <w:r w:rsidRPr="00B16C0C">
        <w:rPr>
          <w:rFonts w:ascii="Gill Sans" w:eastAsia="Calibri" w:hAnsi="Gill Sans" w:cs="Arial"/>
          <w:bCs/>
          <w:iCs/>
          <w:color w:val="000000"/>
          <w:sz w:val="22"/>
          <w:szCs w:val="22"/>
          <w:lang w:eastAsia="en-GB"/>
        </w:rPr>
        <w:t>Upon contract commencement all payments and invoices need to be in line with the SEC Internal and External Works Framework Agreement.</w:t>
      </w:r>
    </w:p>
    <w:p w14:paraId="0EFA455A" w14:textId="77777777" w:rsidR="00F01AC6" w:rsidRPr="00B16C0C" w:rsidRDefault="00F01AC6" w:rsidP="00B16C0C">
      <w:pPr>
        <w:ind w:left="567"/>
        <w:rPr>
          <w:rFonts w:ascii="Gill Sans" w:eastAsia="Calibri" w:hAnsi="Gill Sans" w:cs="Arial"/>
          <w:color w:val="000000"/>
          <w:sz w:val="22"/>
          <w:szCs w:val="22"/>
          <w:lang w:eastAsia="en-GB"/>
        </w:rPr>
      </w:pPr>
      <w:r w:rsidRPr="00B16C0C">
        <w:rPr>
          <w:rFonts w:ascii="Gill Sans" w:eastAsia="Calibri" w:hAnsi="Gill Sans" w:cs="Arial"/>
          <w:bCs/>
          <w:iCs/>
          <w:color w:val="000000"/>
          <w:sz w:val="22"/>
          <w:szCs w:val="22"/>
          <w:lang w:eastAsia="en-GB"/>
        </w:rPr>
        <w:t> </w:t>
      </w:r>
    </w:p>
    <w:p w14:paraId="3243431F" w14:textId="77777777" w:rsidR="00F01AC6" w:rsidRPr="00B16C0C" w:rsidRDefault="00F01AC6" w:rsidP="00B16C0C">
      <w:pPr>
        <w:ind w:left="567"/>
        <w:rPr>
          <w:rFonts w:ascii="Gill Sans" w:eastAsia="Calibri" w:hAnsi="Gill Sans" w:cs="Arial"/>
          <w:color w:val="000000"/>
          <w:sz w:val="22"/>
          <w:szCs w:val="22"/>
          <w:lang w:eastAsia="en-GB"/>
        </w:rPr>
      </w:pPr>
      <w:r w:rsidRPr="00B16C0C">
        <w:rPr>
          <w:rFonts w:ascii="Gill Sans" w:eastAsia="Calibri" w:hAnsi="Gill Sans" w:cs="Arial"/>
          <w:bCs/>
          <w:iCs/>
          <w:color w:val="000000"/>
          <w:sz w:val="22"/>
          <w:szCs w:val="22"/>
          <w:lang w:eastAsia="en-GB"/>
        </w:rPr>
        <w:t>Please refer to Appendix 1 (Draft Levy Letter) which will be issued to the successful tenderer for completion.  This will be included as part of the contract documents. This outlines the information we requested prior to starting the levy collection.</w:t>
      </w:r>
    </w:p>
    <w:p w14:paraId="5972C34B" w14:textId="77777777" w:rsidR="00F01AC6" w:rsidRPr="00B16C0C" w:rsidRDefault="00F01AC6" w:rsidP="00C32EDC">
      <w:pPr>
        <w:rPr>
          <w:rFonts w:ascii="Gill Sans" w:eastAsia="Calibri" w:hAnsi="Gill Sans" w:cs="Arial"/>
          <w:color w:val="000000"/>
          <w:sz w:val="22"/>
          <w:szCs w:val="22"/>
          <w:lang w:eastAsia="en-GB"/>
        </w:rPr>
      </w:pPr>
      <w:r w:rsidRPr="00B16C0C">
        <w:rPr>
          <w:rFonts w:ascii="Gill Sans" w:eastAsia="Calibri" w:hAnsi="Gill Sans" w:cs="Arial"/>
          <w:bCs/>
          <w:iCs/>
          <w:color w:val="000000"/>
          <w:sz w:val="22"/>
          <w:szCs w:val="22"/>
          <w:lang w:eastAsia="en-GB"/>
        </w:rPr>
        <w:t> </w:t>
      </w:r>
    </w:p>
    <w:p w14:paraId="22BAF594" w14:textId="77777777" w:rsidR="00F01AC6" w:rsidRPr="00B16C0C" w:rsidRDefault="00F01AC6" w:rsidP="00B16C0C">
      <w:pPr>
        <w:ind w:left="567"/>
        <w:rPr>
          <w:rFonts w:ascii="Gill Sans" w:eastAsia="Calibri" w:hAnsi="Gill Sans" w:cs="Arial"/>
          <w:bCs/>
          <w:iCs/>
          <w:color w:val="000000"/>
          <w:sz w:val="22"/>
          <w:szCs w:val="22"/>
          <w:lang w:eastAsia="en-GB"/>
        </w:rPr>
      </w:pPr>
      <w:r w:rsidRPr="00B16C0C">
        <w:rPr>
          <w:rFonts w:ascii="Gill Sans" w:eastAsia="Calibri" w:hAnsi="Gill Sans" w:cs="Arial"/>
          <w:bCs/>
          <w:iCs/>
          <w:color w:val="000000"/>
          <w:sz w:val="22"/>
          <w:szCs w:val="22"/>
          <w:lang w:eastAsia="en-GB"/>
        </w:rPr>
        <w:t xml:space="preserve">Please refer to Appendix 2 (Levy Collection Process for Contractors) which outlines the process for SEC collecting the levy with the successful tenderer. </w:t>
      </w:r>
    </w:p>
    <w:p w14:paraId="33550534" w14:textId="77777777" w:rsidR="00A874B7" w:rsidRPr="00C32EDC" w:rsidRDefault="00A874B7" w:rsidP="007A48B2">
      <w:pPr>
        <w:pStyle w:val="Heading3"/>
        <w:numPr>
          <w:ilvl w:val="0"/>
          <w:numId w:val="0"/>
        </w:numPr>
        <w:rPr>
          <w:rFonts w:ascii="Gill Sans" w:hAnsi="Gill Sans"/>
          <w:b w:val="0"/>
          <w:color w:val="auto"/>
          <w:sz w:val="22"/>
          <w:szCs w:val="22"/>
        </w:rPr>
      </w:pPr>
      <w:bookmarkStart w:id="2" w:name="_Hlk43203132"/>
    </w:p>
    <w:bookmarkEnd w:id="2"/>
    <w:p w14:paraId="5FB572E1" w14:textId="7F18955B" w:rsidR="00A874B7" w:rsidRPr="008C3227" w:rsidRDefault="00A874B7" w:rsidP="008C3227">
      <w:pPr>
        <w:pStyle w:val="Heading3"/>
        <w:numPr>
          <w:ilvl w:val="1"/>
          <w:numId w:val="29"/>
        </w:numPr>
        <w:ind w:left="567" w:hanging="567"/>
        <w:rPr>
          <w:rFonts w:ascii="Gill Sans" w:hAnsi="Gill Sans"/>
          <w:b w:val="0"/>
          <w:color w:val="auto"/>
          <w:sz w:val="22"/>
          <w:szCs w:val="22"/>
        </w:rPr>
      </w:pPr>
      <w:r w:rsidRPr="008C3227">
        <w:rPr>
          <w:rFonts w:ascii="Gill Sans" w:hAnsi="Gill Sans"/>
          <w:b w:val="0"/>
          <w:color w:val="auto"/>
          <w:sz w:val="22"/>
          <w:szCs w:val="22"/>
        </w:rPr>
        <w:t>The successful Con</w:t>
      </w:r>
      <w:r w:rsidR="00390F25" w:rsidRPr="008C3227">
        <w:rPr>
          <w:rFonts w:ascii="Gill Sans" w:hAnsi="Gill Sans"/>
          <w:b w:val="0"/>
          <w:color w:val="auto"/>
          <w:sz w:val="22"/>
          <w:szCs w:val="22"/>
        </w:rPr>
        <w:t>tractor shall deliver a high-</w:t>
      </w:r>
      <w:r w:rsidRPr="008C3227">
        <w:rPr>
          <w:rFonts w:ascii="Gill Sans" w:hAnsi="Gill Sans"/>
          <w:b w:val="0"/>
          <w:color w:val="auto"/>
          <w:sz w:val="22"/>
          <w:szCs w:val="22"/>
        </w:rPr>
        <w:t>quality service offering value for money to resid</w:t>
      </w:r>
      <w:r w:rsidR="00DD59D7" w:rsidRPr="008C3227">
        <w:rPr>
          <w:rFonts w:ascii="Gill Sans" w:hAnsi="Gill Sans"/>
          <w:b w:val="0"/>
          <w:color w:val="auto"/>
          <w:sz w:val="22"/>
          <w:szCs w:val="22"/>
        </w:rPr>
        <w:t>ents.</w:t>
      </w:r>
    </w:p>
    <w:p w14:paraId="5D1EA250" w14:textId="77777777" w:rsidR="008E7FC1" w:rsidRPr="003C7D9E" w:rsidRDefault="008E7FC1" w:rsidP="00A874B7">
      <w:pPr>
        <w:pStyle w:val="Default"/>
        <w:rPr>
          <w:rFonts w:ascii="Gill Sans" w:hAnsi="Gill Sans"/>
          <w:b/>
          <w:color w:val="4F81BD" w:themeColor="accent1"/>
          <w:sz w:val="20"/>
          <w:szCs w:val="20"/>
        </w:rPr>
      </w:pPr>
    </w:p>
    <w:p w14:paraId="2FBB5A96" w14:textId="51BD3F60" w:rsidR="00A874B7" w:rsidRPr="003C7D9E" w:rsidRDefault="00A874B7" w:rsidP="00EE5CFE">
      <w:pPr>
        <w:pStyle w:val="Default"/>
        <w:numPr>
          <w:ilvl w:val="0"/>
          <w:numId w:val="25"/>
        </w:numPr>
        <w:ind w:left="567" w:hanging="567"/>
        <w:rPr>
          <w:rFonts w:ascii="Gill Sans" w:hAnsi="Gill Sans"/>
          <w:b/>
          <w:color w:val="4F81BD" w:themeColor="accent1"/>
        </w:rPr>
      </w:pPr>
      <w:r w:rsidRPr="003C7D9E">
        <w:rPr>
          <w:rFonts w:ascii="Gill Sans" w:hAnsi="Gill Sans"/>
          <w:b/>
          <w:color w:val="4F81BD" w:themeColor="accent1"/>
        </w:rPr>
        <w:t xml:space="preserve">Sustainability </w:t>
      </w:r>
    </w:p>
    <w:p w14:paraId="418EE8CF" w14:textId="77777777" w:rsidR="00A874B7" w:rsidRPr="00C32EDC" w:rsidRDefault="00A874B7" w:rsidP="00A874B7">
      <w:pPr>
        <w:pStyle w:val="Default"/>
        <w:rPr>
          <w:rFonts w:ascii="Gill Sans" w:hAnsi="Gill Sans"/>
          <w:color w:val="auto"/>
          <w:sz w:val="23"/>
          <w:szCs w:val="23"/>
        </w:rPr>
      </w:pPr>
    </w:p>
    <w:p w14:paraId="22862F82" w14:textId="513DAF05" w:rsidR="00A874B7" w:rsidRPr="00C32EDC" w:rsidRDefault="00E22652" w:rsidP="00DC684C">
      <w:pPr>
        <w:pStyle w:val="Heading2"/>
        <w:ind w:left="567" w:hanging="567"/>
        <w:rPr>
          <w:rFonts w:ascii="Gill Sans" w:hAnsi="Gill Sans"/>
          <w:b w:val="0"/>
        </w:rPr>
      </w:pPr>
      <w:r w:rsidRPr="00C32EDC">
        <w:rPr>
          <w:rFonts w:ascii="Gill Sans" w:hAnsi="Gill Sans"/>
          <w:b w:val="0"/>
        </w:rPr>
        <w:t>3.1</w:t>
      </w:r>
      <w:r w:rsidRPr="00C32EDC">
        <w:rPr>
          <w:rFonts w:ascii="Gill Sans" w:hAnsi="Gill Sans"/>
          <w:b w:val="0"/>
        </w:rPr>
        <w:tab/>
      </w:r>
      <w:r w:rsidR="004F697E">
        <w:rPr>
          <w:rFonts w:ascii="Gill Sans" w:hAnsi="Gill Sans"/>
          <w:b w:val="0"/>
        </w:rPr>
        <w:t xml:space="preserve">IDS </w:t>
      </w:r>
      <w:r w:rsidR="00A874B7" w:rsidRPr="00C32EDC">
        <w:rPr>
          <w:rFonts w:ascii="Gill Sans" w:hAnsi="Gill Sans"/>
          <w:b w:val="0"/>
        </w:rPr>
        <w:t xml:space="preserve">recognises that sustainability encompasses environmental, social and economic concerns. </w:t>
      </w:r>
      <w:r w:rsidR="004F697E">
        <w:rPr>
          <w:rFonts w:ascii="Gill Sans" w:hAnsi="Gill Sans"/>
          <w:b w:val="0"/>
        </w:rPr>
        <w:t xml:space="preserve">IDS </w:t>
      </w:r>
      <w:r w:rsidR="00A874B7" w:rsidRPr="00C32EDC">
        <w:rPr>
          <w:rFonts w:ascii="Gill Sans" w:hAnsi="Gill Sans"/>
          <w:b w:val="0"/>
        </w:rPr>
        <w:t xml:space="preserve">is committed to seeking continuous improvement in its performance on sustainability in terms of the services it delivers and through the engagement of its supply chain. </w:t>
      </w:r>
    </w:p>
    <w:p w14:paraId="10D94DB2" w14:textId="77777777" w:rsidR="00A874B7" w:rsidRPr="00C32EDC" w:rsidRDefault="00A874B7" w:rsidP="00DC684C">
      <w:pPr>
        <w:pStyle w:val="Heading2"/>
        <w:ind w:left="567" w:hanging="567"/>
        <w:rPr>
          <w:rFonts w:ascii="Gill Sans" w:hAnsi="Gill Sans"/>
          <w:b w:val="0"/>
        </w:rPr>
      </w:pPr>
    </w:p>
    <w:p w14:paraId="7B86535E" w14:textId="1051558A" w:rsidR="00A874B7" w:rsidRPr="00C32EDC" w:rsidRDefault="00E22652" w:rsidP="00DC684C">
      <w:pPr>
        <w:pStyle w:val="Heading2"/>
        <w:ind w:left="567" w:hanging="567"/>
        <w:rPr>
          <w:rFonts w:ascii="Gill Sans" w:hAnsi="Gill Sans"/>
          <w:b w:val="0"/>
        </w:rPr>
      </w:pPr>
      <w:r w:rsidRPr="00C32EDC">
        <w:rPr>
          <w:rFonts w:ascii="Gill Sans" w:hAnsi="Gill Sans"/>
          <w:b w:val="0"/>
        </w:rPr>
        <w:t>3.2</w:t>
      </w:r>
      <w:r w:rsidRPr="00C32EDC">
        <w:rPr>
          <w:rFonts w:ascii="Gill Sans" w:hAnsi="Gill Sans"/>
          <w:b w:val="0"/>
        </w:rPr>
        <w:tab/>
      </w:r>
      <w:r w:rsidR="004F697E">
        <w:rPr>
          <w:rFonts w:ascii="Gill Sans" w:hAnsi="Gill Sans"/>
          <w:b w:val="0"/>
        </w:rPr>
        <w:t xml:space="preserve">IDS </w:t>
      </w:r>
      <w:r w:rsidR="00A874B7" w:rsidRPr="00C32EDC">
        <w:rPr>
          <w:rFonts w:ascii="Gill Sans" w:hAnsi="Gill Sans"/>
          <w:b w:val="0"/>
        </w:rPr>
        <w:t>acknowledges that agreeing statements and policies is only the start of the process and that its commitment must be supported by specific actions.</w:t>
      </w:r>
      <w:r w:rsidR="007E1F60" w:rsidRPr="00C32EDC">
        <w:rPr>
          <w:rFonts w:ascii="Gill Sans" w:hAnsi="Gill Sans"/>
          <w:b w:val="0"/>
        </w:rPr>
        <w:t xml:space="preserve"> </w:t>
      </w:r>
      <w:r w:rsidR="004F697E">
        <w:rPr>
          <w:rFonts w:ascii="Gill Sans" w:hAnsi="Gill Sans"/>
          <w:b w:val="0"/>
        </w:rPr>
        <w:t xml:space="preserve">IDS </w:t>
      </w:r>
      <w:r w:rsidR="00A874B7" w:rsidRPr="00C32EDC">
        <w:rPr>
          <w:rFonts w:ascii="Gill Sans" w:hAnsi="Gill Sans"/>
          <w:b w:val="0"/>
        </w:rPr>
        <w:t>is committed to using its purchasing power to influence, enable and encourage its Contractors to behave in an environmentally responsible way.</w:t>
      </w:r>
    </w:p>
    <w:p w14:paraId="6B3935B5" w14:textId="77777777" w:rsidR="00A874B7" w:rsidRPr="00C32EDC" w:rsidRDefault="00A874B7" w:rsidP="00DC684C">
      <w:pPr>
        <w:pStyle w:val="Heading2"/>
        <w:ind w:left="567" w:hanging="567"/>
        <w:rPr>
          <w:rFonts w:ascii="Gill Sans" w:hAnsi="Gill Sans"/>
          <w:b w:val="0"/>
        </w:rPr>
      </w:pPr>
    </w:p>
    <w:p w14:paraId="0CCE44A3" w14:textId="6C89AB83" w:rsidR="00A874B7" w:rsidRPr="00C32EDC" w:rsidRDefault="00E22652" w:rsidP="00DC684C">
      <w:pPr>
        <w:pStyle w:val="Heading2"/>
        <w:ind w:left="567" w:hanging="567"/>
        <w:rPr>
          <w:rFonts w:ascii="Gill Sans" w:hAnsi="Gill Sans"/>
          <w:b w:val="0"/>
        </w:rPr>
      </w:pPr>
      <w:r w:rsidRPr="00C32EDC">
        <w:rPr>
          <w:rFonts w:ascii="Gill Sans" w:hAnsi="Gill Sans"/>
          <w:b w:val="0"/>
        </w:rPr>
        <w:t>3.3</w:t>
      </w:r>
      <w:r w:rsidRPr="00C32EDC">
        <w:rPr>
          <w:rFonts w:ascii="Gill Sans" w:hAnsi="Gill Sans"/>
          <w:b w:val="0"/>
        </w:rPr>
        <w:tab/>
      </w:r>
      <w:r w:rsidR="004F697E">
        <w:rPr>
          <w:rFonts w:ascii="Gill Sans" w:hAnsi="Gill Sans"/>
          <w:b w:val="0"/>
        </w:rPr>
        <w:t xml:space="preserve">IDS </w:t>
      </w:r>
      <w:r w:rsidR="00A874B7" w:rsidRPr="00C32EDC">
        <w:rPr>
          <w:rFonts w:ascii="Gill Sans" w:hAnsi="Gill Sans"/>
          <w:b w:val="0"/>
        </w:rPr>
        <w:t xml:space="preserve">will meet its commitment and objectives by working in partnership with others towards reducing the adverse environmental impact of its procurement decisions. </w:t>
      </w:r>
    </w:p>
    <w:p w14:paraId="602BD9A2" w14:textId="77777777" w:rsidR="00A874B7" w:rsidRPr="00C32EDC" w:rsidRDefault="00A874B7" w:rsidP="00DC684C">
      <w:pPr>
        <w:pStyle w:val="Heading2"/>
        <w:ind w:left="567" w:hanging="567"/>
        <w:rPr>
          <w:rFonts w:ascii="Gill Sans" w:hAnsi="Gill Sans"/>
          <w:b w:val="0"/>
        </w:rPr>
      </w:pPr>
    </w:p>
    <w:p w14:paraId="0D491371" w14:textId="77777777" w:rsidR="00A874B7" w:rsidRPr="00C32EDC" w:rsidRDefault="00E22652" w:rsidP="00DC684C">
      <w:pPr>
        <w:pStyle w:val="Heading2"/>
        <w:ind w:left="567" w:hanging="567"/>
        <w:rPr>
          <w:rFonts w:ascii="Gill Sans" w:hAnsi="Gill Sans"/>
          <w:b w:val="0"/>
        </w:rPr>
      </w:pPr>
      <w:r w:rsidRPr="00C32EDC">
        <w:rPr>
          <w:rFonts w:ascii="Gill Sans" w:hAnsi="Gill Sans"/>
          <w:b w:val="0"/>
        </w:rPr>
        <w:t>3.4</w:t>
      </w:r>
      <w:r w:rsidRPr="00C32EDC">
        <w:rPr>
          <w:rFonts w:ascii="Gill Sans" w:hAnsi="Gill Sans"/>
          <w:b w:val="0"/>
        </w:rPr>
        <w:tab/>
      </w:r>
      <w:r w:rsidR="00A874B7" w:rsidRPr="00C32EDC">
        <w:rPr>
          <w:rFonts w:ascii="Gill Sans" w:hAnsi="Gill Sans"/>
          <w:b w:val="0"/>
        </w:rPr>
        <w:t xml:space="preserve">This will mainly be achieved by building recommended environmental preference criteria into specifications and working with our Contractors to help them meet our requirements. </w:t>
      </w:r>
    </w:p>
    <w:p w14:paraId="477B85A1" w14:textId="77777777" w:rsidR="00DC55F9" w:rsidRPr="00C32EDC" w:rsidRDefault="00DC55F9" w:rsidP="00A874B7">
      <w:pPr>
        <w:pStyle w:val="Default"/>
        <w:rPr>
          <w:rFonts w:ascii="Gill Sans" w:hAnsi="Gill Sans"/>
          <w:color w:val="auto"/>
          <w:sz w:val="20"/>
          <w:szCs w:val="20"/>
        </w:rPr>
      </w:pPr>
    </w:p>
    <w:p w14:paraId="68C25870" w14:textId="77777777" w:rsidR="00A874B7" w:rsidRPr="003C7D9E" w:rsidRDefault="00A874B7" w:rsidP="00EE5CFE">
      <w:pPr>
        <w:pStyle w:val="Default"/>
        <w:numPr>
          <w:ilvl w:val="0"/>
          <w:numId w:val="25"/>
        </w:numPr>
        <w:ind w:left="567" w:hanging="567"/>
        <w:rPr>
          <w:rFonts w:ascii="Gill Sans" w:hAnsi="Gill Sans"/>
          <w:b/>
          <w:color w:val="4F81BD" w:themeColor="accent1"/>
        </w:rPr>
      </w:pPr>
      <w:r w:rsidRPr="003C7D9E">
        <w:rPr>
          <w:rFonts w:ascii="Gill Sans" w:hAnsi="Gill Sans"/>
          <w:b/>
          <w:color w:val="4F81BD" w:themeColor="accent1"/>
        </w:rPr>
        <w:t xml:space="preserve">Social Value </w:t>
      </w:r>
    </w:p>
    <w:p w14:paraId="02C7B08F" w14:textId="77777777" w:rsidR="00A874B7" w:rsidRPr="00C32EDC" w:rsidRDefault="00A874B7" w:rsidP="00DC684C">
      <w:pPr>
        <w:pStyle w:val="Default"/>
        <w:ind w:left="567" w:hanging="567"/>
        <w:rPr>
          <w:rFonts w:ascii="Gill Sans" w:hAnsi="Gill Sans"/>
          <w:color w:val="auto"/>
          <w:sz w:val="23"/>
          <w:szCs w:val="23"/>
        </w:rPr>
      </w:pPr>
    </w:p>
    <w:p w14:paraId="743927B9" w14:textId="4FF4602A" w:rsidR="00C111C7" w:rsidRDefault="00E22652" w:rsidP="003C7D9E">
      <w:pPr>
        <w:pStyle w:val="Default"/>
        <w:ind w:left="567" w:hanging="567"/>
        <w:rPr>
          <w:rFonts w:ascii="Gill Sans" w:hAnsi="Gill Sans"/>
          <w:color w:val="auto"/>
          <w:sz w:val="20"/>
          <w:szCs w:val="20"/>
        </w:rPr>
      </w:pPr>
      <w:r w:rsidRPr="00C32EDC">
        <w:rPr>
          <w:rFonts w:ascii="Gill Sans" w:hAnsi="Gill Sans"/>
          <w:color w:val="auto"/>
          <w:sz w:val="22"/>
          <w:szCs w:val="22"/>
        </w:rPr>
        <w:t>4.1</w:t>
      </w:r>
      <w:r w:rsidRPr="00C32EDC">
        <w:rPr>
          <w:rFonts w:ascii="Gill Sans" w:hAnsi="Gill Sans"/>
          <w:color w:val="auto"/>
          <w:sz w:val="22"/>
          <w:szCs w:val="22"/>
        </w:rPr>
        <w:tab/>
      </w:r>
      <w:r w:rsidR="004F697E">
        <w:rPr>
          <w:rFonts w:ascii="Gill Sans" w:hAnsi="Gill Sans"/>
          <w:color w:val="auto"/>
          <w:sz w:val="22"/>
          <w:szCs w:val="22"/>
        </w:rPr>
        <w:t xml:space="preserve">IDS </w:t>
      </w:r>
      <w:r w:rsidR="00A874B7" w:rsidRPr="00C32EDC">
        <w:rPr>
          <w:rFonts w:ascii="Gill Sans" w:hAnsi="Gill Sans"/>
          <w:color w:val="auto"/>
          <w:sz w:val="22"/>
          <w:szCs w:val="22"/>
        </w:rPr>
        <w:t>is committed to using its commissioning and procurement activities to deliver social value benefits (such as employment, training, apprenticeship, local supply chain, health and wellbeing and environmental value) for local citizens</w:t>
      </w:r>
      <w:r w:rsidR="004F697E">
        <w:rPr>
          <w:rFonts w:ascii="Gill Sans" w:hAnsi="Gill Sans"/>
          <w:color w:val="auto"/>
          <w:sz w:val="22"/>
          <w:szCs w:val="22"/>
        </w:rPr>
        <w:t xml:space="preserve"> and</w:t>
      </w:r>
      <w:r w:rsidR="00480DD7">
        <w:rPr>
          <w:rFonts w:ascii="Gill Sans" w:hAnsi="Gill Sans"/>
          <w:color w:val="auto"/>
          <w:sz w:val="22"/>
          <w:szCs w:val="22"/>
        </w:rPr>
        <w:t xml:space="preserve"> residents.</w:t>
      </w:r>
      <w:r w:rsidR="00A874B7" w:rsidRPr="00C32EDC">
        <w:rPr>
          <w:rFonts w:ascii="Gill Sans" w:hAnsi="Gill Sans"/>
          <w:color w:val="auto"/>
          <w:sz w:val="20"/>
          <w:szCs w:val="20"/>
        </w:rPr>
        <w:t xml:space="preserve"> </w:t>
      </w:r>
    </w:p>
    <w:p w14:paraId="1174B09C" w14:textId="77777777" w:rsidR="008E7FC1" w:rsidRPr="00C32EDC" w:rsidRDefault="008E7FC1" w:rsidP="00546DFE">
      <w:pPr>
        <w:pStyle w:val="Default"/>
        <w:rPr>
          <w:rFonts w:ascii="Gill Sans" w:hAnsi="Gill Sans"/>
          <w:color w:val="auto"/>
          <w:sz w:val="20"/>
          <w:szCs w:val="20"/>
        </w:rPr>
      </w:pPr>
    </w:p>
    <w:p w14:paraId="4FB5EADA" w14:textId="77777777" w:rsidR="00A874B7" w:rsidRPr="003C7D9E" w:rsidRDefault="00A874B7" w:rsidP="00EE5CFE">
      <w:pPr>
        <w:pStyle w:val="Default"/>
        <w:numPr>
          <w:ilvl w:val="0"/>
          <w:numId w:val="25"/>
        </w:numPr>
        <w:ind w:left="567" w:hanging="567"/>
        <w:rPr>
          <w:rFonts w:ascii="Gill Sans" w:hAnsi="Gill Sans"/>
          <w:b/>
          <w:color w:val="4F81BD" w:themeColor="accent1"/>
        </w:rPr>
      </w:pPr>
      <w:r w:rsidRPr="003C7D9E">
        <w:rPr>
          <w:rFonts w:ascii="Gill Sans" w:hAnsi="Gill Sans"/>
          <w:b/>
          <w:color w:val="4F81BD" w:themeColor="accent1"/>
        </w:rPr>
        <w:t xml:space="preserve">London Living Wage </w:t>
      </w:r>
    </w:p>
    <w:p w14:paraId="10FF96C6" w14:textId="77777777" w:rsidR="00A874B7" w:rsidRPr="00C32EDC" w:rsidRDefault="00A874B7" w:rsidP="003C7D9E">
      <w:pPr>
        <w:pStyle w:val="Default"/>
        <w:rPr>
          <w:rFonts w:ascii="Gill Sans" w:hAnsi="Gill Sans"/>
          <w:color w:val="auto"/>
          <w:sz w:val="23"/>
          <w:szCs w:val="23"/>
        </w:rPr>
      </w:pPr>
    </w:p>
    <w:p w14:paraId="3847DAC9" w14:textId="24A24429" w:rsidR="00A874B7" w:rsidRPr="00C32EDC" w:rsidRDefault="00711200" w:rsidP="00DC684C">
      <w:pPr>
        <w:pStyle w:val="Heading3"/>
        <w:numPr>
          <w:ilvl w:val="0"/>
          <w:numId w:val="0"/>
        </w:numPr>
        <w:ind w:left="567" w:hanging="567"/>
        <w:rPr>
          <w:rFonts w:ascii="Gill Sans" w:hAnsi="Gill Sans"/>
          <w:b w:val="0"/>
          <w:color w:val="auto"/>
          <w:sz w:val="22"/>
          <w:szCs w:val="22"/>
        </w:rPr>
      </w:pPr>
      <w:r w:rsidRPr="00C32EDC">
        <w:rPr>
          <w:rFonts w:ascii="Gill Sans" w:hAnsi="Gill Sans"/>
          <w:b w:val="0"/>
          <w:color w:val="auto"/>
          <w:sz w:val="22"/>
          <w:szCs w:val="22"/>
        </w:rPr>
        <w:t>5.1</w:t>
      </w:r>
      <w:r w:rsidRPr="00C32EDC">
        <w:rPr>
          <w:rFonts w:ascii="Gill Sans" w:hAnsi="Gill Sans"/>
          <w:b w:val="0"/>
          <w:color w:val="auto"/>
          <w:sz w:val="22"/>
          <w:szCs w:val="22"/>
        </w:rPr>
        <w:tab/>
      </w:r>
      <w:r w:rsidR="0050053A">
        <w:rPr>
          <w:rFonts w:ascii="Gill Sans" w:hAnsi="Gill Sans"/>
          <w:b w:val="0"/>
          <w:color w:val="auto"/>
          <w:sz w:val="22"/>
          <w:szCs w:val="22"/>
        </w:rPr>
        <w:t xml:space="preserve">IDS </w:t>
      </w:r>
      <w:r w:rsidR="00A874B7" w:rsidRPr="00C32EDC">
        <w:rPr>
          <w:rFonts w:ascii="Gill Sans" w:hAnsi="Gill Sans"/>
          <w:b w:val="0"/>
          <w:color w:val="auto"/>
          <w:sz w:val="22"/>
          <w:szCs w:val="22"/>
        </w:rPr>
        <w:t>is an accredited Living Wage employer, and all its employees recei</w:t>
      </w:r>
      <w:r w:rsidR="00002DFF" w:rsidRPr="00C32EDC">
        <w:rPr>
          <w:rFonts w:ascii="Gill Sans" w:hAnsi="Gill Sans"/>
          <w:b w:val="0"/>
          <w:color w:val="auto"/>
          <w:sz w:val="22"/>
          <w:szCs w:val="22"/>
        </w:rPr>
        <w:t xml:space="preserve">ve this or above. </w:t>
      </w:r>
      <w:r w:rsidR="0050053A">
        <w:rPr>
          <w:rFonts w:ascii="Gill Sans" w:hAnsi="Gill Sans"/>
          <w:b w:val="0"/>
          <w:color w:val="auto"/>
          <w:sz w:val="22"/>
          <w:szCs w:val="22"/>
        </w:rPr>
        <w:t>IDS</w:t>
      </w:r>
      <w:r w:rsidR="00A874B7" w:rsidRPr="00C32EDC">
        <w:rPr>
          <w:rFonts w:ascii="Gill Sans" w:hAnsi="Gill Sans"/>
          <w:b w:val="0"/>
          <w:color w:val="auto"/>
          <w:sz w:val="22"/>
          <w:szCs w:val="22"/>
        </w:rPr>
        <w:t xml:space="preserve"> is committed to working with the Living Wage Foundation if the opportunity arises and encourages its contracted Contractors to pay the London Living Wage.</w:t>
      </w:r>
    </w:p>
    <w:p w14:paraId="37A114FB" w14:textId="77777777" w:rsidR="00DC55F9" w:rsidRPr="00C32EDC" w:rsidRDefault="00DC55F9" w:rsidP="00DC684C">
      <w:pPr>
        <w:pStyle w:val="Default"/>
        <w:ind w:left="567" w:hanging="567"/>
        <w:rPr>
          <w:rFonts w:ascii="Gill Sans" w:hAnsi="Gill Sans"/>
          <w:color w:val="auto"/>
          <w:sz w:val="22"/>
          <w:szCs w:val="22"/>
        </w:rPr>
      </w:pPr>
    </w:p>
    <w:p w14:paraId="39AEB15C" w14:textId="77777777" w:rsidR="003A1E39" w:rsidRPr="007A076B" w:rsidRDefault="003A1E39" w:rsidP="00EE5CFE">
      <w:pPr>
        <w:pStyle w:val="ListParagraph"/>
        <w:numPr>
          <w:ilvl w:val="0"/>
          <w:numId w:val="25"/>
        </w:numPr>
        <w:ind w:left="567" w:hanging="567"/>
        <w:rPr>
          <w:rFonts w:ascii="Gill Sans" w:hAnsi="Gill Sans" w:cs="Arial"/>
          <w:b/>
          <w:color w:val="4F81BD" w:themeColor="accent1"/>
        </w:rPr>
      </w:pPr>
      <w:r w:rsidRPr="007A076B">
        <w:rPr>
          <w:rFonts w:ascii="Gill Sans" w:hAnsi="Gill Sans" w:cs="Arial"/>
          <w:b/>
          <w:color w:val="4F81BD" w:themeColor="accent1"/>
        </w:rPr>
        <w:lastRenderedPageBreak/>
        <w:t>Procurement Timetable</w:t>
      </w:r>
    </w:p>
    <w:p w14:paraId="7DD6D788" w14:textId="77777777" w:rsidR="007F3A8D" w:rsidRPr="00C32EDC" w:rsidRDefault="007F3A8D" w:rsidP="007F3A8D">
      <w:pPr>
        <w:rPr>
          <w:rFonts w:ascii="Gill Sans" w:hAnsi="Gill Sans" w:cs="Arial"/>
          <w:b/>
          <w:color w:val="C00000"/>
        </w:rPr>
      </w:pPr>
    </w:p>
    <w:p w14:paraId="361776B1" w14:textId="5ADD52EA" w:rsidR="007F3A8D" w:rsidRPr="00C32EDC" w:rsidRDefault="007F3A8D" w:rsidP="007F3A8D">
      <w:pPr>
        <w:ind w:left="567" w:hanging="567"/>
        <w:rPr>
          <w:rFonts w:ascii="Gill Sans" w:hAnsi="Gill Sans" w:cs="Arial"/>
          <w:b/>
          <w:color w:val="C00000"/>
          <w:sz w:val="22"/>
          <w:szCs w:val="22"/>
        </w:rPr>
      </w:pPr>
      <w:r w:rsidRPr="00C32EDC">
        <w:rPr>
          <w:rFonts w:ascii="Gill Sans" w:hAnsi="Gill Sans" w:cs="Arial"/>
          <w:sz w:val="22"/>
          <w:szCs w:val="22"/>
        </w:rPr>
        <w:t>6.1</w:t>
      </w:r>
      <w:r w:rsidRPr="00C32EDC">
        <w:rPr>
          <w:rFonts w:ascii="Gill Sans" w:hAnsi="Gill Sans" w:cs="Arial"/>
          <w:b/>
          <w:sz w:val="22"/>
          <w:szCs w:val="22"/>
        </w:rPr>
        <w:t xml:space="preserve"> </w:t>
      </w:r>
      <w:r w:rsidRPr="00C32EDC">
        <w:rPr>
          <w:rFonts w:ascii="Gill Sans" w:hAnsi="Gill Sans" w:cs="Arial"/>
          <w:b/>
          <w:sz w:val="22"/>
          <w:szCs w:val="22"/>
        </w:rPr>
        <w:tab/>
      </w:r>
      <w:r w:rsidRPr="00C32EDC">
        <w:rPr>
          <w:rFonts w:ascii="Gill Sans" w:hAnsi="Gill Sans" w:cs="Arial"/>
          <w:sz w:val="22"/>
          <w:szCs w:val="22"/>
        </w:rPr>
        <w:t xml:space="preserve">It is intended to procure </w:t>
      </w:r>
      <w:r w:rsidR="00737E68">
        <w:rPr>
          <w:rFonts w:ascii="Gill Sans" w:hAnsi="Gill Sans" w:cs="Arial"/>
          <w:sz w:val="22"/>
          <w:szCs w:val="22"/>
        </w:rPr>
        <w:t xml:space="preserve">the successful DPS </w:t>
      </w:r>
      <w:r w:rsidRPr="00C32EDC">
        <w:rPr>
          <w:rFonts w:ascii="Gill Sans" w:hAnsi="Gill Sans" w:cs="Arial"/>
          <w:sz w:val="22"/>
          <w:szCs w:val="22"/>
        </w:rPr>
        <w:t>Contractor in accordance with Table 1 below</w:t>
      </w:r>
      <w:r w:rsidR="004F697E">
        <w:rPr>
          <w:rFonts w:ascii="Gill Sans" w:hAnsi="Gill Sans" w:cs="Arial"/>
          <w:sz w:val="22"/>
          <w:szCs w:val="22"/>
        </w:rPr>
        <w:t>:</w:t>
      </w:r>
    </w:p>
    <w:p w14:paraId="3D312890" w14:textId="77777777" w:rsidR="003A1E39" w:rsidRPr="00C32EDC" w:rsidRDefault="003A1E39" w:rsidP="00DC684C">
      <w:pPr>
        <w:ind w:left="567" w:hanging="567"/>
        <w:rPr>
          <w:rFonts w:ascii="Gill Sans" w:hAnsi="Gill Sans" w:cs="Arial"/>
          <w:b/>
          <w:color w:val="C00000"/>
        </w:rPr>
      </w:pPr>
    </w:p>
    <w:tbl>
      <w:tblPr>
        <w:tblStyle w:val="TableGrid"/>
        <w:tblW w:w="0" w:type="auto"/>
        <w:tblInd w:w="704" w:type="dxa"/>
        <w:tblLook w:val="04A0" w:firstRow="1" w:lastRow="0" w:firstColumn="1" w:lastColumn="0" w:noHBand="0" w:noVBand="1"/>
      </w:tblPr>
      <w:tblGrid>
        <w:gridCol w:w="1618"/>
        <w:gridCol w:w="3418"/>
        <w:gridCol w:w="3276"/>
      </w:tblGrid>
      <w:tr w:rsidR="00516F1F" w:rsidRPr="00C32EDC" w14:paraId="27163BD2" w14:textId="77777777" w:rsidTr="007A48B2">
        <w:tc>
          <w:tcPr>
            <w:tcW w:w="1618" w:type="dxa"/>
          </w:tcPr>
          <w:p w14:paraId="21EDE1FF" w14:textId="77777777" w:rsidR="00516F1F" w:rsidRPr="00C32EDC" w:rsidRDefault="00516F1F" w:rsidP="004401E5">
            <w:pPr>
              <w:autoSpaceDE w:val="0"/>
              <w:autoSpaceDN w:val="0"/>
              <w:adjustRightInd w:val="0"/>
              <w:rPr>
                <w:rFonts w:ascii="Gill Sans" w:hAnsi="Gill Sans" w:cs="Arial"/>
                <w:color w:val="000000"/>
                <w:sz w:val="20"/>
                <w:szCs w:val="20"/>
              </w:rPr>
            </w:pPr>
            <w:bookmarkStart w:id="3" w:name="_Hlk36794853"/>
            <w:r w:rsidRPr="00C32EDC">
              <w:rPr>
                <w:rFonts w:ascii="Gill Sans" w:hAnsi="Gill Sans" w:cs="Arial"/>
                <w:b/>
                <w:bCs/>
                <w:color w:val="000000"/>
                <w:sz w:val="20"/>
                <w:szCs w:val="20"/>
              </w:rPr>
              <w:t xml:space="preserve">Stage </w:t>
            </w:r>
          </w:p>
        </w:tc>
        <w:tc>
          <w:tcPr>
            <w:tcW w:w="3418" w:type="dxa"/>
          </w:tcPr>
          <w:p w14:paraId="3E03CAA1" w14:textId="77777777" w:rsidR="00516F1F" w:rsidRPr="00C32EDC" w:rsidRDefault="00516F1F" w:rsidP="004401E5">
            <w:pPr>
              <w:autoSpaceDE w:val="0"/>
              <w:autoSpaceDN w:val="0"/>
              <w:adjustRightInd w:val="0"/>
              <w:rPr>
                <w:rFonts w:ascii="Gill Sans" w:hAnsi="Gill Sans" w:cs="Arial"/>
                <w:color w:val="000000"/>
                <w:sz w:val="20"/>
                <w:szCs w:val="20"/>
              </w:rPr>
            </w:pPr>
            <w:r w:rsidRPr="00C32EDC">
              <w:rPr>
                <w:rFonts w:ascii="Gill Sans" w:hAnsi="Gill Sans" w:cs="Arial"/>
                <w:b/>
                <w:bCs/>
                <w:color w:val="000000"/>
                <w:sz w:val="20"/>
                <w:szCs w:val="20"/>
              </w:rPr>
              <w:t xml:space="preserve">Activity </w:t>
            </w:r>
          </w:p>
        </w:tc>
        <w:tc>
          <w:tcPr>
            <w:tcW w:w="3276" w:type="dxa"/>
          </w:tcPr>
          <w:p w14:paraId="328157E8" w14:textId="77777777" w:rsidR="00516F1F" w:rsidRPr="00C32EDC" w:rsidRDefault="00516F1F" w:rsidP="004401E5">
            <w:pPr>
              <w:autoSpaceDE w:val="0"/>
              <w:autoSpaceDN w:val="0"/>
              <w:adjustRightInd w:val="0"/>
              <w:rPr>
                <w:rFonts w:ascii="Gill Sans" w:hAnsi="Gill Sans" w:cs="Arial"/>
                <w:color w:val="000000"/>
                <w:sz w:val="20"/>
                <w:szCs w:val="20"/>
              </w:rPr>
            </w:pPr>
            <w:r w:rsidRPr="00C32EDC">
              <w:rPr>
                <w:rFonts w:ascii="Gill Sans" w:hAnsi="Gill Sans" w:cs="Arial"/>
                <w:b/>
                <w:bCs/>
                <w:color w:val="000000"/>
                <w:sz w:val="20"/>
                <w:szCs w:val="20"/>
              </w:rPr>
              <w:t xml:space="preserve">Indicative date </w:t>
            </w:r>
          </w:p>
        </w:tc>
      </w:tr>
      <w:tr w:rsidR="00516F1F" w:rsidRPr="00C32EDC" w14:paraId="0472B34B" w14:textId="77777777" w:rsidTr="007A48B2">
        <w:tc>
          <w:tcPr>
            <w:tcW w:w="1618" w:type="dxa"/>
            <w:vMerge w:val="restart"/>
          </w:tcPr>
          <w:p w14:paraId="1B01A748" w14:textId="77777777" w:rsidR="00516F1F" w:rsidRPr="00C32EDC" w:rsidRDefault="00516F1F" w:rsidP="004401E5">
            <w:pPr>
              <w:rPr>
                <w:rFonts w:ascii="Gill Sans" w:hAnsi="Gill Sans" w:cs="Arial"/>
                <w:b/>
                <w:color w:val="C00000"/>
                <w:sz w:val="20"/>
                <w:szCs w:val="20"/>
              </w:rPr>
            </w:pPr>
            <w:r w:rsidRPr="00C32EDC">
              <w:rPr>
                <w:rFonts w:ascii="Gill Sans" w:hAnsi="Gill Sans" w:cs="Arial"/>
                <w:color w:val="000000"/>
                <w:sz w:val="20"/>
                <w:szCs w:val="20"/>
              </w:rPr>
              <w:t>Tender</w:t>
            </w:r>
          </w:p>
        </w:tc>
        <w:tc>
          <w:tcPr>
            <w:tcW w:w="3418" w:type="dxa"/>
          </w:tcPr>
          <w:p w14:paraId="297B2D47" w14:textId="77777777" w:rsidR="00516F1F" w:rsidRPr="00765511" w:rsidRDefault="00516F1F"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 xml:space="preserve">Issue of Invitation to Tender </w:t>
            </w:r>
          </w:p>
        </w:tc>
        <w:tc>
          <w:tcPr>
            <w:tcW w:w="3276" w:type="dxa"/>
          </w:tcPr>
          <w:p w14:paraId="7584D881" w14:textId="384F7236" w:rsidR="00516F1F" w:rsidRPr="00765511" w:rsidRDefault="004F697E"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10</w:t>
            </w:r>
            <w:r w:rsidR="008E7FC1" w:rsidRPr="00765511">
              <w:rPr>
                <w:rFonts w:ascii="Gill Sans" w:hAnsi="Gill Sans" w:cs="Arial"/>
                <w:color w:val="000000"/>
                <w:sz w:val="20"/>
                <w:szCs w:val="20"/>
                <w:highlight w:val="yellow"/>
              </w:rPr>
              <w:t xml:space="preserve"> </w:t>
            </w:r>
            <w:r w:rsidRPr="00765511">
              <w:rPr>
                <w:rFonts w:ascii="Gill Sans" w:hAnsi="Gill Sans" w:cs="Arial"/>
                <w:color w:val="000000"/>
                <w:sz w:val="20"/>
                <w:szCs w:val="20"/>
                <w:highlight w:val="yellow"/>
              </w:rPr>
              <w:t>July</w:t>
            </w:r>
            <w:r w:rsidR="008E7FC1" w:rsidRPr="00765511">
              <w:rPr>
                <w:rFonts w:ascii="Gill Sans" w:hAnsi="Gill Sans" w:cs="Arial"/>
                <w:color w:val="000000"/>
                <w:sz w:val="20"/>
                <w:szCs w:val="20"/>
                <w:highlight w:val="yellow"/>
              </w:rPr>
              <w:t xml:space="preserve"> 202</w:t>
            </w:r>
            <w:r w:rsidRPr="00765511">
              <w:rPr>
                <w:rFonts w:ascii="Gill Sans" w:hAnsi="Gill Sans" w:cs="Arial"/>
                <w:color w:val="000000"/>
                <w:sz w:val="20"/>
                <w:szCs w:val="20"/>
                <w:highlight w:val="yellow"/>
              </w:rPr>
              <w:t>3</w:t>
            </w:r>
          </w:p>
        </w:tc>
      </w:tr>
      <w:tr w:rsidR="00516F1F" w:rsidRPr="00C32EDC" w14:paraId="505A79D8" w14:textId="77777777" w:rsidTr="007A48B2">
        <w:tc>
          <w:tcPr>
            <w:tcW w:w="1618" w:type="dxa"/>
            <w:vMerge/>
          </w:tcPr>
          <w:p w14:paraId="3F550369" w14:textId="77777777" w:rsidR="00516F1F" w:rsidRPr="00C32EDC" w:rsidRDefault="00516F1F" w:rsidP="004401E5">
            <w:pPr>
              <w:rPr>
                <w:rFonts w:ascii="Gill Sans" w:hAnsi="Gill Sans" w:cs="Arial"/>
                <w:color w:val="000000"/>
                <w:sz w:val="20"/>
                <w:szCs w:val="20"/>
              </w:rPr>
            </w:pPr>
          </w:p>
        </w:tc>
        <w:tc>
          <w:tcPr>
            <w:tcW w:w="3418" w:type="dxa"/>
          </w:tcPr>
          <w:p w14:paraId="3B70B1B4" w14:textId="77777777" w:rsidR="00516F1F" w:rsidRPr="00765511" w:rsidRDefault="00516F1F"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 xml:space="preserve">Clarification deadline </w:t>
            </w:r>
          </w:p>
        </w:tc>
        <w:tc>
          <w:tcPr>
            <w:tcW w:w="3276" w:type="dxa"/>
          </w:tcPr>
          <w:p w14:paraId="6D5E2912" w14:textId="5DF2D219" w:rsidR="00516F1F" w:rsidRPr="00765511" w:rsidRDefault="008E7FC1"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2</w:t>
            </w:r>
            <w:r w:rsidR="0050053A" w:rsidRPr="00765511">
              <w:rPr>
                <w:rFonts w:ascii="Gill Sans" w:hAnsi="Gill Sans" w:cs="Arial"/>
                <w:color w:val="000000"/>
                <w:sz w:val="20"/>
                <w:szCs w:val="20"/>
                <w:highlight w:val="yellow"/>
              </w:rPr>
              <w:t>4</w:t>
            </w:r>
            <w:r w:rsidRPr="00765511">
              <w:rPr>
                <w:rFonts w:ascii="Gill Sans" w:hAnsi="Gill Sans" w:cs="Arial"/>
                <w:color w:val="000000"/>
                <w:sz w:val="20"/>
                <w:szCs w:val="20"/>
                <w:highlight w:val="yellow"/>
              </w:rPr>
              <w:t xml:space="preserve"> </w:t>
            </w:r>
            <w:r w:rsidR="0050053A" w:rsidRPr="00765511">
              <w:rPr>
                <w:rFonts w:ascii="Gill Sans" w:hAnsi="Gill Sans" w:cs="Arial"/>
                <w:color w:val="000000"/>
                <w:sz w:val="20"/>
                <w:szCs w:val="20"/>
                <w:highlight w:val="yellow"/>
              </w:rPr>
              <w:t>July 2023</w:t>
            </w:r>
          </w:p>
        </w:tc>
      </w:tr>
      <w:tr w:rsidR="00516F1F" w:rsidRPr="00C32EDC" w14:paraId="7F67F695" w14:textId="77777777" w:rsidTr="007A48B2">
        <w:tc>
          <w:tcPr>
            <w:tcW w:w="1618" w:type="dxa"/>
            <w:vMerge/>
          </w:tcPr>
          <w:p w14:paraId="3A01394C" w14:textId="77777777" w:rsidR="00516F1F" w:rsidRPr="00C32EDC" w:rsidRDefault="00516F1F" w:rsidP="004401E5">
            <w:pPr>
              <w:rPr>
                <w:rFonts w:ascii="Gill Sans" w:hAnsi="Gill Sans" w:cs="Arial"/>
                <w:color w:val="000000"/>
                <w:sz w:val="20"/>
                <w:szCs w:val="20"/>
              </w:rPr>
            </w:pPr>
          </w:p>
        </w:tc>
        <w:tc>
          <w:tcPr>
            <w:tcW w:w="3418" w:type="dxa"/>
          </w:tcPr>
          <w:p w14:paraId="5BFFECAD" w14:textId="77777777" w:rsidR="00516F1F" w:rsidRPr="00765511" w:rsidRDefault="00516F1F"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 xml:space="preserve">Return Date </w:t>
            </w:r>
          </w:p>
        </w:tc>
        <w:tc>
          <w:tcPr>
            <w:tcW w:w="3276" w:type="dxa"/>
          </w:tcPr>
          <w:p w14:paraId="0427A169" w14:textId="2A09C927" w:rsidR="00516F1F" w:rsidRPr="00765511" w:rsidRDefault="008E7FC1"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 xml:space="preserve">30 </w:t>
            </w:r>
            <w:r w:rsidR="00857A50" w:rsidRPr="00765511">
              <w:rPr>
                <w:rFonts w:ascii="Gill Sans" w:hAnsi="Gill Sans" w:cs="Arial"/>
                <w:color w:val="000000"/>
                <w:sz w:val="20"/>
                <w:szCs w:val="20"/>
                <w:highlight w:val="yellow"/>
              </w:rPr>
              <w:t>July 2023</w:t>
            </w:r>
          </w:p>
        </w:tc>
      </w:tr>
      <w:tr w:rsidR="00516F1F" w:rsidRPr="00C32EDC" w14:paraId="1F96C37A" w14:textId="77777777" w:rsidTr="007A48B2">
        <w:tc>
          <w:tcPr>
            <w:tcW w:w="1618" w:type="dxa"/>
            <w:vMerge/>
          </w:tcPr>
          <w:p w14:paraId="526BB03C" w14:textId="77777777" w:rsidR="00516F1F" w:rsidRPr="00C32EDC" w:rsidRDefault="00516F1F" w:rsidP="004401E5">
            <w:pPr>
              <w:rPr>
                <w:rFonts w:ascii="Gill Sans" w:hAnsi="Gill Sans" w:cs="Arial"/>
                <w:color w:val="000000"/>
                <w:sz w:val="20"/>
                <w:szCs w:val="20"/>
              </w:rPr>
            </w:pPr>
          </w:p>
        </w:tc>
        <w:tc>
          <w:tcPr>
            <w:tcW w:w="3418" w:type="dxa"/>
          </w:tcPr>
          <w:p w14:paraId="0854BC40" w14:textId="77777777" w:rsidR="00516F1F" w:rsidRPr="00765511" w:rsidRDefault="00516F1F"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 xml:space="preserve">Evaluation period starts </w:t>
            </w:r>
          </w:p>
        </w:tc>
        <w:tc>
          <w:tcPr>
            <w:tcW w:w="3276" w:type="dxa"/>
          </w:tcPr>
          <w:p w14:paraId="35C69D8C" w14:textId="4A0B3ECD" w:rsidR="00516F1F" w:rsidRPr="00765511" w:rsidRDefault="008E7FC1"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 xml:space="preserve">3 </w:t>
            </w:r>
            <w:r w:rsidR="00857A50" w:rsidRPr="00765511">
              <w:rPr>
                <w:rFonts w:ascii="Gill Sans" w:hAnsi="Gill Sans" w:cs="Arial"/>
                <w:color w:val="000000"/>
                <w:sz w:val="20"/>
                <w:szCs w:val="20"/>
                <w:highlight w:val="yellow"/>
              </w:rPr>
              <w:t>August 2023</w:t>
            </w:r>
          </w:p>
        </w:tc>
      </w:tr>
      <w:tr w:rsidR="00516F1F" w:rsidRPr="00C32EDC" w14:paraId="65AEBF8E" w14:textId="77777777" w:rsidTr="007A48B2">
        <w:tc>
          <w:tcPr>
            <w:tcW w:w="1618" w:type="dxa"/>
            <w:vMerge/>
          </w:tcPr>
          <w:p w14:paraId="75D5DAF6" w14:textId="77777777" w:rsidR="00516F1F" w:rsidRPr="00C32EDC" w:rsidRDefault="00516F1F" w:rsidP="004401E5">
            <w:pPr>
              <w:rPr>
                <w:rFonts w:ascii="Gill Sans" w:hAnsi="Gill Sans" w:cs="Arial"/>
                <w:color w:val="000000"/>
                <w:sz w:val="20"/>
                <w:szCs w:val="20"/>
              </w:rPr>
            </w:pPr>
          </w:p>
        </w:tc>
        <w:tc>
          <w:tcPr>
            <w:tcW w:w="3418" w:type="dxa"/>
          </w:tcPr>
          <w:p w14:paraId="283DFFB0" w14:textId="77777777" w:rsidR="00516F1F" w:rsidRPr="00765511" w:rsidRDefault="00516F1F"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 xml:space="preserve">Evaluation period ends </w:t>
            </w:r>
          </w:p>
        </w:tc>
        <w:tc>
          <w:tcPr>
            <w:tcW w:w="3276" w:type="dxa"/>
          </w:tcPr>
          <w:p w14:paraId="6D86C133" w14:textId="29A4EA02" w:rsidR="00516F1F" w:rsidRPr="00765511" w:rsidRDefault="00D739F0"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14</w:t>
            </w:r>
            <w:r w:rsidR="00857A50" w:rsidRPr="00765511">
              <w:rPr>
                <w:rFonts w:ascii="Gill Sans" w:hAnsi="Gill Sans" w:cs="Arial"/>
                <w:color w:val="000000"/>
                <w:sz w:val="20"/>
                <w:szCs w:val="20"/>
                <w:highlight w:val="yellow"/>
              </w:rPr>
              <w:t xml:space="preserve"> August 2023</w:t>
            </w:r>
          </w:p>
        </w:tc>
      </w:tr>
      <w:tr w:rsidR="00516F1F" w:rsidRPr="00C32EDC" w14:paraId="5738AFD0" w14:textId="77777777" w:rsidTr="007A48B2">
        <w:tc>
          <w:tcPr>
            <w:tcW w:w="1618" w:type="dxa"/>
            <w:vMerge/>
          </w:tcPr>
          <w:p w14:paraId="7BF79881" w14:textId="77777777" w:rsidR="00516F1F" w:rsidRPr="00C32EDC" w:rsidRDefault="00516F1F" w:rsidP="004401E5">
            <w:pPr>
              <w:rPr>
                <w:rFonts w:ascii="Gill Sans" w:hAnsi="Gill Sans" w:cs="Arial"/>
                <w:color w:val="000000"/>
                <w:sz w:val="20"/>
                <w:szCs w:val="20"/>
              </w:rPr>
            </w:pPr>
          </w:p>
        </w:tc>
        <w:tc>
          <w:tcPr>
            <w:tcW w:w="3418" w:type="dxa"/>
          </w:tcPr>
          <w:p w14:paraId="64A2789C" w14:textId="7D36D523" w:rsidR="00516F1F" w:rsidRPr="00765511" w:rsidRDefault="00516F1F"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Contract Award Report</w:t>
            </w:r>
            <w:r w:rsidR="00E05C29" w:rsidRPr="00765511">
              <w:rPr>
                <w:rFonts w:ascii="Gill Sans" w:hAnsi="Gill Sans" w:cs="Arial"/>
                <w:color w:val="000000"/>
                <w:sz w:val="20"/>
                <w:szCs w:val="20"/>
                <w:highlight w:val="yellow"/>
              </w:rPr>
              <w:t xml:space="preserve"> Approved</w:t>
            </w:r>
          </w:p>
        </w:tc>
        <w:tc>
          <w:tcPr>
            <w:tcW w:w="3276" w:type="dxa"/>
          </w:tcPr>
          <w:p w14:paraId="47F9DA4E" w14:textId="55CA4698" w:rsidR="00516F1F" w:rsidRPr="00765511" w:rsidRDefault="00D739F0"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21 August 2023</w:t>
            </w:r>
          </w:p>
        </w:tc>
      </w:tr>
      <w:tr w:rsidR="00516F1F" w:rsidRPr="00C32EDC" w14:paraId="58E2583B" w14:textId="77777777" w:rsidTr="007A48B2">
        <w:tc>
          <w:tcPr>
            <w:tcW w:w="1618" w:type="dxa"/>
            <w:vMerge w:val="restart"/>
          </w:tcPr>
          <w:p w14:paraId="70C01740" w14:textId="77777777" w:rsidR="00516F1F" w:rsidRPr="00C32EDC" w:rsidRDefault="00516F1F" w:rsidP="004401E5">
            <w:pPr>
              <w:rPr>
                <w:rFonts w:ascii="Gill Sans" w:hAnsi="Gill Sans" w:cs="Arial"/>
                <w:color w:val="000000"/>
                <w:sz w:val="20"/>
                <w:szCs w:val="20"/>
              </w:rPr>
            </w:pPr>
            <w:r w:rsidRPr="00C32EDC">
              <w:rPr>
                <w:rFonts w:ascii="Gill Sans" w:hAnsi="Gill Sans" w:cs="Arial"/>
                <w:color w:val="000000"/>
                <w:sz w:val="20"/>
                <w:szCs w:val="20"/>
              </w:rPr>
              <w:t>Contract Award</w:t>
            </w:r>
          </w:p>
        </w:tc>
        <w:tc>
          <w:tcPr>
            <w:tcW w:w="3418" w:type="dxa"/>
          </w:tcPr>
          <w:p w14:paraId="1448DEE6" w14:textId="77777777" w:rsidR="00516F1F" w:rsidRPr="00765511" w:rsidRDefault="00516F1F"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Award Letter</w:t>
            </w:r>
          </w:p>
        </w:tc>
        <w:tc>
          <w:tcPr>
            <w:tcW w:w="3276" w:type="dxa"/>
          </w:tcPr>
          <w:p w14:paraId="4A9BDFB7" w14:textId="209083A4" w:rsidR="00516F1F" w:rsidRPr="00765511" w:rsidRDefault="00BF72A8"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1</w:t>
            </w:r>
            <w:r w:rsidR="008E7FC1" w:rsidRPr="00765511">
              <w:rPr>
                <w:rFonts w:ascii="Gill Sans" w:hAnsi="Gill Sans" w:cs="Arial"/>
                <w:color w:val="000000"/>
                <w:sz w:val="20"/>
                <w:szCs w:val="20"/>
                <w:highlight w:val="yellow"/>
              </w:rPr>
              <w:t xml:space="preserve"> </w:t>
            </w:r>
            <w:r w:rsidRPr="00765511">
              <w:rPr>
                <w:rFonts w:ascii="Gill Sans" w:hAnsi="Gill Sans" w:cs="Arial"/>
                <w:color w:val="000000"/>
                <w:sz w:val="20"/>
                <w:szCs w:val="20"/>
                <w:highlight w:val="yellow"/>
              </w:rPr>
              <w:t>September 2023</w:t>
            </w:r>
          </w:p>
        </w:tc>
      </w:tr>
      <w:tr w:rsidR="00516F1F" w:rsidRPr="00C32EDC" w14:paraId="66D99312" w14:textId="77777777" w:rsidTr="007A48B2">
        <w:tc>
          <w:tcPr>
            <w:tcW w:w="1618" w:type="dxa"/>
            <w:vMerge/>
          </w:tcPr>
          <w:p w14:paraId="7E5FA6B9" w14:textId="77777777" w:rsidR="00516F1F" w:rsidRPr="00C32EDC" w:rsidRDefault="00516F1F" w:rsidP="004401E5">
            <w:pPr>
              <w:rPr>
                <w:rFonts w:ascii="Gill Sans" w:hAnsi="Gill Sans" w:cs="Arial"/>
                <w:color w:val="000000"/>
                <w:sz w:val="20"/>
                <w:szCs w:val="20"/>
              </w:rPr>
            </w:pPr>
          </w:p>
        </w:tc>
        <w:tc>
          <w:tcPr>
            <w:tcW w:w="3418" w:type="dxa"/>
          </w:tcPr>
          <w:p w14:paraId="368BF880" w14:textId="77777777" w:rsidR="00516F1F" w:rsidRPr="00765511" w:rsidRDefault="00516F1F"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 xml:space="preserve">Contract Commences </w:t>
            </w:r>
          </w:p>
        </w:tc>
        <w:tc>
          <w:tcPr>
            <w:tcW w:w="3276" w:type="dxa"/>
          </w:tcPr>
          <w:p w14:paraId="32C9128E" w14:textId="1CE0F3CC" w:rsidR="00516F1F" w:rsidRPr="00765511" w:rsidRDefault="00BF72A8" w:rsidP="004401E5">
            <w:pPr>
              <w:autoSpaceDE w:val="0"/>
              <w:autoSpaceDN w:val="0"/>
              <w:adjustRightInd w:val="0"/>
              <w:rPr>
                <w:rFonts w:ascii="Gill Sans" w:hAnsi="Gill Sans" w:cs="Arial"/>
                <w:color w:val="000000"/>
                <w:sz w:val="20"/>
                <w:szCs w:val="20"/>
                <w:highlight w:val="yellow"/>
              </w:rPr>
            </w:pPr>
            <w:r w:rsidRPr="00765511">
              <w:rPr>
                <w:rFonts w:ascii="Gill Sans" w:hAnsi="Gill Sans" w:cs="Arial"/>
                <w:color w:val="000000"/>
                <w:sz w:val="20"/>
                <w:szCs w:val="20"/>
                <w:highlight w:val="yellow"/>
              </w:rPr>
              <w:t>4 September 2023</w:t>
            </w:r>
          </w:p>
        </w:tc>
      </w:tr>
      <w:bookmarkEnd w:id="3"/>
    </w:tbl>
    <w:p w14:paraId="43EC104D" w14:textId="77777777" w:rsidR="003A1E39" w:rsidRPr="00C32EDC" w:rsidRDefault="003A1E39" w:rsidP="003A1E39">
      <w:pPr>
        <w:rPr>
          <w:rFonts w:ascii="Gill Sans" w:hAnsi="Gill Sans" w:cs="Arial"/>
          <w:b/>
          <w:color w:val="C00000"/>
        </w:rPr>
      </w:pPr>
    </w:p>
    <w:p w14:paraId="1D4FEAD5" w14:textId="601BC7B9" w:rsidR="00876AE0" w:rsidRPr="00C32EDC" w:rsidRDefault="0013519B" w:rsidP="00C16DA3">
      <w:pPr>
        <w:jc w:val="center"/>
        <w:rPr>
          <w:rFonts w:ascii="Gill Sans" w:hAnsi="Gill Sans" w:cs="Arial"/>
          <w:sz w:val="18"/>
          <w:szCs w:val="18"/>
        </w:rPr>
      </w:pPr>
      <w:r w:rsidRPr="00C32EDC">
        <w:rPr>
          <w:rFonts w:ascii="Gill Sans" w:hAnsi="Gill Sans" w:cs="Arial"/>
          <w:sz w:val="18"/>
          <w:szCs w:val="18"/>
        </w:rPr>
        <w:t>Table 1</w:t>
      </w:r>
    </w:p>
    <w:p w14:paraId="7E92F14D" w14:textId="57A68EF7" w:rsidR="00D42843" w:rsidRPr="00F8608C" w:rsidRDefault="00B87993" w:rsidP="00F8608C">
      <w:pPr>
        <w:pStyle w:val="ListParagraph"/>
        <w:numPr>
          <w:ilvl w:val="0"/>
          <w:numId w:val="25"/>
        </w:numPr>
        <w:ind w:left="567" w:hanging="567"/>
        <w:rPr>
          <w:rFonts w:ascii="Gill Sans" w:hAnsi="Gill Sans" w:cs="Arial"/>
          <w:b/>
          <w:color w:val="4F81BD" w:themeColor="accent1"/>
        </w:rPr>
      </w:pPr>
      <w:bookmarkStart w:id="4" w:name="_Toc37927906"/>
      <w:r w:rsidRPr="00F8608C">
        <w:rPr>
          <w:rFonts w:ascii="Gill Sans" w:hAnsi="Gill Sans" w:cs="Arial"/>
          <w:b/>
          <w:color w:val="4F81BD" w:themeColor="accent1"/>
        </w:rPr>
        <w:t xml:space="preserve">Contract </w:t>
      </w:r>
      <w:r w:rsidR="00D42843" w:rsidRPr="00F8608C">
        <w:rPr>
          <w:rFonts w:ascii="Gill Sans" w:hAnsi="Gill Sans"/>
          <w:b/>
          <w:color w:val="4F81BD" w:themeColor="accent1"/>
        </w:rPr>
        <w:t>Information</w:t>
      </w:r>
      <w:bookmarkEnd w:id="4"/>
    </w:p>
    <w:p w14:paraId="66400245" w14:textId="77777777" w:rsidR="00D42843" w:rsidRPr="00C32EDC" w:rsidRDefault="00D42843" w:rsidP="00D42843">
      <w:pPr>
        <w:pStyle w:val="Default"/>
        <w:ind w:left="567" w:hanging="567"/>
        <w:rPr>
          <w:rFonts w:ascii="Gill Sans" w:hAnsi="Gill Sans"/>
          <w:color w:val="auto"/>
          <w:sz w:val="22"/>
          <w:szCs w:val="22"/>
        </w:rPr>
      </w:pPr>
      <w:r w:rsidRPr="00C32EDC">
        <w:rPr>
          <w:rFonts w:ascii="Gill Sans" w:hAnsi="Gill Sans"/>
          <w:color w:val="auto"/>
          <w:sz w:val="23"/>
          <w:szCs w:val="23"/>
        </w:rPr>
        <w:t xml:space="preserve"> </w:t>
      </w:r>
    </w:p>
    <w:p w14:paraId="40A3EF1A" w14:textId="495AA22E" w:rsidR="00D42843" w:rsidRPr="00C32EDC" w:rsidRDefault="00D42843" w:rsidP="00D42843">
      <w:pPr>
        <w:pStyle w:val="Heading2"/>
        <w:numPr>
          <w:ilvl w:val="1"/>
          <w:numId w:val="0"/>
        </w:numPr>
        <w:ind w:left="576" w:hanging="576"/>
        <w:rPr>
          <w:rFonts w:ascii="Gill Sans" w:hAnsi="Gill Sans"/>
          <w:b w:val="0"/>
          <w:szCs w:val="22"/>
        </w:rPr>
      </w:pPr>
      <w:r w:rsidRPr="00C32EDC">
        <w:rPr>
          <w:rFonts w:ascii="Gill Sans" w:hAnsi="Gill Sans"/>
          <w:b w:val="0"/>
          <w:szCs w:val="22"/>
        </w:rPr>
        <w:t>6.1</w:t>
      </w:r>
      <w:r w:rsidRPr="00C32EDC">
        <w:rPr>
          <w:rFonts w:ascii="Gill Sans" w:hAnsi="Gill Sans"/>
          <w:b w:val="0"/>
          <w:szCs w:val="22"/>
        </w:rPr>
        <w:tab/>
      </w:r>
      <w:r w:rsidRPr="006A38E5">
        <w:rPr>
          <w:rFonts w:ascii="Gill Sans" w:hAnsi="Gill Sans"/>
          <w:b w:val="0"/>
          <w:szCs w:val="22"/>
          <w:highlight w:val="yellow"/>
        </w:rPr>
        <w:t>The selected Contractor</w:t>
      </w:r>
      <w:r w:rsidR="007A076B" w:rsidRPr="006A38E5">
        <w:rPr>
          <w:rFonts w:ascii="Gill Sans" w:hAnsi="Gill Sans"/>
          <w:b w:val="0"/>
          <w:szCs w:val="22"/>
          <w:highlight w:val="yellow"/>
        </w:rPr>
        <w:t xml:space="preserve"> </w:t>
      </w:r>
      <w:r w:rsidRPr="006A38E5">
        <w:rPr>
          <w:rFonts w:ascii="Gill Sans" w:hAnsi="Gill Sans"/>
          <w:b w:val="0"/>
          <w:szCs w:val="22"/>
          <w:highlight w:val="yellow"/>
        </w:rPr>
        <w:t xml:space="preserve">will enter into a framework agreement supported by the Joint Contracts Tribunal </w:t>
      </w:r>
      <w:r w:rsidR="004133F3" w:rsidRPr="006A38E5">
        <w:rPr>
          <w:rFonts w:ascii="Gill Sans" w:hAnsi="Gill Sans"/>
          <w:b w:val="0"/>
          <w:szCs w:val="22"/>
          <w:highlight w:val="yellow"/>
        </w:rPr>
        <w:t xml:space="preserve">(JCT) </w:t>
      </w:r>
      <w:r w:rsidR="006A38E5" w:rsidRPr="006A38E5">
        <w:rPr>
          <w:rFonts w:ascii="Gill Sans" w:hAnsi="Gill Sans"/>
          <w:b w:val="0"/>
          <w:szCs w:val="22"/>
          <w:highlight w:val="yellow"/>
        </w:rPr>
        <w:t xml:space="preserve">Measured Term Contract </w:t>
      </w:r>
      <w:r w:rsidR="006A38E5" w:rsidRPr="00616FCD">
        <w:rPr>
          <w:rFonts w:ascii="Gill Sans" w:hAnsi="Gill Sans"/>
          <w:b w:val="0"/>
          <w:szCs w:val="22"/>
          <w:highlight w:val="yellow"/>
        </w:rPr>
        <w:t>201</w:t>
      </w:r>
      <w:r w:rsidR="00616FCD" w:rsidRPr="00616FCD">
        <w:rPr>
          <w:rFonts w:ascii="Gill Sans" w:hAnsi="Gill Sans"/>
          <w:b w:val="0"/>
          <w:szCs w:val="22"/>
          <w:highlight w:val="yellow"/>
        </w:rPr>
        <w:t>6.</w:t>
      </w:r>
    </w:p>
    <w:p w14:paraId="6C1890B5" w14:textId="77777777" w:rsidR="00D42843" w:rsidRPr="00C32EDC" w:rsidRDefault="00D42843" w:rsidP="00D42843">
      <w:pPr>
        <w:pStyle w:val="Heading2"/>
        <w:rPr>
          <w:rFonts w:ascii="Gill Sans" w:hAnsi="Gill Sans"/>
          <w:sz w:val="23"/>
          <w:szCs w:val="23"/>
        </w:rPr>
      </w:pPr>
    </w:p>
    <w:p w14:paraId="065CBE36" w14:textId="77777777" w:rsidR="00153B39" w:rsidRPr="00C32EDC" w:rsidRDefault="00153B39" w:rsidP="0013519B">
      <w:pPr>
        <w:jc w:val="center"/>
        <w:rPr>
          <w:rFonts w:ascii="Gill Sans" w:hAnsi="Gill Sans" w:cs="Arial"/>
          <w:sz w:val="18"/>
          <w:szCs w:val="18"/>
        </w:rPr>
      </w:pPr>
    </w:p>
    <w:p w14:paraId="3606C453" w14:textId="77777777" w:rsidR="006D79F9" w:rsidRPr="007A076B" w:rsidRDefault="0013519B" w:rsidP="00EE5CFE">
      <w:pPr>
        <w:pStyle w:val="Heading3"/>
        <w:numPr>
          <w:ilvl w:val="0"/>
          <w:numId w:val="25"/>
        </w:numPr>
        <w:ind w:left="567" w:hanging="567"/>
        <w:rPr>
          <w:rFonts w:ascii="Gill Sans" w:hAnsi="Gill Sans"/>
          <w:color w:val="4F81BD" w:themeColor="accent1"/>
        </w:rPr>
      </w:pPr>
      <w:r w:rsidRPr="007A076B">
        <w:rPr>
          <w:rFonts w:ascii="Gill Sans" w:hAnsi="Gill Sans"/>
          <w:color w:val="4F81BD" w:themeColor="accent1"/>
        </w:rPr>
        <w:t>Documentation Package</w:t>
      </w:r>
    </w:p>
    <w:p w14:paraId="3CA663B1" w14:textId="77777777" w:rsidR="0013519B" w:rsidRPr="00C32EDC" w:rsidRDefault="0013519B" w:rsidP="00DC684C">
      <w:pPr>
        <w:ind w:left="567" w:hanging="567"/>
        <w:rPr>
          <w:rFonts w:ascii="Gill Sans" w:hAnsi="Gill Sans"/>
        </w:rPr>
      </w:pPr>
    </w:p>
    <w:p w14:paraId="564B5856" w14:textId="77777777" w:rsidR="006D79F9" w:rsidRPr="00C32EDC" w:rsidRDefault="00876AE0" w:rsidP="00DC684C">
      <w:pPr>
        <w:pStyle w:val="Heading3"/>
        <w:numPr>
          <w:ilvl w:val="0"/>
          <w:numId w:val="0"/>
        </w:numPr>
        <w:ind w:left="567" w:hanging="567"/>
        <w:jc w:val="both"/>
        <w:rPr>
          <w:rFonts w:ascii="Gill Sans" w:hAnsi="Gill Sans"/>
          <w:b w:val="0"/>
          <w:color w:val="auto"/>
          <w:sz w:val="22"/>
          <w:szCs w:val="22"/>
          <w:lang w:val="en-US" w:eastAsia="ja-JP"/>
        </w:rPr>
      </w:pPr>
      <w:r w:rsidRPr="00C32EDC">
        <w:rPr>
          <w:rFonts w:ascii="Gill Sans" w:hAnsi="Gill Sans"/>
          <w:b w:val="0"/>
          <w:color w:val="auto"/>
          <w:sz w:val="22"/>
          <w:szCs w:val="22"/>
          <w:lang w:val="en-US" w:eastAsia="ja-JP"/>
        </w:rPr>
        <w:t>7</w:t>
      </w:r>
      <w:r w:rsidR="00DC684C" w:rsidRPr="00C32EDC">
        <w:rPr>
          <w:rFonts w:ascii="Gill Sans" w:hAnsi="Gill Sans"/>
          <w:b w:val="0"/>
          <w:color w:val="auto"/>
          <w:sz w:val="22"/>
          <w:szCs w:val="22"/>
          <w:lang w:val="en-US" w:eastAsia="ja-JP"/>
        </w:rPr>
        <w:t>.1</w:t>
      </w:r>
      <w:r w:rsidR="00DC684C" w:rsidRPr="00C32EDC">
        <w:rPr>
          <w:rFonts w:ascii="Gill Sans" w:hAnsi="Gill Sans"/>
          <w:b w:val="0"/>
          <w:color w:val="auto"/>
          <w:sz w:val="22"/>
          <w:szCs w:val="22"/>
          <w:lang w:val="en-US" w:eastAsia="ja-JP"/>
        </w:rPr>
        <w:tab/>
      </w:r>
      <w:r w:rsidR="0013519B" w:rsidRPr="00C32EDC">
        <w:rPr>
          <w:rFonts w:ascii="Gill Sans" w:hAnsi="Gill Sans"/>
          <w:b w:val="0"/>
          <w:color w:val="auto"/>
          <w:sz w:val="22"/>
          <w:szCs w:val="22"/>
          <w:lang w:val="en-US" w:eastAsia="ja-JP"/>
        </w:rPr>
        <w:t xml:space="preserve">The complete </w:t>
      </w:r>
      <w:r w:rsidR="006D79F9" w:rsidRPr="00C32EDC">
        <w:rPr>
          <w:rFonts w:ascii="Gill Sans" w:hAnsi="Gill Sans"/>
          <w:b w:val="0"/>
          <w:color w:val="auto"/>
          <w:sz w:val="22"/>
          <w:szCs w:val="22"/>
          <w:lang w:val="en-US" w:eastAsia="ja-JP"/>
        </w:rPr>
        <w:t>documentation comprises</w:t>
      </w:r>
      <w:r w:rsidR="00694403" w:rsidRPr="00C32EDC">
        <w:rPr>
          <w:rFonts w:ascii="Gill Sans" w:hAnsi="Gill Sans"/>
          <w:b w:val="0"/>
          <w:color w:val="auto"/>
          <w:sz w:val="22"/>
          <w:szCs w:val="22"/>
          <w:lang w:val="en-US" w:eastAsia="ja-JP"/>
        </w:rPr>
        <w:t>:</w:t>
      </w:r>
    </w:p>
    <w:p w14:paraId="2388CFAF" w14:textId="77777777" w:rsidR="006D79F9" w:rsidRPr="00C32EDC" w:rsidRDefault="006D79F9" w:rsidP="00DC684C">
      <w:pPr>
        <w:pStyle w:val="ListParagraph"/>
        <w:ind w:left="567" w:hanging="567"/>
        <w:jc w:val="both"/>
        <w:rPr>
          <w:rFonts w:ascii="Gill Sans" w:hAnsi="Gill Sans" w:cstheme="minorHAnsi"/>
          <w:lang w:val="en-US" w:eastAsia="ja-JP"/>
        </w:rPr>
      </w:pPr>
    </w:p>
    <w:p w14:paraId="52942A64" w14:textId="77777777" w:rsidR="00182136" w:rsidRPr="008C3227" w:rsidRDefault="00182136" w:rsidP="00694403">
      <w:pPr>
        <w:pStyle w:val="ListParagraph"/>
        <w:ind w:firstLine="414"/>
        <w:rPr>
          <w:rFonts w:ascii="Gill Sans" w:hAnsi="Gill Sans" w:cs="Arial"/>
          <w:sz w:val="22"/>
        </w:rPr>
      </w:pPr>
      <w:bookmarkStart w:id="5" w:name="_Hlk36727146"/>
      <w:r w:rsidRPr="008C3227">
        <w:rPr>
          <w:rFonts w:ascii="Gill Sans" w:hAnsi="Gill Sans" w:cs="Arial"/>
          <w:sz w:val="22"/>
        </w:rPr>
        <w:t xml:space="preserve">Document 1 </w:t>
      </w:r>
      <w:r w:rsidRPr="008C3227">
        <w:rPr>
          <w:rFonts w:ascii="Gill Sans" w:hAnsi="Gill Sans" w:cs="Arial"/>
          <w:sz w:val="22"/>
        </w:rPr>
        <w:tab/>
      </w:r>
      <w:r w:rsidR="007B1490" w:rsidRPr="008C3227">
        <w:rPr>
          <w:rFonts w:ascii="Gill Sans" w:hAnsi="Gill Sans" w:cs="Arial"/>
          <w:sz w:val="22"/>
        </w:rPr>
        <w:t>Introduction to the Procurement</w:t>
      </w:r>
    </w:p>
    <w:p w14:paraId="192B128D" w14:textId="77777777" w:rsidR="00560FA4" w:rsidRPr="008C3227" w:rsidRDefault="007E5D8E" w:rsidP="00560FA4">
      <w:pPr>
        <w:ind w:left="414" w:firstLine="720"/>
        <w:rPr>
          <w:rFonts w:ascii="Gill Sans" w:hAnsi="Gill Sans" w:cs="Arial"/>
          <w:bCs/>
          <w:sz w:val="36"/>
          <w:szCs w:val="36"/>
        </w:rPr>
      </w:pPr>
      <w:r w:rsidRPr="008C3227">
        <w:rPr>
          <w:rFonts w:ascii="Gill Sans" w:hAnsi="Gill Sans" w:cs="Arial"/>
          <w:sz w:val="22"/>
        </w:rPr>
        <w:t>Document 2</w:t>
      </w:r>
      <w:r w:rsidR="00182136" w:rsidRPr="008C3227">
        <w:rPr>
          <w:rFonts w:ascii="Gill Sans" w:hAnsi="Gill Sans" w:cs="Arial"/>
          <w:sz w:val="22"/>
        </w:rPr>
        <w:t xml:space="preserve"> </w:t>
      </w:r>
      <w:r w:rsidR="00182136" w:rsidRPr="008C3227">
        <w:rPr>
          <w:rFonts w:ascii="Gill Sans" w:hAnsi="Gill Sans" w:cs="Arial"/>
          <w:sz w:val="22"/>
        </w:rPr>
        <w:tab/>
      </w:r>
      <w:r w:rsidR="00560FA4" w:rsidRPr="008C3227">
        <w:rPr>
          <w:rFonts w:ascii="Gill Sans" w:hAnsi="Gill Sans" w:cs="Arial"/>
          <w:bCs/>
          <w:sz w:val="22"/>
          <w:szCs w:val="22"/>
        </w:rPr>
        <w:t>Invitation to Tender</w:t>
      </w:r>
      <w:r w:rsidR="00560FA4" w:rsidRPr="008C3227">
        <w:rPr>
          <w:rFonts w:ascii="Gill Sans" w:hAnsi="Gill Sans" w:cs="Arial"/>
          <w:bCs/>
          <w:sz w:val="36"/>
          <w:szCs w:val="36"/>
        </w:rPr>
        <w:t xml:space="preserve"> </w:t>
      </w:r>
      <w:r w:rsidR="00560FA4" w:rsidRPr="008C3227">
        <w:rPr>
          <w:rFonts w:ascii="Gill Sans" w:hAnsi="Gill Sans" w:cs="Arial"/>
          <w:bCs/>
          <w:sz w:val="22"/>
          <w:szCs w:val="22"/>
        </w:rPr>
        <w:t>Information and Evaluation Guide</w:t>
      </w:r>
    </w:p>
    <w:p w14:paraId="247364FF" w14:textId="77777777" w:rsidR="00182136" w:rsidRPr="008C3227" w:rsidRDefault="007E5D8E" w:rsidP="00A455C5">
      <w:pPr>
        <w:ind w:left="2874" w:hanging="1740"/>
        <w:rPr>
          <w:rFonts w:ascii="Gill Sans" w:hAnsi="Gill Sans" w:cs="Arial"/>
          <w:sz w:val="22"/>
        </w:rPr>
      </w:pPr>
      <w:r w:rsidRPr="008C3227">
        <w:rPr>
          <w:rFonts w:ascii="Gill Sans" w:hAnsi="Gill Sans" w:cs="Arial"/>
          <w:sz w:val="22"/>
        </w:rPr>
        <w:t>Document 3</w:t>
      </w:r>
      <w:r w:rsidR="00A455C5" w:rsidRPr="008C3227">
        <w:rPr>
          <w:rFonts w:ascii="Gill Sans" w:hAnsi="Gill Sans" w:cs="Arial"/>
          <w:sz w:val="22"/>
        </w:rPr>
        <w:tab/>
        <w:t>Terms and Conditions</w:t>
      </w:r>
      <w:bookmarkStart w:id="6" w:name="_Hlk39672008"/>
    </w:p>
    <w:bookmarkEnd w:id="6"/>
    <w:p w14:paraId="51CF26A6" w14:textId="454B3E06" w:rsidR="00FF60F8" w:rsidRPr="008C3227" w:rsidRDefault="007E5D8E" w:rsidP="006C6134">
      <w:pPr>
        <w:pStyle w:val="ListParagraph"/>
        <w:ind w:firstLine="414"/>
        <w:rPr>
          <w:rFonts w:ascii="Gill Sans" w:hAnsi="Gill Sans" w:cs="Arial"/>
          <w:sz w:val="22"/>
        </w:rPr>
      </w:pPr>
      <w:r w:rsidRPr="008C3227">
        <w:rPr>
          <w:rFonts w:ascii="Gill Sans" w:hAnsi="Gill Sans" w:cs="Arial"/>
          <w:sz w:val="22"/>
        </w:rPr>
        <w:t>Document 4</w:t>
      </w:r>
      <w:r w:rsidR="00F43362" w:rsidRPr="008C3227">
        <w:rPr>
          <w:rFonts w:ascii="Gill Sans" w:hAnsi="Gill Sans" w:cs="Arial"/>
          <w:sz w:val="22"/>
        </w:rPr>
        <w:tab/>
      </w:r>
      <w:r w:rsidR="009B6FB6" w:rsidRPr="008C3227">
        <w:rPr>
          <w:rFonts w:ascii="Gill Sans" w:hAnsi="Gill Sans" w:cs="Arial"/>
          <w:sz w:val="22"/>
        </w:rPr>
        <w:t>Schedule of Rates</w:t>
      </w:r>
      <w:r w:rsidR="00FF60F8" w:rsidRPr="008C3227">
        <w:rPr>
          <w:rFonts w:ascii="Gill Sans" w:hAnsi="Gill Sans" w:cs="Arial"/>
          <w:sz w:val="22"/>
        </w:rPr>
        <w:t xml:space="preserve"> </w:t>
      </w:r>
    </w:p>
    <w:p w14:paraId="40E8A99B" w14:textId="79DC33E8" w:rsidR="00FF60F8" w:rsidRPr="008C3227" w:rsidRDefault="007E5D8E" w:rsidP="00694403">
      <w:pPr>
        <w:pStyle w:val="ListParagraph"/>
        <w:ind w:firstLine="414"/>
        <w:rPr>
          <w:rFonts w:ascii="Gill Sans" w:hAnsi="Gill Sans" w:cs="Arial"/>
          <w:sz w:val="22"/>
        </w:rPr>
      </w:pPr>
      <w:r w:rsidRPr="008C3227">
        <w:rPr>
          <w:rFonts w:ascii="Gill Sans" w:hAnsi="Gill Sans" w:cs="Arial"/>
          <w:sz w:val="22"/>
        </w:rPr>
        <w:t>Document 5</w:t>
      </w:r>
      <w:r w:rsidR="00F43362" w:rsidRPr="008C3227">
        <w:rPr>
          <w:rFonts w:ascii="Gill Sans" w:hAnsi="Gill Sans" w:cs="Arial"/>
          <w:sz w:val="22"/>
        </w:rPr>
        <w:t xml:space="preserve"> </w:t>
      </w:r>
      <w:r w:rsidR="00F43362" w:rsidRPr="008C3227">
        <w:rPr>
          <w:rFonts w:ascii="Gill Sans" w:hAnsi="Gill Sans" w:cs="Arial"/>
          <w:sz w:val="22"/>
        </w:rPr>
        <w:tab/>
      </w:r>
      <w:r w:rsidR="00FF60F8" w:rsidRPr="008C3227">
        <w:rPr>
          <w:rFonts w:ascii="Gill Sans" w:hAnsi="Gill Sans" w:cs="Arial"/>
          <w:sz w:val="22"/>
        </w:rPr>
        <w:t>Address Lists</w:t>
      </w:r>
    </w:p>
    <w:p w14:paraId="3478C65C" w14:textId="76231B2F" w:rsidR="00C83110" w:rsidRPr="008C3227" w:rsidRDefault="00C83110" w:rsidP="00694403">
      <w:pPr>
        <w:pStyle w:val="ListParagraph"/>
        <w:ind w:firstLine="414"/>
        <w:rPr>
          <w:rFonts w:ascii="Gill Sans" w:hAnsi="Gill Sans" w:cs="Arial"/>
          <w:sz w:val="22"/>
        </w:rPr>
      </w:pPr>
      <w:r w:rsidRPr="008C3227">
        <w:rPr>
          <w:rFonts w:ascii="Gill Sans" w:hAnsi="Gill Sans" w:cs="Arial"/>
          <w:sz w:val="22"/>
        </w:rPr>
        <w:t xml:space="preserve">Document </w:t>
      </w:r>
      <w:r w:rsidR="00605E94">
        <w:rPr>
          <w:rFonts w:ascii="Gill Sans" w:hAnsi="Gill Sans" w:cs="Arial"/>
          <w:sz w:val="22"/>
        </w:rPr>
        <w:t>6</w:t>
      </w:r>
      <w:r w:rsidRPr="008C3227">
        <w:rPr>
          <w:rFonts w:ascii="Gill Sans" w:hAnsi="Gill Sans" w:cs="Arial"/>
          <w:sz w:val="22"/>
        </w:rPr>
        <w:tab/>
        <w:t>Client Specific Requirements</w:t>
      </w:r>
    </w:p>
    <w:p w14:paraId="4E1F3576" w14:textId="51ED5DA2" w:rsidR="00067194" w:rsidRPr="008C3227" w:rsidRDefault="00F64561" w:rsidP="00694403">
      <w:pPr>
        <w:pStyle w:val="ListParagraph"/>
        <w:ind w:firstLine="414"/>
        <w:rPr>
          <w:rFonts w:ascii="Gill Sans" w:hAnsi="Gill Sans" w:cs="Arial"/>
          <w:sz w:val="22"/>
        </w:rPr>
      </w:pPr>
      <w:r w:rsidRPr="008C3227">
        <w:rPr>
          <w:rFonts w:ascii="Gill Sans" w:hAnsi="Gill Sans" w:cs="Arial"/>
          <w:sz w:val="22"/>
        </w:rPr>
        <w:t xml:space="preserve">Document </w:t>
      </w:r>
      <w:r w:rsidR="00605E94">
        <w:rPr>
          <w:rFonts w:ascii="Gill Sans" w:hAnsi="Gill Sans" w:cs="Arial"/>
          <w:sz w:val="22"/>
        </w:rPr>
        <w:t>7</w:t>
      </w:r>
      <w:r w:rsidRPr="008C3227">
        <w:rPr>
          <w:rFonts w:ascii="Gill Sans" w:hAnsi="Gill Sans" w:cs="Arial"/>
          <w:sz w:val="22"/>
        </w:rPr>
        <w:tab/>
        <w:t>Preliminaries</w:t>
      </w:r>
    </w:p>
    <w:p w14:paraId="73B3B667" w14:textId="2725499E" w:rsidR="00F64561" w:rsidRPr="008C3227" w:rsidRDefault="00F46E04" w:rsidP="00694403">
      <w:pPr>
        <w:pStyle w:val="ListParagraph"/>
        <w:ind w:firstLine="414"/>
        <w:rPr>
          <w:rFonts w:ascii="Gill Sans" w:hAnsi="Gill Sans" w:cs="Arial"/>
          <w:sz w:val="22"/>
        </w:rPr>
      </w:pPr>
      <w:r w:rsidRPr="008C3227">
        <w:rPr>
          <w:rFonts w:ascii="Gill Sans" w:hAnsi="Gill Sans" w:cs="Arial"/>
          <w:sz w:val="22"/>
        </w:rPr>
        <w:t xml:space="preserve">Document </w:t>
      </w:r>
      <w:r w:rsidR="00605E94">
        <w:rPr>
          <w:rFonts w:ascii="Gill Sans" w:hAnsi="Gill Sans" w:cs="Arial"/>
          <w:sz w:val="22"/>
        </w:rPr>
        <w:t>8</w:t>
      </w:r>
      <w:r w:rsidRPr="008C3227">
        <w:rPr>
          <w:rFonts w:ascii="Gill Sans" w:hAnsi="Gill Sans" w:cs="Arial"/>
          <w:sz w:val="22"/>
        </w:rPr>
        <w:tab/>
        <w:t>Client Specific Terms and Conditions</w:t>
      </w:r>
    </w:p>
    <w:p w14:paraId="6C3C587D" w14:textId="141B0352" w:rsidR="00F46E04" w:rsidRPr="008C3227" w:rsidRDefault="00937815" w:rsidP="00694403">
      <w:pPr>
        <w:pStyle w:val="ListParagraph"/>
        <w:ind w:firstLine="414"/>
        <w:rPr>
          <w:rFonts w:ascii="Gill Sans" w:hAnsi="Gill Sans" w:cs="Arial"/>
          <w:sz w:val="22"/>
        </w:rPr>
      </w:pPr>
      <w:r w:rsidRPr="008C3227">
        <w:rPr>
          <w:rFonts w:ascii="Gill Sans" w:hAnsi="Gill Sans" w:cs="Arial"/>
          <w:sz w:val="22"/>
        </w:rPr>
        <w:t xml:space="preserve">Document </w:t>
      </w:r>
      <w:r w:rsidR="00605E94">
        <w:rPr>
          <w:rFonts w:ascii="Gill Sans" w:hAnsi="Gill Sans" w:cs="Arial"/>
          <w:sz w:val="22"/>
        </w:rPr>
        <w:t>9</w:t>
      </w:r>
      <w:r w:rsidRPr="008C3227">
        <w:rPr>
          <w:rFonts w:ascii="Gill Sans" w:hAnsi="Gill Sans" w:cs="Arial"/>
          <w:sz w:val="22"/>
        </w:rPr>
        <w:t>a</w:t>
      </w:r>
      <w:r w:rsidRPr="008C3227">
        <w:rPr>
          <w:rFonts w:ascii="Gill Sans" w:hAnsi="Gill Sans" w:cs="Arial"/>
          <w:sz w:val="22"/>
        </w:rPr>
        <w:tab/>
        <w:t>Specification for Bathrooms and WC Replacement</w:t>
      </w:r>
    </w:p>
    <w:p w14:paraId="0381D0D1" w14:textId="4D1CC51B" w:rsidR="00260A38" w:rsidRPr="008C3227" w:rsidRDefault="00260A38" w:rsidP="00694403">
      <w:pPr>
        <w:pStyle w:val="ListParagraph"/>
        <w:ind w:firstLine="414"/>
        <w:rPr>
          <w:rFonts w:ascii="Gill Sans" w:hAnsi="Gill Sans" w:cs="Arial"/>
          <w:sz w:val="22"/>
        </w:rPr>
      </w:pPr>
      <w:r w:rsidRPr="008C3227">
        <w:rPr>
          <w:rFonts w:ascii="Gill Sans" w:hAnsi="Gill Sans" w:cs="Arial"/>
          <w:sz w:val="22"/>
        </w:rPr>
        <w:t xml:space="preserve">Document </w:t>
      </w:r>
      <w:r w:rsidR="00605E94">
        <w:rPr>
          <w:rFonts w:ascii="Gill Sans" w:hAnsi="Gill Sans" w:cs="Arial"/>
          <w:sz w:val="22"/>
        </w:rPr>
        <w:t>9</w:t>
      </w:r>
      <w:r w:rsidRPr="008C3227">
        <w:rPr>
          <w:rFonts w:ascii="Gill Sans" w:hAnsi="Gill Sans" w:cs="Arial"/>
          <w:sz w:val="22"/>
        </w:rPr>
        <w:t>b</w:t>
      </w:r>
      <w:r w:rsidRPr="008C3227">
        <w:rPr>
          <w:rFonts w:ascii="Gill Sans" w:hAnsi="Gill Sans" w:cs="Arial"/>
          <w:sz w:val="22"/>
        </w:rPr>
        <w:tab/>
        <w:t>Specification for Kitchen Replacement</w:t>
      </w:r>
    </w:p>
    <w:p w14:paraId="049805D8" w14:textId="364823D1" w:rsidR="00260A38" w:rsidRPr="008C3227" w:rsidRDefault="00260A38" w:rsidP="00694403">
      <w:pPr>
        <w:pStyle w:val="ListParagraph"/>
        <w:ind w:firstLine="414"/>
        <w:rPr>
          <w:rFonts w:ascii="Gill Sans" w:hAnsi="Gill Sans" w:cs="Arial"/>
          <w:sz w:val="22"/>
        </w:rPr>
      </w:pPr>
      <w:r w:rsidRPr="008C3227">
        <w:rPr>
          <w:rFonts w:ascii="Gill Sans" w:hAnsi="Gill Sans" w:cs="Arial"/>
          <w:sz w:val="22"/>
        </w:rPr>
        <w:t xml:space="preserve">Document </w:t>
      </w:r>
      <w:r w:rsidR="00605E94">
        <w:rPr>
          <w:rFonts w:ascii="Gill Sans" w:hAnsi="Gill Sans" w:cs="Arial"/>
          <w:sz w:val="22"/>
        </w:rPr>
        <w:t>9</w:t>
      </w:r>
      <w:r w:rsidRPr="008C3227">
        <w:rPr>
          <w:rFonts w:ascii="Gill Sans" w:hAnsi="Gill Sans" w:cs="Arial"/>
          <w:sz w:val="22"/>
        </w:rPr>
        <w:t>c</w:t>
      </w:r>
      <w:r w:rsidRPr="008C3227">
        <w:rPr>
          <w:rFonts w:ascii="Gill Sans" w:hAnsi="Gill Sans" w:cs="Arial"/>
          <w:sz w:val="22"/>
        </w:rPr>
        <w:tab/>
        <w:t>Specification for Ventilation</w:t>
      </w:r>
    </w:p>
    <w:p w14:paraId="67A8D06B" w14:textId="639A5AC2" w:rsidR="00260A38" w:rsidRPr="008C3227" w:rsidRDefault="00260A38" w:rsidP="00694403">
      <w:pPr>
        <w:pStyle w:val="ListParagraph"/>
        <w:ind w:firstLine="414"/>
        <w:rPr>
          <w:rFonts w:ascii="Gill Sans" w:hAnsi="Gill Sans" w:cs="Arial"/>
          <w:sz w:val="22"/>
        </w:rPr>
      </w:pPr>
      <w:r w:rsidRPr="008C3227">
        <w:rPr>
          <w:rFonts w:ascii="Gill Sans" w:hAnsi="Gill Sans" w:cs="Arial"/>
          <w:sz w:val="22"/>
        </w:rPr>
        <w:t>D</w:t>
      </w:r>
      <w:r w:rsidR="00A57FD6" w:rsidRPr="008C3227">
        <w:rPr>
          <w:rFonts w:ascii="Gill Sans" w:hAnsi="Gill Sans" w:cs="Arial"/>
          <w:sz w:val="22"/>
        </w:rPr>
        <w:t>o</w:t>
      </w:r>
      <w:r w:rsidRPr="008C3227">
        <w:rPr>
          <w:rFonts w:ascii="Gill Sans" w:hAnsi="Gill Sans" w:cs="Arial"/>
          <w:sz w:val="22"/>
        </w:rPr>
        <w:t xml:space="preserve">cument </w:t>
      </w:r>
      <w:r w:rsidR="00605E94">
        <w:rPr>
          <w:rFonts w:ascii="Gill Sans" w:hAnsi="Gill Sans" w:cs="Arial"/>
          <w:sz w:val="22"/>
        </w:rPr>
        <w:t>9</w:t>
      </w:r>
      <w:r w:rsidRPr="008C3227">
        <w:rPr>
          <w:rFonts w:ascii="Gill Sans" w:hAnsi="Gill Sans" w:cs="Arial"/>
          <w:sz w:val="22"/>
        </w:rPr>
        <w:t>d</w:t>
      </w:r>
      <w:r w:rsidRPr="008C3227">
        <w:rPr>
          <w:rFonts w:ascii="Gill Sans" w:hAnsi="Gill Sans" w:cs="Arial"/>
          <w:sz w:val="22"/>
        </w:rPr>
        <w:tab/>
      </w:r>
      <w:r w:rsidR="00A57FD6" w:rsidRPr="008C3227">
        <w:rPr>
          <w:rFonts w:ascii="Gill Sans" w:hAnsi="Gill Sans" w:cs="Arial"/>
          <w:sz w:val="22"/>
        </w:rPr>
        <w:t>General Electrical Specification</w:t>
      </w:r>
    </w:p>
    <w:p w14:paraId="08468ABF" w14:textId="5DF6606F" w:rsidR="00A57FD6" w:rsidRPr="008C3227" w:rsidRDefault="00A57FD6" w:rsidP="00694403">
      <w:pPr>
        <w:pStyle w:val="ListParagraph"/>
        <w:ind w:firstLine="414"/>
        <w:rPr>
          <w:rFonts w:ascii="Gill Sans" w:hAnsi="Gill Sans" w:cs="Arial"/>
          <w:sz w:val="22"/>
        </w:rPr>
      </w:pPr>
      <w:r w:rsidRPr="008C3227">
        <w:rPr>
          <w:rFonts w:ascii="Gill Sans" w:hAnsi="Gill Sans" w:cs="Arial"/>
          <w:sz w:val="22"/>
        </w:rPr>
        <w:t xml:space="preserve">Document </w:t>
      </w:r>
      <w:r w:rsidR="00605E94">
        <w:rPr>
          <w:rFonts w:ascii="Gill Sans" w:hAnsi="Gill Sans" w:cs="Arial"/>
          <w:sz w:val="22"/>
        </w:rPr>
        <w:t>9</w:t>
      </w:r>
      <w:r w:rsidRPr="008C3227">
        <w:rPr>
          <w:rFonts w:ascii="Gill Sans" w:hAnsi="Gill Sans" w:cs="Arial"/>
          <w:sz w:val="22"/>
        </w:rPr>
        <w:t>e</w:t>
      </w:r>
      <w:r w:rsidRPr="008C3227">
        <w:rPr>
          <w:rFonts w:ascii="Gill Sans" w:hAnsi="Gill Sans" w:cs="Arial"/>
          <w:sz w:val="22"/>
        </w:rPr>
        <w:tab/>
        <w:t>Specification for Heating Works</w:t>
      </w:r>
    </w:p>
    <w:p w14:paraId="0F5EC88B" w14:textId="2AA6F675" w:rsidR="003E11E1" w:rsidRPr="008C3227" w:rsidRDefault="003E11E1" w:rsidP="00694403">
      <w:pPr>
        <w:pStyle w:val="ListParagraph"/>
        <w:ind w:firstLine="414"/>
        <w:rPr>
          <w:rFonts w:ascii="Gill Sans" w:hAnsi="Gill Sans" w:cs="Arial"/>
          <w:sz w:val="22"/>
        </w:rPr>
      </w:pPr>
      <w:r w:rsidRPr="008C3227">
        <w:rPr>
          <w:rFonts w:ascii="Gill Sans" w:hAnsi="Gill Sans" w:cs="Arial"/>
          <w:sz w:val="22"/>
        </w:rPr>
        <w:t>Document 1</w:t>
      </w:r>
      <w:r w:rsidR="00C16DA3">
        <w:rPr>
          <w:rFonts w:ascii="Gill Sans" w:hAnsi="Gill Sans" w:cs="Arial"/>
          <w:sz w:val="22"/>
        </w:rPr>
        <w:t>0</w:t>
      </w:r>
      <w:r w:rsidRPr="008C3227">
        <w:rPr>
          <w:rFonts w:ascii="Gill Sans" w:hAnsi="Gill Sans" w:cs="Arial"/>
          <w:sz w:val="22"/>
        </w:rPr>
        <w:tab/>
        <w:t>Key Performance Indicators</w:t>
      </w:r>
    </w:p>
    <w:p w14:paraId="4B67FA74" w14:textId="40C3F465" w:rsidR="00EB698D" w:rsidRPr="008C3227" w:rsidRDefault="00EB698D" w:rsidP="00694403">
      <w:pPr>
        <w:pStyle w:val="ListParagraph"/>
        <w:ind w:firstLine="414"/>
        <w:rPr>
          <w:rFonts w:ascii="Gill Sans" w:hAnsi="Gill Sans" w:cs="Arial"/>
          <w:sz w:val="22"/>
        </w:rPr>
      </w:pPr>
      <w:r w:rsidRPr="008C3227">
        <w:rPr>
          <w:rFonts w:ascii="Gill Sans" w:hAnsi="Gill Sans" w:cs="Arial"/>
          <w:sz w:val="22"/>
        </w:rPr>
        <w:t>Document 1</w:t>
      </w:r>
      <w:r w:rsidR="00C16DA3">
        <w:rPr>
          <w:rFonts w:ascii="Gill Sans" w:hAnsi="Gill Sans" w:cs="Arial"/>
          <w:sz w:val="22"/>
        </w:rPr>
        <w:t>1</w:t>
      </w:r>
      <w:r w:rsidRPr="008C3227">
        <w:rPr>
          <w:rFonts w:ascii="Gill Sans" w:hAnsi="Gill Sans" w:cs="Arial"/>
          <w:sz w:val="22"/>
        </w:rPr>
        <w:tab/>
        <w:t>Health and Safety</w:t>
      </w:r>
    </w:p>
    <w:p w14:paraId="46912A27" w14:textId="21A22CD9" w:rsidR="005823AE" w:rsidRPr="008C3227" w:rsidRDefault="005823AE" w:rsidP="00694403">
      <w:pPr>
        <w:pStyle w:val="ListParagraph"/>
        <w:ind w:firstLine="414"/>
        <w:rPr>
          <w:rFonts w:ascii="Gill Sans" w:hAnsi="Gill Sans" w:cs="Arial"/>
          <w:sz w:val="22"/>
        </w:rPr>
      </w:pPr>
      <w:r w:rsidRPr="008C3227">
        <w:rPr>
          <w:rFonts w:ascii="Gill Sans" w:hAnsi="Gill Sans" w:cs="Arial"/>
          <w:sz w:val="22"/>
        </w:rPr>
        <w:t>Document 1</w:t>
      </w:r>
      <w:r w:rsidR="00C16DA3">
        <w:rPr>
          <w:rFonts w:ascii="Gill Sans" w:hAnsi="Gill Sans" w:cs="Arial"/>
          <w:sz w:val="22"/>
        </w:rPr>
        <w:t>2</w:t>
      </w:r>
      <w:r w:rsidRPr="008C3227">
        <w:rPr>
          <w:rFonts w:ascii="Gill Sans" w:hAnsi="Gill Sans" w:cs="Arial"/>
          <w:sz w:val="22"/>
        </w:rPr>
        <w:tab/>
        <w:t>Technical Question Responses</w:t>
      </w:r>
    </w:p>
    <w:bookmarkEnd w:id="5"/>
    <w:p w14:paraId="7538F512" w14:textId="77777777" w:rsidR="009324FF" w:rsidRPr="008C3227" w:rsidRDefault="009324FF" w:rsidP="00C16DA3">
      <w:pPr>
        <w:jc w:val="both"/>
        <w:rPr>
          <w:rFonts w:ascii="Gill Sans" w:hAnsi="Gill Sans" w:cstheme="minorHAnsi"/>
        </w:rPr>
      </w:pPr>
    </w:p>
    <w:p w14:paraId="251EACDA" w14:textId="74CC21D5" w:rsidR="00182136" w:rsidRPr="008C3227" w:rsidRDefault="00876AE0" w:rsidP="00182136">
      <w:pPr>
        <w:rPr>
          <w:rFonts w:ascii="Gill Sans" w:hAnsi="Gill Sans" w:cs="Arial"/>
          <w:sz w:val="22"/>
          <w:szCs w:val="22"/>
        </w:rPr>
      </w:pPr>
      <w:r w:rsidRPr="008C3227">
        <w:rPr>
          <w:rFonts w:ascii="Gill Sans" w:hAnsi="Gill Sans" w:cs="Arial"/>
          <w:sz w:val="22"/>
          <w:szCs w:val="22"/>
        </w:rPr>
        <w:t>7</w:t>
      </w:r>
      <w:r w:rsidR="00694403" w:rsidRPr="008C3227">
        <w:rPr>
          <w:rFonts w:ascii="Gill Sans" w:hAnsi="Gill Sans" w:cs="Arial"/>
          <w:sz w:val="22"/>
          <w:szCs w:val="22"/>
        </w:rPr>
        <w:t>.2</w:t>
      </w:r>
      <w:r w:rsidR="00694403" w:rsidRPr="008C3227">
        <w:rPr>
          <w:rFonts w:ascii="Gill Sans" w:hAnsi="Gill Sans" w:cs="Arial"/>
          <w:sz w:val="22"/>
          <w:szCs w:val="22"/>
        </w:rPr>
        <w:tab/>
      </w:r>
      <w:r w:rsidR="00182136" w:rsidRPr="008C3227">
        <w:rPr>
          <w:rFonts w:ascii="Gill Sans" w:hAnsi="Gill Sans" w:cs="Arial"/>
          <w:sz w:val="22"/>
          <w:szCs w:val="22"/>
        </w:rPr>
        <w:t xml:space="preserve">The Following documents are to be returned by </w:t>
      </w:r>
      <w:r w:rsidR="00EE5CFE" w:rsidRPr="008C3227">
        <w:rPr>
          <w:rFonts w:ascii="Gill Sans" w:hAnsi="Gill Sans" w:cs="Arial"/>
          <w:sz w:val="22"/>
          <w:szCs w:val="22"/>
        </w:rPr>
        <w:t xml:space="preserve">30 </w:t>
      </w:r>
      <w:r w:rsidR="004D1EB7">
        <w:rPr>
          <w:rFonts w:ascii="Gill Sans" w:hAnsi="Gill Sans" w:cs="Arial"/>
          <w:sz w:val="22"/>
          <w:szCs w:val="22"/>
        </w:rPr>
        <w:t>July 2023</w:t>
      </w:r>
    </w:p>
    <w:p w14:paraId="24D9DDAC" w14:textId="77777777" w:rsidR="00182136" w:rsidRPr="008C3227" w:rsidRDefault="00182136" w:rsidP="007A48B2">
      <w:pPr>
        <w:rPr>
          <w:rFonts w:ascii="Gill Sans" w:hAnsi="Gill Sans" w:cs="Arial"/>
          <w:sz w:val="22"/>
          <w:szCs w:val="22"/>
        </w:rPr>
      </w:pPr>
    </w:p>
    <w:p w14:paraId="58A6C58C" w14:textId="12E835FA" w:rsidR="000374D4" w:rsidRPr="008C3227" w:rsidRDefault="00182136" w:rsidP="006D081E">
      <w:pPr>
        <w:pStyle w:val="ListParagraph"/>
        <w:numPr>
          <w:ilvl w:val="0"/>
          <w:numId w:val="7"/>
        </w:numPr>
        <w:ind w:left="1418" w:hanging="284"/>
        <w:rPr>
          <w:rFonts w:ascii="Gill Sans" w:hAnsi="Gill Sans" w:cs="Arial"/>
          <w:sz w:val="22"/>
          <w:szCs w:val="22"/>
        </w:rPr>
      </w:pPr>
      <w:r w:rsidRPr="008C3227">
        <w:rPr>
          <w:rFonts w:ascii="Gill Sans" w:hAnsi="Gill Sans" w:cs="Arial"/>
          <w:sz w:val="22"/>
          <w:szCs w:val="22"/>
        </w:rPr>
        <w:t>Invitation to tender (ITT) Documents</w:t>
      </w:r>
    </w:p>
    <w:p w14:paraId="10F56913" w14:textId="603BD0E3" w:rsidR="00182136" w:rsidRPr="008C3227" w:rsidRDefault="00182136" w:rsidP="00694403">
      <w:pPr>
        <w:pStyle w:val="ListParagraph"/>
        <w:numPr>
          <w:ilvl w:val="1"/>
          <w:numId w:val="7"/>
        </w:numPr>
        <w:ind w:left="1560" w:hanging="284"/>
        <w:rPr>
          <w:rFonts w:ascii="Gill Sans" w:hAnsi="Gill Sans" w:cs="Arial"/>
          <w:sz w:val="22"/>
          <w:szCs w:val="22"/>
        </w:rPr>
      </w:pPr>
      <w:r w:rsidRPr="008C3227">
        <w:rPr>
          <w:rFonts w:ascii="Gill Sans" w:hAnsi="Gill Sans" w:cs="Arial"/>
          <w:sz w:val="22"/>
          <w:szCs w:val="22"/>
        </w:rPr>
        <w:t xml:space="preserve">Form of </w:t>
      </w:r>
      <w:r w:rsidR="008C3227" w:rsidRPr="008C3227">
        <w:rPr>
          <w:rFonts w:ascii="Gill Sans" w:hAnsi="Gill Sans" w:cs="Arial"/>
          <w:sz w:val="22"/>
          <w:szCs w:val="22"/>
        </w:rPr>
        <w:t>T</w:t>
      </w:r>
      <w:r w:rsidRPr="008C3227">
        <w:rPr>
          <w:rFonts w:ascii="Gill Sans" w:hAnsi="Gill Sans" w:cs="Arial"/>
          <w:sz w:val="22"/>
          <w:szCs w:val="22"/>
        </w:rPr>
        <w:t>ender</w:t>
      </w:r>
    </w:p>
    <w:p w14:paraId="31CCAFE1" w14:textId="71C97964" w:rsidR="00182136" w:rsidRPr="008C3227" w:rsidRDefault="00C111C7" w:rsidP="00694403">
      <w:pPr>
        <w:pStyle w:val="ListParagraph"/>
        <w:numPr>
          <w:ilvl w:val="1"/>
          <w:numId w:val="7"/>
        </w:numPr>
        <w:ind w:left="1560" w:hanging="284"/>
        <w:rPr>
          <w:rFonts w:ascii="Gill Sans" w:hAnsi="Gill Sans" w:cs="Arial"/>
          <w:sz w:val="22"/>
          <w:szCs w:val="22"/>
        </w:rPr>
      </w:pPr>
      <w:r w:rsidRPr="008C3227">
        <w:rPr>
          <w:rFonts w:ascii="Gill Sans" w:hAnsi="Gill Sans" w:cs="Arial"/>
          <w:sz w:val="22"/>
          <w:szCs w:val="22"/>
        </w:rPr>
        <w:t>S</w:t>
      </w:r>
      <w:r w:rsidR="00942A3A" w:rsidRPr="008C3227">
        <w:rPr>
          <w:rFonts w:ascii="Gill Sans" w:hAnsi="Gill Sans" w:cs="Arial"/>
          <w:sz w:val="22"/>
          <w:szCs w:val="22"/>
        </w:rPr>
        <w:t>chedule</w:t>
      </w:r>
      <w:r w:rsidR="008C3227" w:rsidRPr="008C3227">
        <w:rPr>
          <w:rFonts w:ascii="Gill Sans" w:hAnsi="Gill Sans" w:cs="Arial"/>
          <w:sz w:val="22"/>
          <w:szCs w:val="22"/>
        </w:rPr>
        <w:t>s of Rates</w:t>
      </w:r>
    </w:p>
    <w:p w14:paraId="14842A80" w14:textId="716B6D51" w:rsidR="00182136" w:rsidRPr="008C3227" w:rsidRDefault="006D081E" w:rsidP="00694403">
      <w:pPr>
        <w:pStyle w:val="ListParagraph"/>
        <w:numPr>
          <w:ilvl w:val="1"/>
          <w:numId w:val="7"/>
        </w:numPr>
        <w:ind w:left="1560" w:hanging="284"/>
        <w:rPr>
          <w:rFonts w:ascii="Gill Sans" w:hAnsi="Gill Sans" w:cs="Arial"/>
          <w:sz w:val="22"/>
          <w:szCs w:val="22"/>
        </w:rPr>
      </w:pPr>
      <w:r w:rsidRPr="008C3227">
        <w:rPr>
          <w:rFonts w:ascii="Gill Sans" w:hAnsi="Gill Sans" w:cs="Arial"/>
          <w:sz w:val="22"/>
          <w:szCs w:val="22"/>
        </w:rPr>
        <w:t>Response</w:t>
      </w:r>
      <w:r w:rsidR="000374D4" w:rsidRPr="008C3227">
        <w:rPr>
          <w:rFonts w:ascii="Gill Sans" w:hAnsi="Gill Sans" w:cs="Arial"/>
          <w:sz w:val="22"/>
          <w:szCs w:val="22"/>
        </w:rPr>
        <w:t>s to the Technical Q</w:t>
      </w:r>
      <w:r w:rsidR="00182136" w:rsidRPr="008C3227">
        <w:rPr>
          <w:rFonts w:ascii="Gill Sans" w:hAnsi="Gill Sans" w:cs="Arial"/>
          <w:sz w:val="22"/>
          <w:szCs w:val="22"/>
        </w:rPr>
        <w:t>uestions</w:t>
      </w:r>
    </w:p>
    <w:p w14:paraId="2D5F2939" w14:textId="77777777" w:rsidR="00182136" w:rsidRPr="008C3227" w:rsidRDefault="000374D4" w:rsidP="00694403">
      <w:pPr>
        <w:pStyle w:val="ListParagraph"/>
        <w:numPr>
          <w:ilvl w:val="1"/>
          <w:numId w:val="7"/>
        </w:numPr>
        <w:ind w:left="1560" w:hanging="284"/>
        <w:rPr>
          <w:rFonts w:ascii="Gill Sans" w:hAnsi="Gill Sans" w:cs="Arial"/>
          <w:sz w:val="22"/>
          <w:szCs w:val="22"/>
        </w:rPr>
      </w:pPr>
      <w:r w:rsidRPr="008C3227">
        <w:rPr>
          <w:rFonts w:ascii="Gill Sans" w:hAnsi="Gill Sans" w:cs="Arial"/>
          <w:sz w:val="22"/>
        </w:rPr>
        <w:t>Certificate in relation to Health, Safety and Welfare</w:t>
      </w:r>
    </w:p>
    <w:p w14:paraId="36BD3671" w14:textId="77777777" w:rsidR="00182136" w:rsidRPr="008C3227" w:rsidRDefault="00182136" w:rsidP="00694403">
      <w:pPr>
        <w:pStyle w:val="ListParagraph"/>
        <w:numPr>
          <w:ilvl w:val="1"/>
          <w:numId w:val="7"/>
        </w:numPr>
        <w:ind w:left="1560" w:hanging="284"/>
        <w:rPr>
          <w:rFonts w:ascii="Gill Sans" w:hAnsi="Gill Sans" w:cs="Arial"/>
          <w:sz w:val="22"/>
          <w:szCs w:val="22"/>
        </w:rPr>
      </w:pPr>
      <w:r w:rsidRPr="008C3227">
        <w:rPr>
          <w:rFonts w:ascii="Gill Sans" w:hAnsi="Gill Sans" w:cs="Arial"/>
          <w:sz w:val="22"/>
          <w:szCs w:val="22"/>
        </w:rPr>
        <w:t>Certificate of Bona Fide tender</w:t>
      </w:r>
    </w:p>
    <w:p w14:paraId="13DE5283" w14:textId="77777777" w:rsidR="00942A3A" w:rsidRPr="008C3227" w:rsidRDefault="00942A3A" w:rsidP="00694403">
      <w:pPr>
        <w:pStyle w:val="ListParagraph"/>
        <w:numPr>
          <w:ilvl w:val="1"/>
          <w:numId w:val="7"/>
        </w:numPr>
        <w:ind w:left="1560" w:hanging="284"/>
        <w:rPr>
          <w:rFonts w:ascii="Gill Sans" w:hAnsi="Gill Sans" w:cs="Arial"/>
          <w:sz w:val="22"/>
          <w:szCs w:val="22"/>
        </w:rPr>
      </w:pPr>
      <w:r w:rsidRPr="008C3227">
        <w:rPr>
          <w:rFonts w:ascii="Gill Sans" w:hAnsi="Gill Sans" w:cs="Arial"/>
          <w:sz w:val="22"/>
          <w:szCs w:val="22"/>
        </w:rPr>
        <w:t>Canvassing Certificate</w:t>
      </w:r>
    </w:p>
    <w:p w14:paraId="0C034106" w14:textId="6609B80D" w:rsidR="00C32EDC" w:rsidRPr="00C16DA3" w:rsidRDefault="00942A3A" w:rsidP="00C16DA3">
      <w:pPr>
        <w:pStyle w:val="ListParagraph"/>
        <w:numPr>
          <w:ilvl w:val="1"/>
          <w:numId w:val="7"/>
        </w:numPr>
        <w:ind w:left="1560" w:hanging="284"/>
        <w:rPr>
          <w:rFonts w:ascii="Arial" w:hAnsi="Arial" w:cs="Arial"/>
          <w:sz w:val="22"/>
          <w:szCs w:val="22"/>
        </w:rPr>
      </w:pPr>
      <w:r w:rsidRPr="00C16DA3">
        <w:rPr>
          <w:rFonts w:ascii="Gill Sans" w:hAnsi="Gill Sans" w:cs="Arial"/>
          <w:sz w:val="22"/>
          <w:szCs w:val="22"/>
        </w:rPr>
        <w:t>Proposed Sub-</w:t>
      </w:r>
      <w:r w:rsidRPr="00C16DA3">
        <w:rPr>
          <w:rFonts w:ascii="Gill Sans" w:hAnsi="Gill Sans" w:cs="Arial"/>
          <w:sz w:val="22"/>
        </w:rPr>
        <w:t>Contractor</w:t>
      </w:r>
      <w:r w:rsidRPr="00C16DA3">
        <w:rPr>
          <w:rFonts w:ascii="Gill Sans" w:hAnsi="Gill Sans" w:cs="Arial"/>
          <w:sz w:val="22"/>
          <w:szCs w:val="22"/>
        </w:rPr>
        <w:t xml:space="preserve"> </w:t>
      </w:r>
      <w:proofErr w:type="gramStart"/>
      <w:r w:rsidRPr="00C16DA3">
        <w:rPr>
          <w:rFonts w:ascii="Gill Sans" w:hAnsi="Gill Sans" w:cs="Arial"/>
          <w:sz w:val="22"/>
          <w:szCs w:val="22"/>
        </w:rPr>
        <w:t>detail</w:t>
      </w:r>
      <w:r w:rsidR="00C16DA3" w:rsidRPr="00C16DA3">
        <w:rPr>
          <w:rFonts w:ascii="Gill Sans" w:hAnsi="Gill Sans" w:cs="Arial"/>
          <w:sz w:val="22"/>
          <w:szCs w:val="22"/>
        </w:rPr>
        <w:t>s</w:t>
      </w:r>
      <w:proofErr w:type="gramEnd"/>
    </w:p>
    <w:sectPr w:rsidR="00C32EDC" w:rsidRPr="00C16DA3" w:rsidSect="006D081E">
      <w:headerReference w:type="even" r:id="rId13"/>
      <w:headerReference w:type="default" r:id="rId14"/>
      <w:footerReference w:type="even" r:id="rId15"/>
      <w:footerReference w:type="default" r:id="rId16"/>
      <w:headerReference w:type="first" r:id="rId17"/>
      <w:footerReference w:type="first" r:id="rId18"/>
      <w:pgSz w:w="11909" w:h="16834" w:code="9"/>
      <w:pgMar w:top="993" w:right="1151" w:bottom="1440" w:left="1151"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3714" w14:textId="77777777" w:rsidR="00941A0B" w:rsidRDefault="00941A0B">
      <w:r>
        <w:separator/>
      </w:r>
    </w:p>
  </w:endnote>
  <w:endnote w:type="continuationSeparator" w:id="0">
    <w:p w14:paraId="45E824BB" w14:textId="77777777" w:rsidR="00941A0B" w:rsidRDefault="0094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D725" w14:textId="77777777" w:rsidR="00EB6032" w:rsidRDefault="00EB6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114522"/>
      <w:docPartObj>
        <w:docPartGallery w:val="Page Numbers (Bottom of Page)"/>
        <w:docPartUnique/>
      </w:docPartObj>
    </w:sdtPr>
    <w:sdtEndPr>
      <w:rPr>
        <w:rFonts w:ascii="Arial" w:hAnsi="Arial" w:cs="Arial"/>
        <w:noProof/>
        <w:sz w:val="20"/>
        <w:szCs w:val="20"/>
      </w:rPr>
    </w:sdtEndPr>
    <w:sdtContent>
      <w:p w14:paraId="436B4AAB" w14:textId="77777777" w:rsidR="00B5101A" w:rsidRPr="00B5101A" w:rsidRDefault="00B5101A">
        <w:pPr>
          <w:pStyle w:val="Footer"/>
          <w:jc w:val="center"/>
          <w:rPr>
            <w:rFonts w:ascii="Arial" w:hAnsi="Arial" w:cs="Arial"/>
            <w:sz w:val="20"/>
            <w:szCs w:val="20"/>
          </w:rPr>
        </w:pPr>
        <w:r w:rsidRPr="00B5101A">
          <w:rPr>
            <w:rFonts w:ascii="Arial" w:hAnsi="Arial" w:cs="Arial"/>
            <w:sz w:val="20"/>
            <w:szCs w:val="20"/>
          </w:rPr>
          <w:fldChar w:fldCharType="begin"/>
        </w:r>
        <w:r w:rsidRPr="00B5101A">
          <w:rPr>
            <w:rFonts w:ascii="Arial" w:hAnsi="Arial" w:cs="Arial"/>
            <w:sz w:val="20"/>
            <w:szCs w:val="20"/>
          </w:rPr>
          <w:instrText xml:space="preserve"> PAGE   \* MERGEFORMAT </w:instrText>
        </w:r>
        <w:r w:rsidRPr="00B5101A">
          <w:rPr>
            <w:rFonts w:ascii="Arial" w:hAnsi="Arial" w:cs="Arial"/>
            <w:sz w:val="20"/>
            <w:szCs w:val="20"/>
          </w:rPr>
          <w:fldChar w:fldCharType="separate"/>
        </w:r>
        <w:r w:rsidR="00A24B17">
          <w:rPr>
            <w:rFonts w:ascii="Arial" w:hAnsi="Arial" w:cs="Arial"/>
            <w:noProof/>
            <w:sz w:val="20"/>
            <w:szCs w:val="20"/>
          </w:rPr>
          <w:t>5</w:t>
        </w:r>
        <w:r w:rsidRPr="00B5101A">
          <w:rPr>
            <w:rFonts w:ascii="Arial" w:hAnsi="Arial" w:cs="Arial"/>
            <w:noProof/>
            <w:sz w:val="20"/>
            <w:szCs w:val="20"/>
          </w:rPr>
          <w:fldChar w:fldCharType="end"/>
        </w:r>
      </w:p>
    </w:sdtContent>
  </w:sdt>
  <w:p w14:paraId="061C5C90" w14:textId="77777777" w:rsidR="002E4884" w:rsidRPr="00C27F54" w:rsidRDefault="002E4884">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EF57" w14:textId="77777777" w:rsidR="00EB6032" w:rsidRDefault="00EB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7FF1" w14:textId="77777777" w:rsidR="00941A0B" w:rsidRDefault="00941A0B">
      <w:r>
        <w:separator/>
      </w:r>
    </w:p>
  </w:footnote>
  <w:footnote w:type="continuationSeparator" w:id="0">
    <w:p w14:paraId="5BD2B0FF" w14:textId="77777777" w:rsidR="00941A0B" w:rsidRDefault="00941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5928" w14:textId="77777777" w:rsidR="00EB6032" w:rsidRDefault="00EB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5DC5" w14:textId="77777777" w:rsidR="002E4884" w:rsidRDefault="002E4884">
    <w:pPr>
      <w:pStyle w:val="Header"/>
      <w:jc w:val="center"/>
      <w:rPr>
        <w:rFonts w:ascii="Arial" w:hAnsi="Arial" w:cs="Arial"/>
        <w:b/>
        <w:bC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AE25" w14:textId="77777777" w:rsidR="003E33A5" w:rsidRDefault="003E33A5">
    <w:pPr>
      <w:pStyle w:val="Header"/>
    </w:pPr>
    <w:r>
      <w:rPr>
        <w:b/>
        <w:bCs/>
        <w:noProof/>
        <w:lang w:eastAsia="en-GB"/>
      </w:rPr>
      <mc:AlternateContent>
        <mc:Choice Requires="wps">
          <w:drawing>
            <wp:anchor distT="0" distB="0" distL="114300" distR="114300" simplePos="0" relativeHeight="251659264" behindDoc="0" locked="0" layoutInCell="1" allowOverlap="1" wp14:anchorId="138BD700" wp14:editId="76C3E480">
              <wp:simplePos x="0" y="0"/>
              <wp:positionH relativeFrom="margin">
                <wp:align>left</wp:align>
              </wp:positionH>
              <wp:positionV relativeFrom="paragraph">
                <wp:posOffset>470535</wp:posOffset>
              </wp:positionV>
              <wp:extent cx="6019800" cy="0"/>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D61A8" id="Line 1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7.05pt" to="47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F39"/>
    <w:multiLevelType w:val="hybridMultilevel"/>
    <w:tmpl w:val="436C0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9469E"/>
    <w:multiLevelType w:val="hybridMultilevel"/>
    <w:tmpl w:val="BEA67DC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 w15:restartNumberingAfterBreak="0">
    <w:nsid w:val="2AC16A10"/>
    <w:multiLevelType w:val="multilevel"/>
    <w:tmpl w:val="5752469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3C6728"/>
    <w:multiLevelType w:val="multilevel"/>
    <w:tmpl w:val="A21EC492"/>
    <w:lvl w:ilvl="0">
      <w:start w:val="1"/>
      <w:numFmt w:val="decimal"/>
      <w:lvlText w:val="%1"/>
      <w:lvlJc w:val="left"/>
      <w:pPr>
        <w:ind w:left="390" w:hanging="390"/>
      </w:pPr>
      <w:rPr>
        <w:rFonts w:hint="default"/>
      </w:rPr>
    </w:lvl>
    <w:lvl w:ilvl="1">
      <w:start w:val="1"/>
      <w:numFmt w:val="decimal"/>
      <w:pStyle w:val="Heading3"/>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556276"/>
    <w:multiLevelType w:val="hybridMultilevel"/>
    <w:tmpl w:val="4016E5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0002E4"/>
    <w:multiLevelType w:val="hybridMultilevel"/>
    <w:tmpl w:val="87427648"/>
    <w:lvl w:ilvl="0" w:tplc="DE10BEE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1E143FA"/>
    <w:multiLevelType w:val="hybridMultilevel"/>
    <w:tmpl w:val="5546C3BA"/>
    <w:lvl w:ilvl="0" w:tplc="08090017">
      <w:start w:val="1"/>
      <w:numFmt w:val="lowerLetter"/>
      <w:lvlText w:val="%1)"/>
      <w:lvlJc w:val="left"/>
      <w:pPr>
        <w:ind w:left="720" w:hanging="360"/>
      </w:pPr>
    </w:lvl>
    <w:lvl w:ilvl="1" w:tplc="54883EB2">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73601"/>
    <w:multiLevelType w:val="hybridMultilevel"/>
    <w:tmpl w:val="28743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E1933"/>
    <w:multiLevelType w:val="hybridMultilevel"/>
    <w:tmpl w:val="1F94F04A"/>
    <w:lvl w:ilvl="0" w:tplc="0809000F">
      <w:start w:val="1"/>
      <w:numFmt w:val="decimal"/>
      <w:lvlText w:val="%1."/>
      <w:lvlJc w:val="left"/>
      <w:pPr>
        <w:ind w:left="720" w:hanging="360"/>
      </w:pPr>
    </w:lvl>
    <w:lvl w:ilvl="1" w:tplc="D8748552">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A52DA4"/>
    <w:multiLevelType w:val="hybridMultilevel"/>
    <w:tmpl w:val="7EA2B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92FAE"/>
    <w:multiLevelType w:val="hybridMultilevel"/>
    <w:tmpl w:val="2D64D46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463827AC"/>
    <w:multiLevelType w:val="hybridMultilevel"/>
    <w:tmpl w:val="2878F66E"/>
    <w:lvl w:ilvl="0" w:tplc="0809000F">
      <w:start w:val="1"/>
      <w:numFmt w:val="decimal"/>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2" w15:restartNumberingAfterBreak="0">
    <w:nsid w:val="48424DBF"/>
    <w:multiLevelType w:val="multilevel"/>
    <w:tmpl w:val="A5F653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997" w:hanging="720"/>
      </w:pPr>
      <w:rPr>
        <w:rFonts w:asciiTheme="minorHAnsi" w:hAnsiTheme="minorHAnsi" w:cstheme="min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8E4515"/>
    <w:multiLevelType w:val="hybridMultilevel"/>
    <w:tmpl w:val="FE209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BD4386"/>
    <w:multiLevelType w:val="hybridMultilevel"/>
    <w:tmpl w:val="1EF704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54358B9"/>
    <w:multiLevelType w:val="multilevel"/>
    <w:tmpl w:val="0A24747A"/>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BF7333"/>
    <w:multiLevelType w:val="hybridMultilevel"/>
    <w:tmpl w:val="680608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04102629">
    <w:abstractNumId w:val="8"/>
  </w:num>
  <w:num w:numId="2" w16cid:durableId="1369598930">
    <w:abstractNumId w:val="6"/>
  </w:num>
  <w:num w:numId="3" w16cid:durableId="871259795">
    <w:abstractNumId w:val="13"/>
  </w:num>
  <w:num w:numId="4" w16cid:durableId="148181220">
    <w:abstractNumId w:val="3"/>
  </w:num>
  <w:num w:numId="5" w16cid:durableId="1884563658">
    <w:abstractNumId w:val="1"/>
  </w:num>
  <w:num w:numId="6" w16cid:durableId="1157766353">
    <w:abstractNumId w:val="4"/>
  </w:num>
  <w:num w:numId="7" w16cid:durableId="135149570">
    <w:abstractNumId w:val="7"/>
  </w:num>
  <w:num w:numId="8" w16cid:durableId="2075154630">
    <w:abstractNumId w:val="12"/>
  </w:num>
  <w:num w:numId="9" w16cid:durableId="1913076049">
    <w:abstractNumId w:val="16"/>
  </w:num>
  <w:num w:numId="10" w16cid:durableId="1619872993">
    <w:abstractNumId w:val="3"/>
    <w:lvlOverride w:ilvl="0">
      <w:startOverride w:val="2"/>
    </w:lvlOverride>
    <w:lvlOverride w:ilvl="1">
      <w:startOverride w:val="1"/>
    </w:lvlOverride>
  </w:num>
  <w:num w:numId="11" w16cid:durableId="928738108">
    <w:abstractNumId w:val="3"/>
    <w:lvlOverride w:ilvl="0">
      <w:startOverride w:val="2"/>
    </w:lvlOverride>
    <w:lvlOverride w:ilvl="1">
      <w:startOverride w:val="1"/>
    </w:lvlOverride>
  </w:num>
  <w:num w:numId="12" w16cid:durableId="440951593">
    <w:abstractNumId w:val="3"/>
    <w:lvlOverride w:ilvl="0">
      <w:startOverride w:val="2"/>
    </w:lvlOverride>
    <w:lvlOverride w:ilvl="1">
      <w:startOverride w:val="1"/>
    </w:lvlOverride>
  </w:num>
  <w:num w:numId="13" w16cid:durableId="442649817">
    <w:abstractNumId w:val="3"/>
    <w:lvlOverride w:ilvl="0">
      <w:startOverride w:val="2"/>
    </w:lvlOverride>
    <w:lvlOverride w:ilvl="1">
      <w:startOverride w:val="1"/>
    </w:lvlOverride>
  </w:num>
  <w:num w:numId="14" w16cid:durableId="2115243890">
    <w:abstractNumId w:val="3"/>
    <w:lvlOverride w:ilvl="0">
      <w:startOverride w:val="2"/>
    </w:lvlOverride>
    <w:lvlOverride w:ilvl="1">
      <w:startOverride w:val="2"/>
    </w:lvlOverride>
  </w:num>
  <w:num w:numId="15" w16cid:durableId="1367679987">
    <w:abstractNumId w:val="3"/>
    <w:lvlOverride w:ilvl="0">
      <w:startOverride w:val="3"/>
    </w:lvlOverride>
    <w:lvlOverride w:ilvl="1">
      <w:startOverride w:val="1"/>
    </w:lvlOverride>
  </w:num>
  <w:num w:numId="16" w16cid:durableId="517351461">
    <w:abstractNumId w:val="3"/>
    <w:lvlOverride w:ilvl="0">
      <w:startOverride w:val="5"/>
    </w:lvlOverride>
    <w:lvlOverride w:ilvl="1">
      <w:startOverride w:val="1"/>
    </w:lvlOverride>
  </w:num>
  <w:num w:numId="17" w16cid:durableId="1233470858">
    <w:abstractNumId w:val="3"/>
    <w:lvlOverride w:ilvl="0">
      <w:startOverride w:val="5"/>
    </w:lvlOverride>
    <w:lvlOverride w:ilvl="1">
      <w:startOverride w:val="1"/>
    </w:lvlOverride>
  </w:num>
  <w:num w:numId="18" w16cid:durableId="285082594">
    <w:abstractNumId w:val="3"/>
    <w:lvlOverride w:ilvl="0">
      <w:startOverride w:val="6"/>
    </w:lvlOverride>
    <w:lvlOverride w:ilvl="1">
      <w:startOverride w:val="1"/>
    </w:lvlOverride>
  </w:num>
  <w:num w:numId="19" w16cid:durableId="468325181">
    <w:abstractNumId w:val="3"/>
    <w:lvlOverride w:ilvl="0">
      <w:startOverride w:val="7"/>
    </w:lvlOverride>
    <w:lvlOverride w:ilvl="1">
      <w:startOverride w:val="1"/>
    </w:lvlOverride>
  </w:num>
  <w:num w:numId="20" w16cid:durableId="1905867126">
    <w:abstractNumId w:val="3"/>
    <w:lvlOverride w:ilvl="0">
      <w:startOverride w:val="8"/>
    </w:lvlOverride>
    <w:lvlOverride w:ilvl="1">
      <w:startOverride w:val="1"/>
    </w:lvlOverride>
  </w:num>
  <w:num w:numId="21" w16cid:durableId="771364527">
    <w:abstractNumId w:val="11"/>
  </w:num>
  <w:num w:numId="22" w16cid:durableId="1335375211">
    <w:abstractNumId w:val="0"/>
  </w:num>
  <w:num w:numId="23" w16cid:durableId="428543471">
    <w:abstractNumId w:val="2"/>
  </w:num>
  <w:num w:numId="24" w16cid:durableId="1198006175">
    <w:abstractNumId w:val="10"/>
  </w:num>
  <w:num w:numId="25" w16cid:durableId="1748190641">
    <w:abstractNumId w:val="15"/>
  </w:num>
  <w:num w:numId="26" w16cid:durableId="1563057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615825">
    <w:abstractNumId w:val="14"/>
  </w:num>
  <w:num w:numId="28" w16cid:durableId="2021004933">
    <w:abstractNumId w:val="9"/>
  </w:num>
  <w:num w:numId="29" w16cid:durableId="1884631618">
    <w:abstractNumId w:val="3"/>
    <w:lvlOverride w:ilvl="0">
      <w:startOverride w:val="1"/>
    </w:lvlOverride>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C2"/>
    <w:rsid w:val="00002DFF"/>
    <w:rsid w:val="00016185"/>
    <w:rsid w:val="000208A7"/>
    <w:rsid w:val="00032B43"/>
    <w:rsid w:val="000374D4"/>
    <w:rsid w:val="000407A5"/>
    <w:rsid w:val="000437CF"/>
    <w:rsid w:val="00067194"/>
    <w:rsid w:val="000732A9"/>
    <w:rsid w:val="00087813"/>
    <w:rsid w:val="000A6C46"/>
    <w:rsid w:val="000B10CC"/>
    <w:rsid w:val="000C6F63"/>
    <w:rsid w:val="000F291E"/>
    <w:rsid w:val="0010528E"/>
    <w:rsid w:val="00110F3C"/>
    <w:rsid w:val="0011659A"/>
    <w:rsid w:val="00133D46"/>
    <w:rsid w:val="0013519B"/>
    <w:rsid w:val="001434EE"/>
    <w:rsid w:val="00152268"/>
    <w:rsid w:val="00153B39"/>
    <w:rsid w:val="00162568"/>
    <w:rsid w:val="001648BB"/>
    <w:rsid w:val="00164980"/>
    <w:rsid w:val="001667CF"/>
    <w:rsid w:val="001746C6"/>
    <w:rsid w:val="00182136"/>
    <w:rsid w:val="002111DC"/>
    <w:rsid w:val="00212E67"/>
    <w:rsid w:val="0021788F"/>
    <w:rsid w:val="0023481B"/>
    <w:rsid w:val="00241702"/>
    <w:rsid w:val="002456B9"/>
    <w:rsid w:val="002471CE"/>
    <w:rsid w:val="00250B4F"/>
    <w:rsid w:val="002518BC"/>
    <w:rsid w:val="002578EC"/>
    <w:rsid w:val="00260A38"/>
    <w:rsid w:val="00276997"/>
    <w:rsid w:val="002827B7"/>
    <w:rsid w:val="0028386F"/>
    <w:rsid w:val="002861CA"/>
    <w:rsid w:val="00290B0F"/>
    <w:rsid w:val="002A686C"/>
    <w:rsid w:val="002D7636"/>
    <w:rsid w:val="002D7B59"/>
    <w:rsid w:val="002E4884"/>
    <w:rsid w:val="002F769C"/>
    <w:rsid w:val="00304F5E"/>
    <w:rsid w:val="00324906"/>
    <w:rsid w:val="00327AF7"/>
    <w:rsid w:val="00336D52"/>
    <w:rsid w:val="00344922"/>
    <w:rsid w:val="00357EAF"/>
    <w:rsid w:val="003669F1"/>
    <w:rsid w:val="00366C42"/>
    <w:rsid w:val="00381427"/>
    <w:rsid w:val="00386BA7"/>
    <w:rsid w:val="00386FBC"/>
    <w:rsid w:val="00390319"/>
    <w:rsid w:val="00390F25"/>
    <w:rsid w:val="00394F1C"/>
    <w:rsid w:val="003A1E39"/>
    <w:rsid w:val="003B1B35"/>
    <w:rsid w:val="003B542F"/>
    <w:rsid w:val="003B5CB6"/>
    <w:rsid w:val="003C7D9E"/>
    <w:rsid w:val="003E11E1"/>
    <w:rsid w:val="003E33A5"/>
    <w:rsid w:val="00405B35"/>
    <w:rsid w:val="0041106B"/>
    <w:rsid w:val="004133F3"/>
    <w:rsid w:val="00427146"/>
    <w:rsid w:val="0042718F"/>
    <w:rsid w:val="00446D08"/>
    <w:rsid w:val="004602F8"/>
    <w:rsid w:val="00475BFC"/>
    <w:rsid w:val="00480DD7"/>
    <w:rsid w:val="00484519"/>
    <w:rsid w:val="004B19AC"/>
    <w:rsid w:val="004B4C78"/>
    <w:rsid w:val="004B7DF2"/>
    <w:rsid w:val="004C7026"/>
    <w:rsid w:val="004D1EB7"/>
    <w:rsid w:val="004D7FC2"/>
    <w:rsid w:val="004F5ED0"/>
    <w:rsid w:val="004F697E"/>
    <w:rsid w:val="0050053A"/>
    <w:rsid w:val="005042DF"/>
    <w:rsid w:val="00514164"/>
    <w:rsid w:val="00516F1F"/>
    <w:rsid w:val="00531A02"/>
    <w:rsid w:val="00542CEF"/>
    <w:rsid w:val="00546DFE"/>
    <w:rsid w:val="00560FA4"/>
    <w:rsid w:val="00564325"/>
    <w:rsid w:val="0056651D"/>
    <w:rsid w:val="00574E64"/>
    <w:rsid w:val="005823AE"/>
    <w:rsid w:val="005845DB"/>
    <w:rsid w:val="005A7A9E"/>
    <w:rsid w:val="005B0E5D"/>
    <w:rsid w:val="005B667A"/>
    <w:rsid w:val="005D7C11"/>
    <w:rsid w:val="005E6912"/>
    <w:rsid w:val="005F5954"/>
    <w:rsid w:val="005F6B6A"/>
    <w:rsid w:val="00605E94"/>
    <w:rsid w:val="00607D9D"/>
    <w:rsid w:val="00616FCD"/>
    <w:rsid w:val="00625ED6"/>
    <w:rsid w:val="006500EF"/>
    <w:rsid w:val="00663416"/>
    <w:rsid w:val="00694403"/>
    <w:rsid w:val="006A38E5"/>
    <w:rsid w:val="006B0B50"/>
    <w:rsid w:val="006B1847"/>
    <w:rsid w:val="006C3F99"/>
    <w:rsid w:val="006C6134"/>
    <w:rsid w:val="006D081E"/>
    <w:rsid w:val="006D79F9"/>
    <w:rsid w:val="006E2057"/>
    <w:rsid w:val="007038DC"/>
    <w:rsid w:val="00711200"/>
    <w:rsid w:val="00711D67"/>
    <w:rsid w:val="00735C40"/>
    <w:rsid w:val="00737E68"/>
    <w:rsid w:val="00762FE9"/>
    <w:rsid w:val="00765511"/>
    <w:rsid w:val="007814BE"/>
    <w:rsid w:val="007877BC"/>
    <w:rsid w:val="00790C32"/>
    <w:rsid w:val="0079497E"/>
    <w:rsid w:val="007A076B"/>
    <w:rsid w:val="007A48B2"/>
    <w:rsid w:val="007B1490"/>
    <w:rsid w:val="007C75EE"/>
    <w:rsid w:val="007E1F60"/>
    <w:rsid w:val="007E3AF8"/>
    <w:rsid w:val="007E5D8E"/>
    <w:rsid w:val="007F37D9"/>
    <w:rsid w:val="007F3A8D"/>
    <w:rsid w:val="007F6319"/>
    <w:rsid w:val="00811655"/>
    <w:rsid w:val="00835E88"/>
    <w:rsid w:val="008572B4"/>
    <w:rsid w:val="00857A50"/>
    <w:rsid w:val="00871B1B"/>
    <w:rsid w:val="00876AE0"/>
    <w:rsid w:val="00881281"/>
    <w:rsid w:val="0089067F"/>
    <w:rsid w:val="008A06EB"/>
    <w:rsid w:val="008C3227"/>
    <w:rsid w:val="008C3E63"/>
    <w:rsid w:val="008C643E"/>
    <w:rsid w:val="008C7F59"/>
    <w:rsid w:val="008D4EAE"/>
    <w:rsid w:val="008E7FC1"/>
    <w:rsid w:val="008F3926"/>
    <w:rsid w:val="008F5513"/>
    <w:rsid w:val="009006A2"/>
    <w:rsid w:val="0090389F"/>
    <w:rsid w:val="009049A4"/>
    <w:rsid w:val="00904DB5"/>
    <w:rsid w:val="009063BE"/>
    <w:rsid w:val="009125CE"/>
    <w:rsid w:val="009140C4"/>
    <w:rsid w:val="009243F4"/>
    <w:rsid w:val="00931CF1"/>
    <w:rsid w:val="009324FF"/>
    <w:rsid w:val="00935287"/>
    <w:rsid w:val="00935E1D"/>
    <w:rsid w:val="00937815"/>
    <w:rsid w:val="00941A0B"/>
    <w:rsid w:val="00942A3A"/>
    <w:rsid w:val="009605AC"/>
    <w:rsid w:val="009724B9"/>
    <w:rsid w:val="00973B79"/>
    <w:rsid w:val="0099142E"/>
    <w:rsid w:val="00997ECB"/>
    <w:rsid w:val="009A0CB4"/>
    <w:rsid w:val="009B6FB6"/>
    <w:rsid w:val="009C36E6"/>
    <w:rsid w:val="009C3BF1"/>
    <w:rsid w:val="009C68ED"/>
    <w:rsid w:val="009D031B"/>
    <w:rsid w:val="009E77B0"/>
    <w:rsid w:val="009F2313"/>
    <w:rsid w:val="009F3859"/>
    <w:rsid w:val="009F466B"/>
    <w:rsid w:val="00A000BA"/>
    <w:rsid w:val="00A037D2"/>
    <w:rsid w:val="00A24B17"/>
    <w:rsid w:val="00A455C5"/>
    <w:rsid w:val="00A476CA"/>
    <w:rsid w:val="00A47AB6"/>
    <w:rsid w:val="00A508D6"/>
    <w:rsid w:val="00A53160"/>
    <w:rsid w:val="00A57C47"/>
    <w:rsid w:val="00A57FD6"/>
    <w:rsid w:val="00A702D6"/>
    <w:rsid w:val="00A7077E"/>
    <w:rsid w:val="00A874B7"/>
    <w:rsid w:val="00A93739"/>
    <w:rsid w:val="00A97B05"/>
    <w:rsid w:val="00AE3072"/>
    <w:rsid w:val="00AE3F4D"/>
    <w:rsid w:val="00AE6708"/>
    <w:rsid w:val="00AF1CD6"/>
    <w:rsid w:val="00B16C0C"/>
    <w:rsid w:val="00B201C5"/>
    <w:rsid w:val="00B5101A"/>
    <w:rsid w:val="00B606EA"/>
    <w:rsid w:val="00B8096D"/>
    <w:rsid w:val="00B87993"/>
    <w:rsid w:val="00B97F9F"/>
    <w:rsid w:val="00BA036F"/>
    <w:rsid w:val="00BA05CA"/>
    <w:rsid w:val="00BB36BE"/>
    <w:rsid w:val="00BC5B0B"/>
    <w:rsid w:val="00BD19BE"/>
    <w:rsid w:val="00BF72A8"/>
    <w:rsid w:val="00C101FB"/>
    <w:rsid w:val="00C111C7"/>
    <w:rsid w:val="00C16DA3"/>
    <w:rsid w:val="00C24F07"/>
    <w:rsid w:val="00C27F54"/>
    <w:rsid w:val="00C32EDC"/>
    <w:rsid w:val="00C41648"/>
    <w:rsid w:val="00C50FF2"/>
    <w:rsid w:val="00C6492F"/>
    <w:rsid w:val="00C67860"/>
    <w:rsid w:val="00C67DAE"/>
    <w:rsid w:val="00C70FDA"/>
    <w:rsid w:val="00C83110"/>
    <w:rsid w:val="00C84E50"/>
    <w:rsid w:val="00CA2A0D"/>
    <w:rsid w:val="00CB18B5"/>
    <w:rsid w:val="00CC025D"/>
    <w:rsid w:val="00CD26AB"/>
    <w:rsid w:val="00CE598D"/>
    <w:rsid w:val="00CF2BF6"/>
    <w:rsid w:val="00D065C6"/>
    <w:rsid w:val="00D118CE"/>
    <w:rsid w:val="00D12698"/>
    <w:rsid w:val="00D42843"/>
    <w:rsid w:val="00D5336A"/>
    <w:rsid w:val="00D6086F"/>
    <w:rsid w:val="00D60D6F"/>
    <w:rsid w:val="00D638E6"/>
    <w:rsid w:val="00D6525D"/>
    <w:rsid w:val="00D739F0"/>
    <w:rsid w:val="00D9499C"/>
    <w:rsid w:val="00D966E8"/>
    <w:rsid w:val="00DC55F9"/>
    <w:rsid w:val="00DC684C"/>
    <w:rsid w:val="00DD59D7"/>
    <w:rsid w:val="00DE60D2"/>
    <w:rsid w:val="00DF7593"/>
    <w:rsid w:val="00E02FA9"/>
    <w:rsid w:val="00E05C29"/>
    <w:rsid w:val="00E126D0"/>
    <w:rsid w:val="00E22652"/>
    <w:rsid w:val="00E315BD"/>
    <w:rsid w:val="00E367D5"/>
    <w:rsid w:val="00E47A68"/>
    <w:rsid w:val="00E74722"/>
    <w:rsid w:val="00E75A57"/>
    <w:rsid w:val="00E84B10"/>
    <w:rsid w:val="00E945AC"/>
    <w:rsid w:val="00EA3C17"/>
    <w:rsid w:val="00EB3471"/>
    <w:rsid w:val="00EB6032"/>
    <w:rsid w:val="00EB698D"/>
    <w:rsid w:val="00EC05A4"/>
    <w:rsid w:val="00ED295D"/>
    <w:rsid w:val="00EE390F"/>
    <w:rsid w:val="00EE5CFE"/>
    <w:rsid w:val="00EF4198"/>
    <w:rsid w:val="00EF51CC"/>
    <w:rsid w:val="00EF6F62"/>
    <w:rsid w:val="00F01AC6"/>
    <w:rsid w:val="00F17EC1"/>
    <w:rsid w:val="00F43362"/>
    <w:rsid w:val="00F46E04"/>
    <w:rsid w:val="00F64561"/>
    <w:rsid w:val="00F6607E"/>
    <w:rsid w:val="00F6747D"/>
    <w:rsid w:val="00F73092"/>
    <w:rsid w:val="00F74DED"/>
    <w:rsid w:val="00F8608C"/>
    <w:rsid w:val="00F868DE"/>
    <w:rsid w:val="00F92BA7"/>
    <w:rsid w:val="00FB1E23"/>
    <w:rsid w:val="00FB63A4"/>
    <w:rsid w:val="00FF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55885"/>
  <w15:docId w15:val="{2FD4B935-A57A-4247-BD8F-D9FF7E00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36"/>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Default"/>
    <w:next w:val="Normal"/>
    <w:qFormat/>
    <w:rsid w:val="00405B35"/>
    <w:pPr>
      <w:numPr>
        <w:ilvl w:val="1"/>
        <w:numId w:val="4"/>
      </w:numPr>
      <w:outlineLvl w:val="2"/>
    </w:pPr>
    <w:rPr>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sz w:val="22"/>
    </w:rPr>
  </w:style>
  <w:style w:type="paragraph" w:styleId="Subtitle">
    <w:name w:val="Subtitle"/>
    <w:basedOn w:val="Normal"/>
    <w:link w:val="SubtitleChar"/>
    <w:qFormat/>
    <w:pPr>
      <w:jc w:val="center"/>
    </w:pPr>
    <w:rPr>
      <w:rFonts w:ascii="Arial" w:hAnsi="Arial" w:cs="Arial"/>
      <w:b/>
      <w:bCs/>
      <w:sz w:val="3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C27F54"/>
    <w:rPr>
      <w:rFonts w:ascii="Arial" w:hAnsi="Arial"/>
      <w:sz w:val="22"/>
      <w:szCs w:val="20"/>
    </w:rPr>
  </w:style>
  <w:style w:type="paragraph" w:styleId="BodyText2">
    <w:name w:val="Body Text 2"/>
    <w:basedOn w:val="Normal"/>
    <w:rsid w:val="00C27F54"/>
    <w:rPr>
      <w:rFonts w:ascii="Arial" w:hAnsi="Arial"/>
      <w:color w:val="0000FF"/>
      <w:sz w:val="22"/>
      <w:szCs w:val="20"/>
    </w:rPr>
  </w:style>
  <w:style w:type="character" w:styleId="PageNumber">
    <w:name w:val="page number"/>
    <w:basedOn w:val="DefaultParagraphFont"/>
    <w:rsid w:val="00C27F54"/>
  </w:style>
  <w:style w:type="paragraph" w:styleId="BalloonText">
    <w:name w:val="Balloon Text"/>
    <w:basedOn w:val="Normal"/>
    <w:link w:val="BalloonTextChar"/>
    <w:rsid w:val="00386FBC"/>
    <w:rPr>
      <w:rFonts w:ascii="Tahoma" w:hAnsi="Tahoma" w:cs="Tahoma"/>
      <w:sz w:val="16"/>
      <w:szCs w:val="16"/>
    </w:rPr>
  </w:style>
  <w:style w:type="character" w:customStyle="1" w:styleId="BalloonTextChar">
    <w:name w:val="Balloon Text Char"/>
    <w:basedOn w:val="DefaultParagraphFont"/>
    <w:link w:val="BalloonText"/>
    <w:rsid w:val="00386FBC"/>
    <w:rPr>
      <w:rFonts w:ascii="Tahoma" w:hAnsi="Tahoma" w:cs="Tahoma"/>
      <w:sz w:val="16"/>
      <w:szCs w:val="16"/>
      <w:lang w:eastAsia="en-US"/>
    </w:rPr>
  </w:style>
  <w:style w:type="paragraph" w:styleId="ListParagraph">
    <w:name w:val="List Paragraph"/>
    <w:basedOn w:val="Normal"/>
    <w:uiPriority w:val="34"/>
    <w:qFormat/>
    <w:rsid w:val="009F466B"/>
    <w:pPr>
      <w:ind w:left="720"/>
      <w:contextualSpacing/>
    </w:pPr>
  </w:style>
  <w:style w:type="character" w:customStyle="1" w:styleId="TitleChar">
    <w:name w:val="Title Char"/>
    <w:basedOn w:val="DefaultParagraphFont"/>
    <w:link w:val="Title"/>
    <w:rsid w:val="00A702D6"/>
    <w:rPr>
      <w:rFonts w:ascii="Arial" w:hAnsi="Arial" w:cs="Arial"/>
      <w:b/>
      <w:bCs/>
      <w:sz w:val="22"/>
      <w:szCs w:val="24"/>
      <w:lang w:eastAsia="en-US"/>
    </w:rPr>
  </w:style>
  <w:style w:type="character" w:customStyle="1" w:styleId="SubtitleChar">
    <w:name w:val="Subtitle Char"/>
    <w:basedOn w:val="DefaultParagraphFont"/>
    <w:link w:val="Subtitle"/>
    <w:rsid w:val="00A702D6"/>
    <w:rPr>
      <w:rFonts w:ascii="Arial" w:hAnsi="Arial" w:cs="Arial"/>
      <w:b/>
      <w:bCs/>
      <w:sz w:val="36"/>
      <w:szCs w:val="24"/>
      <w:lang w:eastAsia="en-US"/>
    </w:rPr>
  </w:style>
  <w:style w:type="character" w:customStyle="1" w:styleId="HeaderChar">
    <w:name w:val="Header Char"/>
    <w:basedOn w:val="DefaultParagraphFont"/>
    <w:link w:val="Header"/>
    <w:rsid w:val="00A702D6"/>
    <w:rPr>
      <w:sz w:val="24"/>
      <w:szCs w:val="24"/>
      <w:lang w:eastAsia="en-US"/>
    </w:rPr>
  </w:style>
  <w:style w:type="paragraph" w:customStyle="1" w:styleId="Default">
    <w:name w:val="Default"/>
    <w:rsid w:val="00A874B7"/>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59"/>
    <w:rsid w:val="003A1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5101A"/>
    <w:rPr>
      <w:sz w:val="24"/>
      <w:szCs w:val="24"/>
      <w:lang w:eastAsia="en-US"/>
    </w:rPr>
  </w:style>
  <w:style w:type="character" w:styleId="CommentReference">
    <w:name w:val="annotation reference"/>
    <w:basedOn w:val="DefaultParagraphFont"/>
    <w:semiHidden/>
    <w:unhideWhenUsed/>
    <w:rsid w:val="007877BC"/>
    <w:rPr>
      <w:sz w:val="16"/>
      <w:szCs w:val="16"/>
    </w:rPr>
  </w:style>
  <w:style w:type="paragraph" w:styleId="CommentText">
    <w:name w:val="annotation text"/>
    <w:basedOn w:val="Normal"/>
    <w:link w:val="CommentTextChar"/>
    <w:semiHidden/>
    <w:unhideWhenUsed/>
    <w:rsid w:val="007877BC"/>
    <w:rPr>
      <w:sz w:val="20"/>
      <w:szCs w:val="20"/>
    </w:rPr>
  </w:style>
  <w:style w:type="character" w:customStyle="1" w:styleId="CommentTextChar">
    <w:name w:val="Comment Text Char"/>
    <w:basedOn w:val="DefaultParagraphFont"/>
    <w:link w:val="CommentText"/>
    <w:semiHidden/>
    <w:rsid w:val="007877BC"/>
    <w:rPr>
      <w:lang w:eastAsia="en-US"/>
    </w:rPr>
  </w:style>
  <w:style w:type="paragraph" w:styleId="CommentSubject">
    <w:name w:val="annotation subject"/>
    <w:basedOn w:val="CommentText"/>
    <w:next w:val="CommentText"/>
    <w:link w:val="CommentSubjectChar"/>
    <w:semiHidden/>
    <w:unhideWhenUsed/>
    <w:rsid w:val="007877BC"/>
    <w:rPr>
      <w:b/>
      <w:bCs/>
    </w:rPr>
  </w:style>
  <w:style w:type="character" w:customStyle="1" w:styleId="CommentSubjectChar">
    <w:name w:val="Comment Subject Char"/>
    <w:basedOn w:val="CommentTextChar"/>
    <w:link w:val="CommentSubject"/>
    <w:semiHidden/>
    <w:rsid w:val="007877BC"/>
    <w:rPr>
      <w:b/>
      <w:bCs/>
      <w:lang w:eastAsia="en-US"/>
    </w:rPr>
  </w:style>
  <w:style w:type="paragraph" w:customStyle="1" w:styleId="Body">
    <w:name w:val="Body"/>
    <w:basedOn w:val="Normal"/>
    <w:link w:val="BodyChar"/>
    <w:qFormat/>
    <w:rsid w:val="00F01AC6"/>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sz w:val="23"/>
      <w:szCs w:val="20"/>
    </w:rPr>
  </w:style>
  <w:style w:type="character" w:customStyle="1" w:styleId="BodyChar">
    <w:name w:val="Body Char"/>
    <w:link w:val="Body"/>
    <w:locked/>
    <w:rsid w:val="00F01AC6"/>
    <w:rPr>
      <w:sz w:val="23"/>
      <w:lang w:eastAsia="en-US"/>
    </w:rPr>
  </w:style>
  <w:style w:type="character" w:styleId="Hyperlink">
    <w:name w:val="Hyperlink"/>
    <w:basedOn w:val="DefaultParagraphFont"/>
    <w:uiPriority w:val="99"/>
    <w:unhideWhenUsed/>
    <w:rsid w:val="00C32E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729682">
      <w:bodyDiv w:val="1"/>
      <w:marLeft w:val="0"/>
      <w:marRight w:val="0"/>
      <w:marTop w:val="0"/>
      <w:marBottom w:val="0"/>
      <w:divBdr>
        <w:top w:val="none" w:sz="0" w:space="0" w:color="auto"/>
        <w:left w:val="none" w:sz="0" w:space="0" w:color="auto"/>
        <w:bottom w:val="none" w:sz="0" w:space="0" w:color="auto"/>
        <w:right w:val="none" w:sz="0" w:space="0" w:color="auto"/>
      </w:divBdr>
    </w:div>
    <w:div w:id="17795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levy@southeastconsortium.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D9A671DB72E4493942284FCCCB7FD" ma:contentTypeVersion="12" ma:contentTypeDescription="Create a new document." ma:contentTypeScope="" ma:versionID="4ef82d7444dc12641f9964715ba792c3">
  <xsd:schema xmlns:xsd="http://www.w3.org/2001/XMLSchema" xmlns:xs="http://www.w3.org/2001/XMLSchema" xmlns:p="http://schemas.microsoft.com/office/2006/metadata/properties" xmlns:ns2="6d17b8ba-6272-4953-9d3b-60912a582bf1" xmlns:ns3="3eceb35d-3aee-4eb3-ba06-cde7384c77eb" targetNamespace="http://schemas.microsoft.com/office/2006/metadata/properties" ma:root="true" ma:fieldsID="d846747e9720c8dcba85a79e53f81206" ns2:_="" ns3:_="">
    <xsd:import namespace="6d17b8ba-6272-4953-9d3b-60912a582bf1"/>
    <xsd:import namespace="3eceb35d-3aee-4eb3-ba06-cde7384c7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7b8ba-6272-4953-9d3b-60912a582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eb35d-3aee-4eb3-ba06-cde7384c77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15516-CCCC-4333-9595-CC4CD6802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7b8ba-6272-4953-9d3b-60912a582bf1"/>
    <ds:schemaRef ds:uri="3eceb35d-3aee-4eb3-ba06-cde7384c7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31B50-2620-4F91-80A3-8E3AF1F236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55FD5C-7ACE-4EA9-9E1F-5EE785052DFD}">
  <ds:schemaRefs>
    <ds:schemaRef ds:uri="http://schemas.openxmlformats.org/officeDocument/2006/bibliography"/>
  </ds:schemaRefs>
</ds:datastoreItem>
</file>

<file path=customXml/itemProps4.xml><?xml version="1.0" encoding="utf-8"?>
<ds:datastoreItem xmlns:ds="http://schemas.openxmlformats.org/officeDocument/2006/customXml" ds:itemID="{83BB07C4-5615-4FC9-BDA9-D8D96FA93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1602</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GREENWICH COUNCIL</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GREENWICH COUNCIL</dc:title>
  <dc:creator/>
  <cp:lastModifiedBy>Alvin Sum</cp:lastModifiedBy>
  <cp:revision>8</cp:revision>
  <cp:lastPrinted>2020-02-28T10:52:00Z</cp:lastPrinted>
  <dcterms:created xsi:type="dcterms:W3CDTF">2023-06-20T13:43:00Z</dcterms:created>
  <dcterms:modified xsi:type="dcterms:W3CDTF">2023-07-11T11:47:00Z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0x010100739D9A671DB72E4493942284FCCCB7FD</vt:lpwstr>
  </property>
  <property fmtid="{D5CDD505-2E9C-101B-9397-08002B2CF9AE}" pid="3" name="iManageFooter">
    <vt:lpwstr>2130363.5917 Document 1 - Introduction and Contents - #55341651v1</vt:lpwstr>
  </property>
</Properties>
</file>