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D803D" w14:textId="77777777" w:rsidR="00F931BF" w:rsidRPr="00842A11" w:rsidRDefault="00F931BF" w:rsidP="005D72A7">
      <w:pPr>
        <w:spacing w:after="0" w:line="240" w:lineRule="auto"/>
        <w:jc w:val="center"/>
        <w:rPr>
          <w:rFonts w:cstheme="minorHAnsi"/>
          <w:b/>
        </w:rPr>
      </w:pPr>
    </w:p>
    <w:p w14:paraId="13AD6E1E" w14:textId="77777777" w:rsidR="00F931BF" w:rsidRPr="00842A11" w:rsidRDefault="00F931BF" w:rsidP="005D72A7">
      <w:pPr>
        <w:spacing w:after="0" w:line="240" w:lineRule="auto"/>
        <w:jc w:val="center"/>
        <w:rPr>
          <w:rFonts w:cstheme="minorHAnsi"/>
          <w:b/>
          <w:sz w:val="52"/>
          <w:szCs w:val="52"/>
        </w:rPr>
      </w:pPr>
    </w:p>
    <w:p w14:paraId="7F663316" w14:textId="77777777" w:rsidR="00F931BF" w:rsidRPr="00842A11" w:rsidRDefault="00F931BF" w:rsidP="005D72A7">
      <w:pPr>
        <w:spacing w:after="0" w:line="240" w:lineRule="auto"/>
        <w:jc w:val="center"/>
        <w:rPr>
          <w:rFonts w:cstheme="minorHAnsi"/>
          <w:b/>
          <w:sz w:val="52"/>
          <w:szCs w:val="52"/>
        </w:rPr>
      </w:pPr>
    </w:p>
    <w:p w14:paraId="0EC2CA0E" w14:textId="77777777" w:rsidR="00F931BF" w:rsidRPr="00842A11" w:rsidRDefault="00F931BF" w:rsidP="005D72A7">
      <w:pPr>
        <w:spacing w:after="0" w:line="240" w:lineRule="auto"/>
        <w:jc w:val="center"/>
        <w:rPr>
          <w:rFonts w:cstheme="minorHAnsi"/>
          <w:b/>
          <w:sz w:val="52"/>
          <w:szCs w:val="52"/>
        </w:rPr>
      </w:pPr>
      <w:r>
        <w:rPr>
          <w:rFonts w:cstheme="minorHAnsi"/>
          <w:b/>
          <w:sz w:val="52"/>
          <w:szCs w:val="52"/>
        </w:rPr>
        <w:t>Integrated C</w:t>
      </w:r>
      <w:r w:rsidRPr="00842A11">
        <w:rPr>
          <w:rFonts w:cstheme="minorHAnsi"/>
          <w:b/>
          <w:sz w:val="52"/>
          <w:szCs w:val="52"/>
        </w:rPr>
        <w:t xml:space="preserve">ommunity </w:t>
      </w:r>
      <w:r>
        <w:rPr>
          <w:rFonts w:cstheme="minorHAnsi"/>
          <w:b/>
          <w:sz w:val="52"/>
          <w:szCs w:val="52"/>
        </w:rPr>
        <w:t xml:space="preserve">MSK </w:t>
      </w:r>
      <w:r w:rsidRPr="00842A11">
        <w:rPr>
          <w:rFonts w:cstheme="minorHAnsi"/>
          <w:b/>
          <w:sz w:val="52"/>
          <w:szCs w:val="52"/>
        </w:rPr>
        <w:t>Service</w:t>
      </w:r>
    </w:p>
    <w:p w14:paraId="61CE46B0" w14:textId="77777777" w:rsidR="00F931BF" w:rsidRDefault="00F931BF" w:rsidP="005D72A7">
      <w:pPr>
        <w:spacing w:after="0" w:line="240" w:lineRule="auto"/>
        <w:jc w:val="center"/>
        <w:rPr>
          <w:rFonts w:cstheme="minorHAnsi"/>
          <w:b/>
          <w:sz w:val="52"/>
          <w:szCs w:val="52"/>
        </w:rPr>
      </w:pPr>
    </w:p>
    <w:p w14:paraId="5BE766EC" w14:textId="77777777" w:rsidR="005D72A7" w:rsidRPr="00842A11" w:rsidRDefault="005D72A7" w:rsidP="005D72A7">
      <w:pPr>
        <w:spacing w:after="0" w:line="240" w:lineRule="auto"/>
        <w:jc w:val="center"/>
        <w:rPr>
          <w:rFonts w:cstheme="minorHAnsi"/>
          <w:b/>
          <w:sz w:val="52"/>
          <w:szCs w:val="52"/>
        </w:rPr>
      </w:pPr>
    </w:p>
    <w:p w14:paraId="417AB257" w14:textId="77777777" w:rsidR="00F931BF" w:rsidRPr="00842A11" w:rsidRDefault="00F931BF" w:rsidP="005D72A7">
      <w:pPr>
        <w:spacing w:after="0" w:line="240" w:lineRule="auto"/>
        <w:jc w:val="center"/>
        <w:rPr>
          <w:rFonts w:cstheme="minorHAnsi"/>
          <w:b/>
          <w:sz w:val="52"/>
          <w:szCs w:val="52"/>
        </w:rPr>
      </w:pPr>
      <w:r w:rsidRPr="00842A11">
        <w:rPr>
          <w:rFonts w:cstheme="minorHAnsi"/>
          <w:b/>
          <w:sz w:val="52"/>
          <w:szCs w:val="52"/>
        </w:rPr>
        <w:t>Memorandum of Information (MOI)</w:t>
      </w:r>
    </w:p>
    <w:p w14:paraId="1B189CBC" w14:textId="77777777" w:rsidR="00F931BF" w:rsidRPr="00842A11" w:rsidRDefault="00F931BF" w:rsidP="005D72A7">
      <w:pPr>
        <w:spacing w:after="0" w:line="240" w:lineRule="auto"/>
        <w:jc w:val="center"/>
        <w:rPr>
          <w:rFonts w:cstheme="minorHAnsi"/>
          <w:b/>
          <w:sz w:val="52"/>
          <w:szCs w:val="52"/>
        </w:rPr>
      </w:pPr>
    </w:p>
    <w:p w14:paraId="1A4185B5" w14:textId="77777777" w:rsidR="00F931BF" w:rsidRPr="00842A11" w:rsidRDefault="00F931BF" w:rsidP="005D72A7">
      <w:pPr>
        <w:spacing w:after="0" w:line="240" w:lineRule="auto"/>
        <w:jc w:val="center"/>
        <w:rPr>
          <w:rFonts w:cstheme="minorHAnsi"/>
          <w:b/>
          <w:sz w:val="52"/>
          <w:szCs w:val="52"/>
        </w:rPr>
      </w:pPr>
    </w:p>
    <w:p w14:paraId="5EB32713" w14:textId="77777777" w:rsidR="00F931BF" w:rsidRPr="00842A11" w:rsidRDefault="00F931BF" w:rsidP="005D72A7">
      <w:pPr>
        <w:spacing w:after="0" w:line="240" w:lineRule="auto"/>
        <w:jc w:val="center"/>
        <w:rPr>
          <w:rFonts w:cstheme="minorHAnsi"/>
          <w:b/>
          <w:sz w:val="52"/>
          <w:szCs w:val="52"/>
        </w:rPr>
      </w:pPr>
    </w:p>
    <w:p w14:paraId="19EEF832" w14:textId="77777777" w:rsidR="00F931BF" w:rsidRPr="00842A11" w:rsidRDefault="00F931BF" w:rsidP="005D72A7">
      <w:pPr>
        <w:spacing w:after="0" w:line="240" w:lineRule="auto"/>
        <w:jc w:val="center"/>
        <w:rPr>
          <w:rFonts w:cstheme="minorHAnsi"/>
          <w:b/>
          <w:sz w:val="52"/>
          <w:szCs w:val="52"/>
        </w:rPr>
      </w:pPr>
    </w:p>
    <w:p w14:paraId="7FB4460A" w14:textId="77777777" w:rsidR="00F931BF" w:rsidRPr="00842A11" w:rsidRDefault="00F931BF" w:rsidP="005D72A7">
      <w:pPr>
        <w:spacing w:after="0" w:line="240" w:lineRule="auto"/>
        <w:jc w:val="center"/>
        <w:rPr>
          <w:rFonts w:cstheme="minorHAnsi"/>
          <w:b/>
          <w:sz w:val="52"/>
          <w:szCs w:val="52"/>
        </w:rPr>
      </w:pPr>
      <w:r w:rsidRPr="00842A11">
        <w:rPr>
          <w:rFonts w:cstheme="minorHAnsi"/>
          <w:b/>
          <w:sz w:val="52"/>
          <w:szCs w:val="52"/>
        </w:rPr>
        <w:t xml:space="preserve">NHS </w:t>
      </w:r>
      <w:r>
        <w:rPr>
          <w:rFonts w:cstheme="minorHAnsi"/>
          <w:b/>
          <w:sz w:val="52"/>
          <w:szCs w:val="52"/>
        </w:rPr>
        <w:t>Hillingdon</w:t>
      </w:r>
    </w:p>
    <w:p w14:paraId="41EFF075" w14:textId="77777777" w:rsidR="00F931BF" w:rsidRPr="00842A11" w:rsidRDefault="00F931BF" w:rsidP="005D72A7">
      <w:pPr>
        <w:spacing w:after="0" w:line="240" w:lineRule="auto"/>
        <w:jc w:val="center"/>
        <w:rPr>
          <w:rFonts w:cstheme="minorHAnsi"/>
          <w:b/>
          <w:sz w:val="52"/>
          <w:szCs w:val="52"/>
        </w:rPr>
      </w:pPr>
      <w:r w:rsidRPr="00842A11">
        <w:rPr>
          <w:rFonts w:cstheme="minorHAnsi"/>
          <w:b/>
          <w:sz w:val="52"/>
          <w:szCs w:val="52"/>
        </w:rPr>
        <w:t>Clinical Commissioning Group (CCG)</w:t>
      </w:r>
    </w:p>
    <w:p w14:paraId="2CE8980A" w14:textId="77777777" w:rsidR="00A172EA" w:rsidRDefault="00A172EA" w:rsidP="005D72A7">
      <w:pPr>
        <w:spacing w:after="0" w:line="240" w:lineRule="auto"/>
        <w:rPr>
          <w:rFonts w:ascii="Arial" w:hAnsi="Arial" w:cs="Arial"/>
          <w:b/>
          <w:sz w:val="24"/>
          <w:szCs w:val="24"/>
        </w:rPr>
      </w:pPr>
    </w:p>
    <w:p w14:paraId="721D81CF" w14:textId="77777777" w:rsidR="00A172EA" w:rsidRDefault="00A172EA" w:rsidP="005D72A7">
      <w:pPr>
        <w:spacing w:after="0" w:line="240" w:lineRule="auto"/>
        <w:rPr>
          <w:rFonts w:ascii="Arial" w:hAnsi="Arial" w:cs="Arial"/>
          <w:b/>
          <w:sz w:val="24"/>
          <w:szCs w:val="24"/>
        </w:rPr>
      </w:pPr>
    </w:p>
    <w:p w14:paraId="7109DBA8" w14:textId="77777777" w:rsidR="00A172EA" w:rsidRDefault="00A172EA" w:rsidP="005D72A7">
      <w:pPr>
        <w:spacing w:after="0" w:line="240" w:lineRule="auto"/>
        <w:rPr>
          <w:rFonts w:ascii="Arial" w:hAnsi="Arial" w:cs="Arial"/>
          <w:b/>
          <w:sz w:val="24"/>
          <w:szCs w:val="24"/>
        </w:rPr>
      </w:pPr>
    </w:p>
    <w:p w14:paraId="223CA6CE" w14:textId="77777777" w:rsidR="00F931BF" w:rsidRDefault="00F931BF" w:rsidP="005D72A7">
      <w:pPr>
        <w:spacing w:after="0" w:line="240" w:lineRule="auto"/>
        <w:rPr>
          <w:rFonts w:ascii="Arial" w:hAnsi="Arial" w:cs="Arial"/>
          <w:b/>
          <w:sz w:val="24"/>
          <w:szCs w:val="24"/>
        </w:rPr>
      </w:pPr>
    </w:p>
    <w:p w14:paraId="0BD80089" w14:textId="77777777" w:rsidR="00F931BF" w:rsidRDefault="00F931BF" w:rsidP="005D72A7">
      <w:pPr>
        <w:spacing w:after="0" w:line="240" w:lineRule="auto"/>
        <w:rPr>
          <w:rFonts w:ascii="Arial" w:hAnsi="Arial" w:cs="Arial"/>
          <w:b/>
          <w:sz w:val="24"/>
          <w:szCs w:val="24"/>
        </w:rPr>
      </w:pPr>
    </w:p>
    <w:p w14:paraId="7899371F" w14:textId="77777777" w:rsidR="00F931BF" w:rsidRPr="008E26CD" w:rsidRDefault="00F931BF" w:rsidP="005D72A7">
      <w:pPr>
        <w:spacing w:after="0" w:line="240" w:lineRule="auto"/>
        <w:rPr>
          <w:rFonts w:cs="Arial"/>
          <w:b/>
        </w:rPr>
      </w:pPr>
    </w:p>
    <w:p w14:paraId="28E498AC" w14:textId="77777777" w:rsidR="00F931BF" w:rsidRPr="008E26CD" w:rsidRDefault="00F931BF" w:rsidP="005D72A7">
      <w:pPr>
        <w:spacing w:after="0" w:line="240" w:lineRule="auto"/>
        <w:rPr>
          <w:rFonts w:cs="Arial"/>
          <w:b/>
        </w:rPr>
      </w:pPr>
    </w:p>
    <w:p w14:paraId="64C1D46D" w14:textId="77777777" w:rsidR="00F931BF" w:rsidRPr="008E26CD" w:rsidRDefault="00F931BF" w:rsidP="005D72A7">
      <w:pPr>
        <w:spacing w:after="0" w:line="240" w:lineRule="auto"/>
        <w:rPr>
          <w:rFonts w:cs="Arial"/>
          <w:b/>
        </w:rPr>
      </w:pPr>
    </w:p>
    <w:p w14:paraId="7AFF408C" w14:textId="77777777" w:rsidR="00F931BF" w:rsidRPr="008E26CD" w:rsidRDefault="00F931BF" w:rsidP="005D72A7">
      <w:pPr>
        <w:spacing w:after="0" w:line="240" w:lineRule="auto"/>
        <w:rPr>
          <w:rFonts w:cs="Arial"/>
          <w:b/>
        </w:rPr>
      </w:pPr>
    </w:p>
    <w:p w14:paraId="2D5C2ABB" w14:textId="77777777" w:rsidR="00F931BF" w:rsidRPr="008E26CD" w:rsidRDefault="00F931BF" w:rsidP="005D72A7">
      <w:pPr>
        <w:spacing w:after="0" w:line="240" w:lineRule="auto"/>
        <w:rPr>
          <w:rFonts w:cs="Arial"/>
          <w:b/>
        </w:rPr>
      </w:pPr>
    </w:p>
    <w:p w14:paraId="43E002C1" w14:textId="77777777" w:rsidR="00F931BF" w:rsidRDefault="00F931BF" w:rsidP="005D72A7">
      <w:pPr>
        <w:spacing w:after="0" w:line="240" w:lineRule="auto"/>
        <w:rPr>
          <w:rFonts w:cs="Arial"/>
          <w:b/>
        </w:rPr>
      </w:pPr>
    </w:p>
    <w:p w14:paraId="1A051D41" w14:textId="77777777" w:rsidR="005D72A7" w:rsidRDefault="005D72A7" w:rsidP="005D72A7">
      <w:pPr>
        <w:spacing w:after="0" w:line="240" w:lineRule="auto"/>
        <w:rPr>
          <w:rFonts w:cs="Arial"/>
          <w:b/>
        </w:rPr>
      </w:pPr>
    </w:p>
    <w:p w14:paraId="513FF6B7" w14:textId="77777777" w:rsidR="005D72A7" w:rsidRDefault="005D72A7" w:rsidP="005D72A7">
      <w:pPr>
        <w:spacing w:after="0" w:line="240" w:lineRule="auto"/>
        <w:rPr>
          <w:rFonts w:cs="Arial"/>
          <w:b/>
        </w:rPr>
      </w:pPr>
    </w:p>
    <w:p w14:paraId="1DE8BBD9" w14:textId="77777777" w:rsidR="005D72A7" w:rsidRDefault="005D72A7" w:rsidP="005D72A7">
      <w:pPr>
        <w:spacing w:after="0" w:line="240" w:lineRule="auto"/>
        <w:rPr>
          <w:rFonts w:cs="Arial"/>
          <w:b/>
        </w:rPr>
      </w:pPr>
    </w:p>
    <w:p w14:paraId="047B46DB" w14:textId="77777777" w:rsidR="005D72A7" w:rsidRDefault="005D72A7" w:rsidP="005D72A7">
      <w:pPr>
        <w:spacing w:after="0" w:line="240" w:lineRule="auto"/>
        <w:rPr>
          <w:rFonts w:cs="Arial"/>
          <w:b/>
        </w:rPr>
      </w:pPr>
    </w:p>
    <w:p w14:paraId="0859FCEE" w14:textId="77777777" w:rsidR="005D72A7" w:rsidRDefault="005D72A7" w:rsidP="005D72A7">
      <w:pPr>
        <w:spacing w:after="0" w:line="240" w:lineRule="auto"/>
        <w:rPr>
          <w:rFonts w:cs="Arial"/>
          <w:b/>
        </w:rPr>
      </w:pPr>
    </w:p>
    <w:p w14:paraId="7F48E0DE" w14:textId="77777777" w:rsidR="005D72A7" w:rsidRDefault="005D72A7" w:rsidP="005D72A7">
      <w:pPr>
        <w:spacing w:after="0" w:line="240" w:lineRule="auto"/>
        <w:rPr>
          <w:rFonts w:cs="Arial"/>
          <w:b/>
        </w:rPr>
      </w:pPr>
    </w:p>
    <w:p w14:paraId="29E79D82" w14:textId="77777777" w:rsidR="005D72A7" w:rsidRDefault="005D72A7" w:rsidP="005D72A7">
      <w:pPr>
        <w:spacing w:after="0" w:line="240" w:lineRule="auto"/>
        <w:rPr>
          <w:rFonts w:cs="Arial"/>
          <w:b/>
        </w:rPr>
      </w:pPr>
    </w:p>
    <w:p w14:paraId="35925D9E" w14:textId="77777777" w:rsidR="005D72A7" w:rsidRDefault="005D72A7" w:rsidP="005D72A7">
      <w:pPr>
        <w:spacing w:after="0" w:line="240" w:lineRule="auto"/>
        <w:rPr>
          <w:rFonts w:cs="Arial"/>
          <w:b/>
        </w:rPr>
      </w:pPr>
    </w:p>
    <w:p w14:paraId="4B1E44A0" w14:textId="77777777" w:rsidR="005D72A7" w:rsidRDefault="005D72A7" w:rsidP="005D72A7">
      <w:pPr>
        <w:spacing w:after="0" w:line="240" w:lineRule="auto"/>
        <w:rPr>
          <w:rFonts w:cs="Arial"/>
          <w:b/>
        </w:rPr>
      </w:pPr>
    </w:p>
    <w:p w14:paraId="633B79E0" w14:textId="77777777" w:rsidR="005D72A7" w:rsidRDefault="005D72A7" w:rsidP="005D72A7">
      <w:pPr>
        <w:spacing w:after="0" w:line="240" w:lineRule="auto"/>
        <w:rPr>
          <w:rFonts w:cs="Arial"/>
          <w:b/>
        </w:rPr>
      </w:pPr>
    </w:p>
    <w:p w14:paraId="7BBF78B6" w14:textId="77777777" w:rsidR="005D72A7" w:rsidRDefault="005D72A7" w:rsidP="005D72A7">
      <w:pPr>
        <w:spacing w:after="0" w:line="240" w:lineRule="auto"/>
        <w:rPr>
          <w:rFonts w:cs="Arial"/>
          <w:b/>
        </w:rPr>
      </w:pPr>
    </w:p>
    <w:p w14:paraId="7B86E55C" w14:textId="77777777" w:rsidR="005D72A7" w:rsidRDefault="005D72A7" w:rsidP="005D72A7">
      <w:pPr>
        <w:spacing w:after="0" w:line="240" w:lineRule="auto"/>
        <w:rPr>
          <w:rFonts w:cs="Arial"/>
          <w:b/>
        </w:rPr>
      </w:pPr>
    </w:p>
    <w:p w14:paraId="0119F562" w14:textId="77777777" w:rsidR="005D72A7" w:rsidRPr="008E26CD" w:rsidRDefault="005D72A7" w:rsidP="005D72A7">
      <w:pPr>
        <w:spacing w:after="0" w:line="240" w:lineRule="auto"/>
        <w:rPr>
          <w:rFonts w:cs="Arial"/>
          <w:b/>
        </w:rPr>
      </w:pPr>
    </w:p>
    <w:p w14:paraId="03D67025" w14:textId="77777777" w:rsidR="008E26CD" w:rsidRPr="0070781E" w:rsidRDefault="008E26CD" w:rsidP="005D72A7">
      <w:pPr>
        <w:widowControl w:val="0"/>
        <w:autoSpaceDE w:val="0"/>
        <w:autoSpaceDN w:val="0"/>
        <w:adjustRightInd w:val="0"/>
        <w:spacing w:after="0" w:line="240" w:lineRule="auto"/>
        <w:rPr>
          <w:rFonts w:cs="Times"/>
          <w:b/>
          <w:lang w:val="en-US"/>
        </w:rPr>
      </w:pPr>
      <w:bookmarkStart w:id="0" w:name="_Toc450055207"/>
      <w:r w:rsidRPr="0070781E">
        <w:rPr>
          <w:rFonts w:cs="Times"/>
          <w:b/>
          <w:lang w:val="en-US"/>
        </w:rPr>
        <w:t xml:space="preserve">Contents </w:t>
      </w:r>
    </w:p>
    <w:p w14:paraId="58D7691C" w14:textId="77777777" w:rsidR="00415087" w:rsidRDefault="008E26CD" w:rsidP="005D72A7">
      <w:pPr>
        <w:widowControl w:val="0"/>
        <w:autoSpaceDE w:val="0"/>
        <w:autoSpaceDN w:val="0"/>
        <w:adjustRightInd w:val="0"/>
        <w:spacing w:after="0" w:line="240" w:lineRule="auto"/>
        <w:rPr>
          <w:rFonts w:cs="Arial"/>
          <w:lang w:val="en-US"/>
        </w:rPr>
      </w:pPr>
      <w:r w:rsidRPr="0070781E">
        <w:rPr>
          <w:rFonts w:cs="Arial"/>
          <w:lang w:val="en-US"/>
        </w:rPr>
        <w:t>1. Purpose ............................................................................................................................................. 3 2. Definition........................................................................................................................................... 3 3. Strategic Context................................................................................</w:t>
      </w:r>
      <w:r w:rsidR="0070781E">
        <w:rPr>
          <w:rFonts w:cs="Arial"/>
          <w:lang w:val="en-US"/>
        </w:rPr>
        <w:t>................</w:t>
      </w:r>
      <w:r w:rsidRPr="0070781E">
        <w:rPr>
          <w:rFonts w:cs="Arial"/>
          <w:lang w:val="en-US"/>
        </w:rPr>
        <w:t>................................3 4. The Commissioning Organisation ......................................................................................................4 5. Proposed Integrated Community MSK service........................................................................</w:t>
      </w:r>
      <w:r w:rsidR="0070781E">
        <w:rPr>
          <w:rFonts w:cs="Arial"/>
          <w:lang w:val="en-US"/>
        </w:rPr>
        <w:t>...........6</w:t>
      </w:r>
      <w:r w:rsidRPr="0070781E">
        <w:rPr>
          <w:rFonts w:cs="Arial"/>
          <w:lang w:val="en-US"/>
        </w:rPr>
        <w:t xml:space="preserve"> </w:t>
      </w:r>
    </w:p>
    <w:p w14:paraId="19E383CC" w14:textId="6D0D84AD" w:rsidR="00415087" w:rsidRDefault="00415087" w:rsidP="005D72A7">
      <w:pPr>
        <w:widowControl w:val="0"/>
        <w:autoSpaceDE w:val="0"/>
        <w:autoSpaceDN w:val="0"/>
        <w:adjustRightInd w:val="0"/>
        <w:spacing w:after="0" w:line="240" w:lineRule="auto"/>
        <w:rPr>
          <w:rFonts w:cs="Arial"/>
          <w:lang w:val="en-US"/>
        </w:rPr>
      </w:pPr>
      <w:r>
        <w:rPr>
          <w:rFonts w:cs="Arial"/>
          <w:lang w:val="en-US"/>
        </w:rPr>
        <w:t>6. Project Mobilisation……………………………………………………………………………………………………….………………7</w:t>
      </w:r>
    </w:p>
    <w:p w14:paraId="54990099" w14:textId="7BA5322A" w:rsidR="008E26CD" w:rsidRPr="008E26CD" w:rsidRDefault="00415087" w:rsidP="005D72A7">
      <w:pPr>
        <w:widowControl w:val="0"/>
        <w:autoSpaceDE w:val="0"/>
        <w:autoSpaceDN w:val="0"/>
        <w:adjustRightInd w:val="0"/>
        <w:spacing w:after="0" w:line="240" w:lineRule="auto"/>
        <w:rPr>
          <w:rFonts w:cs="Times"/>
          <w:lang w:val="en-US"/>
        </w:rPr>
      </w:pPr>
      <w:r>
        <w:rPr>
          <w:rFonts w:cs="Arial"/>
          <w:lang w:val="en-US"/>
        </w:rPr>
        <w:t>7</w:t>
      </w:r>
      <w:r w:rsidR="008E26CD" w:rsidRPr="0070781E">
        <w:rPr>
          <w:rFonts w:cs="Arial"/>
          <w:lang w:val="en-US"/>
        </w:rPr>
        <w:t>. Governance and Administration....................................</w:t>
      </w:r>
      <w:r w:rsidR="005D72A7" w:rsidRPr="0070781E">
        <w:rPr>
          <w:rFonts w:cs="Arial"/>
          <w:lang w:val="en-US"/>
        </w:rPr>
        <w:t>..............................................</w:t>
      </w:r>
      <w:r w:rsidR="008E26CD" w:rsidRPr="0070781E">
        <w:rPr>
          <w:rFonts w:cs="Arial"/>
          <w:lang w:val="en-US"/>
        </w:rPr>
        <w:t>.....................</w:t>
      </w:r>
      <w:r w:rsidR="0070781E" w:rsidRPr="0070781E">
        <w:rPr>
          <w:rFonts w:cs="Times"/>
          <w:lang w:val="en-US"/>
        </w:rPr>
        <w:t>..</w:t>
      </w:r>
      <w:r>
        <w:rPr>
          <w:rFonts w:cs="Times"/>
          <w:lang w:val="en-US"/>
        </w:rPr>
        <w:t>8</w:t>
      </w:r>
    </w:p>
    <w:p w14:paraId="0CB8E087"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2B8A4095"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71DC6E0A"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307674A3"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4B65668F"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0C1C5185"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35701F6D"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297276B6"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2740DCFD"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7E6AAA93"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5D1ED358"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bookmarkEnd w:id="0"/>
    <w:p w14:paraId="029EC03F" w14:textId="77777777" w:rsidR="00F931BF" w:rsidRDefault="00F931BF" w:rsidP="005D72A7">
      <w:pPr>
        <w:tabs>
          <w:tab w:val="left" w:pos="284"/>
        </w:tabs>
        <w:spacing w:after="0" w:line="240" w:lineRule="auto"/>
        <w:ind w:hanging="720"/>
        <w:rPr>
          <w:rFonts w:cstheme="minorHAnsi"/>
        </w:rPr>
      </w:pPr>
    </w:p>
    <w:p w14:paraId="1F41EC3B" w14:textId="77777777" w:rsidR="008E26CD" w:rsidRDefault="008E26CD" w:rsidP="005D72A7">
      <w:pPr>
        <w:tabs>
          <w:tab w:val="left" w:pos="284"/>
        </w:tabs>
        <w:spacing w:after="0" w:line="240" w:lineRule="auto"/>
        <w:ind w:hanging="720"/>
        <w:rPr>
          <w:rFonts w:cstheme="minorHAnsi"/>
        </w:rPr>
      </w:pPr>
    </w:p>
    <w:p w14:paraId="3F1067E1" w14:textId="77777777" w:rsidR="008E26CD" w:rsidRDefault="008E26CD" w:rsidP="005D72A7">
      <w:pPr>
        <w:tabs>
          <w:tab w:val="left" w:pos="284"/>
        </w:tabs>
        <w:spacing w:after="0" w:line="240" w:lineRule="auto"/>
        <w:ind w:hanging="720"/>
        <w:rPr>
          <w:rFonts w:cstheme="minorHAnsi"/>
        </w:rPr>
      </w:pPr>
    </w:p>
    <w:p w14:paraId="736E086A" w14:textId="77777777" w:rsidR="008E26CD" w:rsidRDefault="008E26CD" w:rsidP="005D72A7">
      <w:pPr>
        <w:tabs>
          <w:tab w:val="left" w:pos="284"/>
        </w:tabs>
        <w:spacing w:after="0" w:line="240" w:lineRule="auto"/>
        <w:ind w:hanging="720"/>
        <w:rPr>
          <w:rFonts w:cstheme="minorHAnsi"/>
        </w:rPr>
      </w:pPr>
    </w:p>
    <w:p w14:paraId="5F45B701" w14:textId="77777777" w:rsidR="008E26CD" w:rsidRDefault="008E26CD" w:rsidP="005D72A7">
      <w:pPr>
        <w:tabs>
          <w:tab w:val="left" w:pos="284"/>
        </w:tabs>
        <w:spacing w:after="0" w:line="240" w:lineRule="auto"/>
        <w:ind w:hanging="720"/>
        <w:rPr>
          <w:rFonts w:cstheme="minorHAnsi"/>
        </w:rPr>
      </w:pPr>
    </w:p>
    <w:p w14:paraId="108A7BCE" w14:textId="77777777" w:rsidR="008E26CD" w:rsidRDefault="008E26CD" w:rsidP="005D72A7">
      <w:pPr>
        <w:tabs>
          <w:tab w:val="left" w:pos="284"/>
        </w:tabs>
        <w:spacing w:after="0" w:line="240" w:lineRule="auto"/>
        <w:ind w:hanging="720"/>
        <w:rPr>
          <w:rFonts w:cstheme="minorHAnsi"/>
        </w:rPr>
      </w:pPr>
    </w:p>
    <w:p w14:paraId="2BBC4A88" w14:textId="77777777" w:rsidR="008E26CD" w:rsidRDefault="008E26CD" w:rsidP="005D72A7">
      <w:pPr>
        <w:tabs>
          <w:tab w:val="left" w:pos="284"/>
        </w:tabs>
        <w:spacing w:after="0" w:line="240" w:lineRule="auto"/>
        <w:ind w:hanging="720"/>
        <w:rPr>
          <w:rFonts w:cstheme="minorHAnsi"/>
        </w:rPr>
      </w:pPr>
    </w:p>
    <w:p w14:paraId="7183FBD3" w14:textId="77777777" w:rsidR="008E26CD" w:rsidRDefault="008E26CD" w:rsidP="005D72A7">
      <w:pPr>
        <w:tabs>
          <w:tab w:val="left" w:pos="284"/>
        </w:tabs>
        <w:spacing w:after="0" w:line="240" w:lineRule="auto"/>
        <w:ind w:hanging="720"/>
        <w:rPr>
          <w:rFonts w:cstheme="minorHAnsi"/>
        </w:rPr>
      </w:pPr>
    </w:p>
    <w:p w14:paraId="6F60C53C" w14:textId="77777777" w:rsidR="008E26CD" w:rsidRDefault="008E26CD" w:rsidP="005D72A7">
      <w:pPr>
        <w:tabs>
          <w:tab w:val="left" w:pos="284"/>
        </w:tabs>
        <w:spacing w:after="0" w:line="240" w:lineRule="auto"/>
        <w:ind w:hanging="720"/>
        <w:rPr>
          <w:rFonts w:cstheme="minorHAnsi"/>
        </w:rPr>
      </w:pPr>
    </w:p>
    <w:p w14:paraId="6E7B8B1A" w14:textId="77777777" w:rsidR="008E26CD" w:rsidRDefault="008E26CD" w:rsidP="005D72A7">
      <w:pPr>
        <w:tabs>
          <w:tab w:val="left" w:pos="284"/>
        </w:tabs>
        <w:spacing w:after="0" w:line="240" w:lineRule="auto"/>
        <w:ind w:hanging="720"/>
        <w:rPr>
          <w:rFonts w:cstheme="minorHAnsi"/>
        </w:rPr>
      </w:pPr>
    </w:p>
    <w:p w14:paraId="14944B7A" w14:textId="77777777" w:rsidR="008E26CD" w:rsidRDefault="008E26CD" w:rsidP="005D72A7">
      <w:pPr>
        <w:tabs>
          <w:tab w:val="left" w:pos="284"/>
        </w:tabs>
        <w:spacing w:after="0" w:line="240" w:lineRule="auto"/>
        <w:ind w:hanging="720"/>
        <w:rPr>
          <w:rFonts w:cstheme="minorHAnsi"/>
        </w:rPr>
      </w:pPr>
    </w:p>
    <w:p w14:paraId="18203182" w14:textId="77777777" w:rsidR="008E26CD" w:rsidRDefault="008E26CD" w:rsidP="005D72A7">
      <w:pPr>
        <w:tabs>
          <w:tab w:val="left" w:pos="284"/>
        </w:tabs>
        <w:spacing w:after="0" w:line="240" w:lineRule="auto"/>
        <w:ind w:hanging="720"/>
        <w:rPr>
          <w:rFonts w:cstheme="minorHAnsi"/>
        </w:rPr>
      </w:pPr>
    </w:p>
    <w:p w14:paraId="261805D2" w14:textId="77777777" w:rsidR="008E26CD" w:rsidRDefault="008E26CD" w:rsidP="005D72A7">
      <w:pPr>
        <w:tabs>
          <w:tab w:val="left" w:pos="284"/>
        </w:tabs>
        <w:spacing w:after="0" w:line="240" w:lineRule="auto"/>
        <w:ind w:hanging="720"/>
        <w:rPr>
          <w:rFonts w:cstheme="minorHAnsi"/>
        </w:rPr>
      </w:pPr>
    </w:p>
    <w:p w14:paraId="02A4089C" w14:textId="77777777" w:rsidR="008E26CD" w:rsidRDefault="008E26CD" w:rsidP="005D72A7">
      <w:pPr>
        <w:tabs>
          <w:tab w:val="left" w:pos="284"/>
        </w:tabs>
        <w:spacing w:after="0" w:line="240" w:lineRule="auto"/>
        <w:ind w:hanging="720"/>
        <w:rPr>
          <w:rFonts w:cstheme="minorHAnsi"/>
        </w:rPr>
      </w:pPr>
    </w:p>
    <w:p w14:paraId="69EAE870" w14:textId="77777777" w:rsidR="008E26CD" w:rsidRDefault="008E26CD" w:rsidP="005D72A7">
      <w:pPr>
        <w:tabs>
          <w:tab w:val="left" w:pos="284"/>
        </w:tabs>
        <w:spacing w:after="0" w:line="240" w:lineRule="auto"/>
        <w:ind w:hanging="720"/>
        <w:rPr>
          <w:rFonts w:cstheme="minorHAnsi"/>
        </w:rPr>
      </w:pPr>
    </w:p>
    <w:p w14:paraId="73E4117D" w14:textId="77777777" w:rsidR="008E26CD" w:rsidRDefault="008E26CD" w:rsidP="005D72A7">
      <w:pPr>
        <w:tabs>
          <w:tab w:val="left" w:pos="284"/>
        </w:tabs>
        <w:spacing w:after="0" w:line="240" w:lineRule="auto"/>
        <w:ind w:hanging="720"/>
        <w:rPr>
          <w:rFonts w:cstheme="minorHAnsi"/>
        </w:rPr>
      </w:pPr>
    </w:p>
    <w:p w14:paraId="0F7FE279" w14:textId="77777777" w:rsidR="008E26CD" w:rsidRDefault="008E26CD" w:rsidP="005D72A7">
      <w:pPr>
        <w:tabs>
          <w:tab w:val="left" w:pos="284"/>
        </w:tabs>
        <w:spacing w:after="0" w:line="240" w:lineRule="auto"/>
        <w:ind w:hanging="720"/>
        <w:rPr>
          <w:rFonts w:cstheme="minorHAnsi"/>
        </w:rPr>
      </w:pPr>
    </w:p>
    <w:p w14:paraId="381FEB63" w14:textId="77777777" w:rsidR="008E26CD" w:rsidRDefault="008E26CD" w:rsidP="005D72A7">
      <w:pPr>
        <w:tabs>
          <w:tab w:val="left" w:pos="284"/>
        </w:tabs>
        <w:spacing w:after="0" w:line="240" w:lineRule="auto"/>
        <w:ind w:hanging="720"/>
        <w:rPr>
          <w:rFonts w:cstheme="minorHAnsi"/>
        </w:rPr>
      </w:pPr>
    </w:p>
    <w:p w14:paraId="3B960DFB" w14:textId="77777777" w:rsidR="008E26CD" w:rsidRDefault="008E26CD" w:rsidP="005D72A7">
      <w:pPr>
        <w:tabs>
          <w:tab w:val="left" w:pos="284"/>
        </w:tabs>
        <w:spacing w:after="0" w:line="240" w:lineRule="auto"/>
        <w:ind w:hanging="720"/>
        <w:rPr>
          <w:rFonts w:cstheme="minorHAnsi"/>
        </w:rPr>
      </w:pPr>
    </w:p>
    <w:p w14:paraId="06A327EF" w14:textId="77777777" w:rsidR="008E26CD" w:rsidRDefault="008E26CD" w:rsidP="005D72A7">
      <w:pPr>
        <w:tabs>
          <w:tab w:val="left" w:pos="284"/>
        </w:tabs>
        <w:spacing w:after="0" w:line="240" w:lineRule="auto"/>
        <w:ind w:hanging="720"/>
        <w:rPr>
          <w:rFonts w:cstheme="minorHAnsi"/>
        </w:rPr>
      </w:pPr>
    </w:p>
    <w:p w14:paraId="3C3FB5D2" w14:textId="77777777" w:rsidR="008E26CD" w:rsidRDefault="008E26CD" w:rsidP="005D72A7">
      <w:pPr>
        <w:tabs>
          <w:tab w:val="left" w:pos="284"/>
        </w:tabs>
        <w:spacing w:after="0" w:line="240" w:lineRule="auto"/>
        <w:ind w:hanging="720"/>
        <w:rPr>
          <w:rFonts w:cstheme="minorHAnsi"/>
        </w:rPr>
      </w:pPr>
    </w:p>
    <w:p w14:paraId="732F0364" w14:textId="77777777" w:rsidR="008E26CD" w:rsidRDefault="008E26CD" w:rsidP="005D72A7">
      <w:pPr>
        <w:tabs>
          <w:tab w:val="left" w:pos="284"/>
        </w:tabs>
        <w:spacing w:after="0" w:line="240" w:lineRule="auto"/>
        <w:ind w:hanging="720"/>
        <w:rPr>
          <w:rFonts w:cstheme="minorHAnsi"/>
        </w:rPr>
      </w:pPr>
    </w:p>
    <w:p w14:paraId="6DA205D1" w14:textId="77777777" w:rsidR="008E26CD" w:rsidRDefault="008E26CD" w:rsidP="005D72A7">
      <w:pPr>
        <w:tabs>
          <w:tab w:val="left" w:pos="284"/>
        </w:tabs>
        <w:spacing w:after="0" w:line="240" w:lineRule="auto"/>
        <w:ind w:hanging="720"/>
        <w:rPr>
          <w:rFonts w:cstheme="minorHAnsi"/>
        </w:rPr>
      </w:pPr>
    </w:p>
    <w:p w14:paraId="7BC611BE" w14:textId="77777777" w:rsidR="008E26CD" w:rsidRDefault="008E26CD" w:rsidP="005D72A7">
      <w:pPr>
        <w:tabs>
          <w:tab w:val="left" w:pos="284"/>
        </w:tabs>
        <w:spacing w:after="0" w:line="240" w:lineRule="auto"/>
        <w:ind w:hanging="720"/>
        <w:rPr>
          <w:rFonts w:cstheme="minorHAnsi"/>
        </w:rPr>
      </w:pPr>
    </w:p>
    <w:p w14:paraId="78A398BC" w14:textId="77777777" w:rsidR="008E26CD" w:rsidRDefault="008E26CD" w:rsidP="005D72A7">
      <w:pPr>
        <w:tabs>
          <w:tab w:val="left" w:pos="284"/>
        </w:tabs>
        <w:spacing w:after="0" w:line="240" w:lineRule="auto"/>
        <w:ind w:hanging="720"/>
        <w:rPr>
          <w:rFonts w:cstheme="minorHAnsi"/>
        </w:rPr>
      </w:pPr>
    </w:p>
    <w:p w14:paraId="37276819" w14:textId="77777777" w:rsidR="008E26CD" w:rsidRDefault="008E26CD" w:rsidP="005D72A7">
      <w:pPr>
        <w:tabs>
          <w:tab w:val="left" w:pos="284"/>
        </w:tabs>
        <w:spacing w:after="0" w:line="240" w:lineRule="auto"/>
        <w:ind w:hanging="720"/>
        <w:rPr>
          <w:rFonts w:cstheme="minorHAnsi"/>
        </w:rPr>
      </w:pPr>
    </w:p>
    <w:p w14:paraId="7DD14E09" w14:textId="77777777" w:rsidR="008E26CD" w:rsidRDefault="008E26CD" w:rsidP="005D72A7">
      <w:pPr>
        <w:tabs>
          <w:tab w:val="left" w:pos="284"/>
        </w:tabs>
        <w:spacing w:after="0" w:line="240" w:lineRule="auto"/>
        <w:ind w:hanging="720"/>
        <w:rPr>
          <w:rFonts w:cstheme="minorHAnsi"/>
        </w:rPr>
      </w:pPr>
    </w:p>
    <w:p w14:paraId="61ABAFFF" w14:textId="77777777" w:rsidR="008E26CD" w:rsidRDefault="008E26CD" w:rsidP="005D72A7">
      <w:pPr>
        <w:tabs>
          <w:tab w:val="left" w:pos="284"/>
        </w:tabs>
        <w:spacing w:after="0" w:line="240" w:lineRule="auto"/>
        <w:ind w:hanging="720"/>
        <w:rPr>
          <w:rFonts w:cstheme="minorHAnsi"/>
        </w:rPr>
      </w:pPr>
    </w:p>
    <w:p w14:paraId="128BA5E0" w14:textId="77777777" w:rsidR="008E26CD" w:rsidRDefault="008E26CD" w:rsidP="005D72A7">
      <w:pPr>
        <w:tabs>
          <w:tab w:val="left" w:pos="284"/>
        </w:tabs>
        <w:spacing w:after="0" w:line="240" w:lineRule="auto"/>
        <w:ind w:hanging="720"/>
        <w:rPr>
          <w:rFonts w:cstheme="minorHAnsi"/>
        </w:rPr>
      </w:pPr>
    </w:p>
    <w:p w14:paraId="12674CDB" w14:textId="77777777" w:rsidR="008E26CD" w:rsidRPr="003D794A" w:rsidRDefault="008E26CD" w:rsidP="003D794A">
      <w:pPr>
        <w:pStyle w:val="ListParagraph"/>
        <w:keepNext/>
        <w:keepLines/>
        <w:tabs>
          <w:tab w:val="left" w:pos="284"/>
        </w:tabs>
        <w:spacing w:after="0" w:line="240" w:lineRule="auto"/>
        <w:outlineLvl w:val="0"/>
        <w:rPr>
          <w:rFonts w:eastAsiaTheme="majorEastAsia" w:cstheme="minorHAnsi"/>
          <w:b/>
          <w:bCs/>
          <w:lang w:eastAsia="en-GB"/>
        </w:rPr>
      </w:pPr>
    </w:p>
    <w:p w14:paraId="1FFC362B" w14:textId="77777777" w:rsidR="008E26CD" w:rsidRPr="003D794A" w:rsidRDefault="008E26CD" w:rsidP="003D794A">
      <w:pPr>
        <w:pStyle w:val="ListParagraph"/>
        <w:keepNext/>
        <w:keepLines/>
        <w:numPr>
          <w:ilvl w:val="0"/>
          <w:numId w:val="4"/>
        </w:numPr>
        <w:tabs>
          <w:tab w:val="left" w:pos="284"/>
        </w:tabs>
        <w:spacing w:after="0" w:line="240" w:lineRule="auto"/>
        <w:ind w:hanging="720"/>
        <w:outlineLvl w:val="0"/>
        <w:rPr>
          <w:rFonts w:eastAsiaTheme="majorEastAsia" w:cstheme="minorHAnsi"/>
          <w:b/>
          <w:bCs/>
          <w:lang w:eastAsia="en-GB"/>
        </w:rPr>
      </w:pPr>
      <w:r w:rsidRPr="003D794A">
        <w:rPr>
          <w:rFonts w:eastAsiaTheme="majorEastAsia" w:cstheme="minorHAnsi"/>
          <w:b/>
          <w:bCs/>
          <w:lang w:eastAsia="en-GB"/>
        </w:rPr>
        <w:t>Purpose</w:t>
      </w:r>
    </w:p>
    <w:p w14:paraId="29B6C379" w14:textId="77777777" w:rsidR="008E26CD" w:rsidRPr="003D794A" w:rsidRDefault="008E26CD" w:rsidP="003D794A">
      <w:pPr>
        <w:tabs>
          <w:tab w:val="left" w:pos="284"/>
        </w:tabs>
        <w:spacing w:after="0" w:line="240" w:lineRule="auto"/>
        <w:ind w:hanging="720"/>
        <w:rPr>
          <w:rFonts w:cstheme="minorHAnsi"/>
        </w:rPr>
      </w:pPr>
      <w:r w:rsidRPr="003D794A">
        <w:rPr>
          <w:rFonts w:cstheme="minorHAnsi"/>
          <w:lang w:eastAsia="en-GB"/>
        </w:rPr>
        <w:tab/>
        <w:t xml:space="preserve">The purpose of this Memorandum of Information (MOI) is to </w:t>
      </w:r>
      <w:r w:rsidRPr="003D794A">
        <w:rPr>
          <w:rFonts w:cstheme="minorHAnsi"/>
        </w:rPr>
        <w:t xml:space="preserve">support a market testing exercise being undertaken by NHS Hillingdon CCG (HCCG). The market testing exercise is intended to inform future commissioning plans with respect to the potential future procurement of an Integrated Community Musculoskeletal (MSK) Service. </w:t>
      </w:r>
    </w:p>
    <w:p w14:paraId="6375C71B" w14:textId="77777777" w:rsidR="008E26CD" w:rsidRPr="003D794A" w:rsidRDefault="008E26CD" w:rsidP="003D794A">
      <w:pPr>
        <w:tabs>
          <w:tab w:val="left" w:pos="284"/>
        </w:tabs>
        <w:spacing w:after="0" w:line="240" w:lineRule="auto"/>
        <w:rPr>
          <w:rFonts w:cstheme="minorHAnsi"/>
        </w:rPr>
      </w:pPr>
    </w:p>
    <w:p w14:paraId="386441F5" w14:textId="77777777" w:rsidR="00F931BF" w:rsidRPr="003D794A" w:rsidRDefault="00F931BF" w:rsidP="003D794A">
      <w:pPr>
        <w:tabs>
          <w:tab w:val="left" w:pos="284"/>
        </w:tabs>
        <w:spacing w:after="0" w:line="240" w:lineRule="auto"/>
        <w:ind w:hanging="720"/>
        <w:rPr>
          <w:rFonts w:cstheme="minorHAnsi"/>
        </w:rPr>
      </w:pPr>
      <w:r w:rsidRPr="003D794A">
        <w:rPr>
          <w:rFonts w:cstheme="minorHAnsi"/>
        </w:rPr>
        <w:tab/>
        <w:t>The MOI is intended only as a preliminary background explanation for the procurement of the service. It is in no way intended to form the basis of any decision on the terms upon which the CCG will enter in to any contractual relationship.</w:t>
      </w:r>
    </w:p>
    <w:p w14:paraId="79432419" w14:textId="77777777" w:rsidR="00F931BF" w:rsidRPr="003D794A" w:rsidRDefault="00F931BF" w:rsidP="003D794A">
      <w:pPr>
        <w:tabs>
          <w:tab w:val="left" w:pos="284"/>
        </w:tabs>
        <w:spacing w:after="0" w:line="240" w:lineRule="auto"/>
        <w:ind w:hanging="720"/>
        <w:rPr>
          <w:rFonts w:cstheme="minorHAnsi"/>
        </w:rPr>
      </w:pPr>
    </w:p>
    <w:p w14:paraId="1FCCD9F5" w14:textId="77777777" w:rsidR="00F931BF" w:rsidRPr="003D794A" w:rsidRDefault="00F931BF" w:rsidP="003D794A">
      <w:pPr>
        <w:keepNext/>
        <w:keepLines/>
        <w:tabs>
          <w:tab w:val="left" w:pos="284"/>
        </w:tabs>
        <w:spacing w:after="0" w:line="240" w:lineRule="auto"/>
        <w:outlineLvl w:val="0"/>
        <w:rPr>
          <w:rFonts w:eastAsiaTheme="majorEastAsia" w:cstheme="minorHAnsi"/>
          <w:b/>
          <w:bCs/>
          <w:lang w:eastAsia="en-GB"/>
        </w:rPr>
      </w:pPr>
      <w:r w:rsidRPr="003D794A">
        <w:rPr>
          <w:rFonts w:eastAsiaTheme="majorEastAsia" w:cstheme="minorHAnsi"/>
          <w:b/>
          <w:bCs/>
          <w:lang w:eastAsia="en-GB"/>
        </w:rPr>
        <w:t>2. Definition</w:t>
      </w:r>
    </w:p>
    <w:p w14:paraId="10D23DAF" w14:textId="77777777" w:rsidR="00F931BF" w:rsidRPr="003D794A" w:rsidRDefault="00F931BF" w:rsidP="003D794A">
      <w:pPr>
        <w:tabs>
          <w:tab w:val="left" w:pos="284"/>
        </w:tabs>
        <w:spacing w:after="0" w:line="240" w:lineRule="auto"/>
        <w:ind w:hanging="720"/>
        <w:rPr>
          <w:rFonts w:cstheme="minorHAnsi"/>
          <w:lang w:eastAsia="en-GB"/>
        </w:rPr>
      </w:pPr>
      <w:r w:rsidRPr="003D794A">
        <w:rPr>
          <w:rFonts w:cstheme="minorHAnsi"/>
          <w:lang w:eastAsia="en-GB"/>
        </w:rPr>
        <w:tab/>
        <w:t xml:space="preserve">The CCG wishes to </w:t>
      </w:r>
      <w:r w:rsidR="00A01A0A" w:rsidRPr="003D794A">
        <w:rPr>
          <w:rFonts w:cstheme="minorHAnsi"/>
          <w:lang w:eastAsia="en-GB"/>
        </w:rPr>
        <w:t xml:space="preserve">inform the potential </w:t>
      </w:r>
      <w:r w:rsidR="008E26CD" w:rsidRPr="003D794A">
        <w:rPr>
          <w:rFonts w:cstheme="minorHAnsi"/>
          <w:lang w:eastAsia="en-GB"/>
        </w:rPr>
        <w:t>future c</w:t>
      </w:r>
      <w:r w:rsidRPr="003D794A">
        <w:rPr>
          <w:rFonts w:cstheme="minorHAnsi"/>
          <w:lang w:eastAsia="en-GB"/>
        </w:rPr>
        <w:t>ommission</w:t>
      </w:r>
      <w:r w:rsidR="00A01A0A" w:rsidRPr="003D794A">
        <w:rPr>
          <w:rFonts w:cstheme="minorHAnsi"/>
          <w:lang w:eastAsia="en-GB"/>
        </w:rPr>
        <w:t>ing of</w:t>
      </w:r>
      <w:r w:rsidRPr="003D794A">
        <w:rPr>
          <w:rFonts w:cstheme="minorHAnsi"/>
          <w:lang w:eastAsia="en-GB"/>
        </w:rPr>
        <w:t xml:space="preserve"> an integrated community </w:t>
      </w:r>
      <w:r w:rsidR="00A01A0A" w:rsidRPr="003D794A">
        <w:rPr>
          <w:rFonts w:cstheme="minorHAnsi"/>
          <w:lang w:eastAsia="en-GB"/>
        </w:rPr>
        <w:t xml:space="preserve">MSK </w:t>
      </w:r>
      <w:r w:rsidRPr="003D794A">
        <w:rPr>
          <w:rFonts w:cstheme="minorHAnsi"/>
          <w:lang w:eastAsia="en-GB"/>
        </w:rPr>
        <w:t xml:space="preserve">service for </w:t>
      </w:r>
      <w:r w:rsidR="00A01A0A" w:rsidRPr="003D794A">
        <w:rPr>
          <w:rFonts w:cstheme="minorHAnsi"/>
          <w:lang w:eastAsia="en-GB"/>
        </w:rPr>
        <w:t>Hillingdon</w:t>
      </w:r>
      <w:r w:rsidRPr="003D794A">
        <w:rPr>
          <w:rFonts w:cstheme="minorHAnsi"/>
          <w:lang w:eastAsia="en-GB"/>
        </w:rPr>
        <w:t xml:space="preserve"> residents</w:t>
      </w:r>
      <w:r w:rsidR="008E26CD" w:rsidRPr="003D794A">
        <w:rPr>
          <w:rFonts w:cstheme="minorHAnsi"/>
          <w:lang w:eastAsia="en-GB"/>
        </w:rPr>
        <w:t>. The service is intended to deliver</w:t>
      </w:r>
      <w:r w:rsidRPr="003D794A">
        <w:rPr>
          <w:rFonts w:cstheme="minorHAnsi"/>
          <w:lang w:eastAsia="en-GB"/>
        </w:rPr>
        <w:t xml:space="preserve"> safe, high quality and innovative </w:t>
      </w:r>
      <w:r w:rsidR="00A01A0A" w:rsidRPr="003D794A">
        <w:rPr>
          <w:rFonts w:cstheme="minorHAnsi"/>
          <w:lang w:eastAsia="en-GB"/>
        </w:rPr>
        <w:t>MSK</w:t>
      </w:r>
      <w:r w:rsidR="008E26CD" w:rsidRPr="003D794A">
        <w:rPr>
          <w:rFonts w:cstheme="minorHAnsi"/>
          <w:lang w:eastAsia="en-GB"/>
        </w:rPr>
        <w:t xml:space="preserve"> services </w:t>
      </w:r>
      <w:r w:rsidRPr="003D794A">
        <w:rPr>
          <w:rFonts w:cstheme="minorHAnsi"/>
          <w:lang w:eastAsia="en-GB"/>
        </w:rPr>
        <w:t xml:space="preserve">in line with the CCG’s strategic vision. </w:t>
      </w:r>
    </w:p>
    <w:p w14:paraId="6C952675" w14:textId="77777777" w:rsidR="00C97530" w:rsidRPr="003D794A" w:rsidRDefault="00C97530" w:rsidP="003D794A">
      <w:pPr>
        <w:tabs>
          <w:tab w:val="left" w:pos="284"/>
        </w:tabs>
        <w:spacing w:after="0" w:line="240" w:lineRule="auto"/>
        <w:ind w:hanging="720"/>
        <w:rPr>
          <w:rFonts w:cstheme="minorHAnsi"/>
          <w:lang w:eastAsia="en-GB"/>
        </w:rPr>
      </w:pPr>
    </w:p>
    <w:p w14:paraId="30F14613" w14:textId="77777777" w:rsidR="00C97530" w:rsidRPr="003D794A" w:rsidRDefault="00BC28E6" w:rsidP="003D794A">
      <w:pPr>
        <w:keepNext/>
        <w:keepLines/>
        <w:tabs>
          <w:tab w:val="left" w:pos="284"/>
        </w:tabs>
        <w:spacing w:after="0" w:line="240" w:lineRule="auto"/>
        <w:outlineLvl w:val="0"/>
        <w:rPr>
          <w:rFonts w:eastAsiaTheme="majorEastAsia" w:cstheme="minorHAnsi"/>
          <w:b/>
          <w:bCs/>
          <w:lang w:eastAsia="en-GB"/>
        </w:rPr>
      </w:pPr>
      <w:r w:rsidRPr="003D794A">
        <w:rPr>
          <w:rFonts w:eastAsiaTheme="majorEastAsia" w:cstheme="minorHAnsi"/>
          <w:b/>
          <w:bCs/>
          <w:lang w:eastAsia="en-GB"/>
        </w:rPr>
        <w:t>3. S</w:t>
      </w:r>
      <w:r w:rsidR="00C97530" w:rsidRPr="003D794A">
        <w:rPr>
          <w:rFonts w:eastAsiaTheme="majorEastAsia" w:cstheme="minorHAnsi"/>
          <w:b/>
          <w:bCs/>
          <w:lang w:eastAsia="en-GB"/>
        </w:rPr>
        <w:t xml:space="preserve">trategic context </w:t>
      </w:r>
    </w:p>
    <w:p w14:paraId="331A0C36" w14:textId="77777777" w:rsidR="00BC28E6" w:rsidRPr="003D794A" w:rsidRDefault="00BC28E6" w:rsidP="003D794A">
      <w:pPr>
        <w:keepNext/>
        <w:keepLines/>
        <w:tabs>
          <w:tab w:val="left" w:pos="284"/>
        </w:tabs>
        <w:spacing w:after="0" w:line="240" w:lineRule="auto"/>
        <w:outlineLvl w:val="0"/>
        <w:rPr>
          <w:rFonts w:eastAsiaTheme="majorEastAsia" w:cstheme="minorHAnsi"/>
          <w:b/>
          <w:bCs/>
          <w:lang w:eastAsia="en-GB"/>
        </w:rPr>
      </w:pPr>
    </w:p>
    <w:p w14:paraId="09534E22" w14:textId="77777777" w:rsidR="00BC28E6" w:rsidRPr="003D794A" w:rsidRDefault="00BC28E6" w:rsidP="003D794A">
      <w:pPr>
        <w:keepNext/>
        <w:keepLines/>
        <w:tabs>
          <w:tab w:val="left" w:pos="284"/>
        </w:tabs>
        <w:spacing w:after="0" w:line="240" w:lineRule="auto"/>
        <w:outlineLvl w:val="0"/>
        <w:rPr>
          <w:rFonts w:eastAsiaTheme="majorEastAsia" w:cstheme="minorHAnsi"/>
          <w:bCs/>
          <w:lang w:eastAsia="en-GB"/>
        </w:rPr>
      </w:pPr>
      <w:r w:rsidRPr="003D794A">
        <w:rPr>
          <w:rFonts w:eastAsiaTheme="majorEastAsia" w:cstheme="minorHAnsi"/>
          <w:bCs/>
          <w:lang w:eastAsia="en-GB"/>
        </w:rPr>
        <w:t xml:space="preserve">3.1 National context </w:t>
      </w:r>
    </w:p>
    <w:p w14:paraId="5BE93203" w14:textId="77777777" w:rsidR="00BC28E6" w:rsidRPr="003D794A" w:rsidRDefault="00BC28E6" w:rsidP="003D794A">
      <w:pPr>
        <w:keepNext/>
        <w:keepLines/>
        <w:tabs>
          <w:tab w:val="left" w:pos="284"/>
        </w:tabs>
        <w:spacing w:after="0" w:line="240" w:lineRule="auto"/>
        <w:outlineLvl w:val="0"/>
        <w:rPr>
          <w:rFonts w:eastAsiaTheme="majorEastAsia" w:cstheme="minorHAnsi"/>
          <w:b/>
          <w:bCs/>
          <w:lang w:eastAsia="en-GB"/>
        </w:rPr>
      </w:pPr>
    </w:p>
    <w:p w14:paraId="1C3077C1" w14:textId="77777777" w:rsidR="00BC28E6" w:rsidRPr="003D794A" w:rsidRDefault="00BC28E6" w:rsidP="003D794A">
      <w:pPr>
        <w:widowControl w:val="0"/>
        <w:autoSpaceDE w:val="0"/>
        <w:autoSpaceDN w:val="0"/>
        <w:adjustRightInd w:val="0"/>
        <w:spacing w:after="0" w:line="240" w:lineRule="auto"/>
        <w:rPr>
          <w:rFonts w:cs="Times"/>
          <w:lang w:val="en-US"/>
        </w:rPr>
      </w:pPr>
      <w:r w:rsidRPr="003D794A">
        <w:rPr>
          <w:rFonts w:cs="Arial"/>
          <w:lang w:val="en-US"/>
        </w:rPr>
        <w:t xml:space="preserve">The CCG has taken into consideration national, regional and local strategies and frameworks in the development of initial commissioning plans for MSK. There are strong and robust strategic drivers for change and key related strategies have been highlighted in this Section of the MOI. </w:t>
      </w:r>
    </w:p>
    <w:p w14:paraId="0A6EF8B7" w14:textId="77777777" w:rsidR="00BC28E6" w:rsidRPr="003D794A" w:rsidRDefault="00BC28E6" w:rsidP="003D794A">
      <w:pPr>
        <w:widowControl w:val="0"/>
        <w:autoSpaceDE w:val="0"/>
        <w:autoSpaceDN w:val="0"/>
        <w:adjustRightInd w:val="0"/>
        <w:spacing w:after="0" w:line="240" w:lineRule="auto"/>
        <w:rPr>
          <w:rFonts w:cs="Arial"/>
          <w:lang w:val="en-US"/>
        </w:rPr>
      </w:pPr>
    </w:p>
    <w:p w14:paraId="5E483089" w14:textId="77777777" w:rsidR="00BC28E6" w:rsidRPr="003D794A" w:rsidRDefault="00BC28E6" w:rsidP="003D794A">
      <w:pPr>
        <w:widowControl w:val="0"/>
        <w:autoSpaceDE w:val="0"/>
        <w:autoSpaceDN w:val="0"/>
        <w:adjustRightInd w:val="0"/>
        <w:spacing w:after="0" w:line="240" w:lineRule="auto"/>
        <w:rPr>
          <w:rFonts w:cs="Arial"/>
          <w:lang w:val="en-US"/>
        </w:rPr>
      </w:pPr>
      <w:r w:rsidRPr="003D794A">
        <w:rPr>
          <w:rFonts w:cs="Arial"/>
          <w:lang w:val="en-US"/>
        </w:rPr>
        <w:t>Over recent years, the NHS has been increasing its focus on improving the provision, access and quality of care provided outside of an acute hospital setting. The White Paper ‘Our Health, Our Care, Our Say’</w:t>
      </w:r>
      <w:r w:rsidRPr="003D794A">
        <w:rPr>
          <w:rFonts w:cs="Arial"/>
          <w:position w:val="13"/>
          <w:lang w:val="en-US"/>
        </w:rPr>
        <w:t xml:space="preserve"> </w:t>
      </w:r>
      <w:r w:rsidRPr="003D794A">
        <w:rPr>
          <w:rFonts w:cs="Arial"/>
          <w:lang w:val="en-US"/>
        </w:rPr>
        <w:t>outlined the ambition to create a fundamental shift of care from hospitals to more community-based settings and this was reiterated by Lord Darzi in ‘Our NHS, Our Future</w:t>
      </w:r>
      <w:r w:rsidRPr="003D794A">
        <w:rPr>
          <w:rFonts w:cs="Arial"/>
          <w:position w:val="13"/>
          <w:lang w:val="en-US"/>
        </w:rPr>
        <w:t xml:space="preserve"> </w:t>
      </w:r>
      <w:r w:rsidRPr="003D794A">
        <w:rPr>
          <w:rFonts w:cs="Arial"/>
          <w:lang w:val="en-US"/>
        </w:rPr>
        <w:t xml:space="preserve">with the principle to ‘localise where possible, centralise where necessary’. </w:t>
      </w:r>
    </w:p>
    <w:p w14:paraId="127AF07B" w14:textId="77777777" w:rsidR="00BC28E6" w:rsidRPr="003D794A" w:rsidRDefault="00BC28E6" w:rsidP="003D794A">
      <w:pPr>
        <w:widowControl w:val="0"/>
        <w:autoSpaceDE w:val="0"/>
        <w:autoSpaceDN w:val="0"/>
        <w:adjustRightInd w:val="0"/>
        <w:spacing w:after="0" w:line="240" w:lineRule="auto"/>
        <w:rPr>
          <w:rFonts w:cs="Times"/>
          <w:lang w:val="en-US"/>
        </w:rPr>
      </w:pPr>
    </w:p>
    <w:p w14:paraId="11686A11" w14:textId="77777777" w:rsidR="00BC28E6" w:rsidRPr="003D794A" w:rsidRDefault="00BC28E6" w:rsidP="003D794A">
      <w:pPr>
        <w:widowControl w:val="0"/>
        <w:autoSpaceDE w:val="0"/>
        <w:autoSpaceDN w:val="0"/>
        <w:adjustRightInd w:val="0"/>
        <w:spacing w:after="0" w:line="240" w:lineRule="auto"/>
        <w:rPr>
          <w:rFonts w:cs="Arial"/>
          <w:lang w:val="en-US"/>
        </w:rPr>
      </w:pPr>
      <w:r w:rsidRPr="003D794A">
        <w:rPr>
          <w:rFonts w:cs="Arial"/>
          <w:lang w:val="en-US"/>
        </w:rPr>
        <w:t>The NHS Five Year Forward View</w:t>
      </w:r>
      <w:r w:rsidRPr="003D794A">
        <w:rPr>
          <w:rFonts w:cs="Arial"/>
          <w:position w:val="13"/>
          <w:lang w:val="en-US"/>
        </w:rPr>
        <w:t xml:space="preserve"> </w:t>
      </w:r>
      <w:r w:rsidRPr="003D794A">
        <w:rPr>
          <w:rFonts w:cs="Arial"/>
          <w:lang w:val="en-US"/>
        </w:rPr>
        <w:t xml:space="preserve">further emphasised the need to break down barriers in how care is provided; with far more care delivered locally, supported by specialist centres for more complex needs. The provision of more MSK services in the community is a step towards meeting this objective of care closer to patients and primary care. This has significant benefits; providing a more convenient service to patients and helping to relieve the pressure on secondary care services, focusing the most complex MSK diagnostics and treatment in secondary care. Patient feedback from other similar community services indicates high satisfaction by patients for community alternatives to hospital outpatient care. </w:t>
      </w:r>
    </w:p>
    <w:p w14:paraId="6DB9B74F" w14:textId="77777777" w:rsidR="00BC28E6" w:rsidRPr="003D794A" w:rsidRDefault="00BC28E6" w:rsidP="003D794A">
      <w:pPr>
        <w:widowControl w:val="0"/>
        <w:autoSpaceDE w:val="0"/>
        <w:autoSpaceDN w:val="0"/>
        <w:adjustRightInd w:val="0"/>
        <w:spacing w:after="0" w:line="240" w:lineRule="auto"/>
        <w:rPr>
          <w:rFonts w:cs="Times"/>
          <w:lang w:val="en-US"/>
        </w:rPr>
      </w:pPr>
    </w:p>
    <w:p w14:paraId="08BA4731" w14:textId="77777777" w:rsidR="00BC28E6" w:rsidRPr="003D794A" w:rsidRDefault="00BC28E6" w:rsidP="003D794A">
      <w:pPr>
        <w:widowControl w:val="0"/>
        <w:autoSpaceDE w:val="0"/>
        <w:autoSpaceDN w:val="0"/>
        <w:adjustRightInd w:val="0"/>
        <w:spacing w:after="0" w:line="240" w:lineRule="auto"/>
        <w:rPr>
          <w:rFonts w:cs="Arial"/>
          <w:lang w:val="en-US"/>
        </w:rPr>
      </w:pPr>
      <w:r w:rsidRPr="003D794A">
        <w:rPr>
          <w:rFonts w:cs="Arial"/>
          <w:lang w:val="en-US"/>
        </w:rPr>
        <w:t xml:space="preserve">In July 2006 the Department of Health (DH) published the Musculoskeletal Services Framework, which promotes the redesign of services’ together with the development of multidisciplinary interface services (that act as) a one-stop shop for assessment, diagnosis, treatment or referral to other specialists. This framework encouraged the sharing of care across organisational boundaries and improvements to integration and collaboration between primary and secondary care. Service redesign of this nature would achieve for health economies the avoidance of unnecessary patient attendances and elective admissions. </w:t>
      </w:r>
    </w:p>
    <w:p w14:paraId="6D49CF15" w14:textId="77777777" w:rsidR="00BC28E6" w:rsidRPr="003D794A" w:rsidRDefault="00BC28E6" w:rsidP="003D794A">
      <w:pPr>
        <w:widowControl w:val="0"/>
        <w:autoSpaceDE w:val="0"/>
        <w:autoSpaceDN w:val="0"/>
        <w:adjustRightInd w:val="0"/>
        <w:spacing w:after="0" w:line="240" w:lineRule="auto"/>
        <w:rPr>
          <w:rFonts w:cs="Times"/>
          <w:lang w:val="en-US"/>
        </w:rPr>
      </w:pPr>
    </w:p>
    <w:p w14:paraId="439A3FE1" w14:textId="77777777" w:rsidR="00BC28E6" w:rsidRPr="003D794A" w:rsidRDefault="00BC28E6" w:rsidP="003D794A">
      <w:pPr>
        <w:widowControl w:val="0"/>
        <w:autoSpaceDE w:val="0"/>
        <w:autoSpaceDN w:val="0"/>
        <w:adjustRightInd w:val="0"/>
        <w:spacing w:after="0" w:line="240" w:lineRule="auto"/>
        <w:rPr>
          <w:rFonts w:cs="Times"/>
          <w:lang w:val="en-US"/>
        </w:rPr>
      </w:pPr>
      <w:r w:rsidRPr="003D794A">
        <w:rPr>
          <w:rFonts w:cs="Arial"/>
          <w:lang w:val="en-US"/>
        </w:rPr>
        <w:t xml:space="preserve">NHS England’s publication; ‘London: A Call to Action’, reported that London’s diverse population has resulted in a broad and growing range of health needs and that there had been a failure to close the inequalities gap. It considered that the pattern of healthcare provision with its emphasis on hospital services would not address this problem in the future and that much more should be done to </w:t>
      </w:r>
      <w:r w:rsidRPr="003D794A">
        <w:rPr>
          <w:rFonts w:cs="Arial"/>
          <w:lang w:val="en-US"/>
        </w:rPr>
        <w:lastRenderedPageBreak/>
        <w:t xml:space="preserve">support people to live healthier, independent lives through services provided in community settings that are more accessible to patients. The publication recommended that care needs to move away from traditional hospital-centred delivery and that local community based health services are developed to address the type and severity of local needs and to raise the health and wellbeing of those who are the least healthy to be in line with the healthiest. The report recognises that doing nothing is not an option and that bold transformational change is needed to the way in which services are currently delivered. </w:t>
      </w:r>
    </w:p>
    <w:p w14:paraId="0F918045" w14:textId="77777777" w:rsidR="00BC28E6" w:rsidRPr="003D794A" w:rsidRDefault="00BC28E6" w:rsidP="003D794A">
      <w:pPr>
        <w:keepNext/>
        <w:keepLines/>
        <w:tabs>
          <w:tab w:val="left" w:pos="284"/>
        </w:tabs>
        <w:spacing w:after="0" w:line="240" w:lineRule="auto"/>
        <w:outlineLvl w:val="0"/>
        <w:rPr>
          <w:rFonts w:eastAsiaTheme="majorEastAsia" w:cstheme="minorHAnsi"/>
          <w:b/>
          <w:bCs/>
          <w:lang w:eastAsia="en-GB"/>
        </w:rPr>
      </w:pPr>
    </w:p>
    <w:p w14:paraId="5BF28F43" w14:textId="6D1AE903" w:rsidR="00BC28E6" w:rsidRPr="003D794A" w:rsidRDefault="00400DED" w:rsidP="003D794A">
      <w:pPr>
        <w:keepNext/>
        <w:keepLines/>
        <w:tabs>
          <w:tab w:val="left" w:pos="284"/>
        </w:tabs>
        <w:spacing w:after="0" w:line="240" w:lineRule="auto"/>
        <w:outlineLvl w:val="0"/>
        <w:rPr>
          <w:rFonts w:eastAsiaTheme="majorEastAsia" w:cstheme="minorHAnsi"/>
          <w:bCs/>
          <w:lang w:eastAsia="en-GB"/>
        </w:rPr>
      </w:pPr>
      <w:r w:rsidRPr="003D794A">
        <w:rPr>
          <w:rFonts w:eastAsiaTheme="majorEastAsia" w:cstheme="minorHAnsi"/>
          <w:bCs/>
          <w:lang w:eastAsia="en-GB"/>
        </w:rPr>
        <w:t>3.2</w:t>
      </w:r>
      <w:r w:rsidR="00BC28E6" w:rsidRPr="003D794A">
        <w:rPr>
          <w:rFonts w:eastAsiaTheme="majorEastAsia" w:cstheme="minorHAnsi"/>
          <w:bCs/>
          <w:lang w:eastAsia="en-GB"/>
        </w:rPr>
        <w:t xml:space="preserve"> Local context </w:t>
      </w:r>
      <w:r w:rsidR="00B339A0" w:rsidRPr="003D794A">
        <w:rPr>
          <w:rFonts w:eastAsiaTheme="majorEastAsia" w:cstheme="minorHAnsi"/>
          <w:bCs/>
          <w:lang w:eastAsia="en-GB"/>
        </w:rPr>
        <w:t xml:space="preserve">and vision </w:t>
      </w:r>
    </w:p>
    <w:p w14:paraId="036EE006" w14:textId="77777777" w:rsidR="00B339A0" w:rsidRPr="003D794A" w:rsidRDefault="00B339A0" w:rsidP="003D794A">
      <w:pPr>
        <w:keepNext/>
        <w:keepLines/>
        <w:tabs>
          <w:tab w:val="left" w:pos="284"/>
        </w:tabs>
        <w:spacing w:after="0" w:line="240" w:lineRule="auto"/>
        <w:outlineLvl w:val="0"/>
        <w:rPr>
          <w:rFonts w:eastAsiaTheme="majorEastAsia" w:cstheme="minorHAnsi"/>
          <w:b/>
          <w:bCs/>
          <w:lang w:eastAsia="en-GB"/>
        </w:rPr>
      </w:pPr>
    </w:p>
    <w:p w14:paraId="4F95021F" w14:textId="77777777" w:rsidR="00BC28E6" w:rsidRPr="003D794A" w:rsidRDefault="00B339A0" w:rsidP="003D794A">
      <w:pPr>
        <w:keepNext/>
        <w:keepLines/>
        <w:tabs>
          <w:tab w:val="left" w:pos="284"/>
        </w:tabs>
        <w:spacing w:after="0" w:line="240" w:lineRule="auto"/>
        <w:outlineLvl w:val="0"/>
        <w:rPr>
          <w:rFonts w:eastAsiaTheme="majorEastAsia" w:cstheme="minorHAnsi"/>
          <w:b/>
          <w:bCs/>
          <w:lang w:eastAsia="en-GB"/>
        </w:rPr>
      </w:pPr>
      <w:r w:rsidRPr="003D794A">
        <w:rPr>
          <w:rFonts w:eastAsiaTheme="majorEastAsia" w:cstheme="minorHAnsi"/>
          <w:bCs/>
          <w:lang w:eastAsia="en-GB"/>
        </w:rPr>
        <w:t xml:space="preserve">Hillingdon CCG is involved in NWL’s Shaping a Healthier Future programme which seeks to </w:t>
      </w:r>
      <w:r w:rsidR="007D3243" w:rsidRPr="003D794A">
        <w:rPr>
          <w:rFonts w:eastAsiaTheme="majorEastAsia" w:cstheme="minorHAnsi"/>
          <w:bCs/>
          <w:lang w:eastAsia="en-GB"/>
        </w:rPr>
        <w:t>d</w:t>
      </w:r>
      <w:r w:rsidR="007D3243" w:rsidRPr="003D794A">
        <w:rPr>
          <w:rFonts w:cstheme="minorHAnsi"/>
          <w:lang w:eastAsia="en-GB"/>
        </w:rPr>
        <w:t xml:space="preserve">eliver a </w:t>
      </w:r>
      <w:r w:rsidR="00BC28E6" w:rsidRPr="003D794A">
        <w:rPr>
          <w:rFonts w:cstheme="minorHAnsi"/>
          <w:lang w:eastAsia="en-GB"/>
        </w:rPr>
        <w:t>health care system</w:t>
      </w:r>
      <w:r w:rsidR="007D3243" w:rsidRPr="003D794A">
        <w:rPr>
          <w:rFonts w:cstheme="minorHAnsi"/>
          <w:lang w:eastAsia="en-GB"/>
        </w:rPr>
        <w:t xml:space="preserve"> that </w:t>
      </w:r>
      <w:r w:rsidR="00BC28E6" w:rsidRPr="003D794A">
        <w:rPr>
          <w:rFonts w:cstheme="minorHAnsi"/>
          <w:lang w:eastAsia="en-GB"/>
        </w:rPr>
        <w:t>keeps patients well at home and, when patients do</w:t>
      </w:r>
      <w:r w:rsidRPr="003D794A">
        <w:rPr>
          <w:rFonts w:cstheme="minorHAnsi"/>
          <w:lang w:eastAsia="en-GB"/>
        </w:rPr>
        <w:t xml:space="preserve"> </w:t>
      </w:r>
      <w:r w:rsidR="00BC28E6" w:rsidRPr="003D794A">
        <w:rPr>
          <w:rFonts w:cstheme="minorHAnsi"/>
          <w:lang w:eastAsia="en-GB"/>
        </w:rPr>
        <w:t>become unwell, provides cost-effective, evidence-based and timely care at the right place appropriate to their needs.</w:t>
      </w:r>
      <w:r w:rsidRPr="003D794A">
        <w:rPr>
          <w:rFonts w:cstheme="minorHAnsi"/>
          <w:lang w:eastAsia="en-GB"/>
        </w:rPr>
        <w:t xml:space="preserve"> </w:t>
      </w:r>
      <w:r w:rsidR="00BC28E6" w:rsidRPr="003D794A">
        <w:rPr>
          <w:rFonts w:cstheme="minorHAnsi"/>
          <w:lang w:eastAsia="en-GB"/>
        </w:rPr>
        <w:t xml:space="preserve">This </w:t>
      </w:r>
      <w:r w:rsidR="007D3243" w:rsidRPr="003D794A">
        <w:rPr>
          <w:rFonts w:cstheme="minorHAnsi"/>
          <w:lang w:eastAsia="en-GB"/>
        </w:rPr>
        <w:t>involves</w:t>
      </w:r>
      <w:r w:rsidR="00BC28E6" w:rsidRPr="003D794A">
        <w:rPr>
          <w:rFonts w:cstheme="minorHAnsi"/>
          <w:lang w:eastAsia="en-GB"/>
        </w:rPr>
        <w:t>:</w:t>
      </w:r>
    </w:p>
    <w:p w14:paraId="227F4517" w14:textId="77777777" w:rsidR="00BC28E6" w:rsidRPr="003D794A" w:rsidRDefault="00BC28E6" w:rsidP="003D794A">
      <w:pPr>
        <w:tabs>
          <w:tab w:val="left" w:pos="284"/>
        </w:tabs>
        <w:spacing w:after="0" w:line="240" w:lineRule="auto"/>
        <w:ind w:left="720" w:hanging="720"/>
        <w:rPr>
          <w:rFonts w:cstheme="minorHAnsi"/>
          <w:lang w:eastAsia="en-GB"/>
        </w:rPr>
      </w:pPr>
      <w:r w:rsidRPr="003D794A">
        <w:rPr>
          <w:rFonts w:cstheme="minorHAnsi"/>
          <w:lang w:eastAsia="en-GB"/>
        </w:rPr>
        <w:t>• Making sure that every healthcare provider consistently delivers high standards of care</w:t>
      </w:r>
    </w:p>
    <w:p w14:paraId="078A576E" w14:textId="77777777" w:rsidR="00B339A0" w:rsidRPr="003D794A" w:rsidRDefault="00BC28E6" w:rsidP="003D794A">
      <w:pPr>
        <w:tabs>
          <w:tab w:val="left" w:pos="284"/>
        </w:tabs>
        <w:spacing w:after="0" w:line="240" w:lineRule="auto"/>
        <w:ind w:left="720" w:hanging="720"/>
        <w:rPr>
          <w:rFonts w:cstheme="minorHAnsi"/>
          <w:lang w:eastAsia="en-GB"/>
        </w:rPr>
      </w:pPr>
      <w:r w:rsidRPr="003D794A">
        <w:rPr>
          <w:rFonts w:cstheme="minorHAnsi"/>
          <w:lang w:eastAsia="en-GB"/>
        </w:rPr>
        <w:t xml:space="preserve">• Joint working between GPs, community and social care, hospital and consultants, with early </w:t>
      </w:r>
    </w:p>
    <w:p w14:paraId="6148C2CB" w14:textId="77777777" w:rsidR="00BC28E6" w:rsidRPr="003D794A" w:rsidRDefault="00BC28E6" w:rsidP="003D794A">
      <w:pPr>
        <w:tabs>
          <w:tab w:val="left" w:pos="284"/>
        </w:tabs>
        <w:spacing w:after="0" w:line="240" w:lineRule="auto"/>
        <w:ind w:left="720" w:hanging="720"/>
        <w:rPr>
          <w:rFonts w:cstheme="minorHAnsi"/>
          <w:lang w:eastAsia="en-GB"/>
        </w:rPr>
      </w:pPr>
      <w:r w:rsidRPr="003D794A">
        <w:rPr>
          <w:rFonts w:cstheme="minorHAnsi"/>
          <w:lang w:eastAsia="en-GB"/>
        </w:rPr>
        <w:t>intervention and</w:t>
      </w:r>
      <w:r w:rsidR="00B339A0" w:rsidRPr="003D794A">
        <w:rPr>
          <w:rFonts w:cstheme="minorHAnsi"/>
          <w:lang w:eastAsia="en-GB"/>
        </w:rPr>
        <w:t xml:space="preserve"> </w:t>
      </w:r>
      <w:r w:rsidRPr="003D794A">
        <w:rPr>
          <w:rFonts w:cstheme="minorHAnsi"/>
          <w:lang w:eastAsia="en-GB"/>
        </w:rPr>
        <w:t>care in the right place at the right time</w:t>
      </w:r>
    </w:p>
    <w:p w14:paraId="3F65C98D" w14:textId="77777777" w:rsidR="00BC28E6" w:rsidRPr="003D794A" w:rsidRDefault="00BC28E6" w:rsidP="003D794A">
      <w:pPr>
        <w:tabs>
          <w:tab w:val="left" w:pos="284"/>
        </w:tabs>
        <w:spacing w:after="0" w:line="240" w:lineRule="auto"/>
        <w:ind w:left="720" w:hanging="720"/>
        <w:rPr>
          <w:rFonts w:cstheme="minorHAnsi"/>
          <w:lang w:eastAsia="en-GB"/>
        </w:rPr>
      </w:pPr>
      <w:r w:rsidRPr="003D794A">
        <w:rPr>
          <w:rFonts w:cstheme="minorHAnsi"/>
          <w:lang w:eastAsia="en-GB"/>
        </w:rPr>
        <w:t>• Patients having easier access to consistently high quality primary care</w:t>
      </w:r>
    </w:p>
    <w:p w14:paraId="3EF1FDF7" w14:textId="77777777" w:rsidR="00B339A0" w:rsidRPr="003D794A" w:rsidRDefault="00BC28E6" w:rsidP="003D794A">
      <w:pPr>
        <w:tabs>
          <w:tab w:val="left" w:pos="284"/>
        </w:tabs>
        <w:spacing w:after="0" w:line="240" w:lineRule="auto"/>
        <w:ind w:left="720" w:hanging="720"/>
        <w:rPr>
          <w:rFonts w:cstheme="minorHAnsi"/>
          <w:lang w:eastAsia="en-GB"/>
        </w:rPr>
      </w:pPr>
      <w:r w:rsidRPr="003D794A">
        <w:rPr>
          <w:rFonts w:cstheme="minorHAnsi"/>
          <w:lang w:eastAsia="en-GB"/>
        </w:rPr>
        <w:t>• Patients with long-term conditions who need care from different services will recei</w:t>
      </w:r>
      <w:r w:rsidR="00B339A0" w:rsidRPr="003D794A">
        <w:rPr>
          <w:rFonts w:cstheme="minorHAnsi"/>
          <w:lang w:eastAsia="en-GB"/>
        </w:rPr>
        <w:t>ve better</w:t>
      </w:r>
    </w:p>
    <w:p w14:paraId="64A8BB1B" w14:textId="77777777" w:rsidR="00BC28E6" w:rsidRPr="003D794A" w:rsidRDefault="00BC28E6" w:rsidP="003D794A">
      <w:pPr>
        <w:tabs>
          <w:tab w:val="left" w:pos="284"/>
        </w:tabs>
        <w:spacing w:after="0" w:line="240" w:lineRule="auto"/>
        <w:ind w:left="720" w:hanging="720"/>
        <w:rPr>
          <w:rFonts w:cstheme="minorHAnsi"/>
          <w:lang w:eastAsia="en-GB"/>
        </w:rPr>
      </w:pPr>
      <w:r w:rsidRPr="003D794A">
        <w:rPr>
          <w:rFonts w:cstheme="minorHAnsi"/>
          <w:lang w:eastAsia="en-GB"/>
        </w:rPr>
        <w:t>coordinated care</w:t>
      </w:r>
      <w:r w:rsidR="00B339A0" w:rsidRPr="003D794A">
        <w:rPr>
          <w:rFonts w:cstheme="minorHAnsi"/>
          <w:lang w:eastAsia="en-GB"/>
        </w:rPr>
        <w:t xml:space="preserve"> </w:t>
      </w:r>
      <w:r w:rsidRPr="003D794A">
        <w:rPr>
          <w:rFonts w:cstheme="minorHAnsi"/>
          <w:lang w:eastAsia="en-GB"/>
        </w:rPr>
        <w:t>with one package of care</w:t>
      </w:r>
    </w:p>
    <w:p w14:paraId="381ED480" w14:textId="77777777" w:rsidR="00B339A0" w:rsidRPr="003D794A" w:rsidRDefault="00BC28E6" w:rsidP="003D794A">
      <w:pPr>
        <w:tabs>
          <w:tab w:val="left" w:pos="284"/>
        </w:tabs>
        <w:spacing w:after="0" w:line="240" w:lineRule="auto"/>
        <w:ind w:left="720" w:hanging="720"/>
        <w:rPr>
          <w:rFonts w:cstheme="minorHAnsi"/>
          <w:lang w:eastAsia="en-GB"/>
        </w:rPr>
      </w:pPr>
      <w:r w:rsidRPr="003D794A">
        <w:rPr>
          <w:rFonts w:cstheme="minorHAnsi"/>
          <w:lang w:eastAsia="en-GB"/>
        </w:rPr>
        <w:t xml:space="preserve">• Patients will be better supported when they are discharged from </w:t>
      </w:r>
      <w:r w:rsidR="00B339A0" w:rsidRPr="003D794A">
        <w:rPr>
          <w:rFonts w:cstheme="minorHAnsi"/>
          <w:lang w:eastAsia="en-GB"/>
        </w:rPr>
        <w:t>hospital. The care they receive</w:t>
      </w:r>
    </w:p>
    <w:p w14:paraId="11CAF63D" w14:textId="77777777" w:rsidR="00C97530" w:rsidRPr="003D794A" w:rsidRDefault="00BC28E6" w:rsidP="003D794A">
      <w:pPr>
        <w:tabs>
          <w:tab w:val="left" w:pos="284"/>
        </w:tabs>
        <w:spacing w:after="0" w:line="240" w:lineRule="auto"/>
        <w:ind w:left="720" w:hanging="720"/>
        <w:rPr>
          <w:rFonts w:cstheme="minorHAnsi"/>
          <w:lang w:eastAsia="en-GB"/>
        </w:rPr>
      </w:pPr>
      <w:r w:rsidRPr="003D794A">
        <w:rPr>
          <w:rFonts w:cstheme="minorHAnsi"/>
          <w:lang w:eastAsia="en-GB"/>
        </w:rPr>
        <w:t>will be more</w:t>
      </w:r>
      <w:r w:rsidR="00B339A0" w:rsidRPr="003D794A">
        <w:rPr>
          <w:rFonts w:cstheme="minorHAnsi"/>
          <w:lang w:eastAsia="en-GB"/>
        </w:rPr>
        <w:t xml:space="preserve"> </w:t>
      </w:r>
      <w:r w:rsidRPr="003D794A">
        <w:rPr>
          <w:rFonts w:cstheme="minorHAnsi"/>
          <w:lang w:eastAsia="en-GB"/>
        </w:rPr>
        <w:t>joined-up between the different parts of the system.</w:t>
      </w:r>
    </w:p>
    <w:p w14:paraId="32553D6E" w14:textId="77777777" w:rsidR="00C97530" w:rsidRPr="003D794A" w:rsidRDefault="00C97530" w:rsidP="003D794A">
      <w:pPr>
        <w:tabs>
          <w:tab w:val="left" w:pos="284"/>
        </w:tabs>
        <w:spacing w:after="0" w:line="240" w:lineRule="auto"/>
        <w:ind w:hanging="720"/>
        <w:rPr>
          <w:rFonts w:cstheme="minorHAnsi"/>
          <w:lang w:eastAsia="en-GB"/>
        </w:rPr>
      </w:pPr>
    </w:p>
    <w:p w14:paraId="0B227271" w14:textId="77777777" w:rsidR="00C97530" w:rsidRPr="003D794A" w:rsidRDefault="007D3243" w:rsidP="003D794A">
      <w:pPr>
        <w:spacing w:after="0" w:line="240" w:lineRule="auto"/>
        <w:rPr>
          <w:rFonts w:eastAsia="Times New Roman" w:cs="Times New Roman"/>
        </w:rPr>
      </w:pPr>
      <w:r w:rsidRPr="003D794A">
        <w:rPr>
          <w:rFonts w:eastAsia="Times New Roman" w:cs="Times New Roman"/>
        </w:rPr>
        <w:t>Hillingdon also works collaboratively with its neighbouring North West London (NWL) CCG’s toward delivering a joint vision which is to ensure that everyone living, working and visiting NWL has the opportunity to be well and live well – to make the very most of being part of our capital city and the cultural and economic benefits it provides to the country. NWL’s strategic plan involves turning a reactive, increasingly acute-based model on its head, to one where patients take more control, supported by an integrated system which proactively manages care with the default position being to provide this care in areas close to people’s homes, wherever possible. This is intended to improve health &amp; wellbeing and care &amp; quality for patients across NWL.</w:t>
      </w:r>
    </w:p>
    <w:p w14:paraId="438D057C" w14:textId="77777777" w:rsidR="007D3243" w:rsidRPr="003D794A" w:rsidRDefault="007D3243" w:rsidP="003D794A">
      <w:pPr>
        <w:spacing w:after="0" w:line="240" w:lineRule="auto"/>
        <w:rPr>
          <w:rFonts w:eastAsia="Times New Roman" w:cs="Times New Roman"/>
        </w:rPr>
      </w:pPr>
    </w:p>
    <w:p w14:paraId="141834E0" w14:textId="77777777" w:rsidR="007D3243" w:rsidRPr="003D794A" w:rsidRDefault="007D3243" w:rsidP="003D794A">
      <w:pPr>
        <w:spacing w:after="0" w:line="240" w:lineRule="auto"/>
        <w:rPr>
          <w:rFonts w:eastAsia="Times New Roman" w:cs="Times New Roman"/>
        </w:rPr>
      </w:pPr>
      <w:r w:rsidRPr="003D794A">
        <w:rPr>
          <w:rFonts w:eastAsia="Times New Roman" w:cs="Times New Roman"/>
        </w:rPr>
        <w:t xml:space="preserve">Hillingdon CCG’s commissioning priorities are built around the NWL Sustainability and Transformation Plan. In addition, Hillingdon is continuing to work locally towards establishing a model of ‘accountable care’ where the CCG commissions providers of services to work together to look after the needs of a whole population, rather than commissioning distinct services that can sometimes be fragmented and duplicative. </w:t>
      </w:r>
    </w:p>
    <w:p w14:paraId="7FB12C25" w14:textId="77777777" w:rsidR="00F931BF" w:rsidRPr="003D794A" w:rsidRDefault="00F931BF" w:rsidP="003D794A">
      <w:pPr>
        <w:keepNext/>
        <w:keepLines/>
        <w:tabs>
          <w:tab w:val="left" w:pos="284"/>
        </w:tabs>
        <w:spacing w:after="0" w:line="240" w:lineRule="auto"/>
        <w:outlineLvl w:val="0"/>
        <w:rPr>
          <w:rFonts w:eastAsiaTheme="majorEastAsia" w:cstheme="minorHAnsi"/>
          <w:b/>
          <w:bCs/>
          <w:lang w:eastAsia="en-GB"/>
        </w:rPr>
      </w:pPr>
      <w:bookmarkStart w:id="1" w:name="_Toc450055209"/>
    </w:p>
    <w:p w14:paraId="4AF77F2D" w14:textId="77777777" w:rsidR="008E26CD" w:rsidRPr="003D794A" w:rsidRDefault="008E26CD" w:rsidP="003D794A">
      <w:pPr>
        <w:keepNext/>
        <w:keepLines/>
        <w:tabs>
          <w:tab w:val="left" w:pos="284"/>
        </w:tabs>
        <w:spacing w:after="0" w:line="240" w:lineRule="auto"/>
        <w:outlineLvl w:val="0"/>
        <w:rPr>
          <w:rFonts w:eastAsiaTheme="majorEastAsia" w:cstheme="minorHAnsi"/>
          <w:b/>
          <w:bCs/>
          <w:lang w:eastAsia="en-GB"/>
        </w:rPr>
      </w:pPr>
      <w:r w:rsidRPr="003D794A">
        <w:rPr>
          <w:rFonts w:eastAsiaTheme="majorEastAsia" w:cstheme="minorHAnsi"/>
          <w:b/>
          <w:bCs/>
          <w:lang w:eastAsia="en-GB"/>
        </w:rPr>
        <w:t>4. The commissioning organisation</w:t>
      </w:r>
    </w:p>
    <w:p w14:paraId="13D6C561" w14:textId="77777777" w:rsidR="008E26CD" w:rsidRPr="003D794A" w:rsidRDefault="008E26CD" w:rsidP="003D794A">
      <w:pPr>
        <w:keepNext/>
        <w:keepLines/>
        <w:tabs>
          <w:tab w:val="left" w:pos="284"/>
        </w:tabs>
        <w:spacing w:after="0" w:line="240" w:lineRule="auto"/>
        <w:outlineLvl w:val="0"/>
        <w:rPr>
          <w:rFonts w:eastAsiaTheme="majorEastAsia" w:cstheme="minorHAnsi"/>
          <w:b/>
          <w:bCs/>
          <w:lang w:eastAsia="en-GB"/>
        </w:rPr>
      </w:pPr>
    </w:p>
    <w:p w14:paraId="315EE086" w14:textId="77777777" w:rsidR="008E26CD" w:rsidRPr="003D794A" w:rsidRDefault="008E26CD" w:rsidP="003D794A">
      <w:pPr>
        <w:spacing w:after="0" w:line="240" w:lineRule="auto"/>
        <w:rPr>
          <w:rFonts w:cs="Arial"/>
          <w:color w:val="000000"/>
        </w:rPr>
      </w:pPr>
      <w:r w:rsidRPr="003D794A">
        <w:rPr>
          <w:rFonts w:cs="Arial"/>
          <w:color w:val="000000"/>
        </w:rPr>
        <w:t xml:space="preserve">4.1 Hillingdon CCG’s population </w:t>
      </w:r>
    </w:p>
    <w:p w14:paraId="3C6A0257" w14:textId="77777777" w:rsidR="00400DED" w:rsidRPr="003D794A" w:rsidRDefault="00400DED" w:rsidP="003D794A">
      <w:pPr>
        <w:spacing w:after="0" w:line="240" w:lineRule="auto"/>
        <w:rPr>
          <w:rFonts w:cs="Arial"/>
          <w:color w:val="000000"/>
        </w:rPr>
      </w:pPr>
    </w:p>
    <w:p w14:paraId="1FD836B2" w14:textId="77777777" w:rsidR="008E26CD" w:rsidRPr="003D794A" w:rsidRDefault="008E26CD" w:rsidP="003D794A">
      <w:pPr>
        <w:spacing w:after="0" w:line="240" w:lineRule="auto"/>
        <w:rPr>
          <w:rFonts w:cs="Arial"/>
        </w:rPr>
      </w:pPr>
      <w:r w:rsidRPr="003D794A">
        <w:rPr>
          <w:rFonts w:cs="Arial"/>
        </w:rPr>
        <w:t>Hillingdon is the second largest of London’s 32 boroughs covering an area of 42 square miles (11571 hectares), over half of which is a mosaic of countryside including canals, rivers, parks and woodland. As the home of Heathrow Airport, Hillingdon is London’s foremost gateway to the world, and is also home to the largest RAF airport at RAF Northolt. Hillingdon shares its borders with Hertfordshire, Buckinghamshire, Hounslow, Ealing, and Harrow.</w:t>
      </w:r>
    </w:p>
    <w:p w14:paraId="44B6FF1D" w14:textId="77777777" w:rsidR="008E26CD" w:rsidRPr="003D794A" w:rsidRDefault="008E26CD" w:rsidP="003D794A">
      <w:pPr>
        <w:spacing w:after="0" w:line="240" w:lineRule="auto"/>
        <w:rPr>
          <w:rFonts w:eastAsia="Calibri" w:cs="Arial"/>
          <w:bCs/>
        </w:rPr>
      </w:pPr>
    </w:p>
    <w:p w14:paraId="3B65DB12" w14:textId="77777777" w:rsidR="008E26CD" w:rsidRPr="003D794A" w:rsidRDefault="008E26CD" w:rsidP="003D794A">
      <w:pPr>
        <w:spacing w:after="0" w:line="240" w:lineRule="auto"/>
        <w:rPr>
          <w:rFonts w:eastAsia="+mn-ea" w:cs="Arial"/>
          <w:kern w:val="24"/>
        </w:rPr>
      </w:pPr>
      <w:r w:rsidRPr="003D794A">
        <w:rPr>
          <w:rFonts w:eastAsia="Calibri" w:cs="Arial"/>
          <w:bCs/>
        </w:rPr>
        <w:t>Hillingdon is the second largest London borough by area, located 14 miles from central London with the 12</w:t>
      </w:r>
      <w:r w:rsidRPr="003D794A">
        <w:rPr>
          <w:rFonts w:eastAsia="Calibri" w:cs="Arial"/>
          <w:bCs/>
          <w:vertAlign w:val="superscript"/>
        </w:rPr>
        <w:t>th</w:t>
      </w:r>
      <w:r w:rsidRPr="003D794A">
        <w:rPr>
          <w:rFonts w:eastAsia="Calibri" w:cs="Arial"/>
          <w:bCs/>
        </w:rPr>
        <w:t xml:space="preserve"> largest population. </w:t>
      </w:r>
      <w:r w:rsidRPr="003D794A">
        <w:rPr>
          <w:rFonts w:eastAsia="Calibri" w:cs="Arial"/>
        </w:rPr>
        <w:t>Based on the Office for National Statistics (ONS) sub-national population projections, the Hillingdon population in 2017 is projected to be 309,300 with 23,100 (7.5%) aged 0-</w:t>
      </w:r>
      <w:r w:rsidRPr="003D794A">
        <w:rPr>
          <w:rFonts w:eastAsia="Calibri" w:cs="Arial"/>
        </w:rPr>
        <w:lastRenderedPageBreak/>
        <w:t xml:space="preserve">4 years, 40,100 (13.0%) aged 5-14 years, 205,600 (66.5%) aged 15-64 years, 21,400 (6.9%) aged 65-74 and 19,100 (6.2%) aged over 75. </w:t>
      </w:r>
      <w:r w:rsidRPr="003D794A">
        <w:rPr>
          <w:rFonts w:eastAsia="+mn-ea" w:cs="Arial"/>
          <w:kern w:val="24"/>
        </w:rPr>
        <w:t xml:space="preserve">The age structure of the population in Hillingdon is intermediate between that for London and that for England, with, for the most part, a distribution that is slightly older than London as a whole but younger than England. Among children and young adults however, there is a larger proportion resident in Hillingdon than for both London and England. </w:t>
      </w:r>
      <w:r w:rsidRPr="003D794A">
        <w:rPr>
          <w:rFonts w:eastAsia="Calibri" w:cs="Arial"/>
        </w:rPr>
        <w:t xml:space="preserve">A growth of just over 18,300 residents is projected by 2021, with children aged 5-14 years and adults aged 65-74 years projected to have the highest growth rates. </w:t>
      </w:r>
      <w:r w:rsidRPr="003D794A">
        <w:rPr>
          <w:rFonts w:eastAsia="+mn-ea" w:cs="Arial"/>
          <w:kern w:val="24"/>
        </w:rPr>
        <w:t xml:space="preserve">Comparatively, the population growth in Hillingdon is projected to be higher than any other North West London CCG and will be above both the average for London and England.  </w:t>
      </w:r>
    </w:p>
    <w:p w14:paraId="4D920BB8" w14:textId="77777777" w:rsidR="00ED0F2D" w:rsidRPr="003D794A" w:rsidRDefault="00ED0F2D" w:rsidP="003D794A">
      <w:pPr>
        <w:spacing w:after="0" w:line="240" w:lineRule="auto"/>
        <w:rPr>
          <w:rFonts w:eastAsia="+mn-ea" w:cs="Arial"/>
          <w:kern w:val="24"/>
        </w:rPr>
      </w:pPr>
    </w:p>
    <w:p w14:paraId="76D864F0" w14:textId="77777777" w:rsidR="00ED0F2D" w:rsidRPr="003D794A" w:rsidRDefault="00ED0F2D" w:rsidP="003D794A">
      <w:pPr>
        <w:widowControl w:val="0"/>
        <w:autoSpaceDE w:val="0"/>
        <w:autoSpaceDN w:val="0"/>
        <w:adjustRightInd w:val="0"/>
        <w:spacing w:after="0" w:line="240" w:lineRule="auto"/>
        <w:rPr>
          <w:rFonts w:cs="Arial"/>
          <w:lang w:val="en-US"/>
        </w:rPr>
      </w:pPr>
      <w:r w:rsidRPr="003D794A">
        <w:rPr>
          <w:rFonts w:cs="Arial"/>
          <w:lang w:val="en-US"/>
        </w:rPr>
        <w:t>Important information about the borough this procurement covers, including the needs and challenges can be found in the relevant Joint Strategic Needs Assessment (JSNA).</w:t>
      </w:r>
      <w:r w:rsidR="0075100B" w:rsidRPr="003D794A">
        <w:rPr>
          <w:rFonts w:cs="Arial"/>
          <w:lang w:val="en-US"/>
        </w:rPr>
        <w:t xml:space="preserve"> B</w:t>
      </w:r>
      <w:r w:rsidRPr="003D794A">
        <w:rPr>
          <w:rFonts w:cs="Arial"/>
          <w:lang w:val="en-US"/>
        </w:rPr>
        <w:t>elow is a brief sum</w:t>
      </w:r>
      <w:r w:rsidR="0075100B" w:rsidRPr="003D794A">
        <w:rPr>
          <w:rFonts w:cs="Arial"/>
          <w:lang w:val="en-US"/>
        </w:rPr>
        <w:t xml:space="preserve">mary of </w:t>
      </w:r>
      <w:r w:rsidR="0032191C" w:rsidRPr="003D794A">
        <w:rPr>
          <w:rFonts w:cs="Arial"/>
          <w:lang w:val="en-US"/>
        </w:rPr>
        <w:t xml:space="preserve">some of </w:t>
      </w:r>
      <w:r w:rsidR="0075100B" w:rsidRPr="003D794A">
        <w:rPr>
          <w:rFonts w:cs="Arial"/>
          <w:lang w:val="en-US"/>
        </w:rPr>
        <w:t>the key characteristics.</w:t>
      </w:r>
    </w:p>
    <w:p w14:paraId="66A535E2" w14:textId="77777777" w:rsidR="00ED0F2D" w:rsidRPr="003D794A" w:rsidRDefault="00ED0F2D" w:rsidP="003D794A">
      <w:pPr>
        <w:spacing w:after="0" w:line="240" w:lineRule="auto"/>
        <w:rPr>
          <w:rFonts w:eastAsia="Calibri" w:cs="Arial"/>
          <w:b/>
        </w:rPr>
      </w:pPr>
    </w:p>
    <w:p w14:paraId="6B11121D" w14:textId="77777777" w:rsidR="00ED0F2D" w:rsidRPr="003D794A" w:rsidRDefault="007D3243" w:rsidP="003D794A">
      <w:pPr>
        <w:autoSpaceDE w:val="0"/>
        <w:autoSpaceDN w:val="0"/>
        <w:adjustRightInd w:val="0"/>
        <w:spacing w:after="0" w:line="240" w:lineRule="auto"/>
        <w:rPr>
          <w:rFonts w:cs="Arial"/>
        </w:rPr>
      </w:pPr>
      <w:r w:rsidRPr="003D794A">
        <w:rPr>
          <w:rFonts w:cs="Arial"/>
        </w:rPr>
        <w:t xml:space="preserve">4.1.1 </w:t>
      </w:r>
      <w:r w:rsidR="00ED0F2D" w:rsidRPr="003D794A">
        <w:rPr>
          <w:rFonts w:cs="Arial"/>
        </w:rPr>
        <w:t>Ethnicity</w:t>
      </w:r>
    </w:p>
    <w:p w14:paraId="49E88CF6" w14:textId="77777777" w:rsidR="00400DED" w:rsidRPr="003D794A" w:rsidRDefault="00400DED" w:rsidP="003D794A">
      <w:pPr>
        <w:autoSpaceDE w:val="0"/>
        <w:autoSpaceDN w:val="0"/>
        <w:adjustRightInd w:val="0"/>
        <w:spacing w:after="0" w:line="240" w:lineRule="auto"/>
        <w:rPr>
          <w:rFonts w:cs="Arial"/>
        </w:rPr>
      </w:pPr>
    </w:p>
    <w:p w14:paraId="7ED0642D" w14:textId="739F8175" w:rsidR="00ED0F2D" w:rsidRPr="003D794A" w:rsidRDefault="00ED0F2D" w:rsidP="003D794A">
      <w:pPr>
        <w:autoSpaceDE w:val="0"/>
        <w:autoSpaceDN w:val="0"/>
        <w:adjustRightInd w:val="0"/>
        <w:spacing w:after="0" w:line="240" w:lineRule="auto"/>
        <w:rPr>
          <w:rFonts w:cs="Arial"/>
        </w:rPr>
      </w:pPr>
      <w:r w:rsidRPr="003D794A">
        <w:rPr>
          <w:rFonts w:cs="Arial"/>
        </w:rPr>
        <w:t>Hillingdon is an ethnically diverse borough with 47%</w:t>
      </w:r>
      <w:r w:rsidR="00400DED" w:rsidRPr="003D794A">
        <w:rPr>
          <w:rFonts w:cs="Arial"/>
        </w:rPr>
        <w:t xml:space="preserve"> of residents form BME groups. </w:t>
      </w:r>
      <w:r w:rsidRPr="003D794A">
        <w:rPr>
          <w:rFonts w:cs="Arial"/>
        </w:rPr>
        <w:t xml:space="preserve">In 2011 Census in Hillingdon 52% of the population were White British, 8.4% White other and 40% BME Groups </w:t>
      </w:r>
      <w:r w:rsidR="0075100B" w:rsidRPr="003D794A">
        <w:rPr>
          <w:rFonts w:cs="Arial"/>
        </w:rPr>
        <w:t xml:space="preserve">including 25% that are Asians. </w:t>
      </w:r>
      <w:r w:rsidRPr="003D794A">
        <w:rPr>
          <w:rFonts w:cs="Arial"/>
        </w:rPr>
        <w:t>In London over half (55%) population are from BME groups and in England 20% from MBE Groups.</w:t>
      </w:r>
    </w:p>
    <w:p w14:paraId="1BA00238" w14:textId="77777777" w:rsidR="00ED0F2D" w:rsidRPr="003D794A" w:rsidRDefault="00ED0F2D" w:rsidP="003D794A">
      <w:pPr>
        <w:spacing w:after="0" w:line="240" w:lineRule="auto"/>
        <w:rPr>
          <w:rFonts w:eastAsia="Calibri" w:cs="Arial"/>
          <w:b/>
        </w:rPr>
      </w:pPr>
    </w:p>
    <w:p w14:paraId="6481D929" w14:textId="77777777" w:rsidR="00ED0F2D" w:rsidRPr="003D794A" w:rsidRDefault="00ED0F2D" w:rsidP="003D794A">
      <w:pPr>
        <w:autoSpaceDE w:val="0"/>
        <w:autoSpaceDN w:val="0"/>
        <w:adjustRightInd w:val="0"/>
        <w:spacing w:after="0" w:line="240" w:lineRule="auto"/>
        <w:ind w:firstLine="720"/>
        <w:rPr>
          <w:rFonts w:cs="Arial"/>
        </w:rPr>
      </w:pPr>
      <w:r w:rsidRPr="003D794A">
        <w:rPr>
          <w:rFonts w:cs="Arial"/>
        </w:rPr>
        <w:t>Top 5 Languages Spoken</w:t>
      </w:r>
    </w:p>
    <w:p w14:paraId="6474EA49" w14:textId="77777777" w:rsidR="00ED0F2D" w:rsidRPr="003D794A" w:rsidRDefault="00ED0F2D" w:rsidP="003D794A">
      <w:pPr>
        <w:autoSpaceDE w:val="0"/>
        <w:autoSpaceDN w:val="0"/>
        <w:adjustRightInd w:val="0"/>
        <w:spacing w:after="0" w:line="240" w:lineRule="auto"/>
        <w:ind w:firstLine="720"/>
        <w:rPr>
          <w:rFonts w:cs="Arial"/>
        </w:rPr>
      </w:pPr>
      <w:r w:rsidRPr="003D794A">
        <w:rPr>
          <w:rFonts w:cs="Arial"/>
        </w:rPr>
        <w:t>English</w:t>
      </w:r>
      <w:r w:rsidRPr="003D794A">
        <w:rPr>
          <w:rFonts w:cs="Arial"/>
        </w:rPr>
        <w:tab/>
      </w:r>
      <w:r w:rsidRPr="003D794A">
        <w:rPr>
          <w:rFonts w:cs="Arial"/>
        </w:rPr>
        <w:tab/>
      </w:r>
      <w:r w:rsidRPr="003D794A">
        <w:rPr>
          <w:rFonts w:cs="Arial"/>
        </w:rPr>
        <w:tab/>
        <w:t>212,834</w:t>
      </w:r>
      <w:r w:rsidRPr="003D794A">
        <w:rPr>
          <w:rFonts w:cs="Arial"/>
        </w:rPr>
        <w:tab/>
        <w:t>81.2%</w:t>
      </w:r>
    </w:p>
    <w:p w14:paraId="744CDE0A" w14:textId="77777777" w:rsidR="00ED0F2D" w:rsidRPr="003D794A" w:rsidRDefault="00ED0F2D" w:rsidP="003D794A">
      <w:pPr>
        <w:autoSpaceDE w:val="0"/>
        <w:autoSpaceDN w:val="0"/>
        <w:adjustRightInd w:val="0"/>
        <w:spacing w:after="0" w:line="240" w:lineRule="auto"/>
        <w:ind w:firstLine="720"/>
        <w:rPr>
          <w:rFonts w:cs="Arial"/>
        </w:rPr>
      </w:pPr>
      <w:r w:rsidRPr="003D794A">
        <w:rPr>
          <w:rFonts w:cs="Arial"/>
        </w:rPr>
        <w:t>Punjabi</w:t>
      </w:r>
      <w:r w:rsidRPr="003D794A">
        <w:rPr>
          <w:rFonts w:cs="Arial"/>
        </w:rPr>
        <w:tab/>
      </w:r>
      <w:r w:rsidRPr="003D794A">
        <w:rPr>
          <w:rFonts w:cs="Arial"/>
        </w:rPr>
        <w:tab/>
      </w:r>
      <w:r w:rsidRPr="003D794A">
        <w:rPr>
          <w:rFonts w:cs="Arial"/>
        </w:rPr>
        <w:tab/>
        <w:t>8,837</w:t>
      </w:r>
      <w:r w:rsidRPr="003D794A">
        <w:rPr>
          <w:rFonts w:cs="Arial"/>
        </w:rPr>
        <w:tab/>
      </w:r>
      <w:r w:rsidRPr="003D794A">
        <w:rPr>
          <w:rFonts w:cs="Arial"/>
        </w:rPr>
        <w:tab/>
        <w:t>3.4%</w:t>
      </w:r>
    </w:p>
    <w:p w14:paraId="43EF1893" w14:textId="77777777" w:rsidR="00ED0F2D" w:rsidRPr="003D794A" w:rsidRDefault="00ED0F2D" w:rsidP="003D794A">
      <w:pPr>
        <w:autoSpaceDE w:val="0"/>
        <w:autoSpaceDN w:val="0"/>
        <w:adjustRightInd w:val="0"/>
        <w:spacing w:after="0" w:line="240" w:lineRule="auto"/>
        <w:ind w:firstLine="720"/>
        <w:rPr>
          <w:rFonts w:cs="Arial"/>
        </w:rPr>
      </w:pPr>
      <w:r w:rsidRPr="003D794A">
        <w:rPr>
          <w:rFonts w:cs="Arial"/>
        </w:rPr>
        <w:t>Polish</w:t>
      </w:r>
      <w:r w:rsidRPr="003D794A">
        <w:rPr>
          <w:rFonts w:cs="Arial"/>
        </w:rPr>
        <w:tab/>
      </w:r>
      <w:r w:rsidRPr="003D794A">
        <w:rPr>
          <w:rFonts w:cs="Arial"/>
        </w:rPr>
        <w:tab/>
      </w:r>
      <w:r w:rsidRPr="003D794A">
        <w:rPr>
          <w:rFonts w:cs="Arial"/>
        </w:rPr>
        <w:tab/>
        <w:t>3,994</w:t>
      </w:r>
      <w:r w:rsidRPr="003D794A">
        <w:rPr>
          <w:rFonts w:cs="Arial"/>
        </w:rPr>
        <w:tab/>
      </w:r>
      <w:r w:rsidRPr="003D794A">
        <w:rPr>
          <w:rFonts w:cs="Arial"/>
        </w:rPr>
        <w:tab/>
        <w:t>1.5%</w:t>
      </w:r>
    </w:p>
    <w:p w14:paraId="468E8B74" w14:textId="77777777" w:rsidR="00ED0F2D" w:rsidRPr="003D794A" w:rsidRDefault="00ED0F2D" w:rsidP="003D794A">
      <w:pPr>
        <w:autoSpaceDE w:val="0"/>
        <w:autoSpaceDN w:val="0"/>
        <w:adjustRightInd w:val="0"/>
        <w:spacing w:after="0" w:line="240" w:lineRule="auto"/>
        <w:ind w:firstLine="720"/>
        <w:rPr>
          <w:rFonts w:cs="Arial"/>
        </w:rPr>
      </w:pPr>
      <w:r w:rsidRPr="003D794A">
        <w:rPr>
          <w:rFonts w:cs="Arial"/>
        </w:rPr>
        <w:t>Tamil</w:t>
      </w:r>
      <w:r w:rsidRPr="003D794A">
        <w:rPr>
          <w:rFonts w:cs="Arial"/>
        </w:rPr>
        <w:tab/>
      </w:r>
      <w:r w:rsidRPr="003D794A">
        <w:rPr>
          <w:rFonts w:cs="Arial"/>
        </w:rPr>
        <w:tab/>
      </w:r>
      <w:r w:rsidRPr="003D794A">
        <w:rPr>
          <w:rFonts w:cs="Arial"/>
        </w:rPr>
        <w:tab/>
        <w:t>3,556</w:t>
      </w:r>
      <w:r w:rsidRPr="003D794A">
        <w:rPr>
          <w:rFonts w:cs="Arial"/>
        </w:rPr>
        <w:tab/>
      </w:r>
      <w:r w:rsidRPr="003D794A">
        <w:rPr>
          <w:rFonts w:cs="Arial"/>
        </w:rPr>
        <w:tab/>
        <w:t>1.4%</w:t>
      </w:r>
    </w:p>
    <w:p w14:paraId="6588C8FD" w14:textId="77777777" w:rsidR="00ED0F2D" w:rsidRPr="003D794A" w:rsidRDefault="00ED0F2D" w:rsidP="003D794A">
      <w:pPr>
        <w:autoSpaceDE w:val="0"/>
        <w:autoSpaceDN w:val="0"/>
        <w:adjustRightInd w:val="0"/>
        <w:spacing w:after="0" w:line="240" w:lineRule="auto"/>
        <w:ind w:firstLine="720"/>
        <w:rPr>
          <w:rFonts w:cs="Arial"/>
        </w:rPr>
      </w:pPr>
      <w:r w:rsidRPr="003D794A">
        <w:rPr>
          <w:rFonts w:cs="Arial"/>
        </w:rPr>
        <w:t>Urdu</w:t>
      </w:r>
      <w:r w:rsidRPr="003D794A">
        <w:rPr>
          <w:rFonts w:cs="Arial"/>
        </w:rPr>
        <w:tab/>
      </w:r>
      <w:r w:rsidRPr="003D794A">
        <w:rPr>
          <w:rFonts w:cs="Arial"/>
        </w:rPr>
        <w:tab/>
      </w:r>
      <w:r w:rsidRPr="003D794A">
        <w:rPr>
          <w:rFonts w:cs="Arial"/>
        </w:rPr>
        <w:tab/>
        <w:t>3,344</w:t>
      </w:r>
      <w:r w:rsidRPr="003D794A">
        <w:rPr>
          <w:rFonts w:cs="Arial"/>
        </w:rPr>
        <w:tab/>
      </w:r>
      <w:r w:rsidRPr="003D794A">
        <w:rPr>
          <w:rFonts w:cs="Arial"/>
        </w:rPr>
        <w:tab/>
        <w:t>1.3%</w:t>
      </w:r>
    </w:p>
    <w:p w14:paraId="4B9388AC" w14:textId="77777777" w:rsidR="00ED0F2D" w:rsidRPr="003D794A" w:rsidRDefault="00ED0F2D" w:rsidP="003D794A">
      <w:pPr>
        <w:autoSpaceDE w:val="0"/>
        <w:autoSpaceDN w:val="0"/>
        <w:adjustRightInd w:val="0"/>
        <w:spacing w:after="0" w:line="240" w:lineRule="auto"/>
        <w:ind w:firstLine="720"/>
        <w:rPr>
          <w:rFonts w:cs="Arial"/>
        </w:rPr>
      </w:pPr>
      <w:r w:rsidRPr="003D794A">
        <w:rPr>
          <w:rFonts w:cs="Arial"/>
        </w:rPr>
        <w:t>Remaining Languages</w:t>
      </w:r>
      <w:r w:rsidRPr="003D794A">
        <w:rPr>
          <w:rFonts w:cs="Arial"/>
        </w:rPr>
        <w:tab/>
        <w:t>29,424</w:t>
      </w:r>
      <w:r w:rsidRPr="003D794A">
        <w:rPr>
          <w:rFonts w:cs="Arial"/>
        </w:rPr>
        <w:tab/>
      </w:r>
      <w:r w:rsidRPr="003D794A">
        <w:rPr>
          <w:rFonts w:cs="Arial"/>
        </w:rPr>
        <w:tab/>
        <w:t>11.0%</w:t>
      </w:r>
    </w:p>
    <w:p w14:paraId="75EF0480" w14:textId="77777777" w:rsidR="008E26CD" w:rsidRPr="003D794A" w:rsidRDefault="008E26CD" w:rsidP="003D794A">
      <w:pPr>
        <w:keepNext/>
        <w:keepLines/>
        <w:tabs>
          <w:tab w:val="left" w:pos="284"/>
        </w:tabs>
        <w:spacing w:after="0" w:line="240" w:lineRule="auto"/>
        <w:outlineLvl w:val="0"/>
        <w:rPr>
          <w:rFonts w:eastAsiaTheme="majorEastAsia" w:cstheme="minorHAnsi"/>
          <w:b/>
          <w:bCs/>
          <w:lang w:eastAsia="en-GB"/>
        </w:rPr>
      </w:pPr>
    </w:p>
    <w:p w14:paraId="6D8C906B" w14:textId="77777777" w:rsidR="00ED0F2D" w:rsidRPr="003D794A" w:rsidRDefault="007D3243" w:rsidP="003D794A">
      <w:pPr>
        <w:spacing w:after="0" w:line="240" w:lineRule="auto"/>
        <w:rPr>
          <w:rFonts w:cs="Arial"/>
        </w:rPr>
      </w:pPr>
      <w:r w:rsidRPr="003D794A">
        <w:rPr>
          <w:rFonts w:cs="Arial"/>
        </w:rPr>
        <w:t xml:space="preserve">4.1.2 </w:t>
      </w:r>
      <w:r w:rsidR="00ED0F2D" w:rsidRPr="003D794A">
        <w:rPr>
          <w:rFonts w:cs="Arial"/>
        </w:rPr>
        <w:t>Religion</w:t>
      </w:r>
    </w:p>
    <w:p w14:paraId="49365A04" w14:textId="77777777" w:rsidR="00400DED" w:rsidRPr="003D794A" w:rsidRDefault="00400DED" w:rsidP="003D794A">
      <w:pPr>
        <w:spacing w:after="0" w:line="240" w:lineRule="auto"/>
        <w:rPr>
          <w:rFonts w:cs="Arial"/>
          <w:b/>
        </w:rPr>
      </w:pPr>
    </w:p>
    <w:p w14:paraId="448D44B1" w14:textId="77777777" w:rsidR="00ED0F2D" w:rsidRPr="003D794A" w:rsidRDefault="00ED0F2D" w:rsidP="003D794A">
      <w:pPr>
        <w:spacing w:after="0" w:line="240" w:lineRule="auto"/>
        <w:rPr>
          <w:rFonts w:cs="Arial"/>
        </w:rPr>
      </w:pPr>
      <w:r w:rsidRPr="003D794A">
        <w:rPr>
          <w:rFonts w:cs="Arial"/>
        </w:rPr>
        <w:t>Data from 2011 Census provides following statistics on Religion</w:t>
      </w:r>
    </w:p>
    <w:p w14:paraId="6F7BE363" w14:textId="77777777" w:rsidR="004F57E0" w:rsidRPr="003D794A" w:rsidRDefault="004F57E0" w:rsidP="003D794A">
      <w:pPr>
        <w:spacing w:after="0" w:line="240" w:lineRule="auto"/>
        <w:rPr>
          <w:rFonts w:cs="Arial"/>
        </w:rPr>
      </w:pPr>
    </w:p>
    <w:p w14:paraId="7A9122D3" w14:textId="77777777" w:rsidR="00ED0F2D" w:rsidRPr="003D794A" w:rsidRDefault="00ED0F2D" w:rsidP="003D794A">
      <w:pPr>
        <w:spacing w:after="0" w:line="240" w:lineRule="auto"/>
        <w:ind w:firstLine="720"/>
        <w:rPr>
          <w:rFonts w:cs="Arial"/>
        </w:rPr>
      </w:pPr>
      <w:r w:rsidRPr="003D794A">
        <w:rPr>
          <w:rFonts w:cs="Arial"/>
        </w:rPr>
        <w:t>Christian                        134,813                    49.2%</w:t>
      </w:r>
    </w:p>
    <w:p w14:paraId="2CF1E167" w14:textId="77777777" w:rsidR="00ED0F2D" w:rsidRPr="003D794A" w:rsidRDefault="00ED0F2D" w:rsidP="003D794A">
      <w:pPr>
        <w:spacing w:after="0" w:line="240" w:lineRule="auto"/>
        <w:ind w:firstLine="720"/>
        <w:rPr>
          <w:rFonts w:cs="Arial"/>
        </w:rPr>
      </w:pPr>
      <w:r w:rsidRPr="003D794A">
        <w:rPr>
          <w:rFonts w:cs="Arial"/>
        </w:rPr>
        <w:t>Muslim                             29,065                   10.5%</w:t>
      </w:r>
    </w:p>
    <w:p w14:paraId="566103DC" w14:textId="77777777" w:rsidR="00ED0F2D" w:rsidRPr="003D794A" w:rsidRDefault="00ED0F2D" w:rsidP="003D794A">
      <w:pPr>
        <w:spacing w:after="0" w:line="240" w:lineRule="auto"/>
        <w:ind w:firstLine="720"/>
        <w:rPr>
          <w:rFonts w:cs="Arial"/>
        </w:rPr>
      </w:pPr>
      <w:r w:rsidRPr="003D794A">
        <w:rPr>
          <w:rFonts w:cs="Arial"/>
        </w:rPr>
        <w:t>Hindu                              22,033                      8.0%</w:t>
      </w:r>
    </w:p>
    <w:p w14:paraId="62DDE7C9" w14:textId="77777777" w:rsidR="00ED0F2D" w:rsidRPr="003D794A" w:rsidRDefault="00ED0F2D" w:rsidP="003D794A">
      <w:pPr>
        <w:spacing w:after="0" w:line="240" w:lineRule="auto"/>
        <w:ind w:firstLine="720"/>
        <w:rPr>
          <w:rFonts w:cs="Arial"/>
        </w:rPr>
      </w:pPr>
      <w:r w:rsidRPr="003D794A">
        <w:rPr>
          <w:rFonts w:cs="Arial"/>
        </w:rPr>
        <w:t>Sikh                                18,230                       6.7%</w:t>
      </w:r>
    </w:p>
    <w:p w14:paraId="7611F431" w14:textId="77777777" w:rsidR="00ED0F2D" w:rsidRPr="003D794A" w:rsidRDefault="00ED0F2D" w:rsidP="003D794A">
      <w:pPr>
        <w:spacing w:after="0" w:line="240" w:lineRule="auto"/>
        <w:ind w:firstLine="720"/>
        <w:rPr>
          <w:rFonts w:cs="Arial"/>
        </w:rPr>
      </w:pPr>
      <w:r w:rsidRPr="003D794A">
        <w:rPr>
          <w:rFonts w:cs="Arial"/>
        </w:rPr>
        <w:t>Buddhist                           2,386                       0.9%</w:t>
      </w:r>
    </w:p>
    <w:p w14:paraId="29D1E467" w14:textId="77777777" w:rsidR="00ED0F2D" w:rsidRPr="003D794A" w:rsidRDefault="00ED0F2D" w:rsidP="003D794A">
      <w:pPr>
        <w:spacing w:after="0" w:line="240" w:lineRule="auto"/>
        <w:ind w:firstLine="720"/>
        <w:rPr>
          <w:rFonts w:cs="Arial"/>
        </w:rPr>
      </w:pPr>
      <w:r w:rsidRPr="003D794A">
        <w:rPr>
          <w:rFonts w:cs="Arial"/>
        </w:rPr>
        <w:t>Jewish                              1,753                       0.6%</w:t>
      </w:r>
    </w:p>
    <w:p w14:paraId="74340CC5" w14:textId="77777777" w:rsidR="00ED0F2D" w:rsidRPr="003D794A" w:rsidRDefault="00ED0F2D" w:rsidP="003D794A">
      <w:pPr>
        <w:spacing w:after="0" w:line="240" w:lineRule="auto"/>
        <w:ind w:firstLine="720"/>
        <w:rPr>
          <w:rFonts w:cs="Arial"/>
        </w:rPr>
      </w:pPr>
      <w:r w:rsidRPr="003D794A">
        <w:rPr>
          <w:rFonts w:cs="Arial"/>
        </w:rPr>
        <w:t>No Religion                     46,492                      17%</w:t>
      </w:r>
    </w:p>
    <w:p w14:paraId="0BDADB1B" w14:textId="77777777" w:rsidR="00ED0F2D" w:rsidRPr="003D794A" w:rsidRDefault="00ED0F2D" w:rsidP="003D794A">
      <w:pPr>
        <w:spacing w:after="0" w:line="240" w:lineRule="auto"/>
        <w:rPr>
          <w:rFonts w:cs="Arial"/>
        </w:rPr>
      </w:pPr>
    </w:p>
    <w:p w14:paraId="66143FE5" w14:textId="77777777" w:rsidR="00ED0F2D" w:rsidRPr="003D794A" w:rsidRDefault="00ED0F2D" w:rsidP="003D794A">
      <w:pPr>
        <w:spacing w:after="0" w:line="240" w:lineRule="auto"/>
        <w:rPr>
          <w:rFonts w:cs="Arial"/>
          <w:b/>
        </w:rPr>
      </w:pPr>
      <w:r w:rsidRPr="003D794A">
        <w:rPr>
          <w:rFonts w:cs="Arial"/>
        </w:rPr>
        <w:t xml:space="preserve">Hillingdon actively engages these religious groups and continues to work closely by outreach programmes in settings sensitive to cultural needs of these groups. </w:t>
      </w:r>
    </w:p>
    <w:p w14:paraId="31E43106" w14:textId="77777777" w:rsidR="008E26CD" w:rsidRPr="003D794A" w:rsidRDefault="008E26CD" w:rsidP="003D794A">
      <w:pPr>
        <w:keepNext/>
        <w:keepLines/>
        <w:tabs>
          <w:tab w:val="left" w:pos="284"/>
        </w:tabs>
        <w:spacing w:after="0" w:line="240" w:lineRule="auto"/>
        <w:outlineLvl w:val="0"/>
        <w:rPr>
          <w:rFonts w:eastAsiaTheme="majorEastAsia" w:cstheme="minorHAnsi"/>
          <w:b/>
          <w:bCs/>
          <w:lang w:eastAsia="en-GB"/>
        </w:rPr>
      </w:pPr>
    </w:p>
    <w:p w14:paraId="1A397E2F" w14:textId="77777777" w:rsidR="0032191C" w:rsidRPr="003D794A" w:rsidRDefault="007D3243" w:rsidP="003D794A">
      <w:pPr>
        <w:spacing w:after="0" w:line="240" w:lineRule="auto"/>
        <w:rPr>
          <w:rFonts w:eastAsia="Times New Roman" w:cs="Times New Roman"/>
          <w:color w:val="000000"/>
          <w:lang w:eastAsia="en-GB"/>
        </w:rPr>
      </w:pPr>
      <w:r w:rsidRPr="003D794A">
        <w:rPr>
          <w:rFonts w:eastAsia="Times New Roman" w:cs="Times New Roman"/>
          <w:color w:val="000000"/>
          <w:lang w:eastAsia="en-GB"/>
        </w:rPr>
        <w:t xml:space="preserve">4.1.3 </w:t>
      </w:r>
      <w:r w:rsidR="0075100B" w:rsidRPr="003D794A">
        <w:rPr>
          <w:rFonts w:eastAsia="Times New Roman" w:cs="Times New Roman"/>
          <w:color w:val="000000"/>
          <w:lang w:eastAsia="en-GB"/>
        </w:rPr>
        <w:t>Gender</w:t>
      </w:r>
    </w:p>
    <w:p w14:paraId="452836AD" w14:textId="77777777" w:rsidR="00400DED" w:rsidRPr="003D794A" w:rsidRDefault="00400DED" w:rsidP="003D794A">
      <w:pPr>
        <w:spacing w:after="0" w:line="240" w:lineRule="auto"/>
        <w:rPr>
          <w:rFonts w:eastAsia="Times New Roman" w:cs="Times New Roman"/>
          <w:b/>
          <w:color w:val="000000"/>
          <w:lang w:eastAsia="en-GB"/>
        </w:rPr>
      </w:pPr>
    </w:p>
    <w:p w14:paraId="2AAAA419" w14:textId="77777777" w:rsidR="0075100B" w:rsidRPr="003D794A" w:rsidRDefault="0075100B" w:rsidP="003D794A">
      <w:pPr>
        <w:spacing w:after="0" w:line="240" w:lineRule="auto"/>
        <w:rPr>
          <w:rFonts w:eastAsia="Times New Roman" w:cs="Times New Roman"/>
          <w:b/>
          <w:color w:val="000000"/>
          <w:lang w:eastAsia="en-GB"/>
        </w:rPr>
      </w:pPr>
      <w:r w:rsidRPr="003D794A">
        <w:rPr>
          <w:rFonts w:eastAsia="Times New Roman" w:cs="Times New Roman"/>
          <w:color w:val="000000"/>
          <w:lang w:eastAsia="en-GB"/>
        </w:rPr>
        <w:t>Hillingdon’s population pyramid shows an even distribution of males (149,000) and Females (148,700) with the highest age group in the 20-44 year.</w:t>
      </w:r>
    </w:p>
    <w:p w14:paraId="6F661072" w14:textId="77777777" w:rsidR="0032191C" w:rsidRPr="003D794A" w:rsidRDefault="0032191C" w:rsidP="003D794A">
      <w:pPr>
        <w:spacing w:after="0" w:line="240" w:lineRule="auto"/>
        <w:rPr>
          <w:rFonts w:cs="Arial"/>
          <w:b/>
          <w:u w:val="single"/>
        </w:rPr>
      </w:pPr>
    </w:p>
    <w:p w14:paraId="32C661EA" w14:textId="77777777" w:rsidR="00400DED" w:rsidRPr="003D794A" w:rsidRDefault="00400DED" w:rsidP="003D794A">
      <w:pPr>
        <w:spacing w:after="0" w:line="240" w:lineRule="auto"/>
        <w:rPr>
          <w:rFonts w:cs="Arial"/>
        </w:rPr>
      </w:pPr>
    </w:p>
    <w:p w14:paraId="7FA72A64" w14:textId="77777777" w:rsidR="00400DED" w:rsidRPr="003D794A" w:rsidRDefault="00400DED" w:rsidP="003D794A">
      <w:pPr>
        <w:spacing w:after="0" w:line="240" w:lineRule="auto"/>
        <w:rPr>
          <w:rFonts w:cs="Arial"/>
        </w:rPr>
      </w:pPr>
    </w:p>
    <w:p w14:paraId="3991DC8D" w14:textId="77777777" w:rsidR="00ED0F2D" w:rsidRPr="003D794A" w:rsidRDefault="007D3243" w:rsidP="003D794A">
      <w:pPr>
        <w:spacing w:after="0" w:line="240" w:lineRule="auto"/>
        <w:rPr>
          <w:rFonts w:cs="Arial"/>
        </w:rPr>
      </w:pPr>
      <w:r w:rsidRPr="003D794A">
        <w:rPr>
          <w:rFonts w:cs="Arial"/>
        </w:rPr>
        <w:lastRenderedPageBreak/>
        <w:t xml:space="preserve">4.3.4 </w:t>
      </w:r>
      <w:r w:rsidR="00ED0F2D" w:rsidRPr="003D794A">
        <w:rPr>
          <w:rFonts w:cs="Arial"/>
        </w:rPr>
        <w:t>Disability</w:t>
      </w:r>
    </w:p>
    <w:p w14:paraId="4B123D1B" w14:textId="77777777" w:rsidR="00400DED" w:rsidRPr="003D794A" w:rsidRDefault="00400DED" w:rsidP="003D794A">
      <w:pPr>
        <w:spacing w:after="0" w:line="240" w:lineRule="auto"/>
        <w:rPr>
          <w:rFonts w:cs="Arial"/>
        </w:rPr>
      </w:pPr>
    </w:p>
    <w:p w14:paraId="2BC6DFDF" w14:textId="77777777" w:rsidR="00ED0F2D" w:rsidRPr="003D794A" w:rsidRDefault="00ED0F2D" w:rsidP="003D794A">
      <w:pPr>
        <w:spacing w:after="0" w:line="240" w:lineRule="auto"/>
        <w:rPr>
          <w:rFonts w:cs="Arial"/>
        </w:rPr>
      </w:pPr>
      <w:r w:rsidRPr="003D794A">
        <w:rPr>
          <w:rFonts w:cs="Arial"/>
        </w:rPr>
        <w:t>The 2011 Census identified that there were 37,850 people in Hillingdon who considered their day to day activities were limited a little or a lot by a disability or limiting long term illness.  69% of these were aged 50 and over   Official labour Market statistics, NOMIS) received 10,260 Disability Allowance claimants and 1,820 incapacity Benefit</w:t>
      </w:r>
    </w:p>
    <w:p w14:paraId="07872EE7" w14:textId="77777777" w:rsidR="0032191C" w:rsidRPr="003D794A" w:rsidRDefault="0032191C" w:rsidP="003D794A">
      <w:pPr>
        <w:spacing w:after="0" w:line="240" w:lineRule="auto"/>
        <w:rPr>
          <w:rFonts w:cs="Arial"/>
          <w:b/>
        </w:rPr>
      </w:pPr>
    </w:p>
    <w:p w14:paraId="681F12EE" w14:textId="77777777" w:rsidR="00ED0F2D" w:rsidRPr="003D794A" w:rsidRDefault="00ED0F2D" w:rsidP="003D794A">
      <w:pPr>
        <w:spacing w:after="0" w:line="240" w:lineRule="auto"/>
        <w:ind w:firstLine="720"/>
        <w:rPr>
          <w:rFonts w:cs="Arial"/>
        </w:rPr>
      </w:pPr>
      <w:r w:rsidRPr="003D794A">
        <w:rPr>
          <w:rFonts w:cs="Arial"/>
        </w:rPr>
        <w:t>People with limiting Long Term Illness and General Health</w:t>
      </w:r>
    </w:p>
    <w:p w14:paraId="0B262B73" w14:textId="77777777" w:rsidR="00ED0F2D" w:rsidRPr="003D794A" w:rsidRDefault="00ED0F2D" w:rsidP="003D794A">
      <w:pPr>
        <w:spacing w:after="0" w:line="240" w:lineRule="auto"/>
        <w:ind w:firstLine="720"/>
        <w:rPr>
          <w:rFonts w:cs="Arial"/>
        </w:rPr>
      </w:pPr>
      <w:r w:rsidRPr="003D794A">
        <w:rPr>
          <w:rFonts w:cs="Arial"/>
        </w:rPr>
        <w:t>People with LLTI</w:t>
      </w:r>
      <w:r w:rsidR="007D3243" w:rsidRPr="003D794A">
        <w:rPr>
          <w:rFonts w:cs="Arial"/>
        </w:rPr>
        <w:tab/>
      </w:r>
      <w:r w:rsidRPr="003D794A">
        <w:rPr>
          <w:rFonts w:cs="Arial"/>
        </w:rPr>
        <w:t>38,179</w:t>
      </w:r>
      <w:r w:rsidR="007D3243" w:rsidRPr="003D794A">
        <w:rPr>
          <w:rFonts w:cs="Arial"/>
        </w:rPr>
        <w:tab/>
      </w:r>
      <w:r w:rsidR="007D3243" w:rsidRPr="003D794A">
        <w:rPr>
          <w:rFonts w:cs="Arial"/>
        </w:rPr>
        <w:tab/>
      </w:r>
      <w:r w:rsidRPr="003D794A">
        <w:rPr>
          <w:rFonts w:cs="Arial"/>
        </w:rPr>
        <w:t>14.3%</w:t>
      </w:r>
    </w:p>
    <w:p w14:paraId="525D9F56" w14:textId="77777777" w:rsidR="00ED0F2D" w:rsidRPr="003D794A" w:rsidRDefault="00ED0F2D" w:rsidP="003D794A">
      <w:pPr>
        <w:spacing w:after="0" w:line="240" w:lineRule="auto"/>
        <w:ind w:firstLine="720"/>
        <w:rPr>
          <w:rFonts w:cs="Arial"/>
        </w:rPr>
      </w:pPr>
      <w:r w:rsidRPr="003D794A">
        <w:rPr>
          <w:rFonts w:cs="Arial"/>
        </w:rPr>
        <w:t>Very good/good</w:t>
      </w:r>
      <w:r w:rsidR="007D3243" w:rsidRPr="003D794A">
        <w:rPr>
          <w:rFonts w:cs="Arial"/>
        </w:rPr>
        <w:tab/>
      </w:r>
      <w:r w:rsidRPr="003D794A">
        <w:rPr>
          <w:rFonts w:cs="Arial"/>
        </w:rPr>
        <w:t>230,274</w:t>
      </w:r>
      <w:r w:rsidR="007D3243" w:rsidRPr="003D794A">
        <w:rPr>
          <w:rFonts w:cs="Arial"/>
        </w:rPr>
        <w:tab/>
      </w:r>
      <w:r w:rsidRPr="003D794A">
        <w:rPr>
          <w:rFonts w:cs="Arial"/>
        </w:rPr>
        <w:t>28%</w:t>
      </w:r>
    </w:p>
    <w:p w14:paraId="6CB687CC" w14:textId="77777777" w:rsidR="00ED0F2D" w:rsidRPr="003D794A" w:rsidRDefault="00ED0F2D" w:rsidP="003D794A">
      <w:pPr>
        <w:spacing w:after="0" w:line="240" w:lineRule="auto"/>
        <w:ind w:firstLine="720"/>
        <w:rPr>
          <w:rFonts w:cs="Arial"/>
        </w:rPr>
      </w:pPr>
      <w:r w:rsidRPr="003D794A">
        <w:rPr>
          <w:rFonts w:cs="Arial"/>
        </w:rPr>
        <w:t>Fair</w:t>
      </w:r>
      <w:r w:rsidR="007D3243" w:rsidRPr="003D794A">
        <w:rPr>
          <w:rFonts w:cs="Arial"/>
        </w:rPr>
        <w:tab/>
      </w:r>
      <w:r w:rsidR="007D3243" w:rsidRPr="003D794A">
        <w:rPr>
          <w:rFonts w:cs="Arial"/>
        </w:rPr>
        <w:tab/>
      </w:r>
      <w:r w:rsidR="007D3243" w:rsidRPr="003D794A">
        <w:rPr>
          <w:rFonts w:cs="Arial"/>
        </w:rPr>
        <w:tab/>
      </w:r>
      <w:r w:rsidRPr="003D794A">
        <w:rPr>
          <w:rFonts w:cs="Arial"/>
        </w:rPr>
        <w:t>31,492</w:t>
      </w:r>
      <w:r w:rsidR="007D3243" w:rsidRPr="003D794A">
        <w:rPr>
          <w:rFonts w:cs="Arial"/>
        </w:rPr>
        <w:tab/>
      </w:r>
      <w:r w:rsidR="007D3243" w:rsidRPr="003D794A">
        <w:rPr>
          <w:rFonts w:cs="Arial"/>
        </w:rPr>
        <w:tab/>
      </w:r>
      <w:r w:rsidRPr="003D794A">
        <w:rPr>
          <w:rFonts w:cs="Arial"/>
        </w:rPr>
        <w:t>11.5%</w:t>
      </w:r>
    </w:p>
    <w:p w14:paraId="318489FB" w14:textId="77777777" w:rsidR="00ED0F2D" w:rsidRPr="003D794A" w:rsidRDefault="00ED0F2D" w:rsidP="003D794A">
      <w:pPr>
        <w:spacing w:after="0" w:line="240" w:lineRule="auto"/>
        <w:ind w:firstLine="720"/>
        <w:rPr>
          <w:rFonts w:cs="Arial"/>
        </w:rPr>
      </w:pPr>
      <w:r w:rsidRPr="003D794A">
        <w:rPr>
          <w:rFonts w:cs="Arial"/>
        </w:rPr>
        <w:t>Very bad/bad</w:t>
      </w:r>
      <w:r w:rsidR="007D3243" w:rsidRPr="003D794A">
        <w:rPr>
          <w:rFonts w:cs="Arial"/>
        </w:rPr>
        <w:tab/>
      </w:r>
      <w:r w:rsidR="007D3243" w:rsidRPr="003D794A">
        <w:rPr>
          <w:rFonts w:cs="Arial"/>
        </w:rPr>
        <w:tab/>
      </w:r>
      <w:r w:rsidRPr="003D794A">
        <w:rPr>
          <w:rFonts w:cs="Arial"/>
        </w:rPr>
        <w:t>12,170</w:t>
      </w:r>
      <w:r w:rsidR="007D3243" w:rsidRPr="003D794A">
        <w:rPr>
          <w:rFonts w:cs="Arial"/>
        </w:rPr>
        <w:tab/>
      </w:r>
      <w:r w:rsidR="007D3243" w:rsidRPr="003D794A">
        <w:rPr>
          <w:rFonts w:cs="Arial"/>
        </w:rPr>
        <w:tab/>
      </w:r>
      <w:r w:rsidRPr="003D794A">
        <w:rPr>
          <w:rFonts w:cs="Arial"/>
        </w:rPr>
        <w:t xml:space="preserve">4.4%          </w:t>
      </w:r>
    </w:p>
    <w:p w14:paraId="44AE392D" w14:textId="77777777" w:rsidR="0032191C" w:rsidRPr="003D794A" w:rsidRDefault="0032191C" w:rsidP="003D794A">
      <w:pPr>
        <w:shd w:val="clear" w:color="auto" w:fill="FFFFFF"/>
        <w:spacing w:after="0" w:line="240" w:lineRule="auto"/>
        <w:rPr>
          <w:rFonts w:eastAsia="Times New Roman" w:cs="Times New Roman"/>
          <w:b/>
          <w:color w:val="000000"/>
          <w:lang w:eastAsia="en-GB"/>
        </w:rPr>
      </w:pPr>
    </w:p>
    <w:p w14:paraId="6AD448C3" w14:textId="77777777" w:rsidR="0032191C" w:rsidRPr="003D794A" w:rsidRDefault="007D3243" w:rsidP="003D794A">
      <w:pPr>
        <w:shd w:val="clear" w:color="auto" w:fill="FFFFFF"/>
        <w:spacing w:after="0" w:line="240" w:lineRule="auto"/>
        <w:rPr>
          <w:rFonts w:eastAsia="Times New Roman" w:cs="Times New Roman"/>
          <w:color w:val="000000"/>
          <w:lang w:eastAsia="en-GB"/>
        </w:rPr>
      </w:pPr>
      <w:r w:rsidRPr="003D794A">
        <w:rPr>
          <w:rFonts w:eastAsia="Times New Roman" w:cs="Times New Roman"/>
          <w:color w:val="000000"/>
          <w:lang w:eastAsia="en-GB"/>
        </w:rPr>
        <w:t xml:space="preserve">4.3.5 </w:t>
      </w:r>
      <w:r w:rsidR="00ED0F2D" w:rsidRPr="003D794A">
        <w:rPr>
          <w:rFonts w:eastAsia="Times New Roman" w:cs="Times New Roman"/>
          <w:color w:val="000000"/>
          <w:lang w:eastAsia="en-GB"/>
        </w:rPr>
        <w:t>Mental Health</w:t>
      </w:r>
    </w:p>
    <w:p w14:paraId="15BF1B8A" w14:textId="77777777" w:rsidR="00400DED" w:rsidRPr="003D794A" w:rsidRDefault="00400DED" w:rsidP="003D794A">
      <w:pPr>
        <w:shd w:val="clear" w:color="auto" w:fill="FFFFFF"/>
        <w:spacing w:after="0" w:line="240" w:lineRule="auto"/>
        <w:rPr>
          <w:rFonts w:eastAsia="Times New Roman" w:cs="Times New Roman"/>
          <w:color w:val="000000"/>
          <w:lang w:eastAsia="en-GB"/>
        </w:rPr>
      </w:pPr>
    </w:p>
    <w:p w14:paraId="6CF863BD" w14:textId="77777777" w:rsidR="00ED0F2D" w:rsidRPr="003D794A" w:rsidRDefault="00ED0F2D" w:rsidP="003D794A">
      <w:pPr>
        <w:shd w:val="clear" w:color="auto" w:fill="FFFFFF"/>
        <w:spacing w:after="0" w:line="240" w:lineRule="auto"/>
        <w:rPr>
          <w:rFonts w:eastAsia="Times New Roman" w:cs="Times New Roman"/>
          <w:b/>
          <w:color w:val="000000"/>
          <w:lang w:eastAsia="en-GB"/>
        </w:rPr>
      </w:pPr>
      <w:r w:rsidRPr="003D794A">
        <w:rPr>
          <w:rFonts w:eastAsia="Times New Roman" w:cs="Times New Roman"/>
          <w:color w:val="000000"/>
          <w:lang w:eastAsia="en-GB"/>
        </w:rPr>
        <w:t xml:space="preserve">The release of the JSNA “Better Mental Health” toolkit signals the National Mental Intelligence Networks (NMHIN) intent to support the development of mental health and wellbeing joint strategic needs assessments (JSNAs).  It has been developed for those seeking to understand the breadth and complexity of mental health issues in their area, such as JSNA and mental health leads in Local Authorities and clinical commissioning groups (CCGs).  It helps people to consider factors that affect mental health and wellbeing and to identify some </w:t>
      </w:r>
      <w:r w:rsidR="0032191C" w:rsidRPr="003D794A">
        <w:rPr>
          <w:rFonts w:eastAsia="Times New Roman" w:cs="Times New Roman"/>
          <w:color w:val="000000"/>
          <w:lang w:eastAsia="en-GB"/>
        </w:rPr>
        <w:t>of</w:t>
      </w:r>
      <w:r w:rsidRPr="003D794A">
        <w:rPr>
          <w:rFonts w:eastAsia="Times New Roman" w:cs="Times New Roman"/>
          <w:color w:val="000000"/>
          <w:lang w:eastAsia="en-GB"/>
        </w:rPr>
        <w:t xml:space="preserve"> the key data, information and knowledge that local areas may use to build a picture of need.</w:t>
      </w:r>
    </w:p>
    <w:p w14:paraId="10173017" w14:textId="77777777" w:rsidR="00ED0F2D" w:rsidRPr="003D794A" w:rsidRDefault="00ED0F2D" w:rsidP="003D794A">
      <w:pPr>
        <w:shd w:val="clear" w:color="auto" w:fill="FFFFFF"/>
        <w:spacing w:after="0" w:line="240" w:lineRule="auto"/>
        <w:rPr>
          <w:rFonts w:eastAsia="Times New Roman" w:cs="Times New Roman"/>
          <w:color w:val="000000"/>
          <w:lang w:eastAsia="en-GB"/>
        </w:rPr>
      </w:pPr>
      <w:r w:rsidRPr="003D794A">
        <w:rPr>
          <w:rFonts w:eastAsia="Times New Roman" w:cs="Times New Roman"/>
          <w:color w:val="000000"/>
          <w:lang w:eastAsia="en-GB"/>
        </w:rPr>
        <w:t xml:space="preserve">Locally, a business case to extend provision of IAPT Talking Therapies for the local population will enable easier access for </w:t>
      </w:r>
      <w:r w:rsidR="0032191C" w:rsidRPr="003D794A">
        <w:rPr>
          <w:rFonts w:eastAsia="Times New Roman" w:cs="Times New Roman"/>
          <w:color w:val="000000"/>
          <w:lang w:eastAsia="en-GB"/>
        </w:rPr>
        <w:t xml:space="preserve">the </w:t>
      </w:r>
      <w:r w:rsidRPr="003D794A">
        <w:rPr>
          <w:rFonts w:eastAsia="Times New Roman" w:cs="Times New Roman"/>
          <w:color w:val="000000"/>
          <w:lang w:eastAsia="en-GB"/>
        </w:rPr>
        <w:t xml:space="preserve">adult and young </w:t>
      </w:r>
      <w:r w:rsidR="0032191C" w:rsidRPr="003D794A">
        <w:rPr>
          <w:rFonts w:eastAsia="Times New Roman" w:cs="Times New Roman"/>
          <w:color w:val="000000"/>
          <w:lang w:eastAsia="en-GB"/>
        </w:rPr>
        <w:t>people</w:t>
      </w:r>
      <w:r w:rsidRPr="003D794A">
        <w:rPr>
          <w:rFonts w:eastAsia="Times New Roman" w:cs="Times New Roman"/>
          <w:color w:val="000000"/>
          <w:lang w:eastAsia="en-GB"/>
        </w:rPr>
        <w:t>.</w:t>
      </w:r>
      <w:r w:rsidR="0032191C" w:rsidRPr="003D794A">
        <w:rPr>
          <w:rFonts w:eastAsia="Times New Roman" w:cs="Times New Roman"/>
          <w:color w:val="000000"/>
          <w:lang w:eastAsia="en-GB"/>
        </w:rPr>
        <w:t xml:space="preserve"> </w:t>
      </w:r>
      <w:r w:rsidRPr="003D794A">
        <w:rPr>
          <w:rFonts w:eastAsia="Times New Roman" w:cs="Times New Roman"/>
          <w:color w:val="000000"/>
          <w:lang w:eastAsia="en-GB"/>
        </w:rPr>
        <w:t xml:space="preserve">The recently commissioned Single Point of Access for mental health </w:t>
      </w:r>
      <w:r w:rsidR="0032191C" w:rsidRPr="003D794A">
        <w:rPr>
          <w:rFonts w:eastAsia="Times New Roman" w:cs="Times New Roman"/>
          <w:color w:val="000000"/>
          <w:lang w:eastAsia="en-GB"/>
        </w:rPr>
        <w:t xml:space="preserve">also </w:t>
      </w:r>
      <w:r w:rsidRPr="003D794A">
        <w:rPr>
          <w:rFonts w:eastAsia="Times New Roman" w:cs="Times New Roman"/>
          <w:color w:val="000000"/>
          <w:lang w:eastAsia="en-GB"/>
        </w:rPr>
        <w:t>provides local residents and healthcare professionals a streamlined process to a host of crisis and routine support.</w:t>
      </w:r>
    </w:p>
    <w:p w14:paraId="649CA185" w14:textId="77777777" w:rsidR="008E26CD" w:rsidRPr="003D794A" w:rsidRDefault="008E26CD" w:rsidP="003D794A">
      <w:pPr>
        <w:keepNext/>
        <w:keepLines/>
        <w:tabs>
          <w:tab w:val="left" w:pos="284"/>
        </w:tabs>
        <w:spacing w:after="0" w:line="240" w:lineRule="auto"/>
        <w:outlineLvl w:val="0"/>
        <w:rPr>
          <w:rFonts w:eastAsiaTheme="majorEastAsia" w:cstheme="minorHAnsi"/>
          <w:b/>
          <w:bCs/>
          <w:lang w:eastAsia="en-GB"/>
        </w:rPr>
      </w:pPr>
    </w:p>
    <w:p w14:paraId="67ED49E0" w14:textId="77777777" w:rsidR="00F931BF" w:rsidRPr="003D794A" w:rsidRDefault="008E26CD" w:rsidP="003D794A">
      <w:pPr>
        <w:keepNext/>
        <w:keepLines/>
        <w:tabs>
          <w:tab w:val="left" w:pos="284"/>
        </w:tabs>
        <w:spacing w:after="0" w:line="240" w:lineRule="auto"/>
        <w:outlineLvl w:val="0"/>
        <w:rPr>
          <w:rFonts w:eastAsiaTheme="majorEastAsia" w:cstheme="minorHAnsi"/>
          <w:b/>
          <w:bCs/>
          <w:lang w:eastAsia="en-GB"/>
        </w:rPr>
      </w:pPr>
      <w:r w:rsidRPr="003D794A">
        <w:rPr>
          <w:rFonts w:eastAsiaTheme="majorEastAsia" w:cstheme="minorHAnsi"/>
          <w:b/>
          <w:bCs/>
          <w:lang w:eastAsia="en-GB"/>
        </w:rPr>
        <w:t>5</w:t>
      </w:r>
      <w:r w:rsidR="00F931BF" w:rsidRPr="003D794A">
        <w:rPr>
          <w:rFonts w:eastAsiaTheme="majorEastAsia" w:cstheme="minorHAnsi"/>
          <w:b/>
          <w:bCs/>
          <w:lang w:eastAsia="en-GB"/>
        </w:rPr>
        <w:t xml:space="preserve">. </w:t>
      </w:r>
      <w:bookmarkEnd w:id="1"/>
      <w:r w:rsidRPr="003D794A">
        <w:rPr>
          <w:rFonts w:eastAsiaTheme="majorEastAsia" w:cstheme="minorHAnsi"/>
          <w:b/>
          <w:bCs/>
          <w:lang w:eastAsia="en-GB"/>
        </w:rPr>
        <w:t>Proposed MSK Integrated Community Service</w:t>
      </w:r>
    </w:p>
    <w:p w14:paraId="1537F90F" w14:textId="77777777" w:rsidR="00F931BF" w:rsidRPr="003D794A" w:rsidRDefault="00F931BF" w:rsidP="003D794A">
      <w:pPr>
        <w:keepNext/>
        <w:keepLines/>
        <w:spacing w:after="0" w:line="240" w:lineRule="auto"/>
        <w:outlineLvl w:val="1"/>
        <w:rPr>
          <w:rFonts w:eastAsiaTheme="majorEastAsia" w:cstheme="minorHAnsi"/>
          <w:b/>
          <w:bCs/>
        </w:rPr>
      </w:pPr>
      <w:bookmarkStart w:id="2" w:name="_Toc450055210"/>
    </w:p>
    <w:p w14:paraId="1F5A7065" w14:textId="77777777" w:rsidR="00F931BF" w:rsidRPr="003D794A" w:rsidRDefault="008E26CD" w:rsidP="003D794A">
      <w:pPr>
        <w:keepNext/>
        <w:keepLines/>
        <w:spacing w:after="0" w:line="240" w:lineRule="auto"/>
        <w:outlineLvl w:val="1"/>
        <w:rPr>
          <w:rFonts w:eastAsiaTheme="majorEastAsia" w:cstheme="minorHAnsi"/>
          <w:bCs/>
        </w:rPr>
      </w:pPr>
      <w:bookmarkStart w:id="3" w:name="_Toc450055212"/>
      <w:bookmarkEnd w:id="2"/>
      <w:r w:rsidRPr="003D794A">
        <w:rPr>
          <w:rFonts w:eastAsiaTheme="majorEastAsia" w:cstheme="minorHAnsi"/>
          <w:bCs/>
        </w:rPr>
        <w:t>5.1</w:t>
      </w:r>
      <w:r w:rsidR="00F931BF" w:rsidRPr="003D794A">
        <w:rPr>
          <w:rFonts w:eastAsiaTheme="majorEastAsia" w:cstheme="minorHAnsi"/>
          <w:bCs/>
        </w:rPr>
        <w:t xml:space="preserve"> </w:t>
      </w:r>
      <w:bookmarkEnd w:id="3"/>
      <w:r w:rsidR="00F931BF" w:rsidRPr="003D794A">
        <w:rPr>
          <w:rFonts w:eastAsiaTheme="majorEastAsia" w:cstheme="minorHAnsi"/>
          <w:bCs/>
        </w:rPr>
        <w:t xml:space="preserve">Current </w:t>
      </w:r>
      <w:r w:rsidR="00A01A0A" w:rsidRPr="003D794A">
        <w:rPr>
          <w:rFonts w:eastAsiaTheme="majorEastAsia" w:cstheme="minorHAnsi"/>
          <w:bCs/>
        </w:rPr>
        <w:t>MSK</w:t>
      </w:r>
      <w:r w:rsidR="00F931BF" w:rsidRPr="003D794A">
        <w:rPr>
          <w:rFonts w:eastAsiaTheme="majorEastAsia" w:cstheme="minorHAnsi"/>
          <w:bCs/>
        </w:rPr>
        <w:t xml:space="preserve"> services</w:t>
      </w:r>
      <w:r w:rsidR="00A01A0A" w:rsidRPr="003D794A">
        <w:rPr>
          <w:rFonts w:eastAsiaTheme="majorEastAsia" w:cstheme="minorHAnsi"/>
          <w:bCs/>
        </w:rPr>
        <w:t xml:space="preserve"> in Hillingdon</w:t>
      </w:r>
    </w:p>
    <w:p w14:paraId="5F9031BB" w14:textId="77777777" w:rsidR="00400DED" w:rsidRPr="003D794A" w:rsidRDefault="00400DED" w:rsidP="003D794A">
      <w:pPr>
        <w:keepNext/>
        <w:keepLines/>
        <w:spacing w:after="0" w:line="240" w:lineRule="auto"/>
        <w:outlineLvl w:val="1"/>
        <w:rPr>
          <w:rFonts w:cstheme="minorHAnsi"/>
          <w:lang w:eastAsia="en-GB"/>
        </w:rPr>
      </w:pPr>
    </w:p>
    <w:p w14:paraId="0A71DC9B" w14:textId="3EA4D089" w:rsidR="00A01A0A" w:rsidRPr="003D794A" w:rsidRDefault="00F931BF" w:rsidP="003D794A">
      <w:pPr>
        <w:spacing w:after="0" w:line="240" w:lineRule="auto"/>
        <w:rPr>
          <w:rFonts w:cstheme="minorHAnsi"/>
          <w:lang w:eastAsia="en-GB"/>
        </w:rPr>
      </w:pPr>
      <w:r w:rsidRPr="003D794A">
        <w:rPr>
          <w:rFonts w:cstheme="minorHAnsi"/>
          <w:lang w:eastAsia="en-GB"/>
        </w:rPr>
        <w:t xml:space="preserve">The current </w:t>
      </w:r>
      <w:r w:rsidR="00A01A0A" w:rsidRPr="003D794A">
        <w:rPr>
          <w:rFonts w:cstheme="minorHAnsi"/>
          <w:lang w:eastAsia="en-GB"/>
        </w:rPr>
        <w:t>MSK service provision in Hillingdon is mixed</w:t>
      </w:r>
      <w:r w:rsidR="00C97530" w:rsidRPr="003D794A">
        <w:rPr>
          <w:rFonts w:cstheme="minorHAnsi"/>
          <w:lang w:eastAsia="en-GB"/>
        </w:rPr>
        <w:t>. Current services are:</w:t>
      </w:r>
    </w:p>
    <w:p w14:paraId="187217B9" w14:textId="77777777" w:rsidR="00400DED" w:rsidRPr="003D794A" w:rsidRDefault="00400DED" w:rsidP="003D794A">
      <w:pPr>
        <w:spacing w:after="0" w:line="240" w:lineRule="auto"/>
        <w:rPr>
          <w:rFonts w:cstheme="minorHAnsi"/>
          <w:lang w:eastAsia="en-GB"/>
        </w:rPr>
      </w:pPr>
    </w:p>
    <w:tbl>
      <w:tblPr>
        <w:tblW w:w="4166" w:type="dxa"/>
        <w:tblInd w:w="-10" w:type="dxa"/>
        <w:tblLayout w:type="fixed"/>
        <w:tblLook w:val="04A0" w:firstRow="1" w:lastRow="0" w:firstColumn="1" w:lastColumn="0" w:noHBand="0" w:noVBand="1"/>
      </w:tblPr>
      <w:tblGrid>
        <w:gridCol w:w="4166"/>
      </w:tblGrid>
      <w:tr w:rsidR="001C430B" w:rsidRPr="003D794A" w14:paraId="6A26939F" w14:textId="77777777" w:rsidTr="0070781E">
        <w:trPr>
          <w:trHeight w:val="332"/>
        </w:trPr>
        <w:tc>
          <w:tcPr>
            <w:tcW w:w="4166" w:type="dxa"/>
            <w:tcBorders>
              <w:top w:val="single" w:sz="8" w:space="0" w:color="auto"/>
              <w:left w:val="single" w:sz="8" w:space="0" w:color="auto"/>
              <w:bottom w:val="single" w:sz="8" w:space="0" w:color="auto"/>
              <w:right w:val="single" w:sz="8" w:space="0" w:color="auto"/>
            </w:tcBorders>
            <w:shd w:val="clear" w:color="auto" w:fill="auto"/>
            <w:noWrap/>
            <w:hideMark/>
          </w:tcPr>
          <w:p w14:paraId="4D28D24B" w14:textId="77777777" w:rsidR="001C430B" w:rsidRPr="003D794A" w:rsidRDefault="001C430B" w:rsidP="003D794A">
            <w:pPr>
              <w:spacing w:after="0" w:line="240" w:lineRule="auto"/>
              <w:rPr>
                <w:rFonts w:eastAsia="Times New Roman" w:cs="Arial"/>
                <w:color w:val="000000"/>
                <w:lang w:eastAsia="en-GB"/>
              </w:rPr>
            </w:pPr>
            <w:r w:rsidRPr="003D794A">
              <w:rPr>
                <w:rFonts w:eastAsia="Times New Roman" w:cs="Arial"/>
                <w:color w:val="000000"/>
                <w:lang w:eastAsia="en-GB"/>
              </w:rPr>
              <w:t>Service</w:t>
            </w:r>
          </w:p>
        </w:tc>
      </w:tr>
      <w:tr w:rsidR="001C430B" w:rsidRPr="003D794A" w14:paraId="13C90D72" w14:textId="77777777" w:rsidTr="0070781E">
        <w:trPr>
          <w:trHeight w:val="332"/>
        </w:trPr>
        <w:tc>
          <w:tcPr>
            <w:tcW w:w="4166" w:type="dxa"/>
            <w:tcBorders>
              <w:top w:val="nil"/>
              <w:left w:val="single" w:sz="8" w:space="0" w:color="auto"/>
              <w:bottom w:val="single" w:sz="8" w:space="0" w:color="auto"/>
              <w:right w:val="single" w:sz="8" w:space="0" w:color="auto"/>
            </w:tcBorders>
            <w:shd w:val="clear" w:color="auto" w:fill="auto"/>
            <w:noWrap/>
            <w:hideMark/>
          </w:tcPr>
          <w:p w14:paraId="64FA303F" w14:textId="77777777" w:rsidR="001C430B" w:rsidRPr="003D794A" w:rsidRDefault="001C430B" w:rsidP="003D794A">
            <w:pPr>
              <w:spacing w:after="0" w:line="240" w:lineRule="auto"/>
              <w:rPr>
                <w:rFonts w:eastAsia="Times New Roman" w:cs="Arial"/>
                <w:color w:val="000000"/>
                <w:lang w:eastAsia="en-GB"/>
              </w:rPr>
            </w:pPr>
            <w:r w:rsidRPr="003D794A">
              <w:rPr>
                <w:rFonts w:eastAsia="Times New Roman" w:cs="Arial"/>
                <w:color w:val="000000"/>
                <w:lang w:eastAsia="en-GB"/>
              </w:rPr>
              <w:t>MCATS</w:t>
            </w:r>
          </w:p>
        </w:tc>
      </w:tr>
      <w:tr w:rsidR="001C430B" w:rsidRPr="003D794A" w14:paraId="0DCA4075" w14:textId="77777777" w:rsidTr="0070781E">
        <w:trPr>
          <w:trHeight w:val="332"/>
        </w:trPr>
        <w:tc>
          <w:tcPr>
            <w:tcW w:w="4166" w:type="dxa"/>
            <w:tcBorders>
              <w:top w:val="nil"/>
              <w:left w:val="single" w:sz="8" w:space="0" w:color="auto"/>
              <w:bottom w:val="single" w:sz="8" w:space="0" w:color="auto"/>
              <w:right w:val="single" w:sz="8" w:space="0" w:color="auto"/>
            </w:tcBorders>
            <w:shd w:val="clear" w:color="auto" w:fill="auto"/>
            <w:noWrap/>
          </w:tcPr>
          <w:p w14:paraId="45EE68BB" w14:textId="23178473" w:rsidR="001C430B" w:rsidRPr="003D794A" w:rsidRDefault="001C430B" w:rsidP="003D794A">
            <w:pPr>
              <w:spacing w:after="0" w:line="240" w:lineRule="auto"/>
              <w:rPr>
                <w:rFonts w:eastAsia="Times New Roman" w:cs="Arial"/>
                <w:color w:val="000000"/>
                <w:lang w:eastAsia="en-GB"/>
              </w:rPr>
            </w:pPr>
            <w:r w:rsidRPr="003D794A">
              <w:rPr>
                <w:rFonts w:eastAsia="Times New Roman" w:cs="Arial"/>
                <w:color w:val="000000"/>
                <w:lang w:eastAsia="en-GB"/>
              </w:rPr>
              <w:t>Trauma &amp; Orthopaedics</w:t>
            </w:r>
          </w:p>
        </w:tc>
      </w:tr>
      <w:tr w:rsidR="001C430B" w:rsidRPr="003D794A" w14:paraId="2BFAF4F6" w14:textId="77777777" w:rsidTr="0070781E">
        <w:trPr>
          <w:trHeight w:val="332"/>
        </w:trPr>
        <w:tc>
          <w:tcPr>
            <w:tcW w:w="4166" w:type="dxa"/>
            <w:tcBorders>
              <w:top w:val="nil"/>
              <w:left w:val="single" w:sz="8" w:space="0" w:color="auto"/>
              <w:bottom w:val="single" w:sz="8" w:space="0" w:color="auto"/>
              <w:right w:val="single" w:sz="8" w:space="0" w:color="auto"/>
            </w:tcBorders>
            <w:shd w:val="clear" w:color="auto" w:fill="auto"/>
            <w:noWrap/>
          </w:tcPr>
          <w:p w14:paraId="63663244" w14:textId="55944314" w:rsidR="001C430B" w:rsidRPr="003D794A" w:rsidRDefault="001C430B" w:rsidP="003D794A">
            <w:pPr>
              <w:spacing w:after="0" w:line="240" w:lineRule="auto"/>
              <w:rPr>
                <w:rFonts w:eastAsia="Times New Roman" w:cs="Arial"/>
                <w:color w:val="000000"/>
                <w:lang w:eastAsia="en-GB"/>
              </w:rPr>
            </w:pPr>
            <w:r w:rsidRPr="003D794A">
              <w:rPr>
                <w:rFonts w:eastAsia="Times New Roman" w:cs="Arial"/>
                <w:color w:val="000000"/>
                <w:lang w:eastAsia="en-GB"/>
              </w:rPr>
              <w:t xml:space="preserve">Pain Management </w:t>
            </w:r>
          </w:p>
        </w:tc>
      </w:tr>
      <w:tr w:rsidR="001C430B" w:rsidRPr="003D794A" w14:paraId="52A163D5" w14:textId="77777777" w:rsidTr="0070781E">
        <w:trPr>
          <w:trHeight w:val="332"/>
        </w:trPr>
        <w:tc>
          <w:tcPr>
            <w:tcW w:w="4166" w:type="dxa"/>
            <w:tcBorders>
              <w:top w:val="nil"/>
              <w:left w:val="single" w:sz="8" w:space="0" w:color="auto"/>
              <w:bottom w:val="single" w:sz="8" w:space="0" w:color="auto"/>
              <w:right w:val="single" w:sz="8" w:space="0" w:color="auto"/>
            </w:tcBorders>
            <w:shd w:val="clear" w:color="auto" w:fill="auto"/>
            <w:noWrap/>
          </w:tcPr>
          <w:p w14:paraId="23158D95" w14:textId="71DCAB1C" w:rsidR="001C430B" w:rsidRPr="003D794A" w:rsidRDefault="001C430B" w:rsidP="006B76A5">
            <w:pPr>
              <w:spacing w:after="0" w:line="240" w:lineRule="auto"/>
              <w:rPr>
                <w:rFonts w:eastAsia="Times New Roman" w:cs="Arial"/>
                <w:color w:val="000000"/>
                <w:lang w:eastAsia="en-GB"/>
              </w:rPr>
            </w:pPr>
            <w:r w:rsidRPr="003D794A">
              <w:rPr>
                <w:rFonts w:eastAsia="Times New Roman" w:cs="Arial"/>
                <w:color w:val="000000"/>
                <w:lang w:eastAsia="en-GB"/>
              </w:rPr>
              <w:t>Physiotherapy</w:t>
            </w:r>
            <w:r>
              <w:rPr>
                <w:rFonts w:eastAsia="Times New Roman" w:cs="Arial"/>
                <w:color w:val="000000"/>
                <w:lang w:eastAsia="en-GB"/>
              </w:rPr>
              <w:t xml:space="preserve"> (</w:t>
            </w:r>
            <w:r w:rsidR="006B76A5">
              <w:rPr>
                <w:rFonts w:eastAsia="Times New Roman" w:cs="Arial"/>
                <w:color w:val="000000"/>
                <w:lang w:eastAsia="en-GB"/>
              </w:rPr>
              <w:t>incl.</w:t>
            </w:r>
            <w:r>
              <w:rPr>
                <w:rFonts w:eastAsia="Times New Roman" w:cs="Arial"/>
                <w:color w:val="000000"/>
                <w:lang w:eastAsia="en-GB"/>
              </w:rPr>
              <w:t xml:space="preserve"> </w:t>
            </w:r>
            <w:r w:rsidR="0070781E">
              <w:rPr>
                <w:rFonts w:eastAsia="Times New Roman" w:cs="Arial"/>
                <w:color w:val="000000"/>
                <w:lang w:eastAsia="en-GB"/>
              </w:rPr>
              <w:t xml:space="preserve">post-op </w:t>
            </w:r>
            <w:r>
              <w:rPr>
                <w:rFonts w:eastAsia="Times New Roman" w:cs="Arial"/>
                <w:color w:val="000000"/>
                <w:lang w:eastAsia="en-GB"/>
              </w:rPr>
              <w:t xml:space="preserve">rehabilitation) </w:t>
            </w:r>
          </w:p>
        </w:tc>
      </w:tr>
      <w:tr w:rsidR="001C430B" w:rsidRPr="003D794A" w14:paraId="6EF16A7C" w14:textId="77777777" w:rsidTr="0070781E">
        <w:trPr>
          <w:trHeight w:val="305"/>
        </w:trPr>
        <w:tc>
          <w:tcPr>
            <w:tcW w:w="4166" w:type="dxa"/>
            <w:tcBorders>
              <w:top w:val="nil"/>
              <w:left w:val="single" w:sz="8" w:space="0" w:color="auto"/>
              <w:bottom w:val="single" w:sz="8" w:space="0" w:color="auto"/>
              <w:right w:val="single" w:sz="8" w:space="0" w:color="auto"/>
            </w:tcBorders>
            <w:shd w:val="clear" w:color="auto" w:fill="auto"/>
            <w:noWrap/>
            <w:hideMark/>
          </w:tcPr>
          <w:p w14:paraId="147FC4B0" w14:textId="11E8833C" w:rsidR="001C430B" w:rsidRPr="003D794A" w:rsidRDefault="001C430B" w:rsidP="003D794A">
            <w:pPr>
              <w:spacing w:after="0" w:line="240" w:lineRule="auto"/>
              <w:rPr>
                <w:rFonts w:eastAsia="Times New Roman" w:cs="Arial"/>
                <w:color w:val="000000"/>
                <w:lang w:eastAsia="en-GB"/>
              </w:rPr>
            </w:pPr>
            <w:r>
              <w:rPr>
                <w:rFonts w:eastAsia="Times New Roman" w:cs="Arial"/>
                <w:color w:val="000000"/>
                <w:lang w:eastAsia="en-GB"/>
              </w:rPr>
              <w:t xml:space="preserve">Community </w:t>
            </w:r>
            <w:r w:rsidRPr="003D794A">
              <w:rPr>
                <w:rFonts w:eastAsia="Times New Roman" w:cs="Arial"/>
                <w:color w:val="000000"/>
                <w:lang w:eastAsia="en-GB"/>
              </w:rPr>
              <w:t xml:space="preserve">Chronic Pain </w:t>
            </w:r>
          </w:p>
        </w:tc>
      </w:tr>
      <w:tr w:rsidR="001C430B" w:rsidRPr="003D794A" w14:paraId="1849AA2B" w14:textId="77777777" w:rsidTr="0070781E">
        <w:trPr>
          <w:trHeight w:val="332"/>
        </w:trPr>
        <w:tc>
          <w:tcPr>
            <w:tcW w:w="4166" w:type="dxa"/>
            <w:tcBorders>
              <w:top w:val="nil"/>
              <w:left w:val="single" w:sz="8" w:space="0" w:color="auto"/>
              <w:bottom w:val="single" w:sz="8" w:space="0" w:color="auto"/>
              <w:right w:val="single" w:sz="8" w:space="0" w:color="auto"/>
            </w:tcBorders>
            <w:shd w:val="clear" w:color="auto" w:fill="auto"/>
            <w:noWrap/>
          </w:tcPr>
          <w:p w14:paraId="20C12510" w14:textId="77777777" w:rsidR="001C430B" w:rsidRPr="003D794A" w:rsidRDefault="001C430B" w:rsidP="003D794A">
            <w:pPr>
              <w:spacing w:after="0" w:line="240" w:lineRule="auto"/>
              <w:rPr>
                <w:rFonts w:eastAsia="Times New Roman" w:cs="Arial"/>
                <w:color w:val="000000"/>
                <w:lang w:eastAsia="en-GB"/>
              </w:rPr>
            </w:pPr>
            <w:r w:rsidRPr="003D794A">
              <w:rPr>
                <w:rFonts w:eastAsia="Times New Roman" w:cs="Arial"/>
                <w:color w:val="000000"/>
                <w:lang w:eastAsia="en-GB"/>
              </w:rPr>
              <w:t xml:space="preserve">Rheumatology </w:t>
            </w:r>
          </w:p>
        </w:tc>
      </w:tr>
      <w:tr w:rsidR="001C430B" w:rsidRPr="003D794A" w14:paraId="6CF28137" w14:textId="77777777" w:rsidTr="0070781E">
        <w:trPr>
          <w:trHeight w:val="332"/>
        </w:trPr>
        <w:tc>
          <w:tcPr>
            <w:tcW w:w="4166" w:type="dxa"/>
            <w:tcBorders>
              <w:top w:val="nil"/>
              <w:left w:val="single" w:sz="8" w:space="0" w:color="auto"/>
              <w:bottom w:val="single" w:sz="8" w:space="0" w:color="auto"/>
              <w:right w:val="single" w:sz="8" w:space="0" w:color="auto"/>
            </w:tcBorders>
            <w:shd w:val="clear" w:color="auto" w:fill="auto"/>
            <w:noWrap/>
            <w:hideMark/>
          </w:tcPr>
          <w:p w14:paraId="5D1200A5" w14:textId="399D4217" w:rsidR="001C430B" w:rsidRPr="003D794A" w:rsidRDefault="001C430B" w:rsidP="003D794A">
            <w:pPr>
              <w:spacing w:after="0" w:line="240" w:lineRule="auto"/>
              <w:rPr>
                <w:rFonts w:eastAsia="Times New Roman" w:cs="Arial"/>
                <w:color w:val="000000"/>
                <w:lang w:eastAsia="en-GB"/>
              </w:rPr>
            </w:pPr>
            <w:r w:rsidRPr="003D794A">
              <w:rPr>
                <w:rFonts w:eastAsia="Times New Roman" w:cs="Arial"/>
                <w:color w:val="000000"/>
                <w:lang w:eastAsia="en-GB"/>
              </w:rPr>
              <w:t>DMARDs</w:t>
            </w:r>
          </w:p>
        </w:tc>
      </w:tr>
    </w:tbl>
    <w:p w14:paraId="2E541C3C" w14:textId="77777777" w:rsidR="00A01A0A" w:rsidRPr="003D794A" w:rsidRDefault="00A01A0A" w:rsidP="003D794A">
      <w:pPr>
        <w:spacing w:after="0" w:line="240" w:lineRule="auto"/>
        <w:rPr>
          <w:rFonts w:cs="Arial"/>
          <w:b/>
        </w:rPr>
      </w:pPr>
    </w:p>
    <w:p w14:paraId="6BCBEA02" w14:textId="77777777" w:rsidR="00F931BF" w:rsidRPr="003D794A" w:rsidRDefault="008E26CD" w:rsidP="003D794A">
      <w:pPr>
        <w:keepNext/>
        <w:numPr>
          <w:ilvl w:val="1"/>
          <w:numId w:val="0"/>
        </w:numPr>
        <w:tabs>
          <w:tab w:val="num" w:pos="720"/>
        </w:tabs>
        <w:spacing w:after="0" w:line="240" w:lineRule="auto"/>
        <w:outlineLvl w:val="1"/>
        <w:rPr>
          <w:rFonts w:eastAsia="Arial" w:cstheme="minorHAnsi"/>
          <w:bCs/>
          <w:iCs/>
          <w:lang w:eastAsia="en-GB"/>
        </w:rPr>
      </w:pPr>
      <w:bookmarkStart w:id="4" w:name="_Toc160245617"/>
      <w:bookmarkStart w:id="5" w:name="_Toc160947921"/>
      <w:bookmarkStart w:id="6" w:name="_Toc160959938"/>
      <w:bookmarkStart w:id="7" w:name="_Toc380067631"/>
      <w:r w:rsidRPr="003D794A">
        <w:rPr>
          <w:rFonts w:cstheme="minorHAnsi"/>
          <w:lang w:eastAsia="en-GB"/>
        </w:rPr>
        <w:t xml:space="preserve">5.2 </w:t>
      </w:r>
      <w:r w:rsidR="00F931BF" w:rsidRPr="003D794A">
        <w:rPr>
          <w:rFonts w:eastAsia="Arial" w:cstheme="minorHAnsi"/>
          <w:bCs/>
          <w:iCs/>
          <w:lang w:eastAsia="en-GB"/>
        </w:rPr>
        <w:t xml:space="preserve">Scope of </w:t>
      </w:r>
      <w:r w:rsidR="00C97530" w:rsidRPr="003D794A">
        <w:rPr>
          <w:rFonts w:eastAsia="Arial" w:cstheme="minorHAnsi"/>
          <w:bCs/>
          <w:iCs/>
          <w:lang w:eastAsia="en-GB"/>
        </w:rPr>
        <w:t xml:space="preserve">proposed </w:t>
      </w:r>
      <w:r w:rsidR="00F931BF" w:rsidRPr="003D794A">
        <w:rPr>
          <w:rFonts w:eastAsia="Arial" w:cstheme="minorHAnsi"/>
          <w:bCs/>
          <w:iCs/>
          <w:lang w:eastAsia="en-GB"/>
        </w:rPr>
        <w:t>service</w:t>
      </w:r>
      <w:bookmarkEnd w:id="4"/>
      <w:bookmarkEnd w:id="5"/>
      <w:bookmarkEnd w:id="6"/>
      <w:bookmarkEnd w:id="7"/>
    </w:p>
    <w:p w14:paraId="08DD421F" w14:textId="77777777" w:rsidR="00A71A05" w:rsidRPr="003D794A" w:rsidRDefault="00A71A05" w:rsidP="003D794A">
      <w:pPr>
        <w:keepNext/>
        <w:numPr>
          <w:ilvl w:val="1"/>
          <w:numId w:val="0"/>
        </w:numPr>
        <w:tabs>
          <w:tab w:val="num" w:pos="720"/>
        </w:tabs>
        <w:spacing w:after="0" w:line="240" w:lineRule="auto"/>
        <w:outlineLvl w:val="1"/>
        <w:rPr>
          <w:rFonts w:eastAsia="Arial" w:cstheme="minorHAnsi"/>
          <w:bCs/>
          <w:iCs/>
          <w:lang w:eastAsia="en-GB"/>
        </w:rPr>
      </w:pPr>
    </w:p>
    <w:p w14:paraId="7499590F" w14:textId="6A48BA21" w:rsidR="00400DED" w:rsidRPr="001C430B" w:rsidRDefault="00F931BF" w:rsidP="003D794A">
      <w:pPr>
        <w:spacing w:after="0" w:line="240" w:lineRule="auto"/>
        <w:rPr>
          <w:rFonts w:eastAsia="Arial" w:cstheme="minorHAnsi"/>
          <w:lang w:eastAsia="en-GB"/>
        </w:rPr>
      </w:pPr>
      <w:r w:rsidRPr="003D794A" w:rsidDel="00D358BE">
        <w:rPr>
          <w:rFonts w:eastAsia="Times New Roman" w:cstheme="minorHAnsi"/>
          <w:lang w:eastAsia="en-GB"/>
        </w:rPr>
        <w:t xml:space="preserve">The scope of </w:t>
      </w:r>
      <w:r w:rsidRPr="003D794A">
        <w:rPr>
          <w:rFonts w:eastAsia="Times New Roman" w:cstheme="minorHAnsi"/>
          <w:lang w:eastAsia="en-GB"/>
        </w:rPr>
        <w:t xml:space="preserve">the service </w:t>
      </w:r>
      <w:r w:rsidR="00400DED" w:rsidRPr="003D794A">
        <w:rPr>
          <w:rFonts w:eastAsia="Times New Roman" w:cstheme="minorHAnsi"/>
          <w:lang w:eastAsia="en-GB"/>
        </w:rPr>
        <w:t>will be</w:t>
      </w:r>
      <w:r w:rsidRPr="003D794A">
        <w:rPr>
          <w:rFonts w:eastAsia="Times New Roman" w:cstheme="minorHAnsi"/>
          <w:lang w:eastAsia="en-GB"/>
        </w:rPr>
        <w:t xml:space="preserve"> developed by </w:t>
      </w:r>
      <w:r w:rsidR="008E26CD" w:rsidRPr="003D794A">
        <w:rPr>
          <w:rFonts w:eastAsia="Times New Roman" w:cstheme="minorHAnsi"/>
          <w:lang w:eastAsia="en-GB"/>
        </w:rPr>
        <w:t xml:space="preserve">Hillingdon </w:t>
      </w:r>
      <w:r w:rsidRPr="003D794A">
        <w:rPr>
          <w:rFonts w:eastAsia="Times New Roman" w:cstheme="minorHAnsi"/>
          <w:lang w:eastAsia="en-GB"/>
        </w:rPr>
        <w:t xml:space="preserve">CCG in response to the needs of the local community. </w:t>
      </w:r>
      <w:r w:rsidRPr="003D794A">
        <w:rPr>
          <w:rFonts w:cstheme="minorHAnsi"/>
        </w:rPr>
        <w:t xml:space="preserve">The </w:t>
      </w:r>
      <w:r w:rsidR="00A71A05" w:rsidRPr="003D794A">
        <w:rPr>
          <w:rFonts w:cstheme="minorHAnsi"/>
        </w:rPr>
        <w:t xml:space="preserve">CCG has not </w:t>
      </w:r>
      <w:r w:rsidR="00400DED" w:rsidRPr="003D794A">
        <w:rPr>
          <w:rFonts w:cstheme="minorHAnsi"/>
        </w:rPr>
        <w:t xml:space="preserve">currently </w:t>
      </w:r>
      <w:r w:rsidR="00A71A05" w:rsidRPr="003D794A">
        <w:rPr>
          <w:rFonts w:cstheme="minorHAnsi"/>
        </w:rPr>
        <w:t xml:space="preserve">mandated the scope or the method for delivering the service, </w:t>
      </w:r>
      <w:r w:rsidR="00400DED" w:rsidRPr="003D794A">
        <w:rPr>
          <w:rFonts w:cstheme="minorHAnsi"/>
        </w:rPr>
        <w:t>and encourages providers to innovate to deliver as much of the specification as possible out of hospital</w:t>
      </w:r>
      <w:r w:rsidR="00A71A05" w:rsidRPr="003D794A">
        <w:rPr>
          <w:rFonts w:cstheme="minorHAnsi"/>
        </w:rPr>
        <w:t xml:space="preserve">. </w:t>
      </w:r>
      <w:r w:rsidRPr="003D794A">
        <w:rPr>
          <w:rFonts w:eastAsia="Arial" w:cstheme="minorHAnsi"/>
          <w:lang w:eastAsia="en-GB"/>
        </w:rPr>
        <w:t xml:space="preserve">A key objective of the service will be to </w:t>
      </w:r>
      <w:r w:rsidR="00400DED" w:rsidRPr="003D794A">
        <w:rPr>
          <w:rFonts w:eastAsia="Arial" w:cstheme="minorHAnsi"/>
          <w:lang w:eastAsia="en-GB"/>
        </w:rPr>
        <w:t xml:space="preserve">reduce the existing burden on specialist secondary care services. </w:t>
      </w:r>
    </w:p>
    <w:p w14:paraId="4FAA1E57" w14:textId="2F06DED2" w:rsidR="00F931BF" w:rsidRPr="003D794A" w:rsidRDefault="00EB4F10" w:rsidP="003D794A">
      <w:pPr>
        <w:keepNext/>
        <w:numPr>
          <w:ilvl w:val="1"/>
          <w:numId w:val="0"/>
        </w:numPr>
        <w:tabs>
          <w:tab w:val="num" w:pos="720"/>
        </w:tabs>
        <w:spacing w:after="0" w:line="240" w:lineRule="auto"/>
        <w:outlineLvl w:val="1"/>
        <w:rPr>
          <w:rFonts w:eastAsia="Arial" w:cstheme="minorHAnsi"/>
          <w:bCs/>
          <w:iCs/>
          <w:lang w:eastAsia="en-GB"/>
        </w:rPr>
      </w:pPr>
      <w:r w:rsidRPr="003D794A">
        <w:rPr>
          <w:rFonts w:cstheme="minorHAnsi"/>
          <w:lang w:eastAsia="en-GB"/>
        </w:rPr>
        <w:lastRenderedPageBreak/>
        <w:t>5.3</w:t>
      </w:r>
      <w:r w:rsidR="00F931BF" w:rsidRPr="003D794A">
        <w:rPr>
          <w:rFonts w:cstheme="minorHAnsi"/>
          <w:lang w:eastAsia="en-GB"/>
        </w:rPr>
        <w:t xml:space="preserve"> </w:t>
      </w:r>
      <w:r w:rsidR="00F931BF" w:rsidRPr="003D794A">
        <w:rPr>
          <w:rFonts w:eastAsia="Arial" w:cstheme="minorHAnsi"/>
          <w:bCs/>
          <w:iCs/>
          <w:lang w:eastAsia="en-GB"/>
        </w:rPr>
        <w:t xml:space="preserve">Anticipated </w:t>
      </w:r>
      <w:r w:rsidRPr="003D794A">
        <w:rPr>
          <w:rFonts w:eastAsia="Arial" w:cstheme="minorHAnsi"/>
          <w:bCs/>
          <w:iCs/>
          <w:lang w:eastAsia="en-GB"/>
        </w:rPr>
        <w:t xml:space="preserve">cost &amp; </w:t>
      </w:r>
      <w:r w:rsidR="00F931BF" w:rsidRPr="003D794A">
        <w:rPr>
          <w:rFonts w:eastAsia="Arial" w:cstheme="minorHAnsi"/>
          <w:bCs/>
          <w:iCs/>
          <w:lang w:eastAsia="en-GB"/>
        </w:rPr>
        <w:t xml:space="preserve">activity </w:t>
      </w:r>
    </w:p>
    <w:p w14:paraId="2CF86ECD" w14:textId="77777777" w:rsidR="00EB4F10" w:rsidRPr="003D794A" w:rsidRDefault="00EB4F10" w:rsidP="003D794A">
      <w:pPr>
        <w:spacing w:after="0" w:line="240" w:lineRule="auto"/>
        <w:rPr>
          <w:rFonts w:eastAsia="Arial" w:cstheme="minorHAnsi"/>
          <w:b/>
          <w:bCs/>
          <w:iCs/>
          <w:lang w:eastAsia="en-GB"/>
        </w:rPr>
      </w:pPr>
    </w:p>
    <w:p w14:paraId="3882B8AD" w14:textId="359EED0A" w:rsidR="00F931BF" w:rsidRPr="003D794A" w:rsidRDefault="00F931BF" w:rsidP="003D794A">
      <w:pPr>
        <w:spacing w:after="0" w:line="240" w:lineRule="auto"/>
        <w:rPr>
          <w:rFonts w:cstheme="minorHAnsi"/>
        </w:rPr>
      </w:pPr>
      <w:r w:rsidRPr="003D794A">
        <w:rPr>
          <w:rFonts w:cstheme="minorHAnsi"/>
        </w:rPr>
        <w:t xml:space="preserve">Below is the current </w:t>
      </w:r>
      <w:r w:rsidRPr="00890FB9">
        <w:rPr>
          <w:rFonts w:cstheme="minorHAnsi"/>
          <w:b/>
          <w:u w:val="single"/>
        </w:rPr>
        <w:t>indicative</w:t>
      </w:r>
      <w:r w:rsidRPr="003D794A">
        <w:rPr>
          <w:rFonts w:cstheme="minorHAnsi"/>
        </w:rPr>
        <w:t xml:space="preserve"> </w:t>
      </w:r>
      <w:r w:rsidR="00A71A05" w:rsidRPr="003D794A">
        <w:rPr>
          <w:rFonts w:cstheme="minorHAnsi"/>
        </w:rPr>
        <w:t xml:space="preserve">activity for the service, </w:t>
      </w:r>
      <w:r w:rsidRPr="003D794A">
        <w:rPr>
          <w:rFonts w:cstheme="minorHAnsi"/>
        </w:rPr>
        <w:t xml:space="preserve">which is subject to further review: </w:t>
      </w:r>
    </w:p>
    <w:p w14:paraId="1EE64A22" w14:textId="40C4A7E3" w:rsidR="00B80504" w:rsidRPr="003D794A" w:rsidRDefault="00B80504" w:rsidP="003D794A">
      <w:pPr>
        <w:spacing w:after="0" w:line="240" w:lineRule="auto"/>
        <w:ind w:left="-426"/>
        <w:rPr>
          <w:noProof/>
          <w:lang w:val="en-US"/>
        </w:rPr>
      </w:pPr>
      <w:r w:rsidRPr="003D794A">
        <w:rPr>
          <w:noProof/>
          <w:lang w:val="en-US"/>
        </w:rPr>
        <w:t xml:space="preserve"> </w:t>
      </w:r>
    </w:p>
    <w:tbl>
      <w:tblPr>
        <w:tblW w:w="9497" w:type="dxa"/>
        <w:tblLook w:val="04A0" w:firstRow="1" w:lastRow="0" w:firstColumn="1" w:lastColumn="0" w:noHBand="0" w:noVBand="1"/>
      </w:tblPr>
      <w:tblGrid>
        <w:gridCol w:w="3260"/>
        <w:gridCol w:w="2425"/>
        <w:gridCol w:w="1908"/>
        <w:gridCol w:w="1904"/>
      </w:tblGrid>
      <w:tr w:rsidR="00136B42" w:rsidRPr="0070781E" w14:paraId="5716BA73" w14:textId="77777777" w:rsidTr="0070781E">
        <w:trPr>
          <w:trHeight w:val="315"/>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398FE" w14:textId="77777777"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 </w:t>
            </w:r>
          </w:p>
        </w:tc>
        <w:tc>
          <w:tcPr>
            <w:tcW w:w="2424" w:type="dxa"/>
            <w:tcBorders>
              <w:top w:val="single" w:sz="4" w:space="0" w:color="auto"/>
              <w:left w:val="nil"/>
              <w:bottom w:val="single" w:sz="4" w:space="0" w:color="auto"/>
              <w:right w:val="single" w:sz="4" w:space="0" w:color="auto"/>
            </w:tcBorders>
            <w:shd w:val="clear" w:color="auto" w:fill="auto"/>
            <w:noWrap/>
            <w:vAlign w:val="bottom"/>
            <w:hideMark/>
          </w:tcPr>
          <w:p w14:paraId="4AB117C6" w14:textId="77777777"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Services</w:t>
            </w:r>
          </w:p>
        </w:tc>
        <w:tc>
          <w:tcPr>
            <w:tcW w:w="1908" w:type="dxa"/>
            <w:tcBorders>
              <w:top w:val="single" w:sz="4" w:space="0" w:color="auto"/>
              <w:left w:val="nil"/>
              <w:bottom w:val="single" w:sz="4" w:space="0" w:color="auto"/>
              <w:right w:val="single" w:sz="4" w:space="0" w:color="auto"/>
            </w:tcBorders>
            <w:shd w:val="clear" w:color="auto" w:fill="auto"/>
            <w:noWrap/>
            <w:vAlign w:val="bottom"/>
            <w:hideMark/>
          </w:tcPr>
          <w:p w14:paraId="06E9D60F" w14:textId="77777777"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Activity</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14:paraId="53C5A9BB" w14:textId="77777777"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Cost</w:t>
            </w:r>
          </w:p>
        </w:tc>
      </w:tr>
      <w:tr w:rsidR="00136B42" w:rsidRPr="0070781E" w14:paraId="7D35D4E1" w14:textId="77777777" w:rsidTr="0070781E">
        <w:trPr>
          <w:trHeight w:val="315"/>
        </w:trPr>
        <w:tc>
          <w:tcPr>
            <w:tcW w:w="3260" w:type="dxa"/>
            <w:vMerge w:val="restart"/>
            <w:tcBorders>
              <w:top w:val="nil"/>
              <w:left w:val="single" w:sz="4" w:space="0" w:color="auto"/>
              <w:right w:val="single" w:sz="4" w:space="0" w:color="auto"/>
            </w:tcBorders>
            <w:shd w:val="clear" w:color="auto" w:fill="auto"/>
            <w:noWrap/>
            <w:vAlign w:val="center"/>
            <w:hideMark/>
          </w:tcPr>
          <w:p w14:paraId="3F7E0F3D" w14:textId="77777777" w:rsidR="00136B42" w:rsidRPr="0070781E" w:rsidRDefault="00136B42" w:rsidP="00136B42">
            <w:pPr>
              <w:spacing w:after="0" w:line="240" w:lineRule="auto"/>
              <w:jc w:val="center"/>
              <w:rPr>
                <w:rFonts w:eastAsia="Times New Roman" w:cs="Times New Roman"/>
                <w:color w:val="000000"/>
                <w:lang w:eastAsia="en-GB"/>
              </w:rPr>
            </w:pPr>
            <w:r w:rsidRPr="0070781E">
              <w:rPr>
                <w:rFonts w:eastAsia="Times New Roman" w:cs="Times New Roman"/>
                <w:color w:val="000000"/>
                <w:lang w:eastAsia="en-GB"/>
              </w:rPr>
              <w:t xml:space="preserve">Secondary Care  </w:t>
            </w:r>
          </w:p>
          <w:p w14:paraId="52E771DE" w14:textId="77777777" w:rsidR="00136B42" w:rsidRPr="0070781E" w:rsidRDefault="00136B42" w:rsidP="00136B42">
            <w:pPr>
              <w:spacing w:after="0" w:line="240" w:lineRule="auto"/>
              <w:jc w:val="center"/>
              <w:rPr>
                <w:rFonts w:eastAsia="Times New Roman" w:cs="Times New Roman"/>
                <w:color w:val="000000"/>
                <w:lang w:eastAsia="en-GB"/>
              </w:rPr>
            </w:pPr>
          </w:p>
          <w:p w14:paraId="00F1832D" w14:textId="5DF51B2A" w:rsidR="00136B42" w:rsidRPr="0070781E" w:rsidRDefault="00136B42" w:rsidP="00136B42">
            <w:pPr>
              <w:spacing w:after="0" w:line="240" w:lineRule="auto"/>
              <w:jc w:val="center"/>
              <w:rPr>
                <w:rFonts w:eastAsia="Times New Roman" w:cs="Times New Roman"/>
                <w:color w:val="000000"/>
                <w:lang w:eastAsia="en-GB"/>
              </w:rPr>
            </w:pPr>
            <w:r w:rsidRPr="0070781E">
              <w:rPr>
                <w:rFonts w:eastAsia="Times New Roman" w:cs="Times New Roman"/>
                <w:color w:val="000000"/>
                <w:lang w:eastAsia="en-GB"/>
              </w:rPr>
              <w:t>(T&amp;O, Rheumatology, Pain Management)</w:t>
            </w:r>
          </w:p>
          <w:p w14:paraId="4C42030E" w14:textId="77777777" w:rsidR="00136B42" w:rsidRPr="0070781E" w:rsidRDefault="00136B42" w:rsidP="00136B42">
            <w:pPr>
              <w:spacing w:after="0" w:line="240" w:lineRule="auto"/>
              <w:rPr>
                <w:rFonts w:eastAsia="Times New Roman" w:cs="Times New Roman"/>
                <w:color w:val="000000"/>
                <w:lang w:eastAsia="en-GB"/>
              </w:rPr>
            </w:pPr>
          </w:p>
          <w:p w14:paraId="1DFBC4C4" w14:textId="621B786A" w:rsidR="00136B42" w:rsidRPr="00136B42" w:rsidRDefault="00136B42" w:rsidP="00136B42">
            <w:pPr>
              <w:spacing w:after="0" w:line="240" w:lineRule="auto"/>
              <w:rPr>
                <w:rFonts w:eastAsia="Times New Roman" w:cs="Times New Roman"/>
                <w:color w:val="000000"/>
                <w:lang w:eastAsia="en-GB"/>
              </w:rPr>
            </w:pPr>
          </w:p>
        </w:tc>
        <w:tc>
          <w:tcPr>
            <w:tcW w:w="2424" w:type="dxa"/>
            <w:tcBorders>
              <w:top w:val="nil"/>
              <w:left w:val="nil"/>
              <w:bottom w:val="single" w:sz="4" w:space="0" w:color="auto"/>
              <w:right w:val="single" w:sz="4" w:space="0" w:color="auto"/>
            </w:tcBorders>
            <w:shd w:val="clear" w:color="auto" w:fill="auto"/>
            <w:noWrap/>
            <w:vAlign w:val="bottom"/>
            <w:hideMark/>
          </w:tcPr>
          <w:p w14:paraId="5EB857C3" w14:textId="77777777"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Outpatient FA</w:t>
            </w:r>
          </w:p>
        </w:tc>
        <w:tc>
          <w:tcPr>
            <w:tcW w:w="1908" w:type="dxa"/>
            <w:tcBorders>
              <w:top w:val="nil"/>
              <w:left w:val="nil"/>
              <w:bottom w:val="single" w:sz="4" w:space="0" w:color="auto"/>
              <w:right w:val="single" w:sz="4" w:space="0" w:color="auto"/>
            </w:tcBorders>
            <w:shd w:val="clear" w:color="auto" w:fill="auto"/>
            <w:noWrap/>
            <w:vAlign w:val="bottom"/>
            <w:hideMark/>
          </w:tcPr>
          <w:p w14:paraId="610BB565" w14:textId="77777777"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 xml:space="preserve">                11,317 </w:t>
            </w:r>
          </w:p>
        </w:tc>
        <w:tc>
          <w:tcPr>
            <w:tcW w:w="1904" w:type="dxa"/>
            <w:tcBorders>
              <w:top w:val="nil"/>
              <w:left w:val="nil"/>
              <w:bottom w:val="single" w:sz="4" w:space="0" w:color="auto"/>
              <w:right w:val="single" w:sz="4" w:space="0" w:color="auto"/>
            </w:tcBorders>
            <w:shd w:val="clear" w:color="auto" w:fill="auto"/>
            <w:noWrap/>
            <w:vAlign w:val="bottom"/>
            <w:hideMark/>
          </w:tcPr>
          <w:p w14:paraId="193AD091" w14:textId="77777777" w:rsidR="00136B42" w:rsidRPr="00136B42" w:rsidRDefault="00136B42" w:rsidP="00136B42">
            <w:pPr>
              <w:spacing w:after="0" w:line="240" w:lineRule="auto"/>
              <w:jc w:val="right"/>
              <w:rPr>
                <w:rFonts w:eastAsia="Times New Roman" w:cs="Times New Roman"/>
                <w:color w:val="000000"/>
                <w:lang w:eastAsia="en-GB"/>
              </w:rPr>
            </w:pPr>
            <w:r w:rsidRPr="00136B42">
              <w:rPr>
                <w:rFonts w:eastAsia="Times New Roman" w:cs="Times New Roman"/>
                <w:color w:val="000000"/>
                <w:lang w:eastAsia="en-GB"/>
              </w:rPr>
              <w:t>£1,705,544</w:t>
            </w:r>
          </w:p>
        </w:tc>
      </w:tr>
      <w:tr w:rsidR="00136B42" w:rsidRPr="0070781E" w14:paraId="5CFC3E73" w14:textId="77777777" w:rsidTr="0070781E">
        <w:trPr>
          <w:trHeight w:val="315"/>
        </w:trPr>
        <w:tc>
          <w:tcPr>
            <w:tcW w:w="3260" w:type="dxa"/>
            <w:vMerge/>
            <w:tcBorders>
              <w:left w:val="single" w:sz="4" w:space="0" w:color="auto"/>
              <w:right w:val="single" w:sz="4" w:space="0" w:color="auto"/>
            </w:tcBorders>
            <w:vAlign w:val="center"/>
            <w:hideMark/>
          </w:tcPr>
          <w:p w14:paraId="1534C2C3" w14:textId="77777777" w:rsidR="00136B42" w:rsidRPr="00136B42" w:rsidRDefault="00136B42" w:rsidP="00136B42">
            <w:pPr>
              <w:spacing w:after="0" w:line="240" w:lineRule="auto"/>
              <w:rPr>
                <w:rFonts w:eastAsia="Times New Roman" w:cs="Times New Roman"/>
                <w:color w:val="000000"/>
                <w:lang w:eastAsia="en-GB"/>
              </w:rPr>
            </w:pPr>
          </w:p>
        </w:tc>
        <w:tc>
          <w:tcPr>
            <w:tcW w:w="2424" w:type="dxa"/>
            <w:tcBorders>
              <w:top w:val="nil"/>
              <w:left w:val="nil"/>
              <w:bottom w:val="single" w:sz="4" w:space="0" w:color="auto"/>
              <w:right w:val="single" w:sz="4" w:space="0" w:color="auto"/>
            </w:tcBorders>
            <w:shd w:val="clear" w:color="auto" w:fill="auto"/>
            <w:noWrap/>
            <w:vAlign w:val="bottom"/>
            <w:hideMark/>
          </w:tcPr>
          <w:p w14:paraId="242080D8" w14:textId="77777777"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Outpatient FU</w:t>
            </w:r>
          </w:p>
        </w:tc>
        <w:tc>
          <w:tcPr>
            <w:tcW w:w="1908" w:type="dxa"/>
            <w:tcBorders>
              <w:top w:val="nil"/>
              <w:left w:val="nil"/>
              <w:bottom w:val="single" w:sz="4" w:space="0" w:color="auto"/>
              <w:right w:val="single" w:sz="4" w:space="0" w:color="auto"/>
            </w:tcBorders>
            <w:shd w:val="clear" w:color="auto" w:fill="auto"/>
            <w:noWrap/>
            <w:vAlign w:val="bottom"/>
            <w:hideMark/>
          </w:tcPr>
          <w:p w14:paraId="0DFB9552" w14:textId="77777777"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 xml:space="preserve">                24,306 </w:t>
            </w:r>
          </w:p>
        </w:tc>
        <w:tc>
          <w:tcPr>
            <w:tcW w:w="1904" w:type="dxa"/>
            <w:tcBorders>
              <w:top w:val="nil"/>
              <w:left w:val="nil"/>
              <w:bottom w:val="single" w:sz="4" w:space="0" w:color="auto"/>
              <w:right w:val="single" w:sz="4" w:space="0" w:color="auto"/>
            </w:tcBorders>
            <w:shd w:val="clear" w:color="auto" w:fill="auto"/>
            <w:noWrap/>
            <w:vAlign w:val="bottom"/>
            <w:hideMark/>
          </w:tcPr>
          <w:p w14:paraId="079C1CC5" w14:textId="77777777" w:rsidR="00136B42" w:rsidRPr="00136B42" w:rsidRDefault="00136B42" w:rsidP="00136B42">
            <w:pPr>
              <w:spacing w:after="0" w:line="240" w:lineRule="auto"/>
              <w:jc w:val="right"/>
              <w:rPr>
                <w:rFonts w:eastAsia="Times New Roman" w:cs="Times New Roman"/>
                <w:color w:val="000000"/>
                <w:lang w:eastAsia="en-GB"/>
              </w:rPr>
            </w:pPr>
            <w:r w:rsidRPr="00136B42">
              <w:rPr>
                <w:rFonts w:eastAsia="Times New Roman" w:cs="Times New Roman"/>
                <w:color w:val="000000"/>
                <w:lang w:eastAsia="en-GB"/>
              </w:rPr>
              <w:t>£2,114,590</w:t>
            </w:r>
          </w:p>
        </w:tc>
      </w:tr>
      <w:tr w:rsidR="00136B42" w:rsidRPr="0070781E" w14:paraId="27B20D04" w14:textId="77777777" w:rsidTr="0070781E">
        <w:trPr>
          <w:trHeight w:val="315"/>
        </w:trPr>
        <w:tc>
          <w:tcPr>
            <w:tcW w:w="3260" w:type="dxa"/>
            <w:vMerge/>
            <w:tcBorders>
              <w:left w:val="single" w:sz="4" w:space="0" w:color="auto"/>
              <w:right w:val="single" w:sz="4" w:space="0" w:color="auto"/>
            </w:tcBorders>
            <w:vAlign w:val="center"/>
            <w:hideMark/>
          </w:tcPr>
          <w:p w14:paraId="53F4AEDF" w14:textId="77777777" w:rsidR="00136B42" w:rsidRPr="00136B42" w:rsidRDefault="00136B42" w:rsidP="00136B42">
            <w:pPr>
              <w:spacing w:after="0" w:line="240" w:lineRule="auto"/>
              <w:rPr>
                <w:rFonts w:eastAsia="Times New Roman" w:cs="Times New Roman"/>
                <w:color w:val="000000"/>
                <w:lang w:eastAsia="en-GB"/>
              </w:rPr>
            </w:pPr>
          </w:p>
        </w:tc>
        <w:tc>
          <w:tcPr>
            <w:tcW w:w="2424" w:type="dxa"/>
            <w:tcBorders>
              <w:top w:val="nil"/>
              <w:left w:val="nil"/>
              <w:bottom w:val="single" w:sz="4" w:space="0" w:color="auto"/>
              <w:right w:val="single" w:sz="4" w:space="0" w:color="auto"/>
            </w:tcBorders>
            <w:shd w:val="clear" w:color="auto" w:fill="auto"/>
            <w:noWrap/>
            <w:vAlign w:val="bottom"/>
            <w:hideMark/>
          </w:tcPr>
          <w:p w14:paraId="6CE58CD5" w14:textId="77777777"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Outpatient Proc</w:t>
            </w:r>
          </w:p>
        </w:tc>
        <w:tc>
          <w:tcPr>
            <w:tcW w:w="1908" w:type="dxa"/>
            <w:tcBorders>
              <w:top w:val="nil"/>
              <w:left w:val="nil"/>
              <w:bottom w:val="single" w:sz="4" w:space="0" w:color="auto"/>
              <w:right w:val="single" w:sz="4" w:space="0" w:color="auto"/>
            </w:tcBorders>
            <w:shd w:val="clear" w:color="auto" w:fill="auto"/>
            <w:noWrap/>
            <w:vAlign w:val="bottom"/>
            <w:hideMark/>
          </w:tcPr>
          <w:p w14:paraId="3D58AFD4" w14:textId="77777777"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 xml:space="preserve">                  3,379 </w:t>
            </w:r>
          </w:p>
        </w:tc>
        <w:tc>
          <w:tcPr>
            <w:tcW w:w="1904" w:type="dxa"/>
            <w:tcBorders>
              <w:top w:val="nil"/>
              <w:left w:val="nil"/>
              <w:bottom w:val="single" w:sz="4" w:space="0" w:color="auto"/>
              <w:right w:val="single" w:sz="4" w:space="0" w:color="auto"/>
            </w:tcBorders>
            <w:shd w:val="clear" w:color="auto" w:fill="auto"/>
            <w:noWrap/>
            <w:vAlign w:val="bottom"/>
            <w:hideMark/>
          </w:tcPr>
          <w:p w14:paraId="0E5E39F3" w14:textId="77777777" w:rsidR="00136B42" w:rsidRPr="00136B42" w:rsidRDefault="00136B42" w:rsidP="00136B42">
            <w:pPr>
              <w:spacing w:after="0" w:line="240" w:lineRule="auto"/>
              <w:jc w:val="right"/>
              <w:rPr>
                <w:rFonts w:eastAsia="Times New Roman" w:cs="Times New Roman"/>
                <w:color w:val="000000"/>
                <w:lang w:eastAsia="en-GB"/>
              </w:rPr>
            </w:pPr>
            <w:r w:rsidRPr="00136B42">
              <w:rPr>
                <w:rFonts w:eastAsia="Times New Roman" w:cs="Times New Roman"/>
                <w:color w:val="000000"/>
                <w:lang w:eastAsia="en-GB"/>
              </w:rPr>
              <w:t>£223,834</w:t>
            </w:r>
          </w:p>
        </w:tc>
      </w:tr>
      <w:tr w:rsidR="00136B42" w:rsidRPr="0070781E" w14:paraId="15F9299A" w14:textId="77777777" w:rsidTr="0070781E">
        <w:trPr>
          <w:trHeight w:val="315"/>
        </w:trPr>
        <w:tc>
          <w:tcPr>
            <w:tcW w:w="3260" w:type="dxa"/>
            <w:vMerge/>
            <w:tcBorders>
              <w:left w:val="single" w:sz="4" w:space="0" w:color="auto"/>
              <w:right w:val="single" w:sz="4" w:space="0" w:color="auto"/>
            </w:tcBorders>
            <w:vAlign w:val="center"/>
            <w:hideMark/>
          </w:tcPr>
          <w:p w14:paraId="74AA22C6" w14:textId="77777777" w:rsidR="00136B42" w:rsidRPr="00136B42" w:rsidRDefault="00136B42" w:rsidP="00136B42">
            <w:pPr>
              <w:spacing w:after="0" w:line="240" w:lineRule="auto"/>
              <w:rPr>
                <w:rFonts w:eastAsia="Times New Roman" w:cs="Times New Roman"/>
                <w:color w:val="000000"/>
                <w:lang w:eastAsia="en-GB"/>
              </w:rPr>
            </w:pPr>
          </w:p>
        </w:tc>
        <w:tc>
          <w:tcPr>
            <w:tcW w:w="2424" w:type="dxa"/>
            <w:tcBorders>
              <w:top w:val="nil"/>
              <w:left w:val="nil"/>
              <w:bottom w:val="single" w:sz="4" w:space="0" w:color="auto"/>
              <w:right w:val="single" w:sz="4" w:space="0" w:color="auto"/>
            </w:tcBorders>
            <w:shd w:val="clear" w:color="auto" w:fill="auto"/>
            <w:noWrap/>
            <w:vAlign w:val="bottom"/>
            <w:hideMark/>
          </w:tcPr>
          <w:p w14:paraId="3E04FB58" w14:textId="77777777"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In-patient DC</w:t>
            </w:r>
          </w:p>
        </w:tc>
        <w:tc>
          <w:tcPr>
            <w:tcW w:w="1908" w:type="dxa"/>
            <w:tcBorders>
              <w:top w:val="nil"/>
              <w:left w:val="nil"/>
              <w:bottom w:val="single" w:sz="4" w:space="0" w:color="auto"/>
              <w:right w:val="single" w:sz="4" w:space="0" w:color="auto"/>
            </w:tcBorders>
            <w:shd w:val="clear" w:color="auto" w:fill="auto"/>
            <w:noWrap/>
            <w:vAlign w:val="bottom"/>
            <w:hideMark/>
          </w:tcPr>
          <w:p w14:paraId="602B2AB8" w14:textId="77777777"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 xml:space="preserve">                  4,557 </w:t>
            </w:r>
          </w:p>
        </w:tc>
        <w:tc>
          <w:tcPr>
            <w:tcW w:w="1904" w:type="dxa"/>
            <w:tcBorders>
              <w:top w:val="nil"/>
              <w:left w:val="nil"/>
              <w:bottom w:val="single" w:sz="4" w:space="0" w:color="auto"/>
              <w:right w:val="single" w:sz="4" w:space="0" w:color="auto"/>
            </w:tcBorders>
            <w:shd w:val="clear" w:color="auto" w:fill="auto"/>
            <w:noWrap/>
            <w:vAlign w:val="bottom"/>
            <w:hideMark/>
          </w:tcPr>
          <w:p w14:paraId="7312C72E" w14:textId="77777777" w:rsidR="00136B42" w:rsidRPr="00136B42" w:rsidRDefault="00136B42" w:rsidP="00136B42">
            <w:pPr>
              <w:spacing w:after="0" w:line="240" w:lineRule="auto"/>
              <w:jc w:val="right"/>
              <w:rPr>
                <w:rFonts w:eastAsia="Times New Roman" w:cs="Times New Roman"/>
                <w:color w:val="000000"/>
                <w:lang w:eastAsia="en-GB"/>
              </w:rPr>
            </w:pPr>
            <w:r w:rsidRPr="00136B42">
              <w:rPr>
                <w:rFonts w:eastAsia="Times New Roman" w:cs="Times New Roman"/>
                <w:color w:val="000000"/>
                <w:lang w:eastAsia="en-GB"/>
              </w:rPr>
              <w:t>£5,209,761</w:t>
            </w:r>
          </w:p>
        </w:tc>
      </w:tr>
      <w:tr w:rsidR="00136B42" w:rsidRPr="0070781E" w14:paraId="15C39088" w14:textId="77777777" w:rsidTr="0070781E">
        <w:trPr>
          <w:trHeight w:val="315"/>
        </w:trPr>
        <w:tc>
          <w:tcPr>
            <w:tcW w:w="3260" w:type="dxa"/>
            <w:vMerge/>
            <w:tcBorders>
              <w:left w:val="single" w:sz="4" w:space="0" w:color="auto"/>
              <w:right w:val="single" w:sz="4" w:space="0" w:color="auto"/>
            </w:tcBorders>
            <w:vAlign w:val="center"/>
            <w:hideMark/>
          </w:tcPr>
          <w:p w14:paraId="12BDAF32" w14:textId="77777777" w:rsidR="00136B42" w:rsidRPr="00136B42" w:rsidRDefault="00136B42" w:rsidP="00136B42">
            <w:pPr>
              <w:spacing w:after="0" w:line="240" w:lineRule="auto"/>
              <w:rPr>
                <w:rFonts w:eastAsia="Times New Roman" w:cs="Times New Roman"/>
                <w:color w:val="000000"/>
                <w:lang w:eastAsia="en-GB"/>
              </w:rPr>
            </w:pPr>
          </w:p>
        </w:tc>
        <w:tc>
          <w:tcPr>
            <w:tcW w:w="2424" w:type="dxa"/>
            <w:tcBorders>
              <w:top w:val="nil"/>
              <w:left w:val="nil"/>
              <w:bottom w:val="single" w:sz="4" w:space="0" w:color="auto"/>
              <w:right w:val="single" w:sz="4" w:space="0" w:color="auto"/>
            </w:tcBorders>
            <w:shd w:val="clear" w:color="auto" w:fill="auto"/>
            <w:noWrap/>
            <w:vAlign w:val="bottom"/>
            <w:hideMark/>
          </w:tcPr>
          <w:p w14:paraId="11F6D820" w14:textId="77777777"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In-patient EL</w:t>
            </w:r>
          </w:p>
        </w:tc>
        <w:tc>
          <w:tcPr>
            <w:tcW w:w="1908" w:type="dxa"/>
            <w:tcBorders>
              <w:top w:val="nil"/>
              <w:left w:val="nil"/>
              <w:bottom w:val="single" w:sz="4" w:space="0" w:color="auto"/>
              <w:right w:val="single" w:sz="4" w:space="0" w:color="auto"/>
            </w:tcBorders>
            <w:shd w:val="clear" w:color="auto" w:fill="auto"/>
            <w:noWrap/>
            <w:vAlign w:val="bottom"/>
            <w:hideMark/>
          </w:tcPr>
          <w:p w14:paraId="45CDF7A0" w14:textId="77777777"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 xml:space="preserve">                  1,051 </w:t>
            </w:r>
          </w:p>
        </w:tc>
        <w:tc>
          <w:tcPr>
            <w:tcW w:w="1904" w:type="dxa"/>
            <w:tcBorders>
              <w:top w:val="nil"/>
              <w:left w:val="nil"/>
              <w:bottom w:val="single" w:sz="4" w:space="0" w:color="auto"/>
              <w:right w:val="single" w:sz="4" w:space="0" w:color="auto"/>
            </w:tcBorders>
            <w:shd w:val="clear" w:color="auto" w:fill="auto"/>
            <w:noWrap/>
            <w:vAlign w:val="bottom"/>
            <w:hideMark/>
          </w:tcPr>
          <w:p w14:paraId="09A19137" w14:textId="77777777" w:rsidR="00136B42" w:rsidRPr="00136B42" w:rsidRDefault="00136B42" w:rsidP="00136B42">
            <w:pPr>
              <w:spacing w:after="0" w:line="240" w:lineRule="auto"/>
              <w:jc w:val="right"/>
              <w:rPr>
                <w:rFonts w:eastAsia="Times New Roman" w:cs="Times New Roman"/>
                <w:color w:val="000000"/>
                <w:lang w:eastAsia="en-GB"/>
              </w:rPr>
            </w:pPr>
            <w:r w:rsidRPr="00136B42">
              <w:rPr>
                <w:rFonts w:eastAsia="Times New Roman" w:cs="Times New Roman"/>
                <w:color w:val="000000"/>
                <w:lang w:eastAsia="en-GB"/>
              </w:rPr>
              <w:t>£5,714,100</w:t>
            </w:r>
          </w:p>
        </w:tc>
      </w:tr>
      <w:tr w:rsidR="00136B42" w:rsidRPr="0070781E" w14:paraId="6DA3E6F6" w14:textId="77777777" w:rsidTr="0070781E">
        <w:trPr>
          <w:trHeight w:val="231"/>
        </w:trPr>
        <w:tc>
          <w:tcPr>
            <w:tcW w:w="3260" w:type="dxa"/>
            <w:vMerge/>
            <w:tcBorders>
              <w:left w:val="single" w:sz="4" w:space="0" w:color="auto"/>
              <w:bottom w:val="single" w:sz="4" w:space="0" w:color="auto"/>
              <w:right w:val="single" w:sz="4" w:space="0" w:color="auto"/>
            </w:tcBorders>
            <w:vAlign w:val="center"/>
          </w:tcPr>
          <w:p w14:paraId="5A57609C" w14:textId="77777777" w:rsidR="00136B42" w:rsidRPr="0070781E" w:rsidRDefault="00136B42" w:rsidP="00136B42">
            <w:pPr>
              <w:spacing w:after="0" w:line="240" w:lineRule="auto"/>
              <w:rPr>
                <w:rFonts w:eastAsia="Times New Roman" w:cs="Times New Roman"/>
                <w:color w:val="000000"/>
                <w:lang w:eastAsia="en-GB"/>
              </w:rPr>
            </w:pPr>
          </w:p>
        </w:tc>
        <w:tc>
          <w:tcPr>
            <w:tcW w:w="2424" w:type="dxa"/>
            <w:tcBorders>
              <w:top w:val="nil"/>
              <w:left w:val="nil"/>
              <w:bottom w:val="single" w:sz="4" w:space="0" w:color="auto"/>
              <w:right w:val="single" w:sz="4" w:space="0" w:color="auto"/>
            </w:tcBorders>
            <w:shd w:val="clear" w:color="auto" w:fill="auto"/>
            <w:noWrap/>
            <w:vAlign w:val="bottom"/>
          </w:tcPr>
          <w:p w14:paraId="652231A9" w14:textId="116C4A4E" w:rsidR="00136B42" w:rsidRPr="0070781E" w:rsidRDefault="00136B42" w:rsidP="00136B42">
            <w:pPr>
              <w:spacing w:after="0" w:line="240" w:lineRule="auto"/>
              <w:rPr>
                <w:rFonts w:eastAsia="Times New Roman" w:cs="Times New Roman"/>
                <w:color w:val="000000"/>
                <w:lang w:eastAsia="en-GB"/>
              </w:rPr>
            </w:pPr>
            <w:r w:rsidRPr="0070781E">
              <w:rPr>
                <w:rFonts w:eastAsia="Times New Roman" w:cs="Times New Roman"/>
                <w:color w:val="000000"/>
                <w:lang w:eastAsia="en-GB"/>
              </w:rPr>
              <w:t>DMARDs</w:t>
            </w:r>
          </w:p>
        </w:tc>
        <w:tc>
          <w:tcPr>
            <w:tcW w:w="1908" w:type="dxa"/>
            <w:tcBorders>
              <w:top w:val="nil"/>
              <w:left w:val="nil"/>
              <w:bottom w:val="single" w:sz="4" w:space="0" w:color="auto"/>
              <w:right w:val="single" w:sz="4" w:space="0" w:color="auto"/>
            </w:tcBorders>
            <w:shd w:val="clear" w:color="auto" w:fill="auto"/>
            <w:noWrap/>
            <w:vAlign w:val="bottom"/>
          </w:tcPr>
          <w:p w14:paraId="6BD81D4C" w14:textId="026B5EEB" w:rsidR="00136B42" w:rsidRPr="0070781E" w:rsidRDefault="00136B42" w:rsidP="00136B42">
            <w:pPr>
              <w:spacing w:after="0" w:line="240" w:lineRule="auto"/>
              <w:rPr>
                <w:rFonts w:eastAsia="Times New Roman" w:cs="Times New Roman"/>
                <w:color w:val="000000"/>
                <w:lang w:eastAsia="en-GB"/>
              </w:rPr>
            </w:pPr>
            <w:r w:rsidRPr="0070781E">
              <w:rPr>
                <w:rFonts w:eastAsia="Times New Roman" w:cs="Times New Roman"/>
                <w:color w:val="000000"/>
                <w:lang w:eastAsia="en-GB"/>
              </w:rPr>
              <w:t>-</w:t>
            </w:r>
          </w:p>
        </w:tc>
        <w:tc>
          <w:tcPr>
            <w:tcW w:w="1904" w:type="dxa"/>
            <w:tcBorders>
              <w:top w:val="nil"/>
              <w:left w:val="nil"/>
              <w:bottom w:val="single" w:sz="4" w:space="0" w:color="auto"/>
              <w:right w:val="single" w:sz="4" w:space="0" w:color="auto"/>
            </w:tcBorders>
            <w:shd w:val="clear" w:color="auto" w:fill="auto"/>
            <w:noWrap/>
            <w:vAlign w:val="bottom"/>
          </w:tcPr>
          <w:p w14:paraId="5CE8E4F1" w14:textId="6C2502E8" w:rsidR="00136B42" w:rsidRPr="0070781E" w:rsidRDefault="00136B42" w:rsidP="00136B42">
            <w:pPr>
              <w:spacing w:after="0" w:line="240" w:lineRule="auto"/>
              <w:rPr>
                <w:rFonts w:eastAsia="Times New Roman" w:cs="Times New Roman"/>
                <w:color w:val="000000"/>
                <w:lang w:eastAsia="en-GB"/>
              </w:rPr>
            </w:pPr>
            <w:r w:rsidRPr="0070781E">
              <w:rPr>
                <w:rFonts w:eastAsia="Times New Roman" w:cs="Times New Roman"/>
                <w:color w:val="000000"/>
                <w:lang w:eastAsia="en-GB"/>
              </w:rPr>
              <w:t>-</w:t>
            </w:r>
          </w:p>
        </w:tc>
      </w:tr>
      <w:tr w:rsidR="00136B42" w:rsidRPr="0070781E" w14:paraId="450803B3" w14:textId="77777777" w:rsidTr="0070781E">
        <w:trPr>
          <w:trHeight w:val="413"/>
        </w:trPr>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8C6483" w14:textId="77777777" w:rsidR="00136B42" w:rsidRPr="00136B42" w:rsidRDefault="00136B42" w:rsidP="00136B42">
            <w:pPr>
              <w:spacing w:after="0" w:line="240" w:lineRule="auto"/>
              <w:jc w:val="center"/>
              <w:rPr>
                <w:rFonts w:eastAsia="Times New Roman" w:cs="Times New Roman"/>
                <w:color w:val="000000"/>
                <w:lang w:eastAsia="en-GB"/>
              </w:rPr>
            </w:pPr>
            <w:r w:rsidRPr="00136B42">
              <w:rPr>
                <w:rFonts w:eastAsia="Times New Roman" w:cs="Times New Roman"/>
                <w:color w:val="000000"/>
                <w:lang w:eastAsia="en-GB"/>
              </w:rPr>
              <w:t>Community</w:t>
            </w:r>
          </w:p>
        </w:tc>
        <w:tc>
          <w:tcPr>
            <w:tcW w:w="2424" w:type="dxa"/>
            <w:tcBorders>
              <w:top w:val="nil"/>
              <w:left w:val="nil"/>
              <w:bottom w:val="single" w:sz="4" w:space="0" w:color="auto"/>
              <w:right w:val="single" w:sz="4" w:space="0" w:color="auto"/>
            </w:tcBorders>
            <w:shd w:val="clear" w:color="auto" w:fill="auto"/>
            <w:noWrap/>
            <w:vAlign w:val="bottom"/>
            <w:hideMark/>
          </w:tcPr>
          <w:p w14:paraId="46F8A46C" w14:textId="19C6CAB0" w:rsidR="00136B42" w:rsidRPr="00136B42" w:rsidRDefault="00136B42" w:rsidP="00136B42">
            <w:pPr>
              <w:spacing w:after="0" w:line="240" w:lineRule="auto"/>
              <w:rPr>
                <w:rFonts w:eastAsia="Times New Roman" w:cs="Times New Roman"/>
                <w:color w:val="000000"/>
                <w:lang w:eastAsia="en-GB"/>
              </w:rPr>
            </w:pPr>
            <w:r w:rsidRPr="0070781E">
              <w:rPr>
                <w:rFonts w:eastAsia="Times New Roman" w:cs="Times New Roman"/>
                <w:color w:val="000000"/>
                <w:lang w:eastAsia="en-GB"/>
              </w:rPr>
              <w:t>Physiotherapy</w:t>
            </w:r>
          </w:p>
        </w:tc>
        <w:tc>
          <w:tcPr>
            <w:tcW w:w="1908" w:type="dxa"/>
            <w:tcBorders>
              <w:top w:val="nil"/>
              <w:left w:val="nil"/>
              <w:bottom w:val="single" w:sz="4" w:space="0" w:color="auto"/>
              <w:right w:val="single" w:sz="4" w:space="0" w:color="auto"/>
            </w:tcBorders>
            <w:shd w:val="clear" w:color="auto" w:fill="auto"/>
            <w:noWrap/>
            <w:vAlign w:val="bottom"/>
            <w:hideMark/>
          </w:tcPr>
          <w:p w14:paraId="4BC88ADE" w14:textId="5AF636FA" w:rsidR="00136B42" w:rsidRPr="00136B42" w:rsidRDefault="0070781E" w:rsidP="0070781E">
            <w:pPr>
              <w:spacing w:after="0" w:line="240" w:lineRule="auto"/>
              <w:jc w:val="center"/>
              <w:rPr>
                <w:rFonts w:eastAsia="Times New Roman" w:cs="Times New Roman"/>
                <w:color w:val="000000"/>
                <w:lang w:eastAsia="en-GB"/>
              </w:rPr>
            </w:pPr>
            <w:r w:rsidRPr="0070781E">
              <w:rPr>
                <w:rFonts w:eastAsia="Times New Roman" w:cs="Times New Roman"/>
                <w:lang w:eastAsia="en-GB"/>
              </w:rPr>
              <w:t xml:space="preserve">             </w:t>
            </w:r>
            <w:r w:rsidR="00136B42" w:rsidRPr="0070781E">
              <w:rPr>
                <w:rFonts w:eastAsia="Times New Roman" w:cs="Times New Roman"/>
                <w:lang w:eastAsia="en-GB"/>
              </w:rPr>
              <w:t>81,826</w:t>
            </w:r>
            <w:r w:rsidR="00136B42" w:rsidRPr="00136B42">
              <w:rPr>
                <w:rFonts w:eastAsia="Times New Roman" w:cs="Times New Roman"/>
                <w:lang w:eastAsia="en-GB"/>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14:paraId="67843300" w14:textId="45323634" w:rsidR="00136B42" w:rsidRPr="00136B42" w:rsidRDefault="00136B42" w:rsidP="00136B42">
            <w:pPr>
              <w:spacing w:after="0" w:line="240" w:lineRule="auto"/>
              <w:jc w:val="right"/>
              <w:rPr>
                <w:rFonts w:eastAsia="Times New Roman" w:cs="Times New Roman"/>
                <w:color w:val="000000"/>
                <w:lang w:eastAsia="en-GB"/>
              </w:rPr>
            </w:pPr>
            <w:r w:rsidRPr="0070781E">
              <w:rPr>
                <w:rFonts w:eastAsia="Times New Roman" w:cs="Times New Roman"/>
                <w:color w:val="000000"/>
                <w:lang w:eastAsia="en-GB"/>
              </w:rPr>
              <w:t>£2,615,796</w:t>
            </w:r>
          </w:p>
        </w:tc>
      </w:tr>
      <w:tr w:rsidR="00136B42" w:rsidRPr="0070781E" w14:paraId="0BC7174D" w14:textId="77777777" w:rsidTr="0070781E">
        <w:trPr>
          <w:trHeight w:val="420"/>
        </w:trPr>
        <w:tc>
          <w:tcPr>
            <w:tcW w:w="3260" w:type="dxa"/>
            <w:vMerge/>
            <w:tcBorders>
              <w:top w:val="nil"/>
              <w:left w:val="single" w:sz="4" w:space="0" w:color="auto"/>
              <w:bottom w:val="single" w:sz="4" w:space="0" w:color="auto"/>
              <w:right w:val="single" w:sz="4" w:space="0" w:color="auto"/>
            </w:tcBorders>
            <w:vAlign w:val="center"/>
            <w:hideMark/>
          </w:tcPr>
          <w:p w14:paraId="5F82C18B" w14:textId="77777777" w:rsidR="00136B42" w:rsidRPr="00136B42" w:rsidRDefault="00136B42" w:rsidP="00136B42">
            <w:pPr>
              <w:spacing w:after="0" w:line="240" w:lineRule="auto"/>
              <w:rPr>
                <w:rFonts w:eastAsia="Times New Roman" w:cs="Times New Roman"/>
                <w:color w:val="000000"/>
                <w:lang w:eastAsia="en-GB"/>
              </w:rPr>
            </w:pPr>
          </w:p>
        </w:tc>
        <w:tc>
          <w:tcPr>
            <w:tcW w:w="2424" w:type="dxa"/>
            <w:tcBorders>
              <w:top w:val="nil"/>
              <w:left w:val="nil"/>
              <w:bottom w:val="single" w:sz="4" w:space="0" w:color="auto"/>
              <w:right w:val="single" w:sz="4" w:space="0" w:color="auto"/>
            </w:tcBorders>
            <w:shd w:val="clear" w:color="auto" w:fill="auto"/>
            <w:noWrap/>
            <w:vAlign w:val="bottom"/>
            <w:hideMark/>
          </w:tcPr>
          <w:p w14:paraId="3647D155" w14:textId="1380B359"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MCATS</w:t>
            </w:r>
          </w:p>
        </w:tc>
        <w:tc>
          <w:tcPr>
            <w:tcW w:w="1908" w:type="dxa"/>
            <w:tcBorders>
              <w:top w:val="nil"/>
              <w:left w:val="nil"/>
              <w:bottom w:val="single" w:sz="4" w:space="0" w:color="auto"/>
              <w:right w:val="single" w:sz="4" w:space="0" w:color="auto"/>
            </w:tcBorders>
            <w:shd w:val="clear" w:color="auto" w:fill="auto"/>
            <w:noWrap/>
            <w:vAlign w:val="bottom"/>
            <w:hideMark/>
          </w:tcPr>
          <w:p w14:paraId="7C366991" w14:textId="1A5F741D"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 xml:space="preserve">               </w:t>
            </w:r>
            <w:r w:rsidR="0070781E" w:rsidRPr="0070781E">
              <w:rPr>
                <w:rFonts w:eastAsia="Times New Roman" w:cs="Times New Roman"/>
                <w:color w:val="000000"/>
                <w:lang w:eastAsia="en-GB"/>
              </w:rPr>
              <w:t xml:space="preserve">   </w:t>
            </w:r>
            <w:r w:rsidRPr="00136B42">
              <w:rPr>
                <w:rFonts w:eastAsia="Times New Roman" w:cs="Times New Roman"/>
                <w:color w:val="000000"/>
                <w:lang w:eastAsia="en-GB"/>
              </w:rPr>
              <w:t xml:space="preserve"> </w:t>
            </w:r>
            <w:r w:rsidRPr="0070781E">
              <w:rPr>
                <w:rFonts w:eastAsia="Times New Roman" w:cs="Times New Roman"/>
                <w:color w:val="000000"/>
                <w:lang w:eastAsia="en-GB"/>
              </w:rPr>
              <w:t>8225</w:t>
            </w:r>
          </w:p>
        </w:tc>
        <w:tc>
          <w:tcPr>
            <w:tcW w:w="1904" w:type="dxa"/>
            <w:tcBorders>
              <w:top w:val="nil"/>
              <w:left w:val="nil"/>
              <w:bottom w:val="single" w:sz="4" w:space="0" w:color="auto"/>
              <w:right w:val="single" w:sz="4" w:space="0" w:color="auto"/>
            </w:tcBorders>
            <w:shd w:val="clear" w:color="auto" w:fill="auto"/>
            <w:noWrap/>
            <w:vAlign w:val="bottom"/>
            <w:hideMark/>
          </w:tcPr>
          <w:p w14:paraId="4E7CC8A6" w14:textId="32564A00" w:rsidR="00136B42" w:rsidRPr="00136B42" w:rsidRDefault="00136B42" w:rsidP="00136B42">
            <w:pPr>
              <w:spacing w:after="0" w:line="240" w:lineRule="auto"/>
              <w:jc w:val="right"/>
              <w:rPr>
                <w:rFonts w:eastAsia="Times New Roman" w:cs="Times New Roman"/>
                <w:color w:val="000000"/>
                <w:lang w:eastAsia="en-GB"/>
              </w:rPr>
            </w:pPr>
            <w:r w:rsidRPr="0070781E">
              <w:rPr>
                <w:rFonts w:eastAsia="Times New Roman" w:cs="Times New Roman"/>
                <w:color w:val="000000"/>
                <w:lang w:eastAsia="en-GB"/>
              </w:rPr>
              <w:t>£920,444</w:t>
            </w:r>
          </w:p>
        </w:tc>
      </w:tr>
      <w:tr w:rsidR="00136B42" w:rsidRPr="0070781E" w14:paraId="05312013" w14:textId="77777777" w:rsidTr="0070781E">
        <w:trPr>
          <w:trHeight w:val="349"/>
        </w:trPr>
        <w:tc>
          <w:tcPr>
            <w:tcW w:w="3260" w:type="dxa"/>
            <w:vMerge/>
            <w:tcBorders>
              <w:top w:val="nil"/>
              <w:left w:val="single" w:sz="4" w:space="0" w:color="auto"/>
              <w:bottom w:val="single" w:sz="4" w:space="0" w:color="auto"/>
              <w:right w:val="single" w:sz="4" w:space="0" w:color="auto"/>
            </w:tcBorders>
            <w:vAlign w:val="center"/>
            <w:hideMark/>
          </w:tcPr>
          <w:p w14:paraId="66ACCA6F" w14:textId="77777777" w:rsidR="00136B42" w:rsidRPr="00136B42" w:rsidRDefault="00136B42" w:rsidP="00136B42">
            <w:pPr>
              <w:spacing w:after="0" w:line="240" w:lineRule="auto"/>
              <w:rPr>
                <w:rFonts w:eastAsia="Times New Roman" w:cs="Times New Roman"/>
                <w:color w:val="000000"/>
                <w:lang w:eastAsia="en-GB"/>
              </w:rPr>
            </w:pPr>
          </w:p>
        </w:tc>
        <w:tc>
          <w:tcPr>
            <w:tcW w:w="2424" w:type="dxa"/>
            <w:tcBorders>
              <w:top w:val="nil"/>
              <w:left w:val="nil"/>
              <w:bottom w:val="single" w:sz="4" w:space="0" w:color="auto"/>
              <w:right w:val="single" w:sz="4" w:space="0" w:color="auto"/>
            </w:tcBorders>
            <w:shd w:val="clear" w:color="auto" w:fill="auto"/>
            <w:noWrap/>
            <w:vAlign w:val="bottom"/>
            <w:hideMark/>
          </w:tcPr>
          <w:p w14:paraId="0DDEEFDA" w14:textId="77777777"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Chronic Pain Service</w:t>
            </w:r>
          </w:p>
        </w:tc>
        <w:tc>
          <w:tcPr>
            <w:tcW w:w="1908" w:type="dxa"/>
            <w:tcBorders>
              <w:top w:val="nil"/>
              <w:left w:val="nil"/>
              <w:bottom w:val="single" w:sz="4" w:space="0" w:color="auto"/>
              <w:right w:val="single" w:sz="4" w:space="0" w:color="auto"/>
            </w:tcBorders>
            <w:shd w:val="clear" w:color="auto" w:fill="auto"/>
            <w:noWrap/>
            <w:vAlign w:val="bottom"/>
            <w:hideMark/>
          </w:tcPr>
          <w:p w14:paraId="3CA42469" w14:textId="77777777" w:rsidR="00136B42" w:rsidRPr="00136B42" w:rsidRDefault="00136B42" w:rsidP="00136B42">
            <w:pPr>
              <w:spacing w:after="0" w:line="240" w:lineRule="auto"/>
              <w:rPr>
                <w:rFonts w:eastAsia="Times New Roman" w:cs="Times New Roman"/>
                <w:color w:val="000000"/>
                <w:lang w:eastAsia="en-GB"/>
              </w:rPr>
            </w:pPr>
            <w:r w:rsidRPr="00136B42">
              <w:rPr>
                <w:rFonts w:eastAsia="Times New Roman" w:cs="Times New Roman"/>
                <w:color w:val="000000"/>
                <w:lang w:eastAsia="en-GB"/>
              </w:rPr>
              <w:t xml:space="preserve">                     302 </w:t>
            </w:r>
          </w:p>
        </w:tc>
        <w:tc>
          <w:tcPr>
            <w:tcW w:w="1904" w:type="dxa"/>
            <w:tcBorders>
              <w:top w:val="nil"/>
              <w:left w:val="nil"/>
              <w:bottom w:val="single" w:sz="4" w:space="0" w:color="auto"/>
              <w:right w:val="single" w:sz="4" w:space="0" w:color="auto"/>
            </w:tcBorders>
            <w:shd w:val="clear" w:color="auto" w:fill="auto"/>
            <w:noWrap/>
            <w:vAlign w:val="bottom"/>
            <w:hideMark/>
          </w:tcPr>
          <w:p w14:paraId="00159C0D" w14:textId="77777777" w:rsidR="00136B42" w:rsidRPr="00136B42" w:rsidRDefault="00136B42" w:rsidP="00136B42">
            <w:pPr>
              <w:spacing w:after="0" w:line="240" w:lineRule="auto"/>
              <w:jc w:val="right"/>
              <w:rPr>
                <w:rFonts w:eastAsia="Times New Roman" w:cs="Times New Roman"/>
                <w:color w:val="000000"/>
                <w:lang w:eastAsia="en-GB"/>
              </w:rPr>
            </w:pPr>
            <w:r w:rsidRPr="00136B42">
              <w:rPr>
                <w:rFonts w:eastAsia="Times New Roman" w:cs="Times New Roman"/>
                <w:color w:val="000000"/>
                <w:lang w:eastAsia="en-GB"/>
              </w:rPr>
              <w:t>£223,371</w:t>
            </w:r>
          </w:p>
        </w:tc>
      </w:tr>
      <w:tr w:rsidR="00136B42" w:rsidRPr="0070781E" w14:paraId="12271C48" w14:textId="77777777" w:rsidTr="0070781E">
        <w:trPr>
          <w:trHeight w:val="315"/>
        </w:trPr>
        <w:tc>
          <w:tcPr>
            <w:tcW w:w="5685" w:type="dxa"/>
            <w:gridSpan w:val="2"/>
            <w:tcBorders>
              <w:top w:val="single" w:sz="4" w:space="0" w:color="auto"/>
              <w:left w:val="nil"/>
              <w:bottom w:val="nil"/>
              <w:right w:val="single" w:sz="4" w:space="0" w:color="000000"/>
            </w:tcBorders>
            <w:shd w:val="clear" w:color="auto" w:fill="auto"/>
            <w:noWrap/>
            <w:vAlign w:val="bottom"/>
            <w:hideMark/>
          </w:tcPr>
          <w:p w14:paraId="48A83572" w14:textId="21FBAC23" w:rsidR="00136B42" w:rsidRPr="00136B42" w:rsidRDefault="00136B42" w:rsidP="00136B42">
            <w:pPr>
              <w:spacing w:after="0" w:line="240" w:lineRule="auto"/>
              <w:jc w:val="center"/>
              <w:rPr>
                <w:rFonts w:eastAsia="Times New Roman" w:cs="Times New Roman"/>
                <w:b/>
                <w:bCs/>
                <w:color w:val="000000"/>
                <w:lang w:eastAsia="en-GB"/>
              </w:rPr>
            </w:pPr>
            <w:r w:rsidRPr="0070781E">
              <w:rPr>
                <w:rFonts w:eastAsia="Times New Roman" w:cs="Times New Roman"/>
                <w:b/>
                <w:bCs/>
                <w:color w:val="000000"/>
                <w:lang w:eastAsia="en-GB"/>
              </w:rPr>
              <w:t xml:space="preserve">                                                </w:t>
            </w:r>
            <w:r w:rsidRPr="00136B42">
              <w:rPr>
                <w:rFonts w:eastAsia="Times New Roman" w:cs="Times New Roman"/>
                <w:b/>
                <w:bCs/>
                <w:color w:val="000000"/>
                <w:lang w:eastAsia="en-GB"/>
              </w:rPr>
              <w:t>Total</w:t>
            </w:r>
          </w:p>
        </w:tc>
        <w:tc>
          <w:tcPr>
            <w:tcW w:w="1908" w:type="dxa"/>
            <w:tcBorders>
              <w:top w:val="nil"/>
              <w:left w:val="nil"/>
              <w:bottom w:val="single" w:sz="4" w:space="0" w:color="auto"/>
              <w:right w:val="single" w:sz="4" w:space="0" w:color="auto"/>
            </w:tcBorders>
            <w:shd w:val="clear" w:color="auto" w:fill="auto"/>
            <w:noWrap/>
            <w:vAlign w:val="bottom"/>
            <w:hideMark/>
          </w:tcPr>
          <w:p w14:paraId="78172742" w14:textId="77777777" w:rsidR="00136B42" w:rsidRPr="00136B42" w:rsidRDefault="00136B42" w:rsidP="00136B42">
            <w:pPr>
              <w:spacing w:after="0" w:line="240" w:lineRule="auto"/>
              <w:rPr>
                <w:rFonts w:eastAsia="Times New Roman" w:cs="Times New Roman"/>
                <w:b/>
                <w:bCs/>
                <w:color w:val="000000"/>
                <w:lang w:eastAsia="en-GB"/>
              </w:rPr>
            </w:pPr>
            <w:r w:rsidRPr="00136B42">
              <w:rPr>
                <w:rFonts w:eastAsia="Times New Roman" w:cs="Times New Roman"/>
                <w:b/>
                <w:bCs/>
                <w:color w:val="000000"/>
                <w:lang w:eastAsia="en-GB"/>
              </w:rPr>
              <w:t xml:space="preserve">              134,963 </w:t>
            </w:r>
          </w:p>
        </w:tc>
        <w:tc>
          <w:tcPr>
            <w:tcW w:w="1904" w:type="dxa"/>
            <w:tcBorders>
              <w:top w:val="nil"/>
              <w:left w:val="nil"/>
              <w:bottom w:val="single" w:sz="4" w:space="0" w:color="auto"/>
              <w:right w:val="single" w:sz="4" w:space="0" w:color="auto"/>
            </w:tcBorders>
            <w:shd w:val="clear" w:color="auto" w:fill="auto"/>
            <w:noWrap/>
            <w:vAlign w:val="bottom"/>
            <w:hideMark/>
          </w:tcPr>
          <w:p w14:paraId="2B4A0ECE" w14:textId="77777777" w:rsidR="00136B42" w:rsidRPr="00136B42" w:rsidRDefault="00136B42" w:rsidP="00136B42">
            <w:pPr>
              <w:spacing w:after="0" w:line="240" w:lineRule="auto"/>
              <w:jc w:val="right"/>
              <w:rPr>
                <w:rFonts w:eastAsia="Times New Roman" w:cs="Times New Roman"/>
                <w:b/>
                <w:bCs/>
                <w:color w:val="000000"/>
                <w:lang w:eastAsia="en-GB"/>
              </w:rPr>
            </w:pPr>
            <w:r w:rsidRPr="00136B42">
              <w:rPr>
                <w:rFonts w:eastAsia="Times New Roman" w:cs="Times New Roman"/>
                <w:b/>
                <w:bCs/>
                <w:color w:val="000000"/>
                <w:lang w:eastAsia="en-GB"/>
              </w:rPr>
              <w:t>£18,727,440</w:t>
            </w:r>
          </w:p>
        </w:tc>
      </w:tr>
    </w:tbl>
    <w:p w14:paraId="6900E27F" w14:textId="77777777" w:rsidR="00B80504" w:rsidRPr="003D794A" w:rsidRDefault="00B80504" w:rsidP="001C430B">
      <w:pPr>
        <w:spacing w:after="0" w:line="240" w:lineRule="auto"/>
        <w:rPr>
          <w:noProof/>
          <w:lang w:val="en-US"/>
        </w:rPr>
      </w:pPr>
    </w:p>
    <w:p w14:paraId="2491BDEB" w14:textId="77777777" w:rsidR="005D72A7" w:rsidRPr="003D794A" w:rsidRDefault="005D72A7" w:rsidP="003D794A">
      <w:pPr>
        <w:spacing w:after="0" w:line="240" w:lineRule="auto"/>
        <w:rPr>
          <w:rFonts w:cs="Arial"/>
          <w:b/>
        </w:rPr>
      </w:pPr>
    </w:p>
    <w:p w14:paraId="5B25428A" w14:textId="08FA31C1" w:rsidR="00EB4F10" w:rsidRPr="003D794A" w:rsidRDefault="00F931BF" w:rsidP="003D794A">
      <w:pPr>
        <w:keepNext/>
        <w:numPr>
          <w:ilvl w:val="1"/>
          <w:numId w:val="0"/>
        </w:numPr>
        <w:tabs>
          <w:tab w:val="num" w:pos="720"/>
        </w:tabs>
        <w:spacing w:after="0" w:line="240" w:lineRule="auto"/>
        <w:ind w:left="720" w:hanging="720"/>
        <w:outlineLvl w:val="1"/>
        <w:rPr>
          <w:rFonts w:eastAsia="Arial" w:cstheme="minorHAnsi"/>
          <w:bCs/>
          <w:iCs/>
          <w:lang w:eastAsia="en-GB"/>
        </w:rPr>
      </w:pPr>
      <w:r w:rsidRPr="003D794A">
        <w:rPr>
          <w:rFonts w:cstheme="minorHAnsi"/>
          <w:lang w:eastAsia="en-GB"/>
        </w:rPr>
        <w:t>5.</w:t>
      </w:r>
      <w:r w:rsidR="00EB4F10" w:rsidRPr="003D794A">
        <w:rPr>
          <w:rFonts w:cstheme="minorHAnsi"/>
          <w:lang w:eastAsia="en-GB"/>
        </w:rPr>
        <w:t>4</w:t>
      </w:r>
      <w:r w:rsidRPr="003D794A">
        <w:rPr>
          <w:rFonts w:cstheme="minorHAnsi"/>
          <w:lang w:eastAsia="en-GB"/>
        </w:rPr>
        <w:t xml:space="preserve"> </w:t>
      </w:r>
      <w:r w:rsidRPr="003D794A">
        <w:rPr>
          <w:rFonts w:eastAsia="Arial" w:cstheme="minorHAnsi"/>
          <w:bCs/>
          <w:iCs/>
          <w:lang w:eastAsia="en-GB"/>
        </w:rPr>
        <w:t xml:space="preserve">Expected </w:t>
      </w:r>
      <w:r w:rsidR="005D72A7" w:rsidRPr="003D794A">
        <w:rPr>
          <w:rFonts w:eastAsia="Arial" w:cstheme="minorHAnsi"/>
          <w:bCs/>
          <w:iCs/>
          <w:lang w:eastAsia="en-GB"/>
        </w:rPr>
        <w:t xml:space="preserve">service </w:t>
      </w:r>
      <w:r w:rsidRPr="003D794A">
        <w:rPr>
          <w:rFonts w:eastAsia="Arial" w:cstheme="minorHAnsi"/>
          <w:bCs/>
          <w:iCs/>
          <w:lang w:eastAsia="en-GB"/>
        </w:rPr>
        <w:t>outcomes</w:t>
      </w:r>
    </w:p>
    <w:p w14:paraId="6B770A17" w14:textId="77777777" w:rsidR="00400DED" w:rsidRPr="003D794A" w:rsidRDefault="00400DED" w:rsidP="003D794A">
      <w:pPr>
        <w:keepNext/>
        <w:numPr>
          <w:ilvl w:val="1"/>
          <w:numId w:val="0"/>
        </w:numPr>
        <w:tabs>
          <w:tab w:val="num" w:pos="720"/>
        </w:tabs>
        <w:spacing w:after="0" w:line="240" w:lineRule="auto"/>
        <w:ind w:left="720" w:hanging="720"/>
        <w:outlineLvl w:val="1"/>
        <w:rPr>
          <w:rFonts w:eastAsia="Arial" w:cstheme="minorHAnsi"/>
          <w:bCs/>
          <w:iCs/>
          <w:lang w:eastAsia="en-GB"/>
        </w:rPr>
      </w:pPr>
    </w:p>
    <w:p w14:paraId="1C18118E" w14:textId="7F283E11" w:rsidR="00F931BF" w:rsidRPr="003D794A" w:rsidRDefault="00F931BF" w:rsidP="003D794A">
      <w:pPr>
        <w:pStyle w:val="NormalWeb"/>
        <w:shd w:val="clear" w:color="auto" w:fill="FFFFFF"/>
        <w:spacing w:before="0" w:beforeAutospacing="0" w:after="0" w:afterAutospacing="0"/>
        <w:rPr>
          <w:rFonts w:asciiTheme="minorHAnsi" w:eastAsiaTheme="minorHAnsi" w:hAnsiTheme="minorHAnsi" w:cstheme="minorHAnsi"/>
          <w:sz w:val="22"/>
          <w:szCs w:val="22"/>
        </w:rPr>
      </w:pPr>
      <w:r w:rsidRPr="003D794A">
        <w:rPr>
          <w:rFonts w:asciiTheme="minorHAnsi" w:eastAsiaTheme="minorHAnsi" w:hAnsiTheme="minorHAnsi" w:cstheme="minorHAnsi"/>
          <w:sz w:val="22"/>
          <w:szCs w:val="22"/>
        </w:rPr>
        <w:t>It is anticipated that</w:t>
      </w:r>
      <w:r w:rsidR="00EB4F10" w:rsidRPr="003D794A">
        <w:rPr>
          <w:rFonts w:asciiTheme="minorHAnsi" w:eastAsiaTheme="minorHAnsi" w:hAnsiTheme="minorHAnsi" w:cstheme="minorHAnsi"/>
          <w:sz w:val="22"/>
          <w:szCs w:val="22"/>
        </w:rPr>
        <w:t xml:space="preserve"> commissioning an integrated </w:t>
      </w:r>
      <w:r w:rsidRPr="003D794A">
        <w:rPr>
          <w:rFonts w:asciiTheme="minorHAnsi" w:eastAsiaTheme="minorHAnsi" w:hAnsiTheme="minorHAnsi" w:cstheme="minorHAnsi"/>
          <w:sz w:val="22"/>
          <w:szCs w:val="22"/>
        </w:rPr>
        <w:t xml:space="preserve">community </w:t>
      </w:r>
      <w:r w:rsidR="00EB4F10" w:rsidRPr="003D794A">
        <w:rPr>
          <w:rFonts w:asciiTheme="minorHAnsi" w:eastAsiaTheme="minorHAnsi" w:hAnsiTheme="minorHAnsi" w:cstheme="minorHAnsi"/>
          <w:sz w:val="22"/>
          <w:szCs w:val="22"/>
        </w:rPr>
        <w:t>MSK</w:t>
      </w:r>
      <w:r w:rsidRPr="003D794A">
        <w:rPr>
          <w:rFonts w:asciiTheme="minorHAnsi" w:eastAsiaTheme="minorHAnsi" w:hAnsiTheme="minorHAnsi" w:cstheme="minorHAnsi"/>
          <w:sz w:val="22"/>
          <w:szCs w:val="22"/>
        </w:rPr>
        <w:t xml:space="preserve"> service will result in the following local outcomes:</w:t>
      </w:r>
    </w:p>
    <w:p w14:paraId="62664535" w14:textId="0196DEEE" w:rsidR="00F931BF" w:rsidRPr="003D794A" w:rsidRDefault="00F931BF" w:rsidP="003D794A">
      <w:pPr>
        <w:numPr>
          <w:ilvl w:val="0"/>
          <w:numId w:val="7"/>
        </w:numPr>
        <w:spacing w:after="0" w:line="240" w:lineRule="auto"/>
        <w:ind w:left="1417" w:hanging="425"/>
        <w:contextualSpacing/>
        <w:rPr>
          <w:rFonts w:eastAsia="Times New Roman" w:cstheme="minorHAnsi"/>
          <w:bCs/>
        </w:rPr>
      </w:pPr>
      <w:r w:rsidRPr="003D794A">
        <w:rPr>
          <w:rFonts w:eastAsia="Times New Roman" w:cstheme="minorHAnsi"/>
          <w:bCs/>
        </w:rPr>
        <w:t xml:space="preserve">Significant reduction in secondary care activity </w:t>
      </w:r>
      <w:r w:rsidR="00400DED" w:rsidRPr="003D794A">
        <w:rPr>
          <w:rFonts w:eastAsia="Times New Roman" w:cstheme="minorHAnsi"/>
          <w:bCs/>
        </w:rPr>
        <w:t>by reducing inappropriate referrals to secondary care services, and by facilitating early discharge back to a community setting</w:t>
      </w:r>
    </w:p>
    <w:p w14:paraId="3BF97888" w14:textId="047562FA" w:rsidR="00400DED" w:rsidRPr="003D794A" w:rsidRDefault="00400DED" w:rsidP="003D794A">
      <w:pPr>
        <w:numPr>
          <w:ilvl w:val="0"/>
          <w:numId w:val="7"/>
        </w:numPr>
        <w:spacing w:after="0" w:line="240" w:lineRule="auto"/>
        <w:ind w:left="1417" w:hanging="425"/>
        <w:contextualSpacing/>
        <w:rPr>
          <w:rFonts w:eastAsia="Times New Roman" w:cstheme="minorHAnsi"/>
          <w:bCs/>
        </w:rPr>
      </w:pPr>
      <w:r w:rsidRPr="003D794A">
        <w:rPr>
          <w:rFonts w:eastAsia="Times New Roman" w:cstheme="minorHAnsi"/>
          <w:bCs/>
        </w:rPr>
        <w:t>Improved referral and booking processes via a single point of access</w:t>
      </w:r>
    </w:p>
    <w:p w14:paraId="0879ED2E" w14:textId="77777777" w:rsidR="00F931BF" w:rsidRPr="003D794A" w:rsidRDefault="00F931BF" w:rsidP="003D794A">
      <w:pPr>
        <w:numPr>
          <w:ilvl w:val="0"/>
          <w:numId w:val="7"/>
        </w:numPr>
        <w:spacing w:after="0" w:line="240" w:lineRule="auto"/>
        <w:ind w:left="1417" w:hanging="425"/>
        <w:contextualSpacing/>
        <w:rPr>
          <w:rFonts w:eastAsia="Times New Roman" w:cstheme="minorHAnsi"/>
          <w:bCs/>
        </w:rPr>
      </w:pPr>
      <w:r w:rsidRPr="003D794A">
        <w:rPr>
          <w:rFonts w:eastAsia="Times New Roman" w:cstheme="minorHAnsi"/>
          <w:bCs/>
        </w:rPr>
        <w:t>Improved clinical outcomes for patients</w:t>
      </w:r>
    </w:p>
    <w:p w14:paraId="488CB8E7" w14:textId="50CB14B5" w:rsidR="00F931BF" w:rsidRPr="003D794A" w:rsidRDefault="00F931BF" w:rsidP="003D794A">
      <w:pPr>
        <w:numPr>
          <w:ilvl w:val="0"/>
          <w:numId w:val="7"/>
        </w:numPr>
        <w:spacing w:after="0" w:line="240" w:lineRule="auto"/>
        <w:ind w:left="1417" w:hanging="425"/>
        <w:contextualSpacing/>
        <w:rPr>
          <w:rFonts w:eastAsia="Times New Roman" w:cstheme="minorHAnsi"/>
          <w:bCs/>
        </w:rPr>
      </w:pPr>
      <w:r w:rsidRPr="003D794A">
        <w:rPr>
          <w:rFonts w:eastAsia="Times New Roman" w:cstheme="minorHAnsi"/>
          <w:bCs/>
        </w:rPr>
        <w:t>High levels of patient satisfaction with care</w:t>
      </w:r>
    </w:p>
    <w:p w14:paraId="599E62CA" w14:textId="31B5F7CE" w:rsidR="00F931BF" w:rsidRPr="003D794A" w:rsidRDefault="00F931BF" w:rsidP="003D794A">
      <w:pPr>
        <w:numPr>
          <w:ilvl w:val="0"/>
          <w:numId w:val="7"/>
        </w:numPr>
        <w:spacing w:after="0" w:line="240" w:lineRule="auto"/>
        <w:ind w:left="1417" w:hanging="425"/>
        <w:contextualSpacing/>
        <w:rPr>
          <w:rFonts w:eastAsia="Times New Roman" w:cstheme="minorHAnsi"/>
          <w:bCs/>
        </w:rPr>
      </w:pPr>
      <w:r w:rsidRPr="003D794A">
        <w:rPr>
          <w:rFonts w:eastAsia="Times New Roman" w:cstheme="minorHAnsi"/>
          <w:bCs/>
        </w:rPr>
        <w:t xml:space="preserve">Increased knowledge within general practice regarding </w:t>
      </w:r>
      <w:r w:rsidR="00400DED" w:rsidRPr="003D794A">
        <w:rPr>
          <w:rFonts w:eastAsia="Times New Roman" w:cstheme="minorHAnsi"/>
          <w:bCs/>
        </w:rPr>
        <w:t>MSK conditions and treatment options</w:t>
      </w:r>
    </w:p>
    <w:p w14:paraId="2C40B64D" w14:textId="5CD78031" w:rsidR="00F931BF" w:rsidRPr="003D794A" w:rsidRDefault="00F931BF" w:rsidP="003D794A">
      <w:pPr>
        <w:numPr>
          <w:ilvl w:val="0"/>
          <w:numId w:val="7"/>
        </w:numPr>
        <w:spacing w:after="0" w:line="240" w:lineRule="auto"/>
        <w:ind w:left="1417" w:hanging="425"/>
        <w:contextualSpacing/>
        <w:rPr>
          <w:rFonts w:eastAsia="Times New Roman" w:cstheme="minorHAnsi"/>
          <w:bCs/>
        </w:rPr>
      </w:pPr>
      <w:r w:rsidRPr="003D794A">
        <w:rPr>
          <w:rFonts w:eastAsia="Times New Roman" w:cstheme="minorHAnsi"/>
          <w:bCs/>
        </w:rPr>
        <w:t>Standardised educational tools and resources for GPs and patients</w:t>
      </w:r>
      <w:r w:rsidR="00400DED" w:rsidRPr="003D794A">
        <w:rPr>
          <w:rFonts w:eastAsia="Times New Roman" w:cstheme="minorHAnsi"/>
          <w:bCs/>
        </w:rPr>
        <w:t>, and a robust educations programme for primary care</w:t>
      </w:r>
    </w:p>
    <w:p w14:paraId="499E766C" w14:textId="099BD2F5" w:rsidR="00F931BF" w:rsidRPr="003D794A" w:rsidRDefault="00400DED" w:rsidP="003D794A">
      <w:pPr>
        <w:numPr>
          <w:ilvl w:val="0"/>
          <w:numId w:val="7"/>
        </w:numPr>
        <w:spacing w:after="0" w:line="240" w:lineRule="auto"/>
        <w:ind w:left="1417" w:hanging="425"/>
        <w:contextualSpacing/>
        <w:rPr>
          <w:rFonts w:eastAsia="Times New Roman" w:cstheme="minorHAnsi"/>
          <w:bCs/>
        </w:rPr>
      </w:pPr>
      <w:r w:rsidRPr="003D794A">
        <w:rPr>
          <w:rFonts w:eastAsia="Times New Roman" w:cstheme="minorHAnsi"/>
          <w:bCs/>
        </w:rPr>
        <w:t>Improved w</w:t>
      </w:r>
      <w:r w:rsidR="00F931BF" w:rsidRPr="003D794A">
        <w:rPr>
          <w:rFonts w:eastAsia="Times New Roman" w:cstheme="minorHAnsi"/>
          <w:bCs/>
        </w:rPr>
        <w:t xml:space="preserve">aiting times for patients </w:t>
      </w:r>
    </w:p>
    <w:p w14:paraId="5F31EDE4" w14:textId="713DBF46" w:rsidR="00F931BF" w:rsidRPr="003D794A" w:rsidRDefault="00F931BF" w:rsidP="003D794A">
      <w:pPr>
        <w:numPr>
          <w:ilvl w:val="0"/>
          <w:numId w:val="7"/>
        </w:numPr>
        <w:spacing w:after="0" w:line="240" w:lineRule="auto"/>
        <w:ind w:left="1417" w:hanging="425"/>
        <w:contextualSpacing/>
        <w:rPr>
          <w:rFonts w:eastAsia="Times New Roman" w:cstheme="minorHAnsi"/>
          <w:bCs/>
        </w:rPr>
      </w:pPr>
      <w:r w:rsidRPr="003D794A">
        <w:rPr>
          <w:rFonts w:eastAsia="Times New Roman" w:cstheme="minorHAnsi"/>
          <w:bCs/>
        </w:rPr>
        <w:t>Improve</w:t>
      </w:r>
      <w:r w:rsidR="00400DED" w:rsidRPr="003D794A">
        <w:rPr>
          <w:rFonts w:eastAsia="Times New Roman" w:cstheme="minorHAnsi"/>
          <w:bCs/>
        </w:rPr>
        <w:t xml:space="preserve">d integration of the </w:t>
      </w:r>
      <w:r w:rsidRPr="003D794A">
        <w:rPr>
          <w:rFonts w:eastAsia="Times New Roman" w:cstheme="minorHAnsi"/>
          <w:bCs/>
        </w:rPr>
        <w:t xml:space="preserve">clinical pathway </w:t>
      </w:r>
      <w:r w:rsidR="00400DED" w:rsidRPr="003D794A">
        <w:rPr>
          <w:rFonts w:eastAsia="Times New Roman" w:cstheme="minorHAnsi"/>
          <w:bCs/>
        </w:rPr>
        <w:t>to ensure a seamless service for patients</w:t>
      </w:r>
    </w:p>
    <w:p w14:paraId="64D0A5D7" w14:textId="01969BF6" w:rsidR="00F931BF" w:rsidRPr="003D794A" w:rsidRDefault="00F931BF" w:rsidP="003D794A">
      <w:pPr>
        <w:numPr>
          <w:ilvl w:val="0"/>
          <w:numId w:val="7"/>
        </w:numPr>
        <w:spacing w:after="0" w:line="240" w:lineRule="auto"/>
        <w:ind w:left="1417" w:hanging="425"/>
        <w:contextualSpacing/>
        <w:rPr>
          <w:rFonts w:cs="Arial"/>
          <w:b/>
        </w:rPr>
      </w:pPr>
      <w:r w:rsidRPr="003D794A">
        <w:rPr>
          <w:rFonts w:eastAsia="Times New Roman" w:cstheme="minorHAnsi"/>
          <w:bCs/>
        </w:rPr>
        <w:t xml:space="preserve">Reduce health inequalities by providing equitable access </w:t>
      </w:r>
      <w:r w:rsidR="00400DED" w:rsidRPr="003D794A">
        <w:rPr>
          <w:rFonts w:eastAsia="Times New Roman" w:cstheme="minorHAnsi"/>
          <w:bCs/>
        </w:rPr>
        <w:t xml:space="preserve">to MSK services. </w:t>
      </w:r>
    </w:p>
    <w:p w14:paraId="5830B781" w14:textId="77777777" w:rsidR="0070781E" w:rsidRDefault="0070781E" w:rsidP="003D794A">
      <w:pPr>
        <w:keepNext/>
        <w:keepLines/>
        <w:tabs>
          <w:tab w:val="left" w:pos="284"/>
        </w:tabs>
        <w:spacing w:after="0" w:line="240" w:lineRule="auto"/>
        <w:outlineLvl w:val="0"/>
        <w:rPr>
          <w:rFonts w:cs="Arial"/>
          <w:lang w:val="en-US"/>
        </w:rPr>
      </w:pPr>
    </w:p>
    <w:p w14:paraId="5FFCB16B" w14:textId="77777777" w:rsidR="0070781E" w:rsidRPr="003D794A" w:rsidRDefault="0070781E" w:rsidP="003D794A">
      <w:pPr>
        <w:keepNext/>
        <w:keepLines/>
        <w:tabs>
          <w:tab w:val="left" w:pos="284"/>
        </w:tabs>
        <w:spacing w:after="0" w:line="240" w:lineRule="auto"/>
        <w:outlineLvl w:val="0"/>
        <w:rPr>
          <w:rFonts w:eastAsiaTheme="majorEastAsia" w:cstheme="minorHAnsi"/>
          <w:b/>
          <w:bCs/>
          <w:lang w:eastAsia="en-GB"/>
        </w:rPr>
      </w:pPr>
    </w:p>
    <w:p w14:paraId="3AA7D42A" w14:textId="6AF518F7" w:rsidR="00415087" w:rsidRDefault="003D794A" w:rsidP="003D794A">
      <w:pPr>
        <w:keepNext/>
        <w:keepLines/>
        <w:tabs>
          <w:tab w:val="left" w:pos="284"/>
        </w:tabs>
        <w:spacing w:after="0" w:line="240" w:lineRule="auto"/>
        <w:outlineLvl w:val="0"/>
        <w:rPr>
          <w:rFonts w:eastAsiaTheme="majorEastAsia" w:cstheme="minorHAnsi"/>
          <w:b/>
          <w:bCs/>
          <w:lang w:eastAsia="en-GB"/>
        </w:rPr>
      </w:pPr>
      <w:r w:rsidRPr="003D794A">
        <w:rPr>
          <w:rFonts w:eastAsiaTheme="majorEastAsia" w:cstheme="minorHAnsi"/>
          <w:b/>
          <w:bCs/>
          <w:lang w:eastAsia="en-GB"/>
        </w:rPr>
        <w:t xml:space="preserve">6. </w:t>
      </w:r>
      <w:r w:rsidR="00415087">
        <w:rPr>
          <w:rFonts w:eastAsiaTheme="majorEastAsia" w:cstheme="minorHAnsi"/>
          <w:b/>
          <w:bCs/>
          <w:lang w:eastAsia="en-GB"/>
        </w:rPr>
        <w:t>Programme Mobilisation</w:t>
      </w:r>
    </w:p>
    <w:p w14:paraId="673193C1" w14:textId="77777777" w:rsidR="00415087" w:rsidRDefault="00415087" w:rsidP="003D794A">
      <w:pPr>
        <w:keepNext/>
        <w:keepLines/>
        <w:tabs>
          <w:tab w:val="left" w:pos="284"/>
        </w:tabs>
        <w:spacing w:after="0" w:line="240" w:lineRule="auto"/>
        <w:outlineLvl w:val="0"/>
        <w:rPr>
          <w:rFonts w:eastAsiaTheme="majorEastAsia" w:cstheme="minorHAnsi"/>
          <w:b/>
          <w:bCs/>
          <w:lang w:eastAsia="en-GB"/>
        </w:rPr>
      </w:pPr>
    </w:p>
    <w:p w14:paraId="5E01C440" w14:textId="77777777" w:rsidR="00415087" w:rsidRPr="001537A5" w:rsidRDefault="00415087" w:rsidP="00415087">
      <w:pPr>
        <w:pStyle w:val="ListParagraph"/>
        <w:numPr>
          <w:ilvl w:val="0"/>
          <w:numId w:val="9"/>
        </w:numPr>
        <w:spacing w:after="200" w:line="240" w:lineRule="auto"/>
        <w:ind w:left="709" w:hanging="283"/>
        <w:jc w:val="both"/>
      </w:pPr>
      <w:r w:rsidRPr="001537A5">
        <w:t xml:space="preserve">Once the contract has been awarded, a detailed mobilisation plan will be developed by the provider and agreed by the CCG. The plan will include key activities and milestones to provide reasonable assurance that the service will be mobilised on time. </w:t>
      </w:r>
    </w:p>
    <w:p w14:paraId="04D2C6F6" w14:textId="77777777" w:rsidR="00415087" w:rsidRPr="001537A5" w:rsidRDefault="00415087" w:rsidP="00415087">
      <w:pPr>
        <w:pStyle w:val="ListParagraph"/>
        <w:numPr>
          <w:ilvl w:val="0"/>
          <w:numId w:val="9"/>
        </w:numPr>
        <w:spacing w:after="0" w:line="240" w:lineRule="auto"/>
        <w:ind w:left="709" w:hanging="283"/>
        <w:jc w:val="both"/>
        <w:rPr>
          <w:rFonts w:cs="Arial"/>
        </w:rPr>
      </w:pPr>
      <w:r w:rsidRPr="001537A5">
        <w:rPr>
          <w:rFonts w:cs="Arial"/>
        </w:rPr>
        <w:t>It is envisaged that in order to support the effective set up, mobilisation and implementation for the new service model, there will be resource with the knowledge, skills and experience to achieve and deliver the project objectives (part time for the entirety of the project). This will involve planning and monitoring the project from set up to implementation and include:</w:t>
      </w:r>
    </w:p>
    <w:p w14:paraId="25277A93" w14:textId="77777777" w:rsidR="00415087" w:rsidRPr="001537A5" w:rsidRDefault="00415087" w:rsidP="00415087">
      <w:pPr>
        <w:spacing w:after="0"/>
        <w:rPr>
          <w:rFonts w:cs="Arial"/>
        </w:rPr>
      </w:pPr>
    </w:p>
    <w:p w14:paraId="76961D82" w14:textId="77777777" w:rsidR="00415087" w:rsidRPr="001537A5" w:rsidRDefault="00415087" w:rsidP="00415087">
      <w:pPr>
        <w:pStyle w:val="ListParagraph"/>
        <w:numPr>
          <w:ilvl w:val="1"/>
          <w:numId w:val="8"/>
        </w:numPr>
        <w:spacing w:after="200" w:line="240" w:lineRule="auto"/>
      </w:pPr>
      <w:r w:rsidRPr="001537A5">
        <w:lastRenderedPageBreak/>
        <w:t>Building, managing and sustaining effective partnership relations and communication</w:t>
      </w:r>
      <w:r>
        <w:t>s with all project stakeholders</w:t>
      </w:r>
    </w:p>
    <w:p w14:paraId="77F708B2" w14:textId="77777777" w:rsidR="00415087" w:rsidRPr="001537A5" w:rsidRDefault="00415087" w:rsidP="00415087">
      <w:pPr>
        <w:pStyle w:val="ListParagraph"/>
        <w:numPr>
          <w:ilvl w:val="1"/>
          <w:numId w:val="8"/>
        </w:numPr>
        <w:spacing w:after="200" w:line="240" w:lineRule="auto"/>
      </w:pPr>
      <w:r w:rsidRPr="001537A5">
        <w:t>Asses</w:t>
      </w:r>
      <w:r>
        <w:t>sing and managing project risks</w:t>
      </w:r>
    </w:p>
    <w:p w14:paraId="5B159A43" w14:textId="77777777" w:rsidR="00415087" w:rsidRPr="001537A5" w:rsidRDefault="00415087" w:rsidP="00415087">
      <w:pPr>
        <w:pStyle w:val="ListParagraph"/>
        <w:numPr>
          <w:ilvl w:val="1"/>
          <w:numId w:val="8"/>
        </w:numPr>
        <w:spacing w:after="200" w:line="240" w:lineRule="auto"/>
      </w:pPr>
      <w:r w:rsidRPr="001537A5">
        <w:t>Monitoring overall progress and use of resources, escalating actions as required;</w:t>
      </w:r>
    </w:p>
    <w:p w14:paraId="66CBD115" w14:textId="77777777" w:rsidR="00415087" w:rsidRPr="001537A5" w:rsidRDefault="00415087" w:rsidP="00415087">
      <w:pPr>
        <w:pStyle w:val="ListParagraph"/>
        <w:numPr>
          <w:ilvl w:val="1"/>
          <w:numId w:val="8"/>
        </w:numPr>
        <w:spacing w:after="200" w:line="240" w:lineRule="auto"/>
      </w:pPr>
      <w:r w:rsidRPr="001537A5">
        <w:t>Reporting through appropriate ma</w:t>
      </w:r>
      <w:r>
        <w:t>nagement / governance processes</w:t>
      </w:r>
    </w:p>
    <w:p w14:paraId="3420FD2E" w14:textId="77777777" w:rsidR="00415087" w:rsidRPr="001537A5" w:rsidRDefault="00415087" w:rsidP="00415087">
      <w:pPr>
        <w:pStyle w:val="ListParagraph"/>
        <w:numPr>
          <w:ilvl w:val="1"/>
          <w:numId w:val="8"/>
        </w:numPr>
        <w:spacing w:after="200" w:line="240" w:lineRule="auto"/>
      </w:pPr>
      <w:r w:rsidRPr="001537A5">
        <w:t>Establishing baseline activity and monitoring the impact and benefits realization;</w:t>
      </w:r>
    </w:p>
    <w:p w14:paraId="709D8C6C" w14:textId="77777777" w:rsidR="00415087" w:rsidRPr="001537A5" w:rsidRDefault="00415087" w:rsidP="00415087">
      <w:pPr>
        <w:pStyle w:val="ListParagraph"/>
        <w:numPr>
          <w:ilvl w:val="1"/>
          <w:numId w:val="8"/>
        </w:numPr>
        <w:spacing w:after="200" w:line="240" w:lineRule="auto"/>
      </w:pPr>
      <w:r w:rsidRPr="001537A5">
        <w:t>Managing project administration; and</w:t>
      </w:r>
    </w:p>
    <w:p w14:paraId="67210CB5" w14:textId="77777777" w:rsidR="00415087" w:rsidRPr="001537A5" w:rsidRDefault="00415087" w:rsidP="00415087">
      <w:pPr>
        <w:pStyle w:val="ListParagraph"/>
        <w:numPr>
          <w:ilvl w:val="1"/>
          <w:numId w:val="8"/>
        </w:numPr>
        <w:spacing w:after="200" w:line="240" w:lineRule="auto"/>
      </w:pPr>
      <w:r w:rsidRPr="001537A5">
        <w:t>Applying quality / change management principles and processes</w:t>
      </w:r>
    </w:p>
    <w:p w14:paraId="79F17728" w14:textId="77777777" w:rsidR="00415087" w:rsidRPr="001537A5" w:rsidRDefault="00415087" w:rsidP="00415087">
      <w:pPr>
        <w:rPr>
          <w:lang w:val="en-US" w:eastAsia="en-GB"/>
        </w:rPr>
      </w:pPr>
      <w:r w:rsidRPr="001537A5">
        <w:rPr>
          <w:lang w:val="en-US" w:eastAsia="en-GB"/>
        </w:rPr>
        <w:t xml:space="preserve">During the service </w:t>
      </w:r>
      <w:r>
        <w:rPr>
          <w:lang w:val="en-US" w:eastAsia="en-GB"/>
        </w:rPr>
        <w:t>mobilis</w:t>
      </w:r>
      <w:r w:rsidRPr="001537A5">
        <w:rPr>
          <w:lang w:val="en-US" w:eastAsia="en-GB"/>
        </w:rPr>
        <w:t>ation period, the service Provider is expected to deliver the following milestones;</w:t>
      </w:r>
    </w:p>
    <w:tbl>
      <w:tblPr>
        <w:tblStyle w:val="TableGrid"/>
        <w:tblW w:w="5000" w:type="pct"/>
        <w:tblLook w:val="04A0" w:firstRow="1" w:lastRow="0" w:firstColumn="1" w:lastColumn="0" w:noHBand="0" w:noVBand="1"/>
      </w:tblPr>
      <w:tblGrid>
        <w:gridCol w:w="5666"/>
        <w:gridCol w:w="3350"/>
      </w:tblGrid>
      <w:tr w:rsidR="00415087" w:rsidRPr="001537A5" w14:paraId="349CC227" w14:textId="77777777" w:rsidTr="00E92B3C">
        <w:trPr>
          <w:trHeight w:val="306"/>
        </w:trPr>
        <w:tc>
          <w:tcPr>
            <w:tcW w:w="3142" w:type="pct"/>
            <w:hideMark/>
          </w:tcPr>
          <w:p w14:paraId="3F753FF4" w14:textId="77777777" w:rsidR="00415087" w:rsidRPr="001537A5" w:rsidRDefault="00415087" w:rsidP="00E92B3C">
            <w:pPr>
              <w:rPr>
                <w:b/>
                <w:bCs/>
              </w:rPr>
            </w:pPr>
            <w:r w:rsidRPr="001537A5">
              <w:rPr>
                <w:b/>
                <w:bCs/>
              </w:rPr>
              <w:t>Description</w:t>
            </w:r>
          </w:p>
        </w:tc>
        <w:tc>
          <w:tcPr>
            <w:tcW w:w="1858" w:type="pct"/>
            <w:hideMark/>
          </w:tcPr>
          <w:p w14:paraId="10234863" w14:textId="77777777" w:rsidR="00415087" w:rsidRPr="001537A5" w:rsidRDefault="00415087" w:rsidP="00E92B3C">
            <w:pPr>
              <w:rPr>
                <w:b/>
                <w:bCs/>
              </w:rPr>
            </w:pPr>
            <w:r w:rsidRPr="001537A5">
              <w:rPr>
                <w:b/>
                <w:bCs/>
              </w:rPr>
              <w:t>Target Threshold</w:t>
            </w:r>
          </w:p>
        </w:tc>
      </w:tr>
      <w:tr w:rsidR="00415087" w:rsidRPr="001537A5" w14:paraId="3379D806" w14:textId="77777777" w:rsidTr="00E92B3C">
        <w:trPr>
          <w:trHeight w:val="74"/>
        </w:trPr>
        <w:tc>
          <w:tcPr>
            <w:tcW w:w="3142" w:type="pct"/>
            <w:hideMark/>
          </w:tcPr>
          <w:p w14:paraId="7CD110E1" w14:textId="77777777" w:rsidR="00415087" w:rsidRPr="001537A5" w:rsidRDefault="00415087" w:rsidP="00E92B3C">
            <w:r w:rsidRPr="001537A5">
              <w:t>Programme manager post recruited</w:t>
            </w:r>
          </w:p>
        </w:tc>
        <w:tc>
          <w:tcPr>
            <w:tcW w:w="1858" w:type="pct"/>
            <w:hideMark/>
          </w:tcPr>
          <w:p w14:paraId="7B818936" w14:textId="77777777" w:rsidR="00415087" w:rsidRPr="001537A5" w:rsidRDefault="00415087" w:rsidP="00E92B3C">
            <w:r w:rsidRPr="001537A5">
              <w:t>Contract signature</w:t>
            </w:r>
          </w:p>
        </w:tc>
      </w:tr>
      <w:tr w:rsidR="00415087" w:rsidRPr="001537A5" w14:paraId="005AF89F" w14:textId="77777777" w:rsidTr="00E92B3C">
        <w:trPr>
          <w:trHeight w:val="85"/>
        </w:trPr>
        <w:tc>
          <w:tcPr>
            <w:tcW w:w="3142" w:type="pct"/>
            <w:hideMark/>
          </w:tcPr>
          <w:p w14:paraId="64613E50" w14:textId="77777777" w:rsidR="00415087" w:rsidRPr="001537A5" w:rsidRDefault="00415087" w:rsidP="00E92B3C">
            <w:r w:rsidRPr="001537A5">
              <w:t>Hub staff &amp; SPA staff recruited (where required)</w:t>
            </w:r>
          </w:p>
        </w:tc>
        <w:tc>
          <w:tcPr>
            <w:tcW w:w="1858" w:type="pct"/>
            <w:hideMark/>
          </w:tcPr>
          <w:p w14:paraId="01A05EA1" w14:textId="77777777" w:rsidR="00415087" w:rsidRPr="001537A5" w:rsidRDefault="00415087" w:rsidP="00E92B3C">
            <w:r w:rsidRPr="001537A5">
              <w:t>1 month before service starts</w:t>
            </w:r>
          </w:p>
        </w:tc>
      </w:tr>
      <w:tr w:rsidR="00415087" w:rsidRPr="001537A5" w14:paraId="4C2D99CE" w14:textId="77777777" w:rsidTr="00E92B3C">
        <w:trPr>
          <w:trHeight w:val="74"/>
        </w:trPr>
        <w:tc>
          <w:tcPr>
            <w:tcW w:w="3142" w:type="pct"/>
            <w:hideMark/>
          </w:tcPr>
          <w:p w14:paraId="3D008CBB" w14:textId="77777777" w:rsidR="00415087" w:rsidRPr="001537A5" w:rsidRDefault="00415087" w:rsidP="00E92B3C">
            <w:r w:rsidRPr="001537A5">
              <w:t>System integration with SystmOne, CMC, Hillingdon Care Records (HCR) and other applicable systems</w:t>
            </w:r>
          </w:p>
        </w:tc>
        <w:tc>
          <w:tcPr>
            <w:tcW w:w="1858" w:type="pct"/>
            <w:hideMark/>
          </w:tcPr>
          <w:p w14:paraId="5923C446" w14:textId="77777777" w:rsidR="00415087" w:rsidRPr="001537A5" w:rsidRDefault="00415087" w:rsidP="00E92B3C">
            <w:r w:rsidRPr="001537A5">
              <w:t>1 month before service starts</w:t>
            </w:r>
          </w:p>
        </w:tc>
      </w:tr>
      <w:tr w:rsidR="00415087" w:rsidRPr="001537A5" w14:paraId="6D92A348" w14:textId="77777777" w:rsidTr="00E92B3C">
        <w:trPr>
          <w:trHeight w:val="834"/>
        </w:trPr>
        <w:tc>
          <w:tcPr>
            <w:tcW w:w="3142" w:type="pct"/>
            <w:hideMark/>
          </w:tcPr>
          <w:p w14:paraId="0C724EA7" w14:textId="77777777" w:rsidR="00415087" w:rsidRPr="001537A5" w:rsidRDefault="00415087" w:rsidP="00E92B3C">
            <w:r w:rsidRPr="001537A5">
              <w:t>Communication plan developed – including clear timeframes pre- and post-mobilisation to raise awareness and reinforce/ re-communicate messages</w:t>
            </w:r>
          </w:p>
        </w:tc>
        <w:tc>
          <w:tcPr>
            <w:tcW w:w="1858" w:type="pct"/>
            <w:hideMark/>
          </w:tcPr>
          <w:p w14:paraId="184015D7" w14:textId="77777777" w:rsidR="00415087" w:rsidRPr="001537A5" w:rsidRDefault="00415087" w:rsidP="00E92B3C">
            <w:r w:rsidRPr="001537A5">
              <w:t>2 weeks after contract signature</w:t>
            </w:r>
          </w:p>
        </w:tc>
      </w:tr>
      <w:tr w:rsidR="00415087" w:rsidRPr="001537A5" w14:paraId="3A032FD2" w14:textId="77777777" w:rsidTr="00E92B3C">
        <w:trPr>
          <w:trHeight w:val="88"/>
        </w:trPr>
        <w:tc>
          <w:tcPr>
            <w:tcW w:w="3142" w:type="pct"/>
            <w:hideMark/>
          </w:tcPr>
          <w:p w14:paraId="2D8EFA9E" w14:textId="77777777" w:rsidR="00415087" w:rsidRPr="001537A5" w:rsidRDefault="00415087" w:rsidP="00E92B3C">
            <w:r w:rsidRPr="001537A5">
              <w:t>Implementation plan developed – including risk management log</w:t>
            </w:r>
          </w:p>
        </w:tc>
        <w:tc>
          <w:tcPr>
            <w:tcW w:w="1858" w:type="pct"/>
            <w:hideMark/>
          </w:tcPr>
          <w:p w14:paraId="613143CE" w14:textId="77777777" w:rsidR="00415087" w:rsidRPr="001537A5" w:rsidRDefault="00415087" w:rsidP="00E92B3C">
            <w:r w:rsidRPr="001537A5">
              <w:t>2 weeks after contract signature</w:t>
            </w:r>
          </w:p>
        </w:tc>
      </w:tr>
    </w:tbl>
    <w:p w14:paraId="73FE4FDE" w14:textId="77777777" w:rsidR="00415087" w:rsidRDefault="00415087" w:rsidP="003D794A">
      <w:pPr>
        <w:keepNext/>
        <w:keepLines/>
        <w:tabs>
          <w:tab w:val="left" w:pos="284"/>
        </w:tabs>
        <w:spacing w:after="0" w:line="240" w:lineRule="auto"/>
        <w:outlineLvl w:val="0"/>
        <w:rPr>
          <w:rFonts w:eastAsiaTheme="majorEastAsia" w:cstheme="minorHAnsi"/>
          <w:b/>
          <w:bCs/>
          <w:lang w:eastAsia="en-GB"/>
        </w:rPr>
      </w:pPr>
      <w:bookmarkStart w:id="8" w:name="_GoBack"/>
      <w:bookmarkEnd w:id="8"/>
    </w:p>
    <w:p w14:paraId="4B5D0324" w14:textId="57CB9F3C" w:rsidR="003D794A" w:rsidRPr="003D794A" w:rsidRDefault="00415087" w:rsidP="003D794A">
      <w:pPr>
        <w:keepNext/>
        <w:keepLines/>
        <w:tabs>
          <w:tab w:val="left" w:pos="284"/>
        </w:tabs>
        <w:spacing w:after="0" w:line="240" w:lineRule="auto"/>
        <w:outlineLvl w:val="0"/>
        <w:rPr>
          <w:rFonts w:eastAsiaTheme="majorEastAsia" w:cstheme="minorHAnsi"/>
          <w:b/>
          <w:bCs/>
          <w:lang w:eastAsia="en-GB"/>
        </w:rPr>
      </w:pPr>
      <w:r>
        <w:rPr>
          <w:rFonts w:eastAsiaTheme="majorEastAsia" w:cstheme="minorHAnsi"/>
          <w:b/>
          <w:bCs/>
          <w:lang w:eastAsia="en-GB"/>
        </w:rPr>
        <w:t xml:space="preserve">7. </w:t>
      </w:r>
      <w:r w:rsidR="003D794A" w:rsidRPr="003D794A">
        <w:rPr>
          <w:rFonts w:eastAsiaTheme="majorEastAsia" w:cstheme="minorHAnsi"/>
          <w:b/>
          <w:bCs/>
          <w:lang w:eastAsia="en-GB"/>
        </w:rPr>
        <w:t>Governance and administration</w:t>
      </w:r>
    </w:p>
    <w:p w14:paraId="546B8835" w14:textId="77777777" w:rsidR="003D794A" w:rsidRPr="003D794A" w:rsidRDefault="003D794A" w:rsidP="003D794A">
      <w:pPr>
        <w:widowControl w:val="0"/>
        <w:autoSpaceDE w:val="0"/>
        <w:autoSpaceDN w:val="0"/>
        <w:adjustRightInd w:val="0"/>
        <w:spacing w:after="0" w:line="240" w:lineRule="auto"/>
        <w:rPr>
          <w:rFonts w:cs="Arial"/>
          <w:lang w:val="en-US"/>
        </w:rPr>
      </w:pPr>
    </w:p>
    <w:p w14:paraId="6AEB1DBD" w14:textId="1DAED72B" w:rsidR="005D72A7" w:rsidRPr="003D794A" w:rsidRDefault="005D72A7" w:rsidP="003D794A">
      <w:pPr>
        <w:widowControl w:val="0"/>
        <w:autoSpaceDE w:val="0"/>
        <w:autoSpaceDN w:val="0"/>
        <w:adjustRightInd w:val="0"/>
        <w:spacing w:after="0" w:line="240" w:lineRule="auto"/>
        <w:rPr>
          <w:rFonts w:cs="Times"/>
          <w:lang w:val="en-US"/>
        </w:rPr>
      </w:pPr>
      <w:r w:rsidRPr="003D794A">
        <w:rPr>
          <w:rFonts w:cs="Arial"/>
          <w:lang w:val="en-US"/>
        </w:rPr>
        <w:t xml:space="preserve">Further details on the requirements for the Community MSK Service are provided separately in the draft service specification. </w:t>
      </w:r>
    </w:p>
    <w:p w14:paraId="09E9E025" w14:textId="77777777" w:rsidR="00400DED" w:rsidRPr="003D794A" w:rsidRDefault="00400DED" w:rsidP="003D794A">
      <w:pPr>
        <w:spacing w:after="0" w:line="240" w:lineRule="auto"/>
        <w:rPr>
          <w:rFonts w:cs="Arial"/>
          <w:b/>
        </w:rPr>
      </w:pPr>
    </w:p>
    <w:p w14:paraId="01537F8D" w14:textId="77777777" w:rsidR="005D72A7" w:rsidRPr="003D794A" w:rsidRDefault="005D72A7" w:rsidP="003D794A">
      <w:pPr>
        <w:widowControl w:val="0"/>
        <w:autoSpaceDE w:val="0"/>
        <w:autoSpaceDN w:val="0"/>
        <w:adjustRightInd w:val="0"/>
        <w:spacing w:after="0" w:line="240" w:lineRule="auto"/>
        <w:rPr>
          <w:rFonts w:cs="Arial"/>
          <w:lang w:val="en-US"/>
        </w:rPr>
      </w:pPr>
      <w:r w:rsidRPr="003D794A">
        <w:rPr>
          <w:rFonts w:cs="Arial"/>
          <w:lang w:val="en-US"/>
        </w:rPr>
        <w:t>Disclaimer</w:t>
      </w:r>
      <w:r w:rsidRPr="003D794A">
        <w:rPr>
          <w:rFonts w:ascii="MS Gothic" w:eastAsia="MS Gothic" w:hAnsi="MS Gothic" w:cs="MS Gothic" w:hint="eastAsia"/>
          <w:lang w:val="en-US"/>
        </w:rPr>
        <w:t> </w:t>
      </w:r>
    </w:p>
    <w:p w14:paraId="04F9449C" w14:textId="7B50EDCE" w:rsidR="005D72A7" w:rsidRPr="003D794A" w:rsidRDefault="005D72A7" w:rsidP="003D794A">
      <w:pPr>
        <w:widowControl w:val="0"/>
        <w:autoSpaceDE w:val="0"/>
        <w:autoSpaceDN w:val="0"/>
        <w:adjustRightInd w:val="0"/>
        <w:spacing w:after="0" w:line="240" w:lineRule="auto"/>
        <w:rPr>
          <w:rFonts w:cs="Arial"/>
          <w:lang w:val="en-US"/>
        </w:rPr>
      </w:pPr>
      <w:r w:rsidRPr="003D794A">
        <w:rPr>
          <w:rFonts w:cs="Arial"/>
          <w:lang w:val="en-US"/>
        </w:rPr>
        <w:t xml:space="preserve">The information contained in this MOI is presented in good faith and does not purport to be comprehensive or to have been independently verified. </w:t>
      </w:r>
    </w:p>
    <w:p w14:paraId="6ABFF0C5" w14:textId="77777777" w:rsidR="005D72A7" w:rsidRPr="003D794A" w:rsidRDefault="005D72A7" w:rsidP="003D794A">
      <w:pPr>
        <w:widowControl w:val="0"/>
        <w:autoSpaceDE w:val="0"/>
        <w:autoSpaceDN w:val="0"/>
        <w:adjustRightInd w:val="0"/>
        <w:spacing w:after="0" w:line="240" w:lineRule="auto"/>
        <w:rPr>
          <w:rFonts w:cs="Times"/>
          <w:lang w:val="en-US"/>
        </w:rPr>
      </w:pPr>
    </w:p>
    <w:p w14:paraId="69C9D3E9" w14:textId="77777777" w:rsidR="005D72A7" w:rsidRPr="003D794A" w:rsidRDefault="005D72A7" w:rsidP="003D794A">
      <w:pPr>
        <w:widowControl w:val="0"/>
        <w:autoSpaceDE w:val="0"/>
        <w:autoSpaceDN w:val="0"/>
        <w:adjustRightInd w:val="0"/>
        <w:spacing w:after="0" w:line="240" w:lineRule="auto"/>
        <w:rPr>
          <w:rFonts w:cs="Arial"/>
          <w:lang w:val="en-US"/>
        </w:rPr>
      </w:pPr>
      <w:r w:rsidRPr="003D794A">
        <w:rPr>
          <w:rFonts w:cs="Arial"/>
          <w:lang w:val="en-US"/>
        </w:rPr>
        <w:t xml:space="preserve">Neither the CCG, nor any of its advisers accept any responsibility or liability in relation to its accuracy or completeness or any other information which has been, or which is subsequently, made available to any potential Bidder, Provider, Bidder Member, Clinical Services Supplier, financiers or any of their advisers, orally or in writing or in whatever media. </w:t>
      </w:r>
    </w:p>
    <w:p w14:paraId="6084A163" w14:textId="77777777" w:rsidR="005D72A7" w:rsidRPr="003D794A" w:rsidRDefault="005D72A7" w:rsidP="003D794A">
      <w:pPr>
        <w:widowControl w:val="0"/>
        <w:autoSpaceDE w:val="0"/>
        <w:autoSpaceDN w:val="0"/>
        <w:adjustRightInd w:val="0"/>
        <w:spacing w:after="0" w:line="240" w:lineRule="auto"/>
        <w:rPr>
          <w:rFonts w:cs="Times"/>
          <w:lang w:val="en-US"/>
        </w:rPr>
      </w:pPr>
    </w:p>
    <w:p w14:paraId="7ED3772B" w14:textId="77777777" w:rsidR="005D72A7" w:rsidRPr="003D794A" w:rsidRDefault="005D72A7" w:rsidP="003D794A">
      <w:pPr>
        <w:widowControl w:val="0"/>
        <w:autoSpaceDE w:val="0"/>
        <w:autoSpaceDN w:val="0"/>
        <w:adjustRightInd w:val="0"/>
        <w:spacing w:after="0" w:line="240" w:lineRule="auto"/>
        <w:rPr>
          <w:rFonts w:cs="Arial"/>
          <w:lang w:val="en-US"/>
        </w:rPr>
      </w:pPr>
      <w:r w:rsidRPr="003D794A">
        <w:rPr>
          <w:rFonts w:cs="Arial"/>
          <w:lang w:val="en-US"/>
        </w:rPr>
        <w:t xml:space="preserve">Interested parties and their advisers must therefore take their own steps to verify the accuracy of any information that they consider relevant. They must not, and are not entitled to, rely on any statement or representation made by the Commissioner or any of its advisers. </w:t>
      </w:r>
    </w:p>
    <w:p w14:paraId="5B303B6A" w14:textId="77777777" w:rsidR="005D72A7" w:rsidRPr="003D794A" w:rsidRDefault="005D72A7" w:rsidP="003D794A">
      <w:pPr>
        <w:widowControl w:val="0"/>
        <w:autoSpaceDE w:val="0"/>
        <w:autoSpaceDN w:val="0"/>
        <w:adjustRightInd w:val="0"/>
        <w:spacing w:after="0" w:line="240" w:lineRule="auto"/>
        <w:rPr>
          <w:rFonts w:cs="Times"/>
          <w:lang w:val="en-US"/>
        </w:rPr>
      </w:pPr>
    </w:p>
    <w:p w14:paraId="118FB18C" w14:textId="77777777" w:rsidR="005D72A7" w:rsidRPr="003D794A" w:rsidRDefault="005D72A7" w:rsidP="003D794A">
      <w:pPr>
        <w:widowControl w:val="0"/>
        <w:autoSpaceDE w:val="0"/>
        <w:autoSpaceDN w:val="0"/>
        <w:adjustRightInd w:val="0"/>
        <w:spacing w:after="0" w:line="240" w:lineRule="auto"/>
        <w:rPr>
          <w:rFonts w:cs="Arial"/>
          <w:lang w:val="en-US"/>
        </w:rPr>
      </w:pPr>
      <w:r w:rsidRPr="003D794A">
        <w:rPr>
          <w:rFonts w:cs="Arial"/>
          <w:lang w:val="en-US"/>
        </w:rPr>
        <w:t xml:space="preserve">This MOI is intended only as a preliminary background explanation of CCG’s activities and plans and is not intended to form the basis of any decision on whether to enter into any contractual relationship. </w:t>
      </w:r>
    </w:p>
    <w:p w14:paraId="6464334A" w14:textId="77777777" w:rsidR="005D72A7" w:rsidRPr="003D794A" w:rsidRDefault="005D72A7" w:rsidP="003D794A">
      <w:pPr>
        <w:widowControl w:val="0"/>
        <w:autoSpaceDE w:val="0"/>
        <w:autoSpaceDN w:val="0"/>
        <w:adjustRightInd w:val="0"/>
        <w:spacing w:after="0" w:line="240" w:lineRule="auto"/>
        <w:rPr>
          <w:rFonts w:cs="Times"/>
          <w:lang w:val="en-US"/>
        </w:rPr>
      </w:pPr>
    </w:p>
    <w:p w14:paraId="509B0453" w14:textId="77777777" w:rsidR="005D72A7" w:rsidRPr="003D794A" w:rsidRDefault="005D72A7" w:rsidP="003D794A">
      <w:pPr>
        <w:widowControl w:val="0"/>
        <w:autoSpaceDE w:val="0"/>
        <w:autoSpaceDN w:val="0"/>
        <w:adjustRightInd w:val="0"/>
        <w:spacing w:after="0" w:line="240" w:lineRule="auto"/>
        <w:rPr>
          <w:rFonts w:cs="Arial"/>
          <w:lang w:val="en-US"/>
        </w:rPr>
      </w:pPr>
      <w:r w:rsidRPr="003D794A">
        <w:rPr>
          <w:rFonts w:cs="Arial"/>
          <w:lang w:val="en-US"/>
        </w:rPr>
        <w:t xml:space="preserve">The Commissioner reserves the right to change the basis of, or the procedures (including the timetable) relating to, the Procurement process, to reject any, or all, of the submissions and applications, not to invite a potential bidder to proceed further, not to furnish a potential bidder with additional information nor otherwise to negotiate with a potential bidder in respect of the Procurement, subject to compliance with general EU principles on equal treatment, non- discrimination and transparency and procurement law. </w:t>
      </w:r>
    </w:p>
    <w:p w14:paraId="7310794B" w14:textId="77777777" w:rsidR="005D72A7" w:rsidRPr="003D794A" w:rsidRDefault="005D72A7" w:rsidP="003D794A">
      <w:pPr>
        <w:widowControl w:val="0"/>
        <w:autoSpaceDE w:val="0"/>
        <w:autoSpaceDN w:val="0"/>
        <w:adjustRightInd w:val="0"/>
        <w:spacing w:after="0" w:line="240" w:lineRule="auto"/>
        <w:rPr>
          <w:rFonts w:cs="Times"/>
          <w:lang w:val="en-US"/>
        </w:rPr>
      </w:pPr>
    </w:p>
    <w:p w14:paraId="6601D465" w14:textId="22F0F38A" w:rsidR="005D72A7" w:rsidRPr="003D794A" w:rsidRDefault="005D72A7" w:rsidP="003D794A">
      <w:pPr>
        <w:widowControl w:val="0"/>
        <w:autoSpaceDE w:val="0"/>
        <w:autoSpaceDN w:val="0"/>
        <w:adjustRightInd w:val="0"/>
        <w:spacing w:after="0" w:line="240" w:lineRule="auto"/>
        <w:rPr>
          <w:rFonts w:cs="Arial"/>
          <w:lang w:val="en-US"/>
        </w:rPr>
      </w:pPr>
      <w:r w:rsidRPr="003D794A">
        <w:rPr>
          <w:rFonts w:cs="Arial"/>
          <w:lang w:val="en-US"/>
        </w:rPr>
        <w:t>The CCG shall not be obliged to appoint any of the Bidders and reserves the right not to proceed with the Procurement, or any part thereof, at any time.</w:t>
      </w:r>
      <w:r w:rsidR="0070781E">
        <w:rPr>
          <w:rFonts w:cs="Arial"/>
          <w:lang w:val="en-US"/>
        </w:rPr>
        <w:t xml:space="preserve"> </w:t>
      </w:r>
      <w:r w:rsidRPr="003D794A">
        <w:rPr>
          <w:rFonts w:cs="Arial"/>
          <w:lang w:val="en-US"/>
        </w:rPr>
        <w:t xml:space="preserve">Nothing in this MOI is, nor shall be relied upon as, a promise or representation as to any decision by NHS </w:t>
      </w:r>
      <w:r w:rsidR="0070781E">
        <w:rPr>
          <w:rFonts w:cs="Arial"/>
          <w:lang w:val="en-US"/>
        </w:rPr>
        <w:t>Hillingdon</w:t>
      </w:r>
      <w:r w:rsidRPr="003D794A">
        <w:rPr>
          <w:rFonts w:cs="Arial"/>
          <w:lang w:val="en-US"/>
        </w:rPr>
        <w:t xml:space="preserve"> CCG in relation to this Procurement. No person has been authorised by the Commissioner or their advisers or consultants to give any information or make any representation not contained in this MOI and, if given or made, any such information or representation shall not be relied upon as having been so authorised. </w:t>
      </w:r>
    </w:p>
    <w:p w14:paraId="5A0A2329" w14:textId="77777777" w:rsidR="005D72A7" w:rsidRPr="003D794A" w:rsidRDefault="005D72A7" w:rsidP="003D794A">
      <w:pPr>
        <w:widowControl w:val="0"/>
        <w:autoSpaceDE w:val="0"/>
        <w:autoSpaceDN w:val="0"/>
        <w:adjustRightInd w:val="0"/>
        <w:spacing w:after="0" w:line="240" w:lineRule="auto"/>
        <w:rPr>
          <w:rFonts w:cs="Times"/>
          <w:lang w:val="en-US"/>
        </w:rPr>
      </w:pPr>
    </w:p>
    <w:p w14:paraId="6F3E0446" w14:textId="77777777" w:rsidR="005D72A7" w:rsidRPr="003D794A" w:rsidRDefault="005D72A7" w:rsidP="003D794A">
      <w:pPr>
        <w:widowControl w:val="0"/>
        <w:autoSpaceDE w:val="0"/>
        <w:autoSpaceDN w:val="0"/>
        <w:adjustRightInd w:val="0"/>
        <w:spacing w:after="0" w:line="240" w:lineRule="auto"/>
        <w:rPr>
          <w:rFonts w:cs="Times"/>
          <w:lang w:val="en-US"/>
        </w:rPr>
      </w:pPr>
      <w:r w:rsidRPr="003D794A">
        <w:rPr>
          <w:rFonts w:cs="Arial"/>
          <w:lang w:val="en-US"/>
        </w:rPr>
        <w:t xml:space="preserve">Nothing in this MOI or any other pre-contractual documentation shall constitute the basis of an express or implied contract that may be concluded in relation to the Procurement, nor shall such documentation/information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the MOI or other pre-contract documentation. </w:t>
      </w:r>
    </w:p>
    <w:p w14:paraId="3936EC9D" w14:textId="77777777" w:rsidR="005D72A7" w:rsidRPr="003D794A" w:rsidRDefault="005D72A7" w:rsidP="003D794A">
      <w:pPr>
        <w:widowControl w:val="0"/>
        <w:autoSpaceDE w:val="0"/>
        <w:autoSpaceDN w:val="0"/>
        <w:adjustRightInd w:val="0"/>
        <w:spacing w:after="0" w:line="240" w:lineRule="auto"/>
        <w:rPr>
          <w:rFonts w:cs="Times"/>
          <w:lang w:val="en-US"/>
        </w:rPr>
      </w:pPr>
      <w:r w:rsidRPr="003D794A">
        <w:rPr>
          <w:rFonts w:cs="Arial"/>
          <w:lang w:val="en-US"/>
        </w:rPr>
        <w:t xml:space="preserve">In this section, references to this MOI include all information contained in it and any other information (whether written, oral or in machine-readable form) or opinions made available by or on behalf of the Commissioner, or any of their advisers or consultants in connection with this MOI or any other pre-contract documentation. </w:t>
      </w:r>
    </w:p>
    <w:p w14:paraId="42849E15" w14:textId="77777777" w:rsidR="00F931BF" w:rsidRPr="003D794A" w:rsidRDefault="00F931BF" w:rsidP="003D794A">
      <w:pPr>
        <w:spacing w:after="0" w:line="240" w:lineRule="auto"/>
        <w:rPr>
          <w:rFonts w:cs="Arial"/>
          <w:b/>
        </w:rPr>
      </w:pPr>
    </w:p>
    <w:p w14:paraId="74B1573B" w14:textId="77777777" w:rsidR="00F931BF" w:rsidRPr="003D794A" w:rsidRDefault="00F931BF" w:rsidP="003D794A">
      <w:pPr>
        <w:spacing w:after="0" w:line="240" w:lineRule="auto"/>
        <w:rPr>
          <w:rFonts w:cs="Arial"/>
          <w:b/>
        </w:rPr>
      </w:pPr>
    </w:p>
    <w:p w14:paraId="526C56D6" w14:textId="77777777" w:rsidR="00F931BF" w:rsidRPr="003D794A" w:rsidRDefault="00F931BF" w:rsidP="003D794A">
      <w:pPr>
        <w:spacing w:after="0" w:line="240" w:lineRule="auto"/>
        <w:rPr>
          <w:rFonts w:cs="Arial"/>
          <w:b/>
        </w:rPr>
      </w:pPr>
    </w:p>
    <w:p w14:paraId="214C38DE" w14:textId="77777777" w:rsidR="00F931BF" w:rsidRPr="003D794A" w:rsidRDefault="00F931BF" w:rsidP="003D794A">
      <w:pPr>
        <w:spacing w:after="0" w:line="240" w:lineRule="auto"/>
        <w:rPr>
          <w:rFonts w:cs="Arial"/>
          <w:b/>
        </w:rPr>
      </w:pPr>
    </w:p>
    <w:p w14:paraId="042E706C" w14:textId="77777777" w:rsidR="00F931BF" w:rsidRPr="003D794A" w:rsidRDefault="00F931BF" w:rsidP="003D794A">
      <w:pPr>
        <w:spacing w:after="0" w:line="240" w:lineRule="auto"/>
        <w:rPr>
          <w:rFonts w:cs="Arial"/>
          <w:b/>
        </w:rPr>
      </w:pPr>
    </w:p>
    <w:p w14:paraId="049B9590" w14:textId="77777777" w:rsidR="00F931BF" w:rsidRPr="003D794A" w:rsidRDefault="00F931BF" w:rsidP="003D794A">
      <w:pPr>
        <w:spacing w:after="0" w:line="240" w:lineRule="auto"/>
        <w:rPr>
          <w:rFonts w:cs="Arial"/>
          <w:b/>
        </w:rPr>
      </w:pPr>
    </w:p>
    <w:p w14:paraId="5FC55CDF" w14:textId="77777777" w:rsidR="00F931BF" w:rsidRPr="003D794A" w:rsidRDefault="00F931BF" w:rsidP="003D794A">
      <w:pPr>
        <w:spacing w:after="0" w:line="240" w:lineRule="auto"/>
        <w:rPr>
          <w:rFonts w:cs="Arial"/>
          <w:b/>
        </w:rPr>
      </w:pPr>
    </w:p>
    <w:p w14:paraId="3188D39E" w14:textId="77777777" w:rsidR="00F931BF" w:rsidRPr="003D794A" w:rsidRDefault="00F931BF" w:rsidP="003D794A">
      <w:pPr>
        <w:spacing w:after="0" w:line="240" w:lineRule="auto"/>
        <w:rPr>
          <w:rFonts w:cs="Arial"/>
          <w:b/>
        </w:rPr>
      </w:pPr>
    </w:p>
    <w:p w14:paraId="692B30DC" w14:textId="77777777" w:rsidR="00F931BF" w:rsidRPr="003D794A" w:rsidRDefault="00F931BF" w:rsidP="003D794A">
      <w:pPr>
        <w:spacing w:after="0" w:line="240" w:lineRule="auto"/>
        <w:rPr>
          <w:rFonts w:cs="Arial"/>
          <w:b/>
        </w:rPr>
      </w:pPr>
    </w:p>
    <w:p w14:paraId="38FE474E" w14:textId="77777777" w:rsidR="00F931BF" w:rsidRPr="003D794A" w:rsidRDefault="00F931BF" w:rsidP="003D794A">
      <w:pPr>
        <w:spacing w:after="0" w:line="240" w:lineRule="auto"/>
        <w:rPr>
          <w:rFonts w:cs="Arial"/>
          <w:b/>
        </w:rPr>
      </w:pPr>
    </w:p>
    <w:p w14:paraId="0E025DF2" w14:textId="77777777" w:rsidR="00A45CBC" w:rsidRPr="003D794A" w:rsidRDefault="00A45CBC" w:rsidP="003D794A">
      <w:pPr>
        <w:shd w:val="clear" w:color="auto" w:fill="FFFFFF"/>
        <w:spacing w:after="0" w:line="240" w:lineRule="auto"/>
        <w:rPr>
          <w:rFonts w:eastAsia="Times New Roman" w:cs="Times New Roman"/>
          <w:color w:val="000000"/>
          <w:lang w:eastAsia="en-GB"/>
        </w:rPr>
      </w:pPr>
    </w:p>
    <w:p w14:paraId="0BDAC1E4" w14:textId="77777777" w:rsidR="00EF18B2" w:rsidRPr="003D794A" w:rsidRDefault="00EF18B2" w:rsidP="003D794A">
      <w:pPr>
        <w:shd w:val="clear" w:color="auto" w:fill="FFFFFF"/>
        <w:spacing w:before="120" w:line="240" w:lineRule="auto"/>
        <w:rPr>
          <w:rFonts w:eastAsia="Times New Roman" w:cs="Times New Roman"/>
          <w:color w:val="000000"/>
          <w:lang w:eastAsia="en-GB"/>
        </w:rPr>
      </w:pPr>
    </w:p>
    <w:sectPr w:rsidR="00EF18B2" w:rsidRPr="003D794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FA4C7" w14:textId="77777777" w:rsidR="00FC4814" w:rsidRDefault="00FC4814" w:rsidP="008036B8">
      <w:pPr>
        <w:spacing w:after="0" w:line="240" w:lineRule="auto"/>
      </w:pPr>
      <w:r>
        <w:separator/>
      </w:r>
    </w:p>
  </w:endnote>
  <w:endnote w:type="continuationSeparator" w:id="0">
    <w:p w14:paraId="4395CA80" w14:textId="77777777" w:rsidR="00FC4814" w:rsidRDefault="00FC4814" w:rsidP="0080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890147"/>
      <w:docPartObj>
        <w:docPartGallery w:val="Page Numbers (Bottom of Page)"/>
        <w:docPartUnique/>
      </w:docPartObj>
    </w:sdtPr>
    <w:sdtEndPr>
      <w:rPr>
        <w:noProof/>
      </w:rPr>
    </w:sdtEndPr>
    <w:sdtContent>
      <w:p w14:paraId="7A004B8B" w14:textId="742A18D6" w:rsidR="003D794A" w:rsidRPr="003D794A" w:rsidRDefault="003D794A">
        <w:pPr>
          <w:pStyle w:val="Footer"/>
          <w:jc w:val="right"/>
        </w:pPr>
        <w:r w:rsidRPr="003D794A">
          <w:fldChar w:fldCharType="begin"/>
        </w:r>
        <w:r w:rsidRPr="003D794A">
          <w:instrText xml:space="preserve"> PAGE   \* MERGEFORMAT </w:instrText>
        </w:r>
        <w:r w:rsidRPr="003D794A">
          <w:fldChar w:fldCharType="separate"/>
        </w:r>
        <w:r w:rsidR="00CA3903">
          <w:rPr>
            <w:noProof/>
          </w:rPr>
          <w:t>9</w:t>
        </w:r>
        <w:r w:rsidRPr="003D794A">
          <w:rPr>
            <w:noProof/>
          </w:rPr>
          <w:fldChar w:fldCharType="end"/>
        </w:r>
      </w:p>
    </w:sdtContent>
  </w:sdt>
  <w:p w14:paraId="5A5EA627" w14:textId="77777777" w:rsidR="003D794A" w:rsidRDefault="003D7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729B5" w14:textId="77777777" w:rsidR="00FC4814" w:rsidRDefault="00FC4814" w:rsidP="008036B8">
      <w:pPr>
        <w:spacing w:after="0" w:line="240" w:lineRule="auto"/>
      </w:pPr>
      <w:r>
        <w:separator/>
      </w:r>
    </w:p>
  </w:footnote>
  <w:footnote w:type="continuationSeparator" w:id="0">
    <w:p w14:paraId="28B61EC3" w14:textId="77777777" w:rsidR="00FC4814" w:rsidRDefault="00FC4814" w:rsidP="008036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91D65"/>
    <w:multiLevelType w:val="hybridMultilevel"/>
    <w:tmpl w:val="6132198E"/>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1" w15:restartNumberingAfterBreak="0">
    <w:nsid w:val="084E5089"/>
    <w:multiLevelType w:val="hybridMultilevel"/>
    <w:tmpl w:val="8EA0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01017"/>
    <w:multiLevelType w:val="hybridMultilevel"/>
    <w:tmpl w:val="312011E4"/>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DE239F"/>
    <w:multiLevelType w:val="hybridMultilevel"/>
    <w:tmpl w:val="8B244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4545C1"/>
    <w:multiLevelType w:val="hybridMultilevel"/>
    <w:tmpl w:val="CBF8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134D0"/>
    <w:multiLevelType w:val="hybridMultilevel"/>
    <w:tmpl w:val="848E9E70"/>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46417658"/>
    <w:multiLevelType w:val="hybridMultilevel"/>
    <w:tmpl w:val="42DC4210"/>
    <w:lvl w:ilvl="0" w:tplc="F16A098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5B14F0"/>
    <w:multiLevelType w:val="hybridMultilevel"/>
    <w:tmpl w:val="976CB2A2"/>
    <w:lvl w:ilvl="0" w:tplc="3CBA2FB4">
      <w:start w:val="1"/>
      <w:numFmt w:val="bullet"/>
      <w:pStyle w:val="Header"/>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DCA5240">
      <w:numFmt w:val="bullet"/>
      <w:lvlText w:val="•"/>
      <w:lvlJc w:val="left"/>
      <w:pPr>
        <w:ind w:left="2520" w:hanging="720"/>
      </w:pPr>
      <w:rPr>
        <w:rFonts w:ascii="Calibri" w:eastAsia="MS Mincho" w:hAnsi="Calibri"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72391"/>
    <w:multiLevelType w:val="hybridMultilevel"/>
    <w:tmpl w:val="3F062E1C"/>
    <w:lvl w:ilvl="0" w:tplc="3F6473CE">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8"/>
  </w:num>
  <w:num w:numId="5">
    <w:abstractNumId w:val="5"/>
  </w:num>
  <w:num w:numId="6">
    <w:abstractNumId w:val="6"/>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BAB"/>
    <w:rsid w:val="0004523E"/>
    <w:rsid w:val="000B38D0"/>
    <w:rsid w:val="000C7002"/>
    <w:rsid w:val="00136B42"/>
    <w:rsid w:val="00161F87"/>
    <w:rsid w:val="001739C1"/>
    <w:rsid w:val="001C19F5"/>
    <w:rsid w:val="001C430B"/>
    <w:rsid w:val="001F4837"/>
    <w:rsid w:val="002C5183"/>
    <w:rsid w:val="002D22C5"/>
    <w:rsid w:val="0032191C"/>
    <w:rsid w:val="00336D75"/>
    <w:rsid w:val="003831B6"/>
    <w:rsid w:val="003D0566"/>
    <w:rsid w:val="003D794A"/>
    <w:rsid w:val="00400DED"/>
    <w:rsid w:val="00404CB5"/>
    <w:rsid w:val="00415087"/>
    <w:rsid w:val="00421D9B"/>
    <w:rsid w:val="0047223E"/>
    <w:rsid w:val="004B2A6F"/>
    <w:rsid w:val="004D7FFD"/>
    <w:rsid w:val="004F57E0"/>
    <w:rsid w:val="005069C6"/>
    <w:rsid w:val="00554F72"/>
    <w:rsid w:val="0055554D"/>
    <w:rsid w:val="00587F22"/>
    <w:rsid w:val="005D72A7"/>
    <w:rsid w:val="00641E6B"/>
    <w:rsid w:val="00680E6A"/>
    <w:rsid w:val="006B76A5"/>
    <w:rsid w:val="0070781E"/>
    <w:rsid w:val="00734574"/>
    <w:rsid w:val="0075100B"/>
    <w:rsid w:val="007D3243"/>
    <w:rsid w:val="007D49EA"/>
    <w:rsid w:val="008036B8"/>
    <w:rsid w:val="00817BAB"/>
    <w:rsid w:val="008660CD"/>
    <w:rsid w:val="0087603D"/>
    <w:rsid w:val="00885900"/>
    <w:rsid w:val="00890FB9"/>
    <w:rsid w:val="008E26CD"/>
    <w:rsid w:val="00901889"/>
    <w:rsid w:val="009956A7"/>
    <w:rsid w:val="00A00671"/>
    <w:rsid w:val="00A01A0A"/>
    <w:rsid w:val="00A172EA"/>
    <w:rsid w:val="00A45CBC"/>
    <w:rsid w:val="00A71A05"/>
    <w:rsid w:val="00AD60AF"/>
    <w:rsid w:val="00B2389D"/>
    <w:rsid w:val="00B339A0"/>
    <w:rsid w:val="00B40B16"/>
    <w:rsid w:val="00B80504"/>
    <w:rsid w:val="00BB63AF"/>
    <w:rsid w:val="00BC28E6"/>
    <w:rsid w:val="00C97530"/>
    <w:rsid w:val="00CA15D1"/>
    <w:rsid w:val="00CA3903"/>
    <w:rsid w:val="00CB7F76"/>
    <w:rsid w:val="00CC4A87"/>
    <w:rsid w:val="00CF04AA"/>
    <w:rsid w:val="00D139EA"/>
    <w:rsid w:val="00D200C2"/>
    <w:rsid w:val="00D501A6"/>
    <w:rsid w:val="00DD5D5B"/>
    <w:rsid w:val="00DF3B2F"/>
    <w:rsid w:val="00E32516"/>
    <w:rsid w:val="00E7714A"/>
    <w:rsid w:val="00EB4F10"/>
    <w:rsid w:val="00ED0F2D"/>
    <w:rsid w:val="00EF18B2"/>
    <w:rsid w:val="00F931BF"/>
    <w:rsid w:val="00FC48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2AB8A8"/>
  <w15:docId w15:val="{BC540772-6E9A-4B0E-87DE-9073CB0D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2"/>
    <w:basedOn w:val="Normal"/>
    <w:link w:val="ListParagraphChar"/>
    <w:uiPriority w:val="34"/>
    <w:qFormat/>
    <w:rsid w:val="00404CB5"/>
    <w:pPr>
      <w:ind w:left="720"/>
      <w:contextualSpacing/>
    </w:pPr>
  </w:style>
  <w:style w:type="paragraph" w:styleId="Header">
    <w:name w:val="header"/>
    <w:basedOn w:val="Normal"/>
    <w:link w:val="HeaderChar"/>
    <w:uiPriority w:val="99"/>
    <w:unhideWhenUsed/>
    <w:rsid w:val="00803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6B8"/>
  </w:style>
  <w:style w:type="paragraph" w:styleId="Footer">
    <w:name w:val="footer"/>
    <w:basedOn w:val="Normal"/>
    <w:link w:val="FooterChar"/>
    <w:uiPriority w:val="99"/>
    <w:unhideWhenUsed/>
    <w:rsid w:val="00803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6B8"/>
  </w:style>
  <w:style w:type="paragraph" w:styleId="NormalWeb">
    <w:name w:val="Normal (Web)"/>
    <w:basedOn w:val="Normal"/>
    <w:uiPriority w:val="99"/>
    <w:unhideWhenUsed/>
    <w:rsid w:val="00F931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D0F2D"/>
    <w:rPr>
      <w:color w:val="0563C1" w:themeColor="hyperlink"/>
      <w:u w:val="single"/>
    </w:rPr>
  </w:style>
  <w:style w:type="character" w:styleId="FollowedHyperlink">
    <w:name w:val="FollowedHyperlink"/>
    <w:basedOn w:val="DefaultParagraphFont"/>
    <w:uiPriority w:val="99"/>
    <w:semiHidden/>
    <w:unhideWhenUsed/>
    <w:rsid w:val="0075100B"/>
    <w:rPr>
      <w:color w:val="954F72" w:themeColor="followedHyperlink"/>
      <w:u w:val="single"/>
    </w:rPr>
  </w:style>
  <w:style w:type="paragraph" w:styleId="BalloonText">
    <w:name w:val="Balloon Text"/>
    <w:basedOn w:val="Normal"/>
    <w:link w:val="BalloonTextChar"/>
    <w:uiPriority w:val="99"/>
    <w:semiHidden/>
    <w:unhideWhenUsed/>
    <w:rsid w:val="00A71A0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1A05"/>
    <w:rPr>
      <w:rFonts w:ascii="Lucida Grande" w:hAnsi="Lucida Grande" w:cs="Lucida Grande"/>
      <w:sz w:val="18"/>
      <w:szCs w:val="18"/>
    </w:rPr>
  </w:style>
  <w:style w:type="table" w:styleId="TableGrid">
    <w:name w:val="Table Grid"/>
    <w:basedOn w:val="TableNormal"/>
    <w:rsid w:val="00B40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22C5"/>
    <w:rPr>
      <w:sz w:val="16"/>
      <w:szCs w:val="16"/>
    </w:rPr>
  </w:style>
  <w:style w:type="paragraph" w:styleId="CommentText">
    <w:name w:val="annotation text"/>
    <w:basedOn w:val="Normal"/>
    <w:link w:val="CommentTextChar"/>
    <w:uiPriority w:val="99"/>
    <w:semiHidden/>
    <w:unhideWhenUsed/>
    <w:rsid w:val="002D22C5"/>
    <w:pPr>
      <w:spacing w:line="240" w:lineRule="auto"/>
    </w:pPr>
    <w:rPr>
      <w:sz w:val="20"/>
      <w:szCs w:val="20"/>
    </w:rPr>
  </w:style>
  <w:style w:type="character" w:customStyle="1" w:styleId="CommentTextChar">
    <w:name w:val="Comment Text Char"/>
    <w:basedOn w:val="DefaultParagraphFont"/>
    <w:link w:val="CommentText"/>
    <w:uiPriority w:val="99"/>
    <w:semiHidden/>
    <w:rsid w:val="002D22C5"/>
    <w:rPr>
      <w:sz w:val="20"/>
      <w:szCs w:val="20"/>
    </w:rPr>
  </w:style>
  <w:style w:type="paragraph" w:styleId="CommentSubject">
    <w:name w:val="annotation subject"/>
    <w:basedOn w:val="CommentText"/>
    <w:next w:val="CommentText"/>
    <w:link w:val="CommentSubjectChar"/>
    <w:uiPriority w:val="99"/>
    <w:semiHidden/>
    <w:unhideWhenUsed/>
    <w:rsid w:val="002D22C5"/>
    <w:rPr>
      <w:b/>
      <w:bCs/>
    </w:rPr>
  </w:style>
  <w:style w:type="character" w:customStyle="1" w:styleId="CommentSubjectChar">
    <w:name w:val="Comment Subject Char"/>
    <w:basedOn w:val="CommentTextChar"/>
    <w:link w:val="CommentSubject"/>
    <w:uiPriority w:val="99"/>
    <w:semiHidden/>
    <w:rsid w:val="002D22C5"/>
    <w:rPr>
      <w:b/>
      <w:bCs/>
      <w:sz w:val="20"/>
      <w:szCs w:val="20"/>
    </w:rPr>
  </w:style>
  <w:style w:type="paragraph" w:styleId="Revision">
    <w:name w:val="Revision"/>
    <w:hidden/>
    <w:uiPriority w:val="99"/>
    <w:semiHidden/>
    <w:rsid w:val="002D22C5"/>
    <w:pPr>
      <w:spacing w:after="0" w:line="240" w:lineRule="auto"/>
    </w:pPr>
  </w:style>
  <w:style w:type="character" w:customStyle="1" w:styleId="ListParagraphChar">
    <w:name w:val="List Paragraph Char"/>
    <w:aliases w:val="List Paragraph 2 Char"/>
    <w:link w:val="ListParagraph"/>
    <w:uiPriority w:val="34"/>
    <w:locked/>
    <w:rsid w:val="00415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85062">
      <w:bodyDiv w:val="1"/>
      <w:marLeft w:val="0"/>
      <w:marRight w:val="0"/>
      <w:marTop w:val="0"/>
      <w:marBottom w:val="0"/>
      <w:divBdr>
        <w:top w:val="none" w:sz="0" w:space="0" w:color="auto"/>
        <w:left w:val="none" w:sz="0" w:space="0" w:color="auto"/>
        <w:bottom w:val="none" w:sz="0" w:space="0" w:color="auto"/>
        <w:right w:val="none" w:sz="0" w:space="0" w:color="auto"/>
      </w:divBdr>
    </w:div>
    <w:div w:id="547570004">
      <w:bodyDiv w:val="1"/>
      <w:marLeft w:val="0"/>
      <w:marRight w:val="0"/>
      <w:marTop w:val="0"/>
      <w:marBottom w:val="0"/>
      <w:divBdr>
        <w:top w:val="none" w:sz="0" w:space="0" w:color="auto"/>
        <w:left w:val="none" w:sz="0" w:space="0" w:color="auto"/>
        <w:bottom w:val="none" w:sz="0" w:space="0" w:color="auto"/>
        <w:right w:val="none" w:sz="0" w:space="0" w:color="auto"/>
      </w:divBdr>
    </w:div>
    <w:div w:id="876627642">
      <w:bodyDiv w:val="1"/>
      <w:marLeft w:val="0"/>
      <w:marRight w:val="0"/>
      <w:marTop w:val="0"/>
      <w:marBottom w:val="0"/>
      <w:divBdr>
        <w:top w:val="none" w:sz="0" w:space="0" w:color="auto"/>
        <w:left w:val="none" w:sz="0" w:space="0" w:color="auto"/>
        <w:bottom w:val="none" w:sz="0" w:space="0" w:color="auto"/>
        <w:right w:val="none" w:sz="0" w:space="0" w:color="auto"/>
      </w:divBdr>
    </w:div>
    <w:div w:id="910458332">
      <w:bodyDiv w:val="1"/>
      <w:marLeft w:val="0"/>
      <w:marRight w:val="0"/>
      <w:marTop w:val="0"/>
      <w:marBottom w:val="0"/>
      <w:divBdr>
        <w:top w:val="none" w:sz="0" w:space="0" w:color="auto"/>
        <w:left w:val="none" w:sz="0" w:space="0" w:color="auto"/>
        <w:bottom w:val="none" w:sz="0" w:space="0" w:color="auto"/>
        <w:right w:val="none" w:sz="0" w:space="0" w:color="auto"/>
      </w:divBdr>
    </w:div>
    <w:div w:id="1036395111">
      <w:bodyDiv w:val="1"/>
      <w:marLeft w:val="0"/>
      <w:marRight w:val="0"/>
      <w:marTop w:val="0"/>
      <w:marBottom w:val="0"/>
      <w:divBdr>
        <w:top w:val="none" w:sz="0" w:space="0" w:color="auto"/>
        <w:left w:val="none" w:sz="0" w:space="0" w:color="auto"/>
        <w:bottom w:val="none" w:sz="0" w:space="0" w:color="auto"/>
        <w:right w:val="none" w:sz="0" w:space="0" w:color="auto"/>
      </w:divBdr>
    </w:div>
    <w:div w:id="1063679867">
      <w:bodyDiv w:val="1"/>
      <w:marLeft w:val="0"/>
      <w:marRight w:val="0"/>
      <w:marTop w:val="0"/>
      <w:marBottom w:val="0"/>
      <w:divBdr>
        <w:top w:val="none" w:sz="0" w:space="0" w:color="auto"/>
        <w:left w:val="none" w:sz="0" w:space="0" w:color="auto"/>
        <w:bottom w:val="none" w:sz="0" w:space="0" w:color="auto"/>
        <w:right w:val="none" w:sz="0" w:space="0" w:color="auto"/>
      </w:divBdr>
    </w:div>
    <w:div w:id="1451975248">
      <w:bodyDiv w:val="1"/>
      <w:marLeft w:val="0"/>
      <w:marRight w:val="0"/>
      <w:marTop w:val="0"/>
      <w:marBottom w:val="0"/>
      <w:divBdr>
        <w:top w:val="none" w:sz="0" w:space="0" w:color="auto"/>
        <w:left w:val="none" w:sz="0" w:space="0" w:color="auto"/>
        <w:bottom w:val="none" w:sz="0" w:space="0" w:color="auto"/>
        <w:right w:val="none" w:sz="0" w:space="0" w:color="auto"/>
      </w:divBdr>
    </w:div>
    <w:div w:id="1465586914">
      <w:bodyDiv w:val="1"/>
      <w:marLeft w:val="0"/>
      <w:marRight w:val="0"/>
      <w:marTop w:val="0"/>
      <w:marBottom w:val="0"/>
      <w:divBdr>
        <w:top w:val="none" w:sz="0" w:space="0" w:color="auto"/>
        <w:left w:val="none" w:sz="0" w:space="0" w:color="auto"/>
        <w:bottom w:val="none" w:sz="0" w:space="0" w:color="auto"/>
        <w:right w:val="none" w:sz="0" w:space="0" w:color="auto"/>
      </w:divBdr>
      <w:divsChild>
        <w:div w:id="1077748277">
          <w:marLeft w:val="0"/>
          <w:marRight w:val="0"/>
          <w:marTop w:val="0"/>
          <w:marBottom w:val="0"/>
          <w:divBdr>
            <w:top w:val="none" w:sz="0" w:space="0" w:color="auto"/>
            <w:left w:val="none" w:sz="0" w:space="0" w:color="auto"/>
            <w:bottom w:val="none" w:sz="0" w:space="0" w:color="auto"/>
            <w:right w:val="none" w:sz="0" w:space="0" w:color="auto"/>
          </w:divBdr>
          <w:divsChild>
            <w:div w:id="1238827860">
              <w:marLeft w:val="0"/>
              <w:marRight w:val="0"/>
              <w:marTop w:val="0"/>
              <w:marBottom w:val="0"/>
              <w:divBdr>
                <w:top w:val="none" w:sz="0" w:space="0" w:color="auto"/>
                <w:left w:val="none" w:sz="0" w:space="0" w:color="auto"/>
                <w:bottom w:val="none" w:sz="0" w:space="0" w:color="auto"/>
                <w:right w:val="none" w:sz="0" w:space="0" w:color="auto"/>
              </w:divBdr>
              <w:divsChild>
                <w:div w:id="684013093">
                  <w:marLeft w:val="0"/>
                  <w:marRight w:val="0"/>
                  <w:marTop w:val="0"/>
                  <w:marBottom w:val="0"/>
                  <w:divBdr>
                    <w:top w:val="none" w:sz="0" w:space="0" w:color="auto"/>
                    <w:left w:val="none" w:sz="0" w:space="0" w:color="auto"/>
                    <w:bottom w:val="none" w:sz="0" w:space="0" w:color="auto"/>
                    <w:right w:val="none" w:sz="0" w:space="0" w:color="auto"/>
                  </w:divBdr>
                  <w:divsChild>
                    <w:div w:id="1024670899">
                      <w:marLeft w:val="0"/>
                      <w:marRight w:val="0"/>
                      <w:marTop w:val="0"/>
                      <w:marBottom w:val="0"/>
                      <w:divBdr>
                        <w:top w:val="none" w:sz="0" w:space="0" w:color="auto"/>
                        <w:left w:val="none" w:sz="0" w:space="0" w:color="auto"/>
                        <w:bottom w:val="none" w:sz="0" w:space="0" w:color="auto"/>
                        <w:right w:val="none" w:sz="0" w:space="0" w:color="auto"/>
                      </w:divBdr>
                      <w:divsChild>
                        <w:div w:id="2062243124">
                          <w:marLeft w:val="0"/>
                          <w:marRight w:val="0"/>
                          <w:marTop w:val="0"/>
                          <w:marBottom w:val="0"/>
                          <w:divBdr>
                            <w:top w:val="none" w:sz="0" w:space="0" w:color="auto"/>
                            <w:left w:val="none" w:sz="0" w:space="0" w:color="auto"/>
                            <w:bottom w:val="none" w:sz="0" w:space="0" w:color="auto"/>
                            <w:right w:val="none" w:sz="0" w:space="0" w:color="auto"/>
                          </w:divBdr>
                          <w:divsChild>
                            <w:div w:id="833646146">
                              <w:marLeft w:val="0"/>
                              <w:marRight w:val="0"/>
                              <w:marTop w:val="0"/>
                              <w:marBottom w:val="0"/>
                              <w:divBdr>
                                <w:top w:val="none" w:sz="0" w:space="0" w:color="auto"/>
                                <w:left w:val="single" w:sz="6" w:space="0" w:color="E5E3E3"/>
                                <w:bottom w:val="none" w:sz="0" w:space="0" w:color="auto"/>
                                <w:right w:val="none" w:sz="0" w:space="0" w:color="auto"/>
                              </w:divBdr>
                              <w:divsChild>
                                <w:div w:id="90664505">
                                  <w:marLeft w:val="0"/>
                                  <w:marRight w:val="0"/>
                                  <w:marTop w:val="0"/>
                                  <w:marBottom w:val="0"/>
                                  <w:divBdr>
                                    <w:top w:val="none" w:sz="0" w:space="0" w:color="auto"/>
                                    <w:left w:val="none" w:sz="0" w:space="0" w:color="auto"/>
                                    <w:bottom w:val="none" w:sz="0" w:space="0" w:color="auto"/>
                                    <w:right w:val="none" w:sz="0" w:space="0" w:color="auto"/>
                                  </w:divBdr>
                                  <w:divsChild>
                                    <w:div w:id="300698082">
                                      <w:marLeft w:val="0"/>
                                      <w:marRight w:val="0"/>
                                      <w:marTop w:val="0"/>
                                      <w:marBottom w:val="0"/>
                                      <w:divBdr>
                                        <w:top w:val="none" w:sz="0" w:space="0" w:color="auto"/>
                                        <w:left w:val="none" w:sz="0" w:space="0" w:color="auto"/>
                                        <w:bottom w:val="none" w:sz="0" w:space="0" w:color="auto"/>
                                        <w:right w:val="none" w:sz="0" w:space="0" w:color="auto"/>
                                      </w:divBdr>
                                      <w:divsChild>
                                        <w:div w:id="2118014542">
                                          <w:marLeft w:val="0"/>
                                          <w:marRight w:val="0"/>
                                          <w:marTop w:val="0"/>
                                          <w:marBottom w:val="0"/>
                                          <w:divBdr>
                                            <w:top w:val="none" w:sz="0" w:space="0" w:color="auto"/>
                                            <w:left w:val="none" w:sz="0" w:space="0" w:color="auto"/>
                                            <w:bottom w:val="none" w:sz="0" w:space="0" w:color="auto"/>
                                            <w:right w:val="none" w:sz="0" w:space="0" w:color="auto"/>
                                          </w:divBdr>
                                          <w:divsChild>
                                            <w:div w:id="1633366006">
                                              <w:marLeft w:val="0"/>
                                              <w:marRight w:val="0"/>
                                              <w:marTop w:val="0"/>
                                              <w:marBottom w:val="0"/>
                                              <w:divBdr>
                                                <w:top w:val="none" w:sz="0" w:space="0" w:color="auto"/>
                                                <w:left w:val="none" w:sz="0" w:space="0" w:color="auto"/>
                                                <w:bottom w:val="none" w:sz="0" w:space="0" w:color="auto"/>
                                                <w:right w:val="none" w:sz="0" w:space="0" w:color="auto"/>
                                              </w:divBdr>
                                              <w:divsChild>
                                                <w:div w:id="468740753">
                                                  <w:marLeft w:val="0"/>
                                                  <w:marRight w:val="0"/>
                                                  <w:marTop w:val="0"/>
                                                  <w:marBottom w:val="0"/>
                                                  <w:divBdr>
                                                    <w:top w:val="none" w:sz="0" w:space="0" w:color="auto"/>
                                                    <w:left w:val="none" w:sz="0" w:space="0" w:color="auto"/>
                                                    <w:bottom w:val="none" w:sz="0" w:space="0" w:color="auto"/>
                                                    <w:right w:val="none" w:sz="0" w:space="0" w:color="auto"/>
                                                  </w:divBdr>
                                                  <w:divsChild>
                                                    <w:div w:id="646979203">
                                                      <w:marLeft w:val="0"/>
                                                      <w:marRight w:val="0"/>
                                                      <w:marTop w:val="0"/>
                                                      <w:marBottom w:val="0"/>
                                                      <w:divBdr>
                                                        <w:top w:val="none" w:sz="0" w:space="0" w:color="auto"/>
                                                        <w:left w:val="none" w:sz="0" w:space="0" w:color="auto"/>
                                                        <w:bottom w:val="none" w:sz="0" w:space="0" w:color="auto"/>
                                                        <w:right w:val="none" w:sz="0" w:space="0" w:color="auto"/>
                                                      </w:divBdr>
                                                      <w:divsChild>
                                                        <w:div w:id="1519850498">
                                                          <w:marLeft w:val="480"/>
                                                          <w:marRight w:val="0"/>
                                                          <w:marTop w:val="0"/>
                                                          <w:marBottom w:val="0"/>
                                                          <w:divBdr>
                                                            <w:top w:val="none" w:sz="0" w:space="0" w:color="auto"/>
                                                            <w:left w:val="none" w:sz="0" w:space="0" w:color="auto"/>
                                                            <w:bottom w:val="none" w:sz="0" w:space="0" w:color="auto"/>
                                                            <w:right w:val="none" w:sz="0" w:space="0" w:color="auto"/>
                                                          </w:divBdr>
                                                          <w:divsChild>
                                                            <w:div w:id="1390107937">
                                                              <w:marLeft w:val="0"/>
                                                              <w:marRight w:val="0"/>
                                                              <w:marTop w:val="0"/>
                                                              <w:marBottom w:val="0"/>
                                                              <w:divBdr>
                                                                <w:top w:val="none" w:sz="0" w:space="0" w:color="auto"/>
                                                                <w:left w:val="none" w:sz="0" w:space="0" w:color="auto"/>
                                                                <w:bottom w:val="none" w:sz="0" w:space="0" w:color="auto"/>
                                                                <w:right w:val="none" w:sz="0" w:space="0" w:color="auto"/>
                                                              </w:divBdr>
                                                              <w:divsChild>
                                                                <w:div w:id="1367750659">
                                                                  <w:marLeft w:val="0"/>
                                                                  <w:marRight w:val="0"/>
                                                                  <w:marTop w:val="0"/>
                                                                  <w:marBottom w:val="0"/>
                                                                  <w:divBdr>
                                                                    <w:top w:val="none" w:sz="0" w:space="0" w:color="auto"/>
                                                                    <w:left w:val="none" w:sz="0" w:space="0" w:color="auto"/>
                                                                    <w:bottom w:val="none" w:sz="0" w:space="0" w:color="auto"/>
                                                                    <w:right w:val="none" w:sz="0" w:space="0" w:color="auto"/>
                                                                  </w:divBdr>
                                                                  <w:divsChild>
                                                                    <w:div w:id="1317489818">
                                                                      <w:marLeft w:val="0"/>
                                                                      <w:marRight w:val="0"/>
                                                                      <w:marTop w:val="0"/>
                                                                      <w:marBottom w:val="0"/>
                                                                      <w:divBdr>
                                                                        <w:top w:val="none" w:sz="0" w:space="0" w:color="auto"/>
                                                                        <w:left w:val="none" w:sz="0" w:space="0" w:color="auto"/>
                                                                        <w:bottom w:val="none" w:sz="0" w:space="0" w:color="auto"/>
                                                                        <w:right w:val="none" w:sz="0" w:space="0" w:color="auto"/>
                                                                      </w:divBdr>
                                                                      <w:divsChild>
                                                                        <w:div w:id="1408188512">
                                                                          <w:marLeft w:val="0"/>
                                                                          <w:marRight w:val="0"/>
                                                                          <w:marTop w:val="0"/>
                                                                          <w:marBottom w:val="0"/>
                                                                          <w:divBdr>
                                                                            <w:top w:val="none" w:sz="0" w:space="0" w:color="auto"/>
                                                                            <w:left w:val="none" w:sz="0" w:space="0" w:color="auto"/>
                                                                            <w:bottom w:val="none" w:sz="0" w:space="0" w:color="auto"/>
                                                                            <w:right w:val="none" w:sz="0" w:space="0" w:color="auto"/>
                                                                          </w:divBdr>
                                                                          <w:divsChild>
                                                                            <w:div w:id="1508328491">
                                                                              <w:marLeft w:val="0"/>
                                                                              <w:marRight w:val="0"/>
                                                                              <w:marTop w:val="0"/>
                                                                              <w:marBottom w:val="0"/>
                                                                              <w:divBdr>
                                                                                <w:top w:val="none" w:sz="0" w:space="0" w:color="auto"/>
                                                                                <w:left w:val="none" w:sz="0" w:space="0" w:color="auto"/>
                                                                                <w:bottom w:val="none" w:sz="0" w:space="0" w:color="auto"/>
                                                                                <w:right w:val="none" w:sz="0" w:space="0" w:color="auto"/>
                                                                              </w:divBdr>
                                                                              <w:divsChild>
                                                                                <w:div w:id="364603335">
                                                                                  <w:marLeft w:val="0"/>
                                                                                  <w:marRight w:val="0"/>
                                                                                  <w:marTop w:val="0"/>
                                                                                  <w:marBottom w:val="0"/>
                                                                                  <w:divBdr>
                                                                                    <w:top w:val="none" w:sz="0" w:space="0" w:color="auto"/>
                                                                                    <w:left w:val="none" w:sz="0" w:space="0" w:color="auto"/>
                                                                                    <w:bottom w:val="single" w:sz="6" w:space="23" w:color="auto"/>
                                                                                    <w:right w:val="none" w:sz="0" w:space="0" w:color="auto"/>
                                                                                  </w:divBdr>
                                                                                  <w:divsChild>
                                                                                    <w:div w:id="1058749735">
                                                                                      <w:marLeft w:val="0"/>
                                                                                      <w:marRight w:val="0"/>
                                                                                      <w:marTop w:val="0"/>
                                                                                      <w:marBottom w:val="0"/>
                                                                                      <w:divBdr>
                                                                                        <w:top w:val="none" w:sz="0" w:space="0" w:color="auto"/>
                                                                                        <w:left w:val="none" w:sz="0" w:space="0" w:color="auto"/>
                                                                                        <w:bottom w:val="none" w:sz="0" w:space="0" w:color="auto"/>
                                                                                        <w:right w:val="none" w:sz="0" w:space="0" w:color="auto"/>
                                                                                      </w:divBdr>
                                                                                      <w:divsChild>
                                                                                        <w:div w:id="614141037">
                                                                                          <w:marLeft w:val="0"/>
                                                                                          <w:marRight w:val="0"/>
                                                                                          <w:marTop w:val="0"/>
                                                                                          <w:marBottom w:val="0"/>
                                                                                          <w:divBdr>
                                                                                            <w:top w:val="none" w:sz="0" w:space="0" w:color="auto"/>
                                                                                            <w:left w:val="none" w:sz="0" w:space="0" w:color="auto"/>
                                                                                            <w:bottom w:val="none" w:sz="0" w:space="0" w:color="auto"/>
                                                                                            <w:right w:val="none" w:sz="0" w:space="0" w:color="auto"/>
                                                                                          </w:divBdr>
                                                                                          <w:divsChild>
                                                                                            <w:div w:id="1047678799">
                                                                                              <w:marLeft w:val="0"/>
                                                                                              <w:marRight w:val="0"/>
                                                                                              <w:marTop w:val="0"/>
                                                                                              <w:marBottom w:val="0"/>
                                                                                              <w:divBdr>
                                                                                                <w:top w:val="none" w:sz="0" w:space="0" w:color="auto"/>
                                                                                                <w:left w:val="none" w:sz="0" w:space="0" w:color="auto"/>
                                                                                                <w:bottom w:val="none" w:sz="0" w:space="0" w:color="auto"/>
                                                                                                <w:right w:val="none" w:sz="0" w:space="0" w:color="auto"/>
                                                                                              </w:divBdr>
                                                                                              <w:divsChild>
                                                                                                <w:div w:id="1870876519">
                                                                                                  <w:marLeft w:val="0"/>
                                                                                                  <w:marRight w:val="0"/>
                                                                                                  <w:marTop w:val="0"/>
                                                                                                  <w:marBottom w:val="0"/>
                                                                                                  <w:divBdr>
                                                                                                    <w:top w:val="none" w:sz="0" w:space="0" w:color="auto"/>
                                                                                                    <w:left w:val="none" w:sz="0" w:space="0" w:color="auto"/>
                                                                                                    <w:bottom w:val="none" w:sz="0" w:space="0" w:color="auto"/>
                                                                                                    <w:right w:val="none" w:sz="0" w:space="0" w:color="auto"/>
                                                                                                  </w:divBdr>
                                                                                                  <w:divsChild>
                                                                                                    <w:div w:id="1994749026">
                                                                                                      <w:marLeft w:val="0"/>
                                                                                                      <w:marRight w:val="0"/>
                                                                                                      <w:marTop w:val="0"/>
                                                                                                      <w:marBottom w:val="0"/>
                                                                                                      <w:divBdr>
                                                                                                        <w:top w:val="none" w:sz="0" w:space="0" w:color="auto"/>
                                                                                                        <w:left w:val="none" w:sz="0" w:space="0" w:color="auto"/>
                                                                                                        <w:bottom w:val="none" w:sz="0" w:space="0" w:color="auto"/>
                                                                                                        <w:right w:val="none" w:sz="0" w:space="0" w:color="auto"/>
                                                                                                      </w:divBdr>
                                                                                                      <w:divsChild>
                                                                                                        <w:div w:id="1378627200">
                                                                                                          <w:marLeft w:val="0"/>
                                                                                                          <w:marRight w:val="0"/>
                                                                                                          <w:marTop w:val="0"/>
                                                                                                          <w:marBottom w:val="0"/>
                                                                                                          <w:divBdr>
                                                                                                            <w:top w:val="none" w:sz="0" w:space="0" w:color="auto"/>
                                                                                                            <w:left w:val="none" w:sz="0" w:space="0" w:color="auto"/>
                                                                                                            <w:bottom w:val="none" w:sz="0" w:space="0" w:color="auto"/>
                                                                                                            <w:right w:val="none" w:sz="0" w:space="0" w:color="auto"/>
                                                                                                          </w:divBdr>
                                                                                                          <w:divsChild>
                                                                                                            <w:div w:id="740760025">
                                                                                                              <w:marLeft w:val="0"/>
                                                                                                              <w:marRight w:val="0"/>
                                                                                                              <w:marTop w:val="0"/>
                                                                                                              <w:marBottom w:val="0"/>
                                                                                                              <w:divBdr>
                                                                                                                <w:top w:val="none" w:sz="0" w:space="0" w:color="auto"/>
                                                                                                                <w:left w:val="none" w:sz="0" w:space="0" w:color="auto"/>
                                                                                                                <w:bottom w:val="none" w:sz="0" w:space="0" w:color="auto"/>
                                                                                                                <w:right w:val="none" w:sz="0" w:space="0" w:color="auto"/>
                                                                                                              </w:divBdr>
                                                                                                            </w:div>
                                                                                                            <w:div w:id="783771611">
                                                                                                              <w:marLeft w:val="0"/>
                                                                                                              <w:marRight w:val="0"/>
                                                                                                              <w:marTop w:val="0"/>
                                                                                                              <w:marBottom w:val="0"/>
                                                                                                              <w:divBdr>
                                                                                                                <w:top w:val="none" w:sz="0" w:space="0" w:color="auto"/>
                                                                                                                <w:left w:val="none" w:sz="0" w:space="0" w:color="auto"/>
                                                                                                                <w:bottom w:val="none" w:sz="0" w:space="0" w:color="auto"/>
                                                                                                                <w:right w:val="none" w:sz="0" w:space="0" w:color="auto"/>
                                                                                                              </w:divBdr>
                                                                                                            </w:div>
                                                                                                            <w:div w:id="1907565205">
                                                                                                              <w:marLeft w:val="0"/>
                                                                                                              <w:marRight w:val="0"/>
                                                                                                              <w:marTop w:val="0"/>
                                                                                                              <w:marBottom w:val="0"/>
                                                                                                              <w:divBdr>
                                                                                                                <w:top w:val="none" w:sz="0" w:space="0" w:color="auto"/>
                                                                                                                <w:left w:val="none" w:sz="0" w:space="0" w:color="auto"/>
                                                                                                                <w:bottom w:val="none" w:sz="0" w:space="0" w:color="auto"/>
                                                                                                                <w:right w:val="none" w:sz="0" w:space="0" w:color="auto"/>
                                                                                                              </w:divBdr>
                                                                                                            </w:div>
                                                                                                            <w:div w:id="7694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2901</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Kathuria</dc:creator>
  <cp:keywords/>
  <dc:description/>
  <cp:lastModifiedBy>Claire Waddell</cp:lastModifiedBy>
  <cp:revision>2</cp:revision>
  <dcterms:created xsi:type="dcterms:W3CDTF">2018-02-13T12:16:00Z</dcterms:created>
  <dcterms:modified xsi:type="dcterms:W3CDTF">2018-02-13T12:16:00Z</dcterms:modified>
</cp:coreProperties>
</file>