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1"/>
          <w:i w:val="0"/>
          <w:smallCaps w:val="1"/>
          <w:strike w:val="0"/>
          <w:color w:val="000000"/>
          <w:sz w:val="36"/>
          <w:szCs w:val="36"/>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1"/>
          <w:i w:val="0"/>
          <w:smallCaps w:val="1"/>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Call-Off Schedule 3 (Continuous Improvement) </w:t>
      </w:r>
      <w:r w:rsidDel="00000000" w:rsidR="00000000" w:rsidRPr="00000000">
        <w:rPr>
          <w:rtl w:val="0"/>
        </w:rPr>
      </w:r>
    </w:p>
    <w:p w:rsidR="00000000" w:rsidDel="00000000" w:rsidP="00000000" w:rsidRDefault="00000000" w:rsidRPr="00000000" w14:paraId="00000003">
      <w:pPr>
        <w:keepNext w:val="1"/>
        <w:keepLines w:val="0"/>
        <w:widowControl w:val="1"/>
        <w:numPr>
          <w:ilvl w:val="0"/>
          <w:numId w:val="1"/>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left"/>
        <w:rPr/>
      </w:pPr>
      <w:r w:rsidDel="00000000" w:rsidR="00000000" w:rsidRPr="00000000">
        <w:rPr>
          <w:rFonts w:ascii="Arial Bold" w:cs="Arial Bold" w:eastAsia="Arial Bold" w:hAnsi="Arial Bold"/>
          <w:b w:val="0"/>
          <w:i w:val="0"/>
          <w:smallCaps w:val="0"/>
          <w:strike w:val="0"/>
          <w:color w:val="000000"/>
          <w:sz w:val="24"/>
          <w:szCs w:val="24"/>
          <w:u w:val="none"/>
          <w:shd w:fill="auto" w:val="clear"/>
          <w:vertAlign w:val="baseline"/>
          <w:rtl w:val="0"/>
        </w:rPr>
        <w:t xml:space="preserve">Buyer’s Rights</w:t>
      </w:r>
    </w:p>
    <w:p w:rsidR="00000000" w:rsidDel="00000000" w:rsidP="00000000" w:rsidRDefault="00000000" w:rsidRPr="00000000" w14:paraId="00000004">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and the Supplier recognise that, where specified in Framework Schedule 4 (Framework Management), the Buyer may give CCS the right to enforce the Buyer's rights under this Schedule.</w:t>
      </w:r>
    </w:p>
    <w:p w:rsidR="00000000" w:rsidDel="00000000" w:rsidP="00000000" w:rsidRDefault="00000000" w:rsidRPr="00000000" w14:paraId="00000005">
      <w:pPr>
        <w:keepNext w:val="1"/>
        <w:keepLines w:val="0"/>
        <w:widowControl w:val="1"/>
        <w:numPr>
          <w:ilvl w:val="0"/>
          <w:numId w:val="1"/>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left"/>
        <w:rPr/>
      </w:pPr>
      <w:r w:rsidDel="00000000" w:rsidR="00000000" w:rsidRPr="00000000">
        <w:rPr>
          <w:rFonts w:ascii="Arial Bold" w:cs="Arial Bold" w:eastAsia="Arial Bold" w:hAnsi="Arial Bold"/>
          <w:b w:val="0"/>
          <w:i w:val="0"/>
          <w:smallCaps w:val="0"/>
          <w:strike w:val="0"/>
          <w:color w:val="000000"/>
          <w:sz w:val="24"/>
          <w:szCs w:val="24"/>
          <w:u w:val="none"/>
          <w:shd w:fill="auto" w:val="clear"/>
          <w:vertAlign w:val="baseline"/>
          <w:rtl w:val="0"/>
        </w:rPr>
        <w:t xml:space="preserve">Supplier’s Obligations</w:t>
      </w:r>
    </w:p>
    <w:p w:rsidR="00000000" w:rsidDel="00000000" w:rsidP="00000000" w:rsidRDefault="00000000" w:rsidRPr="00000000" w14:paraId="00000006">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must, throughout the Contract Period, identify new or potential improvements to the provision of the Deliverables with a view to reducing the Buyer’s costs (including the Charges) and/or improving the quality and efficiency of the Deliverables and their supply to the Buyer.  </w:t>
      </w:r>
    </w:p>
    <w:p w:rsidR="00000000" w:rsidDel="00000000" w:rsidP="00000000" w:rsidRDefault="00000000" w:rsidRPr="00000000" w14:paraId="00000007">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must adopt a policy of continuous improvement in relation to the Deliverables, which must include regular reviews with the Buyer of the Deliverables and the way it provides them, with a view to reducing the Buyer's costs (including the Charges) and/or improving the quality and efficiency of the Deliverables.  The Supplier and the Buyer must provide each other with any information relevant to meeting this objective. </w:t>
      </w:r>
    </w:p>
    <w:p w:rsidR="00000000" w:rsidDel="00000000" w:rsidP="00000000" w:rsidRDefault="00000000" w:rsidRPr="00000000" w14:paraId="00000008">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fob9te" w:id="2"/>
      <w:bookmarkEnd w:id="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addition to Paragraph 2.1, the Supplier shall produce at the start of each Contract Year a plan for improving the provision of Deliverables and/or reducing the Charges (without adversely affecting the performance of this Contract) during that Contract Year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"Continuous Improvement Plan"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for the Buyer's Approval.  The Continuous Improvement Plan must include, as a minimum, proposals:</w:t>
      </w:r>
    </w:p>
    <w:p w:rsidR="00000000" w:rsidDel="00000000" w:rsidP="00000000" w:rsidRDefault="00000000" w:rsidRPr="00000000" w14:paraId="00000009">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identifying the emergence of relevant new and evolving technologies;</w:t>
      </w:r>
    </w:p>
    <w:p w:rsidR="00000000" w:rsidDel="00000000" w:rsidP="00000000" w:rsidRDefault="00000000" w:rsidRPr="00000000" w14:paraId="0000000A">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znysh7" w:id="3"/>
      <w:bookmarkEnd w:id="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changes in business processes of the Supplier or the Buyer and ways of working that would provide cost savings and/or enhanced benefits to the Buyer (such as methods of interaction, supply chain efficiencies, reduction in energy consumption and methods of sale);</w:t>
      </w:r>
    </w:p>
    <w:p w:rsidR="00000000" w:rsidDel="00000000" w:rsidP="00000000" w:rsidRDefault="00000000" w:rsidRPr="00000000" w14:paraId="0000000B">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new or potential improvements to the provision of the Deliverables including the quality, responsiveness, procedures, benchmarking methods, likely performance mechanisms and customer support services in relation to the Deliverables; and</w:t>
      </w:r>
    </w:p>
    <w:p w:rsidR="00000000" w:rsidDel="00000000" w:rsidP="00000000" w:rsidRDefault="00000000" w:rsidRPr="00000000" w14:paraId="0000000C">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measuring and reducing the sustainability impacts of the Supplier's operations and supply-chains relating to the Deliverables, and identifying opportunities to assist the Buyer in meeting their sustainability objectives.</w:t>
      </w:r>
    </w:p>
    <w:p w:rsidR="00000000" w:rsidDel="00000000" w:rsidP="00000000" w:rsidRDefault="00000000" w:rsidRPr="00000000" w14:paraId="0000000D">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initial Continuous Improvement Plan for the first (1</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st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Contract Year shall be submitted by the Supplier to the Buyer for Approval within one hundred (100) Working Days of the first Order or six (6) Months following the Start Date, whichever is earlier.  </w:t>
      </w:r>
    </w:p>
    <w:p w:rsidR="00000000" w:rsidDel="00000000" w:rsidP="00000000" w:rsidRDefault="00000000" w:rsidRPr="00000000" w14:paraId="0000000E">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2et92p0" w:id="4"/>
      <w:bookmarkEnd w:id="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shall notify the Supplier of its Approval or rejection of the proposed Continuous Improvement Plan or any updates to it within twenty (20) Working Days of receipt.  If it is rejected then the Supplier shall, within ten (10) Working Days of receipt of notice of rejection, submit a revised Continuous Improvement Plan reflecting the changes required.  Once Approved, it becomes the Continuous Improvement Plan for the purposes of this Contract.</w:t>
      </w:r>
    </w:p>
    <w:p w:rsidR="00000000" w:rsidDel="00000000" w:rsidP="00000000" w:rsidRDefault="00000000" w:rsidRPr="00000000" w14:paraId="0000000F">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tyjcwt" w:id="5"/>
      <w:bookmarkEnd w:id="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must provide sufficient information with each suggested improvement to enable a decision on whether to implement it. The Supplier shall provide any further information as requested.</w:t>
      </w:r>
    </w:p>
    <w:p w:rsidR="00000000" w:rsidDel="00000000" w:rsidP="00000000" w:rsidRDefault="00000000" w:rsidRPr="00000000" w14:paraId="00000010">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Buyer wishes to incorporate any improvement into this Contract, it must request a Variation in accordance with the Variation Procedure and the Supplier must implement such Variation at no additional cost to the Buyer or CCS.</w:t>
      </w:r>
    </w:p>
    <w:p w:rsidR="00000000" w:rsidDel="00000000" w:rsidP="00000000" w:rsidRDefault="00000000" w:rsidRPr="00000000" w14:paraId="00000011">
      <w:pPr>
        <w:keepNext w:val="1"/>
        <w:keepLines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Once the first Continuous Improvement Plan has been Approved in accordance with Paragraph 2.5:</w:t>
      </w:r>
    </w:p>
    <w:p w:rsidR="00000000" w:rsidDel="00000000" w:rsidP="00000000" w:rsidRDefault="00000000" w:rsidRPr="00000000" w14:paraId="00000012">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use all reasonable endeavours to implement any agreed deliverables in accordance with the Continuous Improvement Plan; and</w:t>
      </w:r>
    </w:p>
    <w:p w:rsidR="00000000" w:rsidDel="00000000" w:rsidP="00000000" w:rsidRDefault="00000000" w:rsidRPr="00000000" w14:paraId="00000013">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Parties agree to meet as soon as reasonably possible following the start of each quarter (or as otherwise agreed between the Parties) to review the Supplier's progress against the Continuous Improvement Plan.</w:t>
      </w:r>
    </w:p>
    <w:p w:rsidR="00000000" w:rsidDel="00000000" w:rsidP="00000000" w:rsidRDefault="00000000" w:rsidRPr="00000000" w14:paraId="00000014">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update the Continuous Improvement Plan as and when required but at least once every Contract Year (after the first (1</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st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Contract Year) in accordance with the procedure and timescales set out in Paragraph 2.3. </w:t>
      </w:r>
    </w:p>
    <w:p w:rsidR="00000000" w:rsidDel="00000000" w:rsidP="00000000" w:rsidRDefault="00000000" w:rsidRPr="00000000" w14:paraId="00000015">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costs relating to the compilation or updating of the Continuous Improvement Plan and the costs arising from any improvement made pursuant to it and the costs of implementing any improvement, shall have no effect on and are included in the Charges.</w:t>
      </w:r>
    </w:p>
    <w:p w:rsidR="00000000" w:rsidDel="00000000" w:rsidP="00000000" w:rsidRDefault="00000000" w:rsidRPr="00000000" w14:paraId="00000016">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Should the Supplier's costs in providing the Deliverables to the Buyer be reduced as a result of any changes implemented, all of the cost savings shall be passed on to the Buyer by way of a consequential and immediate reduction in the Charges for the Deliverables.</w:t>
      </w:r>
    </w:p>
    <w:p w:rsidR="00000000" w:rsidDel="00000000" w:rsidP="00000000" w:rsidRDefault="00000000" w:rsidRPr="00000000" w14:paraId="00000017">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 any time during the Contract Period of the Call-Off Contract, the Supplier may make a proposal for gainshare. If the Buyer deems gainshare to be applicable then the Supplier shall update the Continuous Improvement Plan so as to include details of the way in which the proposal shall be implemented in accordance with an agreed gainshare ratio.</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240" w:before="120" w:line="240" w:lineRule="auto"/>
        <w:ind w:left="426" w:right="0" w:hanging="426"/>
        <w:jc w:val="left"/>
        <w:rPr>
          <w:rFonts w:ascii="Arial" w:cs="Arial" w:eastAsia="Arial" w:hAnsi="Arial"/>
          <w:b w:val="1"/>
          <w:i w:val="0"/>
          <w:smallCaps w:val="1"/>
          <w:strike w:val="0"/>
          <w:color w:val="000000"/>
          <w:sz w:val="24"/>
          <w:szCs w:val="24"/>
          <w:u w:val="none"/>
          <w:shd w:fill="auto" w:val="clear"/>
          <w:vertAlign w:val="baseline"/>
        </w:rPr>
        <w:sectPr>
          <w:headerReference r:id="rId7" w:type="default"/>
          <w:headerReference r:id="rId8" w:type="first"/>
          <w:footerReference r:id="rId9" w:type="default"/>
          <w:footerReference r:id="rId10" w:type="first"/>
          <w:pgSz w:h="16838" w:w="11906" w:orient="portrait"/>
          <w:pgMar w:bottom="1440" w:top="1440" w:left="1440" w:right="1440" w:header="709" w:footer="709"/>
          <w:pgNumType w:start="1"/>
        </w:sectPr>
      </w:pPr>
      <w:r w:rsidDel="00000000" w:rsidR="00000000" w:rsidRPr="00000000">
        <w:rPr>
          <w:rtl w:val="0"/>
        </w:rPr>
      </w:r>
    </w:p>
    <w:p w:rsidR="00000000" w:rsidDel="00000000" w:rsidP="00000000" w:rsidRDefault="00000000" w:rsidRPr="00000000" w14:paraId="00000019">
      <w:pPr>
        <w:rPr/>
      </w:pPr>
      <w:bookmarkStart w:colFirst="0" w:colLast="0" w:name="_heading=h.3dy6vkm" w:id="6"/>
      <w:bookmarkEnd w:id="6"/>
      <w:r w:rsidDel="00000000" w:rsidR="00000000" w:rsidRPr="00000000">
        <w:rPr>
          <w:rtl w:val="0"/>
        </w:rPr>
      </w:r>
    </w:p>
    <w:sectPr>
      <w:type w:val="nextPage"/>
      <w:pgSz w:h="16838" w:w="11906" w:orient="portrait"/>
      <w:pgMar w:bottom="1440" w:top="1440" w:left="1440" w:right="1440"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tabs>
        <w:tab w:val="center" w:pos="4513"/>
        <w:tab w:val="right" w:pos="9026"/>
      </w:tabs>
      <w:spacing w:after="0" w:lineRule="auto"/>
      <w:rPr>
        <w:rFonts w:ascii="Arial" w:cs="Arial" w:eastAsia="Arial" w:hAnsi="Arial"/>
        <w:color w:val="a6a6a6"/>
        <w:sz w:val="20"/>
        <w:szCs w:val="20"/>
      </w:rPr>
    </w:pPr>
    <w:r w:rsidDel="00000000" w:rsidR="00000000" w:rsidRPr="00000000">
      <w:rPr>
        <w:rtl w:val="0"/>
      </w:rPr>
    </w:r>
  </w:p>
  <w:p w:rsidR="00000000" w:rsidDel="00000000" w:rsidP="00000000" w:rsidRDefault="00000000" w:rsidRPr="00000000" w14:paraId="00000022">
    <w:pPr>
      <w:tabs>
        <w:tab w:val="center" w:pos="4513"/>
        <w:tab w:val="right" w:pos="9026"/>
      </w:tabs>
      <w:spacing w:after="0" w:lineRule="auto"/>
      <w:rPr>
        <w:rFonts w:ascii="Arial" w:cs="Arial" w:eastAsia="Arial" w:hAnsi="Arial"/>
        <w:color w:val="a6a6a6"/>
        <w:sz w:val="20"/>
        <w:szCs w:val="20"/>
      </w:rPr>
    </w:pPr>
    <w:r w:rsidDel="00000000" w:rsidR="00000000" w:rsidRPr="00000000">
      <w:rPr>
        <w:rFonts w:ascii="Arial" w:cs="Arial" w:eastAsia="Arial" w:hAnsi="Arial"/>
        <w:color w:val="a6a6a6"/>
        <w:sz w:val="20"/>
        <w:szCs w:val="20"/>
        <w:rtl w:val="0"/>
      </w:rPr>
      <w:t xml:space="preserve">Framework Ref: RM</w:t>
      <w:tab/>
      <w:t xml:space="preserve">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a6a6a6"/>
        <w:sz w:val="20"/>
        <w:szCs w:val="20"/>
        <w:u w:val="none"/>
        <w:shd w:fill="auto" w:val="clear"/>
        <w:vertAlign w:val="baseline"/>
      </w:rPr>
    </w:pPr>
    <w:r w:rsidDel="00000000" w:rsidR="00000000" w:rsidRPr="00000000">
      <w:rPr>
        <w:rFonts w:ascii="Arial" w:cs="Arial" w:eastAsia="Arial" w:hAnsi="Arial"/>
        <w:b w:val="0"/>
        <w:i w:val="0"/>
        <w:smallCaps w:val="0"/>
        <w:strike w:val="0"/>
        <w:color w:val="a6a6a6"/>
        <w:sz w:val="20"/>
        <w:szCs w:val="20"/>
        <w:u w:val="none"/>
        <w:shd w:fill="auto" w:val="clear"/>
        <w:vertAlign w:val="baseline"/>
        <w:rtl w:val="0"/>
      </w:rPr>
      <w:t xml:space="preserve">Project Version: v1.0</w:t>
      <w:tab/>
      <w:tab/>
      <w:tab/>
      <w:t xml:space="preserve"> </w:t>
    </w:r>
    <w:r w:rsidDel="00000000" w:rsidR="00000000" w:rsidRPr="00000000">
      <w:rPr>
        <w:rFonts w:ascii="Arial" w:cs="Arial" w:eastAsia="Arial" w:hAnsi="Arial"/>
        <w:b w:val="0"/>
        <w:i w:val="0"/>
        <w:smallCaps w:val="0"/>
        <w:strike w:val="0"/>
        <w:color w:val="a6a6a6"/>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a6a6a6"/>
        <w:sz w:val="22"/>
        <w:szCs w:val="22"/>
        <w:u w:val="none"/>
        <w:shd w:fill="auto" w:val="clear"/>
        <w:vertAlign w:val="baseline"/>
      </w:rPr>
    </w:pPr>
    <w:r w:rsidDel="00000000" w:rsidR="00000000" w:rsidRPr="00000000">
      <w:rPr>
        <w:rFonts w:ascii="Arial" w:cs="Arial" w:eastAsia="Arial" w:hAnsi="Arial"/>
        <w:b w:val="0"/>
        <w:i w:val="0"/>
        <w:smallCaps w:val="0"/>
        <w:strike w:val="0"/>
        <w:color w:val="a6a6a6"/>
        <w:sz w:val="20"/>
        <w:szCs w:val="20"/>
        <w:u w:val="none"/>
        <w:shd w:fill="auto" w:val="clear"/>
        <w:vertAlign w:val="baseline"/>
        <w:rtl w:val="0"/>
      </w:rPr>
      <w:t xml:space="preserve">Model Version : v3.0</w:t>
      <w:tab/>
      <w:tab/>
    </w:r>
    <w:r w:rsidDel="00000000" w:rsidR="00000000" w:rsidRPr="00000000">
      <w:rPr>
        <w:rFonts w:ascii="Calibri" w:cs="Calibri" w:eastAsia="Calibri" w:hAnsi="Calibri"/>
        <w:b w:val="0"/>
        <w:i w:val="0"/>
        <w:smallCaps w:val="0"/>
        <w:strike w:val="0"/>
        <w:color w:val="a6a6a6"/>
        <w:sz w:val="22"/>
        <w:szCs w:val="22"/>
        <w:u w:val="none"/>
        <w:shd w:fill="auto" w:val="clear"/>
        <w:vertAlign w:val="baseline"/>
        <w:rtl w:val="0"/>
      </w:rPr>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tabs>
        <w:tab w:val="center" w:pos="4513"/>
        <w:tab w:val="right" w:pos="9026"/>
      </w:tabs>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6">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RM6179</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v1.0</w:t>
      <w:tab/>
      <w:tab/>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8">
    <w:pPr>
      <w:tabs>
        <w:tab w:val="center" w:pos="4513"/>
        <w:tab w:val="right" w:pos="9026"/>
      </w:tabs>
      <w:spacing w:after="0" w:lineRule="auto"/>
      <w:rPr/>
    </w:pPr>
    <w:r w:rsidDel="00000000" w:rsidR="00000000" w:rsidRPr="00000000">
      <w:rPr>
        <w:rFonts w:ascii="Arial" w:cs="Arial" w:eastAsia="Arial" w:hAnsi="Arial"/>
        <w:sz w:val="20"/>
        <w:szCs w:val="20"/>
        <w:rtl w:val="0"/>
      </w:rPr>
      <w:t xml:space="preserve">Model Version: v3.0</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Call-Off Schedule 3 (Continuous Improvement)</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Call-Off Ref:</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Crown Copyright</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2018</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Arial" w:cs="Arial" w:eastAsia="Arial" w:hAnsi="Arial"/>
        <w:b w:val="1"/>
        <w:i w:val="0"/>
        <w:smallCaps w:val="0"/>
        <w:strike w:val="0"/>
        <w:color w:val="000000"/>
        <w:sz w:val="24"/>
        <w:szCs w:val="24"/>
        <w:u w:val="none"/>
        <w:vertAlign w:val="baseline"/>
      </w:rPr>
    </w:lvl>
    <w:lvl w:ilvl="1">
      <w:start w:val="1"/>
      <w:numFmt w:val="decimal"/>
      <w:lvlText w:val="%1.%2"/>
      <w:lvlJc w:val="left"/>
      <w:pPr>
        <w:ind w:left="644" w:hanging="359.99999999999994"/>
      </w:pPr>
      <w:rPr>
        <w:rFonts w:ascii="Arial" w:cs="Arial" w:eastAsia="Arial" w:hAnsi="Arial"/>
        <w:b w:val="0"/>
        <w:i w:val="0"/>
        <w:smallCaps w:val="0"/>
        <w:strike w:val="0"/>
        <w:color w:val="000000"/>
        <w:sz w:val="24"/>
        <w:szCs w:val="24"/>
        <w:u w:val="none"/>
        <w:vertAlign w:val="baseline"/>
      </w:rPr>
    </w:lvl>
    <w:lvl w:ilvl="2">
      <w:start w:val="1"/>
      <w:numFmt w:val="decimal"/>
      <w:lvlText w:val="%1.%2.%3"/>
      <w:lvlJc w:val="left"/>
      <w:pPr>
        <w:ind w:left="2422" w:hanging="720"/>
      </w:pPr>
      <w:rPr>
        <w:rFonts w:ascii="Arial" w:cs="Arial" w:eastAsia="Arial" w:hAnsi="Arial"/>
        <w:b w:val="0"/>
        <w:i w:val="0"/>
        <w:smallCaps w:val="0"/>
        <w:strike w:val="0"/>
        <w:color w:val="000000"/>
        <w:sz w:val="24"/>
        <w:szCs w:val="24"/>
        <w:u w:val="none"/>
        <w:vertAlign w:val="baseline"/>
      </w:rPr>
    </w:lvl>
    <w:lvl w:ilvl="3">
      <w:start w:val="1"/>
      <w:numFmt w:val="lowerLetter"/>
      <w:lvlText w:val="(%4)"/>
      <w:lvlJc w:val="left"/>
      <w:pPr>
        <w:ind w:left="2563" w:hanging="720"/>
      </w:pPr>
      <w:rPr>
        <w:rFonts w:ascii="Calibri" w:cs="Calibri" w:eastAsia="Calibri" w:hAnsi="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u w:val="none"/>
        <w:vertAlign w:val="baseline"/>
      </w:rPr>
    </w:lvl>
    <w:lvl w:ilvl="5">
      <w:start w:val="1"/>
      <w:numFmt w:val="upperLetter"/>
      <w:lvlText w:val="(%6)"/>
      <w:lvlJc w:val="left"/>
      <w:pPr>
        <w:ind w:left="1440" w:hanging="1080"/>
      </w:pPr>
      <w:rPr>
        <w:b w:val="0"/>
        <w:i w:val="0"/>
        <w:smallCaps w:val="0"/>
        <w:strike w:val="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4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overflowPunct w:val="0"/>
      <w:autoSpaceDE w:val="0"/>
      <w:autoSpaceDN w:val="0"/>
      <w:adjustRightInd w:val="0"/>
      <w:spacing w:after="240" w:line="240" w:lineRule="auto"/>
      <w:jc w:val="both"/>
      <w:textAlignment w:val="baseline"/>
    </w:pPr>
    <w:rPr>
      <w:rFonts w:ascii="Calibri" w:cs="Arial" w:eastAsia="Times New Roman" w:hAnsi="Calibri"/>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pPr>
      <w:tabs>
        <w:tab w:val="center" w:pos="4513"/>
        <w:tab w:val="right" w:pos="9026"/>
      </w:tabs>
      <w:spacing w:after="0"/>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513"/>
        <w:tab w:val="right" w:pos="9026"/>
      </w:tabs>
      <w:spacing w:after="0"/>
    </w:pPr>
  </w:style>
  <w:style w:type="character" w:styleId="FooterChar" w:customStyle="1">
    <w:name w:val="Footer Char"/>
    <w:basedOn w:val="DefaultParagraphFont"/>
    <w:link w:val="Footer"/>
    <w:uiPriority w:val="99"/>
  </w:style>
  <w:style w:type="character" w:styleId="Emphasis">
    <w:name w:val="Emphasis"/>
    <w:basedOn w:val="DefaultParagraphFont"/>
    <w:rPr>
      <w:i w:val="1"/>
      <w:iCs w:val="1"/>
    </w:rPr>
  </w:style>
  <w:style w:type="paragraph" w:styleId="GPSL1CLAUSEHEADING" w:customStyle="1">
    <w:name w:val="GPS L1 CLAUSE HEADING"/>
    <w:basedOn w:val="Normal"/>
    <w:next w:val="Normal"/>
    <w:link w:val="GPSL1CLAUSEHEADINGChar"/>
    <w:qFormat w:val="1"/>
    <w:pPr>
      <w:numPr>
        <w:numId w:val="2"/>
      </w:numPr>
      <w:tabs>
        <w:tab w:val="left" w:pos="142"/>
      </w:tabs>
      <w:overflowPunct w:val="1"/>
      <w:autoSpaceDE w:val="1"/>
      <w:autoSpaceDN w:val="1"/>
      <w:spacing w:before="120"/>
      <w:ind w:left="426" w:hanging="426"/>
      <w:textAlignment w:val="auto"/>
      <w:outlineLvl w:val="1"/>
    </w:pPr>
    <w:rPr>
      <w:rFonts w:eastAsia="STZhongsong"/>
      <w:b w:val="1"/>
      <w:caps w:val="1"/>
      <w:lang w:eastAsia="zh-CN"/>
    </w:rPr>
  </w:style>
  <w:style w:type="paragraph" w:styleId="GPSL3numberedclause" w:customStyle="1">
    <w:name w:val="GPS L3 numbered clause"/>
    <w:basedOn w:val="Normal"/>
    <w:link w:val="GPSL3numberedclauseChar"/>
    <w:qFormat w:val="1"/>
    <w:pPr>
      <w:numPr>
        <w:ilvl w:val="2"/>
        <w:numId w:val="2"/>
      </w:numPr>
      <w:tabs>
        <w:tab w:val="left" w:pos="1985"/>
      </w:tabs>
      <w:overflowPunct w:val="1"/>
      <w:autoSpaceDE w:val="1"/>
      <w:autoSpaceDN w:val="1"/>
      <w:spacing w:after="120" w:before="120"/>
      <w:ind w:left="1656"/>
      <w:textAlignment w:val="auto"/>
    </w:pPr>
    <w:rPr>
      <w:lang w:eastAsia="zh-CN"/>
    </w:rPr>
  </w:style>
  <w:style w:type="paragraph" w:styleId="GPSL4numberedclause" w:customStyle="1">
    <w:name w:val="GPS L4 numbered clause"/>
    <w:basedOn w:val="GPSL3numberedclause"/>
    <w:link w:val="GPSL4numberedclauseChar"/>
    <w:qFormat w:val="1"/>
    <w:pPr>
      <w:numPr>
        <w:ilvl w:val="3"/>
      </w:numPr>
      <w:tabs>
        <w:tab w:val="left" w:pos="2552"/>
      </w:tabs>
      <w:ind w:left="2552" w:hanging="567"/>
    </w:pPr>
  </w:style>
  <w:style w:type="character" w:styleId="GPSL4numberedclauseChar" w:customStyle="1">
    <w:name w:val="GPS L4 numbered clause Char"/>
    <w:link w:val="GPSL4numberedclause"/>
    <w:locked w:val="1"/>
    <w:rPr>
      <w:rFonts w:ascii="Calibri" w:cs="Arial" w:eastAsia="Times New Roman" w:hAnsi="Calibri"/>
      <w:lang w:eastAsia="zh-CN"/>
    </w:rPr>
  </w:style>
  <w:style w:type="paragraph" w:styleId="GPSL5numberedclause" w:customStyle="1">
    <w:name w:val="GPS L5 numbered clause"/>
    <w:basedOn w:val="GPSL4numberedclause"/>
    <w:link w:val="GPSL5numberedclauseChar"/>
    <w:qFormat w:val="1"/>
    <w:pPr>
      <w:numPr>
        <w:ilvl w:val="4"/>
      </w:numPr>
      <w:tabs>
        <w:tab w:val="left" w:pos="3119"/>
      </w:tabs>
      <w:ind w:left="3119" w:hanging="567"/>
    </w:pPr>
  </w:style>
  <w:style w:type="paragraph" w:styleId="GPSL2NumberedBoldHeading" w:customStyle="1">
    <w:name w:val="GPS L2 Numbered Bold Heading"/>
    <w:basedOn w:val="Normal"/>
    <w:link w:val="GPSL2NumberedBoldHeadingChar"/>
    <w:qFormat w:val="1"/>
    <w:pPr>
      <w:numPr>
        <w:ilvl w:val="1"/>
        <w:numId w:val="2"/>
      </w:numPr>
      <w:tabs>
        <w:tab w:val="left" w:pos="1134"/>
      </w:tabs>
      <w:overflowPunct w:val="1"/>
      <w:autoSpaceDE w:val="1"/>
      <w:autoSpaceDN w:val="1"/>
      <w:spacing w:after="120" w:before="120"/>
      <w:ind w:hanging="218"/>
      <w:textAlignment w:val="auto"/>
    </w:pPr>
    <w:rPr>
      <w:b w:val="1"/>
      <w:lang w:eastAsia="zh-CN"/>
    </w:rPr>
  </w:style>
  <w:style w:type="paragraph" w:styleId="GPSL6numbered" w:customStyle="1">
    <w:name w:val="GPS L6 numbered"/>
    <w:basedOn w:val="GPSL5numberedclause"/>
    <w:qFormat w:val="1"/>
    <w:pPr>
      <w:numPr>
        <w:ilvl w:val="5"/>
      </w:numPr>
      <w:tabs>
        <w:tab w:val="num" w:pos="360"/>
        <w:tab w:val="left" w:pos="3686"/>
      </w:tabs>
      <w:ind w:left="3686" w:hanging="567"/>
    </w:pPr>
  </w:style>
  <w:style w:type="character" w:styleId="GPSL3numberedclauseChar" w:customStyle="1">
    <w:name w:val="GPS L3 numbered clause Char"/>
    <w:link w:val="GPSL3numberedclause"/>
    <w:locked w:val="1"/>
    <w:rPr>
      <w:rFonts w:ascii="Calibri" w:cs="Arial" w:eastAsia="Times New Roman" w:hAnsi="Calibri"/>
      <w:lang w:eastAsia="zh-CN"/>
    </w:rPr>
  </w:style>
  <w:style w:type="character" w:styleId="GPSL5numberedclauseChar" w:customStyle="1">
    <w:name w:val="GPS L5 numbered clause Char"/>
    <w:link w:val="GPSL5numberedclause"/>
    <w:locked w:val="1"/>
    <w:rPr>
      <w:rFonts w:ascii="Calibri" w:cs="Arial" w:eastAsia="Times New Roman" w:hAnsi="Calibri"/>
      <w:lang w:eastAsia="zh-CN"/>
    </w:rPr>
  </w:style>
  <w:style w:type="character" w:styleId="GPSL2NumberedBoldHeadingChar" w:customStyle="1">
    <w:name w:val="GPS L2 Numbered Bold Heading Char"/>
    <w:link w:val="GPSL2NumberedBoldHeading"/>
    <w:locked w:val="1"/>
    <w:rPr>
      <w:rFonts w:ascii="Calibri" w:cs="Arial" w:eastAsia="Times New Roman" w:hAnsi="Calibri"/>
      <w:b w:val="1"/>
      <w:lang w:eastAsia="zh-CN"/>
    </w:rPr>
  </w:style>
  <w:style w:type="paragraph" w:styleId="GPsDefinition" w:customStyle="1">
    <w:name w:val="GPs Definition"/>
    <w:basedOn w:val="Normal"/>
    <w:qFormat w:val="1"/>
    <w:pPr>
      <w:numPr>
        <w:numId w:val="1"/>
      </w:numPr>
      <w:tabs>
        <w:tab w:val="left" w:pos="175"/>
      </w:tabs>
      <w:spacing w:after="120"/>
    </w:pPr>
  </w:style>
  <w:style w:type="paragraph" w:styleId="GPSDefinitionL2" w:customStyle="1">
    <w:name w:val="GPS Definition L2"/>
    <w:basedOn w:val="GPsDefinition"/>
    <w:qFormat w:val="1"/>
    <w:pPr>
      <w:numPr>
        <w:ilvl w:val="1"/>
      </w:numPr>
      <w:ind w:hanging="544"/>
    </w:pPr>
  </w:style>
  <w:style w:type="paragraph" w:styleId="GPSDefinitionL3" w:customStyle="1">
    <w:name w:val="GPS Definition L3"/>
    <w:basedOn w:val="GPSDefinitionL2"/>
    <w:qFormat w:val="1"/>
    <w:pPr>
      <w:numPr>
        <w:ilvl w:val="2"/>
      </w:numPr>
    </w:pPr>
  </w:style>
  <w:style w:type="paragraph" w:styleId="GPSDefinitionL4" w:customStyle="1">
    <w:name w:val="GPS Definition L4"/>
    <w:basedOn w:val="GPSDefinitionL3"/>
    <w:qFormat w:val="1"/>
    <w:pPr>
      <w:numPr>
        <w:ilvl w:val="3"/>
      </w:numPr>
    </w:pPr>
  </w:style>
  <w:style w:type="paragraph" w:styleId="GPSDefinitionTerm" w:customStyle="1">
    <w:name w:val="GPS Definition Term"/>
    <w:basedOn w:val="Normal"/>
    <w:qFormat w:val="1"/>
    <w:pPr>
      <w:spacing w:after="120"/>
      <w:ind w:left="-108"/>
      <w:jc w:val="left"/>
    </w:pPr>
    <w:rPr>
      <w:b w:val="1"/>
    </w:rPr>
  </w:style>
  <w:style w:type="paragraph" w:styleId="GPSL1SCHEDULEHeading" w:customStyle="1">
    <w:name w:val="GPS L1 SCHEDULE Heading"/>
    <w:basedOn w:val="GPSL1CLAUSEHEADING"/>
    <w:link w:val="GPSL1SCHEDULEHeadingChar"/>
    <w:autoRedefine w:val="1"/>
    <w:qFormat w:val="1"/>
    <w:rsid w:val="00D7661C"/>
    <w:pPr>
      <w:keepNext w:val="1"/>
      <w:ind w:left="360" w:hanging="360"/>
      <w:outlineLvl w:val="9"/>
    </w:pPr>
    <w:rPr>
      <w:rFonts w:ascii="Arial Bold" w:hAnsi="Arial Bold"/>
      <w:b w:val="0"/>
      <w:caps w:val="0"/>
      <w:sz w:val="24"/>
    </w:rPr>
  </w:style>
  <w:style w:type="paragraph" w:styleId="GPSmacrorestart" w:customStyle="1">
    <w:name w:val="GPS macro restart"/>
    <w:basedOn w:val="Normal"/>
    <w:qFormat w:val="1"/>
    <w:pPr>
      <w:spacing w:after="0"/>
    </w:pPr>
    <w:rPr>
      <w:color w:val="ffffff"/>
      <w:sz w:val="16"/>
      <w:szCs w:val="16"/>
    </w:rPr>
  </w:style>
  <w:style w:type="paragraph" w:styleId="GPSSchTitleandNumber" w:customStyle="1">
    <w:name w:val="GPS Sch Title and Number"/>
    <w:basedOn w:val="Normal"/>
    <w:link w:val="GPSSchTitleandNumberChar"/>
    <w:qFormat w:val="1"/>
    <w:pPr>
      <w:keepNext w:val="1"/>
      <w:overflowPunct w:val="1"/>
      <w:autoSpaceDE w:val="1"/>
      <w:autoSpaceDN w:val="1"/>
      <w:ind w:firstLine="426"/>
      <w:jc w:val="center"/>
      <w:textAlignment w:val="auto"/>
      <w:outlineLvl w:val="0"/>
    </w:pPr>
    <w:rPr>
      <w:rFonts w:ascii="Arial Bold" w:cs="Times New Roman" w:eastAsia="STZhongsong" w:hAnsi="Arial Bold"/>
      <w:b w:val="1"/>
      <w:caps w:val="1"/>
      <w:lang w:eastAsia="zh-CN"/>
    </w:rPr>
  </w:style>
  <w:style w:type="paragraph" w:styleId="GPSL2Numbered" w:customStyle="1">
    <w:name w:val="GPS L2 Numbered"/>
    <w:basedOn w:val="GPSL2NumberedBoldHeading"/>
    <w:link w:val="GPSL2NumberedChar"/>
    <w:qFormat w:val="1"/>
    <w:pPr>
      <w:tabs>
        <w:tab w:val="clear" w:pos="1134"/>
      </w:tabs>
      <w:ind w:left="936" w:hanging="576"/>
    </w:pPr>
    <w:rPr>
      <w:b w:val="0"/>
    </w:rPr>
  </w:style>
  <w:style w:type="character" w:styleId="GPSL2NumberedChar" w:customStyle="1">
    <w:name w:val="GPS L2 Numbered Char"/>
    <w:link w:val="GPSL2Numbered"/>
    <w:locked w:val="1"/>
    <w:rPr>
      <w:rFonts w:ascii="Calibri" w:cs="Arial" w:eastAsia="Times New Roman" w:hAnsi="Calibri"/>
      <w:lang w:eastAsia="zh-CN"/>
    </w:rPr>
  </w:style>
  <w:style w:type="character" w:styleId="GPSL1SCHEDULEHeadingChar" w:customStyle="1">
    <w:name w:val="GPS L1 SCHEDULE Heading Char"/>
    <w:link w:val="GPSL1SCHEDULEHeading"/>
    <w:locked w:val="1"/>
    <w:rsid w:val="00D7661C"/>
    <w:rPr>
      <w:rFonts w:ascii="Arial Bold" w:cs="Arial" w:eastAsia="STZhongsong" w:hAnsi="Arial Bold"/>
      <w:sz w:val="24"/>
      <w:lang w:eastAsia="zh-CN"/>
    </w:rPr>
  </w:style>
  <w:style w:type="character" w:styleId="GPSSchTitleandNumberChar" w:customStyle="1">
    <w:name w:val="GPS Sch Title and Number Char"/>
    <w:link w:val="GPSSchTitleandNumber"/>
    <w:locked w:val="1"/>
    <w:rPr>
      <w:rFonts w:ascii="Arial Bold" w:cs="Times New Roman" w:eastAsia="STZhongsong" w:hAnsi="Arial Bold"/>
      <w:b w:val="1"/>
      <w:caps w:val="1"/>
      <w:lang w:eastAsia="zh-CN"/>
    </w:rPr>
  </w:style>
  <w:style w:type="paragraph" w:styleId="GPSL2numberedclause" w:customStyle="1">
    <w:name w:val="GPS L2 numbered clause"/>
    <w:basedOn w:val="Normal"/>
    <w:link w:val="GPSL2numberedclauseChar1"/>
    <w:qFormat w:val="1"/>
    <w:pPr>
      <w:tabs>
        <w:tab w:val="left" w:pos="1134"/>
      </w:tabs>
      <w:overflowPunct w:val="1"/>
      <w:autoSpaceDE w:val="1"/>
      <w:autoSpaceDN w:val="1"/>
      <w:spacing w:after="120" w:before="120"/>
      <w:ind w:left="1134" w:hanging="567"/>
      <w:textAlignment w:val="auto"/>
    </w:pPr>
    <w:rPr>
      <w:lang w:eastAsia="zh-CN"/>
    </w:rPr>
  </w:style>
  <w:style w:type="character" w:styleId="GPSL2numberedclauseChar1" w:customStyle="1">
    <w:name w:val="GPS L2 numbered clause Char1"/>
    <w:link w:val="GPSL2numberedclause"/>
    <w:rPr>
      <w:rFonts w:ascii="Calibri" w:cs="Arial" w:eastAsia="Times New Roman" w:hAnsi="Calibri"/>
      <w:lang w:eastAsia="zh-CN"/>
    </w:rPr>
  </w:style>
  <w:style w:type="character" w:styleId="GPSL1CLAUSEHEADINGChar" w:customStyle="1">
    <w:name w:val="GPS L1 CLAUSE HEADING Char"/>
    <w:link w:val="GPSL1CLAUSEHEADING"/>
    <w:rPr>
      <w:rFonts w:ascii="Calibri" w:cs="Arial" w:eastAsia="STZhongsong" w:hAnsi="Calibri"/>
      <w:b w:val="1"/>
      <w:caps w:val="1"/>
      <w:lang w:eastAsia="zh-CN"/>
    </w:rPr>
  </w:style>
  <w:style w:type="character" w:styleId="CommentReference">
    <w:name w:val="annotation reference"/>
    <w:basedOn w:val="DefaultParagraphFont"/>
    <w:uiPriority w:val="99"/>
    <w:semiHidden w:val="1"/>
    <w:unhideWhenUsed w:val="1"/>
    <w:rPr>
      <w:sz w:val="16"/>
      <w:szCs w:val="16"/>
    </w:r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rFonts w:ascii="Calibri" w:cs="Arial" w:eastAsia="Times New Roman" w:hAnsi="Calibri"/>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rFonts w:ascii="Calibri" w:cs="Arial" w:eastAsia="Times New Roman" w:hAnsi="Calibri"/>
      <w:b w:val="1"/>
      <w:bCs w:val="1"/>
      <w:sz w:val="20"/>
      <w:szCs w:val="20"/>
    </w:rPr>
  </w:style>
  <w:style w:type="paragraph" w:styleId="BalloonText">
    <w:name w:val="Balloon Text"/>
    <w:basedOn w:val="Normal"/>
    <w:link w:val="BalloonTextChar"/>
    <w:uiPriority w:val="99"/>
    <w:semiHidden w:val="1"/>
    <w:unhideWhenUsed w:val="1"/>
    <w:pPr>
      <w:spacing w:after="0"/>
    </w:pPr>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eastAsia="Times New Roman" w:hAnsi="Tahoma"/>
      <w:sz w:val="16"/>
      <w:szCs w:val="16"/>
    </w:rPr>
  </w:style>
  <w:style w:type="paragraph" w:styleId="Revision">
    <w:name w:val="Revision"/>
    <w:hidden w:val="1"/>
    <w:uiPriority w:val="99"/>
    <w:semiHidden w:val="1"/>
    <w:pPr>
      <w:spacing w:after="0" w:line="240" w:lineRule="auto"/>
    </w:pPr>
    <w:rPr>
      <w:rFonts w:ascii="Calibri" w:cs="Arial" w:eastAsia="Times New Roman" w:hAnsi="Calibri"/>
    </w:rPr>
  </w:style>
  <w:style w:type="table" w:styleId="TableGrid">
    <w:name w:val="Table Grid"/>
    <w:basedOn w:val="TableNormal"/>
    <w:uiPriority w:val="59"/>
    <w:pPr>
      <w:spacing w:after="0" w:line="240" w:lineRule="auto"/>
    </w:pPr>
    <w:rPr>
      <w:rFonts w:ascii="Calibri" w:cs="Times New Roman" w:eastAsia="Calibri" w:hAnsi="Calibri"/>
      <w:sz w:val="20"/>
      <w:szCs w:val="20"/>
      <w:lang w:eastAsia="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SM6SNIXlhVafThIkTaHgYDb93g==">AMUW2mVkWky68H6MnF4MXhk/HRcstLNBRSTMpSBPjIruaR3xx4fFFAtf2X5yHDl7kgr1qkocH+ULfopnCzNKXBjjVeUgbMsJqCRPhNuKvdNRgPJnmE74j05a0GM+wBcA55W52vKe/MW3KR5xGSHX7ovo1cXP13gC7TPydy41XFGrk3MT6JLkWAvQHSCwuzgmEvkXNljtQx2ZqSHV8+c+3AdLNsWbLpcpuA==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2018-06-18T12:35:00Z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ies>
</file>