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7DA1E8F8" w14:textId="513BE913" w:rsidR="00016004" w:rsidRPr="00EB5E38" w:rsidRDefault="00016004" w:rsidP="00016004">
      <w:pPr>
        <w:jc w:val="center"/>
        <w:rPr>
          <w:rFonts w:cs="Arial"/>
          <w:b/>
          <w:sz w:val="28"/>
          <w:szCs w:val="28"/>
        </w:rPr>
      </w:pPr>
      <w:r w:rsidRPr="00EB5E38">
        <w:rPr>
          <w:rFonts w:cs="Arial"/>
          <w:b/>
          <w:sz w:val="28"/>
          <w:szCs w:val="28"/>
        </w:rPr>
        <w:t xml:space="preserve">Provision of </w:t>
      </w:r>
      <w:r w:rsidR="00EB5E38" w:rsidRPr="00EB5E38">
        <w:rPr>
          <w:rFonts w:cs="Arial"/>
          <w:b/>
          <w:sz w:val="28"/>
          <w:szCs w:val="28"/>
        </w:rPr>
        <w:t xml:space="preserve">Consultancy for </w:t>
      </w:r>
      <w:r w:rsidR="003F64FA">
        <w:rPr>
          <w:rFonts w:cs="Arial"/>
          <w:b/>
          <w:sz w:val="28"/>
          <w:szCs w:val="28"/>
        </w:rPr>
        <w:t>DIO</w:t>
      </w:r>
      <w:r w:rsidR="00412859">
        <w:rPr>
          <w:rFonts w:cs="Arial"/>
          <w:b/>
          <w:sz w:val="28"/>
          <w:szCs w:val="28"/>
        </w:rPr>
        <w:t xml:space="preserve"> – Project Athens &amp; </w:t>
      </w:r>
      <w:r w:rsidR="003F64FA">
        <w:rPr>
          <w:rFonts w:cs="Arial"/>
          <w:b/>
          <w:sz w:val="28"/>
          <w:szCs w:val="28"/>
        </w:rPr>
        <w:t xml:space="preserve">Project </w:t>
      </w:r>
      <w:r w:rsidR="006636B8">
        <w:rPr>
          <w:rFonts w:cs="Arial"/>
          <w:b/>
          <w:sz w:val="28"/>
          <w:szCs w:val="28"/>
        </w:rPr>
        <w:t>Mars</w:t>
      </w:r>
    </w:p>
    <w:p w14:paraId="47736376" w14:textId="77777777" w:rsidR="00016004" w:rsidRPr="00EB5E38" w:rsidRDefault="00016004" w:rsidP="00016004">
      <w:pPr>
        <w:jc w:val="center"/>
        <w:rPr>
          <w:rFonts w:cs="Arial"/>
          <w:b/>
          <w:sz w:val="28"/>
          <w:szCs w:val="28"/>
        </w:rPr>
      </w:pPr>
      <w:r w:rsidRPr="00EB5E38">
        <w:rPr>
          <w:rFonts w:cs="Arial"/>
          <w:b/>
          <w:sz w:val="28"/>
          <w:szCs w:val="28"/>
        </w:rPr>
        <w:t>TO</w:t>
      </w:r>
    </w:p>
    <w:p w14:paraId="30BB78F7" w14:textId="265527E5" w:rsidR="00016004" w:rsidRPr="00EB5E38" w:rsidRDefault="00412859" w:rsidP="00016004">
      <w:pPr>
        <w:pStyle w:val="Header"/>
        <w:jc w:val="center"/>
        <w:rPr>
          <w:rFonts w:cs="Arial"/>
          <w:b/>
          <w:sz w:val="28"/>
          <w:szCs w:val="28"/>
        </w:rPr>
      </w:pPr>
      <w:r>
        <w:rPr>
          <w:rFonts w:cs="Arial"/>
          <w:b/>
          <w:sz w:val="28"/>
          <w:szCs w:val="28"/>
        </w:rPr>
        <w:t>Ministry of Defence (MoD)</w:t>
      </w:r>
    </w:p>
    <w:p w14:paraId="231C6011" w14:textId="77777777" w:rsidR="00016004" w:rsidRPr="0059248B" w:rsidRDefault="00016004" w:rsidP="00016004">
      <w:pPr>
        <w:jc w:val="center"/>
        <w:rPr>
          <w:rFonts w:cs="Arial"/>
          <w:b/>
          <w:sz w:val="28"/>
          <w:szCs w:val="28"/>
        </w:rPr>
      </w:pPr>
    </w:p>
    <w:p w14:paraId="129E38D5" w14:textId="77777777" w:rsidR="00016004" w:rsidRPr="0059248B" w:rsidRDefault="00016004" w:rsidP="00016004">
      <w:pPr>
        <w:pStyle w:val="Header"/>
        <w:jc w:val="center"/>
        <w:rPr>
          <w:rFonts w:cs="Arial"/>
          <w:b/>
          <w:sz w:val="28"/>
          <w:szCs w:val="28"/>
        </w:rPr>
      </w:pPr>
      <w:r>
        <w:rPr>
          <w:rFonts w:cs="Arial"/>
          <w:b/>
          <w:sz w:val="28"/>
          <w:szCs w:val="28"/>
        </w:rPr>
        <w:t>From</w:t>
      </w:r>
    </w:p>
    <w:p w14:paraId="5AF6EFE3" w14:textId="6A2F244F" w:rsidR="00016004" w:rsidRPr="00412859" w:rsidRDefault="00412859" w:rsidP="00016004">
      <w:pPr>
        <w:pStyle w:val="Header"/>
        <w:jc w:val="center"/>
        <w:rPr>
          <w:rFonts w:cs="Arial"/>
          <w:b/>
          <w:sz w:val="28"/>
          <w:szCs w:val="28"/>
        </w:rPr>
      </w:pPr>
      <w:r w:rsidRPr="00412859">
        <w:rPr>
          <w:rFonts w:cs="Arial"/>
          <w:b/>
          <w:sz w:val="28"/>
          <w:szCs w:val="28"/>
        </w:rPr>
        <w:t>PriceWaterhouseCooper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1A27D63A" w:rsidR="00016004" w:rsidRPr="0059248B" w:rsidRDefault="00EB5E38" w:rsidP="00016004">
      <w:pPr>
        <w:jc w:val="center"/>
        <w:rPr>
          <w:rFonts w:cs="Arial"/>
          <w:sz w:val="28"/>
          <w:szCs w:val="28"/>
        </w:rPr>
      </w:pPr>
      <w:r>
        <w:rPr>
          <w:rFonts w:cs="Arial"/>
          <w:b/>
          <w:sz w:val="28"/>
          <w:szCs w:val="28"/>
        </w:rPr>
        <w:t>Contract Reference: CCCC17</w:t>
      </w:r>
      <w:r w:rsidR="00412859">
        <w:rPr>
          <w:rFonts w:cs="Arial"/>
          <w:b/>
          <w:sz w:val="28"/>
          <w:szCs w:val="28"/>
        </w:rPr>
        <w:t>B27</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627FCD77" w:rsidR="00016004" w:rsidRDefault="00412859" w:rsidP="00412859">
      <w:pPr>
        <w:tabs>
          <w:tab w:val="left" w:pos="2940"/>
        </w:tabs>
        <w:rPr>
          <w:rFonts w:cs="Arial"/>
          <w:color w:val="0070C0"/>
          <w:sz w:val="20"/>
        </w:rPr>
      </w:pPr>
      <w:r>
        <w:rPr>
          <w:rFonts w:cs="Arial"/>
          <w:color w:val="0070C0"/>
          <w:sz w:val="20"/>
        </w:rPr>
        <w:tab/>
      </w:r>
    </w:p>
    <w:p w14:paraId="489EABEC" w14:textId="55B02142" w:rsidR="00016004" w:rsidRDefault="006636B8" w:rsidP="006636B8">
      <w:pPr>
        <w:tabs>
          <w:tab w:val="left" w:pos="3075"/>
        </w:tabs>
        <w:rPr>
          <w:rFonts w:cs="Arial"/>
          <w:color w:val="0070C0"/>
          <w:sz w:val="20"/>
        </w:rPr>
      </w:pPr>
      <w:r>
        <w:rPr>
          <w:rFonts w:cs="Arial"/>
          <w:color w:val="0070C0"/>
          <w:sz w:val="20"/>
        </w:rPr>
        <w:tab/>
      </w: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EB5E38" w:rsidRDefault="00016004" w:rsidP="00016004">
      <w:pPr>
        <w:pStyle w:val="TOC1"/>
        <w:tabs>
          <w:tab w:val="right" w:leader="dot" w:pos="9506"/>
        </w:tabs>
        <w:outlineLvl w:val="0"/>
        <w:rPr>
          <w:rFonts w:cs="Arial"/>
          <w:b/>
          <w:bCs/>
          <w:szCs w:val="22"/>
        </w:rPr>
      </w:pPr>
      <w:r w:rsidRPr="00EB5E38">
        <w:rPr>
          <w:rFonts w:cs="Arial"/>
          <w:b/>
          <w:bCs/>
          <w:szCs w:val="22"/>
        </w:rPr>
        <w:t>PART 1 APPENDIX 1 CONTRACT SERVICES</w:t>
      </w:r>
      <w:r w:rsidRPr="00EB5E38">
        <w:rPr>
          <w:rFonts w:cs="Arial"/>
          <w:b/>
          <w:bCs/>
          <w:szCs w:val="22"/>
        </w:rPr>
        <w:tab/>
        <w:t>6</w:t>
      </w:r>
    </w:p>
    <w:p w14:paraId="5B86D043" w14:textId="77777777" w:rsidR="00016004" w:rsidRPr="00EB5E38" w:rsidRDefault="00016004" w:rsidP="00016004">
      <w:pPr>
        <w:pStyle w:val="TOC1"/>
        <w:tabs>
          <w:tab w:val="right" w:leader="dot" w:pos="9506"/>
        </w:tabs>
        <w:outlineLvl w:val="0"/>
        <w:rPr>
          <w:rFonts w:cs="Arial"/>
          <w:b/>
          <w:bCs/>
          <w:szCs w:val="22"/>
        </w:rPr>
      </w:pPr>
      <w:r w:rsidRPr="00EB5E38">
        <w:rPr>
          <w:rFonts w:cs="Arial"/>
          <w:b/>
          <w:bCs/>
          <w:szCs w:val="22"/>
        </w:rPr>
        <w:t xml:space="preserve">pART 1 APPENDIX 2 TENDER RESPONSE &amp; CHARGES </w:t>
      </w:r>
      <w:r w:rsidRPr="00EB5E38">
        <w:rPr>
          <w:rFonts w:cs="Arial"/>
          <w:b/>
          <w:bCs/>
          <w:szCs w:val="22"/>
        </w:rPr>
        <w:tab/>
        <w:t>8</w:t>
      </w:r>
    </w:p>
    <w:p w14:paraId="5DF08F00" w14:textId="1421B5DC" w:rsidR="00016004" w:rsidRPr="00EB5E38"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EB5E38">
        <w:rPr>
          <w:rFonts w:cs="Arial"/>
          <w:b/>
          <w:bCs/>
          <w:szCs w:val="22"/>
        </w:rPr>
        <w:t>pART 1 APPENDIX 3 Variations/Supplements to call off Terms……....</w:t>
      </w:r>
      <w:r w:rsidR="00701CB8" w:rsidRPr="00EB5E38">
        <w:rPr>
          <w:rFonts w:cs="Arial"/>
          <w:b/>
          <w:bCs/>
          <w:szCs w:val="22"/>
        </w:rPr>
        <w:t>.</w:t>
      </w:r>
      <w:r w:rsidRPr="00EB5E38">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EB5E38">
        <w:rPr>
          <w:rFonts w:cs="Arial"/>
          <w:b/>
          <w:bCs/>
          <w:szCs w:val="22"/>
        </w:rPr>
        <w:t>pART 2 CALL OFF TERMS</w:t>
      </w:r>
      <w:r w:rsidRPr="00EB5E38">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6EA1654" w14:textId="77777777" w:rsidR="005B0718" w:rsidRDefault="005B0718" w:rsidP="00701CB8">
      <w:pPr>
        <w:tabs>
          <w:tab w:val="left" w:pos="4678"/>
        </w:tabs>
        <w:jc w:val="center"/>
        <w:rPr>
          <w:rFonts w:cs="Arial"/>
          <w:b/>
          <w:szCs w:val="22"/>
          <w:lang w:eastAsia="en-GB"/>
        </w:rPr>
      </w:pPr>
    </w:p>
    <w:p w14:paraId="0D6794B9" w14:textId="77777777" w:rsidR="005B0718" w:rsidRDefault="005B0718" w:rsidP="00701CB8">
      <w:pPr>
        <w:tabs>
          <w:tab w:val="left" w:pos="4678"/>
        </w:tabs>
        <w:jc w:val="center"/>
        <w:rPr>
          <w:rFonts w:cs="Arial"/>
          <w:b/>
          <w:szCs w:val="22"/>
          <w:lang w:eastAsia="en-GB"/>
        </w:rPr>
      </w:pPr>
    </w:p>
    <w:p w14:paraId="59C12897" w14:textId="77777777" w:rsidR="005B0718" w:rsidRDefault="005B0718" w:rsidP="00701CB8">
      <w:pPr>
        <w:tabs>
          <w:tab w:val="left" w:pos="4678"/>
        </w:tabs>
        <w:jc w:val="center"/>
        <w:rPr>
          <w:rFonts w:cs="Arial"/>
          <w:b/>
          <w:szCs w:val="22"/>
          <w:lang w:eastAsia="en-GB"/>
        </w:rPr>
      </w:pPr>
    </w:p>
    <w:p w14:paraId="623F0936" w14:textId="77777777" w:rsidR="005B0718" w:rsidRDefault="005B0718" w:rsidP="00701CB8">
      <w:pPr>
        <w:tabs>
          <w:tab w:val="left" w:pos="4678"/>
        </w:tabs>
        <w:jc w:val="center"/>
        <w:rPr>
          <w:rFonts w:cs="Arial"/>
          <w:b/>
          <w:szCs w:val="22"/>
          <w:lang w:eastAsia="en-GB"/>
        </w:rPr>
      </w:pPr>
    </w:p>
    <w:p w14:paraId="27514D16" w14:textId="77777777" w:rsidR="005B0718" w:rsidRDefault="005B0718" w:rsidP="00701CB8">
      <w:pPr>
        <w:tabs>
          <w:tab w:val="left" w:pos="4678"/>
        </w:tabs>
        <w:jc w:val="center"/>
        <w:rPr>
          <w:rFonts w:cs="Arial"/>
          <w:b/>
          <w:szCs w:val="22"/>
          <w:lang w:eastAsia="en-GB"/>
        </w:rPr>
      </w:pPr>
    </w:p>
    <w:p w14:paraId="7507111E" w14:textId="77777777" w:rsidR="005B0718" w:rsidRDefault="005B0718" w:rsidP="00701CB8">
      <w:pPr>
        <w:tabs>
          <w:tab w:val="left" w:pos="4678"/>
        </w:tabs>
        <w:jc w:val="center"/>
        <w:rPr>
          <w:rFonts w:cs="Arial"/>
          <w:b/>
          <w:szCs w:val="22"/>
          <w:lang w:eastAsia="en-GB"/>
        </w:rPr>
      </w:pPr>
    </w:p>
    <w:p w14:paraId="2B289AB8" w14:textId="77777777" w:rsidR="005B0718" w:rsidRDefault="005B0718" w:rsidP="00701CB8">
      <w:pPr>
        <w:tabs>
          <w:tab w:val="left" w:pos="4678"/>
        </w:tabs>
        <w:jc w:val="center"/>
        <w:rPr>
          <w:rFonts w:cs="Arial"/>
          <w:b/>
          <w:szCs w:val="22"/>
          <w:lang w:eastAsia="en-GB"/>
        </w:rPr>
      </w:pPr>
    </w:p>
    <w:p w14:paraId="4FC45132" w14:textId="77777777" w:rsidR="005B0718" w:rsidRDefault="005B0718" w:rsidP="00701CB8">
      <w:pPr>
        <w:tabs>
          <w:tab w:val="left" w:pos="4678"/>
        </w:tabs>
        <w:jc w:val="center"/>
        <w:rPr>
          <w:rFonts w:cs="Arial"/>
          <w:b/>
          <w:szCs w:val="22"/>
          <w:lang w:eastAsia="en-GB"/>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587DFC23" w14:textId="77777777" w:rsidR="006636B8" w:rsidRDefault="006636B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6323E511" w:rsidR="00701CB8" w:rsidRDefault="00412859" w:rsidP="005E64BF">
      <w:pPr>
        <w:spacing w:line="240" w:lineRule="auto"/>
        <w:rPr>
          <w:rFonts w:cs="Arial"/>
          <w:sz w:val="20"/>
        </w:rPr>
      </w:pPr>
      <w:r w:rsidRPr="00AE5A0F">
        <w:rPr>
          <w:rFonts w:cs="Arial"/>
          <w:b/>
          <w:szCs w:val="22"/>
        </w:rPr>
        <w:lastRenderedPageBreak/>
        <w:t xml:space="preserve">Appendix </w:t>
      </w:r>
      <w:r>
        <w:rPr>
          <w:rFonts w:cs="Arial"/>
          <w:b/>
          <w:szCs w:val="22"/>
        </w:rPr>
        <w:t>1: Contract Services</w:t>
      </w:r>
    </w:p>
    <w:p w14:paraId="21F1D06F" w14:textId="1720DF51" w:rsidR="00701CB8" w:rsidRDefault="00701CB8" w:rsidP="00701CB8">
      <w:pPr>
        <w:pStyle w:val="MarginText"/>
        <w:jc w:val="left"/>
        <w:rPr>
          <w:rFonts w:cs="Arial"/>
          <w:b/>
          <w:szCs w:val="22"/>
        </w:rPr>
      </w:pP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B0718" w:rsidRDefault="00701CB8" w:rsidP="00701CB8">
            <w:pPr>
              <w:widowControl w:val="0"/>
              <w:numPr>
                <w:ilvl w:val="1"/>
                <w:numId w:val="21"/>
              </w:numPr>
              <w:spacing w:line="240" w:lineRule="auto"/>
              <w:rPr>
                <w:rFonts w:cs="Arial"/>
                <w:b/>
                <w:sz w:val="20"/>
              </w:rPr>
            </w:pPr>
            <w:r w:rsidRPr="005B0718">
              <w:rPr>
                <w:rFonts w:cs="Arial"/>
                <w:b/>
                <w:sz w:val="20"/>
              </w:rPr>
              <w:t>Effective Date</w:t>
            </w:r>
          </w:p>
          <w:p w14:paraId="5EAF5ABF" w14:textId="66C244FE" w:rsidR="00701CB8" w:rsidRPr="005B0718" w:rsidRDefault="00701CB8" w:rsidP="00701CB8">
            <w:pPr>
              <w:widowControl w:val="0"/>
              <w:spacing w:line="240" w:lineRule="auto"/>
              <w:rPr>
                <w:rFonts w:cs="Arial"/>
                <w:sz w:val="20"/>
              </w:rPr>
            </w:pPr>
            <w:r w:rsidRPr="005B0718">
              <w:rPr>
                <w:rFonts w:cs="Arial"/>
                <w:sz w:val="20"/>
              </w:rPr>
              <w:t>1.1.1</w:t>
            </w:r>
            <w:r w:rsidRPr="005B0718">
              <w:rPr>
                <w:rFonts w:cs="Arial"/>
                <w:b/>
                <w:sz w:val="20"/>
              </w:rPr>
              <w:t xml:space="preserve">  </w:t>
            </w:r>
            <w:r w:rsidRPr="005B0718">
              <w:rPr>
                <w:rFonts w:cs="Arial"/>
                <w:sz w:val="20"/>
              </w:rPr>
              <w:t xml:space="preserve">This Contract shall commence on </w:t>
            </w:r>
            <w:r w:rsidR="00412859" w:rsidRPr="005B7D6A">
              <w:rPr>
                <w:rFonts w:cs="Arial"/>
                <w:sz w:val="20"/>
              </w:rPr>
              <w:t>Friday 27</w:t>
            </w:r>
            <w:r w:rsidR="00412859" w:rsidRPr="005B7D6A">
              <w:rPr>
                <w:rFonts w:cs="Arial"/>
                <w:sz w:val="20"/>
                <w:vertAlign w:val="superscript"/>
              </w:rPr>
              <w:t>th</w:t>
            </w:r>
            <w:r w:rsidR="00412859" w:rsidRPr="005B7D6A">
              <w:rPr>
                <w:rFonts w:cs="Arial"/>
                <w:sz w:val="20"/>
              </w:rPr>
              <w:t xml:space="preserve"> October 2017</w:t>
            </w:r>
            <w:r w:rsidRPr="005B7D6A">
              <w:rPr>
                <w:rFonts w:cs="Arial"/>
                <w:sz w:val="20"/>
              </w:rPr>
              <w:t>.</w:t>
            </w:r>
          </w:p>
          <w:p w14:paraId="08394096" w14:textId="07FCBF7B" w:rsidR="00701CB8" w:rsidRPr="005B0718" w:rsidRDefault="00701CB8" w:rsidP="00701CB8">
            <w:pPr>
              <w:widowControl w:val="0"/>
              <w:spacing w:line="240" w:lineRule="auto"/>
              <w:rPr>
                <w:rFonts w:cs="Arial"/>
                <w:sz w:val="20"/>
              </w:rPr>
            </w:pPr>
          </w:p>
        </w:tc>
      </w:tr>
      <w:tr w:rsidR="00701CB8" w:rsidRPr="005E64BF" w14:paraId="1FC34CEF" w14:textId="77777777" w:rsidTr="00701CB8">
        <w:tc>
          <w:tcPr>
            <w:tcW w:w="9209" w:type="dxa"/>
          </w:tcPr>
          <w:p w14:paraId="264B3241" w14:textId="77777777" w:rsidR="00701CB8" w:rsidRPr="005B0718" w:rsidRDefault="00701CB8" w:rsidP="00701CB8">
            <w:pPr>
              <w:widowControl w:val="0"/>
              <w:spacing w:line="240" w:lineRule="auto"/>
              <w:rPr>
                <w:rFonts w:cs="Arial"/>
                <w:b/>
                <w:sz w:val="20"/>
              </w:rPr>
            </w:pPr>
            <w:r w:rsidRPr="005B0718">
              <w:rPr>
                <w:rFonts w:cs="Arial"/>
                <w:b/>
                <w:sz w:val="20"/>
              </w:rPr>
              <w:t>1.2 Expiry Date</w:t>
            </w:r>
          </w:p>
          <w:p w14:paraId="2DD3AD86" w14:textId="35033E68" w:rsidR="00701CB8" w:rsidRPr="00A00FC2" w:rsidRDefault="00701CB8" w:rsidP="00701CB8">
            <w:pPr>
              <w:widowControl w:val="0"/>
              <w:spacing w:line="240" w:lineRule="auto"/>
              <w:rPr>
                <w:rFonts w:cs="Arial"/>
                <w:sz w:val="20"/>
              </w:rPr>
            </w:pPr>
            <w:r w:rsidRPr="005B0718">
              <w:rPr>
                <w:rFonts w:cs="Arial"/>
                <w:sz w:val="20"/>
              </w:rPr>
              <w:t xml:space="preserve">1.2.1 This Contract shall expire on </w:t>
            </w:r>
            <w:r w:rsidR="00412859" w:rsidRPr="005B7D6A">
              <w:rPr>
                <w:rFonts w:cs="Arial"/>
                <w:sz w:val="20"/>
              </w:rPr>
              <w:t>Friday 8</w:t>
            </w:r>
            <w:r w:rsidR="00412859" w:rsidRPr="005B7D6A">
              <w:rPr>
                <w:rFonts w:cs="Arial"/>
                <w:sz w:val="20"/>
                <w:vertAlign w:val="superscript"/>
              </w:rPr>
              <w:t>th</w:t>
            </w:r>
            <w:r w:rsidR="00412859" w:rsidRPr="005B7D6A">
              <w:rPr>
                <w:rFonts w:cs="Arial"/>
                <w:sz w:val="20"/>
              </w:rPr>
              <w:t xml:space="preserve"> December 2017</w:t>
            </w:r>
            <w:r w:rsidR="00412859">
              <w:rPr>
                <w:rFonts w:cs="Arial"/>
                <w:sz w:val="20"/>
              </w:rPr>
              <w:t xml:space="preserve"> </w:t>
            </w:r>
            <w:r w:rsidR="00A00FC2" w:rsidRPr="00A00FC2">
              <w:rPr>
                <w:sz w:val="20"/>
              </w:rPr>
              <w:t>with</w:t>
            </w:r>
            <w:r w:rsidR="00412859">
              <w:rPr>
                <w:sz w:val="20"/>
              </w:rPr>
              <w:t xml:space="preserve"> the option to extend for up to </w:t>
            </w:r>
            <w:r w:rsidR="006636B8">
              <w:rPr>
                <w:sz w:val="20"/>
              </w:rPr>
              <w:t xml:space="preserve">four </w:t>
            </w:r>
            <w:r w:rsidR="00412859">
              <w:rPr>
                <w:sz w:val="20"/>
              </w:rPr>
              <w:t>(</w:t>
            </w:r>
            <w:r w:rsidR="006636B8">
              <w:rPr>
                <w:sz w:val="20"/>
              </w:rPr>
              <w:t>4</w:t>
            </w:r>
            <w:r w:rsidR="00412859">
              <w:rPr>
                <w:sz w:val="20"/>
              </w:rPr>
              <w:t>) weeks</w:t>
            </w:r>
            <w:r w:rsidR="00A00FC2" w:rsidRPr="00A00FC2">
              <w:rPr>
                <w:sz w:val="20"/>
              </w:rPr>
              <w:t>.</w:t>
            </w:r>
          </w:p>
          <w:p w14:paraId="2B4C0E0A" w14:textId="248689A0" w:rsidR="00701CB8" w:rsidRPr="005B0718" w:rsidRDefault="00701CB8" w:rsidP="00412859">
            <w:pPr>
              <w:widowControl w:val="0"/>
              <w:spacing w:line="240" w:lineRule="auto"/>
              <w:rPr>
                <w:rFonts w:cs="Arial"/>
                <w:sz w:val="20"/>
              </w:rPr>
            </w:pPr>
            <w:r w:rsidRPr="005B0718">
              <w:rPr>
                <w:rFonts w:cs="Arial"/>
                <w:sz w:val="20"/>
              </w:rPr>
              <w:t>Completion in accordance with the terms of the Contract, of the Cont</w:t>
            </w:r>
            <w:r w:rsidR="00412859">
              <w:rPr>
                <w:rFonts w:cs="Arial"/>
                <w:sz w:val="20"/>
              </w:rPr>
              <w:t xml:space="preserve">ract Services specified in this </w:t>
            </w:r>
            <w:r w:rsidRPr="005B0718">
              <w:rPr>
                <w:rFonts w:cs="Arial"/>
                <w:sz w:val="20"/>
              </w:rPr>
              <w:t xml:space="preserve">Appendix 1 unless terminated earlier pursuant to this Contract. </w:t>
            </w:r>
          </w:p>
        </w:tc>
      </w:tr>
    </w:tbl>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22CC502E" w14:textId="77777777" w:rsidR="00212002" w:rsidRDefault="00212002" w:rsidP="00EB5E38">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0D273060" w14:textId="6045BA67" w:rsidR="00592083" w:rsidRDefault="00592083" w:rsidP="00EB5E38">
            <w:pPr>
              <w:widowControl w:val="0"/>
              <w:spacing w:line="240" w:lineRule="auto"/>
              <w:rPr>
                <w:rFonts w:cs="Arial"/>
                <w:b/>
                <w:sz w:val="20"/>
              </w:rPr>
            </w:pPr>
            <w:r>
              <w:rPr>
                <w:rFonts w:cs="Arial"/>
                <w:b/>
                <w:sz w:val="20"/>
              </w:rPr>
              <w:t>Extract from the Statement of Requirements, numbering refers to the original document included below:</w:t>
            </w:r>
          </w:p>
          <w:p w14:paraId="4E4842C6" w14:textId="77777777" w:rsidR="00592083" w:rsidRPr="00592083" w:rsidRDefault="00592083" w:rsidP="00F871DB">
            <w:pPr>
              <w:pStyle w:val="Heading1"/>
            </w:pPr>
            <w:bookmarkStart w:id="0" w:name="_Toc444518870"/>
            <w:r w:rsidRPr="00592083">
              <w:t>scope of requirement</w:t>
            </w:r>
            <w:bookmarkEnd w:id="0"/>
            <w:r w:rsidRPr="00592083">
              <w:t xml:space="preserve"> </w:t>
            </w:r>
          </w:p>
          <w:p w14:paraId="45368C0F" w14:textId="77777777" w:rsidR="00592083" w:rsidRPr="00592083" w:rsidRDefault="00592083" w:rsidP="00592083">
            <w:pPr>
              <w:numPr>
                <w:ilvl w:val="1"/>
                <w:numId w:val="30"/>
              </w:numPr>
              <w:tabs>
                <w:tab w:val="num" w:pos="862"/>
              </w:tabs>
              <w:overflowPunct/>
              <w:autoSpaceDE/>
              <w:autoSpaceDN/>
              <w:adjustRightInd/>
              <w:spacing w:after="120" w:line="240" w:lineRule="auto"/>
              <w:ind w:left="709" w:hanging="709"/>
              <w:textAlignment w:val="auto"/>
              <w:outlineLvl w:val="1"/>
              <w:rPr>
                <w:rFonts w:cs="Arial"/>
                <w:sz w:val="20"/>
              </w:rPr>
            </w:pPr>
            <w:r w:rsidRPr="00592083">
              <w:rPr>
                <w:rFonts w:cs="Arial"/>
                <w:sz w:val="20"/>
              </w:rPr>
              <w:t xml:space="preserve">The scope of this requirement will include: </w:t>
            </w:r>
          </w:p>
          <w:p w14:paraId="58A7E507" w14:textId="77777777"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 xml:space="preserve"> A diagnostic of direct and indirect financial exposure (financial diagnostic). Assessments will focus on DIO’s contractual obligations direct or by the way of JV’s, PFI’s and PPP’s. A summary to be provided to set out associated risks and benefits of respective options.</w:t>
            </w:r>
          </w:p>
          <w:p w14:paraId="3C0A259E" w14:textId="77777777"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 xml:space="preserve">Review and further development of DIO’s contingency planning and interdependent contracts. </w:t>
            </w:r>
          </w:p>
          <w:p w14:paraId="6C5203B3" w14:textId="77777777"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Development of implementation plans and processes to enable enactment of contingency plans dependent upon the level of financial distress being faced by Carillion and Interserve.  This would involve a deep dive in to the contracts terms and conditions; implications for HMG engagement, communication and or negotiating positions.  These activities will be linked to the contract deliverables</w:t>
            </w:r>
          </w:p>
          <w:p w14:paraId="2164DA0C" w14:textId="77777777"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Assessment of Pension scheme implications and potential contingency planning. Including initial suggestions for exploring provisions for supporting pensions and pension rights from a financial perspective, including financial modelling.</w:t>
            </w:r>
          </w:p>
          <w:p w14:paraId="350DC71E" w14:textId="77777777" w:rsidR="00592083" w:rsidRPr="00592083" w:rsidRDefault="00592083" w:rsidP="00592083">
            <w:pPr>
              <w:numPr>
                <w:ilvl w:val="2"/>
                <w:numId w:val="30"/>
              </w:numPr>
              <w:overflowPunct/>
              <w:autoSpaceDE/>
              <w:autoSpaceDN/>
              <w:adjustRightInd/>
              <w:spacing w:after="0" w:line="240" w:lineRule="auto"/>
              <w:textAlignment w:val="auto"/>
              <w:outlineLvl w:val="2"/>
              <w:rPr>
                <w:rFonts w:cs="Arial"/>
                <w:sz w:val="20"/>
              </w:rPr>
            </w:pPr>
            <w:r w:rsidRPr="00592083">
              <w:rPr>
                <w:rFonts w:cs="Arial"/>
                <w:sz w:val="20"/>
              </w:rPr>
              <w:t>Possible ad-hoc work to include responses to requests for information and questions either from CO or HMG and relevant departments and Carillion and Interserve – timescales within 2 working days.</w:t>
            </w:r>
          </w:p>
          <w:p w14:paraId="6C9C8BAF" w14:textId="77777777" w:rsidR="00592083" w:rsidRPr="00592083" w:rsidRDefault="00592083" w:rsidP="00592083">
            <w:pPr>
              <w:numPr>
                <w:ilvl w:val="1"/>
                <w:numId w:val="30"/>
              </w:numPr>
              <w:tabs>
                <w:tab w:val="num" w:pos="862"/>
              </w:tabs>
              <w:overflowPunct/>
              <w:autoSpaceDE/>
              <w:autoSpaceDN/>
              <w:adjustRightInd/>
              <w:spacing w:after="120" w:line="240" w:lineRule="auto"/>
              <w:ind w:left="709" w:hanging="709"/>
              <w:textAlignment w:val="auto"/>
              <w:outlineLvl w:val="1"/>
              <w:rPr>
                <w:rFonts w:cs="Arial"/>
                <w:sz w:val="20"/>
              </w:rPr>
            </w:pPr>
            <w:r w:rsidRPr="00592083">
              <w:rPr>
                <w:rFonts w:cs="Arial"/>
                <w:sz w:val="20"/>
              </w:rPr>
              <w:t xml:space="preserve">The exact nature of this work will depend on the level of distress and the financial support provided by the supplier shareholders and lenders. Ongoing activities should be entered into by agreement only. </w:t>
            </w:r>
          </w:p>
          <w:p w14:paraId="4CA7A4D8" w14:textId="77777777" w:rsidR="00592083" w:rsidRPr="00592083" w:rsidRDefault="00592083" w:rsidP="00592083">
            <w:pPr>
              <w:keepNext/>
              <w:numPr>
                <w:ilvl w:val="0"/>
                <w:numId w:val="30"/>
              </w:numPr>
              <w:overflowPunct/>
              <w:autoSpaceDE/>
              <w:autoSpaceDN/>
              <w:adjustRightInd/>
              <w:spacing w:after="120" w:line="240" w:lineRule="auto"/>
              <w:jc w:val="left"/>
              <w:textAlignment w:val="auto"/>
              <w:outlineLvl w:val="0"/>
              <w:rPr>
                <w:rFonts w:eastAsia="STZhongsong"/>
                <w:b/>
                <w:caps/>
                <w:lang w:eastAsia="zh-CN"/>
              </w:rPr>
            </w:pPr>
            <w:bookmarkStart w:id="1" w:name="_Toc368573031"/>
            <w:bookmarkStart w:id="2" w:name="_Toc444518871"/>
            <w:r w:rsidRPr="00592083">
              <w:rPr>
                <w:rFonts w:eastAsia="STZhongsong"/>
                <w:b/>
                <w:caps/>
                <w:lang w:eastAsia="zh-CN"/>
              </w:rPr>
              <w:t>The requirement</w:t>
            </w:r>
            <w:bookmarkEnd w:id="1"/>
            <w:bookmarkEnd w:id="2"/>
          </w:p>
          <w:p w14:paraId="566BDE70" w14:textId="77777777" w:rsidR="00592083" w:rsidRPr="00592083" w:rsidRDefault="00592083" w:rsidP="00592083">
            <w:pPr>
              <w:numPr>
                <w:ilvl w:val="1"/>
                <w:numId w:val="30"/>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0"/>
                <w:lang w:eastAsia="zh-CN"/>
              </w:rPr>
            </w:pPr>
            <w:r w:rsidRPr="00592083">
              <w:rPr>
                <w:rFonts w:eastAsia="STZhongsong"/>
                <w:sz w:val="20"/>
                <w:lang w:eastAsia="zh-CN"/>
              </w:rPr>
              <w:t xml:space="preserve">The above can be split in to two main sections: </w:t>
            </w:r>
          </w:p>
          <w:p w14:paraId="03416514" w14:textId="77777777" w:rsidR="00592083" w:rsidRPr="00592083" w:rsidRDefault="00592083" w:rsidP="00592083">
            <w:pPr>
              <w:numPr>
                <w:ilvl w:val="2"/>
                <w:numId w:val="30"/>
              </w:numPr>
              <w:overflowPunct/>
              <w:autoSpaceDE/>
              <w:autoSpaceDN/>
              <w:adjustRightInd/>
              <w:spacing w:after="0" w:line="240" w:lineRule="auto"/>
              <w:jc w:val="left"/>
              <w:textAlignment w:val="auto"/>
              <w:outlineLvl w:val="2"/>
              <w:rPr>
                <w:rFonts w:eastAsia="STZhongsong"/>
                <w:sz w:val="20"/>
                <w:lang w:eastAsia="zh-CN"/>
              </w:rPr>
            </w:pPr>
            <w:r w:rsidRPr="00592083">
              <w:rPr>
                <w:rFonts w:eastAsia="STZhongsong"/>
                <w:sz w:val="20"/>
                <w:lang w:eastAsia="zh-CN"/>
              </w:rPr>
              <w:lastRenderedPageBreak/>
              <w:t xml:space="preserve">Delivery of a detailed contingency plan which will consider the options available to DIO depending on the level of distress and extent to which current financial stakeholders are able to successfully restructure contracts. </w:t>
            </w:r>
          </w:p>
          <w:p w14:paraId="7ECF6370" w14:textId="77777777" w:rsidR="00592083" w:rsidRPr="00592083" w:rsidRDefault="00592083" w:rsidP="00592083">
            <w:pPr>
              <w:numPr>
                <w:ilvl w:val="2"/>
                <w:numId w:val="30"/>
              </w:numPr>
              <w:overflowPunct/>
              <w:autoSpaceDE/>
              <w:autoSpaceDN/>
              <w:adjustRightInd/>
              <w:spacing w:after="0" w:line="240" w:lineRule="auto"/>
              <w:jc w:val="left"/>
              <w:textAlignment w:val="auto"/>
              <w:outlineLvl w:val="2"/>
              <w:rPr>
                <w:rFonts w:eastAsia="STZhongsong"/>
                <w:sz w:val="20"/>
                <w:lang w:eastAsia="zh-CN"/>
              </w:rPr>
            </w:pPr>
            <w:r w:rsidRPr="00592083">
              <w:rPr>
                <w:rFonts w:eastAsia="STZhongsong"/>
                <w:sz w:val="20"/>
                <w:lang w:eastAsia="zh-CN"/>
              </w:rPr>
              <w:t>Initially the rapid assessment of direct and indirect financial and legal exposure to Carillion.</w:t>
            </w:r>
          </w:p>
          <w:p w14:paraId="79FA1A95" w14:textId="77777777" w:rsidR="00592083" w:rsidRPr="00592083" w:rsidRDefault="00592083" w:rsidP="00592083">
            <w:pPr>
              <w:overflowPunct/>
              <w:autoSpaceDE/>
              <w:autoSpaceDN/>
              <w:adjustRightInd/>
              <w:spacing w:after="0" w:line="240" w:lineRule="auto"/>
              <w:jc w:val="left"/>
              <w:textAlignment w:val="auto"/>
              <w:outlineLvl w:val="2"/>
              <w:rPr>
                <w:rFonts w:eastAsia="STZhongsong"/>
                <w:sz w:val="20"/>
                <w:lang w:eastAsia="zh-CN"/>
              </w:rPr>
            </w:pPr>
          </w:p>
          <w:p w14:paraId="0ADACF54" w14:textId="0BB02CC6" w:rsidR="00592083" w:rsidRPr="00592083" w:rsidRDefault="00592083" w:rsidP="00592083">
            <w:pPr>
              <w:overflowPunct/>
              <w:autoSpaceDE/>
              <w:autoSpaceDN/>
              <w:adjustRightInd/>
              <w:spacing w:after="0" w:line="240" w:lineRule="auto"/>
              <w:jc w:val="left"/>
              <w:textAlignment w:val="auto"/>
              <w:outlineLvl w:val="2"/>
              <w:rPr>
                <w:rFonts w:eastAsia="STZhongsong"/>
                <w:sz w:val="20"/>
                <w:lang w:eastAsia="zh-CN"/>
              </w:rPr>
            </w:pPr>
            <w:r w:rsidRPr="00592083">
              <w:rPr>
                <w:rFonts w:eastAsia="STZhongsong"/>
                <w:sz w:val="20"/>
                <w:lang w:eastAsia="zh-CN"/>
              </w:rPr>
              <w:t>Full Statement of Requirement (Appendix B of ITT documentation) included below:</w:t>
            </w:r>
          </w:p>
          <w:bookmarkStart w:id="3" w:name="_MON_1571140735"/>
          <w:bookmarkEnd w:id="3"/>
          <w:p w14:paraId="6C6836AC" w14:textId="17DE6524" w:rsidR="00EB5E38" w:rsidRPr="00592083" w:rsidRDefault="00592083" w:rsidP="00592083">
            <w:pPr>
              <w:overflowPunct/>
              <w:autoSpaceDE/>
              <w:autoSpaceDN/>
              <w:adjustRightInd/>
              <w:spacing w:after="0" w:line="240" w:lineRule="auto"/>
              <w:jc w:val="left"/>
              <w:textAlignment w:val="auto"/>
              <w:outlineLvl w:val="2"/>
              <w:rPr>
                <w:rFonts w:eastAsia="STZhongsong"/>
                <w:lang w:eastAsia="zh-CN"/>
              </w:rPr>
            </w:pPr>
            <w:r>
              <w:rPr>
                <w:rFonts w:eastAsia="STZhongsong"/>
                <w:lang w:eastAsia="zh-CN"/>
              </w:rPr>
              <w:object w:dxaOrig="1544" w:dyaOrig="998" w14:anchorId="12D1D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72174029" r:id="rId14">
                  <o:FieldCodes>\s</o:FieldCodes>
                </o:OLEObject>
              </w:objec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592083">
            <w:pPr>
              <w:pStyle w:val="MarginText"/>
              <w:numPr>
                <w:ilvl w:val="0"/>
                <w:numId w:val="29"/>
              </w:numPr>
              <w:ind w:left="738" w:hanging="709"/>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4938" w:type="pct"/>
              <w:tblLook w:val="04A0" w:firstRow="1" w:lastRow="0" w:firstColumn="1" w:lastColumn="0" w:noHBand="0" w:noVBand="1"/>
            </w:tblPr>
            <w:tblGrid>
              <w:gridCol w:w="1231"/>
              <w:gridCol w:w="5455"/>
              <w:gridCol w:w="2269"/>
            </w:tblGrid>
            <w:tr w:rsidR="00592083" w:rsidRPr="00297CF4" w14:paraId="07F87D07" w14:textId="77777777" w:rsidTr="00592083">
              <w:tc>
                <w:tcPr>
                  <w:tcW w:w="687" w:type="pct"/>
                  <w:shd w:val="clear" w:color="auto" w:fill="C6D9F1" w:themeFill="text2" w:themeFillTint="33"/>
                  <w:vAlign w:val="center"/>
                </w:tcPr>
                <w:p w14:paraId="2A701812" w14:textId="77777777" w:rsidR="00592083" w:rsidRPr="00592083" w:rsidRDefault="00592083" w:rsidP="00592083">
                  <w:pPr>
                    <w:pStyle w:val="Heading3"/>
                    <w:numPr>
                      <w:ilvl w:val="0"/>
                      <w:numId w:val="0"/>
                    </w:numPr>
                    <w:spacing w:after="120"/>
                    <w:jc w:val="center"/>
                    <w:outlineLvl w:val="2"/>
                    <w:rPr>
                      <w:b/>
                      <w:sz w:val="20"/>
                    </w:rPr>
                  </w:pPr>
                  <w:r w:rsidRPr="00592083">
                    <w:rPr>
                      <w:b/>
                      <w:sz w:val="20"/>
                    </w:rPr>
                    <w:t>Milestone</w:t>
                  </w:r>
                </w:p>
              </w:tc>
              <w:tc>
                <w:tcPr>
                  <w:tcW w:w="3046" w:type="pct"/>
                  <w:shd w:val="clear" w:color="auto" w:fill="C6D9F1" w:themeFill="text2" w:themeFillTint="33"/>
                  <w:vAlign w:val="center"/>
                </w:tcPr>
                <w:p w14:paraId="29582C67" w14:textId="77777777" w:rsidR="00592083" w:rsidRPr="00592083" w:rsidRDefault="00592083" w:rsidP="00592083">
                  <w:pPr>
                    <w:pStyle w:val="Heading3"/>
                    <w:numPr>
                      <w:ilvl w:val="0"/>
                      <w:numId w:val="0"/>
                    </w:numPr>
                    <w:spacing w:after="120"/>
                    <w:jc w:val="center"/>
                    <w:outlineLvl w:val="2"/>
                    <w:rPr>
                      <w:b/>
                      <w:sz w:val="20"/>
                    </w:rPr>
                  </w:pPr>
                  <w:r w:rsidRPr="00592083">
                    <w:rPr>
                      <w:b/>
                      <w:sz w:val="20"/>
                    </w:rPr>
                    <w:t>Description</w:t>
                  </w:r>
                </w:p>
              </w:tc>
              <w:tc>
                <w:tcPr>
                  <w:tcW w:w="1267" w:type="pct"/>
                  <w:shd w:val="clear" w:color="auto" w:fill="C6D9F1" w:themeFill="text2" w:themeFillTint="33"/>
                  <w:vAlign w:val="center"/>
                </w:tcPr>
                <w:p w14:paraId="36AC384C" w14:textId="77777777" w:rsidR="00592083" w:rsidRPr="00592083" w:rsidRDefault="00592083" w:rsidP="00592083">
                  <w:pPr>
                    <w:pStyle w:val="Heading3"/>
                    <w:numPr>
                      <w:ilvl w:val="0"/>
                      <w:numId w:val="0"/>
                    </w:numPr>
                    <w:spacing w:after="120"/>
                    <w:jc w:val="center"/>
                    <w:outlineLvl w:val="2"/>
                    <w:rPr>
                      <w:b/>
                      <w:sz w:val="20"/>
                    </w:rPr>
                  </w:pPr>
                  <w:r w:rsidRPr="00592083">
                    <w:rPr>
                      <w:b/>
                      <w:sz w:val="20"/>
                    </w:rPr>
                    <w:t>Timeframe</w:t>
                  </w:r>
                </w:p>
              </w:tc>
            </w:tr>
            <w:tr w:rsidR="00592083" w:rsidRPr="00297CF4" w14:paraId="65755471" w14:textId="77777777" w:rsidTr="00592083">
              <w:tc>
                <w:tcPr>
                  <w:tcW w:w="687" w:type="pct"/>
                  <w:vAlign w:val="center"/>
                </w:tcPr>
                <w:p w14:paraId="62E1189C" w14:textId="77777777" w:rsidR="00592083" w:rsidRPr="00592083" w:rsidRDefault="00592083" w:rsidP="00592083">
                  <w:pPr>
                    <w:pStyle w:val="Heading3"/>
                    <w:numPr>
                      <w:ilvl w:val="0"/>
                      <w:numId w:val="0"/>
                    </w:numPr>
                    <w:spacing w:after="120"/>
                    <w:jc w:val="center"/>
                    <w:outlineLvl w:val="2"/>
                    <w:rPr>
                      <w:sz w:val="20"/>
                    </w:rPr>
                  </w:pPr>
                  <w:r w:rsidRPr="00592083">
                    <w:rPr>
                      <w:sz w:val="20"/>
                    </w:rPr>
                    <w:t>1</w:t>
                  </w:r>
                </w:p>
              </w:tc>
              <w:tc>
                <w:tcPr>
                  <w:tcW w:w="3046" w:type="pct"/>
                  <w:vAlign w:val="center"/>
                </w:tcPr>
                <w:p w14:paraId="7079F2CF" w14:textId="77777777" w:rsidR="00592083" w:rsidRPr="00592083" w:rsidRDefault="00592083" w:rsidP="00592083">
                  <w:pPr>
                    <w:pStyle w:val="Heading3"/>
                    <w:numPr>
                      <w:ilvl w:val="0"/>
                      <w:numId w:val="0"/>
                    </w:numPr>
                    <w:spacing w:after="120"/>
                    <w:jc w:val="left"/>
                    <w:outlineLvl w:val="2"/>
                    <w:rPr>
                      <w:sz w:val="20"/>
                    </w:rPr>
                  </w:pPr>
                  <w:r w:rsidRPr="00592083">
                    <w:rPr>
                      <w:sz w:val="20"/>
                    </w:rPr>
                    <w:t xml:space="preserve">Development of implementation plans and processes to enable enactment of contingency plans dependent upon the level of financial distress being faced by Carillion and Interserve </w:t>
                  </w:r>
                </w:p>
              </w:tc>
              <w:tc>
                <w:tcPr>
                  <w:tcW w:w="1267" w:type="pct"/>
                  <w:vAlign w:val="center"/>
                </w:tcPr>
                <w:p w14:paraId="1164DCBF" w14:textId="77777777" w:rsidR="00592083" w:rsidRPr="00592083" w:rsidRDefault="00592083" w:rsidP="00592083">
                  <w:pPr>
                    <w:pStyle w:val="Heading3"/>
                    <w:numPr>
                      <w:ilvl w:val="0"/>
                      <w:numId w:val="0"/>
                    </w:numPr>
                    <w:spacing w:after="120"/>
                    <w:jc w:val="center"/>
                    <w:outlineLvl w:val="2"/>
                    <w:rPr>
                      <w:sz w:val="20"/>
                    </w:rPr>
                  </w:pPr>
                  <w:r w:rsidRPr="00592083">
                    <w:rPr>
                      <w:sz w:val="20"/>
                    </w:rPr>
                    <w:t>Within 2 weeks of contract award</w:t>
                  </w:r>
                </w:p>
              </w:tc>
            </w:tr>
          </w:tbl>
          <w:p w14:paraId="07A8331F" w14:textId="77777777" w:rsidR="00592083" w:rsidRDefault="00592083" w:rsidP="00592083">
            <w:pPr>
              <w:pStyle w:val="MarginText"/>
              <w:ind w:left="1080"/>
              <w:rPr>
                <w:rFonts w:cs="Arial"/>
                <w:sz w:val="20"/>
              </w:rPr>
            </w:pPr>
          </w:p>
          <w:p w14:paraId="7F1FC97A" w14:textId="4E9439FB" w:rsidR="00592083" w:rsidRPr="00592083" w:rsidRDefault="00592083" w:rsidP="00F871DB">
            <w:pPr>
              <w:pStyle w:val="Heading2"/>
              <w:numPr>
                <w:ilvl w:val="0"/>
                <w:numId w:val="29"/>
              </w:numPr>
              <w:tabs>
                <w:tab w:val="num" w:pos="1163"/>
              </w:tabs>
              <w:overflowPunct w:val="0"/>
              <w:autoSpaceDE w:val="0"/>
              <w:autoSpaceDN w:val="0"/>
              <w:spacing w:after="120"/>
              <w:ind w:left="738" w:hanging="709"/>
              <w:textAlignment w:val="baseline"/>
              <w:rPr>
                <w:rFonts w:cs="Arial"/>
                <w:sz w:val="20"/>
              </w:rPr>
            </w:pPr>
            <w:r w:rsidRPr="00592083">
              <w:rPr>
                <w:rFonts w:cs="Arial"/>
                <w:sz w:val="20"/>
              </w:rPr>
              <w:t xml:space="preserve">further milestones may be implemented throughout the life of the contract and will be agreed at each phase between the supplier and the contracting authority. </w:t>
            </w:r>
          </w:p>
          <w:p w14:paraId="6C6836C8" w14:textId="4D4E0CE0" w:rsidR="004363FF" w:rsidRPr="005E64BF" w:rsidRDefault="004363FF" w:rsidP="00F871DB">
            <w:pPr>
              <w:pStyle w:val="MarginText"/>
              <w:ind w:left="738" w:hanging="709"/>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4" w:name="_Ref33354369"/>
            <w:r w:rsidRPr="005E64BF">
              <w:rPr>
                <w:rFonts w:cs="Arial"/>
                <w:sz w:val="20"/>
              </w:rPr>
              <w:t xml:space="preserve">The Supplier shall ensure that each version of the Implementation Plan is subject to approval. </w:t>
            </w:r>
            <w:bookmarkStart w:id="5" w:name="_Ref138744800"/>
            <w:bookmarkStart w:id="6" w:name="_Ref29018844"/>
            <w:bookmarkStart w:id="7"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F871DB">
            <w:pPr>
              <w:pStyle w:val="MarginText"/>
              <w:ind w:left="738" w:hanging="709"/>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5"/>
          </w:p>
          <w:bookmarkEnd w:id="4"/>
          <w:bookmarkEnd w:id="6"/>
          <w:bookmarkEnd w:id="7"/>
          <w:p w14:paraId="6C6836CA" w14:textId="77777777" w:rsidR="004363FF" w:rsidRPr="005E64BF" w:rsidRDefault="004363FF" w:rsidP="00F871DB">
            <w:pPr>
              <w:pStyle w:val="MarginText"/>
              <w:ind w:left="738" w:hanging="709"/>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F871DB">
            <w:pPr>
              <w:pStyle w:val="MarginText"/>
              <w:ind w:left="738" w:hanging="709"/>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19DD5A07" w:rsidR="004363FF" w:rsidRPr="00592083" w:rsidRDefault="00592083" w:rsidP="00592083">
            <w:pPr>
              <w:pStyle w:val="Heading2"/>
              <w:keepNext/>
              <w:widowControl w:val="0"/>
              <w:numPr>
                <w:ilvl w:val="0"/>
                <w:numId w:val="0"/>
              </w:numPr>
              <w:tabs>
                <w:tab w:val="center" w:pos="4538"/>
              </w:tabs>
              <w:ind w:left="880" w:hanging="851"/>
              <w:rPr>
                <w:rFonts w:cs="Arial"/>
                <w:b/>
                <w:sz w:val="20"/>
              </w:rPr>
            </w:pPr>
            <w:r>
              <w:rPr>
                <w:rFonts w:cs="Arial"/>
                <w:b/>
                <w:sz w:val="20"/>
              </w:rPr>
              <w:lastRenderedPageBreak/>
              <w:t xml:space="preserve">3.2 </w:t>
            </w:r>
            <w:r w:rsidR="008F76B2" w:rsidRPr="00592083">
              <w:rPr>
                <w:rFonts w:cs="Arial"/>
                <w:b/>
                <w:sz w:val="20"/>
              </w:rPr>
              <w:t xml:space="preserve">Performance </w:t>
            </w:r>
            <w:r w:rsidR="004363FF" w:rsidRPr="00592083">
              <w:rPr>
                <w:rFonts w:cs="Arial"/>
                <w:b/>
                <w:sz w:val="20"/>
              </w:rPr>
              <w:t>Monitoring</w:t>
            </w:r>
            <w:r w:rsidR="00701CB8" w:rsidRPr="00592083">
              <w:rPr>
                <w:rFonts w:cs="Arial"/>
                <w:b/>
                <w:sz w:val="20"/>
              </w:rPr>
              <w:tab/>
            </w:r>
          </w:p>
          <w:p w14:paraId="76FDEDFD" w14:textId="57D0E854" w:rsidR="00592083" w:rsidRPr="00592083" w:rsidRDefault="00592083" w:rsidP="00592083">
            <w:pPr>
              <w:tabs>
                <w:tab w:val="num" w:pos="862"/>
              </w:tabs>
              <w:overflowPunct/>
              <w:autoSpaceDE/>
              <w:autoSpaceDN/>
              <w:adjustRightInd/>
              <w:spacing w:after="120" w:line="240" w:lineRule="auto"/>
              <w:ind w:left="709"/>
              <w:jc w:val="left"/>
              <w:textAlignment w:val="auto"/>
              <w:outlineLvl w:val="1"/>
              <w:rPr>
                <w:rFonts w:eastAsia="STZhongsong"/>
                <w:sz w:val="20"/>
                <w:lang w:eastAsia="zh-CN"/>
              </w:rPr>
            </w:pPr>
            <w:r>
              <w:rPr>
                <w:rFonts w:eastAsia="STZhongsong"/>
                <w:lang w:eastAsia="zh-CN"/>
              </w:rPr>
              <w:t xml:space="preserve">3.2.1 </w:t>
            </w:r>
            <w:r w:rsidRPr="00592083">
              <w:rPr>
                <w:rFonts w:eastAsia="STZhongsong"/>
                <w:sz w:val="20"/>
                <w:lang w:eastAsia="zh-CN"/>
              </w:rPr>
              <w:t>The Authority will measure the quality of the Supplier’s delivery by:</w:t>
            </w:r>
          </w:p>
          <w:tbl>
            <w:tblPr>
              <w:tblStyle w:val="TableGrid"/>
              <w:tblpPr w:leftFromText="180" w:rightFromText="180" w:vertAnchor="text" w:horzAnchor="margin" w:tblpY="-21"/>
              <w:tblOverlap w:val="never"/>
              <w:tblW w:w="8485" w:type="dxa"/>
              <w:tblLook w:val="04A0" w:firstRow="1" w:lastRow="0" w:firstColumn="1" w:lastColumn="0" w:noHBand="0" w:noVBand="1"/>
            </w:tblPr>
            <w:tblGrid>
              <w:gridCol w:w="1106"/>
              <w:gridCol w:w="1750"/>
              <w:gridCol w:w="4790"/>
              <w:gridCol w:w="839"/>
            </w:tblGrid>
            <w:tr w:rsidR="00592083" w:rsidRPr="00592083" w14:paraId="5C7FFAA2" w14:textId="77777777" w:rsidTr="00592083">
              <w:trPr>
                <w:trHeight w:val="149"/>
              </w:trPr>
              <w:tc>
                <w:tcPr>
                  <w:tcW w:w="1106" w:type="dxa"/>
                  <w:shd w:val="clear" w:color="auto" w:fill="DBE5F1" w:themeFill="accent1" w:themeFillTint="33"/>
                </w:tcPr>
                <w:p w14:paraId="4266235D" w14:textId="77777777" w:rsidR="00592083" w:rsidRPr="00592083" w:rsidRDefault="00592083" w:rsidP="00592083">
                  <w:pPr>
                    <w:spacing w:line="240" w:lineRule="auto"/>
                    <w:jc w:val="center"/>
                    <w:rPr>
                      <w:sz w:val="20"/>
                      <w:lang w:eastAsia="zh-CN"/>
                    </w:rPr>
                  </w:pPr>
                  <w:r w:rsidRPr="00592083">
                    <w:rPr>
                      <w:sz w:val="20"/>
                      <w:lang w:eastAsia="zh-CN"/>
                    </w:rPr>
                    <w:t>KPI/SLA</w:t>
                  </w:r>
                </w:p>
              </w:tc>
              <w:tc>
                <w:tcPr>
                  <w:tcW w:w="1750" w:type="dxa"/>
                  <w:shd w:val="clear" w:color="auto" w:fill="DBE5F1" w:themeFill="accent1" w:themeFillTint="33"/>
                </w:tcPr>
                <w:p w14:paraId="63677349" w14:textId="77777777" w:rsidR="00592083" w:rsidRPr="00592083" w:rsidRDefault="00592083" w:rsidP="00592083">
                  <w:pPr>
                    <w:spacing w:line="240" w:lineRule="auto"/>
                    <w:jc w:val="center"/>
                    <w:rPr>
                      <w:sz w:val="20"/>
                      <w:lang w:eastAsia="zh-CN"/>
                    </w:rPr>
                  </w:pPr>
                  <w:r w:rsidRPr="00592083">
                    <w:rPr>
                      <w:sz w:val="20"/>
                      <w:lang w:eastAsia="zh-CN"/>
                    </w:rPr>
                    <w:t>Service Area</w:t>
                  </w:r>
                </w:p>
              </w:tc>
              <w:tc>
                <w:tcPr>
                  <w:tcW w:w="4790" w:type="dxa"/>
                  <w:shd w:val="clear" w:color="auto" w:fill="DBE5F1" w:themeFill="accent1" w:themeFillTint="33"/>
                </w:tcPr>
                <w:p w14:paraId="12BEA2D2" w14:textId="77777777" w:rsidR="00592083" w:rsidRPr="00592083" w:rsidRDefault="00592083" w:rsidP="00592083">
                  <w:pPr>
                    <w:spacing w:line="240" w:lineRule="auto"/>
                    <w:jc w:val="center"/>
                    <w:rPr>
                      <w:sz w:val="20"/>
                      <w:lang w:eastAsia="zh-CN"/>
                    </w:rPr>
                  </w:pPr>
                  <w:r w:rsidRPr="00592083">
                    <w:rPr>
                      <w:sz w:val="20"/>
                      <w:lang w:eastAsia="zh-CN"/>
                    </w:rPr>
                    <w:t>KPI/SLA description</w:t>
                  </w:r>
                </w:p>
              </w:tc>
              <w:tc>
                <w:tcPr>
                  <w:tcW w:w="839" w:type="dxa"/>
                  <w:shd w:val="clear" w:color="auto" w:fill="DBE5F1" w:themeFill="accent1" w:themeFillTint="33"/>
                </w:tcPr>
                <w:p w14:paraId="367909F6" w14:textId="77777777" w:rsidR="00592083" w:rsidRPr="00592083" w:rsidRDefault="00592083" w:rsidP="00592083">
                  <w:pPr>
                    <w:spacing w:line="240" w:lineRule="auto"/>
                    <w:jc w:val="center"/>
                    <w:rPr>
                      <w:sz w:val="20"/>
                      <w:lang w:eastAsia="zh-CN"/>
                    </w:rPr>
                  </w:pPr>
                  <w:r w:rsidRPr="00592083">
                    <w:rPr>
                      <w:sz w:val="20"/>
                      <w:lang w:eastAsia="zh-CN"/>
                    </w:rPr>
                    <w:t>Target</w:t>
                  </w:r>
                </w:p>
              </w:tc>
            </w:tr>
            <w:tr w:rsidR="00592083" w:rsidRPr="00592083" w14:paraId="6DB1E109" w14:textId="77777777" w:rsidTr="00592083">
              <w:trPr>
                <w:trHeight w:val="222"/>
              </w:trPr>
              <w:tc>
                <w:tcPr>
                  <w:tcW w:w="1106" w:type="dxa"/>
                </w:tcPr>
                <w:p w14:paraId="34BEF1A5" w14:textId="77777777" w:rsidR="00592083" w:rsidRPr="00592083" w:rsidRDefault="00592083" w:rsidP="00592083">
                  <w:pPr>
                    <w:spacing w:line="240" w:lineRule="auto"/>
                    <w:jc w:val="center"/>
                    <w:rPr>
                      <w:sz w:val="20"/>
                      <w:lang w:eastAsia="zh-CN"/>
                    </w:rPr>
                  </w:pPr>
                  <w:r w:rsidRPr="00592083">
                    <w:rPr>
                      <w:sz w:val="20"/>
                      <w:lang w:eastAsia="zh-CN"/>
                    </w:rPr>
                    <w:t>1</w:t>
                  </w:r>
                </w:p>
              </w:tc>
              <w:tc>
                <w:tcPr>
                  <w:tcW w:w="1750" w:type="dxa"/>
                </w:tcPr>
                <w:p w14:paraId="1C4903C9" w14:textId="77777777" w:rsidR="00592083" w:rsidRPr="00592083" w:rsidRDefault="00592083" w:rsidP="00592083">
                  <w:pPr>
                    <w:spacing w:line="240" w:lineRule="auto"/>
                    <w:jc w:val="left"/>
                    <w:rPr>
                      <w:sz w:val="20"/>
                      <w:lang w:eastAsia="zh-CN"/>
                    </w:rPr>
                  </w:pPr>
                  <w:r w:rsidRPr="00592083">
                    <w:rPr>
                      <w:sz w:val="20"/>
                      <w:lang w:eastAsia="zh-CN"/>
                    </w:rPr>
                    <w:t>Customer Service</w:t>
                  </w:r>
                </w:p>
              </w:tc>
              <w:tc>
                <w:tcPr>
                  <w:tcW w:w="4790" w:type="dxa"/>
                </w:tcPr>
                <w:p w14:paraId="3822FC61" w14:textId="77777777" w:rsidR="00592083" w:rsidRPr="00592083" w:rsidRDefault="00592083" w:rsidP="00592083">
                  <w:pPr>
                    <w:spacing w:line="240" w:lineRule="auto"/>
                    <w:jc w:val="left"/>
                    <w:rPr>
                      <w:sz w:val="20"/>
                      <w:lang w:eastAsia="zh-CN"/>
                    </w:rPr>
                  </w:pPr>
                  <w:r w:rsidRPr="00592083">
                    <w:rPr>
                      <w:sz w:val="20"/>
                      <w:lang w:eastAsia="zh-CN"/>
                    </w:rPr>
                    <w:t xml:space="preserve">Email/communication from the Cabinet Office to be responded to within 48 hours. </w:t>
                  </w:r>
                </w:p>
              </w:tc>
              <w:tc>
                <w:tcPr>
                  <w:tcW w:w="839" w:type="dxa"/>
                </w:tcPr>
                <w:p w14:paraId="3138DE38" w14:textId="77777777" w:rsidR="00592083" w:rsidRPr="00592083" w:rsidRDefault="00592083" w:rsidP="00592083">
                  <w:pPr>
                    <w:spacing w:line="240" w:lineRule="auto"/>
                    <w:rPr>
                      <w:sz w:val="20"/>
                      <w:lang w:eastAsia="zh-CN"/>
                    </w:rPr>
                  </w:pPr>
                  <w:r w:rsidRPr="00592083">
                    <w:rPr>
                      <w:sz w:val="20"/>
                      <w:lang w:eastAsia="zh-CN"/>
                    </w:rPr>
                    <w:t>98%</w:t>
                  </w:r>
                </w:p>
              </w:tc>
            </w:tr>
            <w:tr w:rsidR="00592083" w:rsidRPr="00592083" w14:paraId="34C9BE72" w14:textId="77777777" w:rsidTr="00592083">
              <w:trPr>
                <w:trHeight w:val="227"/>
              </w:trPr>
              <w:tc>
                <w:tcPr>
                  <w:tcW w:w="1106" w:type="dxa"/>
                </w:tcPr>
                <w:p w14:paraId="5C12F62D" w14:textId="77777777" w:rsidR="00592083" w:rsidRPr="00592083" w:rsidRDefault="00592083" w:rsidP="00592083">
                  <w:pPr>
                    <w:spacing w:line="240" w:lineRule="auto"/>
                    <w:jc w:val="center"/>
                    <w:rPr>
                      <w:sz w:val="20"/>
                      <w:lang w:eastAsia="zh-CN"/>
                    </w:rPr>
                  </w:pPr>
                  <w:r w:rsidRPr="00592083">
                    <w:rPr>
                      <w:sz w:val="20"/>
                      <w:lang w:eastAsia="zh-CN"/>
                    </w:rPr>
                    <w:t>2</w:t>
                  </w:r>
                </w:p>
              </w:tc>
              <w:tc>
                <w:tcPr>
                  <w:tcW w:w="1750" w:type="dxa"/>
                </w:tcPr>
                <w:p w14:paraId="5E7B095E" w14:textId="77777777" w:rsidR="00592083" w:rsidRPr="00592083" w:rsidRDefault="00592083" w:rsidP="00592083">
                  <w:pPr>
                    <w:spacing w:line="240" w:lineRule="auto"/>
                    <w:rPr>
                      <w:sz w:val="20"/>
                      <w:lang w:eastAsia="zh-CN"/>
                    </w:rPr>
                  </w:pPr>
                  <w:r w:rsidRPr="00592083">
                    <w:rPr>
                      <w:sz w:val="20"/>
                      <w:lang w:eastAsia="zh-CN"/>
                    </w:rPr>
                    <w:t>Service Delivery</w:t>
                  </w:r>
                </w:p>
              </w:tc>
              <w:tc>
                <w:tcPr>
                  <w:tcW w:w="4790" w:type="dxa"/>
                </w:tcPr>
                <w:p w14:paraId="31234001" w14:textId="77777777" w:rsidR="00592083" w:rsidRPr="00592083" w:rsidRDefault="00592083" w:rsidP="00592083">
                  <w:pPr>
                    <w:spacing w:line="240" w:lineRule="auto"/>
                    <w:rPr>
                      <w:sz w:val="20"/>
                      <w:lang w:eastAsia="zh-CN"/>
                    </w:rPr>
                  </w:pPr>
                  <w:r w:rsidRPr="00592083">
                    <w:rPr>
                      <w:sz w:val="20"/>
                      <w:lang w:eastAsia="zh-CN"/>
                    </w:rPr>
                    <w:t>Agreed outputs to be delivered to a consistently high profession standard by agreed deadline</w:t>
                  </w:r>
                </w:p>
              </w:tc>
              <w:tc>
                <w:tcPr>
                  <w:tcW w:w="839" w:type="dxa"/>
                </w:tcPr>
                <w:p w14:paraId="305B2C93" w14:textId="77777777" w:rsidR="00592083" w:rsidRPr="00592083" w:rsidRDefault="00592083" w:rsidP="00592083">
                  <w:pPr>
                    <w:spacing w:line="240" w:lineRule="auto"/>
                    <w:rPr>
                      <w:sz w:val="20"/>
                      <w:lang w:eastAsia="zh-CN"/>
                    </w:rPr>
                  </w:pPr>
                  <w:r w:rsidRPr="00592083">
                    <w:rPr>
                      <w:sz w:val="20"/>
                      <w:lang w:eastAsia="zh-CN"/>
                    </w:rPr>
                    <w:t>98%</w:t>
                  </w:r>
                </w:p>
              </w:tc>
            </w:tr>
            <w:tr w:rsidR="00592083" w:rsidRPr="00592083" w14:paraId="5CADE4DB" w14:textId="77777777" w:rsidTr="00592083">
              <w:trPr>
                <w:trHeight w:val="222"/>
              </w:trPr>
              <w:tc>
                <w:tcPr>
                  <w:tcW w:w="1106" w:type="dxa"/>
                </w:tcPr>
                <w:p w14:paraId="3A9BFA59" w14:textId="77777777" w:rsidR="00592083" w:rsidRPr="00592083" w:rsidRDefault="00592083" w:rsidP="00592083">
                  <w:pPr>
                    <w:spacing w:line="240" w:lineRule="auto"/>
                    <w:jc w:val="center"/>
                    <w:rPr>
                      <w:sz w:val="20"/>
                      <w:lang w:eastAsia="zh-CN"/>
                    </w:rPr>
                  </w:pPr>
                  <w:r w:rsidRPr="00592083">
                    <w:rPr>
                      <w:sz w:val="20"/>
                      <w:lang w:eastAsia="zh-CN"/>
                    </w:rPr>
                    <w:t>3</w:t>
                  </w:r>
                </w:p>
              </w:tc>
              <w:tc>
                <w:tcPr>
                  <w:tcW w:w="1750" w:type="dxa"/>
                </w:tcPr>
                <w:p w14:paraId="0CE0077F" w14:textId="77777777" w:rsidR="00592083" w:rsidRPr="00592083" w:rsidRDefault="00592083" w:rsidP="00592083">
                  <w:pPr>
                    <w:spacing w:line="240" w:lineRule="auto"/>
                    <w:rPr>
                      <w:sz w:val="20"/>
                      <w:lang w:eastAsia="zh-CN"/>
                    </w:rPr>
                  </w:pPr>
                  <w:r w:rsidRPr="00592083">
                    <w:rPr>
                      <w:sz w:val="20"/>
                      <w:lang w:eastAsia="zh-CN"/>
                    </w:rPr>
                    <w:t>Service Delivery</w:t>
                  </w:r>
                </w:p>
              </w:tc>
              <w:tc>
                <w:tcPr>
                  <w:tcW w:w="4790" w:type="dxa"/>
                </w:tcPr>
                <w:p w14:paraId="098C3A7A" w14:textId="77777777" w:rsidR="00592083" w:rsidRPr="00592083" w:rsidRDefault="00592083" w:rsidP="00592083">
                  <w:pPr>
                    <w:spacing w:line="240" w:lineRule="auto"/>
                    <w:rPr>
                      <w:sz w:val="20"/>
                      <w:lang w:eastAsia="zh-CN"/>
                    </w:rPr>
                  </w:pPr>
                  <w:r w:rsidRPr="00592083">
                    <w:rPr>
                      <w:sz w:val="20"/>
                      <w:lang w:eastAsia="zh-CN"/>
                    </w:rPr>
                    <w:t>Staff churn during the duration of the contract is minimised</w:t>
                  </w:r>
                </w:p>
              </w:tc>
              <w:tc>
                <w:tcPr>
                  <w:tcW w:w="839" w:type="dxa"/>
                </w:tcPr>
                <w:p w14:paraId="63AC1BA8" w14:textId="77777777" w:rsidR="00592083" w:rsidRPr="00592083" w:rsidRDefault="00592083" w:rsidP="00592083">
                  <w:pPr>
                    <w:spacing w:line="240" w:lineRule="auto"/>
                    <w:rPr>
                      <w:sz w:val="20"/>
                      <w:lang w:eastAsia="zh-CN"/>
                    </w:rPr>
                  </w:pPr>
                  <w:r w:rsidRPr="00592083">
                    <w:rPr>
                      <w:sz w:val="20"/>
                      <w:lang w:eastAsia="zh-CN"/>
                    </w:rPr>
                    <w:t>&gt;10%</w:t>
                  </w:r>
                </w:p>
              </w:tc>
            </w:tr>
          </w:tbl>
          <w:p w14:paraId="01C134B4" w14:textId="77777777" w:rsidR="004363FF" w:rsidRDefault="004363FF" w:rsidP="00701CB8">
            <w:pPr>
              <w:keepNext/>
              <w:widowControl w:val="0"/>
              <w:spacing w:line="240" w:lineRule="auto"/>
              <w:rPr>
                <w:rFonts w:cs="Arial"/>
                <w:b/>
                <w:i/>
                <w:sz w:val="20"/>
                <w:shd w:val="clear" w:color="auto" w:fill="92D050"/>
              </w:rPr>
            </w:pPr>
          </w:p>
          <w:p w14:paraId="6C0F91C3" w14:textId="77777777" w:rsidR="00592083" w:rsidRDefault="00592083" w:rsidP="00701CB8">
            <w:pPr>
              <w:keepNext/>
              <w:widowControl w:val="0"/>
              <w:spacing w:line="240" w:lineRule="auto"/>
              <w:rPr>
                <w:rFonts w:cs="Arial"/>
                <w:b/>
                <w:i/>
                <w:sz w:val="20"/>
                <w:shd w:val="clear" w:color="auto" w:fill="92D050"/>
              </w:rPr>
            </w:pPr>
          </w:p>
          <w:p w14:paraId="2C57E4C6" w14:textId="77777777" w:rsidR="00592083" w:rsidRDefault="00592083" w:rsidP="00701CB8">
            <w:pPr>
              <w:keepNext/>
              <w:widowControl w:val="0"/>
              <w:spacing w:line="240" w:lineRule="auto"/>
              <w:rPr>
                <w:rFonts w:cs="Arial"/>
                <w:b/>
                <w:i/>
                <w:sz w:val="20"/>
                <w:shd w:val="clear" w:color="auto" w:fill="92D050"/>
              </w:rPr>
            </w:pPr>
          </w:p>
          <w:p w14:paraId="42F03EF2" w14:textId="77777777" w:rsidR="00592083" w:rsidRDefault="00592083" w:rsidP="00701CB8">
            <w:pPr>
              <w:keepNext/>
              <w:widowControl w:val="0"/>
              <w:spacing w:line="240" w:lineRule="auto"/>
              <w:rPr>
                <w:rFonts w:cs="Arial"/>
                <w:b/>
                <w:i/>
                <w:sz w:val="20"/>
                <w:shd w:val="clear" w:color="auto" w:fill="92D050"/>
              </w:rPr>
            </w:pPr>
          </w:p>
          <w:p w14:paraId="15AB9A8A" w14:textId="77777777" w:rsidR="00592083" w:rsidRDefault="00592083" w:rsidP="00701CB8">
            <w:pPr>
              <w:keepNext/>
              <w:widowControl w:val="0"/>
              <w:spacing w:line="240" w:lineRule="auto"/>
              <w:rPr>
                <w:rFonts w:cs="Arial"/>
                <w:b/>
                <w:i/>
                <w:sz w:val="20"/>
                <w:shd w:val="clear" w:color="auto" w:fill="92D050"/>
              </w:rPr>
            </w:pPr>
          </w:p>
          <w:p w14:paraId="6C6836CF" w14:textId="55C4B91A" w:rsidR="00592083" w:rsidRPr="008F76B2" w:rsidRDefault="00592083" w:rsidP="00701CB8">
            <w:pPr>
              <w:keepNext/>
              <w:widowControl w:val="0"/>
              <w:spacing w:line="240" w:lineRule="auto"/>
              <w:rPr>
                <w:rFonts w:cs="Arial"/>
                <w:b/>
                <w:i/>
                <w:sz w:val="20"/>
                <w:shd w:val="clear" w:color="auto" w:fill="92D050"/>
              </w:rPr>
            </w:pP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6400A062" w:rsidR="004363FF" w:rsidRPr="00F871DB" w:rsidRDefault="00F871DB" w:rsidP="00F871DB">
            <w:pPr>
              <w:pStyle w:val="Heading2"/>
              <w:widowControl w:val="0"/>
              <w:numPr>
                <w:ilvl w:val="0"/>
                <w:numId w:val="0"/>
              </w:numPr>
              <w:ind w:left="720" w:hanging="720"/>
              <w:rPr>
                <w:rFonts w:cs="Arial"/>
                <w:b/>
                <w:sz w:val="20"/>
              </w:rPr>
            </w:pPr>
            <w:r>
              <w:rPr>
                <w:rFonts w:cs="Arial"/>
                <w:b/>
                <w:sz w:val="20"/>
              </w:rPr>
              <w:t xml:space="preserve">4.1 </w:t>
            </w:r>
            <w:r w:rsidR="004363FF" w:rsidRPr="00F871DB">
              <w:rPr>
                <w:rFonts w:cs="Arial"/>
                <w:b/>
                <w:sz w:val="20"/>
              </w:rPr>
              <w:t>Security Requirements (including details of the outline security management plan and policy)</w:t>
            </w:r>
          </w:p>
          <w:p w14:paraId="43144982" w14:textId="458A1C33" w:rsidR="00592083" w:rsidRPr="00592083" w:rsidRDefault="00592083" w:rsidP="00592083">
            <w:pPr>
              <w:pStyle w:val="Heading2"/>
              <w:numPr>
                <w:ilvl w:val="0"/>
                <w:numId w:val="0"/>
              </w:numPr>
              <w:spacing w:after="120"/>
              <w:ind w:left="596" w:hanging="596"/>
              <w:rPr>
                <w:sz w:val="20"/>
              </w:rPr>
            </w:pPr>
            <w:r w:rsidRPr="00592083">
              <w:rPr>
                <w:sz w:val="20"/>
              </w:rPr>
              <w:t xml:space="preserve">4.1.1 </w:t>
            </w:r>
            <w:r>
              <w:rPr>
                <w:sz w:val="20"/>
              </w:rPr>
              <w:t xml:space="preserve">   </w:t>
            </w:r>
            <w:r w:rsidRPr="00592083">
              <w:rPr>
                <w:sz w:val="20"/>
              </w:rPr>
              <w:t xml:space="preserve">If the supplier is required to work within Government Department Buildings for an extended period of time varying levels of security clearance may be required. These will be advised when necessary by the DIO Project Team </w:t>
            </w:r>
          </w:p>
          <w:p w14:paraId="6C6836E5" w14:textId="049AD61A" w:rsidR="004363FF" w:rsidRPr="00701CB8" w:rsidRDefault="004363FF" w:rsidP="00592083">
            <w:pPr>
              <w:pStyle w:val="Default"/>
              <w:ind w:left="285"/>
              <w:jc w:val="both"/>
              <w:rPr>
                <w:sz w:val="20"/>
                <w:szCs w:val="20"/>
              </w:rPr>
            </w:pPr>
          </w:p>
        </w:tc>
      </w:tr>
    </w:tbl>
    <w:p w14:paraId="6C6836E7" w14:textId="77777777"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tbl>
      <w:tblPr>
        <w:tblStyle w:val="TableGrid"/>
        <w:tblW w:w="9067" w:type="dxa"/>
        <w:tblLook w:val="04A0" w:firstRow="1" w:lastRow="0" w:firstColumn="1" w:lastColumn="0" w:noHBand="0" w:noVBand="1"/>
      </w:tblPr>
      <w:tblGrid>
        <w:gridCol w:w="1539"/>
        <w:gridCol w:w="7528"/>
      </w:tblGrid>
      <w:tr w:rsidR="00701CB8" w:rsidRPr="007E7F9E" w14:paraId="22541383" w14:textId="77777777" w:rsidTr="00B1175C">
        <w:trPr>
          <w:trHeight w:val="3353"/>
        </w:trPr>
        <w:tc>
          <w:tcPr>
            <w:tcW w:w="1539" w:type="dxa"/>
          </w:tcPr>
          <w:p w14:paraId="2D142F79" w14:textId="77777777" w:rsidR="00701CB8" w:rsidRDefault="00701CB8" w:rsidP="00633707">
            <w:pPr>
              <w:rPr>
                <w:b/>
                <w:color w:val="000000"/>
                <w:sz w:val="20"/>
              </w:rPr>
            </w:pPr>
            <w:r w:rsidRPr="00AD615B">
              <w:rPr>
                <w:b/>
                <w:color w:val="000000"/>
                <w:sz w:val="20"/>
              </w:rPr>
              <w:t xml:space="preserve">The Authority requires the Contractor to deliver the services as per the proposal dated </w:t>
            </w:r>
            <w:r w:rsidR="00592083">
              <w:rPr>
                <w:b/>
                <w:color w:val="000000"/>
                <w:sz w:val="20"/>
              </w:rPr>
              <w:t>1</w:t>
            </w:r>
            <w:r w:rsidR="00592083" w:rsidRPr="00592083">
              <w:rPr>
                <w:b/>
                <w:color w:val="000000"/>
                <w:sz w:val="20"/>
                <w:vertAlign w:val="superscript"/>
              </w:rPr>
              <w:t>st</w:t>
            </w:r>
            <w:r w:rsidR="00B1175C">
              <w:rPr>
                <w:b/>
                <w:color w:val="000000"/>
                <w:sz w:val="20"/>
              </w:rPr>
              <w:t xml:space="preserve"> November 2017</w:t>
            </w:r>
          </w:p>
          <w:p w14:paraId="3BF3DD66" w14:textId="48BB0B68" w:rsidR="005770AB" w:rsidRPr="00B1175C" w:rsidRDefault="005770AB" w:rsidP="00633707">
            <w:pPr>
              <w:rPr>
                <w:b/>
                <w:color w:val="000000"/>
                <w:sz w:val="20"/>
              </w:rPr>
            </w:pPr>
            <w:r>
              <w:rPr>
                <w:b/>
                <w:color w:val="000000"/>
                <w:sz w:val="20"/>
              </w:rPr>
              <w:t>Clarification Questions dated 30</w:t>
            </w:r>
            <w:r w:rsidRPr="005770AB">
              <w:rPr>
                <w:b/>
                <w:color w:val="000000"/>
                <w:sz w:val="20"/>
                <w:vertAlign w:val="superscript"/>
              </w:rPr>
              <w:t>th</w:t>
            </w:r>
            <w:r>
              <w:rPr>
                <w:b/>
                <w:color w:val="000000"/>
                <w:sz w:val="20"/>
              </w:rPr>
              <w:t xml:space="preserve"> October 2017</w:t>
            </w:r>
          </w:p>
        </w:tc>
        <w:tc>
          <w:tcPr>
            <w:tcW w:w="7528" w:type="dxa"/>
            <w:shd w:val="clear" w:color="auto" w:fill="auto"/>
          </w:tcPr>
          <w:p w14:paraId="39744493" w14:textId="2083917E" w:rsidR="00701CB8" w:rsidRDefault="00701CB8" w:rsidP="004653BE">
            <w:pPr>
              <w:overflowPunct/>
              <w:autoSpaceDE/>
              <w:autoSpaceDN/>
              <w:adjustRightInd/>
              <w:spacing w:after="0" w:line="240" w:lineRule="auto"/>
              <w:jc w:val="left"/>
              <w:textAlignment w:val="auto"/>
              <w:rPr>
                <w:sz w:val="20"/>
              </w:rPr>
            </w:pPr>
          </w:p>
          <w:p w14:paraId="2E9E832A" w14:textId="399C986F" w:rsidR="005770AB" w:rsidRDefault="009738CE" w:rsidP="00B1175C">
            <w:pPr>
              <w:overflowPunct/>
              <w:autoSpaceDE/>
              <w:autoSpaceDN/>
              <w:adjustRightInd/>
              <w:spacing w:after="0" w:line="240" w:lineRule="auto"/>
              <w:jc w:val="left"/>
              <w:textAlignment w:val="auto"/>
              <w:rPr>
                <w:sz w:val="20"/>
              </w:rPr>
            </w:pPr>
            <w:r>
              <w:rPr>
                <w:rFonts w:cs="Arial"/>
              </w:rPr>
              <w:t>REDACTED TEXT</w:t>
            </w:r>
          </w:p>
          <w:p w14:paraId="221451C8" w14:textId="77777777" w:rsidR="005770AB" w:rsidRDefault="005770AB" w:rsidP="00B1175C">
            <w:pPr>
              <w:overflowPunct/>
              <w:autoSpaceDE/>
              <w:autoSpaceDN/>
              <w:adjustRightInd/>
              <w:spacing w:after="0" w:line="240" w:lineRule="auto"/>
              <w:jc w:val="left"/>
              <w:textAlignment w:val="auto"/>
              <w:rPr>
                <w:sz w:val="20"/>
              </w:rPr>
            </w:pPr>
          </w:p>
          <w:p w14:paraId="00921A56" w14:textId="77777777" w:rsidR="005770AB" w:rsidRDefault="005770AB" w:rsidP="00B1175C">
            <w:pPr>
              <w:overflowPunct/>
              <w:autoSpaceDE/>
              <w:autoSpaceDN/>
              <w:adjustRightInd/>
              <w:spacing w:after="0" w:line="240" w:lineRule="auto"/>
              <w:jc w:val="left"/>
              <w:textAlignment w:val="auto"/>
              <w:rPr>
                <w:sz w:val="20"/>
              </w:rPr>
            </w:pPr>
          </w:p>
          <w:p w14:paraId="7ECD3283" w14:textId="445A3DD2" w:rsidR="00592083" w:rsidRPr="00B1175C" w:rsidRDefault="00592083" w:rsidP="00B1175C">
            <w:pPr>
              <w:overflowPunct/>
              <w:autoSpaceDE/>
              <w:autoSpaceDN/>
              <w:adjustRightInd/>
              <w:spacing w:after="0" w:line="240" w:lineRule="auto"/>
              <w:jc w:val="left"/>
              <w:textAlignment w:val="auto"/>
              <w:rPr>
                <w:sz w:val="20"/>
              </w:rPr>
            </w:pPr>
          </w:p>
        </w:tc>
      </w:tr>
      <w:tr w:rsidR="007E7F9E" w:rsidRPr="007E7F9E" w14:paraId="6C6836F5" w14:textId="77777777" w:rsidTr="00B1175C">
        <w:trPr>
          <w:trHeight w:val="2660"/>
        </w:trPr>
        <w:tc>
          <w:tcPr>
            <w:tcW w:w="1539"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7528" w:type="dxa"/>
          </w:tcPr>
          <w:p w14:paraId="775880C6" w14:textId="77777777" w:rsidR="007E7F9E" w:rsidRDefault="004653BE" w:rsidP="008E3D4A">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592083">
              <w:rPr>
                <w:rFonts w:eastAsia="STZhongsong" w:cs="Arial"/>
                <w:sz w:val="20"/>
                <w:lang w:eastAsia="zh-CN"/>
              </w:rPr>
              <w:t>200,000</w:t>
            </w:r>
            <w:r>
              <w:rPr>
                <w:rFonts w:eastAsia="STZhongsong" w:cs="Arial"/>
                <w:sz w:val="20"/>
                <w:lang w:eastAsia="zh-CN"/>
              </w:rPr>
              <w:t xml:space="preserve"> (Exc. VAT) </w:t>
            </w:r>
          </w:p>
          <w:p w14:paraId="19512325" w14:textId="08FDF6C1" w:rsidR="008E3D4A" w:rsidRDefault="00B1175C" w:rsidP="008E3D4A">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Pricing Schedule – Call Off Rates</w:t>
            </w:r>
          </w:p>
          <w:p w14:paraId="603B155E" w14:textId="571221FF" w:rsidR="00B1175C" w:rsidRDefault="009738CE" w:rsidP="008E3D4A">
            <w:pPr>
              <w:overflowPunct/>
              <w:autoSpaceDE/>
              <w:autoSpaceDN/>
              <w:adjustRightInd/>
              <w:spacing w:after="0" w:line="240" w:lineRule="auto"/>
              <w:jc w:val="left"/>
              <w:textAlignment w:val="auto"/>
              <w:rPr>
                <w:rFonts w:eastAsia="STZhongsong" w:cs="Arial"/>
                <w:sz w:val="20"/>
                <w:lang w:eastAsia="zh-CN"/>
              </w:rPr>
            </w:pPr>
            <w:r>
              <w:rPr>
                <w:rFonts w:cs="Arial"/>
              </w:rPr>
              <w:t>REDACTED TEXT</w:t>
            </w:r>
          </w:p>
          <w:p w14:paraId="01E87D45"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F1A70EB"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46AD1B2"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0FB80D7"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B8A9684"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6EBD1AB2"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67B60936"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D8C41D8"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18C6E485"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21398F1F"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383452B5"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A55B74E"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5660519"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5DE8126"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040D6C52"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12012D48"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232CC11"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01CB88C3"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784A597C"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757D02D"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5EDA2EEE"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73473F78"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0F5AC4B9"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2839B6DD"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92904F7"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5B058EA"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194FD30A"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265FEBCB"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48E59753"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2AEB170E" w14:textId="77777777" w:rsidR="009738CE" w:rsidRDefault="009738CE" w:rsidP="008E3D4A">
            <w:pPr>
              <w:overflowPunct/>
              <w:autoSpaceDE/>
              <w:autoSpaceDN/>
              <w:adjustRightInd/>
              <w:spacing w:after="0" w:line="240" w:lineRule="auto"/>
              <w:jc w:val="left"/>
              <w:textAlignment w:val="auto"/>
              <w:rPr>
                <w:rFonts w:eastAsia="STZhongsong" w:cs="Arial"/>
                <w:sz w:val="20"/>
                <w:lang w:eastAsia="zh-CN"/>
              </w:rPr>
            </w:pPr>
          </w:p>
          <w:p w14:paraId="3C655658" w14:textId="7FD4CA96" w:rsidR="00B1175C" w:rsidRDefault="00B1175C" w:rsidP="008E3D4A">
            <w:pPr>
              <w:overflowPunct/>
              <w:autoSpaceDE/>
              <w:autoSpaceDN/>
              <w:adjustRightInd/>
              <w:spacing w:after="0" w:line="240" w:lineRule="auto"/>
              <w:jc w:val="left"/>
              <w:textAlignment w:val="auto"/>
              <w:rPr>
                <w:rFonts w:eastAsia="STZhongsong" w:cs="Arial"/>
                <w:sz w:val="20"/>
                <w:lang w:eastAsia="zh-CN"/>
              </w:rPr>
            </w:pPr>
            <w:bookmarkStart w:id="8" w:name="_GoBack"/>
            <w:bookmarkEnd w:id="8"/>
            <w:r>
              <w:rPr>
                <w:rFonts w:eastAsia="STZhongsong" w:cs="Arial"/>
                <w:sz w:val="20"/>
                <w:lang w:eastAsia="zh-CN"/>
              </w:rPr>
              <w:t>Price Submission attached below:</w:t>
            </w:r>
          </w:p>
          <w:p w14:paraId="6C6836F4" w14:textId="30352566" w:rsidR="008E3D4A" w:rsidRPr="004653BE" w:rsidRDefault="009738CE" w:rsidP="008E3D4A">
            <w:pPr>
              <w:overflowPunct/>
              <w:autoSpaceDE/>
              <w:autoSpaceDN/>
              <w:adjustRightInd/>
              <w:spacing w:after="0" w:line="240" w:lineRule="auto"/>
              <w:jc w:val="left"/>
              <w:textAlignment w:val="auto"/>
              <w:rPr>
                <w:rFonts w:eastAsia="STZhongsong" w:cs="Arial"/>
                <w:sz w:val="20"/>
                <w:lang w:eastAsia="zh-CN"/>
              </w:rPr>
            </w:pPr>
            <w:r>
              <w:rPr>
                <w:rFonts w:cs="Arial"/>
              </w:rPr>
              <w:t>REDACTED TEXT</w:t>
            </w:r>
          </w:p>
        </w:tc>
      </w:tr>
      <w:tr w:rsidR="007E7F9E" w:rsidRPr="007E7F9E" w14:paraId="6C6836F9" w14:textId="77777777" w:rsidTr="00B1175C">
        <w:tc>
          <w:tcPr>
            <w:tcW w:w="1539" w:type="dxa"/>
          </w:tcPr>
          <w:p w14:paraId="6C6836F6" w14:textId="77777777" w:rsidR="007E7F9E" w:rsidRPr="007E7F9E" w:rsidRDefault="007E7F9E" w:rsidP="007E7F9E">
            <w:pPr>
              <w:rPr>
                <w:b/>
                <w:sz w:val="20"/>
              </w:rPr>
            </w:pPr>
            <w:r w:rsidRPr="007E7F9E">
              <w:rPr>
                <w:b/>
                <w:sz w:val="20"/>
              </w:rPr>
              <w:lastRenderedPageBreak/>
              <w:t>Invoicing arrangements</w:t>
            </w:r>
          </w:p>
        </w:tc>
        <w:tc>
          <w:tcPr>
            <w:tcW w:w="7528" w:type="dxa"/>
            <w:shd w:val="clear" w:color="auto" w:fill="FFFFFF" w:themeFill="background1"/>
          </w:tcPr>
          <w:p w14:paraId="7A20FF48" w14:textId="77777777" w:rsidR="004653BE" w:rsidRDefault="004653BE" w:rsidP="00B1175C">
            <w:pPr>
              <w:spacing w:after="0" w:line="240" w:lineRule="auto"/>
              <w:rPr>
                <w:b/>
                <w:i/>
                <w:sz w:val="20"/>
              </w:rPr>
            </w:pPr>
          </w:p>
          <w:p w14:paraId="4C34009E" w14:textId="77777777" w:rsidR="00B1175C" w:rsidRPr="00502F20" w:rsidRDefault="00B1175C" w:rsidP="00B1175C">
            <w:pPr>
              <w:pStyle w:val="Heading2"/>
              <w:numPr>
                <w:ilvl w:val="0"/>
                <w:numId w:val="0"/>
              </w:numPr>
              <w:outlineLvl w:val="1"/>
              <w:rPr>
                <w:szCs w:val="22"/>
              </w:rPr>
            </w:pPr>
            <w:r w:rsidRPr="00502F20">
              <w:rPr>
                <w:rFonts w:cs="Arial"/>
                <w:color w:val="000000"/>
                <w:szCs w:val="22"/>
                <w:shd w:val="clear" w:color="auto" w:fill="FFFFFF"/>
              </w:rPr>
              <w:t xml:space="preserve">Payment can only be made following satisfactory delivery of pre-agreed certified products and deliverables. </w:t>
            </w:r>
          </w:p>
          <w:p w14:paraId="02089122" w14:textId="77777777" w:rsidR="00B1175C" w:rsidRPr="00502F20" w:rsidRDefault="00B1175C" w:rsidP="00B1175C">
            <w:pPr>
              <w:pStyle w:val="Heading2"/>
              <w:numPr>
                <w:ilvl w:val="0"/>
                <w:numId w:val="0"/>
              </w:numPr>
              <w:outlineLvl w:val="1"/>
              <w:rPr>
                <w:szCs w:val="22"/>
              </w:rPr>
            </w:pPr>
            <w:r w:rsidRPr="00502F20">
              <w:rPr>
                <w:rFonts w:cs="Arial"/>
                <w:color w:val="000000"/>
                <w:szCs w:val="22"/>
                <w:shd w:val="clear" w:color="auto" w:fill="FFFFFF"/>
              </w:rPr>
              <w:t xml:space="preserve">Before payment can be considered, each invoice must include a detailed elemental breakdown of work completed and the associated costs. </w:t>
            </w:r>
          </w:p>
          <w:p w14:paraId="782EBEE6" w14:textId="10427D3A" w:rsidR="004653BE" w:rsidRPr="00B1175C" w:rsidRDefault="00B1175C" w:rsidP="00A266B3">
            <w:pPr>
              <w:spacing w:after="0" w:line="240" w:lineRule="auto"/>
              <w:rPr>
                <w:b/>
                <w:sz w:val="20"/>
              </w:rPr>
            </w:pPr>
            <w:r w:rsidRPr="00B1175C">
              <w:rPr>
                <w:b/>
                <w:sz w:val="20"/>
              </w:rPr>
              <w:t>In line with MoD DEFCONS (Appendix 3 – Special Terms)</w:t>
            </w:r>
          </w:p>
          <w:p w14:paraId="6C6836F8" w14:textId="77777777" w:rsidR="00A266B3" w:rsidRPr="00A266B3" w:rsidRDefault="00A266B3" w:rsidP="00EB5E38">
            <w:pPr>
              <w:spacing w:after="0" w:line="240" w:lineRule="auto"/>
              <w:rPr>
                <w:b/>
                <w:i/>
                <w:sz w:val="20"/>
              </w:rPr>
            </w:pPr>
          </w:p>
        </w:tc>
      </w:tr>
      <w:tr w:rsidR="007E7F9E" w:rsidRPr="007E7F9E" w14:paraId="6C683700" w14:textId="77777777" w:rsidTr="00B1175C">
        <w:tc>
          <w:tcPr>
            <w:tcW w:w="1539" w:type="dxa"/>
          </w:tcPr>
          <w:p w14:paraId="6C6836FA" w14:textId="77777777" w:rsidR="007E7F9E" w:rsidRPr="007E7F9E" w:rsidRDefault="007E7F9E" w:rsidP="007E7F9E">
            <w:pPr>
              <w:rPr>
                <w:b/>
                <w:sz w:val="20"/>
              </w:rPr>
            </w:pPr>
            <w:r w:rsidRPr="007E7F9E">
              <w:rPr>
                <w:b/>
                <w:sz w:val="20"/>
              </w:rPr>
              <w:t>Performance-related  payment</w:t>
            </w:r>
          </w:p>
        </w:tc>
        <w:tc>
          <w:tcPr>
            <w:tcW w:w="7528" w:type="dxa"/>
          </w:tcPr>
          <w:p w14:paraId="6C6836FC" w14:textId="72578C93" w:rsidR="004A3C70" w:rsidRDefault="008E3D4A" w:rsidP="00A266B3">
            <w:pPr>
              <w:spacing w:after="0" w:line="240" w:lineRule="auto"/>
              <w:rPr>
                <w:i/>
                <w:sz w:val="20"/>
                <w:shd w:val="clear" w:color="auto" w:fill="92D050"/>
              </w:rPr>
            </w:pPr>
            <w:r>
              <w:rPr>
                <w:rFonts w:cs="Arial"/>
                <w:b/>
                <w:sz w:val="20"/>
              </w:rPr>
              <w:t>Not Applicable</w:t>
            </w:r>
          </w:p>
          <w:p w14:paraId="6C6836FD" w14:textId="77777777" w:rsidR="004A3C70" w:rsidRDefault="004A3C70" w:rsidP="00A266B3">
            <w:pPr>
              <w:spacing w:after="0" w:line="240" w:lineRule="auto"/>
              <w:rPr>
                <w:i/>
                <w:sz w:val="20"/>
                <w:shd w:val="clear" w:color="auto" w:fill="92D050"/>
              </w:rPr>
            </w:pPr>
          </w:p>
          <w:p w14:paraId="6C6836FE" w14:textId="77777777" w:rsidR="004A3C70" w:rsidRDefault="004A3C70" w:rsidP="00A266B3">
            <w:pPr>
              <w:spacing w:after="0" w:line="240" w:lineRule="auto"/>
              <w:rPr>
                <w:b/>
                <w:i/>
                <w:color w:val="FF0000"/>
                <w:sz w:val="20"/>
              </w:rPr>
            </w:pPr>
          </w:p>
          <w:p w14:paraId="6C6836FF" w14:textId="77777777" w:rsidR="00A266B3" w:rsidRPr="00A266B3" w:rsidRDefault="00A266B3" w:rsidP="00CE53B2">
            <w:pPr>
              <w:spacing w:after="0" w:line="240" w:lineRule="auto"/>
              <w:rPr>
                <w:b/>
                <w:i/>
                <w:color w:val="FF0000"/>
                <w:sz w:val="20"/>
              </w:rPr>
            </w:pPr>
          </w:p>
        </w:tc>
      </w:tr>
      <w:tr w:rsidR="007E7F9E" w:rsidRPr="007E7F9E" w14:paraId="6C683708" w14:textId="77777777" w:rsidTr="00B1175C">
        <w:tc>
          <w:tcPr>
            <w:tcW w:w="1539"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7528" w:type="dxa"/>
            <w:shd w:val="clear" w:color="auto" w:fill="FFFFFF" w:themeFill="background1"/>
          </w:tcPr>
          <w:p w14:paraId="6C683707" w14:textId="4B21DEFF" w:rsidR="007E7F9E" w:rsidRPr="004363FF" w:rsidRDefault="008E3D4A" w:rsidP="008E3D4A">
            <w:pPr>
              <w:tabs>
                <w:tab w:val="left" w:pos="1035"/>
              </w:tabs>
              <w:spacing w:after="0" w:line="240" w:lineRule="auto"/>
              <w:jc w:val="left"/>
              <w:rPr>
                <w:i/>
                <w:sz w:val="20"/>
              </w:rPr>
            </w:pPr>
            <w:r>
              <w:t xml:space="preserve"> C</w:t>
            </w:r>
            <w:r w:rsidRPr="00664A35">
              <w:t xml:space="preserve">ontract. Rates provided </w:t>
            </w:r>
            <w:r>
              <w:t>are inclusive of travel and subsistence</w:t>
            </w:r>
            <w:r w:rsidRPr="00664A35">
              <w:t>.</w:t>
            </w: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2FA964BA" w14:textId="77777777" w:rsidR="00412859" w:rsidRDefault="00412859" w:rsidP="00412859">
      <w:pPr>
        <w:spacing w:after="0" w:line="240" w:lineRule="auto"/>
        <w:jc w:val="center"/>
        <w:rPr>
          <w:b/>
        </w:rPr>
      </w:pPr>
    </w:p>
    <w:p w14:paraId="38B6C101" w14:textId="77777777" w:rsidR="00412859" w:rsidRPr="00E777F6" w:rsidRDefault="00412859" w:rsidP="00412859">
      <w:pPr>
        <w:jc w:val="center"/>
        <w:rPr>
          <w:b/>
        </w:rPr>
      </w:pPr>
      <w:r w:rsidRPr="00E777F6">
        <w:rPr>
          <w:b/>
        </w:rPr>
        <w:t>MOD SPECIFIC TERMS AND CONDITIONS</w:t>
      </w:r>
    </w:p>
    <w:p w14:paraId="4E697557" w14:textId="0B837323" w:rsidR="00412859" w:rsidRPr="00E777F6" w:rsidRDefault="00412859" w:rsidP="00412859">
      <w:pPr>
        <w:spacing w:after="0" w:line="240" w:lineRule="auto"/>
        <w:jc w:val="left"/>
        <w:rPr>
          <w:b/>
        </w:rPr>
      </w:pPr>
      <w:r w:rsidRPr="00E777F6">
        <w:rPr>
          <w:b/>
        </w:rPr>
        <w:t>DEFCONS and DEFFORMS</w:t>
      </w: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412859" w:rsidRPr="00B832EC" w14:paraId="2DCC6F23" w14:textId="77777777" w:rsidTr="00412859">
        <w:trPr>
          <w:trHeight w:val="265"/>
        </w:trPr>
        <w:tc>
          <w:tcPr>
            <w:tcW w:w="2376" w:type="dxa"/>
            <w:tcBorders>
              <w:top w:val="single" w:sz="8" w:space="0" w:color="auto"/>
            </w:tcBorders>
          </w:tcPr>
          <w:p w14:paraId="3EC7680B" w14:textId="77777777" w:rsidR="00412859" w:rsidRPr="00766A12" w:rsidRDefault="00412859" w:rsidP="00412859">
            <w:pPr>
              <w:overflowPunct/>
              <w:autoSpaceDE/>
              <w:autoSpaceDN/>
              <w:adjustRightInd/>
              <w:spacing w:after="0" w:line="240"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02EF34E2" w14:textId="77777777" w:rsidR="00412859" w:rsidRPr="00766A12" w:rsidRDefault="00412859" w:rsidP="00412859">
            <w:pPr>
              <w:overflowPunct/>
              <w:autoSpaceDE/>
              <w:autoSpaceDN/>
              <w:adjustRightInd/>
              <w:spacing w:after="0" w:line="240" w:lineRule="auto"/>
              <w:ind w:left="178"/>
              <w:jc w:val="left"/>
              <w:textAlignment w:val="auto"/>
              <w:rPr>
                <w:rFonts w:cs="Arial"/>
                <w:b/>
                <w:szCs w:val="22"/>
                <w:lang w:eastAsia="en-GB"/>
              </w:rPr>
            </w:pPr>
            <w:r w:rsidRPr="00766A12">
              <w:rPr>
                <w:rFonts w:cs="Arial"/>
                <w:b/>
                <w:szCs w:val="22"/>
                <w:lang w:eastAsia="en-GB"/>
              </w:rPr>
              <w:t>Description</w:t>
            </w:r>
          </w:p>
        </w:tc>
      </w:tr>
      <w:tr w:rsidR="00412859" w:rsidRPr="00B832EC" w14:paraId="28777B3A" w14:textId="77777777" w:rsidTr="00412859">
        <w:trPr>
          <w:trHeight w:val="331"/>
        </w:trPr>
        <w:tc>
          <w:tcPr>
            <w:tcW w:w="2376" w:type="dxa"/>
            <w:vAlign w:val="center"/>
          </w:tcPr>
          <w:p w14:paraId="16D04B91" w14:textId="77777777" w:rsid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p w14:paraId="4FEFA67B"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37D2AE5A"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412859" w:rsidRPr="00B832EC" w14:paraId="4D5CA370" w14:textId="77777777" w:rsidTr="00412859">
        <w:tc>
          <w:tcPr>
            <w:tcW w:w="2376" w:type="dxa"/>
            <w:vAlign w:val="center"/>
          </w:tcPr>
          <w:p w14:paraId="0ABF3352"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64207CB2"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412859" w:rsidRPr="00B832EC" w14:paraId="6122AE05" w14:textId="77777777" w:rsidTr="00412859">
        <w:tc>
          <w:tcPr>
            <w:tcW w:w="2376" w:type="dxa"/>
            <w:vAlign w:val="center"/>
          </w:tcPr>
          <w:p w14:paraId="75F6D34E"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19154C74"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412859" w:rsidRPr="00B832EC" w14:paraId="77B580FA" w14:textId="77777777" w:rsidTr="00412859">
        <w:tc>
          <w:tcPr>
            <w:tcW w:w="2376" w:type="dxa"/>
            <w:vAlign w:val="center"/>
          </w:tcPr>
          <w:p w14:paraId="0A7AD248" w14:textId="77777777" w:rsid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p w14:paraId="24E1CD2E"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058919F5"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412859" w:rsidRPr="00B832EC" w14:paraId="10ADD4CD" w14:textId="77777777" w:rsidTr="00412859">
        <w:tc>
          <w:tcPr>
            <w:tcW w:w="2376" w:type="dxa"/>
            <w:vAlign w:val="center"/>
          </w:tcPr>
          <w:p w14:paraId="0921E0C6"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73B8B969"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412859" w:rsidRPr="00B832EC" w14:paraId="1A74F105" w14:textId="77777777" w:rsidTr="00412859">
        <w:tc>
          <w:tcPr>
            <w:tcW w:w="2376" w:type="dxa"/>
            <w:vAlign w:val="center"/>
          </w:tcPr>
          <w:p w14:paraId="77C9866C"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0936E828"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r>
              <w:rPr>
                <w:rFonts w:cs="Arial"/>
                <w:szCs w:val="22"/>
                <w:lang w:eastAsia="en-GB"/>
              </w:rPr>
              <w:t xml:space="preserve"> Changes</w:t>
            </w:r>
          </w:p>
        </w:tc>
      </w:tr>
      <w:tr w:rsidR="00412859" w:rsidRPr="00B832EC" w14:paraId="59A8154E" w14:textId="77777777" w:rsidTr="00412859">
        <w:tc>
          <w:tcPr>
            <w:tcW w:w="2376" w:type="dxa"/>
            <w:vAlign w:val="center"/>
          </w:tcPr>
          <w:p w14:paraId="134EFFEC"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58BCAF90"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Formal Amendments to C</w:t>
            </w:r>
            <w:r w:rsidRPr="00B832EC">
              <w:rPr>
                <w:rFonts w:cs="Arial"/>
                <w:szCs w:val="22"/>
                <w:lang w:eastAsia="en-GB"/>
              </w:rPr>
              <w:t>ontract</w:t>
            </w:r>
          </w:p>
        </w:tc>
      </w:tr>
      <w:tr w:rsidR="00412859" w:rsidRPr="00B832EC" w14:paraId="15B0FFE9" w14:textId="77777777" w:rsidTr="00412859">
        <w:trPr>
          <w:trHeight w:val="219"/>
        </w:trPr>
        <w:tc>
          <w:tcPr>
            <w:tcW w:w="2376" w:type="dxa"/>
            <w:vAlign w:val="center"/>
          </w:tcPr>
          <w:p w14:paraId="2046440E"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42AD8415"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 xml:space="preserve">Disclosure of Information </w:t>
            </w:r>
          </w:p>
        </w:tc>
      </w:tr>
      <w:tr w:rsidR="00412859" w:rsidRPr="00B832EC" w14:paraId="703BBE9A" w14:textId="77777777" w:rsidTr="00412859">
        <w:trPr>
          <w:trHeight w:val="127"/>
        </w:trPr>
        <w:tc>
          <w:tcPr>
            <w:tcW w:w="2376" w:type="dxa"/>
            <w:vAlign w:val="center"/>
          </w:tcPr>
          <w:p w14:paraId="42563ECC" w14:textId="77777777" w:rsidR="00412859" w:rsidRP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412859">
              <w:rPr>
                <w:rFonts w:cs="Arial"/>
                <w:szCs w:val="22"/>
                <w:lang w:eastAsia="en-GB"/>
              </w:rPr>
              <w:t>DEFCON 550</w:t>
            </w:r>
          </w:p>
        </w:tc>
        <w:tc>
          <w:tcPr>
            <w:tcW w:w="6697" w:type="dxa"/>
            <w:vAlign w:val="center"/>
          </w:tcPr>
          <w:p w14:paraId="01B3F7F2" w14:textId="77777777" w:rsidR="00412859" w:rsidRPr="00412859" w:rsidRDefault="00412859" w:rsidP="00412859">
            <w:pPr>
              <w:overflowPunct/>
              <w:autoSpaceDE/>
              <w:autoSpaceDN/>
              <w:adjustRightInd/>
              <w:spacing w:before="120" w:after="120" w:line="240" w:lineRule="auto"/>
              <w:jc w:val="left"/>
              <w:textAlignment w:val="auto"/>
              <w:rPr>
                <w:rFonts w:cs="Arial"/>
                <w:szCs w:val="22"/>
                <w:lang w:eastAsia="en-GB"/>
              </w:rPr>
            </w:pPr>
            <w:r w:rsidRPr="00412859">
              <w:rPr>
                <w:rFonts w:cs="Arial"/>
                <w:szCs w:val="22"/>
                <w:lang w:eastAsia="en-GB"/>
              </w:rPr>
              <w:t>Child Labour and Employment Law</w:t>
            </w:r>
          </w:p>
        </w:tc>
      </w:tr>
      <w:tr w:rsidR="00412859" w:rsidRPr="00B832EC" w14:paraId="1B314BEC" w14:textId="77777777" w:rsidTr="00412859">
        <w:trPr>
          <w:trHeight w:val="191"/>
        </w:trPr>
        <w:tc>
          <w:tcPr>
            <w:tcW w:w="2376" w:type="dxa"/>
            <w:vAlign w:val="center"/>
          </w:tcPr>
          <w:p w14:paraId="3F0C02EC" w14:textId="77777777" w:rsidR="00412859" w:rsidRP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412859">
              <w:rPr>
                <w:rFonts w:cs="Arial"/>
                <w:szCs w:val="22"/>
                <w:lang w:eastAsia="en-GB"/>
              </w:rPr>
              <w:t>DEFCON 602A</w:t>
            </w:r>
          </w:p>
        </w:tc>
        <w:tc>
          <w:tcPr>
            <w:tcW w:w="6697" w:type="dxa"/>
            <w:vAlign w:val="center"/>
          </w:tcPr>
          <w:p w14:paraId="4AD8F492" w14:textId="77777777" w:rsidR="00412859" w:rsidRPr="00412859" w:rsidRDefault="00412859" w:rsidP="00412859">
            <w:pPr>
              <w:overflowPunct/>
              <w:autoSpaceDE/>
              <w:autoSpaceDN/>
              <w:adjustRightInd/>
              <w:spacing w:before="120" w:after="120" w:line="240" w:lineRule="auto"/>
              <w:jc w:val="left"/>
              <w:textAlignment w:val="auto"/>
              <w:rPr>
                <w:rFonts w:cs="Arial"/>
                <w:szCs w:val="22"/>
                <w:lang w:eastAsia="en-GB"/>
              </w:rPr>
            </w:pPr>
            <w:r w:rsidRPr="00412859">
              <w:rPr>
                <w:rFonts w:cs="Arial"/>
                <w:szCs w:val="22"/>
                <w:lang w:eastAsia="en-GB"/>
              </w:rPr>
              <w:t xml:space="preserve">Quality Assurance (with Quality Plan) </w:t>
            </w:r>
          </w:p>
          <w:p w14:paraId="002B60E8" w14:textId="77777777" w:rsidR="00412859" w:rsidRPr="00412859" w:rsidRDefault="00412859" w:rsidP="00412859">
            <w:pPr>
              <w:overflowPunct/>
              <w:autoSpaceDE/>
              <w:autoSpaceDN/>
              <w:adjustRightInd/>
              <w:spacing w:before="120" w:after="120" w:line="240" w:lineRule="auto"/>
              <w:jc w:val="left"/>
              <w:textAlignment w:val="auto"/>
              <w:rPr>
                <w:rFonts w:cs="Arial"/>
                <w:szCs w:val="22"/>
                <w:lang w:eastAsia="en-GB"/>
              </w:rPr>
            </w:pPr>
            <w:r w:rsidRPr="00412859">
              <w:rPr>
                <w:rFonts w:cs="Arial"/>
                <w:szCs w:val="22"/>
                <w:lang w:eastAsia="en-GB"/>
              </w:rPr>
              <w:t>Please choose relevant plan</w:t>
            </w:r>
          </w:p>
        </w:tc>
      </w:tr>
      <w:tr w:rsidR="00412859" w:rsidRPr="00B832EC" w14:paraId="50A7E985" w14:textId="77777777" w:rsidTr="00412859">
        <w:trPr>
          <w:trHeight w:val="162"/>
        </w:trPr>
        <w:tc>
          <w:tcPr>
            <w:tcW w:w="2376" w:type="dxa"/>
            <w:vAlign w:val="center"/>
          </w:tcPr>
          <w:p w14:paraId="4D3A5395" w14:textId="77777777" w:rsidR="00412859" w:rsidRPr="00412859"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412859">
              <w:rPr>
                <w:rFonts w:cs="Arial"/>
                <w:szCs w:val="22"/>
                <w:lang w:eastAsia="en-GB"/>
              </w:rPr>
              <w:t>DEFCON 602B</w:t>
            </w:r>
          </w:p>
        </w:tc>
        <w:tc>
          <w:tcPr>
            <w:tcW w:w="6697" w:type="dxa"/>
            <w:vAlign w:val="center"/>
          </w:tcPr>
          <w:p w14:paraId="51A561DB" w14:textId="77777777" w:rsidR="00412859" w:rsidRPr="00412859" w:rsidRDefault="00412859" w:rsidP="00412859">
            <w:pPr>
              <w:overflowPunct/>
              <w:autoSpaceDE/>
              <w:autoSpaceDN/>
              <w:adjustRightInd/>
              <w:spacing w:before="120" w:after="120" w:line="240" w:lineRule="auto"/>
              <w:jc w:val="left"/>
              <w:textAlignment w:val="auto"/>
              <w:rPr>
                <w:rFonts w:cs="Arial"/>
                <w:szCs w:val="22"/>
                <w:lang w:eastAsia="en-GB"/>
              </w:rPr>
            </w:pPr>
            <w:r w:rsidRPr="00412859">
              <w:rPr>
                <w:rFonts w:cs="Arial"/>
                <w:szCs w:val="22"/>
                <w:lang w:eastAsia="en-GB"/>
              </w:rPr>
              <w:t>Quality Assurance (without Quality Plan)</w:t>
            </w:r>
          </w:p>
        </w:tc>
      </w:tr>
      <w:tr w:rsidR="00412859" w:rsidRPr="00B832EC" w14:paraId="1C8F28A3" w14:textId="77777777" w:rsidTr="00412859">
        <w:tc>
          <w:tcPr>
            <w:tcW w:w="2376" w:type="dxa"/>
            <w:vAlign w:val="center"/>
          </w:tcPr>
          <w:p w14:paraId="54B680C9"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647</w:t>
            </w:r>
          </w:p>
        </w:tc>
        <w:tc>
          <w:tcPr>
            <w:tcW w:w="6697" w:type="dxa"/>
            <w:vAlign w:val="center"/>
          </w:tcPr>
          <w:p w14:paraId="78778751"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Financial Management Information</w:t>
            </w:r>
          </w:p>
        </w:tc>
      </w:tr>
      <w:tr w:rsidR="00412859" w:rsidRPr="00B832EC" w14:paraId="5350E789" w14:textId="77777777" w:rsidTr="00412859">
        <w:tc>
          <w:tcPr>
            <w:tcW w:w="2376" w:type="dxa"/>
            <w:vAlign w:val="center"/>
          </w:tcPr>
          <w:p w14:paraId="10BC5DDB"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703</w:t>
            </w:r>
          </w:p>
        </w:tc>
        <w:tc>
          <w:tcPr>
            <w:tcW w:w="6697" w:type="dxa"/>
            <w:vAlign w:val="center"/>
          </w:tcPr>
          <w:p w14:paraId="25694A37"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412859" w:rsidRPr="00B832EC" w14:paraId="5547BB3A" w14:textId="77777777" w:rsidTr="00412859">
        <w:tc>
          <w:tcPr>
            <w:tcW w:w="2376" w:type="dxa"/>
            <w:vAlign w:val="center"/>
          </w:tcPr>
          <w:p w14:paraId="61CF5E84"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6B69CF6F"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412859" w:rsidRPr="00B832EC" w14:paraId="6C08E810" w14:textId="77777777" w:rsidTr="00412859">
        <w:tc>
          <w:tcPr>
            <w:tcW w:w="2376" w:type="dxa"/>
            <w:vAlign w:val="center"/>
          </w:tcPr>
          <w:p w14:paraId="3BE67B1C"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140DAF40"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412859" w:rsidRPr="00B832EC" w14:paraId="1F041C38" w14:textId="77777777" w:rsidTr="00412859">
        <w:tc>
          <w:tcPr>
            <w:tcW w:w="2376" w:type="dxa"/>
            <w:tcBorders>
              <w:bottom w:val="single" w:sz="8" w:space="0" w:color="auto"/>
            </w:tcBorders>
            <w:vAlign w:val="center"/>
          </w:tcPr>
          <w:p w14:paraId="2CBBA866" w14:textId="77777777" w:rsidR="00412859" w:rsidRPr="00B832EC" w:rsidRDefault="00412859" w:rsidP="00412859">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 xml:space="preserve">AQAP 2120 </w:t>
            </w:r>
          </w:p>
        </w:tc>
        <w:tc>
          <w:tcPr>
            <w:tcW w:w="6697" w:type="dxa"/>
            <w:tcBorders>
              <w:bottom w:val="single" w:sz="8" w:space="0" w:color="auto"/>
            </w:tcBorders>
            <w:vAlign w:val="center"/>
          </w:tcPr>
          <w:p w14:paraId="36380AD3" w14:textId="77777777" w:rsidR="00412859" w:rsidRPr="00B832EC" w:rsidRDefault="00412859" w:rsidP="00412859">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14:paraId="7BBB4278" w14:textId="77777777" w:rsidR="00412859" w:rsidRDefault="00412859" w:rsidP="00412859">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7D838158" w14:textId="77777777" w:rsidR="006636B8" w:rsidRDefault="006636B8" w:rsidP="006636B8">
      <w:pPr>
        <w:tabs>
          <w:tab w:val="left" w:pos="4678"/>
        </w:tabs>
        <w:jc w:val="center"/>
        <w:rPr>
          <w:rFonts w:cs="Arial"/>
          <w:b/>
          <w:szCs w:val="22"/>
          <w:lang w:eastAsia="en-GB"/>
        </w:rPr>
      </w:pPr>
    </w:p>
    <w:p w14:paraId="3905FF9C" w14:textId="77777777" w:rsidR="006636B8" w:rsidRDefault="006636B8" w:rsidP="006636B8">
      <w:pPr>
        <w:tabs>
          <w:tab w:val="left" w:pos="4678"/>
        </w:tabs>
        <w:jc w:val="center"/>
        <w:rPr>
          <w:rFonts w:cs="Arial"/>
          <w:b/>
          <w:szCs w:val="22"/>
          <w:lang w:eastAsia="en-GB"/>
        </w:rPr>
      </w:pPr>
    </w:p>
    <w:p w14:paraId="362BDA37" w14:textId="77777777" w:rsidR="006636B8" w:rsidRDefault="006636B8" w:rsidP="006636B8">
      <w:pPr>
        <w:tabs>
          <w:tab w:val="left" w:pos="4678"/>
        </w:tabs>
        <w:jc w:val="center"/>
        <w:rPr>
          <w:rFonts w:cs="Arial"/>
          <w:b/>
          <w:szCs w:val="22"/>
          <w:lang w:eastAsia="en-GB"/>
        </w:rPr>
      </w:pPr>
    </w:p>
    <w:p w14:paraId="4B5F41F4" w14:textId="77777777" w:rsidR="006636B8" w:rsidRDefault="006636B8" w:rsidP="006636B8">
      <w:pPr>
        <w:tabs>
          <w:tab w:val="left" w:pos="4678"/>
        </w:tabs>
        <w:jc w:val="center"/>
        <w:rPr>
          <w:rFonts w:cs="Arial"/>
          <w:b/>
          <w:szCs w:val="22"/>
          <w:lang w:eastAsia="en-GB"/>
        </w:rPr>
      </w:pPr>
    </w:p>
    <w:p w14:paraId="2071FC8B" w14:textId="77777777" w:rsidR="006636B8" w:rsidRDefault="006636B8" w:rsidP="006636B8">
      <w:pPr>
        <w:tabs>
          <w:tab w:val="left" w:pos="4678"/>
        </w:tabs>
        <w:jc w:val="center"/>
        <w:rPr>
          <w:rFonts w:cs="Arial"/>
          <w:b/>
          <w:szCs w:val="22"/>
          <w:lang w:eastAsia="en-GB"/>
        </w:rPr>
      </w:pPr>
    </w:p>
    <w:p w14:paraId="4FF21E3D" w14:textId="77777777" w:rsidR="006636B8" w:rsidRDefault="006636B8" w:rsidP="006636B8">
      <w:pPr>
        <w:tabs>
          <w:tab w:val="left" w:pos="4678"/>
        </w:tabs>
        <w:jc w:val="center"/>
        <w:rPr>
          <w:rFonts w:cs="Arial"/>
          <w:b/>
          <w:szCs w:val="22"/>
          <w:lang w:eastAsia="en-GB"/>
        </w:rPr>
      </w:pPr>
    </w:p>
    <w:p w14:paraId="167ED76A" w14:textId="77777777" w:rsidR="006636B8" w:rsidRDefault="006636B8" w:rsidP="006636B8">
      <w:pPr>
        <w:tabs>
          <w:tab w:val="left" w:pos="4678"/>
        </w:tabs>
        <w:jc w:val="center"/>
        <w:rPr>
          <w:rFonts w:cs="Arial"/>
          <w:b/>
          <w:szCs w:val="22"/>
          <w:lang w:eastAsia="en-GB"/>
        </w:rPr>
      </w:pPr>
    </w:p>
    <w:p w14:paraId="1B1ABB67" w14:textId="77777777" w:rsidR="006636B8" w:rsidRDefault="006636B8" w:rsidP="006636B8">
      <w:pPr>
        <w:tabs>
          <w:tab w:val="left" w:pos="4678"/>
        </w:tabs>
        <w:jc w:val="center"/>
        <w:rPr>
          <w:rFonts w:cs="Arial"/>
          <w:b/>
          <w:szCs w:val="22"/>
          <w:lang w:eastAsia="en-GB"/>
        </w:rPr>
      </w:pPr>
    </w:p>
    <w:p w14:paraId="259FC634" w14:textId="77777777" w:rsidR="006636B8" w:rsidRPr="00D50FA6" w:rsidRDefault="006636B8" w:rsidP="006636B8">
      <w:pPr>
        <w:tabs>
          <w:tab w:val="left" w:pos="4678"/>
        </w:tabs>
        <w:jc w:val="center"/>
        <w:rPr>
          <w:rFonts w:cs="Arial"/>
          <w:b/>
          <w:szCs w:val="22"/>
          <w:lang w:eastAsia="en-GB"/>
        </w:rPr>
      </w:pPr>
      <w:r w:rsidRPr="00D50FA6">
        <w:rPr>
          <w:rFonts w:cs="Arial"/>
          <w:b/>
          <w:szCs w:val="22"/>
          <w:lang w:eastAsia="en-GB"/>
        </w:rPr>
        <w:t>Blank Page</w:t>
      </w:r>
    </w:p>
    <w:p w14:paraId="6C68370E" w14:textId="5C284BD6" w:rsidR="00E02A90" w:rsidRPr="00EB5E38" w:rsidRDefault="00E02A90" w:rsidP="00EB5E38">
      <w:pPr>
        <w:overflowPunct/>
        <w:autoSpaceDE/>
        <w:autoSpaceDN/>
        <w:adjustRightInd/>
        <w:spacing w:after="0" w:line="240" w:lineRule="auto"/>
        <w:jc w:val="center"/>
        <w:textAlignment w:val="auto"/>
        <w:rPr>
          <w:rFonts w:cs="Arial"/>
          <w:sz w:val="20"/>
        </w:rPr>
      </w:pPr>
      <w:r>
        <w:rPr>
          <w:rFonts w:cs="Arial"/>
          <w:b/>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A00FC2">
          <w:rPr>
            <w:noProof/>
          </w:rPr>
          <w:t>13</w:t>
        </w:r>
        <w:r w:rsidR="00857D12">
          <w:rPr>
            <w:noProof/>
          </w:rPr>
          <w:fldChar w:fldCharType="end"/>
        </w:r>
      </w:hyperlink>
    </w:p>
    <w:p w14:paraId="6C683714" w14:textId="77777777" w:rsidR="00857D12" w:rsidRDefault="008E1DBA">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A00FC2">
          <w:rPr>
            <w:noProof/>
          </w:rPr>
          <w:t>18</w:t>
        </w:r>
        <w:r w:rsidR="00857D12">
          <w:rPr>
            <w:noProof/>
          </w:rPr>
          <w:fldChar w:fldCharType="end"/>
        </w:r>
      </w:hyperlink>
    </w:p>
    <w:p w14:paraId="6C683715" w14:textId="77777777" w:rsidR="00857D12" w:rsidRDefault="008E1DBA">
      <w:pPr>
        <w:pStyle w:val="TOC1"/>
        <w:rPr>
          <w:rFonts w:asciiTheme="minorHAnsi" w:eastAsiaTheme="minorEastAsia" w:hAnsiTheme="minorHAnsi" w:cstheme="minorBidi"/>
          <w:caps w:val="0"/>
          <w:noProof/>
          <w:szCs w:val="22"/>
          <w:lang w:eastAsia="en-GB"/>
        </w:rPr>
      </w:pPr>
      <w:hyperlink w:anchor="_Toc386011025" w:history="1">
        <w:r w:rsidR="00857D12" w:rsidRPr="008D5129">
          <w:rPr>
            <w:rStyle w:val="Hyperlink"/>
            <w:rFonts w:cs="Arial"/>
            <w:noProof/>
          </w:rPr>
          <w:t>2B.</w:t>
        </w:r>
        <w:r w:rsidR="00857D12">
          <w:rPr>
            <w:rFonts w:asciiTheme="minorHAnsi" w:eastAsiaTheme="minorEastAsia" w:hAnsiTheme="minorHAnsi" w:cstheme="minorBidi"/>
            <w:caps w:val="0"/>
            <w:noProof/>
            <w:szCs w:val="22"/>
            <w:lang w:eastAsia="en-GB"/>
          </w:rPr>
          <w:tab/>
        </w:r>
        <w:r w:rsidR="00857D12" w:rsidRPr="008D5129">
          <w:rPr>
            <w:rStyle w:val="Hyperlink"/>
            <w:noProof/>
          </w:rPr>
          <w:t>REMEDIES IN THE EVENT OF INADEQUATE PERFORMANCE OF THE SERVICES</w:t>
        </w:r>
        <w:r w:rsidR="00857D12">
          <w:rPr>
            <w:noProof/>
          </w:rPr>
          <w:tab/>
        </w:r>
        <w:r w:rsidR="00857D12">
          <w:rPr>
            <w:noProof/>
          </w:rPr>
          <w:fldChar w:fldCharType="begin"/>
        </w:r>
        <w:r w:rsidR="00857D12">
          <w:rPr>
            <w:noProof/>
          </w:rPr>
          <w:instrText xml:space="preserve"> PAGEREF _Toc386011025 \h </w:instrText>
        </w:r>
        <w:r w:rsidR="00857D12">
          <w:rPr>
            <w:noProof/>
          </w:rPr>
        </w:r>
        <w:r w:rsidR="00857D12">
          <w:rPr>
            <w:noProof/>
          </w:rPr>
          <w:fldChar w:fldCharType="separate"/>
        </w:r>
        <w:r w:rsidR="00A00FC2">
          <w:rPr>
            <w:noProof/>
          </w:rPr>
          <w:t>21</w:t>
        </w:r>
        <w:r w:rsidR="00857D12">
          <w:rPr>
            <w:noProof/>
          </w:rPr>
          <w:fldChar w:fldCharType="end"/>
        </w:r>
      </w:hyperlink>
    </w:p>
    <w:p w14:paraId="6C683716" w14:textId="77777777" w:rsidR="00857D12" w:rsidRDefault="008E1DBA">
      <w:pPr>
        <w:pStyle w:val="TOC1"/>
        <w:rPr>
          <w:rFonts w:asciiTheme="minorHAnsi" w:eastAsiaTheme="minorEastAsia" w:hAnsiTheme="minorHAnsi" w:cstheme="minorBidi"/>
          <w:caps w:val="0"/>
          <w:noProof/>
          <w:szCs w:val="22"/>
          <w:lang w:eastAsia="en-GB"/>
        </w:rPr>
      </w:pPr>
      <w:hyperlink w:anchor="_Toc386011026" w:history="1">
        <w:r w:rsidR="00857D12" w:rsidRPr="008D5129">
          <w:rPr>
            <w:rStyle w:val="Hyperlink"/>
            <w:noProof/>
          </w:rPr>
          <w:t>2C.</w:t>
        </w:r>
        <w:r w:rsidR="00857D12">
          <w:rPr>
            <w:rFonts w:asciiTheme="minorHAnsi" w:eastAsiaTheme="minorEastAsia" w:hAnsiTheme="minorHAnsi" w:cstheme="minorBidi"/>
            <w:caps w:val="0"/>
            <w:noProof/>
            <w:szCs w:val="22"/>
            <w:lang w:eastAsia="en-GB"/>
          </w:rPr>
          <w:tab/>
        </w:r>
        <w:r w:rsidR="00857D12" w:rsidRPr="008D5129">
          <w:rPr>
            <w:rStyle w:val="Hyperlink"/>
            <w:noProof/>
          </w:rPr>
          <w:t>SUPPLIER'S STAFF</w:t>
        </w:r>
        <w:r w:rsidR="00857D12">
          <w:rPr>
            <w:noProof/>
          </w:rPr>
          <w:tab/>
        </w:r>
        <w:r w:rsidR="00857D12">
          <w:rPr>
            <w:noProof/>
          </w:rPr>
          <w:fldChar w:fldCharType="begin"/>
        </w:r>
        <w:r w:rsidR="00857D12">
          <w:rPr>
            <w:noProof/>
          </w:rPr>
          <w:instrText xml:space="preserve"> PAGEREF _Toc386011026 \h </w:instrText>
        </w:r>
        <w:r w:rsidR="00857D12">
          <w:rPr>
            <w:noProof/>
          </w:rPr>
        </w:r>
        <w:r w:rsidR="00857D12">
          <w:rPr>
            <w:noProof/>
          </w:rPr>
          <w:fldChar w:fldCharType="separate"/>
        </w:r>
        <w:r w:rsidR="00A00FC2">
          <w:rPr>
            <w:noProof/>
          </w:rPr>
          <w:t>21</w:t>
        </w:r>
        <w:r w:rsidR="00857D12">
          <w:rPr>
            <w:noProof/>
          </w:rPr>
          <w:fldChar w:fldCharType="end"/>
        </w:r>
      </w:hyperlink>
    </w:p>
    <w:p w14:paraId="6C683717" w14:textId="77777777" w:rsidR="00857D12" w:rsidRDefault="008E1DBA">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A00FC2">
          <w:rPr>
            <w:noProof/>
          </w:rPr>
          <w:t>23</w:t>
        </w:r>
        <w:r w:rsidR="00857D12">
          <w:rPr>
            <w:noProof/>
          </w:rPr>
          <w:fldChar w:fldCharType="end"/>
        </w:r>
      </w:hyperlink>
    </w:p>
    <w:p w14:paraId="6C683718" w14:textId="77777777" w:rsidR="00857D12" w:rsidRDefault="008E1DBA">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A00FC2">
          <w:rPr>
            <w:noProof/>
          </w:rPr>
          <w:t>24</w:t>
        </w:r>
        <w:r w:rsidR="00857D12">
          <w:rPr>
            <w:noProof/>
          </w:rPr>
          <w:fldChar w:fldCharType="end"/>
        </w:r>
      </w:hyperlink>
    </w:p>
    <w:p w14:paraId="6C683719" w14:textId="77777777" w:rsidR="00857D12" w:rsidRDefault="008E1DBA">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A00FC2">
          <w:rPr>
            <w:noProof/>
          </w:rPr>
          <w:t>27</w:t>
        </w:r>
        <w:r w:rsidR="00857D12">
          <w:rPr>
            <w:noProof/>
          </w:rPr>
          <w:fldChar w:fldCharType="end"/>
        </w:r>
      </w:hyperlink>
    </w:p>
    <w:p w14:paraId="6C68371A" w14:textId="77777777" w:rsidR="00857D12" w:rsidRDefault="008E1DBA">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A00FC2">
          <w:rPr>
            <w:noProof/>
          </w:rPr>
          <w:t>27</w:t>
        </w:r>
        <w:r w:rsidR="00857D12">
          <w:rPr>
            <w:noProof/>
          </w:rPr>
          <w:fldChar w:fldCharType="end"/>
        </w:r>
      </w:hyperlink>
    </w:p>
    <w:p w14:paraId="6C68371B" w14:textId="77777777" w:rsidR="00857D12" w:rsidRDefault="008E1DBA">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A00FC2">
          <w:rPr>
            <w:noProof/>
          </w:rPr>
          <w:t>33</w:t>
        </w:r>
        <w:r w:rsidR="00857D12">
          <w:rPr>
            <w:noProof/>
          </w:rPr>
          <w:fldChar w:fldCharType="end"/>
        </w:r>
      </w:hyperlink>
    </w:p>
    <w:p w14:paraId="6C68371C" w14:textId="77777777" w:rsidR="00857D12" w:rsidRDefault="008E1DBA">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A00FC2">
          <w:rPr>
            <w:noProof/>
          </w:rPr>
          <w:t>35</w:t>
        </w:r>
        <w:r w:rsidR="00857D12">
          <w:rPr>
            <w:noProof/>
          </w:rPr>
          <w:fldChar w:fldCharType="end"/>
        </w:r>
      </w:hyperlink>
    </w:p>
    <w:p w14:paraId="6C68371D" w14:textId="77777777" w:rsidR="00857D12" w:rsidRDefault="008E1DBA">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A00FC2">
          <w:rPr>
            <w:noProof/>
          </w:rPr>
          <w:t>38</w:t>
        </w:r>
        <w:r w:rsidR="00857D12">
          <w:rPr>
            <w:noProof/>
          </w:rPr>
          <w:fldChar w:fldCharType="end"/>
        </w:r>
      </w:hyperlink>
    </w:p>
    <w:p w14:paraId="6C68371E" w14:textId="77777777" w:rsidR="00857D12" w:rsidRDefault="008E1DBA">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A00FC2">
          <w:rPr>
            <w:noProof/>
          </w:rPr>
          <w:t>40</w:t>
        </w:r>
        <w:r w:rsidR="00857D12">
          <w:rPr>
            <w:noProof/>
          </w:rPr>
          <w:fldChar w:fldCharType="end"/>
        </w:r>
      </w:hyperlink>
    </w:p>
    <w:p w14:paraId="6C68371F" w14:textId="77777777" w:rsidR="00857D12" w:rsidRDefault="008E1DBA">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A00FC2">
          <w:rPr>
            <w:noProof/>
          </w:rPr>
          <w:t>40</w:t>
        </w:r>
        <w:r w:rsidR="00857D12">
          <w:rPr>
            <w:noProof/>
          </w:rPr>
          <w:fldChar w:fldCharType="end"/>
        </w:r>
      </w:hyperlink>
    </w:p>
    <w:p w14:paraId="6C683720" w14:textId="77777777" w:rsidR="00857D12" w:rsidRDefault="008E1DBA">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A00FC2">
          <w:rPr>
            <w:noProof/>
          </w:rPr>
          <w:t>42</w:t>
        </w:r>
        <w:r w:rsidR="00857D12">
          <w:rPr>
            <w:noProof/>
          </w:rPr>
          <w:fldChar w:fldCharType="end"/>
        </w:r>
      </w:hyperlink>
    </w:p>
    <w:p w14:paraId="6C683721" w14:textId="77777777" w:rsidR="00857D12" w:rsidRDefault="008E1DBA">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A00FC2">
          <w:rPr>
            <w:noProof/>
          </w:rPr>
          <w:t>42</w:t>
        </w:r>
        <w:r w:rsidR="00857D12">
          <w:rPr>
            <w:noProof/>
          </w:rPr>
          <w:fldChar w:fldCharType="end"/>
        </w:r>
      </w:hyperlink>
    </w:p>
    <w:p w14:paraId="6C683722" w14:textId="77777777" w:rsidR="00857D12" w:rsidRDefault="008E1DBA">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A00FC2">
          <w:rPr>
            <w:noProof/>
          </w:rPr>
          <w:t>42</w:t>
        </w:r>
        <w:r w:rsidR="00857D12">
          <w:rPr>
            <w:noProof/>
          </w:rPr>
          <w:fldChar w:fldCharType="end"/>
        </w:r>
      </w:hyperlink>
    </w:p>
    <w:p w14:paraId="6C683723" w14:textId="77777777" w:rsidR="00857D12" w:rsidRDefault="008E1DBA">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A00FC2">
          <w:rPr>
            <w:noProof/>
          </w:rPr>
          <w:t>43</w:t>
        </w:r>
        <w:r w:rsidR="00857D12">
          <w:rPr>
            <w:noProof/>
          </w:rPr>
          <w:fldChar w:fldCharType="end"/>
        </w:r>
      </w:hyperlink>
    </w:p>
    <w:p w14:paraId="6C683724" w14:textId="77777777" w:rsidR="00857D12" w:rsidRDefault="008E1DBA">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A00FC2">
          <w:rPr>
            <w:noProof/>
          </w:rPr>
          <w:t>43</w:t>
        </w:r>
        <w:r w:rsidR="00857D12">
          <w:rPr>
            <w:noProof/>
          </w:rPr>
          <w:fldChar w:fldCharType="end"/>
        </w:r>
      </w:hyperlink>
    </w:p>
    <w:p w14:paraId="6C683725" w14:textId="77777777" w:rsidR="00857D12" w:rsidRDefault="008E1DBA">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A00FC2">
          <w:rPr>
            <w:noProof/>
          </w:rPr>
          <w:t>44</w:t>
        </w:r>
        <w:r w:rsidR="00857D12">
          <w:rPr>
            <w:noProof/>
          </w:rPr>
          <w:fldChar w:fldCharType="end"/>
        </w:r>
      </w:hyperlink>
    </w:p>
    <w:p w14:paraId="6C683726" w14:textId="77777777" w:rsidR="00857D12" w:rsidRDefault="008E1DBA">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A00FC2">
          <w:rPr>
            <w:noProof/>
          </w:rPr>
          <w:t>44</w:t>
        </w:r>
        <w:r w:rsidR="00857D12">
          <w:rPr>
            <w:noProof/>
          </w:rPr>
          <w:fldChar w:fldCharType="end"/>
        </w:r>
      </w:hyperlink>
    </w:p>
    <w:p w14:paraId="6C683727" w14:textId="77777777" w:rsidR="00857D12" w:rsidRDefault="008E1DBA">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A00FC2">
          <w:rPr>
            <w:noProof/>
          </w:rPr>
          <w:t>44</w:t>
        </w:r>
        <w:r w:rsidR="00857D12">
          <w:rPr>
            <w:noProof/>
          </w:rPr>
          <w:fldChar w:fldCharType="end"/>
        </w:r>
      </w:hyperlink>
    </w:p>
    <w:p w14:paraId="6C683728" w14:textId="77777777" w:rsidR="00857D12" w:rsidRDefault="008E1DBA">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A00FC2">
          <w:rPr>
            <w:noProof/>
          </w:rPr>
          <w:t>44</w:t>
        </w:r>
        <w:r w:rsidR="00857D12">
          <w:rPr>
            <w:noProof/>
          </w:rPr>
          <w:fldChar w:fldCharType="end"/>
        </w:r>
      </w:hyperlink>
    </w:p>
    <w:p w14:paraId="6C683729" w14:textId="77777777" w:rsidR="00857D12" w:rsidRDefault="008E1DBA">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A00FC2">
          <w:rPr>
            <w:noProof/>
          </w:rPr>
          <w:t>45</w:t>
        </w:r>
        <w:r w:rsidR="00857D12">
          <w:rPr>
            <w:noProof/>
          </w:rPr>
          <w:fldChar w:fldCharType="end"/>
        </w:r>
      </w:hyperlink>
    </w:p>
    <w:p w14:paraId="6C68372A" w14:textId="77777777" w:rsidR="00857D12" w:rsidRDefault="008E1DBA">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A00FC2">
          <w:rPr>
            <w:noProof/>
          </w:rPr>
          <w:t>45</w:t>
        </w:r>
        <w:r w:rsidR="00857D12">
          <w:rPr>
            <w:noProof/>
          </w:rPr>
          <w:fldChar w:fldCharType="end"/>
        </w:r>
      </w:hyperlink>
    </w:p>
    <w:p w14:paraId="6C68372B" w14:textId="77777777" w:rsidR="00857D12" w:rsidRDefault="008E1DBA">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A00FC2">
          <w:rPr>
            <w:noProof/>
          </w:rPr>
          <w:t>46</w:t>
        </w:r>
        <w:r w:rsidR="00857D12">
          <w:rPr>
            <w:noProof/>
          </w:rPr>
          <w:fldChar w:fldCharType="end"/>
        </w:r>
      </w:hyperlink>
    </w:p>
    <w:p w14:paraId="6C68372C" w14:textId="77777777" w:rsidR="00857D12" w:rsidRDefault="008E1DBA">
      <w:pPr>
        <w:pStyle w:val="TOC8"/>
        <w:rPr>
          <w:rFonts w:asciiTheme="minorHAnsi" w:eastAsiaTheme="minorEastAsia" w:hAnsiTheme="minorHAnsi" w:cstheme="minorBidi"/>
          <w:caps w:val="0"/>
          <w:noProof/>
          <w:szCs w:val="22"/>
          <w:lang w:eastAsia="en-GB"/>
        </w:rPr>
      </w:pPr>
      <w:hyperlink w:anchor="_Toc386011048" w:history="1">
        <w:r w:rsidR="00857D12" w:rsidRPr="008D5129">
          <w:rPr>
            <w:rStyle w:val="Hyperlink"/>
            <w:rFonts w:ascii="Arial" w:hAnsi="Arial" w:cs="Arial"/>
            <w:noProof/>
          </w:rPr>
          <w:t>Annex 1 – Part 1 SERVICE LEVELS</w:t>
        </w:r>
        <w:r w:rsidR="00857D12">
          <w:rPr>
            <w:noProof/>
          </w:rPr>
          <w:tab/>
        </w:r>
        <w:r w:rsidR="00857D12">
          <w:rPr>
            <w:noProof/>
          </w:rPr>
          <w:fldChar w:fldCharType="begin"/>
        </w:r>
        <w:r w:rsidR="00857D12">
          <w:rPr>
            <w:noProof/>
          </w:rPr>
          <w:instrText xml:space="preserve"> PAGEREF _Toc386011048 \h </w:instrText>
        </w:r>
        <w:r w:rsidR="00857D12">
          <w:rPr>
            <w:noProof/>
          </w:rPr>
        </w:r>
        <w:r w:rsidR="00857D12">
          <w:rPr>
            <w:noProof/>
          </w:rPr>
          <w:fldChar w:fldCharType="separate"/>
        </w:r>
        <w:r w:rsidR="00A00FC2">
          <w:rPr>
            <w:noProof/>
          </w:rPr>
          <w:t>48</w:t>
        </w:r>
        <w:r w:rsidR="00857D12">
          <w:rPr>
            <w:noProof/>
          </w:rPr>
          <w:fldChar w:fldCharType="end"/>
        </w:r>
      </w:hyperlink>
    </w:p>
    <w:p w14:paraId="6C68372D" w14:textId="77777777" w:rsidR="00857D12" w:rsidRDefault="008E1DBA">
      <w:pPr>
        <w:pStyle w:val="TOC8"/>
        <w:rPr>
          <w:rFonts w:asciiTheme="minorHAnsi" w:eastAsiaTheme="minorEastAsia" w:hAnsiTheme="minorHAnsi" w:cstheme="minorBidi"/>
          <w:caps w:val="0"/>
          <w:noProof/>
          <w:szCs w:val="22"/>
          <w:lang w:eastAsia="en-GB"/>
        </w:rPr>
      </w:pPr>
      <w:hyperlink w:anchor="_Toc386011049" w:history="1">
        <w:r w:rsidR="00857D12" w:rsidRPr="008D5129">
          <w:rPr>
            <w:rStyle w:val="Hyperlink"/>
            <w:rFonts w:ascii="Arial" w:hAnsi="Arial" w:cs="Arial"/>
            <w:noProof/>
          </w:rPr>
          <w:t>Annex 1 – PARt 2 POST ASSIGNMENT REVIEW TEMPLATE</w:t>
        </w:r>
        <w:r w:rsidR="00857D12">
          <w:rPr>
            <w:noProof/>
          </w:rPr>
          <w:tab/>
        </w:r>
        <w:r w:rsidR="00857D12">
          <w:rPr>
            <w:noProof/>
          </w:rPr>
          <w:fldChar w:fldCharType="begin"/>
        </w:r>
        <w:r w:rsidR="00857D12">
          <w:rPr>
            <w:noProof/>
          </w:rPr>
          <w:instrText xml:space="preserve"> PAGEREF _Toc386011049 \h </w:instrText>
        </w:r>
        <w:r w:rsidR="00857D12">
          <w:rPr>
            <w:noProof/>
          </w:rPr>
        </w:r>
        <w:r w:rsidR="00857D12">
          <w:rPr>
            <w:noProof/>
          </w:rPr>
          <w:fldChar w:fldCharType="separate"/>
        </w:r>
        <w:r w:rsidR="00A00FC2">
          <w:rPr>
            <w:noProof/>
          </w:rPr>
          <w:t>50</w:t>
        </w:r>
        <w:r w:rsidR="00857D12">
          <w:rPr>
            <w:noProof/>
          </w:rPr>
          <w:fldChar w:fldCharType="end"/>
        </w:r>
      </w:hyperlink>
    </w:p>
    <w:p w14:paraId="6C68372E" w14:textId="77777777" w:rsidR="00857D12" w:rsidRDefault="008E1DBA">
      <w:pPr>
        <w:pStyle w:val="TOC1"/>
        <w:rPr>
          <w:noProof/>
        </w:rPr>
      </w:pPr>
      <w:hyperlink w:anchor="_Toc386011050" w:history="1">
        <w:r w:rsidR="00857D12" w:rsidRPr="008D5129">
          <w:rPr>
            <w:rStyle w:val="Hyperlink"/>
            <w:rFonts w:cs="Arial"/>
            <w:noProof/>
          </w:rPr>
          <w:t>SCHEDULE 1 SECURITY REQUIREMENTS and PLAN</w:t>
        </w:r>
        <w:r w:rsidR="00857D12">
          <w:rPr>
            <w:noProof/>
          </w:rPr>
          <w:tab/>
        </w:r>
        <w:r w:rsidR="00857D12">
          <w:rPr>
            <w:noProof/>
          </w:rPr>
          <w:fldChar w:fldCharType="begin"/>
        </w:r>
        <w:r w:rsidR="00857D12">
          <w:rPr>
            <w:noProof/>
          </w:rPr>
          <w:instrText xml:space="preserve"> PAGEREF _Toc386011050 \h </w:instrText>
        </w:r>
        <w:r w:rsidR="00857D12">
          <w:rPr>
            <w:noProof/>
          </w:rPr>
        </w:r>
        <w:r w:rsidR="00857D12">
          <w:rPr>
            <w:noProof/>
          </w:rPr>
          <w:fldChar w:fldCharType="separate"/>
        </w:r>
        <w:r w:rsidR="00A00FC2">
          <w:rPr>
            <w:noProof/>
          </w:rPr>
          <w:t>57</w:t>
        </w:r>
        <w:r w:rsidR="00857D12">
          <w:rPr>
            <w:noProof/>
          </w:rPr>
          <w:fldChar w:fldCharType="end"/>
        </w:r>
      </w:hyperlink>
    </w:p>
    <w:p w14:paraId="6C68372F" w14:textId="77777777" w:rsidR="00D12972" w:rsidRDefault="00D12972">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EB5E38" w:rsidRDefault="005C28AA">
      <w:pPr>
        <w:pStyle w:val="Heading1"/>
        <w:rPr>
          <w:rFonts w:cs="Arial"/>
          <w:sz w:val="20"/>
        </w:rPr>
      </w:pPr>
      <w:bookmarkStart w:id="9" w:name="TOCField"/>
      <w:bookmarkStart w:id="10" w:name="_Toc386011023"/>
      <w:bookmarkEnd w:id="9"/>
      <w:r w:rsidRPr="00EB5E38">
        <w:rPr>
          <w:rFonts w:cs="Arial"/>
          <w:sz w:val="20"/>
        </w:rPr>
        <w:lastRenderedPageBreak/>
        <w:t>DEFINITIONS AND INTERPRETATION</w:t>
      </w:r>
      <w:bookmarkEnd w:id="10"/>
    </w:p>
    <w:p w14:paraId="6C683732" w14:textId="77777777" w:rsidR="00F807DC" w:rsidRPr="00EB5E38" w:rsidRDefault="007562F7">
      <w:pPr>
        <w:pStyle w:val="Heading2"/>
        <w:keepNext/>
        <w:rPr>
          <w:rFonts w:cs="Arial"/>
          <w:b/>
          <w:sz w:val="20"/>
        </w:rPr>
      </w:pPr>
      <w:r w:rsidRPr="00EB5E38">
        <w:rPr>
          <w:rFonts w:cs="Arial"/>
          <w:b/>
          <w:sz w:val="20"/>
        </w:rPr>
        <w:t>Definitions</w:t>
      </w:r>
    </w:p>
    <w:p w14:paraId="6C683733" w14:textId="77777777" w:rsidR="00F807DC" w:rsidRPr="00EB5E38" w:rsidRDefault="007562F7" w:rsidP="00A80570">
      <w:pPr>
        <w:pStyle w:val="BodyTextIndent"/>
        <w:keepNext/>
        <w:rPr>
          <w:rFonts w:cs="Arial"/>
          <w:sz w:val="20"/>
        </w:rPr>
      </w:pPr>
      <w:r w:rsidRPr="00EB5E38">
        <w:rPr>
          <w:rFonts w:cs="Arial"/>
          <w:sz w:val="20"/>
        </w:rPr>
        <w:t xml:space="preserve">In </w:t>
      </w:r>
      <w:r w:rsidR="0046589E" w:rsidRPr="00EB5E38">
        <w:rPr>
          <w:rFonts w:cs="Arial"/>
          <w:sz w:val="20"/>
        </w:rPr>
        <w:t>the Contract,</w:t>
      </w:r>
      <w:r w:rsidRPr="00EB5E38">
        <w:rPr>
          <w:rFonts w:cs="Arial"/>
          <w:sz w:val="20"/>
        </w:rPr>
        <w:t xml:space="preserve"> unless the context otherwise requires</w:t>
      </w:r>
      <w:r w:rsidR="0046589E" w:rsidRPr="00EB5E38">
        <w:rPr>
          <w:rFonts w:cs="Arial"/>
          <w:sz w:val="20"/>
        </w:rPr>
        <w:t>,</w:t>
      </w:r>
      <w:r w:rsidRPr="00EB5E38">
        <w:rPr>
          <w:rFonts w:cs="Arial"/>
          <w:sz w:val="20"/>
        </w:rPr>
        <w:t xml:space="preserve"> the following provisions shall have the meanings given to them below:</w:t>
      </w:r>
    </w:p>
    <w:p w14:paraId="6C683734" w14:textId="77777777" w:rsidR="001F4461" w:rsidRPr="00EB5E38" w:rsidRDefault="0052306C" w:rsidP="00A80570">
      <w:pPr>
        <w:pStyle w:val="BodyTextIndent"/>
        <w:rPr>
          <w:rFonts w:cs="Arial"/>
          <w:sz w:val="20"/>
        </w:rPr>
      </w:pPr>
      <w:r w:rsidRPr="00EB5E38">
        <w:rPr>
          <w:rFonts w:cs="Arial"/>
          <w:b/>
          <w:sz w:val="20"/>
        </w:rPr>
        <w:t xml:space="preserve"> </w:t>
      </w:r>
      <w:r w:rsidR="001F4461" w:rsidRPr="00EB5E38">
        <w:rPr>
          <w:rFonts w:cs="Arial"/>
          <w:b/>
          <w:sz w:val="20"/>
        </w:rPr>
        <w:t xml:space="preserve">“Authority” </w:t>
      </w:r>
      <w:r w:rsidR="001F4461" w:rsidRPr="00EB5E38">
        <w:rPr>
          <w:sz w:val="20"/>
        </w:rPr>
        <w:t>means THE MINISTER FOR THE CABINET OFFICE (“</w:t>
      </w:r>
      <w:r w:rsidR="001F4461" w:rsidRPr="00EB5E38">
        <w:rPr>
          <w:b/>
          <w:sz w:val="20"/>
        </w:rPr>
        <w:t>Cabinet Office</w:t>
      </w:r>
      <w:r w:rsidR="001F4461" w:rsidRPr="00EB5E38">
        <w:rPr>
          <w:sz w:val="20"/>
        </w:rPr>
        <w:t xml:space="preserve">”) as represented by </w:t>
      </w:r>
      <w:r w:rsidR="002C5215" w:rsidRPr="00EB5E38">
        <w:rPr>
          <w:sz w:val="20"/>
        </w:rPr>
        <w:t>Crown Commercial Service</w:t>
      </w:r>
      <w:r w:rsidR="001F4461" w:rsidRPr="00EB5E38">
        <w:rPr>
          <w:sz w:val="20"/>
        </w:rPr>
        <w:t xml:space="preserve">, being a separate trading fund of the Cabinet Office without separate legal personality, whose office is at the </w:t>
      </w:r>
      <w:r w:rsidR="001F4461" w:rsidRPr="00EB5E38">
        <w:rPr>
          <w:sz w:val="20"/>
          <w:lang w:val="en-US"/>
        </w:rPr>
        <w:t>9</w:t>
      </w:r>
      <w:r w:rsidR="001F4461" w:rsidRPr="00EB5E38">
        <w:rPr>
          <w:sz w:val="20"/>
          <w:vertAlign w:val="superscript"/>
          <w:lang w:val="en-US"/>
        </w:rPr>
        <w:t>th</w:t>
      </w:r>
      <w:r w:rsidR="001F4461" w:rsidRPr="00EB5E38">
        <w:rPr>
          <w:sz w:val="20"/>
          <w:lang w:val="en-US"/>
        </w:rPr>
        <w:t xml:space="preserve"> floor, The Capital, Old Hall Street, Liverpool, L3 9PP;</w:t>
      </w:r>
    </w:p>
    <w:p w14:paraId="6C683735" w14:textId="77777777" w:rsidR="00585376" w:rsidRPr="00EB5E38" w:rsidRDefault="00585376" w:rsidP="00A80570">
      <w:pPr>
        <w:spacing w:line="240" w:lineRule="auto"/>
        <w:ind w:left="709"/>
        <w:rPr>
          <w:sz w:val="20"/>
        </w:rPr>
      </w:pPr>
      <w:r w:rsidRPr="00EB5E38">
        <w:rPr>
          <w:rFonts w:cs="Arial"/>
          <w:b/>
          <w:sz w:val="20"/>
        </w:rPr>
        <w:t>“Base Location”</w:t>
      </w:r>
      <w:r w:rsidR="00FF652F" w:rsidRPr="00EB5E38">
        <w:rPr>
          <w:rFonts w:cs="Arial"/>
          <w:b/>
          <w:sz w:val="20"/>
        </w:rPr>
        <w:t xml:space="preserve"> </w:t>
      </w:r>
      <w:r w:rsidRPr="00EB5E38">
        <w:rPr>
          <w:sz w:val="20"/>
        </w:rPr>
        <w:t>means the location, specified by the customer (in</w:t>
      </w:r>
      <w:r w:rsidR="008379ED" w:rsidRPr="00EB5E38">
        <w:rPr>
          <w:sz w:val="20"/>
        </w:rPr>
        <w:t xml:space="preserve"> </w:t>
      </w:r>
      <w:r w:rsidR="005B2E88" w:rsidRPr="00EB5E38">
        <w:rPr>
          <w:sz w:val="20"/>
        </w:rPr>
        <w:t>the Letter of Appointment</w:t>
      </w:r>
      <w:r w:rsidRPr="00EB5E38">
        <w:rPr>
          <w:sz w:val="20"/>
        </w:rPr>
        <w:t>), at which the majority of the Required Services shall be delivered;</w:t>
      </w:r>
    </w:p>
    <w:p w14:paraId="6C683736"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“Call-off Term” </w:t>
      </w:r>
      <w:r w:rsidRPr="00EB5E38">
        <w:rPr>
          <w:rFonts w:cs="Arial"/>
          <w:sz w:val="20"/>
        </w:rPr>
        <w:t xml:space="preserve">means subject to Clause 8 (Termination), the term of this Contract as determined in accordance with </w:t>
      </w:r>
      <w:r w:rsidR="009925F8" w:rsidRPr="00EB5E38">
        <w:rPr>
          <w:rFonts w:cs="Arial"/>
          <w:sz w:val="20"/>
        </w:rPr>
        <w:t>section</w:t>
      </w:r>
      <w:r w:rsidRPr="00EB5E38">
        <w:rPr>
          <w:rFonts w:cs="Arial"/>
          <w:sz w:val="20"/>
        </w:rPr>
        <w:t xml:space="preserve"> </w:t>
      </w:r>
      <w:r w:rsidR="00E242A0" w:rsidRPr="00EB5E38">
        <w:rPr>
          <w:rFonts w:cs="Arial"/>
          <w:sz w:val="20"/>
        </w:rPr>
        <w:t>1</w:t>
      </w:r>
      <w:r w:rsidRPr="00EB5E38">
        <w:rPr>
          <w:rFonts w:cs="Arial"/>
          <w:sz w:val="20"/>
        </w:rPr>
        <w:t xml:space="preserve"> of Appendix 1 to the Letter of Appointment.</w:t>
      </w:r>
    </w:p>
    <w:p w14:paraId="6C683737" w14:textId="77777777" w:rsidR="001F4461" w:rsidRPr="00EB5E38" w:rsidRDefault="001F4461"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“Change of Control” </w:t>
      </w:r>
      <w:r w:rsidRPr="00EB5E38">
        <w:rPr>
          <w:rFonts w:cs="Arial"/>
          <w:sz w:val="20"/>
        </w:rPr>
        <w:t xml:space="preserve">means a change of control within the meaning of Section 450 of the Corporation Tax Act 2010. </w:t>
      </w:r>
    </w:p>
    <w:p w14:paraId="6C683738" w14:textId="77777777" w:rsidR="001F4461" w:rsidRPr="00EB5E38" w:rsidRDefault="001F4461"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“Commercially Sensitive Information” </w:t>
      </w:r>
      <w:r w:rsidRPr="00EB5E38">
        <w:rPr>
          <w:rFonts w:cs="Arial"/>
          <w:sz w:val="20"/>
        </w:rPr>
        <w:t>means the Confidential Information listed</w:t>
      </w:r>
      <w:r w:rsidR="00E81BCB" w:rsidRPr="00EB5E38">
        <w:rPr>
          <w:rFonts w:cs="Arial"/>
          <w:sz w:val="20"/>
        </w:rPr>
        <w:t xml:space="preserve"> (and as updated from time to time)</w:t>
      </w:r>
      <w:r w:rsidRPr="00EB5E38">
        <w:rPr>
          <w:rFonts w:cs="Arial"/>
          <w:sz w:val="20"/>
        </w:rPr>
        <w:t xml:space="preserve"> in Framework Schedule 8 (Commercially Sensitive Information) comprising commercially sensitive information:</w:t>
      </w:r>
    </w:p>
    <w:p w14:paraId="6C683739" w14:textId="77777777" w:rsidR="00FF652F" w:rsidRPr="00EB5E38" w:rsidRDefault="00B003D0" w:rsidP="00A80570">
      <w:pPr>
        <w:pStyle w:val="DefinitionNumbering1"/>
        <w:numPr>
          <w:ilvl w:val="0"/>
          <w:numId w:val="0"/>
        </w:numPr>
        <w:ind w:left="1123" w:hanging="403"/>
        <w:rPr>
          <w:rFonts w:ascii="Arial" w:hAnsi="Arial" w:cs="Arial"/>
          <w:sz w:val="20"/>
        </w:rPr>
      </w:pPr>
      <w:r w:rsidRPr="00EB5E38" w:rsidDel="00B003D0">
        <w:rPr>
          <w:rFonts w:cs="Arial"/>
          <w:b/>
          <w:sz w:val="20"/>
        </w:rPr>
        <w:t xml:space="preserve"> </w:t>
      </w:r>
      <w:r w:rsidR="00FF652F" w:rsidRPr="00EB5E38">
        <w:rPr>
          <w:rFonts w:ascii="Arial" w:hAnsi="Arial" w:cs="Arial"/>
          <w:sz w:val="20"/>
        </w:rPr>
        <w:t xml:space="preserve">a)   </w:t>
      </w:r>
      <w:r w:rsidR="00A504A1" w:rsidRPr="00EB5E38">
        <w:rPr>
          <w:rFonts w:ascii="Arial" w:hAnsi="Arial" w:cs="Arial"/>
          <w:sz w:val="20"/>
        </w:rPr>
        <w:tab/>
      </w:r>
      <w:r w:rsidR="00FF652F" w:rsidRPr="00EB5E38">
        <w:rPr>
          <w:rFonts w:ascii="Arial" w:hAnsi="Arial" w:cs="Arial"/>
          <w:sz w:val="20"/>
        </w:rPr>
        <w:t>relating to the Supplier, its IPR or its business or information which the Supplier has indicated to the Authority that, if disclosed by the Authority, would cause the Supplier significant commercial disadvantage or material financial loss;</w:t>
      </w:r>
    </w:p>
    <w:p w14:paraId="6C68373A" w14:textId="77777777" w:rsidR="00FF652F" w:rsidRPr="00EB5E38" w:rsidRDefault="00FF652F" w:rsidP="00A80570">
      <w:pPr>
        <w:pStyle w:val="DefinitionNumbering1"/>
        <w:numPr>
          <w:ilvl w:val="0"/>
          <w:numId w:val="0"/>
        </w:numPr>
        <w:ind w:left="1123" w:hanging="403"/>
        <w:rPr>
          <w:rFonts w:ascii="Arial" w:hAnsi="Arial" w:cs="Arial"/>
          <w:sz w:val="20"/>
        </w:rPr>
      </w:pPr>
      <w:r w:rsidRPr="00EB5E38">
        <w:rPr>
          <w:rFonts w:ascii="Arial" w:hAnsi="Arial" w:cs="Arial"/>
          <w:sz w:val="20"/>
        </w:rPr>
        <w:t xml:space="preserve">b) </w:t>
      </w:r>
      <w:r w:rsidR="00A504A1" w:rsidRPr="00EB5E38">
        <w:rPr>
          <w:rFonts w:ascii="Arial" w:hAnsi="Arial" w:cs="Arial"/>
          <w:sz w:val="20"/>
        </w:rPr>
        <w:tab/>
      </w:r>
      <w:r w:rsidRPr="00EB5E38">
        <w:rPr>
          <w:rFonts w:ascii="Arial" w:hAnsi="Arial" w:cs="Arial"/>
          <w:sz w:val="20"/>
        </w:rPr>
        <w:t>that constitutes a trade secret;</w:t>
      </w:r>
    </w:p>
    <w:p w14:paraId="6C68373B"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“Confidential Information” </w:t>
      </w:r>
      <w:r w:rsidRPr="00EB5E38">
        <w:rPr>
          <w:rFonts w:cs="Arial"/>
          <w:sz w:val="20"/>
        </w:rPr>
        <w:t>means as the context allows, the Customer's Confidential Information and/or the Supplier's Confidential Information;</w:t>
      </w:r>
    </w:p>
    <w:p w14:paraId="6C68373C"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"Contract" </w:t>
      </w:r>
      <w:r w:rsidRPr="00EB5E38">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6C68373D" w14:textId="77777777" w:rsidR="00FF652F" w:rsidRPr="00EB5E38" w:rsidRDefault="00FF652F"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"Contract Charges" </w:t>
      </w:r>
      <w:r w:rsidRPr="00EB5E38">
        <w:rPr>
          <w:rFonts w:cs="Arial"/>
          <w:sz w:val="20"/>
        </w:rPr>
        <w:t>means the prices (exclusive of any applicable VAT), payable to the Supplier by the Customer under the Contract for the full and proper performance by the Supplier of the Contract Services;</w:t>
      </w:r>
    </w:p>
    <w:p w14:paraId="6C68373E" w14:textId="77777777" w:rsidR="00FF652F" w:rsidRPr="00EB5E38" w:rsidRDefault="00B003D0" w:rsidP="00A80570">
      <w:pPr>
        <w:pStyle w:val="BodyTextIndent"/>
        <w:tabs>
          <w:tab w:val="clear" w:pos="720"/>
        </w:tabs>
        <w:overflowPunct w:val="0"/>
        <w:autoSpaceDE w:val="0"/>
        <w:autoSpaceDN w:val="0"/>
        <w:ind w:left="709"/>
        <w:textAlignment w:val="baseline"/>
        <w:rPr>
          <w:rFonts w:cs="Arial"/>
          <w:b/>
          <w:sz w:val="20"/>
        </w:rPr>
      </w:pPr>
      <w:r w:rsidRPr="00EB5E38" w:rsidDel="00B003D0">
        <w:rPr>
          <w:rFonts w:cs="Arial"/>
          <w:b/>
          <w:sz w:val="20"/>
        </w:rPr>
        <w:t xml:space="preserve"> </w:t>
      </w:r>
      <w:r w:rsidR="00A504A1" w:rsidRPr="00EB5E38">
        <w:rPr>
          <w:rFonts w:cs="Arial"/>
          <w:b/>
          <w:sz w:val="20"/>
        </w:rPr>
        <w:t xml:space="preserve">“Contract Mediator” </w:t>
      </w:r>
      <w:r w:rsidR="00A504A1" w:rsidRPr="00EB5E38">
        <w:rPr>
          <w:rFonts w:cs="Arial"/>
          <w:sz w:val="20"/>
        </w:rPr>
        <w:t xml:space="preserve">has the meaning set out in </w:t>
      </w:r>
      <w:r w:rsidR="006C7585" w:rsidRPr="00EB5E38">
        <w:rPr>
          <w:rFonts w:cs="Arial"/>
          <w:sz w:val="20"/>
        </w:rPr>
        <w:t>c</w:t>
      </w:r>
      <w:r w:rsidR="00A504A1" w:rsidRPr="00EB5E38">
        <w:rPr>
          <w:rFonts w:cs="Arial"/>
          <w:sz w:val="20"/>
        </w:rPr>
        <w:t>lause 23.2.5.1;</w:t>
      </w:r>
    </w:p>
    <w:p w14:paraId="6C68373F" w14:textId="77777777" w:rsidR="00A504A1"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b/>
          <w:sz w:val="20"/>
        </w:rPr>
        <w:t>"Contract Services"</w:t>
      </w:r>
      <w:r w:rsidRPr="00EB5E38">
        <w:rPr>
          <w:sz w:val="20"/>
        </w:rPr>
        <w:t xml:space="preserve"> </w:t>
      </w:r>
      <w:r w:rsidRPr="00EB5E38">
        <w:rPr>
          <w:rFonts w:cs="Arial"/>
          <w:sz w:val="20"/>
        </w:rPr>
        <w:t>means the Services to be supplied by the Supplier to the Customer as set out in the Letter of Appointment;</w:t>
      </w:r>
    </w:p>
    <w:p w14:paraId="6C683741" w14:textId="14B5B2EA" w:rsidR="00A504A1" w:rsidRPr="00EB5E38" w:rsidRDefault="0052306C" w:rsidP="00A80570">
      <w:pPr>
        <w:pStyle w:val="BodyTextIndent"/>
        <w:tabs>
          <w:tab w:val="clear" w:pos="720"/>
          <w:tab w:val="num" w:pos="132"/>
        </w:tabs>
        <w:ind w:left="709"/>
        <w:rPr>
          <w:sz w:val="20"/>
        </w:rPr>
      </w:pPr>
      <w:r w:rsidRPr="00EB5E38" w:rsidDel="00523694">
        <w:rPr>
          <w:rFonts w:cs="Arial"/>
          <w:sz w:val="20"/>
        </w:rPr>
        <w:t xml:space="preserve"> </w:t>
      </w:r>
      <w:r w:rsidR="00A504A1" w:rsidRPr="00EB5E38">
        <w:rPr>
          <w:b/>
          <w:sz w:val="20"/>
        </w:rPr>
        <w:t>“Customer”</w:t>
      </w:r>
      <w:r w:rsidR="00A504A1" w:rsidRPr="00EB5E38">
        <w:rPr>
          <w:sz w:val="20"/>
        </w:rPr>
        <w:t xml:space="preserve"> </w:t>
      </w:r>
      <w:r w:rsidR="00A504A1" w:rsidRPr="00EB5E38">
        <w:rPr>
          <w:rFonts w:cs="Arial"/>
          <w:sz w:val="20"/>
        </w:rPr>
        <w:t xml:space="preserve">means the Contracting Body </w:t>
      </w:r>
      <w:r w:rsidR="00E242A0" w:rsidRPr="00EB5E38">
        <w:rPr>
          <w:rFonts w:cs="Arial"/>
          <w:sz w:val="20"/>
        </w:rPr>
        <w:t xml:space="preserve">named in the </w:t>
      </w:r>
      <w:r w:rsidR="00A504A1" w:rsidRPr="00EB5E38">
        <w:rPr>
          <w:rFonts w:cs="Arial"/>
          <w:sz w:val="20"/>
        </w:rPr>
        <w:t>Letter of Appointment;</w:t>
      </w:r>
    </w:p>
    <w:p w14:paraId="6C683742" w14:textId="77777777" w:rsidR="00523694"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"Customer’s Confidential Information" </w:t>
      </w:r>
      <w:r w:rsidRPr="00EB5E38">
        <w:rPr>
          <w:rFonts w:cs="Arial"/>
          <w:sz w:val="20"/>
        </w:rPr>
        <w:t>means</w:t>
      </w:r>
    </w:p>
    <w:p w14:paraId="6C683743" w14:textId="77777777" w:rsidR="00523694" w:rsidRPr="00EB5E38" w:rsidRDefault="00523694" w:rsidP="00523694">
      <w:pPr>
        <w:pStyle w:val="DefinitionNumbering1"/>
        <w:rPr>
          <w:rFonts w:ascii="Arial" w:hAnsi="Arial" w:cs="Arial"/>
          <w:sz w:val="20"/>
        </w:rPr>
      </w:pPr>
      <w:r w:rsidRPr="00EB5E38">
        <w:rPr>
          <w:rFonts w:ascii="Arial" w:hAnsi="Arial" w:cs="Arial"/>
          <w:sz w:val="20"/>
        </w:rPr>
        <w:t>Information, including all Personal Data, which (however it is conveyed) is provided by the Customer to the Supplier (or otherwise acquired by the Supplier) pursuant to or in anticipation of this Contract that relates to:</w:t>
      </w:r>
    </w:p>
    <w:p w14:paraId="6C683744" w14:textId="77777777" w:rsidR="00523694" w:rsidRPr="00EB5E38" w:rsidRDefault="00523694" w:rsidP="00523694">
      <w:pPr>
        <w:pStyle w:val="DefinitionNumbering2"/>
        <w:rPr>
          <w:rFonts w:ascii="Arial" w:hAnsi="Arial" w:cs="Arial"/>
          <w:sz w:val="20"/>
        </w:rPr>
      </w:pPr>
      <w:r w:rsidRPr="00EB5E38">
        <w:rPr>
          <w:rFonts w:ascii="Arial" w:hAnsi="Arial" w:cs="Arial"/>
          <w:sz w:val="20"/>
        </w:rPr>
        <w:lastRenderedPageBreak/>
        <w:t xml:space="preserve">the Customer or any Crown body; or </w:t>
      </w:r>
    </w:p>
    <w:p w14:paraId="6C683745" w14:textId="77777777" w:rsidR="00523694" w:rsidRPr="00EB5E38" w:rsidRDefault="00523694" w:rsidP="00523694">
      <w:pPr>
        <w:pStyle w:val="DefinitionNumbering2"/>
        <w:rPr>
          <w:rFonts w:ascii="Arial" w:hAnsi="Arial" w:cs="Arial"/>
          <w:sz w:val="20"/>
        </w:rPr>
      </w:pPr>
      <w:r w:rsidRPr="00EB5E38">
        <w:rPr>
          <w:rFonts w:ascii="Arial" w:hAnsi="Arial" w:cs="Arial"/>
          <w:sz w:val="20"/>
        </w:rPr>
        <w:t>the operations, business, affairs, developments, intellectual property rights, trade secrets, know-how and/or personnel of the Customer or any Crown body;</w:t>
      </w:r>
    </w:p>
    <w:p w14:paraId="6C683746" w14:textId="77777777" w:rsidR="00523694" w:rsidRPr="00EB5E38" w:rsidRDefault="00523694" w:rsidP="00523694">
      <w:pPr>
        <w:pStyle w:val="DefinitionNumbering1"/>
        <w:rPr>
          <w:rFonts w:ascii="Arial" w:hAnsi="Arial" w:cs="Arial"/>
          <w:sz w:val="20"/>
        </w:rPr>
      </w:pPr>
      <w:r w:rsidRPr="00EB5E38">
        <w:rPr>
          <w:rFonts w:ascii="Arial" w:hAnsi="Arial" w:cs="Arial"/>
          <w:sz w:val="20"/>
        </w:rPr>
        <w:t xml:space="preserve">other Information provided by the Customer 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p>
    <w:p w14:paraId="6C683747" w14:textId="77777777" w:rsidR="00523694" w:rsidRPr="00EB5E38" w:rsidRDefault="00523694" w:rsidP="00523694">
      <w:pPr>
        <w:pStyle w:val="DefinitionNumbering1"/>
        <w:rPr>
          <w:rFonts w:ascii="Arial" w:hAnsi="Arial" w:cs="Arial"/>
          <w:sz w:val="20"/>
        </w:rPr>
      </w:pPr>
      <w:r w:rsidRPr="00EB5E38">
        <w:rPr>
          <w:rFonts w:ascii="Arial" w:hAnsi="Arial" w:cs="Arial"/>
          <w:sz w:val="20"/>
        </w:rPr>
        <w:t>discussions, negotiations, and correspondence between the Customer or any of its directors, officers, employees, consultants or professional advisers and the Supplier or any of its directors, officers, employees, consultants and professional advisers in connection with this Contract (directly or indirectly) or any other matters relating to the Customer and Crown bodies; and</w:t>
      </w:r>
    </w:p>
    <w:p w14:paraId="6C68374A" w14:textId="662C9EB1" w:rsidR="00A504A1" w:rsidRPr="00EB5E38" w:rsidRDefault="00523694" w:rsidP="008A1658">
      <w:pPr>
        <w:pStyle w:val="DefinitionNumbering1"/>
        <w:rPr>
          <w:rFonts w:ascii="Arial" w:hAnsi="Arial" w:cs="Arial"/>
          <w:sz w:val="20"/>
        </w:rPr>
      </w:pPr>
      <w:r w:rsidRPr="00EB5E38">
        <w:rPr>
          <w:rFonts w:ascii="Arial" w:hAnsi="Arial" w:cs="Arial"/>
          <w:sz w:val="20"/>
        </w:rPr>
        <w:t>Information derived from any of the above.</w:t>
      </w:r>
    </w:p>
    <w:p w14:paraId="6C68374B" w14:textId="77777777" w:rsidR="00A504A1" w:rsidRPr="00EB5E38" w:rsidRDefault="00A504A1" w:rsidP="00A80570">
      <w:pPr>
        <w:pStyle w:val="BodyTextIndent"/>
        <w:numPr>
          <w:ilvl w:val="0"/>
          <w:numId w:val="0"/>
        </w:numPr>
        <w:overflowPunct w:val="0"/>
        <w:autoSpaceDE w:val="0"/>
        <w:autoSpaceDN w:val="0"/>
        <w:ind w:left="709"/>
        <w:textAlignment w:val="baseline"/>
        <w:rPr>
          <w:rFonts w:cs="Arial"/>
          <w:sz w:val="20"/>
        </w:rPr>
      </w:pPr>
      <w:r w:rsidRPr="00EB5E38">
        <w:rPr>
          <w:b/>
          <w:sz w:val="20"/>
        </w:rPr>
        <w:t>"Customer’s Personal Data"</w:t>
      </w:r>
      <w:r w:rsidRPr="00EB5E38">
        <w:rPr>
          <w:sz w:val="20"/>
        </w:rPr>
        <w:t xml:space="preserve"> </w:t>
      </w:r>
      <w:r w:rsidRPr="00EB5E38">
        <w:rPr>
          <w:rFonts w:cs="Arial"/>
          <w:sz w:val="20"/>
        </w:rPr>
        <w:t>means the Personal Data supplied by the Customer to the Supplier and, for the purposes of or in connection with the Contract;</w:t>
      </w:r>
    </w:p>
    <w:p w14:paraId="6C68374C" w14:textId="77777777" w:rsidR="00A504A1"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b/>
          <w:sz w:val="20"/>
        </w:rPr>
        <w:t>"Customer’s Representative"</w:t>
      </w:r>
      <w:r w:rsidRPr="00EB5E38">
        <w:rPr>
          <w:sz w:val="20"/>
        </w:rPr>
        <w:t xml:space="preserve"> </w:t>
      </w:r>
      <w:r w:rsidRPr="00EB5E38">
        <w:rPr>
          <w:rFonts w:cs="Arial"/>
          <w:sz w:val="20"/>
        </w:rPr>
        <w:t>means the representative of the Customer appointed by the Customer from time to time in relation to the Contract and notified to the Supplier;</w:t>
      </w:r>
    </w:p>
    <w:p w14:paraId="6C68374D" w14:textId="77777777" w:rsidR="0064733A" w:rsidRPr="00EB5E38" w:rsidRDefault="0064733A" w:rsidP="00A80570">
      <w:pPr>
        <w:spacing w:line="240" w:lineRule="auto"/>
        <w:ind w:left="709"/>
        <w:rPr>
          <w:sz w:val="20"/>
        </w:rPr>
      </w:pPr>
      <w:r w:rsidRPr="00EB5E38">
        <w:rPr>
          <w:b/>
          <w:sz w:val="20"/>
        </w:rPr>
        <w:t>“Day Rate”</w:t>
      </w:r>
      <w:r w:rsidRPr="00EB5E38">
        <w:rPr>
          <w:sz w:val="20"/>
        </w:rPr>
        <w:t xml:space="preserve"> means the rate per day per grade tendered by the Supplier in the Supplier’s proposal that shall never be exceeded within this Contract</w:t>
      </w:r>
      <w:r w:rsidR="00941D14" w:rsidRPr="00EB5E38">
        <w:rPr>
          <w:sz w:val="20"/>
        </w:rPr>
        <w:t>;</w:t>
      </w:r>
    </w:p>
    <w:p w14:paraId="6C68374E" w14:textId="77777777" w:rsidR="004B5B7A" w:rsidRPr="005B7D6A" w:rsidRDefault="004B5B7A" w:rsidP="00A80570">
      <w:pPr>
        <w:pStyle w:val="BodyTextIndent"/>
        <w:numPr>
          <w:ilvl w:val="0"/>
          <w:numId w:val="0"/>
        </w:numPr>
        <w:overflowPunct w:val="0"/>
        <w:autoSpaceDE w:val="0"/>
        <w:autoSpaceDN w:val="0"/>
        <w:ind w:left="709"/>
        <w:textAlignment w:val="baseline"/>
        <w:rPr>
          <w:rFonts w:cs="Arial"/>
          <w:sz w:val="20"/>
        </w:rPr>
      </w:pPr>
      <w:r w:rsidRPr="00EB5E38">
        <w:rPr>
          <w:b/>
          <w:sz w:val="20"/>
        </w:rPr>
        <w:t>“Deliverables”</w:t>
      </w:r>
      <w:r w:rsidRPr="00EB5E38">
        <w:rPr>
          <w:sz w:val="20"/>
        </w:rPr>
        <w:t xml:space="preserve"> </w:t>
      </w:r>
      <w:r w:rsidRPr="00EB5E38">
        <w:rPr>
          <w:rFonts w:cs="Arial"/>
          <w:sz w:val="20"/>
        </w:rPr>
        <w:t xml:space="preserve">means those deliverables listed </w:t>
      </w:r>
      <w:r w:rsidRPr="005B7D6A">
        <w:rPr>
          <w:rFonts w:cs="Arial"/>
          <w:sz w:val="20"/>
        </w:rPr>
        <w:t>in Appendix 1 of the Letter of Appointment;</w:t>
      </w:r>
    </w:p>
    <w:p w14:paraId="6C68374F" w14:textId="43D3921A"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5B7D6A">
        <w:rPr>
          <w:rFonts w:cs="Arial"/>
          <w:b/>
          <w:sz w:val="20"/>
        </w:rPr>
        <w:t xml:space="preserve">“Effective Date” </w:t>
      </w:r>
      <w:r w:rsidRPr="005B7D6A">
        <w:rPr>
          <w:rFonts w:cs="Arial"/>
          <w:sz w:val="20"/>
        </w:rPr>
        <w:t xml:space="preserve">means </w:t>
      </w:r>
      <w:r w:rsidR="00412859" w:rsidRPr="005B7D6A">
        <w:rPr>
          <w:rFonts w:cs="Arial"/>
          <w:sz w:val="20"/>
        </w:rPr>
        <w:t>27</w:t>
      </w:r>
      <w:r w:rsidR="00412859" w:rsidRPr="005B7D6A">
        <w:rPr>
          <w:rFonts w:cs="Arial"/>
          <w:sz w:val="20"/>
          <w:vertAlign w:val="superscript"/>
        </w:rPr>
        <w:t>th</w:t>
      </w:r>
      <w:r w:rsidR="00412859" w:rsidRPr="005B7D6A">
        <w:rPr>
          <w:rFonts w:cs="Arial"/>
          <w:sz w:val="20"/>
        </w:rPr>
        <w:t xml:space="preserve"> October 2017</w:t>
      </w:r>
      <w:r w:rsidRPr="005B7D6A">
        <w:rPr>
          <w:rFonts w:cs="Arial"/>
          <w:sz w:val="20"/>
        </w:rPr>
        <w:t xml:space="preserve"> the date on which the Contract shall take effect as stated in paragraph 1 of Appendix 1 to the Letter</w:t>
      </w:r>
      <w:r w:rsidRPr="00EB5E38">
        <w:rPr>
          <w:rFonts w:cs="Arial"/>
          <w:sz w:val="20"/>
        </w:rPr>
        <w:t xml:space="preserve"> of Appointment. </w:t>
      </w:r>
    </w:p>
    <w:p w14:paraId="6C683750"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b/>
          <w:sz w:val="20"/>
        </w:rPr>
        <w:t>“Equality Legislation”</w:t>
      </w:r>
      <w:r w:rsidRPr="00EB5E38">
        <w:rPr>
          <w:sz w:val="20"/>
        </w:rPr>
        <w:t xml:space="preserve"> </w:t>
      </w:r>
      <w:r w:rsidRPr="00EB5E38">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EB5E38" w:rsidRDefault="00A8392B" w:rsidP="00A80570">
      <w:pPr>
        <w:pStyle w:val="BodyTextIndent"/>
        <w:tabs>
          <w:tab w:val="clear" w:pos="720"/>
        </w:tabs>
        <w:overflowPunct w:val="0"/>
        <w:autoSpaceDE w:val="0"/>
        <w:autoSpaceDN w:val="0"/>
        <w:ind w:left="709"/>
        <w:textAlignment w:val="baseline"/>
        <w:rPr>
          <w:sz w:val="20"/>
        </w:rPr>
      </w:pPr>
      <w:r w:rsidRPr="00EB5E38">
        <w:rPr>
          <w:rFonts w:cs="Arial"/>
          <w:b/>
          <w:sz w:val="20"/>
        </w:rPr>
        <w:t xml:space="preserve">“Framework Agreement” </w:t>
      </w:r>
      <w:r w:rsidRPr="00EB5E38">
        <w:rPr>
          <w:rFonts w:cs="Arial"/>
          <w:sz w:val="20"/>
        </w:rPr>
        <w:t>means the framework agreement between the Authority and the Supplier referred to in the Letter of Appointment</w:t>
      </w:r>
    </w:p>
    <w:p w14:paraId="6C683752" w14:textId="77777777" w:rsidR="00A8392B" w:rsidRPr="00EB5E38"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EB5E38">
        <w:rPr>
          <w:b/>
          <w:sz w:val="20"/>
        </w:rPr>
        <w:t>“Fraud”</w:t>
      </w:r>
      <w:r w:rsidRPr="00EB5E38">
        <w:rPr>
          <w:sz w:val="20"/>
        </w:rPr>
        <w:t xml:space="preserve"> </w:t>
      </w:r>
      <w:r w:rsidRPr="00EB5E38">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EB5E38"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Pr="00EB5E38" w:rsidRDefault="00A8392B" w:rsidP="00A80570">
      <w:pPr>
        <w:pStyle w:val="BodyTextIndent"/>
        <w:tabs>
          <w:tab w:val="clear" w:pos="720"/>
        </w:tabs>
        <w:overflowPunct w:val="0"/>
        <w:autoSpaceDE w:val="0"/>
        <w:autoSpaceDN w:val="0"/>
        <w:spacing w:after="0"/>
        <w:ind w:left="709"/>
        <w:textAlignment w:val="baseline"/>
        <w:rPr>
          <w:rFonts w:cs="Arial"/>
          <w:sz w:val="20"/>
        </w:rPr>
      </w:pPr>
      <w:r w:rsidRPr="00EB5E38">
        <w:rPr>
          <w:rFonts w:cs="Arial"/>
          <w:b/>
          <w:sz w:val="20"/>
        </w:rPr>
        <w:t xml:space="preserve">“Good Industry Practice” </w:t>
      </w:r>
      <w:r w:rsidRPr="00EB5E38">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Pr="00EB5E38"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EB5E38" w:rsidRDefault="00A8392B" w:rsidP="00A80570">
      <w:pPr>
        <w:pStyle w:val="BodyTextIndent"/>
        <w:numPr>
          <w:ilvl w:val="0"/>
          <w:numId w:val="0"/>
        </w:numPr>
        <w:ind w:left="709"/>
        <w:rPr>
          <w:rFonts w:cs="Arial"/>
          <w:sz w:val="20"/>
        </w:rPr>
      </w:pPr>
      <w:r w:rsidRPr="00EB5E38">
        <w:rPr>
          <w:b/>
          <w:sz w:val="20"/>
        </w:rPr>
        <w:t>“Grave Misconduct”</w:t>
      </w:r>
      <w:r w:rsidRPr="00EB5E38">
        <w:rPr>
          <w:sz w:val="20"/>
        </w:rPr>
        <w:t xml:space="preserve"> </w:t>
      </w:r>
      <w:r w:rsidRPr="00EB5E38">
        <w:rPr>
          <w:rFonts w:cs="Arial"/>
          <w:sz w:val="20"/>
        </w:rPr>
        <w:t>means grave misconduct within Regulation 23(4)(e) of the Public Contracts Regulations 2006 as amended and includes:</w:t>
      </w:r>
    </w:p>
    <w:p w14:paraId="6C683757" w14:textId="77777777" w:rsidR="00A8392B" w:rsidRPr="00EB5E38" w:rsidRDefault="00A8392B" w:rsidP="00A80570">
      <w:pPr>
        <w:pStyle w:val="DefinitionNumbering1"/>
        <w:numPr>
          <w:ilvl w:val="2"/>
          <w:numId w:val="8"/>
        </w:numPr>
        <w:tabs>
          <w:tab w:val="clear" w:pos="2880"/>
          <w:tab w:val="num" w:pos="34"/>
        </w:tabs>
        <w:ind w:left="709" w:firstLine="0"/>
        <w:rPr>
          <w:rFonts w:ascii="Arial" w:hAnsi="Arial" w:cs="Arial"/>
          <w:sz w:val="20"/>
        </w:rPr>
      </w:pPr>
      <w:r w:rsidRPr="00EB5E38">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E38" w:rsidRDefault="00A8392B" w:rsidP="00A80570">
      <w:pPr>
        <w:pStyle w:val="DefinitionNumbering1"/>
        <w:numPr>
          <w:ilvl w:val="0"/>
          <w:numId w:val="0"/>
        </w:numPr>
        <w:ind w:left="709"/>
        <w:rPr>
          <w:rFonts w:ascii="Arial" w:hAnsi="Arial" w:cs="Arial"/>
          <w:sz w:val="20"/>
        </w:rPr>
      </w:pPr>
      <w:r w:rsidRPr="00EB5E38">
        <w:rPr>
          <w:rFonts w:ascii="Arial" w:hAnsi="Arial" w:cs="Arial"/>
          <w:sz w:val="20"/>
        </w:rPr>
        <w:lastRenderedPageBreak/>
        <w:t>(b) poor performance or a serious breach or breaches which are the subject of proceedings concerning a contract between the Crown or any Contracting Body and the Supplier; or</w:t>
      </w:r>
    </w:p>
    <w:p w14:paraId="6C683759" w14:textId="77777777" w:rsidR="00A8392B" w:rsidRPr="00EB5E3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E38">
        <w:rPr>
          <w:rFonts w:ascii="Arial" w:hAnsi="Arial" w:cs="Arial"/>
          <w:sz w:val="20"/>
        </w:rPr>
        <w:t>(c) serious financial irregularities on the part of the Supplier (within any legal jurisdiction); or</w:t>
      </w:r>
    </w:p>
    <w:p w14:paraId="6C68375A" w14:textId="77777777" w:rsidR="00A8392B" w:rsidRPr="00EB5E3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E38">
        <w:rPr>
          <w:rFonts w:ascii="Arial" w:hAnsi="Arial" w:cs="Arial"/>
          <w:sz w:val="20"/>
        </w:rPr>
        <w:t>(d) misconduct which would be regarded as serious by any regulatory body for a trade or profession,</w:t>
      </w:r>
    </w:p>
    <w:p w14:paraId="6C68375B" w14:textId="77777777" w:rsidR="00A8392B" w:rsidRPr="00EB5E38" w:rsidRDefault="00A8392B" w:rsidP="00A80570">
      <w:pPr>
        <w:pStyle w:val="BodyTextIndent"/>
        <w:ind w:left="709"/>
      </w:pPr>
      <w:r w:rsidRPr="00EB5E3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Pr="00EB5E38"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EB5E38" w:rsidDel="00B003D0">
        <w:rPr>
          <w:rFonts w:cs="Arial"/>
          <w:b/>
          <w:sz w:val="20"/>
        </w:rPr>
        <w:t xml:space="preserve">  </w:t>
      </w:r>
      <w:r w:rsidR="004B5B7A" w:rsidRPr="00EB5E38">
        <w:rPr>
          <w:b/>
          <w:sz w:val="20"/>
        </w:rPr>
        <w:t xml:space="preserve">“Implementation Plan” </w:t>
      </w:r>
      <w:r w:rsidR="004B5B7A" w:rsidRPr="00EB5E38">
        <w:rPr>
          <w:rFonts w:cs="Arial"/>
          <w:sz w:val="20"/>
        </w:rPr>
        <w:t>means the plan referred to in Appendix 1 to the Letter of Appointment;</w:t>
      </w:r>
    </w:p>
    <w:p w14:paraId="6C68375D" w14:textId="77777777" w:rsidR="00033C26" w:rsidRPr="00EB5E38"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E38" w:rsidRDefault="00A8392B" w:rsidP="00A80570">
      <w:pPr>
        <w:pStyle w:val="BodyTextIndent"/>
        <w:keepNext/>
        <w:numPr>
          <w:ilvl w:val="0"/>
          <w:numId w:val="0"/>
        </w:numPr>
        <w:ind w:left="709"/>
        <w:rPr>
          <w:rFonts w:cs="Arial"/>
          <w:sz w:val="20"/>
        </w:rPr>
      </w:pPr>
      <w:r w:rsidRPr="00EB5E38">
        <w:rPr>
          <w:rFonts w:cs="Arial"/>
          <w:b/>
          <w:sz w:val="20"/>
        </w:rPr>
        <w:t xml:space="preserve">“Intellectual Property Rights” or “IPR” </w:t>
      </w:r>
      <w:r w:rsidRPr="00EB5E38">
        <w:rPr>
          <w:rFonts w:cs="Arial"/>
          <w:sz w:val="20"/>
        </w:rPr>
        <w:t>means:</w:t>
      </w:r>
    </w:p>
    <w:p w14:paraId="6C68375F"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Pr="00EB5E38"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EB5E38">
        <w:rPr>
          <w:rFonts w:cs="Arial"/>
          <w:b/>
          <w:sz w:val="20"/>
        </w:rPr>
        <w:t xml:space="preserve">"Information" </w:t>
      </w:r>
      <w:r w:rsidRPr="00EB5E38">
        <w:rPr>
          <w:rFonts w:cs="Arial"/>
          <w:sz w:val="20"/>
        </w:rPr>
        <w:t>has the meaning given under section 84 of the FOIA</w:t>
      </w:r>
    </w:p>
    <w:p w14:paraId="6C683763" w14:textId="77777777" w:rsidR="004B5B7A" w:rsidRPr="00EB5E38"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EB5E38" w:rsidDel="00B003D0">
        <w:rPr>
          <w:rFonts w:cs="Arial"/>
          <w:b/>
          <w:sz w:val="20"/>
        </w:rPr>
        <w:t xml:space="preserve"> </w:t>
      </w:r>
      <w:r w:rsidR="004B5B7A" w:rsidRPr="00EB5E38">
        <w:rPr>
          <w:rFonts w:cs="Arial"/>
          <w:b/>
          <w:sz w:val="20"/>
        </w:rPr>
        <w:t xml:space="preserve">“Key Personnel” </w:t>
      </w:r>
      <w:r w:rsidR="004B5B7A" w:rsidRPr="00EB5E38">
        <w:rPr>
          <w:rFonts w:cs="Arial"/>
          <w:sz w:val="20"/>
        </w:rPr>
        <w:t>means any individuals identified as such in the Letter of Appointment and any replacements for such individuals that may be agreed between the Parties from time to time in accordance with Clause 2.3;</w:t>
      </w:r>
    </w:p>
    <w:p w14:paraId="6C683764" w14:textId="77777777" w:rsidR="00A8392B" w:rsidRPr="00EB5E38"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EB5E38">
        <w:rPr>
          <w:rFonts w:cs="Arial"/>
          <w:b/>
          <w:sz w:val="20"/>
        </w:rPr>
        <w:t xml:space="preserve">“Law” </w:t>
      </w:r>
      <w:r w:rsidRPr="00EB5E38">
        <w:rPr>
          <w:rFonts w:cs="Arial"/>
          <w:sz w:val="20"/>
        </w:rPr>
        <w:t>means any applicable Act of Parliament, subordinate legislation within the meaning of section 21(1) of the Interpretation Act 1978, exercise of the royal prerogative, enforceable community right within the meaning of section 2 of the European Communities Act 1972, rule of common law,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p w14:paraId="6C683765" w14:textId="741D69EF" w:rsidR="004B5B7A" w:rsidRPr="00EB5E38" w:rsidRDefault="004B5B7A"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"Letter of Appointment” </w:t>
      </w:r>
      <w:r w:rsidRPr="00EB5E38">
        <w:rPr>
          <w:rFonts w:cs="Arial"/>
          <w:sz w:val="20"/>
        </w:rPr>
        <w:t>means the letter from the Custome</w:t>
      </w:r>
      <w:r w:rsidRPr="005B7D6A">
        <w:rPr>
          <w:rFonts w:cs="Arial"/>
          <w:sz w:val="20"/>
        </w:rPr>
        <w:t xml:space="preserve">r to the Supplier dated </w:t>
      </w:r>
      <w:r w:rsidR="008E3D4A">
        <w:rPr>
          <w:rFonts w:cs="Arial"/>
          <w:sz w:val="20"/>
        </w:rPr>
        <w:t>3</w:t>
      </w:r>
      <w:r w:rsidR="008E3D4A" w:rsidRPr="008E3D4A">
        <w:rPr>
          <w:rFonts w:cs="Arial"/>
          <w:sz w:val="20"/>
          <w:vertAlign w:val="superscript"/>
        </w:rPr>
        <w:t>rd</w:t>
      </w:r>
      <w:r w:rsidR="008E3D4A">
        <w:rPr>
          <w:rFonts w:cs="Arial"/>
          <w:sz w:val="20"/>
        </w:rPr>
        <w:t xml:space="preserve"> November 2017</w:t>
      </w:r>
      <w:r w:rsidR="005B7D6A" w:rsidRPr="005B7D6A">
        <w:rPr>
          <w:rFonts w:cs="Arial"/>
          <w:sz w:val="20"/>
        </w:rPr>
        <w:t xml:space="preserve"> </w:t>
      </w:r>
      <w:r w:rsidRPr="005B7D6A">
        <w:rPr>
          <w:rFonts w:cs="Arial"/>
          <w:sz w:val="20"/>
        </w:rPr>
        <w:t>(</w:t>
      </w:r>
      <w:r w:rsidRPr="00EB5E38">
        <w:rPr>
          <w:rFonts w:cs="Arial"/>
          <w:sz w:val="20"/>
        </w:rPr>
        <w:t>including its appendices) constituting the Order to provide the Contract Services;</w:t>
      </w:r>
    </w:p>
    <w:p w14:paraId="6C683766"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“Material Breach" </w:t>
      </w:r>
      <w:r w:rsidRPr="00EB5E38">
        <w:rPr>
          <w:rFonts w:cs="Arial"/>
          <w:sz w:val="20"/>
        </w:rPr>
        <w:t>means a material breach of th</w:t>
      </w:r>
      <w:r w:rsidR="00033A70" w:rsidRPr="00EB5E38">
        <w:rPr>
          <w:rFonts w:cs="Arial"/>
          <w:sz w:val="20"/>
        </w:rPr>
        <w:t>is</w:t>
      </w:r>
      <w:r w:rsidRPr="00EB5E38">
        <w:rPr>
          <w:rFonts w:cs="Arial"/>
          <w:sz w:val="20"/>
        </w:rPr>
        <w:t xml:space="preserve"> </w:t>
      </w:r>
      <w:r w:rsidR="00033A70" w:rsidRPr="00EB5E38">
        <w:rPr>
          <w:rFonts w:cs="Arial"/>
          <w:sz w:val="20"/>
        </w:rPr>
        <w:t xml:space="preserve">Call-Off </w:t>
      </w:r>
      <w:r w:rsidRPr="00EB5E38">
        <w:rPr>
          <w:rFonts w:cs="Arial"/>
          <w:sz w:val="20"/>
        </w:rPr>
        <w:t>Contract;</w:t>
      </w:r>
    </w:p>
    <w:p w14:paraId="6C683767"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“Milestone” </w:t>
      </w:r>
      <w:r w:rsidRPr="00EB5E38">
        <w:rPr>
          <w:rFonts w:cs="Arial"/>
          <w:sz w:val="20"/>
        </w:rPr>
        <w:t>means an event or task described in the Implementation Plan which must be completed by the corresponding date set out in such plan.</w:t>
      </w:r>
    </w:p>
    <w:p w14:paraId="6C683768" w14:textId="77777777" w:rsidR="004B5B7A" w:rsidRPr="00EB5E38" w:rsidRDefault="00B003D0" w:rsidP="00A80570">
      <w:pPr>
        <w:pStyle w:val="BodyTextIndent"/>
        <w:numPr>
          <w:ilvl w:val="0"/>
          <w:numId w:val="0"/>
        </w:numPr>
        <w:overflowPunct w:val="0"/>
        <w:autoSpaceDE w:val="0"/>
        <w:autoSpaceDN w:val="0"/>
        <w:ind w:left="709"/>
        <w:textAlignment w:val="baseline"/>
        <w:rPr>
          <w:rFonts w:cs="Arial"/>
          <w:b/>
          <w:sz w:val="20"/>
        </w:rPr>
      </w:pPr>
      <w:r w:rsidRPr="00EB5E38" w:rsidDel="00B003D0">
        <w:rPr>
          <w:rFonts w:cs="Arial"/>
          <w:b/>
          <w:sz w:val="20"/>
        </w:rPr>
        <w:t xml:space="preserve"> </w:t>
      </w:r>
      <w:r w:rsidR="004B5B7A" w:rsidRPr="00EB5E38">
        <w:rPr>
          <w:rFonts w:cs="Arial"/>
          <w:b/>
          <w:sz w:val="20"/>
        </w:rPr>
        <w:t xml:space="preserve">“Order” </w:t>
      </w:r>
      <w:r w:rsidR="000E6A2F" w:rsidRPr="00EB5E38">
        <w:rPr>
          <w:rFonts w:cs="Arial"/>
          <w:sz w:val="20"/>
        </w:rPr>
        <w:t>means an order for the provision of the Contract Services placed by a C</w:t>
      </w:r>
      <w:r w:rsidRPr="00EB5E38">
        <w:rPr>
          <w:rFonts w:cs="Arial"/>
          <w:sz w:val="20"/>
        </w:rPr>
        <w:t>ustomer</w:t>
      </w:r>
      <w:r w:rsidR="000E6A2F" w:rsidRPr="00EB5E38">
        <w:rPr>
          <w:rFonts w:cs="Arial"/>
          <w:sz w:val="20"/>
        </w:rPr>
        <w:t xml:space="preserve"> with the Supplier in accordance with the Ordering Procedures, </w:t>
      </w:r>
      <w:r w:rsidR="006C7585" w:rsidRPr="00EB5E38">
        <w:rPr>
          <w:rFonts w:cs="Arial"/>
          <w:sz w:val="20"/>
        </w:rPr>
        <w:t xml:space="preserve">substantially in the form </w:t>
      </w:r>
      <w:r w:rsidR="000E6A2F" w:rsidRPr="00EB5E38">
        <w:rPr>
          <w:rFonts w:cs="Arial"/>
          <w:sz w:val="20"/>
        </w:rPr>
        <w:t xml:space="preserve">as </w:t>
      </w:r>
      <w:r w:rsidR="006C7585" w:rsidRPr="00EB5E38">
        <w:rPr>
          <w:rFonts w:cs="Arial"/>
          <w:sz w:val="20"/>
        </w:rPr>
        <w:t>set out in</w:t>
      </w:r>
      <w:r w:rsidR="000E6A2F" w:rsidRPr="00EB5E38">
        <w:rPr>
          <w:rFonts w:cs="Arial"/>
          <w:sz w:val="20"/>
        </w:rPr>
        <w:t xml:space="preserve"> the Letter of Appointment (including its appendices)</w:t>
      </w:r>
    </w:p>
    <w:p w14:paraId="6C683769" w14:textId="77777777" w:rsidR="004B5B7A" w:rsidRPr="00EB5E38" w:rsidRDefault="00B951CE"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lastRenderedPageBreak/>
        <w:t xml:space="preserve">"Party" </w:t>
      </w:r>
      <w:r w:rsidRPr="00EB5E38">
        <w:rPr>
          <w:rFonts w:cs="Arial"/>
          <w:sz w:val="20"/>
        </w:rPr>
        <w:t xml:space="preserve">means the Supplier or the Customer and </w:t>
      </w:r>
      <w:r w:rsidRPr="00EB5E38">
        <w:rPr>
          <w:rFonts w:cs="Arial"/>
          <w:b/>
          <w:sz w:val="20"/>
        </w:rPr>
        <w:t>"Parties"</w:t>
      </w:r>
      <w:r w:rsidRPr="00EB5E38">
        <w:rPr>
          <w:rFonts w:cs="Arial"/>
          <w:sz w:val="20"/>
        </w:rPr>
        <w:t xml:space="preserve"> shall mean both of them;</w:t>
      </w:r>
    </w:p>
    <w:p w14:paraId="6C68376A" w14:textId="77777777" w:rsidR="00B951CE" w:rsidRPr="00EB5E38" w:rsidRDefault="00B951CE" w:rsidP="00A80570">
      <w:pPr>
        <w:pStyle w:val="BodyTextIndent2"/>
        <w:rPr>
          <w:rFonts w:ascii="Arial" w:hAnsi="Arial" w:cs="Arial"/>
          <w:sz w:val="20"/>
        </w:rPr>
      </w:pPr>
      <w:r w:rsidRPr="00EB5E38">
        <w:rPr>
          <w:rFonts w:ascii="Arial" w:hAnsi="Arial" w:cs="Arial"/>
          <w:b/>
          <w:sz w:val="20"/>
        </w:rPr>
        <w:t xml:space="preserve">“Persistent Failure” </w:t>
      </w:r>
      <w:r w:rsidRPr="00EB5E38">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Pr="00EB5E38" w:rsidRDefault="00B951CE" w:rsidP="00A80570">
      <w:pPr>
        <w:pStyle w:val="BodyTextIndent"/>
        <w:numPr>
          <w:ilvl w:val="0"/>
          <w:numId w:val="0"/>
        </w:numPr>
        <w:overflowPunct w:val="0"/>
        <w:autoSpaceDE w:val="0"/>
        <w:autoSpaceDN w:val="0"/>
        <w:ind w:left="720"/>
        <w:textAlignment w:val="baseline"/>
        <w:rPr>
          <w:rFonts w:cs="Arial"/>
          <w:sz w:val="20"/>
        </w:rPr>
      </w:pPr>
      <w:r w:rsidRPr="00EB5E38">
        <w:rPr>
          <w:rFonts w:cs="Arial"/>
          <w:b/>
          <w:sz w:val="20"/>
        </w:rPr>
        <w:t>“Premises”</w:t>
      </w:r>
      <w:r w:rsidRPr="00EB5E38">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EB5E38" w:rsidRDefault="00A8392B" w:rsidP="00A80570">
      <w:pPr>
        <w:pStyle w:val="DefinitionNumbering1"/>
        <w:numPr>
          <w:ilvl w:val="3"/>
          <w:numId w:val="8"/>
        </w:numPr>
        <w:tabs>
          <w:tab w:val="clear" w:pos="2880"/>
          <w:tab w:val="num" w:pos="709"/>
        </w:tabs>
        <w:ind w:left="709" w:firstLine="0"/>
        <w:rPr>
          <w:rFonts w:ascii="Arial" w:hAnsi="Arial" w:cs="Arial"/>
          <w:sz w:val="20"/>
        </w:rPr>
      </w:pPr>
      <w:r w:rsidRPr="00EB5E38">
        <w:rPr>
          <w:rFonts w:ascii="Arial" w:hAnsi="Arial" w:cs="Arial"/>
          <w:b/>
          <w:sz w:val="20"/>
        </w:rPr>
        <w:t>“Prohibited Act”</w:t>
      </w:r>
      <w:r w:rsidRPr="00EB5E38">
        <w:rPr>
          <w:rFonts w:ascii="Arial" w:hAnsi="Arial" w:cs="Arial"/>
          <w:sz w:val="20"/>
        </w:rPr>
        <w:t xml:space="preserve"> means;</w:t>
      </w:r>
    </w:p>
    <w:p w14:paraId="6C68376D" w14:textId="77777777" w:rsidR="00A8392B" w:rsidRPr="00EB5E38" w:rsidRDefault="00A8392B" w:rsidP="00A80570">
      <w:pPr>
        <w:pStyle w:val="DefinitionNumbering1"/>
        <w:numPr>
          <w:ilvl w:val="2"/>
          <w:numId w:val="8"/>
        </w:numPr>
        <w:tabs>
          <w:tab w:val="clear" w:pos="2880"/>
          <w:tab w:val="num" w:pos="0"/>
        </w:tabs>
        <w:ind w:left="720" w:hanging="11"/>
        <w:rPr>
          <w:rFonts w:ascii="Arial" w:hAnsi="Arial" w:cs="Arial"/>
          <w:sz w:val="20"/>
        </w:rPr>
      </w:pPr>
      <w:r w:rsidRPr="00EB5E38">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EB5E38" w:rsidRDefault="00A8392B" w:rsidP="00A80570">
      <w:pPr>
        <w:pStyle w:val="DefinitionNumbering1"/>
        <w:numPr>
          <w:ilvl w:val="2"/>
          <w:numId w:val="8"/>
        </w:numPr>
        <w:tabs>
          <w:tab w:val="clear" w:pos="2880"/>
          <w:tab w:val="num" w:pos="61"/>
        </w:tabs>
        <w:ind w:left="0" w:firstLine="709"/>
        <w:rPr>
          <w:rFonts w:ascii="Arial" w:hAnsi="Arial" w:cs="Arial"/>
          <w:sz w:val="20"/>
        </w:rPr>
      </w:pPr>
      <w:r w:rsidRPr="00EB5E38">
        <w:rPr>
          <w:rFonts w:ascii="Arial" w:hAnsi="Arial" w:cs="Arial"/>
          <w:sz w:val="20"/>
        </w:rPr>
        <w:t>(b) committing any offence:</w:t>
      </w:r>
    </w:p>
    <w:p w14:paraId="6C68376F" w14:textId="77777777" w:rsidR="00A8392B" w:rsidRPr="00EB5E38"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EB5E38">
        <w:rPr>
          <w:rFonts w:ascii="Arial" w:hAnsi="Arial" w:cs="Arial"/>
          <w:sz w:val="20"/>
        </w:rPr>
        <w:t>(i) under the Bribery Act 2010; or</w:t>
      </w:r>
    </w:p>
    <w:p w14:paraId="6C683770" w14:textId="77777777" w:rsidR="00A8392B" w:rsidRPr="00EB5E38"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EB5E38">
        <w:rPr>
          <w:rFonts w:ascii="Arial" w:hAnsi="Arial" w:cs="Arial"/>
          <w:sz w:val="20"/>
        </w:rPr>
        <w:t>(ii) under legislation creating offences concerning fraudulent acts; or</w:t>
      </w:r>
    </w:p>
    <w:p w14:paraId="6C683771" w14:textId="77777777" w:rsidR="00A8392B" w:rsidRPr="00EB5E38"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EB5E38">
        <w:rPr>
          <w:rFonts w:ascii="Arial" w:hAnsi="Arial" w:cs="Arial"/>
          <w:sz w:val="20"/>
        </w:rPr>
        <w:t>(iii) at common law concerning fraudulent acts in relation to this Framework Agreement or any other contract with the Authority and/or any Contracting Body; or</w:t>
      </w:r>
    </w:p>
    <w:p w14:paraId="6C683772" w14:textId="77777777" w:rsidR="00A8392B" w:rsidRPr="00EB5E38" w:rsidRDefault="00A8392B" w:rsidP="00A80570">
      <w:pPr>
        <w:pStyle w:val="BodyTextIndent"/>
        <w:ind w:hanging="11"/>
      </w:pPr>
      <w:r w:rsidRPr="00EB5E38">
        <w:rPr>
          <w:rFonts w:cs="Arial"/>
          <w:sz w:val="20"/>
        </w:rPr>
        <w:t>(c) defrauding, attempting to defraud or conspiring to defraud the Authority and/or any Contracting Body;</w:t>
      </w:r>
    </w:p>
    <w:p w14:paraId="6C683773" w14:textId="77777777" w:rsidR="00A8392B" w:rsidRPr="00EB5E38" w:rsidRDefault="00A8392B" w:rsidP="00A80570">
      <w:pPr>
        <w:pStyle w:val="BodyTextIndent"/>
        <w:numPr>
          <w:ilvl w:val="0"/>
          <w:numId w:val="0"/>
        </w:numPr>
        <w:overflowPunct w:val="0"/>
        <w:autoSpaceDE w:val="0"/>
        <w:autoSpaceDN w:val="0"/>
        <w:ind w:left="720"/>
        <w:textAlignment w:val="baseline"/>
        <w:rPr>
          <w:rFonts w:cs="Arial"/>
          <w:sz w:val="20"/>
        </w:rPr>
      </w:pPr>
      <w:r w:rsidRPr="00EB5E38">
        <w:rPr>
          <w:rFonts w:cs="Arial"/>
          <w:b/>
          <w:sz w:val="20"/>
        </w:rPr>
        <w:t xml:space="preserve">"Regulatory Bodies" </w:t>
      </w:r>
      <w:r w:rsidRPr="00EB5E38">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sidRPr="00EB5E38">
        <w:rPr>
          <w:rFonts w:cs="Arial"/>
          <w:sz w:val="20"/>
        </w:rPr>
        <w:t xml:space="preserve">Contract </w:t>
      </w:r>
      <w:r w:rsidRPr="00EB5E38">
        <w:rPr>
          <w:rFonts w:cs="Arial"/>
          <w:sz w:val="20"/>
        </w:rPr>
        <w:t>and “</w:t>
      </w:r>
      <w:r w:rsidRPr="00EB5E38">
        <w:rPr>
          <w:rFonts w:cs="Arial"/>
          <w:b/>
          <w:sz w:val="20"/>
        </w:rPr>
        <w:t>Regulatory Body</w:t>
      </w:r>
      <w:r w:rsidRPr="00EB5E38">
        <w:rPr>
          <w:rFonts w:cs="Arial"/>
          <w:sz w:val="20"/>
        </w:rPr>
        <w:t>” shall be construed accordingly;</w:t>
      </w:r>
    </w:p>
    <w:p w14:paraId="6C683774" w14:textId="4C42FD2D" w:rsidR="009C0AB5" w:rsidRPr="00EB5E38" w:rsidRDefault="00EB5E38" w:rsidP="00935E71">
      <w:pPr>
        <w:pStyle w:val="BodyTextIndent"/>
        <w:tabs>
          <w:tab w:val="clear" w:pos="720"/>
          <w:tab w:val="num" w:pos="709"/>
        </w:tabs>
        <w:overflowPunct w:val="0"/>
        <w:autoSpaceDE w:val="0"/>
        <w:autoSpaceDN w:val="0"/>
        <w:spacing w:after="0"/>
        <w:ind w:left="709"/>
        <w:textAlignment w:val="baseline"/>
        <w:rPr>
          <w:rFonts w:cs="Arial"/>
          <w:sz w:val="20"/>
        </w:rPr>
      </w:pPr>
      <w:r w:rsidRPr="00EB5E38">
        <w:rPr>
          <w:rFonts w:cs="Arial"/>
          <w:b/>
          <w:sz w:val="20"/>
        </w:rPr>
        <w:t xml:space="preserve"> </w:t>
      </w:r>
      <w:r w:rsidR="009C0AB5" w:rsidRPr="00EB5E38">
        <w:rPr>
          <w:rFonts w:cs="Arial"/>
          <w:b/>
          <w:sz w:val="20"/>
        </w:rPr>
        <w:t xml:space="preserve">“Relevant Conviction” </w:t>
      </w:r>
      <w:r w:rsidR="009C0AB5" w:rsidRPr="00EB5E38">
        <w:rPr>
          <w:rFonts w:cs="Arial"/>
          <w:sz w:val="20"/>
        </w:rPr>
        <w:t xml:space="preserve">means a conviction that is relevant to the nature of the Contract Services or as specified in </w:t>
      </w:r>
      <w:r w:rsidR="004854E2" w:rsidRPr="00EB5E38">
        <w:rPr>
          <w:rFonts w:cs="Arial"/>
          <w:sz w:val="20"/>
        </w:rPr>
        <w:t>section 2.</w:t>
      </w:r>
      <w:r w:rsidR="00E81BCB" w:rsidRPr="00EB5E38">
        <w:rPr>
          <w:rFonts w:cs="Arial"/>
          <w:sz w:val="20"/>
        </w:rPr>
        <w:t>1</w:t>
      </w:r>
      <w:r w:rsidR="004854E2" w:rsidRPr="00EB5E38">
        <w:rPr>
          <w:rFonts w:cs="Arial"/>
          <w:sz w:val="20"/>
        </w:rPr>
        <w:t xml:space="preserve"> of </w:t>
      </w:r>
      <w:r w:rsidR="009C0AB5" w:rsidRPr="00EB5E38">
        <w:rPr>
          <w:rFonts w:cs="Arial"/>
          <w:sz w:val="20"/>
        </w:rPr>
        <w:t>Appendix</w:t>
      </w:r>
      <w:r w:rsidR="00652598" w:rsidRPr="00EB5E38">
        <w:rPr>
          <w:rFonts w:cs="Arial"/>
          <w:sz w:val="20"/>
        </w:rPr>
        <w:t xml:space="preserve"> 1 of the Letter of Appointment;</w:t>
      </w:r>
    </w:p>
    <w:p w14:paraId="6C683775" w14:textId="77777777" w:rsidR="00033C26" w:rsidRPr="00EB5E38"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5A368370" w:rsidR="009C0AB5" w:rsidRPr="00EB5E38"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EB5E38">
        <w:rPr>
          <w:sz w:val="20"/>
        </w:rPr>
        <w:t>“</w:t>
      </w:r>
      <w:r w:rsidRPr="00EB5E38">
        <w:rPr>
          <w:b/>
          <w:sz w:val="20"/>
        </w:rPr>
        <w:t>Security Management Plan”</w:t>
      </w:r>
      <w:r w:rsidRPr="00EB5E38">
        <w:rPr>
          <w:sz w:val="20"/>
        </w:rPr>
        <w:t xml:space="preserve"> </w:t>
      </w:r>
      <w:r w:rsidRPr="00EB5E38">
        <w:rPr>
          <w:rFonts w:cs="Arial"/>
          <w:sz w:val="20"/>
        </w:rPr>
        <w:t xml:space="preserve">means the Supplier’s security management plan prepared pursuant to Schedule </w:t>
      </w:r>
      <w:r w:rsidR="004854E2" w:rsidRPr="00EB5E38">
        <w:rPr>
          <w:rFonts w:cs="Arial"/>
          <w:sz w:val="20"/>
        </w:rPr>
        <w:t>1</w:t>
      </w:r>
      <w:r w:rsidRPr="00EB5E38">
        <w:rPr>
          <w:rFonts w:cs="Arial"/>
          <w:sz w:val="20"/>
        </w:rPr>
        <w:t>to these Call-Off Terms as updated from time to time wit</w:t>
      </w:r>
      <w:r w:rsidR="00652598" w:rsidRPr="00EB5E38">
        <w:rPr>
          <w:rFonts w:cs="Arial"/>
          <w:sz w:val="20"/>
        </w:rPr>
        <w:t>h the agreement of the Customer;</w:t>
      </w:r>
    </w:p>
    <w:p w14:paraId="6C683777" w14:textId="09988AF6" w:rsidR="009C0AB5" w:rsidRPr="00EB5E38" w:rsidRDefault="00EB5E38" w:rsidP="00EB5E38">
      <w:pPr>
        <w:pStyle w:val="BodyTextIndent"/>
        <w:numPr>
          <w:ilvl w:val="0"/>
          <w:numId w:val="0"/>
        </w:numPr>
        <w:overflowPunct w:val="0"/>
        <w:autoSpaceDE w:val="0"/>
        <w:autoSpaceDN w:val="0"/>
        <w:ind w:left="709"/>
        <w:textAlignment w:val="baseline"/>
        <w:rPr>
          <w:rFonts w:cs="Arial"/>
          <w:sz w:val="20"/>
        </w:rPr>
      </w:pPr>
      <w:r w:rsidRPr="00EB5E38">
        <w:rPr>
          <w:b/>
          <w:sz w:val="20"/>
        </w:rPr>
        <w:t xml:space="preserve"> “Security Policy”</w:t>
      </w:r>
      <w:r w:rsidR="009C0AB5" w:rsidRPr="00EB5E38">
        <w:rPr>
          <w:rFonts w:cs="Arial"/>
          <w:sz w:val="20"/>
        </w:rPr>
        <w:t>means the Customer’s security requirements as set out in</w:t>
      </w:r>
      <w:r w:rsidR="004854E2" w:rsidRPr="00EB5E38">
        <w:rPr>
          <w:rFonts w:cs="Arial"/>
          <w:sz w:val="20"/>
        </w:rPr>
        <w:t xml:space="preserve"> section </w:t>
      </w:r>
      <w:r w:rsidR="00E81BCB" w:rsidRPr="00EB5E38">
        <w:rPr>
          <w:rFonts w:cs="Arial"/>
          <w:sz w:val="20"/>
        </w:rPr>
        <w:t>4.1</w:t>
      </w:r>
      <w:r w:rsidR="004854E2" w:rsidRPr="00EB5E38">
        <w:rPr>
          <w:rFonts w:cs="Arial"/>
          <w:sz w:val="20"/>
        </w:rPr>
        <w:t xml:space="preserve"> of</w:t>
      </w:r>
      <w:r w:rsidR="009C0AB5" w:rsidRPr="00EB5E38">
        <w:rPr>
          <w:rFonts w:cs="Arial"/>
          <w:sz w:val="20"/>
        </w:rPr>
        <w:t xml:space="preserve"> the Letter of Appointment and as outlined in Schedule </w:t>
      </w:r>
      <w:r w:rsidR="004854E2" w:rsidRPr="00EB5E38">
        <w:rPr>
          <w:rFonts w:cs="Arial"/>
          <w:sz w:val="20"/>
        </w:rPr>
        <w:t>1</w:t>
      </w:r>
      <w:r w:rsidR="009C0AB5" w:rsidRPr="00EB5E38">
        <w:rPr>
          <w:rFonts w:cs="Arial"/>
          <w:sz w:val="20"/>
        </w:rPr>
        <w:t xml:space="preserve"> to these Call-Off</w:t>
      </w:r>
      <w:r w:rsidR="00652598" w:rsidRPr="00EB5E38">
        <w:rPr>
          <w:rFonts w:cs="Arial"/>
          <w:sz w:val="20"/>
        </w:rPr>
        <w:t xml:space="preserve"> Terms;</w:t>
      </w:r>
    </w:p>
    <w:p w14:paraId="6C683778" w14:textId="77777777" w:rsidR="009C0AB5" w:rsidRPr="00EB5E38"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EB5E38">
        <w:rPr>
          <w:rFonts w:cs="Arial"/>
          <w:b/>
          <w:sz w:val="20"/>
        </w:rPr>
        <w:t>"Service Levels"</w:t>
      </w:r>
      <w:r w:rsidRPr="00EB5E38">
        <w:rPr>
          <w:rFonts w:cs="Arial"/>
          <w:sz w:val="20"/>
        </w:rPr>
        <w:t xml:space="preserve"> means the service levels set out in Annex 1;</w:t>
      </w:r>
    </w:p>
    <w:p w14:paraId="6C683779" w14:textId="5AB5727F" w:rsidR="009C0AB5" w:rsidRPr="00EB5E38"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EB5E38">
        <w:rPr>
          <w:rFonts w:cs="Arial"/>
          <w:b/>
          <w:sz w:val="20"/>
        </w:rPr>
        <w:t xml:space="preserve">“Sites” </w:t>
      </w:r>
      <w:r w:rsidRPr="00EB5E38">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EB5E38" w:rsidRPr="00EB5E38">
        <w:rPr>
          <w:rFonts w:cs="Arial"/>
          <w:sz w:val="20"/>
        </w:rPr>
        <w:t>he Supplier System takes place;</w:t>
      </w:r>
    </w:p>
    <w:p w14:paraId="6C68377A"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lastRenderedPageBreak/>
        <w:t xml:space="preserve">"Sub-Contract" </w:t>
      </w:r>
      <w:r w:rsidRPr="00EB5E38">
        <w:rPr>
          <w:rFonts w:cs="Arial"/>
          <w:sz w:val="20"/>
        </w:rPr>
        <w:t>means</w:t>
      </w:r>
      <w:r w:rsidR="00BE4AEF" w:rsidRPr="00EB5E38">
        <w:rPr>
          <w:rFonts w:cs="Arial"/>
          <w:sz w:val="20"/>
        </w:rPr>
        <w:t xml:space="preserve"> </w:t>
      </w:r>
      <w:r w:rsidR="00BE4AEF" w:rsidRPr="00EB5E38">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EB5E38">
        <w:rPr>
          <w:rFonts w:cs="Arial"/>
          <w:sz w:val="20"/>
        </w:rPr>
        <w:t>; and</w:t>
      </w:r>
    </w:p>
    <w:p w14:paraId="6C68377B"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EB5E38"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EB5E38">
        <w:rPr>
          <w:b/>
          <w:sz w:val="20"/>
        </w:rPr>
        <w:t>"Sub-Contractor"</w:t>
      </w:r>
      <w:r w:rsidRPr="00EB5E38">
        <w:rPr>
          <w:sz w:val="20"/>
        </w:rPr>
        <w:t xml:space="preserve"> </w:t>
      </w:r>
      <w:r w:rsidRPr="00EB5E38">
        <w:rPr>
          <w:rFonts w:cs="Arial"/>
          <w:sz w:val="20"/>
        </w:rPr>
        <w:t>means</w:t>
      </w:r>
      <w:r w:rsidR="00BE4AEF" w:rsidRPr="00EB5E38">
        <w:rPr>
          <w:rFonts w:cs="Arial"/>
          <w:sz w:val="20"/>
        </w:rPr>
        <w:t xml:space="preserve"> </w:t>
      </w:r>
      <w:r w:rsidR="00BE4AEF" w:rsidRPr="00EB5E38">
        <w:rPr>
          <w:sz w:val="20"/>
        </w:rPr>
        <w:t>any person appointed by the Supplier to carry out any and or all of the Supplier’s obligations under the Contract</w:t>
      </w:r>
      <w:r w:rsidRPr="00EB5E38">
        <w:rPr>
          <w:rFonts w:cs="Arial"/>
          <w:sz w:val="20"/>
        </w:rPr>
        <w:t>.</w:t>
      </w:r>
    </w:p>
    <w:p w14:paraId="6C68377D" w14:textId="77777777" w:rsidR="00A8392B" w:rsidRPr="00EB5E38"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t xml:space="preserve">“Supplier” </w:t>
      </w:r>
      <w:r w:rsidRPr="00EB5E38">
        <w:rPr>
          <w:rFonts w:cs="Arial"/>
          <w:sz w:val="20"/>
        </w:rPr>
        <w:t>means the Supplier to whom the Letter of Appointment is addressed;</w:t>
      </w:r>
    </w:p>
    <w:p w14:paraId="6C68377F" w14:textId="77777777" w:rsidR="00033C26" w:rsidRPr="00EB5E38"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Pr="00EB5E38"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EB5E38">
        <w:rPr>
          <w:rFonts w:cs="Arial"/>
          <w:b/>
          <w:sz w:val="20"/>
        </w:rPr>
        <w:t xml:space="preserve">"Supplier’s Confidential Information" </w:t>
      </w:r>
      <w:r w:rsidRPr="00EB5E38">
        <w:rPr>
          <w:rFonts w:cs="Arial"/>
          <w:sz w:val="20"/>
        </w:rPr>
        <w:t>means any information, however it is conveyed, that relates to the business, affairs, developments, trade secrets, know-how, personnel and suppliers of the Supplier, including all Intellectual Property Rights, together with information derived from the foregoing, and that in any case is clearly designated as being confidential;</w:t>
      </w:r>
    </w:p>
    <w:p w14:paraId="6C683781" w14:textId="77777777" w:rsidR="004854E2" w:rsidRPr="00EB5E38"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EB5E38" w:rsidRDefault="009C0AB5" w:rsidP="00A80570">
      <w:pPr>
        <w:pStyle w:val="BodyTextIndent"/>
        <w:tabs>
          <w:tab w:val="clear" w:pos="720"/>
          <w:tab w:val="num" w:pos="34"/>
          <w:tab w:val="num" w:pos="709"/>
        </w:tabs>
        <w:ind w:left="709"/>
        <w:rPr>
          <w:rFonts w:cs="Arial"/>
          <w:sz w:val="20"/>
        </w:rPr>
      </w:pPr>
      <w:r w:rsidRPr="00EB5E38">
        <w:rPr>
          <w:rFonts w:cs="Arial"/>
          <w:b/>
          <w:sz w:val="20"/>
        </w:rPr>
        <w:t xml:space="preserve">“Supplier’s Representative” </w:t>
      </w:r>
      <w:r w:rsidRPr="00EB5E38">
        <w:rPr>
          <w:rFonts w:cs="Arial"/>
          <w:sz w:val="20"/>
        </w:rPr>
        <w:t>means the representative appointed by the Supplier from time to time with overall responsibility for this Contract and notified to the Customer;</w:t>
      </w:r>
    </w:p>
    <w:p w14:paraId="6C683783" w14:textId="77777777" w:rsidR="009C0AB5" w:rsidRPr="00EB5E38"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EB5E38">
        <w:rPr>
          <w:rFonts w:cs="Arial"/>
          <w:b/>
          <w:sz w:val="20"/>
        </w:rPr>
        <w:t xml:space="preserve">"Supplier’s Staff" </w:t>
      </w:r>
      <w:r w:rsidRPr="00EB5E38">
        <w:rPr>
          <w:rFonts w:cs="Arial"/>
          <w:sz w:val="20"/>
        </w:rPr>
        <w:t>means all persons employed by the Supplier and/or any Sub-Contractor to perform the Supplier’s obligations under the Contract together with the Supplier's and/or any Sub-Contractor's servants, consultants, agents, suppliers and Sub-Contractors used in the performance of the Supplier’s obligations under the Contract;</w:t>
      </w:r>
    </w:p>
    <w:p w14:paraId="6C683784" w14:textId="713B0A95" w:rsidR="009C0AB5" w:rsidRPr="00EB5E38"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t xml:space="preserve">“Supplier System” </w:t>
      </w:r>
      <w:r w:rsidRPr="00EB5E38">
        <w:rPr>
          <w:rFonts w:cs="Arial"/>
          <w:sz w:val="20"/>
        </w:rPr>
        <w:t>means the information and communication technology system used</w:t>
      </w:r>
      <w:r w:rsidRPr="00EB5E38">
        <w:rPr>
          <w:rFonts w:cs="Arial"/>
          <w:sz w:val="20"/>
          <w:shd w:val="clear" w:color="auto" w:fill="FFFF00"/>
        </w:rPr>
        <w:t xml:space="preserve"> </w:t>
      </w:r>
      <w:r w:rsidRPr="00EB5E38">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EB5E38">
        <w:rPr>
          <w:rFonts w:cs="Arial"/>
          <w:sz w:val="20"/>
        </w:rPr>
        <w:t>;</w:t>
      </w:r>
    </w:p>
    <w:p w14:paraId="6C683785" w14:textId="77777777" w:rsidR="006C3D9C" w:rsidRPr="00EB5E38"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Pr="00EB5E38" w:rsidRDefault="00E81BCB" w:rsidP="00A80570">
      <w:pPr>
        <w:pStyle w:val="BodyTextIndent"/>
        <w:numPr>
          <w:ilvl w:val="0"/>
          <w:numId w:val="0"/>
        </w:numPr>
        <w:overflowPunct w:val="0"/>
        <w:autoSpaceDE w:val="0"/>
        <w:autoSpaceDN w:val="0"/>
        <w:ind w:left="709"/>
        <w:textAlignment w:val="baseline"/>
        <w:rPr>
          <w:rFonts w:cs="Arial"/>
          <w:b/>
          <w:sz w:val="20"/>
        </w:rPr>
      </w:pPr>
      <w:r w:rsidRPr="00EB5E38">
        <w:rPr>
          <w:rFonts w:cs="Arial"/>
          <w:b/>
          <w:sz w:val="20"/>
        </w:rPr>
        <w:t xml:space="preserve">“Working Day” </w:t>
      </w:r>
      <w:r w:rsidRPr="00EB5E38">
        <w:rPr>
          <w:rFonts w:cs="Arial"/>
          <w:sz w:val="20"/>
        </w:rPr>
        <w:t>means any day other than a Saturday, Sunday or public holiday in England and Wales; and</w:t>
      </w:r>
    </w:p>
    <w:p w14:paraId="6C683788" w14:textId="77777777" w:rsidR="00F807DC" w:rsidRPr="00EB5E38" w:rsidRDefault="007562F7">
      <w:pPr>
        <w:pStyle w:val="Heading2"/>
        <w:keepNext/>
        <w:rPr>
          <w:rFonts w:cs="Arial"/>
          <w:b/>
          <w:sz w:val="20"/>
        </w:rPr>
      </w:pPr>
      <w:r w:rsidRPr="00EB5E38">
        <w:rPr>
          <w:rFonts w:cs="Arial"/>
          <w:b/>
          <w:sz w:val="20"/>
        </w:rPr>
        <w:t>Interpretation</w:t>
      </w:r>
    </w:p>
    <w:p w14:paraId="6C683789" w14:textId="77777777" w:rsidR="00F807DC" w:rsidRPr="00EB5E38" w:rsidRDefault="007562F7">
      <w:pPr>
        <w:pStyle w:val="BodyTextIndent"/>
        <w:keepNext/>
        <w:rPr>
          <w:rFonts w:cs="Arial"/>
          <w:sz w:val="20"/>
        </w:rPr>
      </w:pPr>
      <w:r w:rsidRPr="00EB5E38">
        <w:rPr>
          <w:rFonts w:cs="Arial"/>
          <w:sz w:val="20"/>
        </w:rPr>
        <w:t>The interpretation and construction of the Contract shall be subject to the following provisions:</w:t>
      </w:r>
    </w:p>
    <w:p w14:paraId="6C68378A" w14:textId="77777777" w:rsidR="00F807DC" w:rsidRPr="00EB5E38" w:rsidRDefault="007562F7">
      <w:pPr>
        <w:pStyle w:val="Heading3"/>
        <w:rPr>
          <w:rFonts w:cs="Arial"/>
          <w:sz w:val="20"/>
        </w:rPr>
      </w:pPr>
      <w:r w:rsidRPr="00EB5E38">
        <w:rPr>
          <w:rFonts w:cs="Arial"/>
          <w:sz w:val="20"/>
        </w:rPr>
        <w:t>words importing the singular meaning include where the context so admits the plural meaning and vice versa;</w:t>
      </w:r>
    </w:p>
    <w:p w14:paraId="6C68378B" w14:textId="77777777" w:rsidR="00F807DC" w:rsidRPr="00EB5E38" w:rsidRDefault="007562F7">
      <w:pPr>
        <w:pStyle w:val="Heading3"/>
        <w:rPr>
          <w:rFonts w:cs="Arial"/>
          <w:sz w:val="20"/>
        </w:rPr>
      </w:pPr>
      <w:r w:rsidRPr="00EB5E38">
        <w:rPr>
          <w:rFonts w:cs="Arial"/>
          <w:sz w:val="20"/>
        </w:rPr>
        <w:t xml:space="preserve">words importing the masculine include the feminine and the neuter; </w:t>
      </w:r>
    </w:p>
    <w:p w14:paraId="6C68378C" w14:textId="77777777" w:rsidR="00F807DC" w:rsidRPr="00EB5E38" w:rsidRDefault="007562F7">
      <w:pPr>
        <w:pStyle w:val="Heading3"/>
        <w:rPr>
          <w:rFonts w:cs="Arial"/>
          <w:sz w:val="20"/>
        </w:rPr>
      </w:pPr>
      <w:r w:rsidRPr="00EB5E38">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EB5E38" w:rsidRDefault="007562F7">
      <w:pPr>
        <w:pStyle w:val="Heading3"/>
        <w:rPr>
          <w:rFonts w:cs="Arial"/>
          <w:sz w:val="20"/>
        </w:rPr>
      </w:pPr>
      <w:r w:rsidRPr="00EB5E38">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EB5E38" w:rsidRDefault="007562F7">
      <w:pPr>
        <w:pStyle w:val="Heading3"/>
        <w:rPr>
          <w:rFonts w:cs="Arial"/>
          <w:sz w:val="20"/>
        </w:rPr>
      </w:pPr>
      <w:r w:rsidRPr="00EB5E38">
        <w:rPr>
          <w:rFonts w:cs="Arial"/>
          <w:sz w:val="20"/>
        </w:rPr>
        <w:t xml:space="preserve">the </w:t>
      </w:r>
      <w:r w:rsidR="00946CF0" w:rsidRPr="00EB5E38">
        <w:rPr>
          <w:rFonts w:cs="Arial"/>
          <w:sz w:val="20"/>
        </w:rPr>
        <w:t>A</w:t>
      </w:r>
      <w:r w:rsidR="00B003D0" w:rsidRPr="00EB5E38">
        <w:rPr>
          <w:rFonts w:cs="Arial"/>
          <w:sz w:val="20"/>
        </w:rPr>
        <w:t>ppendices</w:t>
      </w:r>
      <w:r w:rsidR="00587054" w:rsidRPr="00EB5E38">
        <w:rPr>
          <w:rFonts w:cs="Arial"/>
          <w:sz w:val="20"/>
        </w:rPr>
        <w:t>,</w:t>
      </w:r>
      <w:r w:rsidR="00B003D0" w:rsidRPr="00EB5E38">
        <w:rPr>
          <w:rFonts w:cs="Arial"/>
          <w:sz w:val="20"/>
        </w:rPr>
        <w:t xml:space="preserve"> A</w:t>
      </w:r>
      <w:r w:rsidR="00946CF0" w:rsidRPr="00EB5E38">
        <w:rPr>
          <w:rFonts w:cs="Arial"/>
          <w:sz w:val="20"/>
        </w:rPr>
        <w:t>nnex</w:t>
      </w:r>
      <w:r w:rsidR="00924836" w:rsidRPr="00EB5E38">
        <w:rPr>
          <w:rFonts w:cs="Arial"/>
          <w:sz w:val="20"/>
        </w:rPr>
        <w:t>es</w:t>
      </w:r>
      <w:r w:rsidRPr="00EB5E38">
        <w:rPr>
          <w:rFonts w:cs="Arial"/>
          <w:sz w:val="20"/>
        </w:rPr>
        <w:t xml:space="preserve"> </w:t>
      </w:r>
      <w:r w:rsidR="00946DA5" w:rsidRPr="00EB5E38">
        <w:rPr>
          <w:rFonts w:cs="Arial"/>
          <w:sz w:val="20"/>
        </w:rPr>
        <w:t xml:space="preserve">and Schedules </w:t>
      </w:r>
      <w:r w:rsidRPr="00EB5E38">
        <w:rPr>
          <w:rFonts w:cs="Arial"/>
          <w:sz w:val="20"/>
        </w:rPr>
        <w:t xml:space="preserve">form part of </w:t>
      </w:r>
      <w:r w:rsidR="0013772A" w:rsidRPr="00EB5E38">
        <w:rPr>
          <w:rFonts w:cs="Arial"/>
          <w:sz w:val="20"/>
        </w:rPr>
        <w:t>t</w:t>
      </w:r>
      <w:r w:rsidR="00946CF0" w:rsidRPr="00EB5E38">
        <w:rPr>
          <w:rFonts w:cs="Arial"/>
          <w:sz w:val="20"/>
        </w:rPr>
        <w:t xml:space="preserve">hese Call-Off Terms </w:t>
      </w:r>
      <w:r w:rsidRPr="00EB5E38">
        <w:rPr>
          <w:rFonts w:cs="Arial"/>
          <w:sz w:val="20"/>
        </w:rPr>
        <w:t xml:space="preserve">and shall have effect as if set out in full in the body of </w:t>
      </w:r>
      <w:r w:rsidR="0013772A" w:rsidRPr="00EB5E38">
        <w:rPr>
          <w:rFonts w:cs="Arial"/>
          <w:sz w:val="20"/>
        </w:rPr>
        <w:t>the</w:t>
      </w:r>
      <w:r w:rsidR="00161ECF" w:rsidRPr="00EB5E38">
        <w:rPr>
          <w:rFonts w:cs="Arial"/>
          <w:sz w:val="20"/>
        </w:rPr>
        <w:t>se</w:t>
      </w:r>
      <w:r w:rsidR="0013772A" w:rsidRPr="00EB5E38">
        <w:rPr>
          <w:rFonts w:cs="Arial"/>
          <w:sz w:val="20"/>
        </w:rPr>
        <w:t xml:space="preserve"> </w:t>
      </w:r>
      <w:r w:rsidR="00946CF0" w:rsidRPr="00EB5E38">
        <w:rPr>
          <w:rFonts w:cs="Arial"/>
          <w:sz w:val="20"/>
        </w:rPr>
        <w:t>Call-Off Terms</w:t>
      </w:r>
      <w:r w:rsidR="005C28AA" w:rsidRPr="00EB5E38">
        <w:rPr>
          <w:rFonts w:cs="Arial"/>
          <w:sz w:val="20"/>
        </w:rPr>
        <w:t xml:space="preserve"> and a</w:t>
      </w:r>
      <w:r w:rsidRPr="00EB5E38">
        <w:rPr>
          <w:rFonts w:cs="Arial"/>
          <w:sz w:val="20"/>
        </w:rPr>
        <w:t xml:space="preserve">ny </w:t>
      </w:r>
      <w:r w:rsidRPr="00EB5E38">
        <w:rPr>
          <w:rFonts w:cs="Arial"/>
          <w:sz w:val="20"/>
        </w:rPr>
        <w:lastRenderedPageBreak/>
        <w:t xml:space="preserve">reference to </w:t>
      </w:r>
      <w:r w:rsidR="005C28AA" w:rsidRPr="00EB5E38">
        <w:rPr>
          <w:rFonts w:cs="Arial"/>
          <w:sz w:val="20"/>
        </w:rPr>
        <w:t>the</w:t>
      </w:r>
      <w:r w:rsidR="00161ECF" w:rsidRPr="00EB5E38">
        <w:rPr>
          <w:rFonts w:cs="Arial"/>
          <w:sz w:val="20"/>
        </w:rPr>
        <w:t>se</w:t>
      </w:r>
      <w:r w:rsidR="005C28AA" w:rsidRPr="00EB5E38">
        <w:rPr>
          <w:rFonts w:cs="Arial"/>
          <w:sz w:val="20"/>
        </w:rPr>
        <w:t xml:space="preserve"> Call-Off Terms</w:t>
      </w:r>
      <w:r w:rsidRPr="00EB5E38">
        <w:rPr>
          <w:rFonts w:cs="Arial"/>
          <w:sz w:val="20"/>
        </w:rPr>
        <w:t xml:space="preserve"> includes the </w:t>
      </w:r>
      <w:r w:rsidR="00946CF0" w:rsidRPr="00EB5E38">
        <w:rPr>
          <w:rFonts w:cs="Arial"/>
          <w:sz w:val="20"/>
        </w:rPr>
        <w:t>A</w:t>
      </w:r>
      <w:r w:rsidR="00B003D0" w:rsidRPr="00EB5E38">
        <w:rPr>
          <w:rFonts w:cs="Arial"/>
          <w:sz w:val="20"/>
        </w:rPr>
        <w:t>ppendices A</w:t>
      </w:r>
      <w:r w:rsidR="00946CF0" w:rsidRPr="00EB5E38">
        <w:rPr>
          <w:rFonts w:cs="Arial"/>
          <w:sz w:val="20"/>
        </w:rPr>
        <w:t>nnex</w:t>
      </w:r>
      <w:r w:rsidR="00924836" w:rsidRPr="00EB5E38">
        <w:rPr>
          <w:rFonts w:cs="Arial"/>
          <w:sz w:val="20"/>
        </w:rPr>
        <w:t>es</w:t>
      </w:r>
      <w:r w:rsidR="00946DA5" w:rsidRPr="00EB5E38">
        <w:rPr>
          <w:rFonts w:cs="Arial"/>
          <w:sz w:val="20"/>
        </w:rPr>
        <w:t xml:space="preserve"> and Schedules</w:t>
      </w:r>
      <w:r w:rsidRPr="00EB5E38">
        <w:rPr>
          <w:rFonts w:cs="Arial"/>
          <w:sz w:val="20"/>
        </w:rPr>
        <w:t>;</w:t>
      </w:r>
    </w:p>
    <w:p w14:paraId="6C68378F" w14:textId="77777777" w:rsidR="00F807DC" w:rsidRPr="00EB5E38" w:rsidRDefault="007562F7">
      <w:pPr>
        <w:pStyle w:val="Heading3"/>
        <w:rPr>
          <w:rFonts w:cs="Arial"/>
          <w:sz w:val="20"/>
        </w:rPr>
      </w:pPr>
      <w:r w:rsidRPr="00EB5E38">
        <w:rPr>
          <w:rFonts w:cs="Arial"/>
          <w:sz w:val="20"/>
        </w:rPr>
        <w:t>references to any statute, enactment, order, regulation</w:t>
      </w:r>
      <w:r w:rsidR="00F60503" w:rsidRPr="00EB5E38">
        <w:rPr>
          <w:rFonts w:cs="Arial"/>
          <w:sz w:val="20"/>
        </w:rPr>
        <w:t>, code, official guidance</w:t>
      </w:r>
      <w:r w:rsidRPr="00EB5E38">
        <w:rPr>
          <w:rFonts w:cs="Arial"/>
          <w:sz w:val="20"/>
        </w:rPr>
        <w:t xml:space="preserve"> or other similar instrument shall be construed as a reference to the statute, enactment, order, regulation</w:t>
      </w:r>
      <w:r w:rsidR="00F60503" w:rsidRPr="00EB5E38">
        <w:rPr>
          <w:rFonts w:cs="Arial"/>
          <w:sz w:val="20"/>
        </w:rPr>
        <w:t>,</w:t>
      </w:r>
      <w:r w:rsidRPr="00EB5E38">
        <w:rPr>
          <w:rFonts w:cs="Arial"/>
          <w:sz w:val="20"/>
        </w:rPr>
        <w:t xml:space="preserve"> </w:t>
      </w:r>
      <w:r w:rsidR="00F60503" w:rsidRPr="00EB5E38">
        <w:rPr>
          <w:rFonts w:cs="Arial"/>
          <w:sz w:val="20"/>
        </w:rPr>
        <w:t xml:space="preserve">code, official guidance </w:t>
      </w:r>
      <w:r w:rsidRPr="00EB5E38">
        <w:rPr>
          <w:rFonts w:cs="Arial"/>
          <w:sz w:val="20"/>
        </w:rPr>
        <w:t xml:space="preserve">or instrument as amended </w:t>
      </w:r>
      <w:r w:rsidR="00F60503" w:rsidRPr="00EB5E38">
        <w:rPr>
          <w:rFonts w:cs="Arial"/>
          <w:sz w:val="20"/>
        </w:rPr>
        <w:t xml:space="preserve">or replaced </w:t>
      </w:r>
      <w:r w:rsidRPr="00EB5E38">
        <w:rPr>
          <w:rFonts w:cs="Arial"/>
          <w:sz w:val="20"/>
        </w:rPr>
        <w:t>by any subsequent enactment, modification, order, regulation</w:t>
      </w:r>
      <w:r w:rsidR="00F60503" w:rsidRPr="00EB5E38">
        <w:rPr>
          <w:rFonts w:cs="Arial"/>
          <w:sz w:val="20"/>
        </w:rPr>
        <w:t>, code, official guidance</w:t>
      </w:r>
      <w:r w:rsidRPr="00EB5E38">
        <w:rPr>
          <w:rFonts w:cs="Arial"/>
          <w:sz w:val="20"/>
        </w:rPr>
        <w:t xml:space="preserve"> or instrument </w:t>
      </w:r>
      <w:r w:rsidR="0046589E" w:rsidRPr="00EB5E38">
        <w:rPr>
          <w:rFonts w:cs="Arial"/>
          <w:sz w:val="20"/>
        </w:rPr>
        <w:t xml:space="preserve">(whether </w:t>
      </w:r>
      <w:r w:rsidR="00F60503" w:rsidRPr="00EB5E38">
        <w:rPr>
          <w:rFonts w:cs="Arial"/>
          <w:sz w:val="20"/>
        </w:rPr>
        <w:t>such amendment or replacement occurs</w:t>
      </w:r>
      <w:r w:rsidR="0046589E" w:rsidRPr="00EB5E38">
        <w:rPr>
          <w:rFonts w:cs="Arial"/>
          <w:sz w:val="20"/>
        </w:rPr>
        <w:t xml:space="preserve"> before or after the date of the Contract)</w:t>
      </w:r>
      <w:r w:rsidRPr="00EB5E38">
        <w:rPr>
          <w:rFonts w:cs="Arial"/>
          <w:sz w:val="20"/>
        </w:rPr>
        <w:t>;</w:t>
      </w:r>
    </w:p>
    <w:p w14:paraId="6C683790" w14:textId="77777777" w:rsidR="00F807DC" w:rsidRPr="00EB5E38" w:rsidRDefault="007562F7">
      <w:pPr>
        <w:pStyle w:val="Heading3"/>
        <w:rPr>
          <w:rFonts w:cs="Arial"/>
          <w:sz w:val="20"/>
        </w:rPr>
      </w:pPr>
      <w:r w:rsidRPr="00EB5E38">
        <w:rPr>
          <w:rFonts w:cs="Arial"/>
          <w:sz w:val="20"/>
        </w:rPr>
        <w:t>headings are included in the Contract for ease of reference only and shall not affect the interpretation or construction of the Contract;</w:t>
      </w:r>
    </w:p>
    <w:p w14:paraId="6C683791" w14:textId="77777777" w:rsidR="00F807DC" w:rsidRPr="00EB5E38" w:rsidRDefault="007562F7">
      <w:pPr>
        <w:pStyle w:val="Heading3"/>
        <w:rPr>
          <w:rFonts w:cs="Arial"/>
          <w:sz w:val="20"/>
        </w:rPr>
      </w:pPr>
      <w:r w:rsidRPr="00EB5E38">
        <w:rPr>
          <w:rFonts w:cs="Arial"/>
          <w:sz w:val="20"/>
        </w:rPr>
        <w:t>references to “Clauses”</w:t>
      </w:r>
      <w:r w:rsidR="008C5846" w:rsidRPr="00EB5E38">
        <w:rPr>
          <w:rFonts w:cs="Arial"/>
          <w:sz w:val="20"/>
        </w:rPr>
        <w:t>,</w:t>
      </w:r>
      <w:r w:rsidRPr="00EB5E38">
        <w:rPr>
          <w:rFonts w:cs="Arial"/>
          <w:sz w:val="20"/>
        </w:rPr>
        <w:t xml:space="preserve"> </w:t>
      </w:r>
      <w:r w:rsidR="00946CF0" w:rsidRPr="00EB5E38">
        <w:rPr>
          <w:rFonts w:cs="Arial"/>
          <w:sz w:val="20"/>
        </w:rPr>
        <w:t xml:space="preserve">the </w:t>
      </w:r>
      <w:r w:rsidR="00B003D0" w:rsidRPr="00EB5E38">
        <w:rPr>
          <w:rFonts w:cs="Arial"/>
          <w:sz w:val="20"/>
        </w:rPr>
        <w:t xml:space="preserve">“Appendices” the </w:t>
      </w:r>
      <w:r w:rsidRPr="00EB5E38">
        <w:rPr>
          <w:rFonts w:cs="Arial"/>
          <w:sz w:val="20"/>
        </w:rPr>
        <w:t>“</w:t>
      </w:r>
      <w:r w:rsidR="00946CF0" w:rsidRPr="00EB5E38">
        <w:rPr>
          <w:rFonts w:cs="Arial"/>
          <w:sz w:val="20"/>
        </w:rPr>
        <w:t>Annex</w:t>
      </w:r>
      <w:r w:rsidR="00924836" w:rsidRPr="00EB5E38">
        <w:rPr>
          <w:rFonts w:cs="Arial"/>
          <w:sz w:val="20"/>
        </w:rPr>
        <w:t>es</w:t>
      </w:r>
      <w:r w:rsidRPr="00EB5E38">
        <w:rPr>
          <w:rFonts w:cs="Arial"/>
          <w:sz w:val="20"/>
        </w:rPr>
        <w:t>”</w:t>
      </w:r>
      <w:r w:rsidR="008C5846" w:rsidRPr="00EB5E38">
        <w:rPr>
          <w:rFonts w:cs="Arial"/>
          <w:sz w:val="20"/>
        </w:rPr>
        <w:t xml:space="preserve"> and “Schedules”</w:t>
      </w:r>
      <w:r w:rsidRPr="00EB5E38">
        <w:rPr>
          <w:rFonts w:cs="Arial"/>
          <w:sz w:val="20"/>
        </w:rPr>
        <w:t xml:space="preserve"> are, unless otherwise provided, references t</w:t>
      </w:r>
      <w:r w:rsidR="0046589E" w:rsidRPr="00EB5E38">
        <w:rPr>
          <w:rFonts w:cs="Arial"/>
          <w:sz w:val="20"/>
        </w:rPr>
        <w:t>o the clauses of</w:t>
      </w:r>
      <w:r w:rsidR="008C5846" w:rsidRPr="00EB5E38">
        <w:rPr>
          <w:rFonts w:cs="Arial"/>
          <w:sz w:val="20"/>
        </w:rPr>
        <w:t>,</w:t>
      </w:r>
      <w:r w:rsidR="0046589E" w:rsidRPr="00EB5E38">
        <w:rPr>
          <w:rFonts w:cs="Arial"/>
          <w:sz w:val="20"/>
        </w:rPr>
        <w:t xml:space="preserve"> </w:t>
      </w:r>
      <w:r w:rsidR="00B003D0" w:rsidRPr="00EB5E38">
        <w:rPr>
          <w:rFonts w:cs="Arial"/>
          <w:sz w:val="20"/>
        </w:rPr>
        <w:t xml:space="preserve">the Appendices to, </w:t>
      </w:r>
      <w:r w:rsidR="00946CF0" w:rsidRPr="00EB5E38">
        <w:rPr>
          <w:rFonts w:cs="Arial"/>
          <w:sz w:val="20"/>
        </w:rPr>
        <w:t>the Annex</w:t>
      </w:r>
      <w:r w:rsidR="00924836" w:rsidRPr="00EB5E38">
        <w:rPr>
          <w:rFonts w:cs="Arial"/>
          <w:sz w:val="20"/>
        </w:rPr>
        <w:t>es</w:t>
      </w:r>
      <w:r w:rsidRPr="00EB5E38">
        <w:rPr>
          <w:rFonts w:cs="Arial"/>
          <w:sz w:val="20"/>
        </w:rPr>
        <w:t xml:space="preserve"> to </w:t>
      </w:r>
      <w:r w:rsidR="008C5846" w:rsidRPr="00EB5E38">
        <w:rPr>
          <w:rFonts w:cs="Arial"/>
          <w:sz w:val="20"/>
        </w:rPr>
        <w:t xml:space="preserve">and the Schedules to </w:t>
      </w:r>
      <w:r w:rsidR="0046589E" w:rsidRPr="00EB5E38">
        <w:rPr>
          <w:rFonts w:cs="Arial"/>
          <w:sz w:val="20"/>
        </w:rPr>
        <w:t>these Call-Off Terms</w:t>
      </w:r>
      <w:r w:rsidR="00946CF0" w:rsidRPr="00EB5E38">
        <w:rPr>
          <w:rFonts w:cs="Arial"/>
          <w:sz w:val="20"/>
        </w:rPr>
        <w:t xml:space="preserve"> and r</w:t>
      </w:r>
      <w:r w:rsidRPr="00EB5E38">
        <w:rPr>
          <w:rFonts w:cs="Arial"/>
          <w:sz w:val="20"/>
        </w:rPr>
        <w:t xml:space="preserve">eferences to “paragraphs” are, unless otherwise provided, references to paragraphs of the </w:t>
      </w:r>
      <w:r w:rsidR="00924836" w:rsidRPr="00EB5E38">
        <w:rPr>
          <w:rFonts w:cs="Arial"/>
          <w:sz w:val="20"/>
        </w:rPr>
        <w:t xml:space="preserve">respective </w:t>
      </w:r>
      <w:r w:rsidR="00946CF0" w:rsidRPr="00EB5E38">
        <w:rPr>
          <w:rFonts w:cs="Arial"/>
          <w:sz w:val="20"/>
        </w:rPr>
        <w:t>Annex</w:t>
      </w:r>
      <w:r w:rsidR="00924836" w:rsidRPr="00EB5E38">
        <w:rPr>
          <w:rFonts w:cs="Arial"/>
          <w:sz w:val="20"/>
        </w:rPr>
        <w:t>es</w:t>
      </w:r>
      <w:r w:rsidRPr="00EB5E38">
        <w:rPr>
          <w:rFonts w:cs="Arial"/>
          <w:sz w:val="20"/>
        </w:rPr>
        <w:t xml:space="preserve"> in which the references are made;</w:t>
      </w:r>
    </w:p>
    <w:p w14:paraId="6C683792" w14:textId="77777777" w:rsidR="00F807DC" w:rsidRPr="00EB5E38" w:rsidRDefault="007562F7">
      <w:pPr>
        <w:pStyle w:val="Heading3"/>
        <w:rPr>
          <w:rFonts w:cs="Arial"/>
          <w:sz w:val="20"/>
        </w:rPr>
      </w:pPr>
      <w:r w:rsidRPr="00EB5E38">
        <w:rPr>
          <w:rFonts w:cs="Arial"/>
          <w:sz w:val="20"/>
        </w:rPr>
        <w:t xml:space="preserve">terms or expressions contained in </w:t>
      </w:r>
      <w:r w:rsidR="0039171B" w:rsidRPr="00EB5E38">
        <w:rPr>
          <w:rFonts w:cs="Arial"/>
          <w:sz w:val="20"/>
        </w:rPr>
        <w:t>the Contract</w:t>
      </w:r>
      <w:r w:rsidRPr="00EB5E38">
        <w:rPr>
          <w:rFonts w:cs="Arial"/>
          <w:sz w:val="20"/>
        </w:rPr>
        <w:t xml:space="preserve"> which are capitalised but which do not have an interpretation in </w:t>
      </w:r>
      <w:r w:rsidR="00E6002D" w:rsidRPr="00EB5E38">
        <w:rPr>
          <w:rFonts w:cs="Arial"/>
          <w:sz w:val="20"/>
        </w:rPr>
        <w:t>Clause </w:t>
      </w:r>
      <w:r w:rsidR="00F60503" w:rsidRPr="00EB5E38">
        <w:t>1.1</w:t>
      </w:r>
      <w:r w:rsidRPr="00EB5E38">
        <w:rPr>
          <w:rFonts w:cs="Arial"/>
          <w:sz w:val="20"/>
        </w:rPr>
        <w:t xml:space="preserve"> shall be interpreted in accordance with the Framework Agreement;</w:t>
      </w:r>
    </w:p>
    <w:p w14:paraId="6C683793" w14:textId="77777777" w:rsidR="00F807DC" w:rsidRPr="00EB5E38" w:rsidRDefault="00F4581E">
      <w:pPr>
        <w:pStyle w:val="Heading3"/>
        <w:rPr>
          <w:rFonts w:cs="Arial"/>
          <w:sz w:val="20"/>
        </w:rPr>
      </w:pPr>
      <w:r w:rsidRPr="00EB5E38">
        <w:rPr>
          <w:rFonts w:cs="Arial"/>
          <w:sz w:val="20"/>
        </w:rPr>
        <w:t xml:space="preserve">a </w:t>
      </w:r>
      <w:r w:rsidR="007562F7" w:rsidRPr="00EB5E38">
        <w:rPr>
          <w:rFonts w:cs="Arial"/>
          <w:sz w:val="20"/>
        </w:rPr>
        <w:t xml:space="preserve">reference to a </w:t>
      </w:r>
      <w:r w:rsidR="00E6002D" w:rsidRPr="00EB5E38">
        <w:rPr>
          <w:rFonts w:cs="Arial"/>
          <w:sz w:val="20"/>
        </w:rPr>
        <w:t>Clause </w:t>
      </w:r>
      <w:r w:rsidR="007562F7" w:rsidRPr="00EB5E38">
        <w:rPr>
          <w:rFonts w:cs="Arial"/>
          <w:sz w:val="20"/>
        </w:rPr>
        <w:t xml:space="preserve">is a reference to the whole of that </w:t>
      </w:r>
      <w:r w:rsidR="00E6002D" w:rsidRPr="00EB5E38">
        <w:rPr>
          <w:rFonts w:cs="Arial"/>
          <w:sz w:val="20"/>
        </w:rPr>
        <w:t>Clause </w:t>
      </w:r>
      <w:r w:rsidR="007562F7" w:rsidRPr="00EB5E38">
        <w:rPr>
          <w:rFonts w:cs="Arial"/>
          <w:sz w:val="20"/>
        </w:rPr>
        <w:t>unless stated otherwise; and</w:t>
      </w:r>
    </w:p>
    <w:p w14:paraId="6C683794" w14:textId="77777777" w:rsidR="00F807DC" w:rsidRPr="00EB5E38" w:rsidRDefault="007562F7">
      <w:pPr>
        <w:pStyle w:val="Heading3"/>
        <w:rPr>
          <w:rFonts w:cs="Arial"/>
          <w:sz w:val="20"/>
        </w:rPr>
      </w:pPr>
      <w:bookmarkStart w:id="11" w:name="_Ref313372077"/>
      <w:r w:rsidRPr="00EB5E38">
        <w:rPr>
          <w:rFonts w:cs="Arial"/>
          <w:sz w:val="20"/>
        </w:rPr>
        <w:t xml:space="preserve">in the event of and only to the extent of any conflict between the </w:t>
      </w:r>
      <w:r w:rsidR="00F4581E" w:rsidRPr="00EB5E38">
        <w:rPr>
          <w:rFonts w:cs="Arial"/>
          <w:sz w:val="20"/>
        </w:rPr>
        <w:t>Letter of Appointment</w:t>
      </w:r>
      <w:r w:rsidR="00F61654" w:rsidRPr="00EB5E38">
        <w:rPr>
          <w:rFonts w:cs="Arial"/>
          <w:sz w:val="20"/>
        </w:rPr>
        <w:t>,</w:t>
      </w:r>
      <w:r w:rsidRPr="00EB5E38">
        <w:rPr>
          <w:rFonts w:cs="Arial"/>
          <w:sz w:val="20"/>
        </w:rPr>
        <w:t xml:space="preserve"> the</w:t>
      </w:r>
      <w:r w:rsidR="00F61654" w:rsidRPr="00EB5E38">
        <w:rPr>
          <w:rFonts w:cs="Arial"/>
          <w:sz w:val="20"/>
        </w:rPr>
        <w:t>se</w:t>
      </w:r>
      <w:r w:rsidRPr="00EB5E38">
        <w:rPr>
          <w:rFonts w:cs="Arial"/>
          <w:sz w:val="20"/>
        </w:rPr>
        <w:t xml:space="preserve"> </w:t>
      </w:r>
      <w:r w:rsidR="00F61654" w:rsidRPr="00EB5E38">
        <w:rPr>
          <w:rFonts w:cs="Arial"/>
          <w:sz w:val="20"/>
        </w:rPr>
        <w:t>Call-Off Terms</w:t>
      </w:r>
      <w:r w:rsidR="00C901FE" w:rsidRPr="00EB5E38">
        <w:rPr>
          <w:rFonts w:cs="Arial"/>
          <w:sz w:val="20"/>
        </w:rPr>
        <w:t>, any other document referred to in the Contract</w:t>
      </w:r>
      <w:r w:rsidR="00FB269A" w:rsidRPr="00EB5E38">
        <w:rPr>
          <w:rFonts w:cs="Arial"/>
          <w:sz w:val="20"/>
        </w:rPr>
        <w:t xml:space="preserve"> </w:t>
      </w:r>
      <w:r w:rsidRPr="00EB5E38">
        <w:rPr>
          <w:rFonts w:cs="Arial"/>
          <w:sz w:val="20"/>
        </w:rPr>
        <w:t>and the Framework Agreement, the conflict shall be resolved in accordance with the following order of precedence:</w:t>
      </w:r>
      <w:bookmarkEnd w:id="11"/>
    </w:p>
    <w:p w14:paraId="6C683795" w14:textId="77777777" w:rsidR="009720A3" w:rsidRPr="00EB5E38" w:rsidRDefault="007562F7" w:rsidP="00880E10">
      <w:pPr>
        <w:pStyle w:val="Heading4"/>
      </w:pPr>
      <w:r w:rsidRPr="00EB5E38">
        <w:t xml:space="preserve">the </w:t>
      </w:r>
      <w:r w:rsidR="00F61654" w:rsidRPr="00EB5E38">
        <w:t xml:space="preserve">Framework Agreement (excluding Framework </w:t>
      </w:r>
      <w:r w:rsidR="00FB269A" w:rsidRPr="00EB5E38">
        <w:t>Schedule </w:t>
      </w:r>
      <w:r w:rsidR="00F61654" w:rsidRPr="00EB5E38">
        <w:t>4 (</w:t>
      </w:r>
      <w:r w:rsidR="009720A3" w:rsidRPr="00EB5E38">
        <w:t>Letter of Appointment and Call-Off Terms)</w:t>
      </w:r>
      <w:r w:rsidR="00F61654" w:rsidRPr="00EB5E38">
        <w:t>)</w:t>
      </w:r>
      <w:r w:rsidR="00C74DBB" w:rsidRPr="00EB5E38">
        <w:t>;</w:t>
      </w:r>
    </w:p>
    <w:p w14:paraId="6C683796" w14:textId="77777777" w:rsidR="00F61654" w:rsidRPr="00EB5E38" w:rsidRDefault="009720A3" w:rsidP="00880E10">
      <w:pPr>
        <w:pStyle w:val="Heading4"/>
      </w:pPr>
      <w:r w:rsidRPr="00EB5E38">
        <w:t xml:space="preserve">the </w:t>
      </w:r>
      <w:r w:rsidR="00C74DBB" w:rsidRPr="00EB5E38">
        <w:t>Letter of Appointment</w:t>
      </w:r>
      <w:r w:rsidR="00C37263" w:rsidRPr="00EB5E38">
        <w:t xml:space="preserve"> </w:t>
      </w:r>
      <w:r w:rsidR="00B003D0" w:rsidRPr="00EB5E38">
        <w:t xml:space="preserve">together with </w:t>
      </w:r>
      <w:r w:rsidR="00BE5F98" w:rsidRPr="00EB5E38">
        <w:t xml:space="preserve"> </w:t>
      </w:r>
      <w:r w:rsidR="00B003D0" w:rsidRPr="00EB5E38">
        <w:t>Appendices</w:t>
      </w:r>
      <w:r w:rsidR="00C74DBB" w:rsidRPr="00EB5E38">
        <w:t xml:space="preserve">; </w:t>
      </w:r>
    </w:p>
    <w:p w14:paraId="6C683797" w14:textId="77777777" w:rsidR="00C901FE" w:rsidRPr="00EB5E38" w:rsidRDefault="00F61654" w:rsidP="00880E10">
      <w:pPr>
        <w:pStyle w:val="Heading4"/>
      </w:pPr>
      <w:r w:rsidRPr="00EB5E38">
        <w:t>the</w:t>
      </w:r>
      <w:r w:rsidR="009720A3" w:rsidRPr="00EB5E38">
        <w:t>se Call-Off Terms</w:t>
      </w:r>
      <w:r w:rsidR="00C901FE" w:rsidRPr="00EB5E38">
        <w:t>; and</w:t>
      </w:r>
    </w:p>
    <w:p w14:paraId="6C683798" w14:textId="77777777" w:rsidR="00F807DC" w:rsidRPr="00EB5E38" w:rsidRDefault="00C901FE" w:rsidP="00880E10">
      <w:pPr>
        <w:pStyle w:val="Heading4"/>
      </w:pPr>
      <w:r w:rsidRPr="00EB5E38">
        <w:t>any other document referred to in the Contract</w:t>
      </w:r>
      <w:r w:rsidR="007562F7" w:rsidRPr="00EB5E38">
        <w:t>.</w:t>
      </w:r>
      <w:r w:rsidR="00294DCA" w:rsidRPr="00EB5E38">
        <w:t xml:space="preserve"> 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EB5E38" w:rsidRDefault="007562F7" w:rsidP="00F6759D">
      <w:pPr>
        <w:pStyle w:val="Heading1"/>
        <w:keepNext/>
        <w:keepLines/>
        <w:rPr>
          <w:rFonts w:cs="Arial"/>
          <w:sz w:val="20"/>
        </w:rPr>
      </w:pPr>
      <w:bookmarkStart w:id="12" w:name="_Toc386011024"/>
      <w:r w:rsidRPr="00EB5E38">
        <w:rPr>
          <w:rFonts w:cs="Arial"/>
          <w:sz w:val="20"/>
        </w:rPr>
        <w:t xml:space="preserve">SUPPLY OF </w:t>
      </w:r>
      <w:r w:rsidR="00E73F97" w:rsidRPr="00EB5E38">
        <w:rPr>
          <w:rFonts w:cs="Arial"/>
          <w:sz w:val="20"/>
        </w:rPr>
        <w:t xml:space="preserve">CONTRACT </w:t>
      </w:r>
      <w:r w:rsidRPr="00EB5E38">
        <w:rPr>
          <w:rFonts w:cs="Arial"/>
          <w:sz w:val="20"/>
        </w:rPr>
        <w:t>SERVICES</w:t>
      </w:r>
      <w:bookmarkEnd w:id="12"/>
    </w:p>
    <w:p w14:paraId="6C68379A" w14:textId="77777777" w:rsidR="00F6759D" w:rsidRPr="00EB5E38" w:rsidRDefault="00E73F97" w:rsidP="00F6759D">
      <w:pPr>
        <w:pStyle w:val="Heading2"/>
        <w:keepNext/>
        <w:rPr>
          <w:rFonts w:cs="Arial"/>
          <w:b/>
          <w:sz w:val="20"/>
        </w:rPr>
      </w:pPr>
      <w:r w:rsidRPr="00EB5E38">
        <w:rPr>
          <w:rFonts w:cs="Arial"/>
          <w:b/>
          <w:sz w:val="20"/>
        </w:rPr>
        <w:t>Contract</w:t>
      </w:r>
      <w:r w:rsidR="00F6759D" w:rsidRPr="00EB5E38">
        <w:rPr>
          <w:rFonts w:cs="Arial"/>
          <w:b/>
          <w:sz w:val="20"/>
        </w:rPr>
        <w:t xml:space="preserve"> Services</w:t>
      </w:r>
    </w:p>
    <w:p w14:paraId="6C68379B" w14:textId="77777777" w:rsidR="00315FB8" w:rsidRPr="00EB5E38" w:rsidRDefault="007562F7" w:rsidP="00F6759D">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supply </w:t>
      </w:r>
      <w:r w:rsidR="0013772A" w:rsidRPr="00EB5E38">
        <w:rPr>
          <w:rFonts w:cs="Arial"/>
          <w:sz w:val="20"/>
        </w:rPr>
        <w:t xml:space="preserve">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to the </w:t>
      </w:r>
      <w:r w:rsidR="007D1596" w:rsidRPr="00EB5E38">
        <w:rPr>
          <w:rFonts w:cs="Arial"/>
          <w:sz w:val="20"/>
        </w:rPr>
        <w:t>Customer</w:t>
      </w:r>
      <w:r w:rsidR="0013772A" w:rsidRPr="00EB5E38">
        <w:rPr>
          <w:rFonts w:cs="Arial"/>
          <w:sz w:val="20"/>
        </w:rPr>
        <w:t xml:space="preserve"> in accordance with the provisions of the Contract</w:t>
      </w:r>
      <w:r w:rsidR="00F61654" w:rsidRPr="00EB5E38">
        <w:rPr>
          <w:rFonts w:cs="Arial"/>
          <w:sz w:val="20"/>
        </w:rPr>
        <w:t>.</w:t>
      </w:r>
    </w:p>
    <w:p w14:paraId="6C68379C" w14:textId="77777777" w:rsidR="00764633" w:rsidRPr="00EB5E38" w:rsidRDefault="00764633" w:rsidP="00764633">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w:t>
      </w:r>
    </w:p>
    <w:p w14:paraId="6C68379D" w14:textId="77777777" w:rsidR="00764633" w:rsidRPr="00EB5E38" w:rsidRDefault="00764633" w:rsidP="00880E10">
      <w:pPr>
        <w:pStyle w:val="Heading4"/>
      </w:pPr>
      <w:r w:rsidRPr="00EB5E38">
        <w:t xml:space="preserve">comply with all reasonable instructions given to the </w:t>
      </w:r>
      <w:r w:rsidR="004104F4" w:rsidRPr="00EB5E38">
        <w:t>Supplier</w:t>
      </w:r>
      <w:r w:rsidRPr="00EB5E38">
        <w:t xml:space="preserve"> and its Staff by the </w:t>
      </w:r>
      <w:r w:rsidR="007D1596" w:rsidRPr="00EB5E38">
        <w:t>Customer</w:t>
      </w:r>
      <w:r w:rsidRPr="00EB5E38">
        <w:t xml:space="preserve"> in relation to the </w:t>
      </w:r>
      <w:r w:rsidR="00162C54" w:rsidRPr="00EB5E38">
        <w:t>Contract Services</w:t>
      </w:r>
      <w:r w:rsidR="00706BB4" w:rsidRPr="00EB5E38">
        <w:t xml:space="preserve"> </w:t>
      </w:r>
      <w:r w:rsidRPr="00EB5E38">
        <w:t xml:space="preserve">from time </w:t>
      </w:r>
      <w:r w:rsidRPr="00EB5E38">
        <w:lastRenderedPageBreak/>
        <w:t>to time, including reasonable instructions to re</w:t>
      </w:r>
      <w:r w:rsidR="00161ECF" w:rsidRPr="00EB5E38">
        <w:t>s</w:t>
      </w:r>
      <w:r w:rsidR="00FB269A" w:rsidRPr="00EB5E38">
        <w:t>chedule </w:t>
      </w:r>
      <w:r w:rsidRPr="00EB5E38">
        <w:t>or alter the Contract Services;</w:t>
      </w:r>
    </w:p>
    <w:p w14:paraId="6C68379E" w14:textId="77777777" w:rsidR="00764633" w:rsidRPr="00EB5E38" w:rsidRDefault="00764633" w:rsidP="00880E10">
      <w:pPr>
        <w:pStyle w:val="Heading4"/>
      </w:pPr>
      <w:r w:rsidRPr="00EB5E38">
        <w:t xml:space="preserve">immediately report to the </w:t>
      </w:r>
      <w:r w:rsidR="007D1596" w:rsidRPr="00EB5E38">
        <w:t>Customer</w:t>
      </w:r>
      <w:r w:rsidRPr="00EB5E38">
        <w:t>’s Representative any matters which involve or could potentially involve a conflict of interest as referred to in Clause 2.1.3.1;</w:t>
      </w:r>
    </w:p>
    <w:p w14:paraId="6C68379F" w14:textId="77777777" w:rsidR="00764633" w:rsidRPr="00EB5E38" w:rsidRDefault="00764633" w:rsidP="00880E10">
      <w:pPr>
        <w:pStyle w:val="Heading4"/>
      </w:pPr>
      <w:r w:rsidRPr="00EB5E38">
        <w:t>co</w:t>
      </w:r>
      <w:r w:rsidR="00706BB4" w:rsidRPr="00EB5E38">
        <w:t>-</w:t>
      </w:r>
      <w:r w:rsidRPr="00EB5E38">
        <w:t xml:space="preserve">operate with the </w:t>
      </w:r>
      <w:r w:rsidR="007D1596" w:rsidRPr="00EB5E38">
        <w:t>Customer</w:t>
      </w:r>
      <w:r w:rsidRPr="00EB5E38">
        <w:t xml:space="preserve"> and the </w:t>
      </w:r>
      <w:r w:rsidR="007D1596" w:rsidRPr="00EB5E38">
        <w:t>Customer</w:t>
      </w:r>
      <w:r w:rsidRPr="00EB5E38">
        <w:t xml:space="preserve">’s other professional advisers in relation to the </w:t>
      </w:r>
      <w:r w:rsidR="00162C54" w:rsidRPr="00EB5E38">
        <w:t>Contract Services</w:t>
      </w:r>
      <w:r w:rsidR="00706BB4" w:rsidRPr="00EB5E38">
        <w:t xml:space="preserve"> </w:t>
      </w:r>
      <w:r w:rsidRPr="00EB5E38">
        <w:t xml:space="preserve">as required by the </w:t>
      </w:r>
      <w:r w:rsidR="007D1596" w:rsidRPr="00EB5E38">
        <w:t>Customer</w:t>
      </w:r>
      <w:r w:rsidRPr="00EB5E38">
        <w:t>;</w:t>
      </w:r>
    </w:p>
    <w:p w14:paraId="6C6837A0" w14:textId="77777777" w:rsidR="00764633" w:rsidRPr="00EB5E38" w:rsidRDefault="00764633" w:rsidP="00880E10">
      <w:pPr>
        <w:pStyle w:val="Heading4"/>
      </w:pPr>
      <w:r w:rsidRPr="00EB5E38">
        <w:t xml:space="preserve">comply with the </w:t>
      </w:r>
      <w:r w:rsidR="007D1596" w:rsidRPr="00EB5E38">
        <w:t>Customer</w:t>
      </w:r>
      <w:r w:rsidRPr="00EB5E38">
        <w:t xml:space="preserve">’s internal policies and procedures and Government codes and practices in force from time to time </w:t>
      </w:r>
      <w:r w:rsidR="00FB269A" w:rsidRPr="00EB5E38">
        <w:t xml:space="preserve">(including policies, procedures, codes and practices relating to staff vetting, security, equality and diversity, </w:t>
      </w:r>
      <w:r w:rsidR="00161ECF" w:rsidRPr="00EB5E38">
        <w:t>confidentiality undertakings and</w:t>
      </w:r>
      <w:r w:rsidR="00FB269A" w:rsidRPr="00EB5E38">
        <w:t xml:space="preserve"> sustainability) in each case </w:t>
      </w:r>
      <w:r w:rsidRPr="00EB5E38">
        <w:t xml:space="preserve">as notified to the </w:t>
      </w:r>
      <w:r w:rsidR="004104F4" w:rsidRPr="00EB5E38">
        <w:t>Supplier</w:t>
      </w:r>
      <w:r w:rsidRPr="00EB5E38">
        <w:t xml:space="preserve"> in writing by the </w:t>
      </w:r>
      <w:r w:rsidR="007D1596" w:rsidRPr="00EB5E38">
        <w:t>Customer</w:t>
      </w:r>
      <w:r w:rsidR="00B17CAB" w:rsidRPr="00EB5E38">
        <w:t xml:space="preserve"> including where applicable</w:t>
      </w:r>
      <w:r w:rsidR="00B00D94" w:rsidRPr="00EB5E38">
        <w:t>,</w:t>
      </w:r>
      <w:r w:rsidR="00E03B79" w:rsidRPr="00EB5E38">
        <w:t xml:space="preserve"> but not limited to</w:t>
      </w:r>
      <w:r w:rsidR="00B00D94" w:rsidRPr="00EB5E38">
        <w:t>,</w:t>
      </w:r>
      <w:r w:rsidR="00B17CAB" w:rsidRPr="00EB5E38">
        <w:t xml:space="preserve"> such policies, procedures, codes and practices </w:t>
      </w:r>
      <w:r w:rsidR="00A97F94" w:rsidRPr="00EB5E38">
        <w:t>listed</w:t>
      </w:r>
      <w:r w:rsidR="00B17CAB" w:rsidRPr="00EB5E38">
        <w:t xml:space="preserve"> in </w:t>
      </w:r>
      <w:r w:rsidR="00A97F94" w:rsidRPr="00EB5E38">
        <w:t>section 2.</w:t>
      </w:r>
      <w:r w:rsidR="005B2E88" w:rsidRPr="00EB5E38">
        <w:t>1</w:t>
      </w:r>
      <w:r w:rsidR="00A97F94" w:rsidRPr="00EB5E38">
        <w:t xml:space="preserve"> of Appendix 1 of the </w:t>
      </w:r>
      <w:r w:rsidR="0083385E" w:rsidRPr="00EB5E38">
        <w:t>L</w:t>
      </w:r>
      <w:r w:rsidR="00A97F94" w:rsidRPr="00EB5E38">
        <w:t>etter of Appointment</w:t>
      </w:r>
      <w:r w:rsidRPr="00EB5E38">
        <w:t xml:space="preserve">; </w:t>
      </w:r>
    </w:p>
    <w:p w14:paraId="6C6837A1" w14:textId="77777777" w:rsidR="00F6759D" w:rsidRPr="00EB5E38" w:rsidRDefault="00E96F8D" w:rsidP="00F6759D">
      <w:pPr>
        <w:pStyle w:val="Heading3"/>
        <w:rPr>
          <w:rFonts w:cs="Arial"/>
          <w:sz w:val="20"/>
        </w:rPr>
      </w:pPr>
      <w:r w:rsidRPr="00EB5E38">
        <w:rPr>
          <w:rFonts w:cs="Arial"/>
          <w:sz w:val="20"/>
        </w:rPr>
        <w:t>T</w:t>
      </w:r>
      <w:r w:rsidR="009720A3" w:rsidRPr="00EB5E38">
        <w:rPr>
          <w:rFonts w:cs="Arial"/>
          <w:sz w:val="20"/>
        </w:rPr>
        <w:t xml:space="preserve">he </w:t>
      </w:r>
      <w:r w:rsidR="004104F4" w:rsidRPr="00EB5E38">
        <w:rPr>
          <w:rFonts w:cs="Arial"/>
          <w:sz w:val="20"/>
        </w:rPr>
        <w:t>Supplier</w:t>
      </w:r>
      <w:r w:rsidR="009720A3" w:rsidRPr="00EB5E38">
        <w:rPr>
          <w:rFonts w:cs="Arial"/>
          <w:sz w:val="20"/>
        </w:rPr>
        <w:t xml:space="preserve"> shall not</w:t>
      </w:r>
      <w:r w:rsidR="00F6759D" w:rsidRPr="00EB5E38">
        <w:rPr>
          <w:rFonts w:cs="Arial"/>
          <w:sz w:val="20"/>
        </w:rPr>
        <w:t>:</w:t>
      </w:r>
    </w:p>
    <w:p w14:paraId="6C6837A2" w14:textId="77777777" w:rsidR="00AB51E9" w:rsidRPr="00EB5E38" w:rsidRDefault="00AB51E9" w:rsidP="00880E10">
      <w:pPr>
        <w:pStyle w:val="Heading4"/>
      </w:pPr>
      <w:r w:rsidRPr="00EB5E38">
        <w:t xml:space="preserve">knowingly act </w:t>
      </w:r>
      <w:r w:rsidR="00764633" w:rsidRPr="00EB5E38">
        <w:t xml:space="preserve">at any time during the term of the Contract </w:t>
      </w:r>
      <w:r w:rsidRPr="00EB5E38">
        <w:t xml:space="preserve">in any capacity for any person, firm or company in circumstances where a conflict of interest between such person, firm or company and the </w:t>
      </w:r>
      <w:r w:rsidR="007D1596" w:rsidRPr="00EB5E38">
        <w:t>Customer</w:t>
      </w:r>
      <w:r w:rsidRPr="00EB5E38">
        <w:t xml:space="preserve"> shall thereby exist in relation to the Contract Services;</w:t>
      </w:r>
      <w:r w:rsidR="00764633" w:rsidRPr="00EB5E38">
        <w:t xml:space="preserve"> or</w:t>
      </w:r>
    </w:p>
    <w:p w14:paraId="6C6837A3" w14:textId="77777777" w:rsidR="009720A3" w:rsidRPr="00EB5E38" w:rsidRDefault="009720A3" w:rsidP="00880E10">
      <w:pPr>
        <w:pStyle w:val="Heading4"/>
      </w:pPr>
      <w:r w:rsidRPr="00EB5E38">
        <w:t xml:space="preserve">incur any expenditure which would result in </w:t>
      </w:r>
      <w:r w:rsidR="00E96F8D" w:rsidRPr="00EB5E38">
        <w:t>any</w:t>
      </w:r>
      <w:r w:rsidRPr="00EB5E38">
        <w:t xml:space="preserve"> estimated figure for any element of the </w:t>
      </w:r>
      <w:r w:rsidR="00162C54" w:rsidRPr="00EB5E38">
        <w:t>Contract Services</w:t>
      </w:r>
      <w:r w:rsidR="00706BB4" w:rsidRPr="00EB5E38">
        <w:t xml:space="preserve"> </w:t>
      </w:r>
      <w:r w:rsidRPr="00EB5E38">
        <w:t>being exceeded without</w:t>
      </w:r>
      <w:r w:rsidR="00AB51E9" w:rsidRPr="00EB5E38">
        <w:t xml:space="preserve"> the </w:t>
      </w:r>
      <w:r w:rsidR="007D1596" w:rsidRPr="00EB5E38">
        <w:t>Customer</w:t>
      </w:r>
      <w:r w:rsidR="00AB51E9" w:rsidRPr="00EB5E38">
        <w:t>’s written agreement;</w:t>
      </w:r>
      <w:r w:rsidR="00764633" w:rsidRPr="00EB5E38">
        <w:t xml:space="preserve"> or</w:t>
      </w:r>
    </w:p>
    <w:p w14:paraId="6C6837A4" w14:textId="77777777" w:rsidR="00AB51E9" w:rsidRPr="00EB5E38" w:rsidRDefault="00AB51E9" w:rsidP="00880E10">
      <w:pPr>
        <w:pStyle w:val="Heading4"/>
      </w:pPr>
      <w:r w:rsidRPr="00EB5E38">
        <w:t xml:space="preserve">without the prior written consent of the </w:t>
      </w:r>
      <w:r w:rsidR="007D1596" w:rsidRPr="00EB5E38">
        <w:t>Customer</w:t>
      </w:r>
      <w:r w:rsidRPr="00EB5E38">
        <w:t>, accept any commission, discount, allowance, direct or indirect payment, or any other consideration from any third party in connection with the provision of the Contract Services; or</w:t>
      </w:r>
    </w:p>
    <w:p w14:paraId="6C6837A5" w14:textId="77777777" w:rsidR="00AB51E9" w:rsidRPr="00EB5E38" w:rsidRDefault="00AB51E9" w:rsidP="00880E10">
      <w:pPr>
        <w:pStyle w:val="Heading4"/>
      </w:pPr>
      <w:r w:rsidRPr="00EB5E38">
        <w:t xml:space="preserve">pledge the credit of the </w:t>
      </w:r>
      <w:r w:rsidR="007D1596" w:rsidRPr="00EB5E38">
        <w:t>Customer</w:t>
      </w:r>
      <w:r w:rsidRPr="00EB5E38">
        <w:t xml:space="preserve"> in any way; or</w:t>
      </w:r>
    </w:p>
    <w:p w14:paraId="6C6837A6" w14:textId="77777777" w:rsidR="00AB51E9" w:rsidRPr="00EB5E38" w:rsidRDefault="00AB51E9" w:rsidP="00880E10">
      <w:pPr>
        <w:pStyle w:val="Heading4"/>
      </w:pPr>
      <w:r w:rsidRPr="00EB5E38">
        <w:t xml:space="preserve">engage in any conduct which in the reasonable opinion of the </w:t>
      </w:r>
      <w:r w:rsidR="007D1596" w:rsidRPr="00EB5E38">
        <w:t>Customer</w:t>
      </w:r>
      <w:r w:rsidRPr="00EB5E38">
        <w:t xml:space="preserve"> is prejudicial to the </w:t>
      </w:r>
      <w:r w:rsidR="007D1596" w:rsidRPr="00EB5E38">
        <w:t>Customer</w:t>
      </w:r>
      <w:r w:rsidRPr="00EB5E38">
        <w:t>.</w:t>
      </w:r>
    </w:p>
    <w:p w14:paraId="6C6837A7" w14:textId="77777777" w:rsidR="003D188E" w:rsidRPr="00EB5E38" w:rsidRDefault="006C3D9C" w:rsidP="00880E10">
      <w:pPr>
        <w:pStyle w:val="Heading4"/>
      </w:pPr>
      <w:r w:rsidRPr="00EB5E38">
        <w:t>w</w:t>
      </w:r>
      <w:r w:rsidR="003D188E" w:rsidRPr="00EB5E38">
        <w:t>ithout the prior written consent of the Customer, introduce new methods or systems which materially impact on the provision of the Ordered Services</w:t>
      </w:r>
    </w:p>
    <w:p w14:paraId="6C6837A8" w14:textId="77777777" w:rsidR="00AB51E9" w:rsidRPr="00EB5E38" w:rsidRDefault="001E6CFE" w:rsidP="00B823BC">
      <w:pPr>
        <w:pStyle w:val="Heading3"/>
        <w:rPr>
          <w:rFonts w:cs="Arial"/>
          <w:sz w:val="20"/>
        </w:rPr>
      </w:pPr>
      <w:r w:rsidRPr="00EB5E38">
        <w:rPr>
          <w:rFonts w:cs="Arial"/>
          <w:sz w:val="20"/>
        </w:rPr>
        <w:t>Both Parties shall take all necessary measures to ensure the health and safety of the other Party’s employees</w:t>
      </w:r>
      <w:r w:rsidR="00C51533" w:rsidRPr="00EB5E38">
        <w:rPr>
          <w:rFonts w:cs="Arial"/>
          <w:sz w:val="20"/>
        </w:rPr>
        <w:t>, consultants</w:t>
      </w:r>
      <w:r w:rsidRPr="00EB5E38">
        <w:rPr>
          <w:rFonts w:cs="Arial"/>
          <w:sz w:val="20"/>
        </w:rPr>
        <w:t xml:space="preserve"> and agents visiting their premises.</w:t>
      </w:r>
    </w:p>
    <w:p w14:paraId="6C6837A9" w14:textId="77777777" w:rsidR="00B823BC" w:rsidRPr="00EB5E38" w:rsidRDefault="00B823BC" w:rsidP="00B823B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accepts that the </w:t>
      </w:r>
      <w:r w:rsidR="007D1596" w:rsidRPr="00EB5E38">
        <w:rPr>
          <w:rFonts w:cs="Arial"/>
          <w:sz w:val="20"/>
        </w:rPr>
        <w:t>Customer</w:t>
      </w:r>
      <w:r w:rsidRPr="00EB5E38">
        <w:rPr>
          <w:rFonts w:cs="Arial"/>
          <w:sz w:val="20"/>
        </w:rPr>
        <w:t xml:space="preserve"> shall have the right after consultation with the </w:t>
      </w:r>
      <w:r w:rsidR="004104F4" w:rsidRPr="00EB5E38">
        <w:rPr>
          <w:rFonts w:cs="Arial"/>
          <w:sz w:val="20"/>
        </w:rPr>
        <w:t>Supplier</w:t>
      </w:r>
      <w:r w:rsidRPr="00EB5E38">
        <w:rPr>
          <w:rFonts w:cs="Arial"/>
          <w:sz w:val="20"/>
        </w:rPr>
        <w:t xml:space="preserve"> to require the removal from involvement in the </w:t>
      </w:r>
      <w:r w:rsidR="00162C54" w:rsidRPr="00EB5E38">
        <w:rPr>
          <w:rFonts w:cs="Arial"/>
          <w:sz w:val="20"/>
        </w:rPr>
        <w:t>Contract Services</w:t>
      </w:r>
      <w:r w:rsidRPr="00EB5E38">
        <w:rPr>
          <w:rFonts w:cs="Arial"/>
          <w:sz w:val="20"/>
        </w:rPr>
        <w:t xml:space="preserve"> of any person engaged in the performance of the </w:t>
      </w:r>
      <w:r w:rsidR="00162C54" w:rsidRPr="00EB5E38">
        <w:rPr>
          <w:rFonts w:cs="Arial"/>
          <w:sz w:val="20"/>
        </w:rPr>
        <w:t>Contract Services</w:t>
      </w:r>
      <w:r w:rsidRPr="00EB5E38">
        <w:rPr>
          <w:rFonts w:cs="Arial"/>
          <w:sz w:val="20"/>
        </w:rPr>
        <w:t xml:space="preserve"> if in the </w:t>
      </w:r>
      <w:r w:rsidR="007D1596" w:rsidRPr="00EB5E38">
        <w:rPr>
          <w:rFonts w:cs="Arial"/>
          <w:sz w:val="20"/>
        </w:rPr>
        <w:t>Customer</w:t>
      </w:r>
      <w:r w:rsidRPr="00EB5E38">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Pr="00EB5E38" w:rsidRDefault="00C51533" w:rsidP="00B823BC">
      <w:pPr>
        <w:pStyle w:val="Heading3"/>
        <w:rPr>
          <w:rFonts w:cs="Arial"/>
          <w:sz w:val="20"/>
        </w:rPr>
      </w:pPr>
      <w:r w:rsidRPr="00EB5E38">
        <w:rPr>
          <w:rFonts w:cs="Arial"/>
          <w:sz w:val="20"/>
        </w:rPr>
        <w:lastRenderedPageBreak/>
        <w:t xml:space="preserve">Where the </w:t>
      </w:r>
      <w:r w:rsidR="004104F4" w:rsidRPr="00EB5E38">
        <w:rPr>
          <w:rFonts w:cs="Arial"/>
          <w:sz w:val="20"/>
        </w:rPr>
        <w:t>Supplier</w:t>
      </w:r>
      <w:r w:rsidRPr="00EB5E38">
        <w:rPr>
          <w:rFonts w:cs="Arial"/>
          <w:sz w:val="20"/>
        </w:rPr>
        <w:t xml:space="preserve"> is more than one firm acting as a consortium, each firm that is a member of the consortium shall be jointly and severally liable for performance of the </w:t>
      </w:r>
      <w:r w:rsidR="004104F4" w:rsidRPr="00EB5E38">
        <w:rPr>
          <w:rFonts w:cs="Arial"/>
          <w:sz w:val="20"/>
        </w:rPr>
        <w:t>Supplier</w:t>
      </w:r>
      <w:r w:rsidRPr="00EB5E38">
        <w:rPr>
          <w:rFonts w:cs="Arial"/>
          <w:sz w:val="20"/>
        </w:rPr>
        <w:t>’s obligations under the Contract.</w:t>
      </w:r>
    </w:p>
    <w:p w14:paraId="6C6837AB" w14:textId="77777777" w:rsidR="00C901FE" w:rsidRPr="00EB5E38" w:rsidRDefault="00C901FE" w:rsidP="00F6759D">
      <w:pPr>
        <w:pStyle w:val="Heading2"/>
        <w:keepNext/>
        <w:rPr>
          <w:rFonts w:cs="Arial"/>
          <w:b/>
          <w:sz w:val="20"/>
        </w:rPr>
      </w:pPr>
      <w:r w:rsidRPr="00EB5E38">
        <w:rPr>
          <w:rFonts w:cs="Arial"/>
          <w:b/>
          <w:sz w:val="20"/>
        </w:rPr>
        <w:t>Variation of Contract Services</w:t>
      </w:r>
    </w:p>
    <w:p w14:paraId="6C6837AC" w14:textId="77777777" w:rsidR="00C901FE" w:rsidRPr="00EB5E38" w:rsidRDefault="00C901FE" w:rsidP="00C901FE">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may request a variation to the Contract Services at any time provided that such variation does not amount to a material change to the Order.</w:t>
      </w:r>
    </w:p>
    <w:p w14:paraId="6C6837AD" w14:textId="77777777" w:rsidR="00C901FE" w:rsidRPr="00EB5E38" w:rsidRDefault="00C901FE" w:rsidP="00C901FE">
      <w:pPr>
        <w:pStyle w:val="Heading3"/>
        <w:rPr>
          <w:rFonts w:cs="Arial"/>
          <w:sz w:val="20"/>
        </w:rPr>
      </w:pPr>
      <w:r w:rsidRPr="00EB5E38">
        <w:rPr>
          <w:rFonts w:cs="Arial"/>
          <w:sz w:val="20"/>
        </w:rPr>
        <w:t xml:space="preserve">Any request by the </w:t>
      </w:r>
      <w:r w:rsidR="007D1596" w:rsidRPr="00EB5E38">
        <w:rPr>
          <w:rFonts w:cs="Arial"/>
          <w:sz w:val="20"/>
        </w:rPr>
        <w:t>Customer</w:t>
      </w:r>
      <w:r w:rsidRPr="00EB5E38">
        <w:rPr>
          <w:rFonts w:cs="Arial"/>
          <w:sz w:val="20"/>
        </w:rPr>
        <w:t xml:space="preserve"> for a variation to the Contract Services shall be by written notice to the </w:t>
      </w:r>
      <w:r w:rsidR="004104F4" w:rsidRPr="00EB5E38">
        <w:rPr>
          <w:rFonts w:cs="Arial"/>
          <w:sz w:val="20"/>
        </w:rPr>
        <w:t>Supplier</w:t>
      </w:r>
      <w:r w:rsidRPr="00EB5E38">
        <w:rPr>
          <w:rFonts w:cs="Arial"/>
          <w:sz w:val="20"/>
        </w:rPr>
        <w:t>:</w:t>
      </w:r>
    </w:p>
    <w:p w14:paraId="6C6837AE" w14:textId="77777777" w:rsidR="00C901FE" w:rsidRPr="00EB5E38" w:rsidRDefault="00C901FE" w:rsidP="00880E10">
      <w:pPr>
        <w:pStyle w:val="Heading4"/>
      </w:pPr>
      <w:r w:rsidRPr="00EB5E38">
        <w:t xml:space="preserve">giving sufficient information for the </w:t>
      </w:r>
      <w:r w:rsidR="004104F4" w:rsidRPr="00EB5E38">
        <w:t>Supplier</w:t>
      </w:r>
      <w:r w:rsidRPr="00EB5E38">
        <w:t xml:space="preserve"> to assess the extent of the variation and any additional costs that may be incurred; and</w:t>
      </w:r>
    </w:p>
    <w:p w14:paraId="6C6837AF" w14:textId="77777777" w:rsidR="00C901FE" w:rsidRPr="00EB5E38" w:rsidRDefault="00C901FE" w:rsidP="00880E10">
      <w:pPr>
        <w:pStyle w:val="Heading4"/>
      </w:pPr>
      <w:r w:rsidRPr="00EB5E38">
        <w:t xml:space="preserve">specifying the timeframe within which the </w:t>
      </w:r>
      <w:r w:rsidR="004104F4" w:rsidRPr="00EB5E38">
        <w:t>Supplier</w:t>
      </w:r>
      <w:r w:rsidRPr="00EB5E38">
        <w:t xml:space="preserve"> must respond to the request, which shall be reasonable,</w:t>
      </w:r>
    </w:p>
    <w:p w14:paraId="6C6837B0" w14:textId="77777777" w:rsidR="00C901FE" w:rsidRPr="00EB5E38" w:rsidRDefault="00C901FE" w:rsidP="00880E10">
      <w:pPr>
        <w:pStyle w:val="Heading4"/>
        <w:numPr>
          <w:ilvl w:val="0"/>
          <w:numId w:val="0"/>
        </w:numPr>
        <w:ind w:left="1800"/>
      </w:pPr>
      <w:r w:rsidRPr="00EB5E38">
        <w:t xml:space="preserve">and the </w:t>
      </w:r>
      <w:r w:rsidR="004104F4" w:rsidRPr="00EB5E38">
        <w:t>Supplier</w:t>
      </w:r>
      <w:r w:rsidRPr="00EB5E38">
        <w:t xml:space="preserve"> shall respond to such request within such timeframe.</w:t>
      </w:r>
    </w:p>
    <w:p w14:paraId="6C6837B1" w14:textId="77777777" w:rsidR="00C901FE" w:rsidRPr="00EB5E38" w:rsidRDefault="000724F5" w:rsidP="00DD4545">
      <w:pPr>
        <w:pStyle w:val="Heading3"/>
        <w:numPr>
          <w:ilvl w:val="0"/>
          <w:numId w:val="0"/>
        </w:numPr>
        <w:ind w:left="1800" w:hanging="1080"/>
        <w:rPr>
          <w:rFonts w:cs="Arial"/>
          <w:sz w:val="20"/>
        </w:rPr>
      </w:pPr>
      <w:r w:rsidRPr="00EB5E38">
        <w:rPr>
          <w:sz w:val="20"/>
        </w:rPr>
        <w:t xml:space="preserve">2.2.3  </w:t>
      </w:r>
      <w:r w:rsidRPr="00EB5E38">
        <w:rPr>
          <w:sz w:val="20"/>
        </w:rPr>
        <w:tab/>
        <w:t xml:space="preserve">Any such variation agreed between the Customer and the </w:t>
      </w:r>
      <w:r w:rsidR="004104F4" w:rsidRPr="00EB5E38">
        <w:rPr>
          <w:sz w:val="20"/>
        </w:rPr>
        <w:t>Supplier</w:t>
      </w:r>
      <w:r w:rsidRPr="00EB5E38">
        <w:rPr>
          <w:sz w:val="20"/>
        </w:rPr>
        <w:t xml:space="preserve"> pursuant</w:t>
      </w:r>
      <w:r w:rsidR="00F136A1" w:rsidRPr="00EB5E38">
        <w:rPr>
          <w:sz w:val="20"/>
        </w:rPr>
        <w:t xml:space="preserve"> to Clause 2.2.2</w:t>
      </w:r>
      <w:r w:rsidRPr="00EB5E38">
        <w:rPr>
          <w:sz w:val="20"/>
        </w:rPr>
        <w:t xml:space="preserve"> shall not be valid unless in writing and signed by the Parties.  Furthermore any written and signed variation between the Parties shall be appended to the Letter of Appointment within Appendix 2</w:t>
      </w:r>
      <w:r w:rsidR="003B08D3" w:rsidRPr="00EB5E38">
        <w:rPr>
          <w:sz w:val="20"/>
        </w:rPr>
        <w:t xml:space="preserve"> and</w:t>
      </w:r>
      <w:r w:rsidR="00C37263" w:rsidRPr="00EB5E38">
        <w:rPr>
          <w:sz w:val="20"/>
        </w:rPr>
        <w:t>/</w:t>
      </w:r>
      <w:r w:rsidR="003B08D3" w:rsidRPr="00EB5E38">
        <w:rPr>
          <w:sz w:val="20"/>
        </w:rPr>
        <w:t xml:space="preserve">or </w:t>
      </w:r>
      <w:r w:rsidRPr="00EB5E38">
        <w:rPr>
          <w:sz w:val="20"/>
        </w:rPr>
        <w:t>3.</w:t>
      </w:r>
      <w:r w:rsidR="00622133" w:rsidRPr="00EB5E38">
        <w:rPr>
          <w:sz w:val="20"/>
        </w:rPr>
        <w:t xml:space="preserve"> </w:t>
      </w:r>
      <w:r w:rsidR="00C901FE" w:rsidRPr="00EB5E38">
        <w:rPr>
          <w:rFonts w:cs="Arial"/>
          <w:sz w:val="20"/>
        </w:rPr>
        <w:t xml:space="preserve">In the event that the </w:t>
      </w:r>
      <w:r w:rsidR="004104F4" w:rsidRPr="00EB5E38">
        <w:rPr>
          <w:rFonts w:cs="Arial"/>
          <w:sz w:val="20"/>
        </w:rPr>
        <w:t>Supplier</w:t>
      </w:r>
      <w:r w:rsidR="00C901FE" w:rsidRPr="00EB5E38">
        <w:rPr>
          <w:rFonts w:cs="Arial"/>
          <w:sz w:val="20"/>
        </w:rPr>
        <w:t xml:space="preserve"> and the </w:t>
      </w:r>
      <w:r w:rsidR="007D1596" w:rsidRPr="00EB5E38">
        <w:rPr>
          <w:rFonts w:cs="Arial"/>
          <w:sz w:val="20"/>
        </w:rPr>
        <w:t>Customer</w:t>
      </w:r>
      <w:r w:rsidR="00C901FE" w:rsidRPr="00EB5E38">
        <w:rPr>
          <w:rFonts w:cs="Arial"/>
          <w:sz w:val="20"/>
        </w:rPr>
        <w:t xml:space="preserve"> are unable to agr</w:t>
      </w:r>
      <w:r w:rsidR="00B014A2" w:rsidRPr="00EB5E38">
        <w:rPr>
          <w:rFonts w:cs="Arial"/>
          <w:sz w:val="20"/>
        </w:rPr>
        <w:t xml:space="preserve">ee </w:t>
      </w:r>
      <w:r w:rsidR="00F136A1" w:rsidRPr="00EB5E38">
        <w:rPr>
          <w:rFonts w:cs="Arial"/>
          <w:sz w:val="20"/>
        </w:rPr>
        <w:t xml:space="preserve">to a proposed variation including </w:t>
      </w:r>
      <w:r w:rsidR="00B014A2" w:rsidRPr="00EB5E38">
        <w:rPr>
          <w:rFonts w:cs="Arial"/>
          <w:sz w:val="20"/>
        </w:rPr>
        <w:t>any change</w:t>
      </w:r>
      <w:r w:rsidR="00C901FE" w:rsidRPr="00EB5E38">
        <w:rPr>
          <w:rFonts w:cs="Arial"/>
          <w:sz w:val="20"/>
        </w:rPr>
        <w:t xml:space="preserve"> to the Contract Charges in connection with </w:t>
      </w:r>
      <w:r w:rsidR="007672B4" w:rsidRPr="00EB5E38">
        <w:rPr>
          <w:rFonts w:cs="Arial"/>
          <w:sz w:val="20"/>
        </w:rPr>
        <w:t>the</w:t>
      </w:r>
      <w:r w:rsidR="00C901FE" w:rsidRPr="00EB5E38">
        <w:rPr>
          <w:rFonts w:cs="Arial"/>
          <w:sz w:val="20"/>
        </w:rPr>
        <w:t xml:space="preserve"> requested variation to the Contract Services, the </w:t>
      </w:r>
      <w:r w:rsidR="007D1596" w:rsidRPr="00EB5E38">
        <w:rPr>
          <w:rFonts w:cs="Arial"/>
          <w:sz w:val="20"/>
        </w:rPr>
        <w:t>Customer</w:t>
      </w:r>
      <w:r w:rsidR="00C901FE" w:rsidRPr="00EB5E38">
        <w:rPr>
          <w:rFonts w:cs="Arial"/>
          <w:sz w:val="20"/>
        </w:rPr>
        <w:t xml:space="preserve"> may agree that the </w:t>
      </w:r>
      <w:r w:rsidR="004104F4" w:rsidRPr="00EB5E38">
        <w:rPr>
          <w:rFonts w:cs="Arial"/>
          <w:sz w:val="20"/>
        </w:rPr>
        <w:t>Supplier</w:t>
      </w:r>
      <w:r w:rsidR="00C901FE" w:rsidRPr="00EB5E38">
        <w:rPr>
          <w:rFonts w:cs="Arial"/>
          <w:sz w:val="20"/>
        </w:rPr>
        <w:t xml:space="preserve"> should continue to perform its obligations under the Contract without the variation or may terminate the Con</w:t>
      </w:r>
      <w:r w:rsidR="00E73F97" w:rsidRPr="00EB5E38">
        <w:rPr>
          <w:rFonts w:cs="Arial"/>
          <w:sz w:val="20"/>
        </w:rPr>
        <w:t xml:space="preserve">tract </w:t>
      </w:r>
      <w:r w:rsidR="009F7341" w:rsidRPr="00EB5E38">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EB5E38">
        <w:rPr>
          <w:rFonts w:cs="Arial"/>
          <w:sz w:val="20"/>
        </w:rPr>
        <w:t>.</w:t>
      </w:r>
    </w:p>
    <w:p w14:paraId="6C6837B2" w14:textId="77777777" w:rsidR="00F6759D" w:rsidRPr="00EB5E38" w:rsidRDefault="00F6759D" w:rsidP="00F6759D">
      <w:pPr>
        <w:pStyle w:val="Heading2"/>
        <w:keepNext/>
        <w:rPr>
          <w:rFonts w:cs="Arial"/>
          <w:b/>
          <w:sz w:val="20"/>
        </w:rPr>
      </w:pPr>
      <w:r w:rsidRPr="00EB5E38">
        <w:rPr>
          <w:rFonts w:cs="Arial"/>
          <w:b/>
          <w:sz w:val="20"/>
        </w:rPr>
        <w:t>Key Personnel</w:t>
      </w:r>
    </w:p>
    <w:p w14:paraId="6C6837B3" w14:textId="77777777" w:rsidR="00F6759D" w:rsidRPr="00EB5E38" w:rsidRDefault="00F6759D" w:rsidP="00F6759D">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Key Personnel are essential to the proper provision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to the </w:t>
      </w:r>
      <w:r w:rsidR="007D1596" w:rsidRPr="00EB5E38">
        <w:rPr>
          <w:rFonts w:cs="Arial"/>
          <w:sz w:val="20"/>
        </w:rPr>
        <w:t>Customer</w:t>
      </w:r>
      <w:r w:rsidRPr="00EB5E38">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EB5E38" w:rsidRDefault="00F6759D" w:rsidP="00F6759D">
      <w:pPr>
        <w:pStyle w:val="Heading3"/>
        <w:rPr>
          <w:rFonts w:cs="Arial"/>
          <w:sz w:val="20"/>
        </w:rPr>
      </w:pPr>
      <w:r w:rsidRPr="00EB5E38">
        <w:rPr>
          <w:rFonts w:cs="Arial"/>
          <w:sz w:val="20"/>
        </w:rPr>
        <w:t xml:space="preserve">The Key Personnel shall not be released by the </w:t>
      </w:r>
      <w:r w:rsidR="004104F4" w:rsidRPr="00EB5E38">
        <w:rPr>
          <w:rFonts w:cs="Arial"/>
          <w:sz w:val="20"/>
        </w:rPr>
        <w:t>Supplier</w:t>
      </w:r>
      <w:r w:rsidRPr="00EB5E38">
        <w:rPr>
          <w:rFonts w:cs="Arial"/>
          <w:sz w:val="20"/>
        </w:rPr>
        <w:t xml:space="preserve"> from supplying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without the agreement of the </w:t>
      </w:r>
      <w:r w:rsidR="007D1596" w:rsidRPr="00EB5E38">
        <w:rPr>
          <w:rFonts w:cs="Arial"/>
          <w:sz w:val="20"/>
        </w:rPr>
        <w:t>Customer</w:t>
      </w:r>
      <w:r w:rsidRPr="00EB5E38">
        <w:rPr>
          <w:rFonts w:cs="Arial"/>
          <w:sz w:val="20"/>
        </w:rPr>
        <w:t>, except by reason of long-term sickness, maternity leave, paternity leave, termination of employment</w:t>
      </w:r>
      <w:r w:rsidR="003B08D3" w:rsidRPr="00EB5E38">
        <w:rPr>
          <w:rFonts w:cs="Arial"/>
          <w:sz w:val="20"/>
        </w:rPr>
        <w:t xml:space="preserve"> and</w:t>
      </w:r>
      <w:r w:rsidR="00C37263" w:rsidRPr="00EB5E38">
        <w:rPr>
          <w:rFonts w:cs="Arial"/>
          <w:sz w:val="20"/>
        </w:rPr>
        <w:t>/</w:t>
      </w:r>
      <w:r w:rsidR="003B08D3" w:rsidRPr="00EB5E38">
        <w:rPr>
          <w:rFonts w:cs="Arial"/>
          <w:sz w:val="20"/>
        </w:rPr>
        <w:t xml:space="preserve">or </w:t>
      </w:r>
      <w:r w:rsidRPr="00EB5E38">
        <w:rPr>
          <w:rFonts w:cs="Arial"/>
          <w:sz w:val="20"/>
        </w:rPr>
        <w:t xml:space="preserve">partnership or other extenuating circumstances. </w:t>
      </w:r>
    </w:p>
    <w:p w14:paraId="6C6837B5" w14:textId="77777777" w:rsidR="00F6759D" w:rsidRPr="00EB5E38" w:rsidRDefault="00F6759D" w:rsidP="00F6759D">
      <w:pPr>
        <w:pStyle w:val="Heading3"/>
        <w:rPr>
          <w:rFonts w:cs="Arial"/>
          <w:sz w:val="20"/>
        </w:rPr>
      </w:pPr>
      <w:r w:rsidRPr="00EB5E38">
        <w:rPr>
          <w:rFonts w:cs="Arial"/>
          <w:sz w:val="20"/>
        </w:rPr>
        <w:t xml:space="preserve">Any replacements to the Key Personnel shall be subject to the agreement of the </w:t>
      </w:r>
      <w:r w:rsidR="007D1596" w:rsidRPr="00EB5E38">
        <w:rPr>
          <w:rFonts w:cs="Arial"/>
          <w:sz w:val="20"/>
        </w:rPr>
        <w:t>Customer</w:t>
      </w:r>
      <w:r w:rsidRPr="00EB5E38">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EB5E38" w:rsidRDefault="00F6759D" w:rsidP="00764633">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not unreasonably withhold its agreement under Clauses </w:t>
      </w:r>
      <w:r w:rsidR="00764633" w:rsidRPr="00EB5E38">
        <w:rPr>
          <w:rFonts w:cs="Arial"/>
          <w:sz w:val="20"/>
        </w:rPr>
        <w:t>2.</w:t>
      </w:r>
      <w:r w:rsidR="00C901FE" w:rsidRPr="00EB5E38">
        <w:rPr>
          <w:rFonts w:cs="Arial"/>
          <w:sz w:val="20"/>
        </w:rPr>
        <w:t>3.2 or 2.3</w:t>
      </w:r>
      <w:r w:rsidRPr="00EB5E38">
        <w:rPr>
          <w:rFonts w:cs="Arial"/>
          <w:sz w:val="20"/>
        </w:rPr>
        <w:t xml:space="preserve">.3. Such agreement shall be conditional on appropriate </w:t>
      </w:r>
      <w:r w:rsidRPr="00EB5E38">
        <w:rPr>
          <w:rFonts w:cs="Arial"/>
          <w:sz w:val="20"/>
        </w:rPr>
        <w:lastRenderedPageBreak/>
        <w:t xml:space="preserve">arrangements being made by the </w:t>
      </w:r>
      <w:r w:rsidR="004104F4" w:rsidRPr="00EB5E38">
        <w:rPr>
          <w:rFonts w:cs="Arial"/>
          <w:sz w:val="20"/>
        </w:rPr>
        <w:t>Supplier</w:t>
      </w:r>
      <w:r w:rsidRPr="00EB5E38">
        <w:rPr>
          <w:rFonts w:cs="Arial"/>
          <w:sz w:val="20"/>
        </w:rPr>
        <w:t xml:space="preserve"> to minimise any adverse impact on the Contract which could be caused by a change in Key Personnel.</w:t>
      </w:r>
    </w:p>
    <w:p w14:paraId="6C6837B7" w14:textId="77777777" w:rsidR="00764633" w:rsidRPr="00EB5E38" w:rsidRDefault="00764633" w:rsidP="00F6759D">
      <w:pPr>
        <w:pStyle w:val="Heading3"/>
        <w:rPr>
          <w:rFonts w:cs="Arial"/>
          <w:sz w:val="20"/>
        </w:rPr>
      </w:pPr>
      <w:r w:rsidRPr="00EB5E38">
        <w:rPr>
          <w:rFonts w:cs="Arial"/>
          <w:sz w:val="20"/>
        </w:rPr>
        <w:t xml:space="preserve">If requested by the </w:t>
      </w:r>
      <w:r w:rsidR="007D1596" w:rsidRPr="00EB5E38">
        <w:rPr>
          <w:rFonts w:cs="Arial"/>
          <w:sz w:val="20"/>
        </w:rPr>
        <w:t>Customer</w:t>
      </w:r>
      <w:r w:rsidRPr="00EB5E38">
        <w:rPr>
          <w:rFonts w:cs="Arial"/>
          <w:sz w:val="20"/>
        </w:rPr>
        <w:t xml:space="preserve">, the </w:t>
      </w:r>
      <w:r w:rsidR="004104F4" w:rsidRPr="00EB5E38">
        <w:rPr>
          <w:rFonts w:cs="Arial"/>
          <w:sz w:val="20"/>
        </w:rPr>
        <w:t>Supplier</w:t>
      </w:r>
      <w:r w:rsidRPr="00EB5E38">
        <w:rPr>
          <w:rFonts w:cs="Arial"/>
          <w:sz w:val="20"/>
        </w:rPr>
        <w:t xml:space="preserve"> shall procure that Key Personnel attend transaction review meetings at no cost to the </w:t>
      </w:r>
      <w:r w:rsidR="007D1596" w:rsidRPr="00EB5E38">
        <w:rPr>
          <w:rFonts w:cs="Arial"/>
          <w:sz w:val="20"/>
        </w:rPr>
        <w:t>Customer</w:t>
      </w:r>
      <w:r w:rsidRPr="00EB5E38">
        <w:rPr>
          <w:rFonts w:cs="Arial"/>
          <w:sz w:val="20"/>
        </w:rPr>
        <w:t xml:space="preserve"> during the term of the Contract and upon its conclusion.</w:t>
      </w:r>
    </w:p>
    <w:p w14:paraId="6C6837B8" w14:textId="77777777" w:rsidR="002478B9" w:rsidRPr="00EB5E38" w:rsidRDefault="002478B9" w:rsidP="002478B9">
      <w:pPr>
        <w:pStyle w:val="Heading1"/>
        <w:numPr>
          <w:ilvl w:val="0"/>
          <w:numId w:val="0"/>
        </w:numPr>
        <w:ind w:left="720" w:hanging="720"/>
        <w:rPr>
          <w:sz w:val="20"/>
        </w:rPr>
      </w:pPr>
      <w:bookmarkStart w:id="13" w:name="_Toc386011025"/>
      <w:r w:rsidRPr="00EB5E38">
        <w:rPr>
          <w:rFonts w:cs="Arial"/>
          <w:sz w:val="20"/>
        </w:rPr>
        <w:t>2B.</w:t>
      </w:r>
      <w:r w:rsidRPr="00EB5E38">
        <w:rPr>
          <w:rFonts w:cs="Arial"/>
          <w:b w:val="0"/>
          <w:sz w:val="20"/>
        </w:rPr>
        <w:tab/>
      </w:r>
      <w:bookmarkStart w:id="14" w:name="_Toc304196127"/>
      <w:bookmarkStart w:id="15" w:name="_Toc304196303"/>
      <w:bookmarkStart w:id="16" w:name="_Toc304196479"/>
      <w:bookmarkStart w:id="17" w:name="_Toc304200955"/>
      <w:bookmarkStart w:id="18" w:name="_Toc304202042"/>
      <w:bookmarkStart w:id="19" w:name="_Toc304212968"/>
      <w:bookmarkStart w:id="20" w:name="_Toc304453835"/>
      <w:bookmarkStart w:id="21" w:name="_Toc304454008"/>
      <w:bookmarkStart w:id="22" w:name="_Toc304454630"/>
      <w:bookmarkStart w:id="23" w:name="_Toc304808604"/>
      <w:bookmarkStart w:id="24" w:name="_Toc304897196"/>
      <w:bookmarkStart w:id="25" w:name="_Toc304901107"/>
      <w:bookmarkStart w:id="26" w:name="_Toc304901280"/>
      <w:bookmarkStart w:id="27" w:name="_Toc304904522"/>
      <w:bookmarkStart w:id="28" w:name="_Toc305422568"/>
      <w:bookmarkStart w:id="29" w:name="_Toc305588763"/>
      <w:r w:rsidRPr="00EB5E38">
        <w:rPr>
          <w:sz w:val="20"/>
        </w:rPr>
        <w:t>REMEDIES IN THE EVENT OF INADEQUATE PERFORMANCE OF THE SERVICES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EB5E38">
        <w:rPr>
          <w:sz w:val="20"/>
        </w:rPr>
        <w:t xml:space="preserve"> </w:t>
      </w:r>
      <w:bookmarkStart w:id="30" w:name="_Ref232264393"/>
    </w:p>
    <w:p w14:paraId="6C6837B9" w14:textId="77777777" w:rsidR="002478B9" w:rsidRPr="00EB5E38" w:rsidRDefault="002478B9" w:rsidP="002478B9">
      <w:pPr>
        <w:pStyle w:val="Heading2"/>
        <w:numPr>
          <w:ilvl w:val="0"/>
          <w:numId w:val="0"/>
        </w:numPr>
        <w:tabs>
          <w:tab w:val="num" w:pos="1980"/>
        </w:tabs>
        <w:ind w:left="1350" w:hanging="720"/>
        <w:rPr>
          <w:sz w:val="20"/>
        </w:rPr>
      </w:pPr>
      <w:r w:rsidRPr="00EB5E38">
        <w:rPr>
          <w:sz w:val="20"/>
        </w:rPr>
        <w:t>2B.1</w:t>
      </w:r>
      <w:r w:rsidRPr="00EB5E38">
        <w:rPr>
          <w:b/>
          <w:sz w:val="20"/>
        </w:rPr>
        <w:tab/>
      </w:r>
      <w:r w:rsidRPr="00EB5E38">
        <w:rPr>
          <w:sz w:val="20"/>
        </w:rPr>
        <w:t>Without prejudice to any other right or remedy which the Customer may have at Law or in this Contract, if any Contract Services are not supplied in accordance with, or the Supplier fails to comply with any of the terms of the Contract then the Customer may (whether or not any part of the Services have been Delivered) do any of the following:</w:t>
      </w:r>
      <w:bookmarkEnd w:id="30"/>
    </w:p>
    <w:p w14:paraId="6C6837BA" w14:textId="77777777" w:rsidR="002478B9" w:rsidRPr="00EB5E38" w:rsidRDefault="002478B9" w:rsidP="00732D82">
      <w:pPr>
        <w:pStyle w:val="Heading3"/>
        <w:numPr>
          <w:ilvl w:val="0"/>
          <w:numId w:val="0"/>
        </w:numPr>
        <w:tabs>
          <w:tab w:val="num" w:pos="2970"/>
        </w:tabs>
        <w:ind w:left="1800" w:hanging="1080"/>
        <w:rPr>
          <w:sz w:val="20"/>
        </w:rPr>
      </w:pPr>
      <w:r w:rsidRPr="00EB5E38">
        <w:rPr>
          <w:sz w:val="20"/>
        </w:rPr>
        <w:t>2B.1.1</w:t>
      </w:r>
      <w:r w:rsidR="00732D82" w:rsidRPr="00EB5E38">
        <w:rPr>
          <w:sz w:val="20"/>
        </w:rPr>
        <w:tab/>
      </w:r>
      <w:r w:rsidRPr="00EB5E38">
        <w:rPr>
          <w:sz w:val="20"/>
        </w:rPr>
        <w:t>at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EB5E38" w:rsidRDefault="002478B9" w:rsidP="00732D82">
      <w:pPr>
        <w:pStyle w:val="Heading3"/>
        <w:numPr>
          <w:ilvl w:val="0"/>
          <w:numId w:val="0"/>
        </w:numPr>
        <w:tabs>
          <w:tab w:val="num" w:pos="2590"/>
          <w:tab w:val="num" w:pos="2970"/>
        </w:tabs>
        <w:ind w:left="1800" w:hanging="1080"/>
        <w:rPr>
          <w:sz w:val="20"/>
        </w:rPr>
      </w:pPr>
      <w:r w:rsidRPr="00EB5E38">
        <w:rPr>
          <w:sz w:val="20"/>
        </w:rPr>
        <w:t>2B.1.2</w:t>
      </w:r>
      <w:r w:rsidRPr="00EB5E38">
        <w:rPr>
          <w:sz w:val="20"/>
        </w:rPr>
        <w:tab/>
        <w:t>refuse to accept any further Contract Services to be delivered by the Supplier but without any liability to the Customer;</w:t>
      </w:r>
      <w:bookmarkStart w:id="31" w:name="_Toc139079956"/>
    </w:p>
    <w:bookmarkEnd w:id="31"/>
    <w:p w14:paraId="6C6837BC"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3</w:t>
      </w:r>
      <w:r w:rsidRPr="00EB5E38">
        <w:rPr>
          <w:sz w:val="20"/>
        </w:rPr>
        <w:tab/>
      </w:r>
      <w:r w:rsidR="002478B9" w:rsidRPr="00EB5E38">
        <w:rPr>
          <w:sz w:val="20"/>
        </w:rPr>
        <w:t xml:space="preserve">carry out at the Supplier's expense any work necessary to make the Services comply with the Contract; </w:t>
      </w:r>
    </w:p>
    <w:p w14:paraId="6C6837BD"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4</w:t>
      </w:r>
      <w:r w:rsidRPr="00EB5E38">
        <w:rPr>
          <w:sz w:val="20"/>
        </w:rPr>
        <w:tab/>
      </w:r>
      <w:r w:rsidR="002478B9" w:rsidRPr="00EB5E38">
        <w:rPr>
          <w:sz w:val="20"/>
        </w:rPr>
        <w:t xml:space="preserve">without terminating the Contract, itself supply or procure the supply of all or part of the </w:t>
      </w:r>
      <w:r w:rsidRPr="00EB5E38">
        <w:rPr>
          <w:sz w:val="20"/>
        </w:rPr>
        <w:t xml:space="preserve">Contract </w:t>
      </w:r>
      <w:r w:rsidR="002478B9" w:rsidRPr="00EB5E38">
        <w:rPr>
          <w:sz w:val="20"/>
        </w:rPr>
        <w:t xml:space="preserve">Services until such time as the Supplier shall have demonstrated to the reasonable satisfaction of the Customer that the Supplier will once more be able to supply all or such part of the </w:t>
      </w:r>
      <w:r w:rsidRPr="00EB5E38">
        <w:rPr>
          <w:sz w:val="20"/>
        </w:rPr>
        <w:t xml:space="preserve">Contract </w:t>
      </w:r>
      <w:r w:rsidR="002478B9" w:rsidRPr="00EB5E38">
        <w:rPr>
          <w:sz w:val="20"/>
        </w:rPr>
        <w:t>Services in accordance with the Contract;</w:t>
      </w:r>
    </w:p>
    <w:p w14:paraId="6C6837BE"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5</w:t>
      </w:r>
      <w:r w:rsidRPr="00EB5E38">
        <w:rPr>
          <w:sz w:val="20"/>
        </w:rPr>
        <w:tab/>
      </w:r>
      <w:r w:rsidR="002478B9" w:rsidRPr="00EB5E38">
        <w:rPr>
          <w:sz w:val="20"/>
        </w:rPr>
        <w:t xml:space="preserve">without terminating the whole of the Contract, terminate the Contract in respect of part of the </w:t>
      </w:r>
      <w:r w:rsidR="00AF2F58" w:rsidRPr="00EB5E38">
        <w:rPr>
          <w:sz w:val="20"/>
        </w:rPr>
        <w:t xml:space="preserve">Contract </w:t>
      </w:r>
      <w:r w:rsidR="002478B9" w:rsidRPr="00EB5E38">
        <w:rPr>
          <w:sz w:val="20"/>
        </w:rPr>
        <w:t>Services only (whereupon a corresponding reduction in the Contract Charges shall be made) and thereafter itself supply or procure a third party to supply such part of the</w:t>
      </w:r>
      <w:r w:rsidR="00AF2F58" w:rsidRPr="00EB5E38">
        <w:rPr>
          <w:sz w:val="20"/>
        </w:rPr>
        <w:t xml:space="preserve"> Contract</w:t>
      </w:r>
      <w:r w:rsidR="002478B9" w:rsidRPr="00EB5E38">
        <w:rPr>
          <w:sz w:val="20"/>
        </w:rPr>
        <w:t xml:space="preserve"> Services; and/or</w:t>
      </w:r>
    </w:p>
    <w:p w14:paraId="6C6837BF" w14:textId="77777777" w:rsidR="002478B9" w:rsidRPr="00EB5E38" w:rsidRDefault="00AF2F58" w:rsidP="007D5622">
      <w:pPr>
        <w:pStyle w:val="Heading3"/>
        <w:numPr>
          <w:ilvl w:val="0"/>
          <w:numId w:val="0"/>
        </w:numPr>
        <w:tabs>
          <w:tab w:val="num" w:pos="2970"/>
        </w:tabs>
        <w:ind w:left="1800" w:hanging="1080"/>
        <w:rPr>
          <w:sz w:val="20"/>
        </w:rPr>
      </w:pPr>
      <w:r w:rsidRPr="00EB5E38">
        <w:rPr>
          <w:sz w:val="20"/>
        </w:rPr>
        <w:t>2B1.</w:t>
      </w:r>
      <w:r w:rsidR="00DD4545" w:rsidRPr="00EB5E38">
        <w:rPr>
          <w:sz w:val="20"/>
        </w:rPr>
        <w:t>6</w:t>
      </w:r>
      <w:r w:rsidRPr="00EB5E38">
        <w:rPr>
          <w:sz w:val="20"/>
        </w:rPr>
        <w:tab/>
      </w:r>
      <w:r w:rsidR="002478B9" w:rsidRPr="00EB5E38">
        <w:rPr>
          <w:sz w:val="20"/>
        </w:rPr>
        <w:t>charge the Supplier for and the Supplier shall on demand pay</w:t>
      </w:r>
      <w:r w:rsidRPr="00EB5E38">
        <w:rPr>
          <w:sz w:val="20"/>
        </w:rPr>
        <w:t>,</w:t>
      </w:r>
      <w:r w:rsidR="002478B9" w:rsidRPr="00EB5E38">
        <w:rPr>
          <w:sz w:val="20"/>
        </w:rPr>
        <w:t xml:space="preserve"> any costs reasonably incurred by the Customer (including any reasonable administration costs) in respect of the supply of any part of the </w:t>
      </w:r>
      <w:r w:rsidRPr="00EB5E38">
        <w:rPr>
          <w:sz w:val="20"/>
        </w:rPr>
        <w:t xml:space="preserve">Contract </w:t>
      </w:r>
      <w:r w:rsidR="002478B9" w:rsidRPr="00EB5E38">
        <w:rPr>
          <w:sz w:val="20"/>
        </w:rPr>
        <w:t xml:space="preserve">Services by the Customer or a third party to the extent that such costs exceed the payment which would otherwise have been payable to the Supplier for such part of the </w:t>
      </w:r>
      <w:r w:rsidRPr="00EB5E38">
        <w:rPr>
          <w:sz w:val="20"/>
        </w:rPr>
        <w:t xml:space="preserve">Contract </w:t>
      </w:r>
      <w:r w:rsidR="002478B9" w:rsidRPr="00EB5E38">
        <w:rPr>
          <w:sz w:val="20"/>
        </w:rPr>
        <w:t xml:space="preserve">Services and provided that the Customer uses its reasonable endeavours to mitigate any additional expenditure in obtaining replacement </w:t>
      </w:r>
      <w:r w:rsidRPr="00EB5E38">
        <w:rPr>
          <w:sz w:val="20"/>
        </w:rPr>
        <w:t xml:space="preserve">Contract </w:t>
      </w:r>
      <w:r w:rsidR="002478B9" w:rsidRPr="00EB5E38">
        <w:rPr>
          <w:sz w:val="20"/>
        </w:rPr>
        <w:t>Services.</w:t>
      </w:r>
    </w:p>
    <w:p w14:paraId="6C6837C0" w14:textId="77777777" w:rsidR="002478B9" w:rsidRPr="00EB5E38" w:rsidRDefault="00AF2F58" w:rsidP="007D5622">
      <w:pPr>
        <w:pStyle w:val="Heading2"/>
        <w:numPr>
          <w:ilvl w:val="0"/>
          <w:numId w:val="0"/>
        </w:numPr>
        <w:ind w:left="720" w:hanging="720"/>
        <w:rPr>
          <w:color w:val="FF0000"/>
          <w:sz w:val="20"/>
        </w:rPr>
      </w:pPr>
      <w:r w:rsidRPr="00EB5E38">
        <w:rPr>
          <w:sz w:val="20"/>
        </w:rPr>
        <w:t>2B.2</w:t>
      </w:r>
      <w:r w:rsidRPr="00EB5E38">
        <w:rPr>
          <w:sz w:val="20"/>
        </w:rPr>
        <w:tab/>
      </w:r>
      <w:r w:rsidR="007A6D26" w:rsidRPr="00EB5E38">
        <w:rPr>
          <w:sz w:val="20"/>
        </w:rPr>
        <w:t>Notwithstanding any of the provisions of this Clause 2B, i</w:t>
      </w:r>
      <w:r w:rsidR="002478B9" w:rsidRPr="00EB5E38">
        <w:rPr>
          <w:sz w:val="20"/>
        </w:rPr>
        <w:t>n the event that the Supplier</w:t>
      </w:r>
      <w:r w:rsidR="006A6932" w:rsidRPr="00EB5E38">
        <w:rPr>
          <w:sz w:val="20"/>
        </w:rPr>
        <w:t xml:space="preserve"> </w:t>
      </w:r>
      <w:r w:rsidR="002478B9" w:rsidRPr="00EB5E38">
        <w:rPr>
          <w:sz w:val="20"/>
        </w:rPr>
        <w:t xml:space="preserve">fails to comply with </w:t>
      </w:r>
      <w:r w:rsidRPr="00EB5E38">
        <w:rPr>
          <w:sz w:val="20"/>
        </w:rPr>
        <w:t>C</w:t>
      </w:r>
      <w:r w:rsidR="002478B9" w:rsidRPr="00EB5E38">
        <w:rPr>
          <w:sz w:val="20"/>
        </w:rPr>
        <w:t xml:space="preserve">lause </w:t>
      </w:r>
      <w:r w:rsidRPr="00EB5E38">
        <w:rPr>
          <w:sz w:val="20"/>
        </w:rPr>
        <w:t>2B</w:t>
      </w:r>
      <w:r w:rsidR="002478B9" w:rsidRPr="00EB5E38">
        <w:rPr>
          <w:sz w:val="20"/>
        </w:rPr>
        <w:t>.1 above and the failure prevents the Customer fro</w:t>
      </w:r>
      <w:r w:rsidRPr="00EB5E38">
        <w:rPr>
          <w:sz w:val="20"/>
        </w:rPr>
        <w:t xml:space="preserve">m discharging a statutory duty, the </w:t>
      </w:r>
      <w:r w:rsidR="002478B9" w:rsidRPr="00EB5E38">
        <w:rPr>
          <w:sz w:val="20"/>
        </w:rPr>
        <w:t>Customer may terminate the Contract with immediate effect by giving the Supplier notice in writing</w:t>
      </w:r>
      <w:r w:rsidR="002478B9" w:rsidRPr="00EB5E38">
        <w:rPr>
          <w:color w:val="FF0000"/>
          <w:sz w:val="20"/>
        </w:rPr>
        <w:t xml:space="preserve">. </w:t>
      </w:r>
    </w:p>
    <w:p w14:paraId="6C6837C1" w14:textId="77777777" w:rsidR="00C555DC" w:rsidRPr="00EB5E38" w:rsidRDefault="00C555DC" w:rsidP="00C555DC">
      <w:pPr>
        <w:pStyle w:val="Heading1"/>
        <w:numPr>
          <w:ilvl w:val="0"/>
          <w:numId w:val="0"/>
        </w:numPr>
        <w:ind w:left="720" w:hanging="720"/>
        <w:rPr>
          <w:sz w:val="20"/>
        </w:rPr>
      </w:pPr>
      <w:bookmarkStart w:id="32" w:name="_Toc386011026"/>
      <w:r w:rsidRPr="00EB5E38">
        <w:rPr>
          <w:sz w:val="20"/>
        </w:rPr>
        <w:t>2C.</w:t>
      </w:r>
      <w:r w:rsidRPr="00EB5E38">
        <w:rPr>
          <w:sz w:val="20"/>
        </w:rPr>
        <w:tab/>
      </w:r>
      <w:bookmarkStart w:id="33" w:name="_Toc304196131"/>
      <w:bookmarkStart w:id="34" w:name="_Toc304196307"/>
      <w:bookmarkStart w:id="35" w:name="_Toc304196483"/>
      <w:bookmarkStart w:id="36" w:name="_Toc304200959"/>
      <w:bookmarkStart w:id="37" w:name="_Toc304202046"/>
      <w:bookmarkStart w:id="38" w:name="_Toc304212972"/>
      <w:bookmarkStart w:id="39" w:name="_Toc304453841"/>
      <w:bookmarkStart w:id="40" w:name="_Toc304454014"/>
      <w:bookmarkStart w:id="41" w:name="_Toc304454636"/>
      <w:bookmarkStart w:id="42" w:name="_Toc304808608"/>
      <w:bookmarkStart w:id="43" w:name="_Toc304897200"/>
      <w:bookmarkStart w:id="44" w:name="_Toc304901111"/>
      <w:bookmarkStart w:id="45" w:name="_Toc304901284"/>
      <w:bookmarkStart w:id="46" w:name="_Toc304904526"/>
      <w:bookmarkStart w:id="47" w:name="_Toc305422572"/>
      <w:bookmarkStart w:id="48" w:name="_Toc305588767"/>
      <w:r w:rsidRPr="00EB5E38">
        <w:rPr>
          <w:sz w:val="20"/>
        </w:rPr>
        <w:t>SUPPLIER'S STAFF</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C6837C2" w14:textId="77777777" w:rsidR="002D3A01" w:rsidRPr="00EB5E38" w:rsidRDefault="002D3A01" w:rsidP="002D3A01">
      <w:pPr>
        <w:pStyle w:val="Heading3"/>
        <w:numPr>
          <w:ilvl w:val="0"/>
          <w:numId w:val="0"/>
        </w:numPr>
        <w:ind w:left="720" w:hanging="720"/>
        <w:rPr>
          <w:sz w:val="20"/>
        </w:rPr>
      </w:pPr>
      <w:bookmarkStart w:id="49" w:name="_Ref185824397"/>
      <w:r w:rsidRPr="00EB5E38">
        <w:rPr>
          <w:sz w:val="20"/>
        </w:rPr>
        <w:t>2C.1</w:t>
      </w:r>
      <w:r w:rsidRPr="00EB5E38">
        <w:rPr>
          <w:sz w:val="20"/>
        </w:rPr>
        <w:tab/>
        <w:t xml:space="preserve">The Supplier shall ensure that, where appropriate, Staff are paid at least the national minimum wage in accordance with the National Minimum Wage Act 1998. </w:t>
      </w:r>
    </w:p>
    <w:p w14:paraId="6C6837C3" w14:textId="77777777" w:rsidR="002D3A01" w:rsidRPr="00EB5E38" w:rsidRDefault="002D3A01" w:rsidP="002D3A01">
      <w:pPr>
        <w:pStyle w:val="Heading3"/>
        <w:numPr>
          <w:ilvl w:val="0"/>
          <w:numId w:val="0"/>
        </w:numPr>
        <w:ind w:left="720" w:hanging="720"/>
        <w:rPr>
          <w:sz w:val="20"/>
        </w:rPr>
      </w:pPr>
      <w:r w:rsidRPr="00EB5E38">
        <w:rPr>
          <w:sz w:val="20"/>
        </w:rPr>
        <w:lastRenderedPageBreak/>
        <w:t>2C.2</w:t>
      </w:r>
      <w:r w:rsidRPr="00EB5E38">
        <w:rPr>
          <w:sz w:val="20"/>
        </w:rPr>
        <w:tab/>
        <w:t>The Customer may, by written notice to the Supplier, refuse to admit onto, or withdraw permission to remain on, the Premises:</w:t>
      </w:r>
    </w:p>
    <w:p w14:paraId="6C6837C4" w14:textId="77777777" w:rsidR="002D3A01" w:rsidRPr="00EB5E38" w:rsidRDefault="002D3A01" w:rsidP="002D3A01">
      <w:pPr>
        <w:pStyle w:val="Heading3"/>
        <w:numPr>
          <w:ilvl w:val="0"/>
          <w:numId w:val="0"/>
        </w:numPr>
        <w:ind w:left="709"/>
        <w:rPr>
          <w:sz w:val="20"/>
        </w:rPr>
      </w:pPr>
      <w:r w:rsidRPr="00EB5E38">
        <w:rPr>
          <w:sz w:val="20"/>
        </w:rPr>
        <w:t>2C2.1</w:t>
      </w:r>
      <w:r w:rsidRPr="00EB5E38">
        <w:rPr>
          <w:sz w:val="20"/>
        </w:rPr>
        <w:tab/>
        <w:t>any member of the Supplier’s Staff; or</w:t>
      </w:r>
    </w:p>
    <w:p w14:paraId="6C6837C5" w14:textId="77777777" w:rsidR="002D3A01" w:rsidRPr="00EB5E38" w:rsidRDefault="002D3A01" w:rsidP="002D3A01">
      <w:pPr>
        <w:pStyle w:val="Heading3"/>
        <w:numPr>
          <w:ilvl w:val="0"/>
          <w:numId w:val="0"/>
        </w:numPr>
        <w:ind w:left="709"/>
        <w:rPr>
          <w:szCs w:val="22"/>
        </w:rPr>
      </w:pPr>
      <w:r w:rsidRPr="00EB5E38">
        <w:rPr>
          <w:sz w:val="20"/>
        </w:rPr>
        <w:t>2C2.2</w:t>
      </w:r>
      <w:r w:rsidRPr="00EB5E38">
        <w:rPr>
          <w:sz w:val="20"/>
        </w:rPr>
        <w:tab/>
        <w:t>any person employed or engaged by the Supplier or any member of the Staff, whose admission or continued presence would, in the reasonable opinion of the Customer, be undesirable.</w:t>
      </w:r>
      <w:r w:rsidRPr="00EB5E38">
        <w:rPr>
          <w:szCs w:val="22"/>
        </w:rPr>
        <w:t xml:space="preserve"> </w:t>
      </w:r>
    </w:p>
    <w:p w14:paraId="6C6837C6"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2C.3</w:t>
      </w:r>
      <w:r w:rsidRPr="00EB5E38">
        <w:rPr>
          <w:sz w:val="20"/>
        </w:rPr>
        <w:tab/>
        <w:t>A</w:t>
      </w:r>
      <w:r w:rsidR="00C555DC" w:rsidRPr="00EB5E38">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9"/>
    </w:p>
    <w:p w14:paraId="6C6837C7"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2C.3</w:t>
      </w:r>
      <w:r w:rsidRPr="00EB5E38">
        <w:rPr>
          <w:sz w:val="20"/>
        </w:rPr>
        <w:tab/>
        <w:t xml:space="preserve">The Supplier’s </w:t>
      </w:r>
      <w:r w:rsidR="00C555DC" w:rsidRPr="00EB5E38">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2C.4</w:t>
      </w:r>
      <w:r w:rsidRPr="00EB5E38">
        <w:rPr>
          <w:sz w:val="20"/>
        </w:rPr>
        <w:tab/>
      </w:r>
      <w:r w:rsidR="00C555DC" w:rsidRPr="00EB5E38">
        <w:rPr>
          <w:sz w:val="20"/>
        </w:rPr>
        <w:t xml:space="preserve">If the Supplier fails to comply with </w:t>
      </w:r>
      <w:r w:rsidRPr="00EB5E38">
        <w:rPr>
          <w:sz w:val="20"/>
        </w:rPr>
        <w:t>C</w:t>
      </w:r>
      <w:r w:rsidR="00C555DC" w:rsidRPr="00EB5E38">
        <w:rPr>
          <w:sz w:val="20"/>
        </w:rPr>
        <w:t xml:space="preserve">lause </w:t>
      </w:r>
      <w:r w:rsidRPr="00EB5E38">
        <w:rPr>
          <w:sz w:val="20"/>
        </w:rPr>
        <w:t>2C.3</w:t>
      </w:r>
      <w:r w:rsidR="00C555DC" w:rsidRPr="00EB5E38">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Pr="00EB5E38" w:rsidRDefault="00EA68D8" w:rsidP="0050250E">
      <w:pPr>
        <w:pStyle w:val="Heading3"/>
        <w:numPr>
          <w:ilvl w:val="0"/>
          <w:numId w:val="0"/>
        </w:numPr>
        <w:tabs>
          <w:tab w:val="num" w:pos="3080"/>
        </w:tabs>
        <w:ind w:left="720" w:hanging="720"/>
        <w:rPr>
          <w:sz w:val="20"/>
        </w:rPr>
      </w:pPr>
      <w:r w:rsidRPr="00EB5E38">
        <w:rPr>
          <w:sz w:val="20"/>
        </w:rPr>
        <w:t>2C.5</w:t>
      </w:r>
      <w:r w:rsidRPr="00EB5E38">
        <w:rPr>
          <w:sz w:val="20"/>
        </w:rPr>
        <w:tab/>
        <w:t>The decision of the Customer as to whether any person is to be refused access to the Premises and as to whether the Supplier has failed to comply with Clause 2C.3 shall be final and conclusive.</w:t>
      </w:r>
      <w:bookmarkStart w:id="50" w:name="_Ref238890199"/>
    </w:p>
    <w:bookmarkEnd w:id="50"/>
    <w:p w14:paraId="6C6837CA" w14:textId="77777777" w:rsidR="0050250E" w:rsidRPr="00EB5E38" w:rsidRDefault="0050250E" w:rsidP="0050250E">
      <w:pPr>
        <w:pStyle w:val="Heading3"/>
        <w:numPr>
          <w:ilvl w:val="0"/>
          <w:numId w:val="0"/>
        </w:numPr>
        <w:tabs>
          <w:tab w:val="num" w:pos="3080"/>
        </w:tabs>
        <w:ind w:left="720" w:hanging="720"/>
        <w:rPr>
          <w:sz w:val="20"/>
        </w:rPr>
      </w:pPr>
      <w:r w:rsidRPr="00EB5E38">
        <w:rPr>
          <w:sz w:val="20"/>
        </w:rPr>
        <w:t>2C.</w:t>
      </w:r>
      <w:r w:rsidR="00031E5C" w:rsidRPr="00EB5E38">
        <w:rPr>
          <w:sz w:val="20"/>
        </w:rPr>
        <w:t>6</w:t>
      </w:r>
      <w:r w:rsidRPr="00EB5E38">
        <w:rPr>
          <w:sz w:val="20"/>
        </w:rPr>
        <w:tab/>
      </w:r>
      <w:r w:rsidR="00C555DC" w:rsidRPr="00EB5E38">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sidRPr="00EB5E38">
        <w:rPr>
          <w:sz w:val="20"/>
        </w:rPr>
        <w:t>between the Parties</w:t>
      </w:r>
      <w:r w:rsidR="00C555DC" w:rsidRPr="00EB5E38">
        <w:rPr>
          <w:sz w:val="20"/>
        </w:rPr>
        <w:t xml:space="preserve">, unless specifically covered in the Contract. </w:t>
      </w:r>
    </w:p>
    <w:p w14:paraId="6C6837CB" w14:textId="77777777" w:rsidR="006D51D8" w:rsidRPr="00EB5E38" w:rsidRDefault="006D51D8" w:rsidP="0050250E">
      <w:pPr>
        <w:pStyle w:val="Heading3"/>
        <w:numPr>
          <w:ilvl w:val="0"/>
          <w:numId w:val="0"/>
        </w:numPr>
        <w:tabs>
          <w:tab w:val="num" w:pos="3080"/>
        </w:tabs>
        <w:ind w:left="720" w:hanging="720"/>
        <w:rPr>
          <w:sz w:val="20"/>
        </w:rPr>
      </w:pPr>
      <w:r w:rsidRPr="00EB5E38">
        <w:rPr>
          <w:sz w:val="20"/>
        </w:rPr>
        <w:t>2C.7</w:t>
      </w:r>
      <w:r w:rsidRPr="00EB5E38">
        <w:rPr>
          <w:sz w:val="20"/>
        </w:rPr>
        <w:tab/>
        <w:t>Not used.</w:t>
      </w:r>
    </w:p>
    <w:p w14:paraId="6C6837CC" w14:textId="77777777" w:rsidR="00C555DC" w:rsidRPr="00EB5E38" w:rsidRDefault="00CF43D7" w:rsidP="00CF43D7">
      <w:pPr>
        <w:pStyle w:val="Heading3"/>
        <w:numPr>
          <w:ilvl w:val="0"/>
          <w:numId w:val="0"/>
        </w:numPr>
        <w:tabs>
          <w:tab w:val="num" w:pos="3080"/>
        </w:tabs>
        <w:ind w:left="720" w:hanging="720"/>
        <w:rPr>
          <w:sz w:val="20"/>
        </w:rPr>
      </w:pPr>
      <w:r w:rsidRPr="00EB5E38">
        <w:rPr>
          <w:sz w:val="20"/>
        </w:rPr>
        <w:t>2C.</w:t>
      </w:r>
      <w:r w:rsidR="006D51D8" w:rsidRPr="00EB5E38">
        <w:rPr>
          <w:sz w:val="20"/>
        </w:rPr>
        <w:t>8</w:t>
      </w:r>
      <w:r w:rsidRPr="00EB5E38">
        <w:rPr>
          <w:sz w:val="20"/>
        </w:rPr>
        <w:tab/>
      </w:r>
      <w:r w:rsidR="00C555DC" w:rsidRPr="00EB5E38">
        <w:rPr>
          <w:sz w:val="20"/>
        </w:rPr>
        <w:t xml:space="preserve">The Supplier shall procure that </w:t>
      </w:r>
      <w:r w:rsidRPr="00EB5E38">
        <w:rPr>
          <w:sz w:val="20"/>
        </w:rPr>
        <w:t>Supplier</w:t>
      </w:r>
      <w:r w:rsidR="00994DFD" w:rsidRPr="00EB5E38">
        <w:rPr>
          <w:sz w:val="20"/>
        </w:rPr>
        <w:t>’s</w:t>
      </w:r>
      <w:r w:rsidRPr="00EB5E38">
        <w:rPr>
          <w:sz w:val="20"/>
        </w:rPr>
        <w:t xml:space="preserve"> </w:t>
      </w:r>
      <w:r w:rsidR="00C555DC" w:rsidRPr="00EB5E38">
        <w:rPr>
          <w:sz w:val="20"/>
        </w:rPr>
        <w:t xml:space="preserve">Staff shall at all times during their engagement in the provision of the </w:t>
      </w:r>
      <w:r w:rsidRPr="00EB5E38">
        <w:rPr>
          <w:sz w:val="20"/>
        </w:rPr>
        <w:t xml:space="preserve">Contract </w:t>
      </w:r>
      <w:r w:rsidR="00C555DC" w:rsidRPr="00EB5E38">
        <w:rPr>
          <w:sz w:val="20"/>
        </w:rPr>
        <w:t xml:space="preserve">Services remain servants of the Supplier and the Supplier shall not be relieved of any statutory or other responsibilities in relation to the </w:t>
      </w:r>
      <w:r w:rsidRPr="00EB5E38">
        <w:rPr>
          <w:sz w:val="20"/>
        </w:rPr>
        <w:t>Supplier</w:t>
      </w:r>
      <w:r w:rsidR="00994DFD" w:rsidRPr="00EB5E38">
        <w:rPr>
          <w:sz w:val="20"/>
        </w:rPr>
        <w:t>’s</w:t>
      </w:r>
      <w:r w:rsidRPr="00EB5E38">
        <w:rPr>
          <w:sz w:val="20"/>
        </w:rPr>
        <w:t xml:space="preserve"> </w:t>
      </w:r>
      <w:r w:rsidR="00C555DC" w:rsidRPr="00EB5E38">
        <w:rPr>
          <w:sz w:val="20"/>
        </w:rPr>
        <w:t>Staff by virtue of this Contract.</w:t>
      </w:r>
      <w:bookmarkStart w:id="51" w:name="_Toc139080182"/>
    </w:p>
    <w:p w14:paraId="6C6837CD" w14:textId="0111EA6C" w:rsidR="00CF43D7" w:rsidRPr="00EB5E38" w:rsidRDefault="00CF43D7" w:rsidP="00057B6F">
      <w:pPr>
        <w:pStyle w:val="Heading3"/>
        <w:numPr>
          <w:ilvl w:val="0"/>
          <w:numId w:val="0"/>
        </w:numPr>
        <w:tabs>
          <w:tab w:val="num" w:pos="3080"/>
        </w:tabs>
        <w:ind w:left="720" w:hanging="720"/>
        <w:rPr>
          <w:b/>
          <w:sz w:val="20"/>
        </w:rPr>
      </w:pPr>
      <w:r w:rsidRPr="00EB5E38">
        <w:rPr>
          <w:b/>
          <w:sz w:val="20"/>
        </w:rPr>
        <w:t xml:space="preserve">Relevant Convictions </w:t>
      </w:r>
    </w:p>
    <w:p w14:paraId="6C6837CF" w14:textId="77777777" w:rsidR="00C555DC" w:rsidRPr="00EB5E38" w:rsidRDefault="00CF43D7" w:rsidP="00057B6F">
      <w:pPr>
        <w:pStyle w:val="Heading3"/>
        <w:numPr>
          <w:ilvl w:val="0"/>
          <w:numId w:val="0"/>
        </w:numPr>
        <w:tabs>
          <w:tab w:val="num" w:pos="3080"/>
        </w:tabs>
        <w:ind w:left="720" w:hanging="720"/>
        <w:rPr>
          <w:sz w:val="20"/>
        </w:rPr>
      </w:pPr>
      <w:r w:rsidRPr="00EB5E38">
        <w:rPr>
          <w:sz w:val="20"/>
        </w:rPr>
        <w:t>2C.</w:t>
      </w:r>
      <w:bookmarkStart w:id="52" w:name="_Toc139080184"/>
      <w:bookmarkEnd w:id="51"/>
      <w:r w:rsidR="00E109EC" w:rsidRPr="00EB5E38">
        <w:rPr>
          <w:sz w:val="20"/>
        </w:rPr>
        <w:t>9</w:t>
      </w:r>
      <w:r w:rsidRPr="00EB5E38">
        <w:rPr>
          <w:sz w:val="20"/>
        </w:rPr>
        <w:tab/>
      </w:r>
      <w:r w:rsidR="00C555DC" w:rsidRPr="00EB5E38">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EB5E38">
        <w:rPr>
          <w:sz w:val="20"/>
        </w:rPr>
        <w:t xml:space="preserve">Contract </w:t>
      </w:r>
      <w:r w:rsidR="00C555DC" w:rsidRPr="00EB5E38">
        <w:rPr>
          <w:sz w:val="20"/>
        </w:rPr>
        <w:t xml:space="preserve">Services without </w:t>
      </w:r>
      <w:r w:rsidR="00583253" w:rsidRPr="00EB5E38">
        <w:rPr>
          <w:sz w:val="20"/>
        </w:rPr>
        <w:t>the prior approval of the Customer</w:t>
      </w:r>
      <w:r w:rsidR="00C555DC" w:rsidRPr="00EB5E38">
        <w:rPr>
          <w:sz w:val="20"/>
        </w:rPr>
        <w:t>.</w:t>
      </w:r>
      <w:bookmarkStart w:id="53" w:name="_Toc139080185"/>
      <w:bookmarkEnd w:id="52"/>
    </w:p>
    <w:p w14:paraId="6C6837D0" w14:textId="77777777" w:rsidR="00C555DC" w:rsidRPr="00EB5E38" w:rsidRDefault="00583253" w:rsidP="00057B6F">
      <w:pPr>
        <w:pStyle w:val="Heading3"/>
        <w:numPr>
          <w:ilvl w:val="0"/>
          <w:numId w:val="0"/>
        </w:numPr>
        <w:tabs>
          <w:tab w:val="num" w:pos="3080"/>
        </w:tabs>
        <w:ind w:left="720" w:hanging="720"/>
        <w:rPr>
          <w:sz w:val="20"/>
        </w:rPr>
      </w:pPr>
      <w:r w:rsidRPr="00EB5E38">
        <w:rPr>
          <w:sz w:val="20"/>
        </w:rPr>
        <w:t>2C.1</w:t>
      </w:r>
      <w:r w:rsidR="00E109EC" w:rsidRPr="00EB5E38">
        <w:rPr>
          <w:sz w:val="20"/>
        </w:rPr>
        <w:t>0</w:t>
      </w:r>
      <w:r w:rsidRPr="00EB5E38">
        <w:rPr>
          <w:sz w:val="20"/>
        </w:rPr>
        <w:tab/>
      </w:r>
      <w:r w:rsidR="00C555DC" w:rsidRPr="00EB5E38">
        <w:rPr>
          <w:sz w:val="20"/>
        </w:rPr>
        <w:t xml:space="preserve">For each member of </w:t>
      </w:r>
      <w:r w:rsidRPr="00EB5E38">
        <w:rPr>
          <w:sz w:val="20"/>
        </w:rPr>
        <w:t>the Supplier</w:t>
      </w:r>
      <w:r w:rsidR="00994DFD" w:rsidRPr="00EB5E38">
        <w:rPr>
          <w:sz w:val="20"/>
        </w:rPr>
        <w:t>’s</w:t>
      </w:r>
      <w:r w:rsidRPr="00EB5E38">
        <w:rPr>
          <w:sz w:val="20"/>
        </w:rPr>
        <w:t xml:space="preserve"> </w:t>
      </w:r>
      <w:r w:rsidR="00C555DC" w:rsidRPr="00EB5E38">
        <w:rPr>
          <w:sz w:val="20"/>
        </w:rPr>
        <w:t xml:space="preserve">Staff who, in providing the </w:t>
      </w:r>
      <w:r w:rsidRPr="00EB5E38">
        <w:rPr>
          <w:sz w:val="20"/>
        </w:rPr>
        <w:t xml:space="preserve">Contract </w:t>
      </w:r>
      <w:r w:rsidR="00C555DC" w:rsidRPr="00EB5E38">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4" w:name="_Toc139080186"/>
      <w:bookmarkEnd w:id="53"/>
    </w:p>
    <w:p w14:paraId="6C6837D1" w14:textId="77777777" w:rsidR="00C555DC" w:rsidRPr="00EB5E38" w:rsidRDefault="00583253" w:rsidP="00057B6F">
      <w:pPr>
        <w:pStyle w:val="Heading3"/>
        <w:numPr>
          <w:ilvl w:val="0"/>
          <w:numId w:val="0"/>
        </w:numPr>
        <w:tabs>
          <w:tab w:val="num" w:pos="3190"/>
        </w:tabs>
        <w:ind w:left="720"/>
        <w:rPr>
          <w:sz w:val="20"/>
        </w:rPr>
      </w:pPr>
      <w:r w:rsidRPr="00EB5E38">
        <w:rPr>
          <w:sz w:val="20"/>
        </w:rPr>
        <w:t>2C.1</w:t>
      </w:r>
      <w:r w:rsidR="00E109EC" w:rsidRPr="00EB5E38">
        <w:rPr>
          <w:sz w:val="20"/>
        </w:rPr>
        <w:t>0</w:t>
      </w:r>
      <w:r w:rsidRPr="00EB5E38">
        <w:rPr>
          <w:sz w:val="20"/>
        </w:rPr>
        <w:t xml:space="preserve">.1 </w:t>
      </w:r>
      <w:r w:rsidR="00C555DC" w:rsidRPr="00EB5E38">
        <w:rPr>
          <w:sz w:val="20"/>
        </w:rPr>
        <w:t>carry out a polic</w:t>
      </w:r>
      <w:r w:rsidR="00E109EC" w:rsidRPr="00EB5E38">
        <w:rPr>
          <w:sz w:val="20"/>
        </w:rPr>
        <w:t>e</w:t>
      </w:r>
      <w:r w:rsidR="00C555DC" w:rsidRPr="00EB5E38">
        <w:rPr>
          <w:sz w:val="20"/>
        </w:rPr>
        <w:t xml:space="preserve"> check with the records held by DfE;</w:t>
      </w:r>
      <w:bookmarkStart w:id="55" w:name="_Toc139080187"/>
      <w:bookmarkEnd w:id="54"/>
    </w:p>
    <w:p w14:paraId="6C6837D2" w14:textId="77777777" w:rsidR="00C555DC" w:rsidRPr="00EB5E38" w:rsidRDefault="00583253" w:rsidP="00057B6F">
      <w:pPr>
        <w:pStyle w:val="Heading3"/>
        <w:numPr>
          <w:ilvl w:val="0"/>
          <w:numId w:val="0"/>
        </w:numPr>
        <w:tabs>
          <w:tab w:val="num" w:pos="3190"/>
        </w:tabs>
        <w:ind w:left="1440" w:hanging="720"/>
        <w:rPr>
          <w:sz w:val="20"/>
        </w:rPr>
      </w:pPr>
      <w:r w:rsidRPr="00EB5E38">
        <w:rPr>
          <w:sz w:val="20"/>
        </w:rPr>
        <w:t>2C1</w:t>
      </w:r>
      <w:r w:rsidR="00E109EC" w:rsidRPr="00EB5E38">
        <w:rPr>
          <w:sz w:val="20"/>
        </w:rPr>
        <w:t>0</w:t>
      </w:r>
      <w:r w:rsidRPr="00EB5E38">
        <w:rPr>
          <w:sz w:val="20"/>
        </w:rPr>
        <w:t>.2</w:t>
      </w:r>
      <w:r w:rsidR="00E109EC" w:rsidRPr="00EB5E38">
        <w:rPr>
          <w:sz w:val="20"/>
        </w:rPr>
        <w:t xml:space="preserve">  </w:t>
      </w:r>
      <w:r w:rsidR="00C555DC" w:rsidRPr="00EB5E38">
        <w:rPr>
          <w:sz w:val="20"/>
        </w:rPr>
        <w:t>conduct thorough questioning regarding any Relevant Convictions; and</w:t>
      </w:r>
      <w:bookmarkStart w:id="56" w:name="_Toc139080188"/>
      <w:bookmarkEnd w:id="55"/>
    </w:p>
    <w:p w14:paraId="6C6837D3" w14:textId="77777777" w:rsidR="00C555DC" w:rsidRPr="00EB5E38" w:rsidRDefault="00583253" w:rsidP="00057B6F">
      <w:pPr>
        <w:pStyle w:val="Heading3"/>
        <w:numPr>
          <w:ilvl w:val="0"/>
          <w:numId w:val="0"/>
        </w:numPr>
        <w:tabs>
          <w:tab w:val="num" w:pos="3190"/>
        </w:tabs>
        <w:ind w:left="1800" w:hanging="1080"/>
        <w:rPr>
          <w:sz w:val="20"/>
        </w:rPr>
      </w:pPr>
      <w:r w:rsidRPr="00EB5E38">
        <w:rPr>
          <w:sz w:val="20"/>
        </w:rPr>
        <w:lastRenderedPageBreak/>
        <w:t>2C1</w:t>
      </w:r>
      <w:r w:rsidR="00E109EC" w:rsidRPr="00EB5E38">
        <w:rPr>
          <w:sz w:val="20"/>
        </w:rPr>
        <w:t>0</w:t>
      </w:r>
      <w:r w:rsidRPr="00EB5E38">
        <w:rPr>
          <w:sz w:val="20"/>
        </w:rPr>
        <w:t>.3</w:t>
      </w:r>
      <w:r w:rsidR="00E109EC" w:rsidRPr="00EB5E38">
        <w:rPr>
          <w:sz w:val="20"/>
        </w:rPr>
        <w:tab/>
      </w:r>
      <w:r w:rsidR="00C555DC" w:rsidRPr="00EB5E38">
        <w:rPr>
          <w:sz w:val="20"/>
        </w:rPr>
        <w:t>ensure a police check is completed and such other checks as may be carried out through the Criminal Records Bureau</w:t>
      </w:r>
      <w:bookmarkStart w:id="57" w:name="_Toc139080189"/>
      <w:bookmarkEnd w:id="56"/>
      <w:r w:rsidRPr="00EB5E38">
        <w:rPr>
          <w:sz w:val="20"/>
        </w:rPr>
        <w:t>; and</w:t>
      </w:r>
    </w:p>
    <w:p w14:paraId="6C6837D4" w14:textId="647AF1FF" w:rsidR="00C555DC" w:rsidRPr="00EB5E38" w:rsidRDefault="00583253" w:rsidP="00057B6F">
      <w:pPr>
        <w:pStyle w:val="Heading3"/>
        <w:numPr>
          <w:ilvl w:val="0"/>
          <w:numId w:val="0"/>
        </w:numPr>
        <w:tabs>
          <w:tab w:val="num" w:pos="3190"/>
        </w:tabs>
        <w:ind w:left="1800" w:hanging="1080"/>
        <w:rPr>
          <w:sz w:val="20"/>
        </w:rPr>
      </w:pPr>
      <w:r w:rsidRPr="00EB5E38">
        <w:rPr>
          <w:sz w:val="20"/>
        </w:rPr>
        <w:t>2C1</w:t>
      </w:r>
      <w:r w:rsidR="00E109EC" w:rsidRPr="00EB5E38">
        <w:rPr>
          <w:sz w:val="20"/>
        </w:rPr>
        <w:t>0</w:t>
      </w:r>
      <w:r w:rsidRPr="00EB5E38">
        <w:rPr>
          <w:sz w:val="20"/>
        </w:rPr>
        <w:t>.4</w:t>
      </w:r>
      <w:r w:rsidRPr="00EB5E38">
        <w:rPr>
          <w:sz w:val="20"/>
        </w:rPr>
        <w:tab/>
      </w:r>
      <w:r w:rsidR="00C555DC" w:rsidRPr="00EB5E38">
        <w:rPr>
          <w:sz w:val="20"/>
        </w:rPr>
        <w:t xml:space="preserve">not engage or continue to employ in the provision of the </w:t>
      </w:r>
      <w:r w:rsidRPr="00EB5E38">
        <w:rPr>
          <w:sz w:val="20"/>
        </w:rPr>
        <w:t xml:space="preserve">Contract </w:t>
      </w:r>
      <w:r w:rsidR="00C555DC" w:rsidRPr="00EB5E38">
        <w:rPr>
          <w:sz w:val="20"/>
        </w:rPr>
        <w:t>Services any person who has a Relevant Conviction or an inappropriate record.</w:t>
      </w:r>
      <w:bookmarkEnd w:id="57"/>
    </w:p>
    <w:p w14:paraId="6C6837D5" w14:textId="77777777" w:rsidR="00F807DC" w:rsidRPr="00EB5E38" w:rsidRDefault="007562F7">
      <w:pPr>
        <w:pStyle w:val="Heading1"/>
        <w:keepNext/>
        <w:rPr>
          <w:rFonts w:cs="Arial"/>
          <w:sz w:val="20"/>
        </w:rPr>
      </w:pPr>
      <w:bookmarkStart w:id="58" w:name="_Ref313371683"/>
      <w:bookmarkStart w:id="59" w:name="_Toc386011027"/>
      <w:r w:rsidRPr="00EB5E38">
        <w:rPr>
          <w:rFonts w:cs="Arial"/>
          <w:sz w:val="20"/>
        </w:rPr>
        <w:t xml:space="preserve">PAYMENT AND </w:t>
      </w:r>
      <w:bookmarkEnd w:id="58"/>
      <w:r w:rsidR="00611259" w:rsidRPr="00EB5E38">
        <w:rPr>
          <w:rFonts w:cs="Arial"/>
          <w:sz w:val="20"/>
        </w:rPr>
        <w:t>CHARGES</w:t>
      </w:r>
      <w:bookmarkEnd w:id="59"/>
    </w:p>
    <w:p w14:paraId="6C6837D6" w14:textId="77777777" w:rsidR="00F807DC" w:rsidRPr="00EB5E38" w:rsidRDefault="00AB51E9">
      <w:pPr>
        <w:pStyle w:val="Heading2"/>
        <w:keepNext/>
        <w:rPr>
          <w:rFonts w:cs="Arial"/>
          <w:b/>
          <w:sz w:val="20"/>
        </w:rPr>
      </w:pPr>
      <w:r w:rsidRPr="00EB5E38">
        <w:rPr>
          <w:rFonts w:cs="Arial"/>
          <w:b/>
          <w:sz w:val="20"/>
        </w:rPr>
        <w:t>Contract Charges</w:t>
      </w:r>
      <w:r w:rsidR="00C93116" w:rsidRPr="00EB5E38">
        <w:rPr>
          <w:rFonts w:cs="Arial"/>
          <w:b/>
          <w:sz w:val="20"/>
        </w:rPr>
        <w:t xml:space="preserve"> and VAT</w:t>
      </w:r>
    </w:p>
    <w:p w14:paraId="6C6837D7" w14:textId="77777777" w:rsidR="00F807DC" w:rsidRPr="00EB5E38" w:rsidRDefault="007562F7">
      <w:pPr>
        <w:pStyle w:val="Heading3"/>
        <w:rPr>
          <w:rFonts w:cs="Arial"/>
          <w:sz w:val="20"/>
        </w:rPr>
      </w:pPr>
      <w:r w:rsidRPr="00EB5E38">
        <w:rPr>
          <w:rFonts w:cs="Arial"/>
          <w:sz w:val="20"/>
        </w:rPr>
        <w:t xml:space="preserve">In consideration of the </w:t>
      </w:r>
      <w:r w:rsidR="004104F4" w:rsidRPr="00EB5E38">
        <w:rPr>
          <w:rFonts w:cs="Arial"/>
          <w:sz w:val="20"/>
        </w:rPr>
        <w:t>Supplier</w:t>
      </w:r>
      <w:r w:rsidRPr="00EB5E38">
        <w:rPr>
          <w:rFonts w:cs="Arial"/>
          <w:sz w:val="20"/>
        </w:rPr>
        <w:t xml:space="preserve">'s performance of its obligations under the Contract, the </w:t>
      </w:r>
      <w:r w:rsidR="007D1596" w:rsidRPr="00EB5E38">
        <w:rPr>
          <w:rFonts w:cs="Arial"/>
          <w:sz w:val="20"/>
        </w:rPr>
        <w:t>Customer</w:t>
      </w:r>
      <w:r w:rsidRPr="00EB5E38">
        <w:rPr>
          <w:rFonts w:cs="Arial"/>
          <w:sz w:val="20"/>
        </w:rPr>
        <w:t xml:space="preserve"> shall pay the </w:t>
      </w:r>
      <w:r w:rsidR="00AB51E9" w:rsidRPr="00EB5E38">
        <w:rPr>
          <w:rFonts w:cs="Arial"/>
          <w:sz w:val="20"/>
        </w:rPr>
        <w:t>Contract Charges</w:t>
      </w:r>
      <w:r w:rsidRPr="00EB5E38">
        <w:rPr>
          <w:rFonts w:cs="Arial"/>
          <w:sz w:val="20"/>
        </w:rPr>
        <w:t xml:space="preserve"> in accordance with </w:t>
      </w:r>
      <w:r w:rsidR="00E6002D" w:rsidRPr="00EB5E38">
        <w:rPr>
          <w:rFonts w:cs="Arial"/>
          <w:sz w:val="20"/>
        </w:rPr>
        <w:t>Clause </w:t>
      </w:r>
      <w:r w:rsidR="00B823BC" w:rsidRPr="00EB5E38">
        <w:rPr>
          <w:rFonts w:cs="Arial"/>
          <w:sz w:val="20"/>
        </w:rPr>
        <w:t>3</w:t>
      </w:r>
      <w:r w:rsidR="00AC4EAD" w:rsidRPr="00EB5E38">
        <w:rPr>
          <w:rFonts w:cs="Arial"/>
          <w:sz w:val="20"/>
        </w:rPr>
        <w:t xml:space="preserve">.2 </w:t>
      </w:r>
      <w:r w:rsidRPr="00EB5E38">
        <w:rPr>
          <w:rFonts w:cs="Arial"/>
          <w:sz w:val="20"/>
        </w:rPr>
        <w:t>(Payment).</w:t>
      </w:r>
    </w:p>
    <w:p w14:paraId="6C6837D8"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in addition to the </w:t>
      </w:r>
      <w:r w:rsidR="00AB51E9" w:rsidRPr="00EB5E38">
        <w:rPr>
          <w:rFonts w:cs="Arial"/>
          <w:sz w:val="20"/>
        </w:rPr>
        <w:t>Contract Charges</w:t>
      </w:r>
      <w:r w:rsidRPr="00EB5E38">
        <w:rPr>
          <w:rFonts w:cs="Arial"/>
          <w:sz w:val="20"/>
        </w:rPr>
        <w:t xml:space="preserve"> and following </w:t>
      </w:r>
      <w:r w:rsidR="00B823BC" w:rsidRPr="00EB5E38">
        <w:rPr>
          <w:rFonts w:cs="Arial"/>
          <w:sz w:val="20"/>
        </w:rPr>
        <w:t xml:space="preserve">receipt </w:t>
      </w:r>
      <w:r w:rsidRPr="00EB5E38">
        <w:rPr>
          <w:rFonts w:cs="Arial"/>
          <w:sz w:val="20"/>
        </w:rPr>
        <w:t xml:space="preserve">of a valid VAT invoice, pay the </w:t>
      </w:r>
      <w:r w:rsidR="004104F4" w:rsidRPr="00EB5E38">
        <w:rPr>
          <w:rFonts w:cs="Arial"/>
          <w:sz w:val="20"/>
        </w:rPr>
        <w:t>Supplier</w:t>
      </w:r>
      <w:r w:rsidRPr="00EB5E38">
        <w:rPr>
          <w:rFonts w:cs="Arial"/>
          <w:sz w:val="20"/>
        </w:rPr>
        <w:t xml:space="preserve"> a sum equal to the VAT chargeable on the value of the </w:t>
      </w:r>
      <w:r w:rsidR="00162C54" w:rsidRPr="00EB5E38">
        <w:rPr>
          <w:rFonts w:cs="Arial"/>
          <w:sz w:val="20"/>
        </w:rPr>
        <w:t>Contract Services</w:t>
      </w:r>
      <w:r w:rsidR="00706BB4" w:rsidRPr="00EB5E38">
        <w:rPr>
          <w:rFonts w:cs="Arial"/>
          <w:sz w:val="20"/>
        </w:rPr>
        <w:t xml:space="preserve"> </w:t>
      </w:r>
      <w:r w:rsidRPr="00EB5E38">
        <w:rPr>
          <w:rFonts w:cs="Arial"/>
          <w:sz w:val="20"/>
        </w:rPr>
        <w:t>supplied.</w:t>
      </w:r>
    </w:p>
    <w:p w14:paraId="6C6837D9" w14:textId="77777777" w:rsidR="0070559B" w:rsidRPr="00EB5E38" w:rsidRDefault="0070559B">
      <w:pPr>
        <w:pStyle w:val="Heading3"/>
        <w:rPr>
          <w:rFonts w:cs="Arial"/>
          <w:sz w:val="20"/>
        </w:rPr>
      </w:pPr>
      <w:r w:rsidRPr="00EB5E38">
        <w:rPr>
          <w:rFonts w:cs="Arial"/>
          <w:sz w:val="20"/>
        </w:rPr>
        <w:t xml:space="preserve">The provisions of </w:t>
      </w:r>
      <w:r w:rsidR="007B35D4" w:rsidRPr="00EB5E38">
        <w:rPr>
          <w:rFonts w:cs="Arial"/>
          <w:sz w:val="20"/>
        </w:rPr>
        <w:t>paragraph</w:t>
      </w:r>
      <w:r w:rsidR="0063480C" w:rsidRPr="00EB5E38">
        <w:rPr>
          <w:rFonts w:cs="Arial"/>
          <w:sz w:val="20"/>
        </w:rPr>
        <w:t xml:space="preserve"> 7</w:t>
      </w:r>
      <w:r w:rsidRPr="00EB5E38">
        <w:rPr>
          <w:rFonts w:cs="Arial"/>
          <w:sz w:val="20"/>
        </w:rPr>
        <w:t xml:space="preserve"> of Framework </w:t>
      </w:r>
      <w:r w:rsidR="00FB269A" w:rsidRPr="00EB5E38">
        <w:rPr>
          <w:rFonts w:cs="Arial"/>
          <w:sz w:val="20"/>
        </w:rPr>
        <w:t>Schedule </w:t>
      </w:r>
      <w:r w:rsidRPr="00EB5E38">
        <w:rPr>
          <w:rFonts w:cs="Arial"/>
          <w:sz w:val="20"/>
        </w:rPr>
        <w:t xml:space="preserve">2 (Charging Structure) of the Framework Agreement shall apply in relation to the </w:t>
      </w:r>
      <w:r w:rsidR="00162C54" w:rsidRPr="00EB5E38">
        <w:rPr>
          <w:rFonts w:cs="Arial"/>
          <w:sz w:val="20"/>
        </w:rPr>
        <w:t>Contract Services</w:t>
      </w:r>
      <w:r w:rsidRPr="00EB5E38">
        <w:rPr>
          <w:rFonts w:cs="Arial"/>
          <w:sz w:val="20"/>
        </w:rPr>
        <w:t>.</w:t>
      </w:r>
    </w:p>
    <w:p w14:paraId="6C6837DA" w14:textId="77777777" w:rsidR="00F807DC" w:rsidRPr="00EB5E38" w:rsidRDefault="007562F7">
      <w:pPr>
        <w:pStyle w:val="Heading3"/>
        <w:rPr>
          <w:rFonts w:cs="Arial"/>
          <w:sz w:val="20"/>
        </w:rPr>
      </w:pPr>
      <w:r w:rsidRPr="00EB5E38">
        <w:rPr>
          <w:rFonts w:cs="Arial"/>
          <w:sz w:val="20"/>
        </w:rPr>
        <w:t xml:space="preserve">If at any time </w:t>
      </w:r>
      <w:r w:rsidR="007657FB" w:rsidRPr="00EB5E38">
        <w:rPr>
          <w:rFonts w:cs="Arial"/>
          <w:sz w:val="20"/>
        </w:rPr>
        <w:t xml:space="preserve">before the </w:t>
      </w:r>
      <w:r w:rsidR="00162C54" w:rsidRPr="00EB5E38">
        <w:rPr>
          <w:rFonts w:cs="Arial"/>
          <w:sz w:val="20"/>
        </w:rPr>
        <w:t>Contract Services</w:t>
      </w:r>
      <w:r w:rsidR="00706BB4" w:rsidRPr="00EB5E38">
        <w:rPr>
          <w:rFonts w:cs="Arial"/>
          <w:sz w:val="20"/>
        </w:rPr>
        <w:t xml:space="preserve"> </w:t>
      </w:r>
      <w:r w:rsidR="007657FB" w:rsidRPr="00EB5E38">
        <w:rPr>
          <w:rFonts w:cs="Arial"/>
          <w:sz w:val="20"/>
        </w:rPr>
        <w:t>have been delivered in full</w:t>
      </w:r>
      <w:r w:rsidRPr="00EB5E38">
        <w:rPr>
          <w:rFonts w:cs="Arial"/>
          <w:sz w:val="20"/>
        </w:rPr>
        <w:t xml:space="preserve"> the </w:t>
      </w:r>
      <w:r w:rsidR="004104F4" w:rsidRPr="00EB5E38">
        <w:rPr>
          <w:rFonts w:cs="Arial"/>
          <w:sz w:val="20"/>
        </w:rPr>
        <w:t>Supplier</w:t>
      </w:r>
      <w:r w:rsidRPr="00EB5E38">
        <w:rPr>
          <w:rFonts w:cs="Arial"/>
          <w:sz w:val="20"/>
        </w:rPr>
        <w:t xml:space="preserve"> reduces its Framework Prices for any Services which </w:t>
      </w:r>
      <w:r w:rsidR="00AC4EAD" w:rsidRPr="00EB5E38">
        <w:rPr>
          <w:rFonts w:cs="Arial"/>
          <w:sz w:val="20"/>
        </w:rPr>
        <w:t>are</w:t>
      </w:r>
      <w:r w:rsidRPr="00EB5E38">
        <w:rPr>
          <w:rFonts w:cs="Arial"/>
          <w:sz w:val="20"/>
        </w:rPr>
        <w:t xml:space="preserve"> provided under the Framework Agreement in accordance with the terms of the Framework Agreement</w:t>
      </w:r>
      <w:r w:rsidR="007B35D4" w:rsidRPr="00EB5E38">
        <w:rPr>
          <w:rFonts w:cs="Arial"/>
          <w:sz w:val="20"/>
        </w:rPr>
        <w:t xml:space="preserve"> </w:t>
      </w:r>
      <w:r w:rsidR="000D54E4" w:rsidRPr="00EB5E38">
        <w:rPr>
          <w:rFonts w:cs="Arial"/>
          <w:sz w:val="20"/>
        </w:rPr>
        <w:t xml:space="preserve">and with the Law including that relating to Public Procurement </w:t>
      </w:r>
      <w:r w:rsidR="007B35D4" w:rsidRPr="00EB5E38">
        <w:rPr>
          <w:rFonts w:cs="Arial"/>
          <w:sz w:val="20"/>
        </w:rPr>
        <w:t>with the result that the Framework Prices are lower than the Contract Charges</w:t>
      </w:r>
      <w:r w:rsidRPr="00EB5E38">
        <w:rPr>
          <w:rFonts w:cs="Arial"/>
          <w:sz w:val="20"/>
        </w:rPr>
        <w:t xml:space="preserve">, the </w:t>
      </w:r>
      <w:r w:rsidR="00AB51E9" w:rsidRPr="00EB5E38">
        <w:rPr>
          <w:rFonts w:cs="Arial"/>
          <w:sz w:val="20"/>
        </w:rPr>
        <w:t>Contract Charges</w:t>
      </w:r>
      <w:r w:rsidRPr="00EB5E38">
        <w:rPr>
          <w:rFonts w:cs="Arial"/>
          <w:sz w:val="20"/>
        </w:rPr>
        <w:t xml:space="preserve"> for </w:t>
      </w:r>
      <w:r w:rsidR="007657FB" w:rsidRPr="00EB5E38">
        <w:rPr>
          <w:rFonts w:cs="Arial"/>
          <w:sz w:val="20"/>
        </w:rPr>
        <w:t xml:space="preserve">the </w:t>
      </w:r>
      <w:r w:rsidR="00162C54" w:rsidRPr="00EB5E38">
        <w:rPr>
          <w:rFonts w:cs="Arial"/>
          <w:sz w:val="20"/>
        </w:rPr>
        <w:t>Contract Services</w:t>
      </w:r>
      <w:r w:rsidR="00706BB4" w:rsidRPr="00EB5E38">
        <w:rPr>
          <w:rFonts w:cs="Arial"/>
          <w:sz w:val="20"/>
        </w:rPr>
        <w:t xml:space="preserve"> </w:t>
      </w:r>
      <w:r w:rsidR="007657FB" w:rsidRPr="00EB5E38">
        <w:rPr>
          <w:rFonts w:cs="Arial"/>
          <w:sz w:val="20"/>
        </w:rPr>
        <w:t xml:space="preserve">shall </w:t>
      </w:r>
      <w:r w:rsidR="00B014A2" w:rsidRPr="00EB5E38">
        <w:rPr>
          <w:rFonts w:cs="Arial"/>
          <w:sz w:val="20"/>
        </w:rPr>
        <w:t xml:space="preserve">automatically </w:t>
      </w:r>
      <w:r w:rsidR="007657FB" w:rsidRPr="00EB5E38">
        <w:rPr>
          <w:rFonts w:cs="Arial"/>
          <w:sz w:val="20"/>
        </w:rPr>
        <w:t>be reduced</w:t>
      </w:r>
      <w:r w:rsidRPr="00EB5E38">
        <w:rPr>
          <w:rFonts w:cs="Arial"/>
          <w:sz w:val="20"/>
        </w:rPr>
        <w:t xml:space="preserve"> </w:t>
      </w:r>
      <w:r w:rsidR="007B35D4" w:rsidRPr="00EB5E38">
        <w:rPr>
          <w:rFonts w:cs="Arial"/>
          <w:sz w:val="20"/>
        </w:rPr>
        <w:t>so as to be equal to the Framework Prices</w:t>
      </w:r>
      <w:r w:rsidR="00BC6D91" w:rsidRPr="00EB5E38">
        <w:rPr>
          <w:rFonts w:cs="Arial"/>
          <w:sz w:val="20"/>
        </w:rPr>
        <w:t>.</w:t>
      </w:r>
    </w:p>
    <w:p w14:paraId="6C6837DB" w14:textId="77777777" w:rsidR="00C93116" w:rsidRPr="00EB5E38" w:rsidRDefault="00C93116">
      <w:pPr>
        <w:pStyle w:val="Heading3"/>
        <w:rPr>
          <w:rFonts w:cs="Arial"/>
          <w:sz w:val="20"/>
        </w:rPr>
      </w:pPr>
      <w:bookmarkStart w:id="60" w:name="_Ref313368298"/>
      <w:r w:rsidRPr="00EB5E38">
        <w:rPr>
          <w:rFonts w:cs="Arial"/>
          <w:sz w:val="20"/>
        </w:rPr>
        <w:t xml:space="preserve">The </w:t>
      </w:r>
      <w:r w:rsidR="004104F4" w:rsidRPr="00EB5E38">
        <w:rPr>
          <w:rFonts w:cs="Arial"/>
          <w:sz w:val="20"/>
        </w:rPr>
        <w:t>Supplier</w:t>
      </w:r>
      <w:r w:rsidRPr="00EB5E38">
        <w:rPr>
          <w:rFonts w:cs="Arial"/>
          <w:sz w:val="20"/>
        </w:rPr>
        <w:t xml:space="preserve"> shall indemnify the </w:t>
      </w:r>
      <w:r w:rsidR="007D1596" w:rsidRPr="00EB5E38">
        <w:rPr>
          <w:rFonts w:cs="Arial"/>
          <w:sz w:val="20"/>
        </w:rPr>
        <w:t>Customer</w:t>
      </w:r>
      <w:r w:rsidRPr="00EB5E38">
        <w:rPr>
          <w:rFonts w:cs="Arial"/>
          <w:sz w:val="20"/>
        </w:rPr>
        <w:t xml:space="preserve"> on demand and on a continuing basis against any liability, including without limitation any interest, penalties or costs, which are suffered or incurred by or levied, demanded or assessed on the </w:t>
      </w:r>
      <w:r w:rsidR="007D1596" w:rsidRPr="00EB5E38">
        <w:rPr>
          <w:rFonts w:cs="Arial"/>
          <w:sz w:val="20"/>
        </w:rPr>
        <w:t>Customer</w:t>
      </w:r>
      <w:r w:rsidRPr="00EB5E38">
        <w:rPr>
          <w:rFonts w:cs="Arial"/>
          <w:sz w:val="20"/>
        </w:rPr>
        <w:t xml:space="preserve"> at any time in respect of the </w:t>
      </w:r>
      <w:r w:rsidR="004104F4" w:rsidRPr="00EB5E38">
        <w:rPr>
          <w:rFonts w:cs="Arial"/>
          <w:sz w:val="20"/>
        </w:rPr>
        <w:t>Supplier</w:t>
      </w:r>
      <w:r w:rsidRPr="00EB5E38">
        <w:rPr>
          <w:rFonts w:cs="Arial"/>
          <w:sz w:val="20"/>
        </w:rPr>
        <w:t xml:space="preserve">'s failure to account for or to pay any VAT relating to payments made to the </w:t>
      </w:r>
      <w:r w:rsidR="004104F4" w:rsidRPr="00EB5E38">
        <w:rPr>
          <w:rFonts w:cs="Arial"/>
          <w:sz w:val="20"/>
        </w:rPr>
        <w:t>Supplier</w:t>
      </w:r>
      <w:r w:rsidRPr="00EB5E38">
        <w:rPr>
          <w:rFonts w:cs="Arial"/>
          <w:sz w:val="20"/>
        </w:rPr>
        <w:t xml:space="preserve"> under the Contract. Any amounts due under this </w:t>
      </w:r>
      <w:r w:rsidR="00E6002D" w:rsidRPr="00EB5E38">
        <w:rPr>
          <w:rFonts w:cs="Arial"/>
          <w:sz w:val="20"/>
        </w:rPr>
        <w:t>Clause </w:t>
      </w:r>
      <w:r w:rsidR="00B014A2" w:rsidRPr="00EB5E38">
        <w:rPr>
          <w:rFonts w:cs="Arial"/>
          <w:sz w:val="20"/>
        </w:rPr>
        <w:t>3.1.5</w:t>
      </w:r>
      <w:r w:rsidRPr="00EB5E38">
        <w:rPr>
          <w:rFonts w:cs="Arial"/>
          <w:sz w:val="20"/>
        </w:rPr>
        <w:t xml:space="preserve"> shall be paid by the </w:t>
      </w:r>
      <w:r w:rsidR="004104F4" w:rsidRPr="00EB5E38">
        <w:rPr>
          <w:rFonts w:cs="Arial"/>
          <w:sz w:val="20"/>
        </w:rPr>
        <w:t>Supplier</w:t>
      </w:r>
      <w:r w:rsidRPr="00EB5E38">
        <w:rPr>
          <w:rFonts w:cs="Arial"/>
          <w:sz w:val="20"/>
        </w:rPr>
        <w:t xml:space="preserve"> to the </w:t>
      </w:r>
      <w:r w:rsidR="007D1596" w:rsidRPr="00EB5E38">
        <w:rPr>
          <w:rFonts w:cs="Arial"/>
          <w:sz w:val="20"/>
        </w:rPr>
        <w:t>Customer</w:t>
      </w:r>
      <w:r w:rsidRPr="00EB5E38">
        <w:rPr>
          <w:rFonts w:cs="Arial"/>
          <w:sz w:val="20"/>
        </w:rPr>
        <w:t xml:space="preserve"> not less than five (5) Working Days before the date upon which the tax or other liability is payable by the </w:t>
      </w:r>
      <w:bookmarkEnd w:id="60"/>
      <w:r w:rsidR="007D1596" w:rsidRPr="00EB5E38">
        <w:rPr>
          <w:rFonts w:cs="Arial"/>
          <w:sz w:val="20"/>
        </w:rPr>
        <w:t>Customer</w:t>
      </w:r>
      <w:r w:rsidRPr="00EB5E38">
        <w:rPr>
          <w:rFonts w:cs="Arial"/>
          <w:sz w:val="20"/>
        </w:rPr>
        <w:t>.</w:t>
      </w:r>
    </w:p>
    <w:p w14:paraId="6C6837DC" w14:textId="77777777" w:rsidR="00F807DC" w:rsidRPr="00EB5E38" w:rsidRDefault="007562F7">
      <w:pPr>
        <w:pStyle w:val="Heading2"/>
        <w:keepNext/>
        <w:rPr>
          <w:rFonts w:cs="Arial"/>
          <w:b/>
          <w:sz w:val="20"/>
        </w:rPr>
      </w:pPr>
      <w:bookmarkStart w:id="61" w:name="_Ref313364329"/>
      <w:r w:rsidRPr="00EB5E38">
        <w:rPr>
          <w:rFonts w:cs="Arial"/>
          <w:b/>
          <w:sz w:val="20"/>
        </w:rPr>
        <w:t>Payment</w:t>
      </w:r>
      <w:bookmarkEnd w:id="61"/>
    </w:p>
    <w:p w14:paraId="6C6837DD"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pay all sums properly due and payable to the </w:t>
      </w:r>
      <w:r w:rsidR="004104F4" w:rsidRPr="00EB5E38">
        <w:rPr>
          <w:rFonts w:cs="Arial"/>
          <w:sz w:val="20"/>
        </w:rPr>
        <w:t>Supplier</w:t>
      </w:r>
      <w:r w:rsidRPr="00EB5E38">
        <w:rPr>
          <w:rFonts w:cs="Arial"/>
          <w:sz w:val="20"/>
        </w:rPr>
        <w:t xml:space="preserve"> </w:t>
      </w:r>
      <w:r w:rsidR="007657FB" w:rsidRPr="00EB5E38">
        <w:rPr>
          <w:rFonts w:cs="Arial"/>
          <w:sz w:val="20"/>
        </w:rPr>
        <w:t xml:space="preserve">in respect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in cleared funds </w:t>
      </w:r>
      <w:r w:rsidR="007657FB" w:rsidRPr="00EB5E38">
        <w:rPr>
          <w:rFonts w:cs="Arial"/>
          <w:sz w:val="20"/>
        </w:rPr>
        <w:t xml:space="preserve">by no later than </w:t>
      </w:r>
      <w:r w:rsidR="00D80835" w:rsidRPr="00EB5E38">
        <w:rPr>
          <w:rFonts w:cs="Arial"/>
          <w:sz w:val="20"/>
        </w:rPr>
        <w:t>thirty (</w:t>
      </w:r>
      <w:r w:rsidR="007657FB" w:rsidRPr="00EB5E38">
        <w:rPr>
          <w:rFonts w:cs="Arial"/>
          <w:sz w:val="20"/>
        </w:rPr>
        <w:t>30</w:t>
      </w:r>
      <w:r w:rsidR="00D80835" w:rsidRPr="00EB5E38">
        <w:rPr>
          <w:rFonts w:cs="Arial"/>
          <w:sz w:val="20"/>
        </w:rPr>
        <w:t xml:space="preserve">) calendar </w:t>
      </w:r>
      <w:r w:rsidR="007657FB" w:rsidRPr="00EB5E38">
        <w:rPr>
          <w:rFonts w:cs="Arial"/>
          <w:sz w:val="20"/>
        </w:rPr>
        <w:t xml:space="preserve">days after the date of </w:t>
      </w:r>
      <w:r w:rsidR="004C0456" w:rsidRPr="00EB5E38">
        <w:rPr>
          <w:rFonts w:cs="Arial"/>
          <w:sz w:val="20"/>
        </w:rPr>
        <w:t>a validly issued</w:t>
      </w:r>
      <w:r w:rsidR="007657FB" w:rsidRPr="00EB5E38">
        <w:rPr>
          <w:rFonts w:cs="Arial"/>
          <w:sz w:val="20"/>
        </w:rPr>
        <w:t xml:space="preserve"> invoice </w:t>
      </w:r>
      <w:r w:rsidR="007B35D4" w:rsidRPr="00EB5E38">
        <w:rPr>
          <w:rFonts w:cs="Arial"/>
          <w:sz w:val="20"/>
        </w:rPr>
        <w:t>for such sums</w:t>
      </w:r>
      <w:r w:rsidR="00BC6D91" w:rsidRPr="00EB5E38">
        <w:rPr>
          <w:rFonts w:cs="Arial"/>
          <w:sz w:val="20"/>
        </w:rPr>
        <w:t>.</w:t>
      </w:r>
      <w:r w:rsidRPr="00EB5E38">
        <w:rPr>
          <w:rFonts w:cs="Arial"/>
          <w:sz w:val="20"/>
        </w:rPr>
        <w:t xml:space="preserve"> </w:t>
      </w:r>
    </w:p>
    <w:p w14:paraId="6C6837DE" w14:textId="77777777" w:rsidR="00D80835" w:rsidRPr="00EB5E38" w:rsidRDefault="007562F7" w:rsidP="001243F1">
      <w:pPr>
        <w:pStyle w:val="Heading3"/>
        <w:rPr>
          <w:rFonts w:cs="Arial"/>
          <w:sz w:val="20"/>
        </w:rPr>
      </w:pPr>
      <w:bookmarkStart w:id="62" w:name="_Ref313372286"/>
      <w:r w:rsidRPr="00EB5E38">
        <w:rPr>
          <w:rFonts w:cs="Arial"/>
          <w:sz w:val="20"/>
        </w:rPr>
        <w:t xml:space="preserve">The </w:t>
      </w:r>
      <w:r w:rsidR="004104F4" w:rsidRPr="00EB5E38">
        <w:rPr>
          <w:rFonts w:cs="Arial"/>
          <w:sz w:val="20"/>
        </w:rPr>
        <w:t>Supplier</w:t>
      </w:r>
      <w:r w:rsidRPr="00EB5E38">
        <w:rPr>
          <w:rFonts w:cs="Arial"/>
          <w:sz w:val="20"/>
        </w:rPr>
        <w:t xml:space="preserve"> shall ensure that each invoice (whether submitted electronically or in a paper form) contains all appropriate references and a detailed breakdown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provided </w:t>
      </w:r>
      <w:r w:rsidR="00D80835" w:rsidRPr="00EB5E38">
        <w:rPr>
          <w:rFonts w:cs="Arial"/>
          <w:sz w:val="20"/>
        </w:rPr>
        <w:t xml:space="preserve">and any disbursements </w:t>
      </w:r>
      <w:r w:rsidRPr="00EB5E38">
        <w:rPr>
          <w:rFonts w:cs="Arial"/>
          <w:sz w:val="20"/>
        </w:rPr>
        <w:t xml:space="preserve">and that it is supported by </w:t>
      </w:r>
      <w:r w:rsidR="007657FB" w:rsidRPr="00EB5E38">
        <w:rPr>
          <w:rFonts w:cs="Arial"/>
          <w:sz w:val="20"/>
        </w:rPr>
        <w:t>such</w:t>
      </w:r>
      <w:r w:rsidRPr="00EB5E38">
        <w:rPr>
          <w:rFonts w:cs="Arial"/>
          <w:sz w:val="20"/>
        </w:rPr>
        <w:t xml:space="preserve"> other documentation </w:t>
      </w:r>
      <w:r w:rsidR="007657FB" w:rsidRPr="00EB5E38">
        <w:rPr>
          <w:rFonts w:cs="Arial"/>
          <w:sz w:val="20"/>
        </w:rPr>
        <w:t xml:space="preserve">as may </w:t>
      </w:r>
      <w:r w:rsidRPr="00EB5E38">
        <w:rPr>
          <w:rFonts w:cs="Arial"/>
          <w:sz w:val="20"/>
        </w:rPr>
        <w:t xml:space="preserve">reasonably </w:t>
      </w:r>
      <w:r w:rsidR="007657FB" w:rsidRPr="00EB5E38">
        <w:rPr>
          <w:rFonts w:cs="Arial"/>
          <w:sz w:val="20"/>
        </w:rPr>
        <w:t xml:space="preserve">be </w:t>
      </w:r>
      <w:r w:rsidRPr="00EB5E38">
        <w:rPr>
          <w:rFonts w:cs="Arial"/>
          <w:sz w:val="20"/>
        </w:rPr>
        <w:t xml:space="preserve">required by the </w:t>
      </w:r>
      <w:r w:rsidR="007D1596" w:rsidRPr="00EB5E38">
        <w:rPr>
          <w:rFonts w:cs="Arial"/>
          <w:sz w:val="20"/>
        </w:rPr>
        <w:t>Customer</w:t>
      </w:r>
      <w:r w:rsidRPr="00EB5E38">
        <w:rPr>
          <w:rFonts w:cs="Arial"/>
          <w:sz w:val="20"/>
        </w:rPr>
        <w:t xml:space="preserve"> to substantiate the invoice.</w:t>
      </w:r>
      <w:bookmarkEnd w:id="62"/>
      <w:r w:rsidRPr="00EB5E38">
        <w:rPr>
          <w:rFonts w:cs="Arial"/>
          <w:sz w:val="20"/>
        </w:rPr>
        <w:t xml:space="preserve"> </w:t>
      </w:r>
    </w:p>
    <w:p w14:paraId="6C6837DF" w14:textId="77777777" w:rsidR="00F807DC" w:rsidRPr="00EB5E38" w:rsidRDefault="007562F7" w:rsidP="001243F1">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ensure that all invoices submitted to the </w:t>
      </w:r>
      <w:r w:rsidR="007D1596" w:rsidRPr="00EB5E38">
        <w:rPr>
          <w:rFonts w:cs="Arial"/>
          <w:sz w:val="20"/>
        </w:rPr>
        <w:t>Customer</w:t>
      </w:r>
      <w:r w:rsidR="007657FB" w:rsidRPr="00EB5E38">
        <w:rPr>
          <w:rFonts w:cs="Arial"/>
          <w:sz w:val="20"/>
        </w:rPr>
        <w:t xml:space="preserve"> </w:t>
      </w:r>
      <w:r w:rsidR="00D80835" w:rsidRPr="00EB5E38">
        <w:rPr>
          <w:rFonts w:cs="Arial"/>
          <w:sz w:val="20"/>
        </w:rPr>
        <w:t xml:space="preserve">for </w:t>
      </w:r>
      <w:r w:rsidR="00162C54" w:rsidRPr="00EB5E38">
        <w:rPr>
          <w:rFonts w:cs="Arial"/>
          <w:sz w:val="20"/>
        </w:rPr>
        <w:t>Contract Services</w:t>
      </w:r>
      <w:r w:rsidR="00706BB4" w:rsidRPr="00EB5E38">
        <w:rPr>
          <w:rFonts w:cs="Arial"/>
          <w:sz w:val="20"/>
        </w:rPr>
        <w:t xml:space="preserve"> </w:t>
      </w:r>
      <w:r w:rsidR="007657FB" w:rsidRPr="00EB5E38">
        <w:rPr>
          <w:rFonts w:cs="Arial"/>
          <w:sz w:val="20"/>
        </w:rPr>
        <w:t>are exclusive of the M</w:t>
      </w:r>
      <w:r w:rsidRPr="00EB5E38">
        <w:rPr>
          <w:rFonts w:cs="Arial"/>
          <w:sz w:val="20"/>
        </w:rPr>
        <w:t xml:space="preserve">anagement </w:t>
      </w:r>
      <w:r w:rsidR="007657FB" w:rsidRPr="00EB5E38">
        <w:rPr>
          <w:rFonts w:cs="Arial"/>
          <w:color w:val="000000"/>
          <w:sz w:val="20"/>
        </w:rPr>
        <w:t>Charge</w:t>
      </w:r>
      <w:r w:rsidR="00D80835" w:rsidRPr="00EB5E38">
        <w:rPr>
          <w:rFonts w:cs="Arial"/>
          <w:color w:val="000000"/>
          <w:sz w:val="20"/>
        </w:rPr>
        <w:t xml:space="preserve"> payable to the Authority in respect of the </w:t>
      </w:r>
      <w:r w:rsidR="00AB51E9" w:rsidRPr="00EB5E38">
        <w:rPr>
          <w:rFonts w:cs="Arial"/>
          <w:color w:val="000000"/>
          <w:sz w:val="20"/>
        </w:rPr>
        <w:t>Contract Services</w:t>
      </w:r>
      <w:r w:rsidRPr="00EB5E38">
        <w:rPr>
          <w:rFonts w:cs="Arial"/>
          <w:color w:val="000000"/>
          <w:sz w:val="20"/>
        </w:rPr>
        <w:t xml:space="preserve">. The </w:t>
      </w:r>
      <w:r w:rsidR="004104F4" w:rsidRPr="00EB5E38">
        <w:rPr>
          <w:rFonts w:cs="Arial"/>
          <w:color w:val="000000"/>
          <w:sz w:val="20"/>
        </w:rPr>
        <w:t>Supplier</w:t>
      </w:r>
      <w:r w:rsidRPr="00EB5E38">
        <w:rPr>
          <w:rFonts w:cs="Arial"/>
          <w:color w:val="000000"/>
          <w:sz w:val="20"/>
        </w:rPr>
        <w:t xml:space="preserve"> shall not </w:t>
      </w:r>
      <w:r w:rsidR="007657FB" w:rsidRPr="00EB5E38">
        <w:rPr>
          <w:rFonts w:cs="Arial"/>
          <w:color w:val="000000"/>
          <w:sz w:val="20"/>
        </w:rPr>
        <w:t xml:space="preserve">be entitled to increase the </w:t>
      </w:r>
      <w:r w:rsidR="00AB51E9" w:rsidRPr="00EB5E38">
        <w:rPr>
          <w:rFonts w:cs="Arial"/>
          <w:color w:val="000000"/>
          <w:sz w:val="20"/>
        </w:rPr>
        <w:t>Contract Charges</w:t>
      </w:r>
      <w:r w:rsidR="007657FB" w:rsidRPr="00EB5E38">
        <w:rPr>
          <w:rFonts w:cs="Arial"/>
          <w:color w:val="000000"/>
          <w:sz w:val="20"/>
        </w:rPr>
        <w:t xml:space="preserve"> </w:t>
      </w:r>
      <w:r w:rsidR="00D80835" w:rsidRPr="00EB5E38">
        <w:rPr>
          <w:rFonts w:cs="Arial"/>
          <w:color w:val="000000"/>
          <w:sz w:val="20"/>
        </w:rPr>
        <w:t xml:space="preserve">by an amount equal to such Management Charge </w:t>
      </w:r>
      <w:r w:rsidRPr="00EB5E38">
        <w:rPr>
          <w:rFonts w:cs="Arial"/>
          <w:color w:val="000000"/>
          <w:sz w:val="20"/>
        </w:rPr>
        <w:t xml:space="preserve">or </w:t>
      </w:r>
      <w:r w:rsidR="00D80835" w:rsidRPr="00EB5E38">
        <w:rPr>
          <w:rFonts w:cs="Arial"/>
          <w:color w:val="000000"/>
          <w:sz w:val="20"/>
        </w:rPr>
        <w:t xml:space="preserve">to </w:t>
      </w:r>
      <w:r w:rsidRPr="00EB5E38">
        <w:rPr>
          <w:rFonts w:cs="Arial"/>
          <w:color w:val="000000"/>
          <w:sz w:val="20"/>
        </w:rPr>
        <w:t xml:space="preserve">recover </w:t>
      </w:r>
      <w:r w:rsidR="00D80835" w:rsidRPr="00EB5E38">
        <w:rPr>
          <w:rFonts w:cs="Arial"/>
          <w:color w:val="000000"/>
          <w:sz w:val="20"/>
        </w:rPr>
        <w:t xml:space="preserve">such Management Charge </w:t>
      </w:r>
      <w:r w:rsidRPr="00EB5E38">
        <w:rPr>
          <w:rFonts w:cs="Arial"/>
          <w:color w:val="000000"/>
          <w:sz w:val="20"/>
        </w:rPr>
        <w:t xml:space="preserve">as a surcharge </w:t>
      </w:r>
      <w:r w:rsidR="00D80835" w:rsidRPr="00EB5E38">
        <w:rPr>
          <w:rFonts w:cs="Arial"/>
          <w:color w:val="000000"/>
          <w:sz w:val="20"/>
        </w:rPr>
        <w:t>or disbursement</w:t>
      </w:r>
      <w:r w:rsidRPr="00EB5E38">
        <w:rPr>
          <w:rFonts w:cs="Arial"/>
          <w:color w:val="1F497D"/>
          <w:sz w:val="20"/>
        </w:rPr>
        <w:t>.</w:t>
      </w:r>
    </w:p>
    <w:p w14:paraId="6C6837E0" w14:textId="77777777" w:rsidR="00C93116" w:rsidRPr="00EB5E38" w:rsidRDefault="00C93116" w:rsidP="00C93116">
      <w:pPr>
        <w:pStyle w:val="Heading3"/>
        <w:rPr>
          <w:rFonts w:cs="Arial"/>
          <w:sz w:val="20"/>
        </w:rPr>
      </w:pPr>
      <w:r w:rsidRPr="00EB5E38">
        <w:rPr>
          <w:rFonts w:cs="Arial"/>
          <w:sz w:val="20"/>
        </w:rPr>
        <w:lastRenderedPageBreak/>
        <w:t xml:space="preserve">The </w:t>
      </w:r>
      <w:r w:rsidR="004104F4" w:rsidRPr="00EB5E38">
        <w:rPr>
          <w:rFonts w:cs="Arial"/>
          <w:sz w:val="20"/>
        </w:rPr>
        <w:t>Supplier</w:t>
      </w:r>
      <w:r w:rsidRPr="00EB5E38">
        <w:rPr>
          <w:rFonts w:cs="Arial"/>
          <w:sz w:val="20"/>
        </w:rPr>
        <w:t xml:space="preserve"> shall make any payments due to the </w:t>
      </w:r>
      <w:r w:rsidR="007D1596" w:rsidRPr="00EB5E38">
        <w:rPr>
          <w:rFonts w:cs="Arial"/>
          <w:sz w:val="20"/>
        </w:rPr>
        <w:t>Customer</w:t>
      </w:r>
      <w:r w:rsidRPr="00EB5E38">
        <w:rPr>
          <w:rFonts w:cs="Arial"/>
          <w:sz w:val="20"/>
        </w:rPr>
        <w:t xml:space="preserve"> without any deduction whether by way of set-off, counterclaim, discount, abatement or otherwise unless the </w:t>
      </w:r>
      <w:r w:rsidR="004104F4" w:rsidRPr="00EB5E38">
        <w:rPr>
          <w:rFonts w:cs="Arial"/>
          <w:sz w:val="20"/>
        </w:rPr>
        <w:t>Supplier</w:t>
      </w:r>
      <w:r w:rsidRPr="00EB5E38">
        <w:rPr>
          <w:rFonts w:cs="Arial"/>
          <w:sz w:val="20"/>
        </w:rPr>
        <w:t xml:space="preserve"> has a valid court order requiring an amount equal to such deduction to be paid by the </w:t>
      </w:r>
      <w:r w:rsidR="007D1596" w:rsidRPr="00EB5E38">
        <w:rPr>
          <w:rFonts w:cs="Arial"/>
          <w:sz w:val="20"/>
        </w:rPr>
        <w:t>Customer</w:t>
      </w:r>
      <w:r w:rsidRPr="00EB5E38">
        <w:rPr>
          <w:rFonts w:cs="Arial"/>
          <w:sz w:val="20"/>
        </w:rPr>
        <w:t xml:space="preserve"> to the </w:t>
      </w:r>
      <w:r w:rsidR="004104F4" w:rsidRPr="00EB5E38">
        <w:rPr>
          <w:rFonts w:cs="Arial"/>
          <w:sz w:val="20"/>
        </w:rPr>
        <w:t>Supplier</w:t>
      </w:r>
      <w:r w:rsidRPr="00EB5E38">
        <w:rPr>
          <w:rFonts w:cs="Arial"/>
          <w:sz w:val="20"/>
        </w:rPr>
        <w:t>.</w:t>
      </w:r>
    </w:p>
    <w:p w14:paraId="6C6837E1" w14:textId="77777777" w:rsidR="00F807DC" w:rsidRPr="00EB5E38" w:rsidRDefault="00B014A2">
      <w:pPr>
        <w:pStyle w:val="Heading3"/>
        <w:rPr>
          <w:rFonts w:cs="Arial"/>
          <w:sz w:val="20"/>
        </w:rPr>
      </w:pPr>
      <w:r w:rsidRPr="00EB5E38">
        <w:rPr>
          <w:rFonts w:cs="Arial"/>
          <w:sz w:val="20"/>
        </w:rPr>
        <w:t>Subject always to the provisions of Clause 14, i</w:t>
      </w:r>
      <w:r w:rsidR="00D80835" w:rsidRPr="00EB5E38">
        <w:rPr>
          <w:rFonts w:cs="Arial"/>
          <w:sz w:val="20"/>
        </w:rPr>
        <w:t>f</w:t>
      </w:r>
      <w:r w:rsidR="007562F7" w:rsidRPr="00EB5E38">
        <w:rPr>
          <w:rFonts w:cs="Arial"/>
          <w:sz w:val="20"/>
        </w:rPr>
        <w:t xml:space="preserve"> the </w:t>
      </w:r>
      <w:r w:rsidR="004104F4" w:rsidRPr="00EB5E38">
        <w:rPr>
          <w:rFonts w:cs="Arial"/>
          <w:sz w:val="20"/>
        </w:rPr>
        <w:t>Supplier</w:t>
      </w:r>
      <w:r w:rsidR="007562F7" w:rsidRPr="00EB5E38">
        <w:rPr>
          <w:rFonts w:cs="Arial"/>
          <w:sz w:val="20"/>
        </w:rPr>
        <w:t xml:space="preserve"> enters into a Sub-Contract </w:t>
      </w:r>
      <w:r w:rsidR="00D80835" w:rsidRPr="00EB5E38">
        <w:rPr>
          <w:rFonts w:cs="Arial"/>
          <w:sz w:val="20"/>
        </w:rPr>
        <w:t xml:space="preserve">in respect of the </w:t>
      </w:r>
      <w:r w:rsidR="00AB51E9" w:rsidRPr="00EB5E38">
        <w:rPr>
          <w:rFonts w:cs="Arial"/>
          <w:sz w:val="20"/>
        </w:rPr>
        <w:t>Contract Services</w:t>
      </w:r>
      <w:r w:rsidR="00D80835" w:rsidRPr="00EB5E38">
        <w:rPr>
          <w:rFonts w:cs="Arial"/>
          <w:sz w:val="20"/>
        </w:rPr>
        <w:t xml:space="preserve">, </w:t>
      </w:r>
      <w:r w:rsidR="007562F7" w:rsidRPr="00EB5E38">
        <w:rPr>
          <w:rFonts w:cs="Arial"/>
          <w:sz w:val="20"/>
        </w:rPr>
        <w:t xml:space="preserve">it shall ensure that a provision is included in such Sub-Contract which requires payment to be made of all sums due by the </w:t>
      </w:r>
      <w:r w:rsidR="004104F4" w:rsidRPr="00EB5E38">
        <w:rPr>
          <w:rFonts w:cs="Arial"/>
          <w:sz w:val="20"/>
        </w:rPr>
        <w:t>Supplier</w:t>
      </w:r>
      <w:r w:rsidR="007562F7" w:rsidRPr="00EB5E38">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EB5E38" w:rsidRDefault="007562F7">
      <w:pPr>
        <w:pStyle w:val="Heading3"/>
        <w:rPr>
          <w:rFonts w:cs="Arial"/>
          <w:sz w:val="20"/>
        </w:rPr>
      </w:pPr>
      <w:bookmarkStart w:id="63" w:name="_Ref313370735"/>
      <w:r w:rsidRPr="00EB5E38">
        <w:rPr>
          <w:rFonts w:cs="Arial"/>
          <w:sz w:val="20"/>
        </w:rPr>
        <w:t xml:space="preserve">The </w:t>
      </w:r>
      <w:r w:rsidR="004104F4" w:rsidRPr="00EB5E38">
        <w:rPr>
          <w:rFonts w:cs="Arial"/>
          <w:sz w:val="20"/>
        </w:rPr>
        <w:t>Supplier</w:t>
      </w:r>
      <w:r w:rsidRPr="00EB5E38">
        <w:rPr>
          <w:rFonts w:cs="Arial"/>
          <w:sz w:val="20"/>
        </w:rPr>
        <w:t xml:space="preserve"> shall not suspend the supply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unless the </w:t>
      </w:r>
      <w:r w:rsidR="004104F4" w:rsidRPr="00EB5E38">
        <w:rPr>
          <w:rFonts w:cs="Arial"/>
          <w:sz w:val="20"/>
        </w:rPr>
        <w:t>Supplier</w:t>
      </w:r>
      <w:r w:rsidRPr="00EB5E38">
        <w:rPr>
          <w:rFonts w:cs="Arial"/>
          <w:sz w:val="20"/>
        </w:rPr>
        <w:t xml:space="preserve"> is entitled to terminate the Contract under </w:t>
      </w:r>
      <w:r w:rsidR="00E6002D" w:rsidRPr="00EB5E38">
        <w:rPr>
          <w:rFonts w:cs="Arial"/>
          <w:sz w:val="20"/>
        </w:rPr>
        <w:t>Clause </w:t>
      </w:r>
      <w:r w:rsidR="00D71A7A" w:rsidRPr="00EB5E38">
        <w:rPr>
          <w:rFonts w:cs="Arial"/>
          <w:sz w:val="20"/>
        </w:rPr>
        <w:t>8.2.2</w:t>
      </w:r>
      <w:r w:rsidR="004C0456" w:rsidRPr="00EB5E38">
        <w:rPr>
          <w:rFonts w:cs="Arial"/>
          <w:sz w:val="20"/>
        </w:rPr>
        <w:t xml:space="preserve"> on the grounds of the</w:t>
      </w:r>
      <w:r w:rsidRPr="00EB5E38">
        <w:rPr>
          <w:rFonts w:cs="Arial"/>
          <w:sz w:val="20"/>
        </w:rPr>
        <w:t xml:space="preserve"> </w:t>
      </w:r>
      <w:r w:rsidR="007D1596" w:rsidRPr="00EB5E38">
        <w:rPr>
          <w:rFonts w:cs="Arial"/>
          <w:sz w:val="20"/>
        </w:rPr>
        <w:t>Customer</w:t>
      </w:r>
      <w:r w:rsidRPr="00EB5E38">
        <w:rPr>
          <w:rFonts w:cs="Arial"/>
          <w:sz w:val="20"/>
        </w:rPr>
        <w:t xml:space="preserve">’s failure to pay undisputed sums of money.  Interest shall be payable by the </w:t>
      </w:r>
      <w:r w:rsidR="007D1596" w:rsidRPr="00EB5E38">
        <w:rPr>
          <w:rFonts w:cs="Arial"/>
          <w:sz w:val="20"/>
        </w:rPr>
        <w:t>Customer</w:t>
      </w:r>
      <w:r w:rsidRPr="00EB5E38">
        <w:rPr>
          <w:rFonts w:cs="Arial"/>
          <w:sz w:val="20"/>
        </w:rPr>
        <w:t xml:space="preserve"> </w:t>
      </w:r>
      <w:r w:rsidR="00C93116" w:rsidRPr="00EB5E38">
        <w:rPr>
          <w:rFonts w:cs="Arial"/>
          <w:sz w:val="20"/>
        </w:rPr>
        <w:t xml:space="preserve">in accordance with the Late Payment of Commercial Debts (Interest) Act 1998 </w:t>
      </w:r>
      <w:r w:rsidRPr="00EB5E38">
        <w:rPr>
          <w:rFonts w:cs="Arial"/>
          <w:sz w:val="20"/>
        </w:rPr>
        <w:t>on the late payment of any undisputed sums of money properly invoiced</w:t>
      </w:r>
      <w:r w:rsidR="00C93116" w:rsidRPr="00EB5E38">
        <w:rPr>
          <w:rFonts w:cs="Arial"/>
          <w:sz w:val="20"/>
        </w:rPr>
        <w:t xml:space="preserve"> by the </w:t>
      </w:r>
      <w:r w:rsidR="004104F4" w:rsidRPr="00EB5E38">
        <w:rPr>
          <w:rFonts w:cs="Arial"/>
          <w:sz w:val="20"/>
        </w:rPr>
        <w:t>Supplier</w:t>
      </w:r>
      <w:r w:rsidR="00C93116" w:rsidRPr="00EB5E38">
        <w:rPr>
          <w:rFonts w:cs="Arial"/>
          <w:sz w:val="20"/>
        </w:rPr>
        <w:t xml:space="preserve"> in respect of the </w:t>
      </w:r>
      <w:r w:rsidR="00AB51E9" w:rsidRPr="00EB5E38">
        <w:rPr>
          <w:rFonts w:cs="Arial"/>
          <w:sz w:val="20"/>
        </w:rPr>
        <w:t>Contract Services</w:t>
      </w:r>
      <w:r w:rsidRPr="00EB5E38">
        <w:rPr>
          <w:rFonts w:cs="Arial"/>
          <w:sz w:val="20"/>
        </w:rPr>
        <w:t>.</w:t>
      </w:r>
      <w:bookmarkEnd w:id="63"/>
    </w:p>
    <w:p w14:paraId="6C6837E3" w14:textId="77777777" w:rsidR="001243F1" w:rsidRPr="00EB5E38" w:rsidRDefault="007562F7" w:rsidP="001243F1">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accept the Government Procurement Card as a means of payment for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where such card is agreed with the </w:t>
      </w:r>
      <w:r w:rsidR="007D1596" w:rsidRPr="00EB5E38">
        <w:rPr>
          <w:rFonts w:cs="Arial"/>
          <w:sz w:val="20"/>
        </w:rPr>
        <w:t>Customer</w:t>
      </w:r>
      <w:r w:rsidRPr="00EB5E38">
        <w:rPr>
          <w:rFonts w:cs="Arial"/>
          <w:sz w:val="20"/>
        </w:rPr>
        <w:t xml:space="preserve"> to be a suitable means of payment. </w:t>
      </w:r>
      <w:r w:rsidR="004C0456" w:rsidRPr="00EB5E38">
        <w:rPr>
          <w:rFonts w:cs="Arial"/>
          <w:sz w:val="20"/>
        </w:rPr>
        <w:t xml:space="preserve"> </w:t>
      </w:r>
      <w:r w:rsidRPr="00EB5E38">
        <w:rPr>
          <w:rFonts w:cs="Arial"/>
          <w:sz w:val="20"/>
        </w:rPr>
        <w:t xml:space="preserve">The </w:t>
      </w:r>
      <w:r w:rsidR="004104F4" w:rsidRPr="00EB5E38">
        <w:rPr>
          <w:rFonts w:cs="Arial"/>
          <w:sz w:val="20"/>
        </w:rPr>
        <w:t>Supplier</w:t>
      </w:r>
      <w:r w:rsidRPr="00EB5E38">
        <w:rPr>
          <w:rFonts w:cs="Arial"/>
          <w:sz w:val="20"/>
        </w:rPr>
        <w:t xml:space="preserve"> shall be solely liable to pay any merchant fee levied for using the Government Procurement Card and shall not be entitled to recover this charge from the </w:t>
      </w:r>
      <w:r w:rsidR="007D1596" w:rsidRPr="00EB5E38">
        <w:rPr>
          <w:rFonts w:cs="Arial"/>
          <w:sz w:val="20"/>
        </w:rPr>
        <w:t>Customer</w:t>
      </w:r>
      <w:r w:rsidR="00BC6D91" w:rsidRPr="00EB5E38">
        <w:rPr>
          <w:rFonts w:cs="Arial"/>
          <w:sz w:val="20"/>
        </w:rPr>
        <w:t>.</w:t>
      </w:r>
    </w:p>
    <w:p w14:paraId="6C6837E4" w14:textId="77777777" w:rsidR="00C93116" w:rsidRPr="00EB5E38" w:rsidRDefault="00C93116" w:rsidP="001243F1">
      <w:pPr>
        <w:pStyle w:val="Heading3"/>
        <w:rPr>
          <w:rFonts w:cs="Arial"/>
          <w:sz w:val="20"/>
        </w:rPr>
      </w:pPr>
      <w:r w:rsidRPr="00EB5E38">
        <w:rPr>
          <w:rFonts w:cs="Arial"/>
          <w:sz w:val="20"/>
        </w:rPr>
        <w:t>All payments due shall be made in cleared funds to such bank or building society account as the recipient Party may from time to time direct in writing.</w:t>
      </w:r>
    </w:p>
    <w:p w14:paraId="6C6837E5" w14:textId="77777777" w:rsidR="00F807DC" w:rsidRPr="00EB5E38" w:rsidRDefault="007562F7">
      <w:pPr>
        <w:pStyle w:val="Heading2"/>
        <w:keepNext/>
        <w:rPr>
          <w:rFonts w:cs="Arial"/>
          <w:b/>
          <w:sz w:val="20"/>
        </w:rPr>
      </w:pPr>
      <w:bookmarkStart w:id="64" w:name="_Ref313370178"/>
      <w:r w:rsidRPr="00EB5E38">
        <w:rPr>
          <w:rFonts w:cs="Arial"/>
          <w:b/>
          <w:sz w:val="20"/>
        </w:rPr>
        <w:t>Recovery of Sums Due</w:t>
      </w:r>
      <w:bookmarkEnd w:id="64"/>
    </w:p>
    <w:p w14:paraId="6C6837E6" w14:textId="77777777" w:rsidR="001243F1" w:rsidRPr="00EB5E38" w:rsidRDefault="007562F7" w:rsidP="001243F1">
      <w:pPr>
        <w:pStyle w:val="Heading3"/>
        <w:rPr>
          <w:rFonts w:cs="Arial"/>
          <w:sz w:val="20"/>
        </w:rPr>
      </w:pPr>
      <w:r w:rsidRPr="00EB5E38">
        <w:rPr>
          <w:rFonts w:cs="Arial"/>
          <w:sz w:val="20"/>
        </w:rPr>
        <w:t xml:space="preserve">Wherever under the Contract any sum of money is recoverable from or payable by the </w:t>
      </w:r>
      <w:r w:rsidR="004104F4" w:rsidRPr="00EB5E38">
        <w:rPr>
          <w:rFonts w:cs="Arial"/>
          <w:sz w:val="20"/>
        </w:rPr>
        <w:t>Supplier</w:t>
      </w:r>
      <w:r w:rsidRPr="00EB5E38">
        <w:rPr>
          <w:rFonts w:cs="Arial"/>
          <w:sz w:val="20"/>
        </w:rPr>
        <w:t xml:space="preserve"> (including any sum which the </w:t>
      </w:r>
      <w:r w:rsidR="004104F4" w:rsidRPr="00EB5E38">
        <w:rPr>
          <w:rFonts w:cs="Arial"/>
          <w:sz w:val="20"/>
        </w:rPr>
        <w:t>Supplier</w:t>
      </w:r>
      <w:r w:rsidRPr="00EB5E38">
        <w:rPr>
          <w:rFonts w:cs="Arial"/>
          <w:sz w:val="20"/>
        </w:rPr>
        <w:t xml:space="preserve"> is liable to pay to the </w:t>
      </w:r>
      <w:r w:rsidR="007D1596" w:rsidRPr="00EB5E38">
        <w:rPr>
          <w:rFonts w:cs="Arial"/>
          <w:sz w:val="20"/>
        </w:rPr>
        <w:t>Customer</w:t>
      </w:r>
      <w:r w:rsidRPr="00EB5E38">
        <w:rPr>
          <w:rFonts w:cs="Arial"/>
          <w:sz w:val="20"/>
        </w:rPr>
        <w:t xml:space="preserve"> in respect of any breach of the Contract), the </w:t>
      </w:r>
      <w:r w:rsidR="007D1596" w:rsidRPr="00EB5E38">
        <w:rPr>
          <w:rFonts w:cs="Arial"/>
          <w:sz w:val="20"/>
        </w:rPr>
        <w:t>Customer</w:t>
      </w:r>
      <w:r w:rsidRPr="00EB5E38">
        <w:rPr>
          <w:rFonts w:cs="Arial"/>
          <w:sz w:val="20"/>
        </w:rPr>
        <w:t xml:space="preserve"> may unilaterally deduct that sum from any sum then due, or which at any later time may become due to the </w:t>
      </w:r>
      <w:r w:rsidR="004104F4" w:rsidRPr="00EB5E38">
        <w:rPr>
          <w:rFonts w:cs="Arial"/>
          <w:sz w:val="20"/>
        </w:rPr>
        <w:t>Supplier</w:t>
      </w:r>
      <w:r w:rsidRPr="00EB5E38">
        <w:rPr>
          <w:rFonts w:cs="Arial"/>
          <w:sz w:val="20"/>
        </w:rPr>
        <w:t xml:space="preserve"> under </w:t>
      </w:r>
      <w:r w:rsidR="0013772A" w:rsidRPr="00EB5E38">
        <w:rPr>
          <w:rFonts w:cs="Arial"/>
          <w:sz w:val="20"/>
        </w:rPr>
        <w:t>the Contract</w:t>
      </w:r>
      <w:r w:rsidRPr="00EB5E38">
        <w:rPr>
          <w:rFonts w:cs="Arial"/>
          <w:sz w:val="20"/>
        </w:rPr>
        <w:t xml:space="preserve"> </w:t>
      </w:r>
    </w:p>
    <w:p w14:paraId="6C6837E7" w14:textId="77777777" w:rsidR="00F807DC" w:rsidRPr="00EB5E38" w:rsidRDefault="007562F7">
      <w:pPr>
        <w:pStyle w:val="Heading3"/>
        <w:rPr>
          <w:rFonts w:cs="Arial"/>
          <w:sz w:val="20"/>
        </w:rPr>
      </w:pPr>
      <w:r w:rsidRPr="00EB5E38">
        <w:rPr>
          <w:rFonts w:cs="Arial"/>
          <w:sz w:val="20"/>
        </w:rPr>
        <w:t xml:space="preserve">Any overpayment by either Party, whether of the </w:t>
      </w:r>
      <w:r w:rsidR="00AB51E9" w:rsidRPr="00EB5E38">
        <w:rPr>
          <w:rFonts w:cs="Arial"/>
          <w:sz w:val="20"/>
        </w:rPr>
        <w:t>Contract Charges</w:t>
      </w:r>
      <w:r w:rsidRPr="00EB5E38">
        <w:rPr>
          <w:rFonts w:cs="Arial"/>
          <w:sz w:val="20"/>
        </w:rPr>
        <w:t xml:space="preserve"> or of VAT or otherwise, shall be a sum of money recoverable by the Party who made the overpayment from the Party in receipt of the overpayment. </w:t>
      </w:r>
    </w:p>
    <w:p w14:paraId="6C6837E8" w14:textId="77777777" w:rsidR="00AC4EAD" w:rsidRPr="00EB5E38" w:rsidRDefault="007B35D4">
      <w:pPr>
        <w:pStyle w:val="Heading1"/>
        <w:keepNext/>
        <w:rPr>
          <w:rFonts w:cs="Arial"/>
          <w:sz w:val="20"/>
        </w:rPr>
      </w:pPr>
      <w:bookmarkStart w:id="65" w:name="_Toc386011028"/>
      <w:bookmarkStart w:id="66" w:name="_Ref313371594"/>
      <w:r w:rsidRPr="00EB5E38">
        <w:rPr>
          <w:rFonts w:cs="Arial"/>
          <w:sz w:val="20"/>
        </w:rPr>
        <w:t>LIABILITY</w:t>
      </w:r>
      <w:r w:rsidR="003C6C6B" w:rsidRPr="00EB5E38">
        <w:rPr>
          <w:rFonts w:cs="Arial"/>
          <w:sz w:val="20"/>
        </w:rPr>
        <w:t xml:space="preserve"> AND INSURANCE</w:t>
      </w:r>
      <w:bookmarkEnd w:id="65"/>
    </w:p>
    <w:p w14:paraId="6C6837E9" w14:textId="77777777" w:rsidR="003C6C6B" w:rsidRPr="00EB5E38" w:rsidRDefault="003C6C6B" w:rsidP="003C6C6B">
      <w:pPr>
        <w:pStyle w:val="Heading2"/>
        <w:keepNext/>
        <w:rPr>
          <w:rFonts w:cs="Arial"/>
          <w:b/>
          <w:sz w:val="20"/>
        </w:rPr>
      </w:pPr>
      <w:r w:rsidRPr="00EB5E38">
        <w:rPr>
          <w:rFonts w:cs="Arial"/>
          <w:b/>
          <w:sz w:val="20"/>
        </w:rPr>
        <w:t>Liability</w:t>
      </w:r>
    </w:p>
    <w:p w14:paraId="6C6837EA" w14:textId="77777777" w:rsidR="00CB2406" w:rsidRPr="00EB5E38" w:rsidRDefault="00CB2406" w:rsidP="00CB2406">
      <w:pPr>
        <w:pStyle w:val="Heading3"/>
        <w:rPr>
          <w:sz w:val="20"/>
        </w:rPr>
      </w:pPr>
      <w:bookmarkStart w:id="67" w:name="_Ref311654936"/>
      <w:r w:rsidRPr="00EB5E38">
        <w:rPr>
          <w:sz w:val="20"/>
        </w:rPr>
        <w:t>Neither Party excludes or limits its liability for:</w:t>
      </w:r>
      <w:bookmarkEnd w:id="67"/>
    </w:p>
    <w:p w14:paraId="6C6837EB" w14:textId="77777777" w:rsidR="00CB2406" w:rsidRPr="00EB5E38" w:rsidRDefault="00CB2406" w:rsidP="00880E10">
      <w:pPr>
        <w:pStyle w:val="Heading4"/>
      </w:pPr>
      <w:r w:rsidRPr="00EB5E38">
        <w:t>death or personal injury; or</w:t>
      </w:r>
    </w:p>
    <w:p w14:paraId="6C6837EC" w14:textId="77777777" w:rsidR="00CB2406" w:rsidRPr="00EB5E38" w:rsidRDefault="00CB2406" w:rsidP="00880E10">
      <w:pPr>
        <w:pStyle w:val="Heading4"/>
      </w:pPr>
      <w:r w:rsidRPr="00EB5E38">
        <w:t>fraud or fraudulent misrepresentation by it or its employees.</w:t>
      </w:r>
    </w:p>
    <w:p w14:paraId="6C6837ED" w14:textId="77777777" w:rsidR="006C3D9C" w:rsidRPr="00EB5E38" w:rsidRDefault="00AC4EAD" w:rsidP="003C6C6B">
      <w:pPr>
        <w:pStyle w:val="Heading3"/>
        <w:rPr>
          <w:rFonts w:cs="Arial"/>
          <w:sz w:val="20"/>
        </w:rPr>
      </w:pPr>
      <w:r w:rsidRPr="00EB5E38">
        <w:rPr>
          <w:rFonts w:cs="Arial"/>
          <w:sz w:val="20"/>
        </w:rPr>
        <w:t xml:space="preserve">No individual nor any service company of the </w:t>
      </w:r>
      <w:r w:rsidR="004104F4" w:rsidRPr="00EB5E38">
        <w:rPr>
          <w:rFonts w:cs="Arial"/>
          <w:sz w:val="20"/>
        </w:rPr>
        <w:t>Supplier</w:t>
      </w:r>
      <w:r w:rsidRPr="00EB5E38">
        <w:rPr>
          <w:rFonts w:cs="Arial"/>
          <w:sz w:val="20"/>
        </w:rPr>
        <w:t xml:space="preserve"> employing that individual shall have any personal liability to the </w:t>
      </w:r>
      <w:r w:rsidR="007D1596" w:rsidRPr="00EB5E38">
        <w:rPr>
          <w:rFonts w:cs="Arial"/>
          <w:sz w:val="20"/>
        </w:rPr>
        <w:t>Customer</w:t>
      </w:r>
      <w:r w:rsidRPr="00EB5E38">
        <w:rPr>
          <w:rFonts w:cs="Arial"/>
          <w:sz w:val="20"/>
        </w:rPr>
        <w:t xml:space="preserve"> for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supplied by that individual on behalf of the </w:t>
      </w:r>
      <w:r w:rsidR="004104F4" w:rsidRPr="00EB5E38">
        <w:rPr>
          <w:rFonts w:cs="Arial"/>
          <w:sz w:val="20"/>
        </w:rPr>
        <w:t>Supplier</w:t>
      </w:r>
      <w:r w:rsidRPr="00EB5E38">
        <w:rPr>
          <w:rFonts w:cs="Arial"/>
          <w:sz w:val="20"/>
        </w:rPr>
        <w:t xml:space="preserve"> and the </w:t>
      </w:r>
      <w:r w:rsidR="007D1596" w:rsidRPr="00EB5E38">
        <w:rPr>
          <w:rFonts w:cs="Arial"/>
          <w:sz w:val="20"/>
        </w:rPr>
        <w:t>Customer</w:t>
      </w:r>
      <w:r w:rsidRPr="00EB5E38">
        <w:rPr>
          <w:rFonts w:cs="Arial"/>
          <w:sz w:val="20"/>
        </w:rPr>
        <w:t xml:space="preserve"> shall not bring any claim under the Contract against that individual or such service company in respect of the </w:t>
      </w:r>
      <w:r w:rsidR="00162C54" w:rsidRPr="00EB5E38">
        <w:rPr>
          <w:rFonts w:cs="Arial"/>
          <w:sz w:val="20"/>
        </w:rPr>
        <w:t>Contract Services</w:t>
      </w:r>
      <w:r w:rsidR="00706BB4" w:rsidRPr="00EB5E38">
        <w:rPr>
          <w:rFonts w:cs="Arial"/>
          <w:sz w:val="20"/>
        </w:rPr>
        <w:t xml:space="preserve"> </w:t>
      </w:r>
      <w:r w:rsidRPr="00EB5E38">
        <w:rPr>
          <w:rFonts w:cs="Arial"/>
          <w:sz w:val="20"/>
        </w:rPr>
        <w:t>save in the case of Fraud</w:t>
      </w:r>
      <w:r w:rsidR="007B35D4" w:rsidRPr="00EB5E38">
        <w:rPr>
          <w:rFonts w:cs="Arial"/>
          <w:sz w:val="20"/>
        </w:rPr>
        <w:t xml:space="preserve"> or any liability for death or personal injury</w:t>
      </w:r>
      <w:r w:rsidRPr="00EB5E38">
        <w:rPr>
          <w:rFonts w:cs="Arial"/>
          <w:sz w:val="20"/>
        </w:rPr>
        <w:t xml:space="preserve">.  </w:t>
      </w:r>
    </w:p>
    <w:p w14:paraId="6C6837EE" w14:textId="77777777" w:rsidR="007B35D4" w:rsidRPr="00EB5E38" w:rsidRDefault="0088767B" w:rsidP="003C6C6B">
      <w:pPr>
        <w:pStyle w:val="Heading3"/>
        <w:rPr>
          <w:rFonts w:cs="Arial"/>
          <w:sz w:val="20"/>
        </w:rPr>
      </w:pPr>
      <w:r w:rsidRPr="00EB5E38">
        <w:rPr>
          <w:rFonts w:eastAsia="Times New Roman"/>
          <w:sz w:val="20"/>
        </w:rPr>
        <w:lastRenderedPageBreak/>
        <w:t>Subject to Clause 4.1.1 above and to the limits set out in Clause 4.1.8 below,</w:t>
      </w:r>
      <w:r w:rsidR="00B10032" w:rsidRPr="00EB5E38">
        <w:rPr>
          <w:rFonts w:cs="Arial"/>
          <w:sz w:val="20"/>
        </w:rPr>
        <w:t xml:space="preserve"> t</w:t>
      </w:r>
      <w:r w:rsidR="007B35D4" w:rsidRPr="00EB5E38">
        <w:rPr>
          <w:rFonts w:cs="Arial"/>
          <w:sz w:val="20"/>
        </w:rPr>
        <w:t xml:space="preserve">he </w:t>
      </w:r>
      <w:r w:rsidR="004104F4" w:rsidRPr="00EB5E38">
        <w:rPr>
          <w:rFonts w:cs="Arial"/>
          <w:sz w:val="20"/>
        </w:rPr>
        <w:t>Supplier</w:t>
      </w:r>
      <w:r w:rsidR="007B35D4" w:rsidRPr="00EB5E38">
        <w:rPr>
          <w:rFonts w:cs="Arial"/>
          <w:sz w:val="20"/>
        </w:rPr>
        <w:t xml:space="preserve"> shall fully indemnify and keep indemnified the </w:t>
      </w:r>
      <w:r w:rsidR="007D1596" w:rsidRPr="00EB5E38">
        <w:rPr>
          <w:rFonts w:cs="Arial"/>
          <w:sz w:val="20"/>
        </w:rPr>
        <w:t>Customer</w:t>
      </w:r>
      <w:r w:rsidR="007B35D4" w:rsidRPr="00EB5E38">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EB5E38">
        <w:rPr>
          <w:rFonts w:cs="Arial"/>
          <w:sz w:val="20"/>
        </w:rPr>
        <w:t>Supplier</w:t>
      </w:r>
      <w:r w:rsidR="007B35D4" w:rsidRPr="00EB5E38">
        <w:rPr>
          <w:rFonts w:cs="Arial"/>
          <w:sz w:val="20"/>
        </w:rPr>
        <w:t xml:space="preserve"> of its obligations under the Framework Agreement and the </w:t>
      </w:r>
      <w:r w:rsidR="007D1596" w:rsidRPr="00EB5E38">
        <w:rPr>
          <w:rFonts w:cs="Arial"/>
          <w:sz w:val="20"/>
        </w:rPr>
        <w:t>Customer</w:t>
      </w:r>
      <w:r w:rsidR="007B35D4" w:rsidRPr="00EB5E38">
        <w:rPr>
          <w:rFonts w:cs="Arial"/>
          <w:sz w:val="20"/>
        </w:rPr>
        <w:t xml:space="preserve">’s financial loss arising from any advice given or omitted to be given by the </w:t>
      </w:r>
      <w:r w:rsidR="004104F4" w:rsidRPr="00EB5E38">
        <w:rPr>
          <w:rFonts w:cs="Arial"/>
          <w:sz w:val="20"/>
        </w:rPr>
        <w:t>Supplier</w:t>
      </w:r>
      <w:r w:rsidR="007B35D4" w:rsidRPr="00EB5E38">
        <w:rPr>
          <w:rFonts w:cs="Arial"/>
          <w:sz w:val="20"/>
        </w:rPr>
        <w:t xml:space="preserve">, or any other loss which is caused by any act or omission of the </w:t>
      </w:r>
      <w:r w:rsidR="004104F4" w:rsidRPr="00EB5E38">
        <w:rPr>
          <w:rFonts w:cs="Arial"/>
          <w:sz w:val="20"/>
        </w:rPr>
        <w:t>Supplier</w:t>
      </w:r>
      <w:r w:rsidR="007B35D4" w:rsidRPr="00EB5E38">
        <w:rPr>
          <w:rFonts w:cs="Arial"/>
          <w:sz w:val="20"/>
        </w:rPr>
        <w:t>.</w:t>
      </w:r>
      <w:r w:rsidR="003178FE" w:rsidRPr="00EB5E38">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sidRPr="00EB5E38">
        <w:rPr>
          <w:rFonts w:cs="Arial"/>
          <w:sz w:val="20"/>
        </w:rPr>
        <w:t>.</w:t>
      </w:r>
    </w:p>
    <w:p w14:paraId="6C6837EF" w14:textId="77777777" w:rsidR="00CB2406" w:rsidRPr="00EB5E38" w:rsidRDefault="0088767B" w:rsidP="00CB2406">
      <w:pPr>
        <w:pStyle w:val="Heading3"/>
        <w:rPr>
          <w:rFonts w:cs="Arial"/>
          <w:sz w:val="20"/>
        </w:rPr>
      </w:pPr>
      <w:bookmarkStart w:id="68" w:name="_Ref330542674"/>
      <w:r w:rsidRPr="00EB5E38">
        <w:rPr>
          <w:rFonts w:eastAsia="Times New Roman"/>
          <w:sz w:val="20"/>
        </w:rPr>
        <w:t>Subject to the limits set out in Clause 4.1.8 below, t</w:t>
      </w:r>
      <w:bookmarkEnd w:id="68"/>
      <w:r w:rsidRPr="00EB5E38">
        <w:rPr>
          <w:rFonts w:eastAsia="Times New Roman"/>
          <w:sz w:val="20"/>
        </w:rPr>
        <w:t>he</w:t>
      </w:r>
      <w:r w:rsidR="00CB2406" w:rsidRPr="00EB5E38">
        <w:rPr>
          <w:rFonts w:cs="Arial"/>
          <w:sz w:val="20"/>
        </w:rPr>
        <w:t xml:space="preserve"> </w:t>
      </w:r>
      <w:r w:rsidR="004104F4" w:rsidRPr="00EB5E38">
        <w:rPr>
          <w:rFonts w:cs="Arial"/>
          <w:sz w:val="20"/>
        </w:rPr>
        <w:t>Supplier</w:t>
      </w:r>
      <w:r w:rsidR="00CB2406" w:rsidRPr="00EB5E38">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w:t>
      </w:r>
      <w:r w:rsidR="007C64B3" w:rsidRPr="00EB5E38">
        <w:rPr>
          <w:rFonts w:cs="Arial"/>
          <w:sz w:val="20"/>
        </w:rPr>
        <w:t>Customer</w:t>
      </w:r>
      <w:r w:rsidR="00C56E91" w:rsidRPr="00EB5E38">
        <w:rPr>
          <w:rFonts w:cs="Arial"/>
          <w:sz w:val="20"/>
        </w:rPr>
        <w:t>)</w:t>
      </w:r>
      <w:r w:rsidR="00CB2406" w:rsidRPr="00EB5E38">
        <w:rPr>
          <w:rFonts w:cs="Arial"/>
          <w:sz w:val="20"/>
        </w:rPr>
        <w:t xml:space="preserve"> be recoverable by the </w:t>
      </w:r>
      <w:r w:rsidR="007C64B3" w:rsidRPr="00EB5E38">
        <w:rPr>
          <w:rFonts w:cs="Arial"/>
          <w:sz w:val="20"/>
        </w:rPr>
        <w:t>Customer</w:t>
      </w:r>
      <w:r w:rsidR="00CB2406" w:rsidRPr="00EB5E38">
        <w:rPr>
          <w:rFonts w:cs="Arial"/>
          <w:sz w:val="20"/>
        </w:rPr>
        <w:t>:</w:t>
      </w:r>
    </w:p>
    <w:p w14:paraId="6C6837F0" w14:textId="77777777" w:rsidR="00CB2406" w:rsidRPr="00EB5E38" w:rsidRDefault="00CB2406" w:rsidP="00880E10">
      <w:pPr>
        <w:pStyle w:val="Heading4"/>
      </w:pPr>
      <w:r w:rsidRPr="00EB5E38">
        <w:t>the additional operational and/or administrative costs and expenses arising from any Material Breach;</w:t>
      </w:r>
    </w:p>
    <w:p w14:paraId="6C6837F1" w14:textId="77777777" w:rsidR="00CB2406" w:rsidRPr="00EB5E38" w:rsidRDefault="00CB2406" w:rsidP="00880E10">
      <w:pPr>
        <w:pStyle w:val="Heading4"/>
      </w:pPr>
      <w:r w:rsidRPr="00EB5E38">
        <w:t>the cost of procuring, implementing and operating any alternative or replacement services to the Contract Services</w:t>
      </w:r>
      <w:r w:rsidR="00C56E91" w:rsidRPr="00EB5E38">
        <w:t xml:space="preserve"> as a result of a Material Breach by the Supplier</w:t>
      </w:r>
      <w:r w:rsidRPr="00EB5E38">
        <w:t>; and</w:t>
      </w:r>
    </w:p>
    <w:p w14:paraId="6C6837F2" w14:textId="77777777" w:rsidR="00CB2406" w:rsidRPr="00EB5E38" w:rsidRDefault="00CB2406" w:rsidP="00880E10">
      <w:pPr>
        <w:pStyle w:val="Heading4"/>
      </w:pPr>
      <w:r w:rsidRPr="00EB5E38">
        <w:t xml:space="preserve">any regulatory losses, fines, expenses or other losses arising from a breach by the </w:t>
      </w:r>
      <w:r w:rsidR="004104F4" w:rsidRPr="00EB5E38">
        <w:t>Supplier</w:t>
      </w:r>
      <w:r w:rsidRPr="00EB5E38">
        <w:t xml:space="preserve"> of any Laws. </w:t>
      </w:r>
    </w:p>
    <w:p w14:paraId="6C6837F3" w14:textId="77777777" w:rsidR="0088767B" w:rsidRPr="00EB5E38" w:rsidRDefault="0088767B" w:rsidP="0088767B">
      <w:pPr>
        <w:pStyle w:val="Heading3"/>
        <w:rPr>
          <w:rFonts w:cs="Arial"/>
          <w:sz w:val="20"/>
        </w:rPr>
      </w:pPr>
      <w:bookmarkStart w:id="69" w:name="_Ref311654962"/>
      <w:r w:rsidRPr="00EB5E38">
        <w:rPr>
          <w:rFonts w:cs="Arial"/>
          <w:sz w:val="20"/>
        </w:rPr>
        <w:t>In no event shall either Party be liable to the other for any:</w:t>
      </w:r>
      <w:bookmarkEnd w:id="69"/>
    </w:p>
    <w:p w14:paraId="6C6837F4" w14:textId="77777777" w:rsidR="0088767B" w:rsidRPr="00EB5E38" w:rsidRDefault="0088767B" w:rsidP="00880E10">
      <w:pPr>
        <w:pStyle w:val="Heading4"/>
      </w:pPr>
      <w:r w:rsidRPr="00EB5E38">
        <w:t>loss of profits;</w:t>
      </w:r>
    </w:p>
    <w:p w14:paraId="6C6837F5" w14:textId="77777777" w:rsidR="0088767B" w:rsidRPr="00EB5E38" w:rsidRDefault="0088767B" w:rsidP="00880E10">
      <w:pPr>
        <w:pStyle w:val="Heading4"/>
      </w:pPr>
      <w:r w:rsidRPr="00EB5E38">
        <w:t xml:space="preserve">loss of business; </w:t>
      </w:r>
    </w:p>
    <w:p w14:paraId="6C6837F6" w14:textId="77777777" w:rsidR="0088767B" w:rsidRPr="00EB5E38" w:rsidRDefault="0088767B" w:rsidP="00880E10">
      <w:pPr>
        <w:pStyle w:val="Heading4"/>
      </w:pPr>
      <w:r w:rsidRPr="00EB5E38">
        <w:t xml:space="preserve">loss of revenue; </w:t>
      </w:r>
    </w:p>
    <w:p w14:paraId="6C6837F7" w14:textId="77777777" w:rsidR="0088767B" w:rsidRPr="00EB5E38" w:rsidRDefault="0088767B" w:rsidP="00880E10">
      <w:pPr>
        <w:pStyle w:val="Heading4"/>
      </w:pPr>
      <w:r w:rsidRPr="00EB5E38">
        <w:t>loss of or damage to goodwill;</w:t>
      </w:r>
    </w:p>
    <w:p w14:paraId="6C6837F8" w14:textId="77777777" w:rsidR="0088767B" w:rsidRPr="00EB5E38" w:rsidRDefault="0088767B" w:rsidP="00880E10">
      <w:pPr>
        <w:pStyle w:val="Heading4"/>
      </w:pPr>
      <w:r w:rsidRPr="00EB5E38">
        <w:t>loss of savings (whether anticipated or otherwise); and/or</w:t>
      </w:r>
    </w:p>
    <w:p w14:paraId="6C6837F9" w14:textId="77777777" w:rsidR="0088767B" w:rsidRPr="00EB5E38" w:rsidRDefault="0088767B" w:rsidP="00880E10">
      <w:pPr>
        <w:pStyle w:val="Heading4"/>
      </w:pPr>
      <w:r w:rsidRPr="00EB5E38">
        <w:t>any indirect, special or consequential loss or damage.</w:t>
      </w:r>
    </w:p>
    <w:p w14:paraId="6C6837FA" w14:textId="77777777" w:rsidR="00AB51E9" w:rsidRPr="00EB5E38" w:rsidRDefault="00AB51E9" w:rsidP="003C6C6B">
      <w:pPr>
        <w:pStyle w:val="Heading3"/>
        <w:rPr>
          <w:rFonts w:cs="Arial"/>
          <w:sz w:val="20"/>
        </w:rPr>
      </w:pPr>
      <w:r w:rsidRPr="00EB5E38">
        <w:rPr>
          <w:rFonts w:cs="Arial"/>
          <w:sz w:val="20"/>
        </w:rPr>
        <w:t xml:space="preserve">No enquiry, inspection, approval, sanction, comment, consent, </w:t>
      </w:r>
      <w:r w:rsidR="00E81BCB" w:rsidRPr="00EB5E38">
        <w:rPr>
          <w:rFonts w:cs="Arial"/>
          <w:sz w:val="20"/>
        </w:rPr>
        <w:t xml:space="preserve">or </w:t>
      </w:r>
      <w:r w:rsidRPr="00EB5E38">
        <w:rPr>
          <w:rFonts w:cs="Arial"/>
          <w:sz w:val="20"/>
        </w:rPr>
        <w:t xml:space="preserve">decision at any time made or given by or on behalf of the </w:t>
      </w:r>
      <w:r w:rsidR="007D1596" w:rsidRPr="00EB5E38">
        <w:rPr>
          <w:rFonts w:cs="Arial"/>
          <w:sz w:val="20"/>
        </w:rPr>
        <w:t>Customer</w:t>
      </w:r>
      <w:r w:rsidRPr="00EB5E38">
        <w:rPr>
          <w:rFonts w:cs="Arial"/>
          <w:sz w:val="20"/>
        </w:rPr>
        <w:t xml:space="preserve"> to any document or information provided by the </w:t>
      </w:r>
      <w:r w:rsidR="004104F4" w:rsidRPr="00EB5E38">
        <w:rPr>
          <w:rFonts w:cs="Arial"/>
          <w:sz w:val="20"/>
        </w:rPr>
        <w:t>Supplier</w:t>
      </w:r>
      <w:r w:rsidRPr="00EB5E38">
        <w:rPr>
          <w:rFonts w:cs="Arial"/>
          <w:sz w:val="20"/>
        </w:rPr>
        <w:t xml:space="preserve"> in its provision of the Contract Services, and no failure of the </w:t>
      </w:r>
      <w:r w:rsidR="007D1596" w:rsidRPr="00EB5E38">
        <w:rPr>
          <w:rFonts w:cs="Arial"/>
          <w:sz w:val="20"/>
        </w:rPr>
        <w:t>Customer</w:t>
      </w:r>
      <w:r w:rsidRPr="00EB5E38">
        <w:rPr>
          <w:rFonts w:cs="Arial"/>
          <w:sz w:val="20"/>
        </w:rPr>
        <w:t xml:space="preserve"> to discern any defect in or omission from any such document or information shall operate to exclude or limit the obligation of the </w:t>
      </w:r>
      <w:r w:rsidR="004104F4" w:rsidRPr="00EB5E38">
        <w:rPr>
          <w:rFonts w:cs="Arial"/>
          <w:sz w:val="20"/>
        </w:rPr>
        <w:t>Supplier</w:t>
      </w:r>
      <w:r w:rsidRPr="00EB5E38">
        <w:rPr>
          <w:rFonts w:cs="Arial"/>
          <w:sz w:val="20"/>
        </w:rPr>
        <w:t xml:space="preserve"> to </w:t>
      </w:r>
      <w:r w:rsidR="007C64B3" w:rsidRPr="00EB5E38">
        <w:rPr>
          <w:rFonts w:cs="Arial"/>
          <w:sz w:val="20"/>
        </w:rPr>
        <w:t xml:space="preserve">carry out </w:t>
      </w:r>
      <w:r w:rsidRPr="00EB5E38">
        <w:rPr>
          <w:rFonts w:cs="Arial"/>
          <w:sz w:val="20"/>
        </w:rPr>
        <w:t xml:space="preserve">all the obligations of a professional </w:t>
      </w:r>
      <w:r w:rsidR="004104F4" w:rsidRPr="00EB5E38">
        <w:rPr>
          <w:rFonts w:cs="Arial"/>
          <w:sz w:val="20"/>
        </w:rPr>
        <w:t>Supplier</w:t>
      </w:r>
      <w:r w:rsidRPr="00EB5E38">
        <w:rPr>
          <w:rFonts w:cs="Arial"/>
          <w:sz w:val="20"/>
        </w:rPr>
        <w:t xml:space="preserve"> employed in a </w:t>
      </w:r>
      <w:r w:rsidR="007C64B3" w:rsidRPr="00EB5E38">
        <w:rPr>
          <w:rFonts w:cs="Arial"/>
          <w:sz w:val="20"/>
        </w:rPr>
        <w:t xml:space="preserve">client/customer </w:t>
      </w:r>
      <w:r w:rsidRPr="00EB5E38">
        <w:rPr>
          <w:rFonts w:cs="Arial"/>
          <w:sz w:val="20"/>
        </w:rPr>
        <w:t>relationship.</w:t>
      </w:r>
    </w:p>
    <w:p w14:paraId="6C6837FB" w14:textId="77777777" w:rsidR="00E612D1" w:rsidRPr="00EB5E38" w:rsidRDefault="00E612D1" w:rsidP="003C6C6B">
      <w:pPr>
        <w:pStyle w:val="Heading3"/>
        <w:rPr>
          <w:rFonts w:cs="Arial"/>
          <w:sz w:val="20"/>
        </w:rPr>
      </w:pPr>
      <w:r w:rsidRPr="00EB5E38">
        <w:rPr>
          <w:rFonts w:cs="Arial"/>
          <w:sz w:val="20"/>
        </w:rPr>
        <w:t xml:space="preserve">Save as otherwise expressly provided, the obligations of the </w:t>
      </w:r>
      <w:r w:rsidR="007D1596" w:rsidRPr="00EB5E38">
        <w:rPr>
          <w:rFonts w:cs="Arial"/>
          <w:sz w:val="20"/>
        </w:rPr>
        <w:t>Customer</w:t>
      </w:r>
      <w:r w:rsidRPr="00EB5E38">
        <w:rPr>
          <w:rFonts w:cs="Arial"/>
          <w:sz w:val="20"/>
        </w:rPr>
        <w:t xml:space="preserve"> under the Contract are obligations of the </w:t>
      </w:r>
      <w:r w:rsidR="007D1596" w:rsidRPr="00EB5E38">
        <w:rPr>
          <w:rFonts w:cs="Arial"/>
          <w:sz w:val="20"/>
        </w:rPr>
        <w:t>Customer</w:t>
      </w:r>
      <w:r w:rsidRPr="00EB5E38">
        <w:rPr>
          <w:rFonts w:cs="Arial"/>
          <w:sz w:val="20"/>
        </w:rPr>
        <w:t xml:space="preserve"> in its capacity as a contracting counterparty and nothing in the Contract shall operate as an obligation upon, or in any other way fetter or constrain the </w:t>
      </w:r>
      <w:r w:rsidR="007D1596" w:rsidRPr="00EB5E38">
        <w:rPr>
          <w:rFonts w:cs="Arial"/>
          <w:sz w:val="20"/>
        </w:rPr>
        <w:t>Customer</w:t>
      </w:r>
      <w:r w:rsidRPr="00EB5E38">
        <w:rPr>
          <w:rFonts w:cs="Arial"/>
          <w:sz w:val="20"/>
        </w:rPr>
        <w:t xml:space="preserve"> in any other capacity, nor shall the exercise by the </w:t>
      </w:r>
      <w:r w:rsidR="007D1596" w:rsidRPr="00EB5E38">
        <w:rPr>
          <w:rFonts w:cs="Arial"/>
          <w:sz w:val="20"/>
        </w:rPr>
        <w:t>Customer</w:t>
      </w:r>
      <w:r w:rsidRPr="00EB5E38">
        <w:rPr>
          <w:rFonts w:cs="Arial"/>
          <w:sz w:val="20"/>
        </w:rPr>
        <w:t xml:space="preserve"> of its duties and powers in any other capacity lead </w:t>
      </w:r>
      <w:r w:rsidRPr="00EB5E38">
        <w:rPr>
          <w:rFonts w:cs="Arial"/>
          <w:sz w:val="20"/>
        </w:rPr>
        <w:lastRenderedPageBreak/>
        <w:t xml:space="preserve">to any liability under the Contract (howsoever arising) on the part of the </w:t>
      </w:r>
      <w:r w:rsidR="007D1596" w:rsidRPr="00EB5E38">
        <w:rPr>
          <w:rFonts w:cs="Arial"/>
          <w:sz w:val="20"/>
        </w:rPr>
        <w:t>Customer</w:t>
      </w:r>
      <w:r w:rsidRPr="00EB5E38">
        <w:rPr>
          <w:rFonts w:cs="Arial"/>
          <w:sz w:val="20"/>
        </w:rPr>
        <w:t xml:space="preserve"> to the </w:t>
      </w:r>
      <w:r w:rsidR="004104F4" w:rsidRPr="00EB5E38">
        <w:rPr>
          <w:rFonts w:cs="Arial"/>
          <w:sz w:val="20"/>
        </w:rPr>
        <w:t>Supplier</w:t>
      </w:r>
      <w:r w:rsidRPr="00EB5E38">
        <w:rPr>
          <w:rFonts w:cs="Arial"/>
          <w:sz w:val="20"/>
        </w:rPr>
        <w:t>.</w:t>
      </w:r>
    </w:p>
    <w:p w14:paraId="6C6837FC" w14:textId="77777777" w:rsidR="00B10032" w:rsidRPr="00EB5E38" w:rsidRDefault="006476E2" w:rsidP="00B10032">
      <w:pPr>
        <w:pStyle w:val="Heading3"/>
        <w:rPr>
          <w:rFonts w:cs="Arial"/>
          <w:sz w:val="20"/>
        </w:rPr>
      </w:pPr>
      <w:r w:rsidRPr="00EB5E38">
        <w:rPr>
          <w:rFonts w:eastAsia="Times New Roman"/>
          <w:sz w:val="20"/>
        </w:rPr>
        <w:t xml:space="preserve">Subject always to Clause 4.1.1, and for the avoidance of doubt, both of the Parties agree that </w:t>
      </w:r>
      <w:r w:rsidR="00B10032" w:rsidRPr="00EB5E38">
        <w:rPr>
          <w:rFonts w:cs="Arial"/>
          <w:sz w:val="20"/>
        </w:rPr>
        <w:t>the</w:t>
      </w:r>
      <w:r w:rsidR="00B56323" w:rsidRPr="00EB5E38">
        <w:rPr>
          <w:rFonts w:cs="Arial"/>
          <w:sz w:val="20"/>
        </w:rPr>
        <w:t xml:space="preserve"> total</w:t>
      </w:r>
      <w:r w:rsidR="00B10032" w:rsidRPr="00EB5E38">
        <w:rPr>
          <w:rFonts w:cs="Arial"/>
          <w:sz w:val="20"/>
        </w:rPr>
        <w:t xml:space="preserve"> aggregate liability (whether </w:t>
      </w:r>
      <w:r w:rsidRPr="00EB5E38">
        <w:rPr>
          <w:rFonts w:cs="Arial"/>
          <w:sz w:val="20"/>
        </w:rPr>
        <w:t xml:space="preserve">those liabilities are </w:t>
      </w:r>
      <w:r w:rsidR="00B10032" w:rsidRPr="00EB5E38">
        <w:rPr>
          <w:rFonts w:cs="Arial"/>
          <w:sz w:val="20"/>
        </w:rPr>
        <w:t xml:space="preserve">expressed as an indemnity or otherwise) of each </w:t>
      </w:r>
      <w:r w:rsidR="006C3D9C" w:rsidRPr="00EB5E38">
        <w:rPr>
          <w:rFonts w:cs="Arial"/>
          <w:sz w:val="20"/>
        </w:rPr>
        <w:t>P</w:t>
      </w:r>
      <w:r w:rsidR="00B10032" w:rsidRPr="00EB5E38">
        <w:rPr>
          <w:rFonts w:cs="Arial"/>
          <w:sz w:val="20"/>
        </w:rPr>
        <w:t xml:space="preserve">arty to the other </w:t>
      </w:r>
      <w:r w:rsidR="006C3D9C" w:rsidRPr="00EB5E38">
        <w:rPr>
          <w:rFonts w:cs="Arial"/>
          <w:sz w:val="20"/>
        </w:rPr>
        <w:t>P</w:t>
      </w:r>
      <w:r w:rsidR="00B10032" w:rsidRPr="00EB5E38">
        <w:rPr>
          <w:rFonts w:cs="Arial"/>
          <w:sz w:val="20"/>
        </w:rPr>
        <w:t>arty for each year of this Contract</w:t>
      </w:r>
      <w:r w:rsidR="00536DFF" w:rsidRPr="00EB5E38">
        <w:rPr>
          <w:rFonts w:cs="Arial"/>
          <w:sz w:val="20"/>
        </w:rPr>
        <w:t xml:space="preserve"> shall be</w:t>
      </w:r>
      <w:r w:rsidR="00B10032" w:rsidRPr="00EB5E38">
        <w:rPr>
          <w:rFonts w:cs="Arial"/>
          <w:sz w:val="20"/>
        </w:rPr>
        <w:t>:</w:t>
      </w:r>
    </w:p>
    <w:p w14:paraId="6C6837FD" w14:textId="77777777" w:rsidR="00B10032" w:rsidRPr="00EB5E38" w:rsidRDefault="00B10032" w:rsidP="00B10032">
      <w:pPr>
        <w:pStyle w:val="Heading3"/>
        <w:numPr>
          <w:ilvl w:val="0"/>
          <w:numId w:val="0"/>
        </w:numPr>
        <w:ind w:left="2880" w:hanging="1080"/>
        <w:rPr>
          <w:rFonts w:cs="Arial"/>
          <w:sz w:val="20"/>
        </w:rPr>
      </w:pPr>
      <w:r w:rsidRPr="00EB5E38">
        <w:rPr>
          <w:rFonts w:cs="Arial"/>
          <w:sz w:val="20"/>
        </w:rPr>
        <w:t>4.1.8.1</w:t>
      </w:r>
      <w:r w:rsidRPr="00EB5E38">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Pr="00EB5E38" w:rsidRDefault="00B10032" w:rsidP="00B10032">
      <w:pPr>
        <w:pStyle w:val="Heading3"/>
        <w:numPr>
          <w:ilvl w:val="0"/>
          <w:numId w:val="0"/>
        </w:numPr>
        <w:ind w:left="2880" w:hanging="1080"/>
        <w:rPr>
          <w:rFonts w:cs="Arial"/>
          <w:sz w:val="20"/>
        </w:rPr>
      </w:pPr>
      <w:r w:rsidRPr="00EB5E38">
        <w:rPr>
          <w:rFonts w:cs="Arial"/>
          <w:sz w:val="20"/>
        </w:rPr>
        <w:t>4.1.8.2</w:t>
      </w:r>
      <w:r w:rsidRPr="00EB5E38">
        <w:rPr>
          <w:rFonts w:cs="Arial"/>
          <w:sz w:val="20"/>
        </w:rPr>
        <w:tab/>
        <w:t>in respect of all other defaults, claims, losses or damages whether arising from breach of contract, misrepresentation (whether tort</w:t>
      </w:r>
      <w:r w:rsidR="006476E2" w:rsidRPr="00EB5E38">
        <w:rPr>
          <w:rFonts w:cs="Arial"/>
          <w:sz w:val="20"/>
        </w:rPr>
        <w:t>i</w:t>
      </w:r>
      <w:r w:rsidRPr="00EB5E38">
        <w:rPr>
          <w:rFonts w:cs="Arial"/>
          <w:sz w:val="20"/>
        </w:rPr>
        <w:t>ous or statutory), tort (including negligence), breach of statutory duty or otherwise shall in no event exceed the greater of the sum of £2 million (Two Million Po</w:t>
      </w:r>
      <w:r w:rsidR="002D4993" w:rsidRPr="00EB5E38">
        <w:rPr>
          <w:rFonts w:cs="Arial"/>
          <w:sz w:val="20"/>
        </w:rPr>
        <w:t>u</w:t>
      </w:r>
      <w:r w:rsidRPr="00EB5E38">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sidRPr="00EB5E38">
        <w:rPr>
          <w:rFonts w:cs="Arial"/>
          <w:sz w:val="20"/>
        </w:rPr>
        <w:t xml:space="preserve"> </w:t>
      </w:r>
      <w:r w:rsidR="002D4993" w:rsidRPr="00EB5E38">
        <w:rPr>
          <w:rFonts w:cs="Arial"/>
          <w:sz w:val="20"/>
        </w:rPr>
        <w:t xml:space="preserve">unless </w:t>
      </w:r>
      <w:r w:rsidR="006C3D9C" w:rsidRPr="00EB5E38">
        <w:rPr>
          <w:rFonts w:cs="Arial"/>
          <w:sz w:val="20"/>
        </w:rPr>
        <w:t xml:space="preserve">a different aggregate limit or limits is </w:t>
      </w:r>
      <w:r w:rsidR="002D4993" w:rsidRPr="00EB5E38">
        <w:rPr>
          <w:rFonts w:cs="Arial"/>
          <w:sz w:val="20"/>
        </w:rPr>
        <w:t>otherwise stipulated by the Customer in the Letter of Appointment following a further competition</w:t>
      </w:r>
      <w:r w:rsidRPr="00EB5E38">
        <w:rPr>
          <w:rFonts w:cs="Arial"/>
          <w:sz w:val="20"/>
        </w:rPr>
        <w:t>.</w:t>
      </w:r>
    </w:p>
    <w:p w14:paraId="6C6837FF" w14:textId="77777777" w:rsidR="00B10032" w:rsidRPr="00EB5E38" w:rsidRDefault="00B10032" w:rsidP="00B10032">
      <w:pPr>
        <w:pStyle w:val="Heading3"/>
        <w:numPr>
          <w:ilvl w:val="0"/>
          <w:numId w:val="0"/>
        </w:numPr>
        <w:ind w:left="1800" w:hanging="1080"/>
        <w:rPr>
          <w:rFonts w:cs="Arial"/>
          <w:sz w:val="20"/>
        </w:rPr>
      </w:pPr>
    </w:p>
    <w:p w14:paraId="6C683800" w14:textId="77777777" w:rsidR="003C6C6B" w:rsidRPr="00EB5E38" w:rsidRDefault="003C6C6B" w:rsidP="003C6C6B">
      <w:pPr>
        <w:pStyle w:val="Heading2"/>
        <w:keepNext/>
        <w:rPr>
          <w:rFonts w:cs="Arial"/>
          <w:b/>
          <w:sz w:val="20"/>
        </w:rPr>
      </w:pPr>
      <w:r w:rsidRPr="00EB5E38">
        <w:rPr>
          <w:rFonts w:cs="Arial"/>
          <w:b/>
          <w:sz w:val="20"/>
        </w:rPr>
        <w:t>Insurance</w:t>
      </w:r>
    </w:p>
    <w:p w14:paraId="6C683801" w14:textId="77777777" w:rsidR="003C6C6B" w:rsidRPr="00EB5E38" w:rsidRDefault="003C6C6B" w:rsidP="003C6C6B">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effect and maintain with a reputable insurance company a policy or policies of insurance providing an adequate level of cover in respect of </w:t>
      </w:r>
      <w:r w:rsidR="008447C4" w:rsidRPr="00EB5E38">
        <w:rPr>
          <w:rFonts w:cs="Arial"/>
          <w:sz w:val="20"/>
        </w:rPr>
        <w:t>the</w:t>
      </w:r>
      <w:r w:rsidRPr="00EB5E38">
        <w:rPr>
          <w:rFonts w:cs="Arial"/>
          <w:sz w:val="20"/>
        </w:rPr>
        <w:t xml:space="preserve"> risks which may be incurred by the </w:t>
      </w:r>
      <w:r w:rsidR="004104F4" w:rsidRPr="00EB5E38">
        <w:rPr>
          <w:rFonts w:cs="Arial"/>
          <w:sz w:val="20"/>
        </w:rPr>
        <w:t>Supplier</w:t>
      </w:r>
      <w:r w:rsidRPr="00EB5E38">
        <w:rPr>
          <w:rFonts w:cs="Arial"/>
          <w:sz w:val="20"/>
        </w:rPr>
        <w:t xml:space="preserve">, arising out of the </w:t>
      </w:r>
      <w:r w:rsidR="004104F4" w:rsidRPr="00EB5E38">
        <w:rPr>
          <w:rFonts w:cs="Arial"/>
          <w:sz w:val="20"/>
        </w:rPr>
        <w:t>Supplier</w:t>
      </w:r>
      <w:r w:rsidRPr="00EB5E38">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sidRPr="00EB5E38">
        <w:rPr>
          <w:rFonts w:cs="Arial"/>
          <w:sz w:val="20"/>
        </w:rPr>
        <w:t>Customer</w:t>
      </w:r>
      <w:r w:rsidRPr="00EB5E38">
        <w:rPr>
          <w:rFonts w:cs="Arial"/>
          <w:sz w:val="20"/>
        </w:rPr>
        <w:t xml:space="preserve"> arising from any advice given or omitted to be given by the </w:t>
      </w:r>
      <w:r w:rsidR="004104F4" w:rsidRPr="00EB5E38">
        <w:rPr>
          <w:rFonts w:cs="Arial"/>
          <w:sz w:val="20"/>
        </w:rPr>
        <w:t>Supplier</w:t>
      </w:r>
      <w:r w:rsidRPr="00EB5E38">
        <w:rPr>
          <w:rFonts w:cs="Arial"/>
          <w:sz w:val="20"/>
        </w:rPr>
        <w:t xml:space="preserve"> under the Contract or otherwise in connection with the provision of the Contract Services. Such insurance shall be maintained for </w:t>
      </w:r>
      <w:r w:rsidR="00527E29" w:rsidRPr="00EB5E38">
        <w:rPr>
          <w:rFonts w:cs="Arial"/>
          <w:sz w:val="20"/>
        </w:rPr>
        <w:t xml:space="preserve">so long as the </w:t>
      </w:r>
      <w:r w:rsidR="004104F4" w:rsidRPr="00EB5E38">
        <w:rPr>
          <w:rFonts w:cs="Arial"/>
          <w:sz w:val="20"/>
        </w:rPr>
        <w:t>Supplier</w:t>
      </w:r>
      <w:r w:rsidR="00527E29" w:rsidRPr="00EB5E38">
        <w:rPr>
          <w:rFonts w:cs="Arial"/>
          <w:sz w:val="20"/>
        </w:rPr>
        <w:t xml:space="preserve"> may have any liability to the </w:t>
      </w:r>
      <w:r w:rsidR="007D1596" w:rsidRPr="00EB5E38">
        <w:rPr>
          <w:rFonts w:cs="Arial"/>
          <w:sz w:val="20"/>
        </w:rPr>
        <w:t>Customer</w:t>
      </w:r>
      <w:r w:rsidRPr="00EB5E38">
        <w:rPr>
          <w:rFonts w:cs="Arial"/>
          <w:sz w:val="20"/>
        </w:rPr>
        <w:t xml:space="preserve">. </w:t>
      </w:r>
    </w:p>
    <w:p w14:paraId="6C683802" w14:textId="77777777" w:rsidR="00527E29" w:rsidRPr="00EB5E38" w:rsidRDefault="00527E29" w:rsidP="003C6C6B">
      <w:pPr>
        <w:pStyle w:val="Heading3"/>
        <w:rPr>
          <w:rFonts w:cs="Arial"/>
          <w:sz w:val="20"/>
        </w:rPr>
      </w:pPr>
      <w:r w:rsidRPr="00EB5E38">
        <w:rPr>
          <w:rFonts w:cs="Arial"/>
          <w:sz w:val="20"/>
        </w:rPr>
        <w:t xml:space="preserve">It shall be the responsibility of the </w:t>
      </w:r>
      <w:r w:rsidR="004104F4" w:rsidRPr="00EB5E38">
        <w:rPr>
          <w:rFonts w:cs="Arial"/>
          <w:sz w:val="20"/>
        </w:rPr>
        <w:t>Supplier</w:t>
      </w:r>
      <w:r w:rsidRPr="00EB5E38">
        <w:rPr>
          <w:rFonts w:cs="Arial"/>
          <w:sz w:val="20"/>
        </w:rPr>
        <w:t xml:space="preserve"> to determine the amount of insurance cover that will be adequate to enable the </w:t>
      </w:r>
      <w:r w:rsidR="004104F4" w:rsidRPr="00EB5E38">
        <w:rPr>
          <w:rFonts w:cs="Arial"/>
          <w:sz w:val="20"/>
        </w:rPr>
        <w:t>Supplier</w:t>
      </w:r>
      <w:r w:rsidRPr="00EB5E38">
        <w:rPr>
          <w:rFonts w:cs="Arial"/>
          <w:sz w:val="20"/>
        </w:rPr>
        <w:t xml:space="preserve"> to satisfy any liability arising in respect of the risks referred to in Clause 4.2.1.</w:t>
      </w:r>
    </w:p>
    <w:p w14:paraId="6C683803" w14:textId="77777777" w:rsidR="003C6C6B" w:rsidRPr="00EB5E38" w:rsidRDefault="003C6C6B" w:rsidP="003C6C6B">
      <w:pPr>
        <w:pStyle w:val="Heading3"/>
        <w:rPr>
          <w:rFonts w:cs="Arial"/>
          <w:sz w:val="20"/>
        </w:rPr>
      </w:pPr>
      <w:r w:rsidRPr="00EB5E38">
        <w:rPr>
          <w:rFonts w:cs="Arial"/>
          <w:sz w:val="20"/>
        </w:rPr>
        <w:t xml:space="preserve">If, for whatever reason, the </w:t>
      </w:r>
      <w:r w:rsidR="004104F4" w:rsidRPr="00EB5E38">
        <w:rPr>
          <w:rFonts w:cs="Arial"/>
          <w:sz w:val="20"/>
        </w:rPr>
        <w:t>Supplier</w:t>
      </w:r>
      <w:r w:rsidRPr="00EB5E38">
        <w:rPr>
          <w:rFonts w:cs="Arial"/>
          <w:sz w:val="20"/>
        </w:rPr>
        <w:t xml:space="preserve"> fails to give effect to and maintain the insurances required by Clause 4.2.1, the </w:t>
      </w:r>
      <w:r w:rsidR="007D1596" w:rsidRPr="00EB5E38">
        <w:rPr>
          <w:rFonts w:cs="Arial"/>
          <w:sz w:val="20"/>
        </w:rPr>
        <w:t>Customer</w:t>
      </w:r>
      <w:r w:rsidRPr="00EB5E38">
        <w:rPr>
          <w:rFonts w:cs="Arial"/>
          <w:sz w:val="20"/>
        </w:rPr>
        <w:t xml:space="preserve"> may make alternative arrangements to protect its interests and may recover the costs of such arrangements from the </w:t>
      </w:r>
      <w:r w:rsidR="004104F4" w:rsidRPr="00EB5E38">
        <w:rPr>
          <w:rFonts w:cs="Arial"/>
          <w:sz w:val="20"/>
        </w:rPr>
        <w:t>Supplier</w:t>
      </w:r>
      <w:r w:rsidRPr="00EB5E38">
        <w:rPr>
          <w:rFonts w:cs="Arial"/>
          <w:sz w:val="20"/>
        </w:rPr>
        <w:t>.</w:t>
      </w:r>
    </w:p>
    <w:p w14:paraId="6C683804" w14:textId="77777777" w:rsidR="003C6C6B" w:rsidRPr="00EB5E38" w:rsidRDefault="003C6C6B" w:rsidP="003C6C6B">
      <w:pPr>
        <w:pStyle w:val="Heading3"/>
        <w:rPr>
          <w:rFonts w:cs="Arial"/>
          <w:sz w:val="20"/>
        </w:rPr>
      </w:pPr>
      <w:r w:rsidRPr="00EB5E38">
        <w:rPr>
          <w:rFonts w:cs="Arial"/>
          <w:sz w:val="20"/>
        </w:rPr>
        <w:t xml:space="preserve">The provisions of any insurance or the amount of cover shall not relieve the </w:t>
      </w:r>
      <w:r w:rsidR="004104F4" w:rsidRPr="00EB5E38">
        <w:rPr>
          <w:rFonts w:cs="Arial"/>
          <w:sz w:val="20"/>
        </w:rPr>
        <w:t>Supplier</w:t>
      </w:r>
      <w:r w:rsidRPr="00EB5E38">
        <w:rPr>
          <w:rFonts w:cs="Arial"/>
          <w:sz w:val="20"/>
        </w:rPr>
        <w:t xml:space="preserve"> of any liabilities under the Contract. </w:t>
      </w:r>
    </w:p>
    <w:p w14:paraId="6C683805" w14:textId="77777777" w:rsidR="00F807DC" w:rsidRPr="00EB5E38" w:rsidRDefault="007562F7">
      <w:pPr>
        <w:pStyle w:val="Heading1"/>
        <w:keepNext/>
        <w:rPr>
          <w:rFonts w:cs="Arial"/>
          <w:sz w:val="20"/>
        </w:rPr>
      </w:pPr>
      <w:bookmarkStart w:id="70" w:name="_Ref313366946"/>
      <w:bookmarkStart w:id="71" w:name="_Toc386011029"/>
      <w:bookmarkEnd w:id="66"/>
      <w:r w:rsidRPr="00EB5E38">
        <w:rPr>
          <w:rFonts w:cs="Arial"/>
          <w:sz w:val="20"/>
        </w:rPr>
        <w:lastRenderedPageBreak/>
        <w:t>INTELLECTUAL PROPERTY RIGHTS</w:t>
      </w:r>
      <w:bookmarkEnd w:id="70"/>
      <w:bookmarkEnd w:id="71"/>
    </w:p>
    <w:p w14:paraId="6C683806" w14:textId="77777777" w:rsidR="00F14CCD" w:rsidRPr="00EB5E38" w:rsidRDefault="00F14CCD" w:rsidP="00F14CCD">
      <w:pPr>
        <w:pStyle w:val="Heading2"/>
        <w:rPr>
          <w:rFonts w:cs="Arial"/>
          <w:sz w:val="20"/>
        </w:rPr>
      </w:pPr>
      <w:bookmarkStart w:id="72" w:name="_Ref313373731"/>
      <w:r w:rsidRPr="00EB5E38">
        <w:rPr>
          <w:rFonts w:cs="Arial"/>
          <w:sz w:val="20"/>
        </w:rPr>
        <w:t xml:space="preserve">All Intellectual Property Rights in the output </w:t>
      </w:r>
      <w:r w:rsidR="00CB2406" w:rsidRPr="00EB5E38">
        <w:rPr>
          <w:rFonts w:cs="Arial"/>
          <w:sz w:val="20"/>
        </w:rPr>
        <w:t>from</w:t>
      </w:r>
      <w:r w:rsidRPr="00EB5E38">
        <w:rPr>
          <w:rFonts w:cs="Arial"/>
          <w:sz w:val="20"/>
        </w:rPr>
        <w:t xml:space="preserve"> the Contract Services shall vest in the </w:t>
      </w:r>
      <w:r w:rsidR="004104F4" w:rsidRPr="00EB5E38">
        <w:rPr>
          <w:rFonts w:cs="Arial"/>
          <w:sz w:val="20"/>
        </w:rPr>
        <w:t>Supplier</w:t>
      </w:r>
      <w:r w:rsidR="00B014A2" w:rsidRPr="00EB5E38">
        <w:rPr>
          <w:rFonts w:cs="Arial"/>
          <w:sz w:val="20"/>
        </w:rPr>
        <w:t xml:space="preserve"> who shall grant to the </w:t>
      </w:r>
      <w:r w:rsidR="007D1596" w:rsidRPr="00EB5E38">
        <w:rPr>
          <w:rFonts w:cs="Arial"/>
          <w:sz w:val="20"/>
        </w:rPr>
        <w:t>Customer</w:t>
      </w:r>
      <w:r w:rsidR="00B014A2" w:rsidRPr="00EB5E38">
        <w:rPr>
          <w:rFonts w:cs="Arial"/>
          <w:sz w:val="20"/>
        </w:rPr>
        <w:t xml:space="preserve"> a non-exclusive, unlimited, irrevocable licence to use and exploit the same</w:t>
      </w:r>
      <w:r w:rsidRPr="00EB5E38">
        <w:rPr>
          <w:rFonts w:cs="Arial"/>
          <w:sz w:val="20"/>
        </w:rPr>
        <w:t>.</w:t>
      </w:r>
    </w:p>
    <w:p w14:paraId="6C683807" w14:textId="77777777" w:rsidR="00F807DC" w:rsidRPr="00EB5E38" w:rsidRDefault="007562F7" w:rsidP="00F14CCD">
      <w:pPr>
        <w:pStyle w:val="Heading2"/>
        <w:rPr>
          <w:rFonts w:cs="Arial"/>
          <w:sz w:val="20"/>
        </w:rPr>
      </w:pPr>
      <w:r w:rsidRPr="00EB5E38">
        <w:rPr>
          <w:rFonts w:cs="Arial"/>
          <w:sz w:val="20"/>
        </w:rPr>
        <w:t>S</w:t>
      </w:r>
      <w:r w:rsidR="00B014A2" w:rsidRPr="00EB5E38">
        <w:rPr>
          <w:rFonts w:cs="Arial"/>
          <w:sz w:val="20"/>
        </w:rPr>
        <w:t>ubject to Clause 5.1 and s</w:t>
      </w:r>
      <w:r w:rsidRPr="00EB5E38">
        <w:rPr>
          <w:rFonts w:cs="Arial"/>
          <w:sz w:val="20"/>
        </w:rPr>
        <w:t xml:space="preserve">ave as expressly granted elsewhere under </w:t>
      </w:r>
      <w:r w:rsidR="0013772A" w:rsidRPr="00EB5E38">
        <w:rPr>
          <w:rFonts w:cs="Arial"/>
          <w:sz w:val="20"/>
        </w:rPr>
        <w:t>the Contract</w:t>
      </w:r>
      <w:bookmarkEnd w:id="72"/>
      <w:r w:rsidR="0039658B" w:rsidRPr="00EB5E38">
        <w:rPr>
          <w:rFonts w:cs="Arial"/>
          <w:sz w:val="20"/>
        </w:rPr>
        <w:t xml:space="preserve">, </w:t>
      </w:r>
      <w:r w:rsidRPr="00EB5E38">
        <w:rPr>
          <w:rFonts w:cs="Arial"/>
          <w:sz w:val="20"/>
        </w:rPr>
        <w:t xml:space="preserve">the </w:t>
      </w:r>
      <w:r w:rsidR="007D1596" w:rsidRPr="00EB5E38">
        <w:rPr>
          <w:rFonts w:cs="Arial"/>
          <w:sz w:val="20"/>
        </w:rPr>
        <w:t>Customer</w:t>
      </w:r>
      <w:r w:rsidRPr="00EB5E38">
        <w:rPr>
          <w:rFonts w:cs="Arial"/>
          <w:sz w:val="20"/>
        </w:rPr>
        <w:t xml:space="preserve"> shall not acquire any right, title or interest in or to the Intellectual Property Rights of the </w:t>
      </w:r>
      <w:r w:rsidR="004104F4" w:rsidRPr="00EB5E38">
        <w:rPr>
          <w:rFonts w:cs="Arial"/>
          <w:sz w:val="20"/>
        </w:rPr>
        <w:t>Supplier</w:t>
      </w:r>
      <w:r w:rsidRPr="00EB5E38">
        <w:rPr>
          <w:rFonts w:cs="Arial"/>
          <w:sz w:val="20"/>
        </w:rPr>
        <w:t xml:space="preserve"> or its licensors</w:t>
      </w:r>
      <w:r w:rsidR="0039658B" w:rsidRPr="00EB5E38">
        <w:rPr>
          <w:rFonts w:cs="Arial"/>
          <w:sz w:val="20"/>
        </w:rPr>
        <w:t xml:space="preserve"> </w:t>
      </w:r>
      <w:r w:rsidRPr="00EB5E38">
        <w:rPr>
          <w:rFonts w:cs="Arial"/>
          <w:sz w:val="20"/>
        </w:rPr>
        <w:t>and</w:t>
      </w:r>
      <w:r w:rsidR="0039658B" w:rsidRPr="00EB5E38">
        <w:rPr>
          <w:rFonts w:cs="Arial"/>
          <w:sz w:val="20"/>
        </w:rPr>
        <w:t xml:space="preserve"> </w:t>
      </w:r>
      <w:r w:rsidRPr="00EB5E38">
        <w:rPr>
          <w:rFonts w:cs="Arial"/>
          <w:sz w:val="20"/>
        </w:rPr>
        <w:t xml:space="preserve">the </w:t>
      </w:r>
      <w:r w:rsidR="004104F4" w:rsidRPr="00EB5E38">
        <w:rPr>
          <w:rFonts w:cs="Arial"/>
          <w:sz w:val="20"/>
        </w:rPr>
        <w:t>Supplier</w:t>
      </w:r>
      <w:r w:rsidRPr="00EB5E38">
        <w:rPr>
          <w:rFonts w:cs="Arial"/>
          <w:sz w:val="20"/>
        </w:rPr>
        <w:t xml:space="preserve"> shall not acquire any right, title or interest in or to the Intellectual Property Rights of the </w:t>
      </w:r>
      <w:r w:rsidR="007D1596" w:rsidRPr="00EB5E38">
        <w:rPr>
          <w:rFonts w:cs="Arial"/>
          <w:sz w:val="20"/>
        </w:rPr>
        <w:t>Customer</w:t>
      </w:r>
      <w:r w:rsidR="0039658B" w:rsidRPr="00EB5E38">
        <w:rPr>
          <w:rFonts w:cs="Arial"/>
          <w:sz w:val="20"/>
        </w:rPr>
        <w:t xml:space="preserve"> </w:t>
      </w:r>
      <w:r w:rsidRPr="00EB5E38">
        <w:rPr>
          <w:rFonts w:cs="Arial"/>
          <w:sz w:val="20"/>
        </w:rPr>
        <w:t>or its licensors</w:t>
      </w:r>
      <w:r w:rsidR="0039658B" w:rsidRPr="00EB5E38">
        <w:rPr>
          <w:rFonts w:cs="Arial"/>
          <w:sz w:val="20"/>
        </w:rPr>
        <w:t>.</w:t>
      </w:r>
    </w:p>
    <w:p w14:paraId="6C683808" w14:textId="77777777" w:rsidR="00F807DC" w:rsidRPr="00EB5E38" w:rsidRDefault="007562F7" w:rsidP="0039658B">
      <w:pPr>
        <w:pStyle w:val="Heading2"/>
        <w:rPr>
          <w:rFonts w:cs="Arial"/>
          <w:sz w:val="20"/>
        </w:rPr>
      </w:pPr>
      <w:bookmarkStart w:id="73" w:name="_Ref313366924"/>
      <w:r w:rsidRPr="00EB5E38">
        <w:rPr>
          <w:rFonts w:cs="Arial"/>
          <w:sz w:val="20"/>
        </w:rPr>
        <w:t xml:space="preserve">The </w:t>
      </w:r>
      <w:r w:rsidR="004104F4" w:rsidRPr="00EB5E38">
        <w:rPr>
          <w:rFonts w:cs="Arial"/>
          <w:sz w:val="20"/>
        </w:rPr>
        <w:t>Supplier</w:t>
      </w:r>
      <w:r w:rsidRPr="00EB5E38">
        <w:rPr>
          <w:rFonts w:cs="Arial"/>
          <w:sz w:val="20"/>
        </w:rPr>
        <w:t xml:space="preserve"> shall on demand</w:t>
      </w:r>
      <w:r w:rsidR="0039658B" w:rsidRPr="00EB5E38">
        <w:rPr>
          <w:rFonts w:cs="Arial"/>
          <w:sz w:val="20"/>
        </w:rPr>
        <w:t xml:space="preserve"> </w:t>
      </w:r>
      <w:r w:rsidRPr="00EB5E38">
        <w:rPr>
          <w:rFonts w:cs="Arial"/>
          <w:sz w:val="20"/>
        </w:rPr>
        <w:t xml:space="preserve">fully indemnify and keep fully indemnified and hold the </w:t>
      </w:r>
      <w:r w:rsidR="007D1596" w:rsidRPr="00EB5E38">
        <w:rPr>
          <w:rFonts w:cs="Arial"/>
          <w:sz w:val="20"/>
        </w:rPr>
        <w:t>Customer</w:t>
      </w:r>
      <w:r w:rsidRPr="00EB5E38">
        <w:rPr>
          <w:rFonts w:cs="Arial"/>
          <w:sz w:val="20"/>
        </w:rPr>
        <w:t xml:space="preserve"> and the Crown harmless from and against all actions, suits, claims, demands, losses, charges, damages, costs and expenses and other liabilities which the </w:t>
      </w:r>
      <w:r w:rsidR="007D1596" w:rsidRPr="00EB5E38">
        <w:rPr>
          <w:rFonts w:cs="Arial"/>
          <w:sz w:val="20"/>
        </w:rPr>
        <w:t>Customer</w:t>
      </w:r>
      <w:r w:rsidR="0039658B" w:rsidRPr="00EB5E38">
        <w:rPr>
          <w:rFonts w:cs="Arial"/>
          <w:sz w:val="20"/>
        </w:rPr>
        <w:t xml:space="preserve"> </w:t>
      </w:r>
      <w:r w:rsidRPr="00EB5E38">
        <w:rPr>
          <w:rFonts w:cs="Arial"/>
          <w:sz w:val="20"/>
        </w:rPr>
        <w:t xml:space="preserve">and or the Crown may suffer or incur as a result of any claim that the performance by the </w:t>
      </w:r>
      <w:r w:rsidR="004104F4" w:rsidRPr="00EB5E38">
        <w:rPr>
          <w:rFonts w:cs="Arial"/>
          <w:sz w:val="20"/>
        </w:rPr>
        <w:t>Supplier</w:t>
      </w:r>
      <w:r w:rsidRPr="00EB5E38">
        <w:rPr>
          <w:rFonts w:cs="Arial"/>
          <w:sz w:val="20"/>
        </w:rPr>
        <w:t xml:space="preserve"> of the </w:t>
      </w:r>
      <w:r w:rsidR="00162C54" w:rsidRPr="00EB5E38">
        <w:rPr>
          <w:rFonts w:cs="Arial"/>
          <w:sz w:val="20"/>
        </w:rPr>
        <w:t>Contract Services</w:t>
      </w:r>
      <w:r w:rsidR="00706BB4" w:rsidRPr="00EB5E38">
        <w:rPr>
          <w:rFonts w:cs="Arial"/>
          <w:sz w:val="20"/>
        </w:rPr>
        <w:t xml:space="preserve"> </w:t>
      </w:r>
      <w:r w:rsidRPr="00EB5E38">
        <w:rPr>
          <w:rFonts w:cs="Arial"/>
          <w:sz w:val="20"/>
        </w:rPr>
        <w:t>infringes or allegedly infringes a third party's Intellectual Property Rights (</w:t>
      </w:r>
      <w:r w:rsidR="0039658B" w:rsidRPr="00EB5E38">
        <w:rPr>
          <w:rFonts w:cs="Arial"/>
          <w:sz w:val="20"/>
        </w:rPr>
        <w:t>any such claim being a</w:t>
      </w:r>
      <w:r w:rsidR="0014427F" w:rsidRPr="00EB5E38">
        <w:rPr>
          <w:rFonts w:cs="Arial"/>
          <w:sz w:val="20"/>
        </w:rPr>
        <w:t xml:space="preserve"> </w:t>
      </w:r>
      <w:r w:rsidRPr="00EB5E38">
        <w:rPr>
          <w:rFonts w:cs="Arial"/>
          <w:sz w:val="20"/>
        </w:rPr>
        <w:t>"</w:t>
      </w:r>
      <w:r w:rsidRPr="00EB5E38">
        <w:rPr>
          <w:rFonts w:cs="Arial"/>
          <w:b/>
          <w:sz w:val="20"/>
        </w:rPr>
        <w:t>Claim</w:t>
      </w:r>
      <w:r w:rsidRPr="00EB5E38">
        <w:rPr>
          <w:rFonts w:cs="Arial"/>
          <w:sz w:val="20"/>
        </w:rPr>
        <w:t>")</w:t>
      </w:r>
      <w:bookmarkEnd w:id="73"/>
      <w:r w:rsidR="0039658B" w:rsidRPr="00EB5E38">
        <w:rPr>
          <w:rFonts w:cs="Arial"/>
          <w:sz w:val="20"/>
        </w:rPr>
        <w:t>.</w:t>
      </w:r>
    </w:p>
    <w:p w14:paraId="6C683809" w14:textId="77777777" w:rsidR="00F807DC" w:rsidRPr="00EB5E38" w:rsidRDefault="00B014A2">
      <w:pPr>
        <w:pStyle w:val="Heading2"/>
        <w:rPr>
          <w:rFonts w:cs="Arial"/>
          <w:sz w:val="20"/>
        </w:rPr>
      </w:pPr>
      <w:r w:rsidRPr="00EB5E38">
        <w:rPr>
          <w:rFonts w:cs="Arial"/>
          <w:sz w:val="20"/>
        </w:rPr>
        <w:t>If a Claim arises, t</w:t>
      </w:r>
      <w:r w:rsidR="007562F7" w:rsidRPr="00EB5E38">
        <w:rPr>
          <w:rFonts w:cs="Arial"/>
          <w:sz w:val="20"/>
        </w:rPr>
        <w:t xml:space="preserve">he </w:t>
      </w:r>
      <w:r w:rsidR="007D1596" w:rsidRPr="00EB5E38">
        <w:rPr>
          <w:rFonts w:cs="Arial"/>
          <w:sz w:val="20"/>
        </w:rPr>
        <w:t>Customer</w:t>
      </w:r>
      <w:r w:rsidR="007562F7" w:rsidRPr="00EB5E38">
        <w:rPr>
          <w:rFonts w:cs="Arial"/>
          <w:sz w:val="20"/>
        </w:rPr>
        <w:t xml:space="preserve"> shall notify the </w:t>
      </w:r>
      <w:r w:rsidR="004104F4" w:rsidRPr="00EB5E38">
        <w:rPr>
          <w:rFonts w:cs="Arial"/>
          <w:sz w:val="20"/>
        </w:rPr>
        <w:t>Supplier</w:t>
      </w:r>
      <w:r w:rsidR="007562F7" w:rsidRPr="00EB5E38">
        <w:rPr>
          <w:rFonts w:cs="Arial"/>
          <w:sz w:val="20"/>
        </w:rPr>
        <w:t xml:space="preserve"> in writing of the Claim and the </w:t>
      </w:r>
      <w:r w:rsidR="007D1596" w:rsidRPr="00EB5E38">
        <w:rPr>
          <w:rFonts w:cs="Arial"/>
          <w:sz w:val="20"/>
        </w:rPr>
        <w:t>Customer</w:t>
      </w:r>
      <w:r w:rsidR="007562F7" w:rsidRPr="00EB5E38">
        <w:rPr>
          <w:rFonts w:cs="Arial"/>
          <w:sz w:val="20"/>
        </w:rPr>
        <w:t xml:space="preserve"> shall not make any admissions which may be prejudicial to the defence or settlement of the Claim. The </w:t>
      </w:r>
      <w:r w:rsidR="004104F4" w:rsidRPr="00EB5E38">
        <w:rPr>
          <w:rFonts w:cs="Arial"/>
          <w:sz w:val="20"/>
        </w:rPr>
        <w:t>Supplier</w:t>
      </w:r>
      <w:r w:rsidR="007562F7" w:rsidRPr="00EB5E38">
        <w:rPr>
          <w:rFonts w:cs="Arial"/>
          <w:sz w:val="20"/>
        </w:rPr>
        <w:t xml:space="preserve"> shall at its own expense conduct all negotiations and any litigation arising in connection with the Claim provided always that the </w:t>
      </w:r>
      <w:r w:rsidR="004104F4" w:rsidRPr="00EB5E38">
        <w:rPr>
          <w:rFonts w:cs="Arial"/>
          <w:sz w:val="20"/>
        </w:rPr>
        <w:t>Supplier</w:t>
      </w:r>
      <w:r w:rsidR="007562F7" w:rsidRPr="00EB5E38">
        <w:rPr>
          <w:rFonts w:cs="Arial"/>
          <w:sz w:val="20"/>
        </w:rPr>
        <w:t xml:space="preserve">: </w:t>
      </w:r>
    </w:p>
    <w:p w14:paraId="6C68380A" w14:textId="77777777" w:rsidR="00F807DC" w:rsidRPr="00EB5E38" w:rsidRDefault="007562F7">
      <w:pPr>
        <w:pStyle w:val="Heading3"/>
        <w:rPr>
          <w:rFonts w:cs="Arial"/>
          <w:sz w:val="20"/>
        </w:rPr>
      </w:pPr>
      <w:r w:rsidRPr="00EB5E38">
        <w:rPr>
          <w:rFonts w:cs="Arial"/>
          <w:sz w:val="20"/>
        </w:rPr>
        <w:t xml:space="preserve">shall consult the </w:t>
      </w:r>
      <w:r w:rsidR="007D1596" w:rsidRPr="00EB5E38">
        <w:rPr>
          <w:rFonts w:cs="Arial"/>
          <w:sz w:val="20"/>
        </w:rPr>
        <w:t>Customer</w:t>
      </w:r>
      <w:r w:rsidRPr="00EB5E38">
        <w:rPr>
          <w:rFonts w:cs="Arial"/>
          <w:sz w:val="20"/>
        </w:rPr>
        <w:t xml:space="preserve"> on all substantive issues which arise during the conduct of such litigation and negotiations;</w:t>
      </w:r>
    </w:p>
    <w:p w14:paraId="6C68380B" w14:textId="77777777" w:rsidR="00F807DC" w:rsidRPr="00EB5E38" w:rsidRDefault="007562F7">
      <w:pPr>
        <w:pStyle w:val="Heading3"/>
        <w:rPr>
          <w:rFonts w:cs="Arial"/>
          <w:sz w:val="20"/>
        </w:rPr>
      </w:pPr>
      <w:r w:rsidRPr="00EB5E38">
        <w:rPr>
          <w:rFonts w:cs="Arial"/>
          <w:sz w:val="20"/>
        </w:rPr>
        <w:t xml:space="preserve">shall take due and proper account of the interests of the </w:t>
      </w:r>
      <w:r w:rsidR="007D1596" w:rsidRPr="00EB5E38">
        <w:rPr>
          <w:rFonts w:cs="Arial"/>
          <w:sz w:val="20"/>
        </w:rPr>
        <w:t>Customer</w:t>
      </w:r>
      <w:r w:rsidR="0039658B" w:rsidRPr="00EB5E38">
        <w:rPr>
          <w:rFonts w:cs="Arial"/>
          <w:sz w:val="20"/>
        </w:rPr>
        <w:t>;</w:t>
      </w:r>
    </w:p>
    <w:p w14:paraId="6C68380C" w14:textId="77777777" w:rsidR="00F807DC" w:rsidRPr="00EB5E38" w:rsidRDefault="007562F7">
      <w:pPr>
        <w:pStyle w:val="Heading3"/>
        <w:rPr>
          <w:rFonts w:cs="Arial"/>
          <w:sz w:val="20"/>
        </w:rPr>
      </w:pPr>
      <w:r w:rsidRPr="00EB5E38">
        <w:rPr>
          <w:rFonts w:cs="Arial"/>
          <w:sz w:val="20"/>
        </w:rPr>
        <w:t xml:space="preserve">shall consider and defend the Claim diligently using competent counsel and in such a way as not to bring the reputation of the </w:t>
      </w:r>
      <w:r w:rsidR="007D1596" w:rsidRPr="00EB5E38">
        <w:rPr>
          <w:rFonts w:cs="Arial"/>
          <w:sz w:val="20"/>
        </w:rPr>
        <w:t>Customer</w:t>
      </w:r>
      <w:r w:rsidRPr="00EB5E38">
        <w:rPr>
          <w:rFonts w:cs="Arial"/>
          <w:sz w:val="20"/>
        </w:rPr>
        <w:t xml:space="preserve"> into disrepute; and</w:t>
      </w:r>
    </w:p>
    <w:p w14:paraId="6C68380D" w14:textId="77777777" w:rsidR="00F807DC" w:rsidRPr="00EB5E38" w:rsidRDefault="007562F7">
      <w:pPr>
        <w:pStyle w:val="Heading3"/>
        <w:rPr>
          <w:rFonts w:cs="Arial"/>
          <w:sz w:val="20"/>
        </w:rPr>
      </w:pPr>
      <w:r w:rsidRPr="00EB5E38">
        <w:rPr>
          <w:rFonts w:cs="Arial"/>
          <w:sz w:val="20"/>
        </w:rPr>
        <w:t>shall not settle o</w:t>
      </w:r>
      <w:r w:rsidR="00962D53" w:rsidRPr="00EB5E38">
        <w:rPr>
          <w:rFonts w:cs="Arial"/>
          <w:sz w:val="20"/>
        </w:rPr>
        <w:t>r compromise the Claim without the prior written a</w:t>
      </w:r>
      <w:r w:rsidRPr="00EB5E38">
        <w:rPr>
          <w:rFonts w:cs="Arial"/>
          <w:sz w:val="20"/>
        </w:rPr>
        <w:t xml:space="preserve">pproval </w:t>
      </w:r>
      <w:r w:rsidR="00962D53" w:rsidRPr="00EB5E38">
        <w:rPr>
          <w:rFonts w:cs="Arial"/>
          <w:sz w:val="20"/>
        </w:rPr>
        <w:t xml:space="preserve">of the </w:t>
      </w:r>
      <w:r w:rsidR="007D1596" w:rsidRPr="00EB5E38">
        <w:rPr>
          <w:rFonts w:cs="Arial"/>
          <w:sz w:val="20"/>
        </w:rPr>
        <w:t>Customer</w:t>
      </w:r>
      <w:r w:rsidR="00962D53" w:rsidRPr="00EB5E38">
        <w:rPr>
          <w:rFonts w:cs="Arial"/>
          <w:sz w:val="20"/>
        </w:rPr>
        <w:t xml:space="preserve"> </w:t>
      </w:r>
      <w:r w:rsidRPr="00EB5E38">
        <w:rPr>
          <w:rFonts w:cs="Arial"/>
          <w:sz w:val="20"/>
        </w:rPr>
        <w:t>(not to be unreasonably withheld or delayed).</w:t>
      </w:r>
    </w:p>
    <w:p w14:paraId="6C68380E" w14:textId="77777777" w:rsidR="00F807DC" w:rsidRPr="00EB5E38" w:rsidRDefault="007562F7">
      <w:pPr>
        <w:pStyle w:val="Heading2"/>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have no rights to use any of the </w:t>
      </w:r>
      <w:r w:rsidR="007D1596" w:rsidRPr="00EB5E38">
        <w:rPr>
          <w:rFonts w:cs="Arial"/>
          <w:sz w:val="20"/>
        </w:rPr>
        <w:t>Customer</w:t>
      </w:r>
      <w:r w:rsidRPr="00EB5E38">
        <w:rPr>
          <w:rFonts w:cs="Arial"/>
          <w:sz w:val="20"/>
        </w:rPr>
        <w:t xml:space="preserve">’s names, logos or trademarks without </w:t>
      </w:r>
      <w:r w:rsidR="00962D53" w:rsidRPr="00EB5E38">
        <w:rPr>
          <w:rFonts w:cs="Arial"/>
          <w:sz w:val="20"/>
        </w:rPr>
        <w:t xml:space="preserve">the </w:t>
      </w:r>
      <w:r w:rsidRPr="00EB5E38">
        <w:rPr>
          <w:rFonts w:cs="Arial"/>
          <w:sz w:val="20"/>
        </w:rPr>
        <w:t xml:space="preserve">prior </w:t>
      </w:r>
      <w:r w:rsidR="00962D53" w:rsidRPr="00EB5E38">
        <w:rPr>
          <w:rFonts w:cs="Arial"/>
          <w:sz w:val="20"/>
        </w:rPr>
        <w:t>written a</w:t>
      </w:r>
      <w:r w:rsidRPr="00EB5E38">
        <w:rPr>
          <w:rFonts w:cs="Arial"/>
          <w:sz w:val="20"/>
        </w:rPr>
        <w:t>pproval</w:t>
      </w:r>
      <w:r w:rsidR="00962D53" w:rsidRPr="00EB5E38">
        <w:rPr>
          <w:rFonts w:cs="Arial"/>
          <w:sz w:val="20"/>
        </w:rPr>
        <w:t xml:space="preserve"> of the </w:t>
      </w:r>
      <w:r w:rsidR="007D1596" w:rsidRPr="00EB5E38">
        <w:rPr>
          <w:rFonts w:cs="Arial"/>
          <w:sz w:val="20"/>
        </w:rPr>
        <w:t>Customer</w:t>
      </w:r>
      <w:r w:rsidRPr="00EB5E38">
        <w:rPr>
          <w:rFonts w:cs="Arial"/>
          <w:sz w:val="20"/>
        </w:rPr>
        <w:t>.</w:t>
      </w:r>
    </w:p>
    <w:p w14:paraId="6C68380F" w14:textId="77777777" w:rsidR="00F807DC" w:rsidRPr="00EB5E38" w:rsidRDefault="007562F7">
      <w:pPr>
        <w:pStyle w:val="Heading1"/>
        <w:keepNext/>
        <w:rPr>
          <w:rFonts w:cs="Arial"/>
          <w:sz w:val="20"/>
        </w:rPr>
      </w:pPr>
      <w:bookmarkStart w:id="74" w:name="_Ref313367870"/>
      <w:bookmarkStart w:id="75" w:name="_Toc386011030"/>
      <w:r w:rsidRPr="00EB5E38">
        <w:rPr>
          <w:rFonts w:cs="Arial"/>
          <w:sz w:val="20"/>
        </w:rPr>
        <w:t>PROTECTION OF INFORMATION</w:t>
      </w:r>
      <w:bookmarkEnd w:id="74"/>
      <w:bookmarkEnd w:id="75"/>
    </w:p>
    <w:p w14:paraId="6C683810" w14:textId="77777777" w:rsidR="00F807DC" w:rsidRPr="00EB5E38" w:rsidRDefault="007562F7" w:rsidP="0014427F">
      <w:pPr>
        <w:pStyle w:val="Heading2"/>
        <w:keepNext/>
        <w:keepLines/>
        <w:rPr>
          <w:rFonts w:cs="Arial"/>
          <w:b/>
          <w:sz w:val="20"/>
        </w:rPr>
      </w:pPr>
      <w:bookmarkStart w:id="76" w:name="_Ref313367297"/>
      <w:r w:rsidRPr="00EB5E38">
        <w:rPr>
          <w:rFonts w:cs="Arial"/>
          <w:b/>
          <w:sz w:val="20"/>
        </w:rPr>
        <w:t>Protection of Personal Data</w:t>
      </w:r>
      <w:bookmarkEnd w:id="76"/>
    </w:p>
    <w:p w14:paraId="6C683811" w14:textId="77777777" w:rsidR="00F807DC" w:rsidRPr="00EB5E38" w:rsidRDefault="007562F7" w:rsidP="002015CC">
      <w:pPr>
        <w:pStyle w:val="Heading3"/>
        <w:rPr>
          <w:rFonts w:cs="Arial"/>
          <w:sz w:val="20"/>
        </w:rPr>
      </w:pPr>
      <w:r w:rsidRPr="00EB5E38">
        <w:rPr>
          <w:rFonts w:cs="Arial"/>
          <w:sz w:val="20"/>
        </w:rPr>
        <w:t xml:space="preserve">With respect to the Parties' rights and obligations under </w:t>
      </w:r>
      <w:r w:rsidR="0013772A" w:rsidRPr="00EB5E38">
        <w:rPr>
          <w:rFonts w:cs="Arial"/>
          <w:sz w:val="20"/>
        </w:rPr>
        <w:t>the Contract</w:t>
      </w:r>
      <w:r w:rsidRPr="00EB5E38">
        <w:rPr>
          <w:rFonts w:cs="Arial"/>
          <w:sz w:val="20"/>
        </w:rPr>
        <w:t xml:space="preserve">, the Parties agree that the </w:t>
      </w:r>
      <w:r w:rsidR="007D1596" w:rsidRPr="00EB5E38">
        <w:rPr>
          <w:rFonts w:cs="Arial"/>
          <w:sz w:val="20"/>
        </w:rPr>
        <w:t>Customer</w:t>
      </w:r>
      <w:r w:rsidRPr="00EB5E38">
        <w:rPr>
          <w:rFonts w:cs="Arial"/>
          <w:sz w:val="20"/>
        </w:rPr>
        <w:t xml:space="preserve"> is the Data Controller and that the </w:t>
      </w:r>
      <w:r w:rsidR="004104F4" w:rsidRPr="00EB5E38">
        <w:rPr>
          <w:rFonts w:cs="Arial"/>
          <w:sz w:val="20"/>
        </w:rPr>
        <w:t>Supplier</w:t>
      </w:r>
      <w:r w:rsidRPr="00EB5E38">
        <w:rPr>
          <w:rFonts w:cs="Arial"/>
          <w:sz w:val="20"/>
        </w:rPr>
        <w:t xml:space="preserve"> is the Data Processor in relation to the </w:t>
      </w:r>
      <w:r w:rsidR="007D1596" w:rsidRPr="00EB5E38">
        <w:rPr>
          <w:rFonts w:cs="Arial"/>
          <w:sz w:val="20"/>
        </w:rPr>
        <w:t>Customer</w:t>
      </w:r>
      <w:r w:rsidRPr="00EB5E38">
        <w:rPr>
          <w:rFonts w:cs="Arial"/>
          <w:sz w:val="20"/>
        </w:rPr>
        <w:t>’s Personal Data.</w:t>
      </w:r>
    </w:p>
    <w:p w14:paraId="6C683812"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w:t>
      </w:r>
    </w:p>
    <w:p w14:paraId="6C683813" w14:textId="77777777" w:rsidR="00F807DC" w:rsidRPr="00EB5E38" w:rsidRDefault="007562F7" w:rsidP="00880E10">
      <w:pPr>
        <w:pStyle w:val="Heading4"/>
      </w:pPr>
      <w:r w:rsidRPr="00EB5E38">
        <w:t xml:space="preserve">Process the </w:t>
      </w:r>
      <w:r w:rsidR="007D1596" w:rsidRPr="00EB5E38">
        <w:t>Customer</w:t>
      </w:r>
      <w:r w:rsidRPr="00EB5E38">
        <w:t xml:space="preserve">’s Personal Data only in accordance with instructions from the </w:t>
      </w:r>
      <w:r w:rsidR="007D1596" w:rsidRPr="00EB5E38">
        <w:t>Customer</w:t>
      </w:r>
      <w:r w:rsidRPr="00EB5E38">
        <w:t xml:space="preserve"> (which may be specific instructions or instructions of a general nature as set out in </w:t>
      </w:r>
      <w:r w:rsidR="0013772A" w:rsidRPr="00EB5E38">
        <w:t>the Contract</w:t>
      </w:r>
      <w:r w:rsidRPr="00EB5E38">
        <w:t xml:space="preserve"> or as otherwise notified by the </w:t>
      </w:r>
      <w:r w:rsidR="007D1596" w:rsidRPr="00EB5E38">
        <w:t>Customer</w:t>
      </w:r>
      <w:r w:rsidRPr="00EB5E38">
        <w:t xml:space="preserve"> to the </w:t>
      </w:r>
      <w:r w:rsidR="004104F4" w:rsidRPr="00EB5E38">
        <w:t>Supplier</w:t>
      </w:r>
      <w:r w:rsidRPr="00EB5E38">
        <w:t xml:space="preserve"> during the </w:t>
      </w:r>
      <w:r w:rsidR="009B0F73" w:rsidRPr="00EB5E38">
        <w:t xml:space="preserve">term of the </w:t>
      </w:r>
      <w:r w:rsidRPr="00EB5E38">
        <w:t>Contract);</w:t>
      </w:r>
    </w:p>
    <w:p w14:paraId="6C683814" w14:textId="77777777" w:rsidR="00F807DC" w:rsidRPr="00EB5E38" w:rsidRDefault="007562F7" w:rsidP="00880E10">
      <w:pPr>
        <w:pStyle w:val="Heading4"/>
      </w:pPr>
      <w:r w:rsidRPr="00EB5E38">
        <w:t xml:space="preserve">Process the </w:t>
      </w:r>
      <w:r w:rsidR="007D1596" w:rsidRPr="00EB5E38">
        <w:t>Customer</w:t>
      </w:r>
      <w:r w:rsidRPr="00EB5E38">
        <w:t xml:space="preserve">’s Personal Data only to the extent, and in such manner, as is necessary for the provision of the </w:t>
      </w:r>
      <w:r w:rsidR="0064162E" w:rsidRPr="00EB5E38">
        <w:t xml:space="preserve">Contract </w:t>
      </w:r>
      <w:r w:rsidRPr="00EB5E38">
        <w:t>Services or as is required by Law or any Regulatory Body;</w:t>
      </w:r>
    </w:p>
    <w:p w14:paraId="6C683815" w14:textId="77777777" w:rsidR="00F807DC" w:rsidRPr="00EB5E38" w:rsidRDefault="007562F7" w:rsidP="00880E10">
      <w:pPr>
        <w:pStyle w:val="Heading4"/>
      </w:pPr>
      <w:r w:rsidRPr="00EB5E38">
        <w:lastRenderedPageBreak/>
        <w:t xml:space="preserve">implement appropriate technical and organisational measures to protect the </w:t>
      </w:r>
      <w:r w:rsidR="007D1596" w:rsidRPr="00EB5E38">
        <w:t>Customer</w:t>
      </w:r>
      <w:r w:rsidRPr="00EB5E38">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rsidRPr="00EB5E38">
        <w:t>Customer</w:t>
      </w:r>
      <w:r w:rsidRPr="00EB5E38">
        <w:t xml:space="preserve">’s Personal Data and having regard to the nature of the </w:t>
      </w:r>
      <w:r w:rsidR="007D1596" w:rsidRPr="00EB5E38">
        <w:t>Customer</w:t>
      </w:r>
      <w:r w:rsidRPr="00EB5E38">
        <w:t>’s  Personal Data which is to be protected;</w:t>
      </w:r>
    </w:p>
    <w:p w14:paraId="6C683816" w14:textId="77777777" w:rsidR="00F807DC" w:rsidRPr="00EB5E38" w:rsidRDefault="007562F7" w:rsidP="00880E10">
      <w:pPr>
        <w:pStyle w:val="Heading4"/>
      </w:pPr>
      <w:r w:rsidRPr="00EB5E38">
        <w:t xml:space="preserve">take reasonable steps to ensure the reliability of </w:t>
      </w:r>
      <w:r w:rsidR="00B823BC" w:rsidRPr="00EB5E38">
        <w:t xml:space="preserve">all members of the </w:t>
      </w:r>
      <w:r w:rsidR="004104F4" w:rsidRPr="00EB5E38">
        <w:t>Supplier</w:t>
      </w:r>
      <w:r w:rsidR="00B823BC" w:rsidRPr="00EB5E38">
        <w:t>’s</w:t>
      </w:r>
      <w:r w:rsidRPr="00EB5E38">
        <w:t xml:space="preserve"> Staff who have access to the </w:t>
      </w:r>
      <w:r w:rsidR="007D1596" w:rsidRPr="00EB5E38">
        <w:t>Customer</w:t>
      </w:r>
      <w:r w:rsidRPr="00EB5E38">
        <w:t>’s Personal Data;</w:t>
      </w:r>
    </w:p>
    <w:p w14:paraId="6C683817" w14:textId="77777777" w:rsidR="00F807DC" w:rsidRPr="00EB5E38" w:rsidRDefault="00962D53" w:rsidP="00880E10">
      <w:pPr>
        <w:pStyle w:val="Heading4"/>
      </w:pPr>
      <w:r w:rsidRPr="00EB5E38">
        <w:t xml:space="preserve">obtain the </w:t>
      </w:r>
      <w:r w:rsidR="007D1596" w:rsidRPr="00EB5E38">
        <w:t>Customer</w:t>
      </w:r>
      <w:r w:rsidRPr="00EB5E38">
        <w:t>’s prior written a</w:t>
      </w:r>
      <w:r w:rsidR="007562F7" w:rsidRPr="00EB5E38">
        <w:t xml:space="preserve">pproval in order to transfer </w:t>
      </w:r>
      <w:r w:rsidRPr="00EB5E38">
        <w:t xml:space="preserve">all or any of </w:t>
      </w:r>
      <w:r w:rsidR="007562F7" w:rsidRPr="00EB5E38">
        <w:t xml:space="preserve">the </w:t>
      </w:r>
      <w:r w:rsidR="007D1596" w:rsidRPr="00EB5E38">
        <w:t>Customer</w:t>
      </w:r>
      <w:r w:rsidR="007562F7" w:rsidRPr="00EB5E38">
        <w:t xml:space="preserve">’s Personal Data to any Sub-Contractors for the provision of the </w:t>
      </w:r>
      <w:r w:rsidR="00162C54" w:rsidRPr="00EB5E38">
        <w:t>Contract Services</w:t>
      </w:r>
      <w:r w:rsidR="007562F7" w:rsidRPr="00EB5E38">
        <w:t>;</w:t>
      </w:r>
    </w:p>
    <w:p w14:paraId="6C683818" w14:textId="77777777" w:rsidR="00F807DC" w:rsidRPr="00EB5E38" w:rsidRDefault="007562F7" w:rsidP="00880E10">
      <w:pPr>
        <w:pStyle w:val="Heading4"/>
      </w:pPr>
      <w:r w:rsidRPr="00EB5E38">
        <w:t xml:space="preserve">ensure that all </w:t>
      </w:r>
      <w:r w:rsidR="00B823BC" w:rsidRPr="00EB5E38">
        <w:t xml:space="preserve">members of the </w:t>
      </w:r>
      <w:r w:rsidR="004104F4" w:rsidRPr="00EB5E38">
        <w:t>Supplier</w:t>
      </w:r>
      <w:r w:rsidR="00B823BC" w:rsidRPr="00EB5E38">
        <w:t xml:space="preserve">’s </w:t>
      </w:r>
      <w:r w:rsidRPr="00EB5E38">
        <w:t xml:space="preserve">Staff required to access the </w:t>
      </w:r>
      <w:r w:rsidR="00E60BBC" w:rsidRPr="00EB5E38">
        <w:t xml:space="preserve">Customer’s </w:t>
      </w:r>
      <w:r w:rsidRPr="00EB5E38">
        <w:t xml:space="preserve">Personal Data are informed of the confidential nature of the </w:t>
      </w:r>
      <w:r w:rsidR="00E60BBC" w:rsidRPr="00EB5E38">
        <w:t xml:space="preserve">Customer’s </w:t>
      </w:r>
      <w:r w:rsidRPr="00EB5E38">
        <w:t xml:space="preserve">Personal Data and comply with the obligations set out in this </w:t>
      </w:r>
      <w:r w:rsidR="00E6002D" w:rsidRPr="00EB5E38">
        <w:t>Clause </w:t>
      </w:r>
      <w:r w:rsidR="00621BF7" w:rsidRPr="00EB5E38">
        <w:t>6.1</w:t>
      </w:r>
      <w:r w:rsidRPr="00EB5E38">
        <w:t>;</w:t>
      </w:r>
    </w:p>
    <w:p w14:paraId="6C683819" w14:textId="77777777" w:rsidR="00F807DC" w:rsidRPr="00EB5E38" w:rsidRDefault="007562F7" w:rsidP="00880E10">
      <w:pPr>
        <w:pStyle w:val="Heading4"/>
      </w:pPr>
      <w:r w:rsidRPr="00EB5E38">
        <w:t xml:space="preserve">ensure that none of the </w:t>
      </w:r>
      <w:r w:rsidR="004104F4" w:rsidRPr="00EB5E38">
        <w:t>Supplier</w:t>
      </w:r>
      <w:r w:rsidR="00B014A2" w:rsidRPr="00EB5E38">
        <w:t xml:space="preserve">’s </w:t>
      </w:r>
      <w:r w:rsidRPr="00EB5E38">
        <w:t xml:space="preserve">Staff publish, disclose or divulge any of the </w:t>
      </w:r>
      <w:r w:rsidR="007D1596" w:rsidRPr="00EB5E38">
        <w:t>Customer</w:t>
      </w:r>
      <w:r w:rsidRPr="00EB5E38">
        <w:t xml:space="preserve">’s Personal Data to any third party unless directed in writing to do so by the </w:t>
      </w:r>
      <w:r w:rsidR="007D1596" w:rsidRPr="00EB5E38">
        <w:t>Customer</w:t>
      </w:r>
      <w:r w:rsidRPr="00EB5E38">
        <w:t>;</w:t>
      </w:r>
    </w:p>
    <w:p w14:paraId="6C68381A" w14:textId="77777777" w:rsidR="00F807DC" w:rsidRPr="00EB5E38" w:rsidRDefault="007562F7" w:rsidP="00880E10">
      <w:pPr>
        <w:pStyle w:val="Heading4"/>
      </w:pPr>
      <w:r w:rsidRPr="00EB5E38">
        <w:t xml:space="preserve">notify the </w:t>
      </w:r>
      <w:r w:rsidR="007D1596" w:rsidRPr="00EB5E38">
        <w:t>Customer</w:t>
      </w:r>
      <w:r w:rsidR="00B823BC" w:rsidRPr="00EB5E38">
        <w:t xml:space="preserve"> within five (5) Working Days</w:t>
      </w:r>
      <w:r w:rsidRPr="00EB5E38">
        <w:t xml:space="preserve"> if </w:t>
      </w:r>
      <w:r w:rsidR="00B823BC" w:rsidRPr="00EB5E38">
        <w:t xml:space="preserve">the </w:t>
      </w:r>
      <w:r w:rsidR="004104F4" w:rsidRPr="00EB5E38">
        <w:t>Supplier</w:t>
      </w:r>
      <w:r w:rsidRPr="00EB5E38">
        <w:t xml:space="preserve"> receives:</w:t>
      </w:r>
    </w:p>
    <w:p w14:paraId="6C68381B" w14:textId="77777777" w:rsidR="00F807DC" w:rsidRPr="00EB5E38" w:rsidRDefault="007562F7" w:rsidP="002015CC">
      <w:pPr>
        <w:pStyle w:val="Heading5"/>
        <w:rPr>
          <w:rFonts w:cs="Arial"/>
          <w:sz w:val="20"/>
        </w:rPr>
      </w:pPr>
      <w:r w:rsidRPr="00EB5E38">
        <w:rPr>
          <w:rFonts w:cs="Arial"/>
          <w:sz w:val="20"/>
        </w:rPr>
        <w:t xml:space="preserve">a request from a Data Subject to have access to the </w:t>
      </w:r>
      <w:r w:rsidR="007D1596" w:rsidRPr="00EB5E38">
        <w:rPr>
          <w:rFonts w:cs="Arial"/>
          <w:sz w:val="20"/>
        </w:rPr>
        <w:t>Customer</w:t>
      </w:r>
      <w:r w:rsidRPr="00EB5E38">
        <w:rPr>
          <w:rFonts w:cs="Arial"/>
          <w:sz w:val="20"/>
        </w:rPr>
        <w:t>’s Personal Data relating to that person; or</w:t>
      </w:r>
    </w:p>
    <w:p w14:paraId="6C68381C" w14:textId="77777777" w:rsidR="00F807DC" w:rsidRPr="00EB5E38" w:rsidRDefault="007562F7" w:rsidP="002015CC">
      <w:pPr>
        <w:pStyle w:val="Heading5"/>
        <w:rPr>
          <w:rFonts w:cs="Arial"/>
          <w:sz w:val="20"/>
        </w:rPr>
      </w:pPr>
      <w:r w:rsidRPr="00EB5E38">
        <w:rPr>
          <w:rFonts w:cs="Arial"/>
          <w:sz w:val="20"/>
        </w:rPr>
        <w:t xml:space="preserve">a complaint or request relating to the </w:t>
      </w:r>
      <w:r w:rsidR="007D1596" w:rsidRPr="00EB5E38">
        <w:rPr>
          <w:rFonts w:cs="Arial"/>
          <w:sz w:val="20"/>
        </w:rPr>
        <w:t>Customer</w:t>
      </w:r>
      <w:r w:rsidRPr="00EB5E38">
        <w:rPr>
          <w:rFonts w:cs="Arial"/>
          <w:sz w:val="20"/>
        </w:rPr>
        <w:t>'s obligations under the Data Protection Legislation;</w:t>
      </w:r>
    </w:p>
    <w:p w14:paraId="6C68381D" w14:textId="77777777" w:rsidR="00F807DC" w:rsidRPr="00EB5E38" w:rsidRDefault="007562F7" w:rsidP="00880E10">
      <w:pPr>
        <w:pStyle w:val="Heading4"/>
      </w:pPr>
      <w:r w:rsidRPr="00EB5E38">
        <w:t xml:space="preserve">provide the </w:t>
      </w:r>
      <w:r w:rsidR="007D1596" w:rsidRPr="00EB5E38">
        <w:t>Customer</w:t>
      </w:r>
      <w:r w:rsidRPr="00EB5E38">
        <w:t xml:space="preserve"> with full cooperation and assistance in relation to any complaint or request made relating to the </w:t>
      </w:r>
      <w:r w:rsidR="007D1596" w:rsidRPr="00EB5E38">
        <w:t>Customer</w:t>
      </w:r>
      <w:r w:rsidRPr="00EB5E38">
        <w:t>’s Personal Data, including by:</w:t>
      </w:r>
    </w:p>
    <w:p w14:paraId="6C68381E" w14:textId="77777777" w:rsidR="00F807DC" w:rsidRPr="00EB5E38" w:rsidRDefault="007562F7" w:rsidP="002015CC">
      <w:pPr>
        <w:pStyle w:val="Heading5"/>
        <w:rPr>
          <w:rFonts w:cs="Arial"/>
          <w:sz w:val="20"/>
        </w:rPr>
      </w:pPr>
      <w:r w:rsidRPr="00EB5E38">
        <w:rPr>
          <w:rFonts w:cs="Arial"/>
          <w:sz w:val="20"/>
        </w:rPr>
        <w:t xml:space="preserve">providing the </w:t>
      </w:r>
      <w:r w:rsidR="007D1596" w:rsidRPr="00EB5E38">
        <w:rPr>
          <w:rFonts w:cs="Arial"/>
          <w:sz w:val="20"/>
        </w:rPr>
        <w:t>Customer</w:t>
      </w:r>
      <w:r w:rsidRPr="00EB5E38">
        <w:rPr>
          <w:rFonts w:cs="Arial"/>
          <w:sz w:val="20"/>
        </w:rPr>
        <w:t xml:space="preserve"> with full details of the complaint or request;</w:t>
      </w:r>
    </w:p>
    <w:p w14:paraId="6C68381F" w14:textId="77777777" w:rsidR="00F807DC" w:rsidRPr="00EB5E38" w:rsidRDefault="007562F7" w:rsidP="002015CC">
      <w:pPr>
        <w:pStyle w:val="Heading5"/>
        <w:rPr>
          <w:rFonts w:cs="Arial"/>
          <w:sz w:val="20"/>
        </w:rPr>
      </w:pPr>
      <w:r w:rsidRPr="00EB5E38">
        <w:rPr>
          <w:rFonts w:cs="Arial"/>
          <w:sz w:val="20"/>
        </w:rPr>
        <w:t xml:space="preserve">complying with a data access request within the relevant timescales set out in the Data Protection Legislation and in accordance with the </w:t>
      </w:r>
      <w:r w:rsidR="007D1596" w:rsidRPr="00EB5E38">
        <w:rPr>
          <w:rFonts w:cs="Arial"/>
          <w:sz w:val="20"/>
        </w:rPr>
        <w:t>Customer</w:t>
      </w:r>
      <w:r w:rsidRPr="00EB5E38">
        <w:rPr>
          <w:rFonts w:cs="Arial"/>
          <w:sz w:val="20"/>
        </w:rPr>
        <w:t>'s instructions;</w:t>
      </w:r>
    </w:p>
    <w:p w14:paraId="6C683820" w14:textId="77777777" w:rsidR="00F807DC" w:rsidRPr="00EB5E38" w:rsidRDefault="007562F7" w:rsidP="002015CC">
      <w:pPr>
        <w:pStyle w:val="Heading5"/>
        <w:rPr>
          <w:rFonts w:cs="Arial"/>
          <w:sz w:val="20"/>
        </w:rPr>
      </w:pPr>
      <w:r w:rsidRPr="00EB5E38">
        <w:rPr>
          <w:rFonts w:cs="Arial"/>
          <w:sz w:val="20"/>
        </w:rPr>
        <w:t xml:space="preserve">providing the </w:t>
      </w:r>
      <w:r w:rsidR="007D1596" w:rsidRPr="00EB5E38">
        <w:rPr>
          <w:rFonts w:cs="Arial"/>
          <w:sz w:val="20"/>
        </w:rPr>
        <w:t>Customer</w:t>
      </w:r>
      <w:r w:rsidRPr="00EB5E38">
        <w:rPr>
          <w:rFonts w:cs="Arial"/>
          <w:sz w:val="20"/>
        </w:rPr>
        <w:t xml:space="preserve"> with any </w:t>
      </w:r>
      <w:r w:rsidR="007D1596" w:rsidRPr="00EB5E38">
        <w:rPr>
          <w:rFonts w:cs="Arial"/>
          <w:sz w:val="20"/>
        </w:rPr>
        <w:t>Customer</w:t>
      </w:r>
      <w:r w:rsidRPr="00EB5E38">
        <w:rPr>
          <w:rFonts w:cs="Arial"/>
          <w:sz w:val="20"/>
        </w:rPr>
        <w:t xml:space="preserve">’s Personal Data it holds in relation to a Data Subject (within the timescales required by the </w:t>
      </w:r>
      <w:r w:rsidR="007D1596" w:rsidRPr="00EB5E38">
        <w:rPr>
          <w:rFonts w:cs="Arial"/>
          <w:sz w:val="20"/>
        </w:rPr>
        <w:t>Customer</w:t>
      </w:r>
      <w:r w:rsidRPr="00EB5E38">
        <w:rPr>
          <w:rFonts w:cs="Arial"/>
          <w:sz w:val="20"/>
        </w:rPr>
        <w:t>); and</w:t>
      </w:r>
    </w:p>
    <w:p w14:paraId="6C683821" w14:textId="77777777" w:rsidR="00F807DC" w:rsidRPr="00EB5E38" w:rsidRDefault="007562F7" w:rsidP="002015CC">
      <w:pPr>
        <w:pStyle w:val="Heading5"/>
        <w:rPr>
          <w:rFonts w:cs="Arial"/>
          <w:sz w:val="20"/>
        </w:rPr>
      </w:pPr>
      <w:r w:rsidRPr="00EB5E38">
        <w:rPr>
          <w:rFonts w:cs="Arial"/>
          <w:sz w:val="20"/>
        </w:rPr>
        <w:t xml:space="preserve">providing the </w:t>
      </w:r>
      <w:r w:rsidR="007D1596" w:rsidRPr="00EB5E38">
        <w:rPr>
          <w:rFonts w:cs="Arial"/>
          <w:sz w:val="20"/>
        </w:rPr>
        <w:t>Customer</w:t>
      </w:r>
      <w:r w:rsidRPr="00EB5E38">
        <w:rPr>
          <w:rFonts w:cs="Arial"/>
          <w:sz w:val="20"/>
        </w:rPr>
        <w:t xml:space="preserve"> with any information requested by the </w:t>
      </w:r>
      <w:r w:rsidR="007D1596" w:rsidRPr="00EB5E38">
        <w:rPr>
          <w:rFonts w:cs="Arial"/>
          <w:sz w:val="20"/>
        </w:rPr>
        <w:t>Customer</w:t>
      </w:r>
      <w:r w:rsidRPr="00EB5E38">
        <w:rPr>
          <w:rFonts w:cs="Arial"/>
          <w:sz w:val="20"/>
        </w:rPr>
        <w:t>;</w:t>
      </w:r>
    </w:p>
    <w:p w14:paraId="6C683822" w14:textId="77777777" w:rsidR="00F807DC" w:rsidRPr="00EB5E38" w:rsidRDefault="007562F7" w:rsidP="00880E10">
      <w:pPr>
        <w:pStyle w:val="Heading4"/>
      </w:pPr>
      <w:r w:rsidRPr="00EB5E38">
        <w:t xml:space="preserve">permit or procure permission for the </w:t>
      </w:r>
      <w:r w:rsidR="007D1596" w:rsidRPr="00EB5E38">
        <w:t>Customer</w:t>
      </w:r>
      <w:r w:rsidR="003B08D3" w:rsidRPr="00EB5E38">
        <w:t xml:space="preserve"> and</w:t>
      </w:r>
      <w:r w:rsidR="00553C08" w:rsidRPr="00EB5E38">
        <w:t>/</w:t>
      </w:r>
      <w:r w:rsidRPr="00EB5E38">
        <w:t xml:space="preserve">or the </w:t>
      </w:r>
      <w:r w:rsidR="007D1596" w:rsidRPr="00EB5E38">
        <w:t>Customer</w:t>
      </w:r>
      <w:r w:rsidRPr="00EB5E38">
        <w:t xml:space="preserve">’s Representative (subject to reasonable and appropriate confidentiality undertakings), to inspect and audit, the </w:t>
      </w:r>
      <w:r w:rsidR="004104F4" w:rsidRPr="00EB5E38">
        <w:t>Supplier</w:t>
      </w:r>
      <w:r w:rsidRPr="00EB5E38">
        <w:t>'s data Processing activities (and</w:t>
      </w:r>
      <w:r w:rsidR="003B08D3" w:rsidRPr="00EB5E38">
        <w:t xml:space="preserve"> </w:t>
      </w:r>
      <w:r w:rsidR="00622133" w:rsidRPr="00EB5E38">
        <w:t xml:space="preserve">/ </w:t>
      </w:r>
      <w:r w:rsidRPr="00EB5E38">
        <w:t xml:space="preserve">or those of its agents and Sub-Contractors) and comply with all reasonable requests or directions </w:t>
      </w:r>
      <w:r w:rsidRPr="00EB5E38">
        <w:lastRenderedPageBreak/>
        <w:t xml:space="preserve">by the </w:t>
      </w:r>
      <w:r w:rsidR="007D1596" w:rsidRPr="00EB5E38">
        <w:t>Customer</w:t>
      </w:r>
      <w:r w:rsidRPr="00EB5E38">
        <w:t xml:space="preserve"> to enable the </w:t>
      </w:r>
      <w:r w:rsidR="007D1596" w:rsidRPr="00EB5E38">
        <w:t>Customer</w:t>
      </w:r>
      <w:r w:rsidRPr="00EB5E38">
        <w:t xml:space="preserve"> to verify and</w:t>
      </w:r>
      <w:r w:rsidR="00622133" w:rsidRPr="00EB5E38">
        <w:t xml:space="preserve"> </w:t>
      </w:r>
      <w:r w:rsidR="00553C08" w:rsidRPr="00EB5E38">
        <w:t>/</w:t>
      </w:r>
      <w:r w:rsidR="003B08D3" w:rsidRPr="00EB5E38">
        <w:t xml:space="preserve"> </w:t>
      </w:r>
      <w:r w:rsidRPr="00EB5E38">
        <w:t xml:space="preserve">or procure that the </w:t>
      </w:r>
      <w:r w:rsidR="004104F4" w:rsidRPr="00EB5E38">
        <w:t>Supplier</w:t>
      </w:r>
      <w:r w:rsidRPr="00EB5E38">
        <w:t xml:space="preserve"> is in full compliance with its obligations under </w:t>
      </w:r>
      <w:r w:rsidR="0013772A" w:rsidRPr="00EB5E38">
        <w:t>the Contract</w:t>
      </w:r>
      <w:r w:rsidRPr="00EB5E38">
        <w:t>;</w:t>
      </w:r>
    </w:p>
    <w:p w14:paraId="6C683823" w14:textId="77777777" w:rsidR="00F807DC" w:rsidRPr="00EB5E38" w:rsidRDefault="007562F7" w:rsidP="00880E10">
      <w:pPr>
        <w:pStyle w:val="Heading4"/>
      </w:pPr>
      <w:r w:rsidRPr="00EB5E38">
        <w:t xml:space="preserve">provide a written description of the technical and organisational methods employed by the </w:t>
      </w:r>
      <w:r w:rsidR="004104F4" w:rsidRPr="00EB5E38">
        <w:t>Supplier</w:t>
      </w:r>
      <w:r w:rsidRPr="00EB5E38">
        <w:t xml:space="preserve"> for Processing </w:t>
      </w:r>
      <w:r w:rsidR="00B014A2" w:rsidRPr="00EB5E38">
        <w:t xml:space="preserve">the </w:t>
      </w:r>
      <w:r w:rsidR="007D1596" w:rsidRPr="00EB5E38">
        <w:t>Customer</w:t>
      </w:r>
      <w:r w:rsidR="00B014A2" w:rsidRPr="00EB5E38">
        <w:t>’s</w:t>
      </w:r>
      <w:r w:rsidRPr="00EB5E38">
        <w:t xml:space="preserve"> Personal Data (within the timescales required by the </w:t>
      </w:r>
      <w:r w:rsidR="007D1596" w:rsidRPr="00EB5E38">
        <w:t>Customer</w:t>
      </w:r>
      <w:r w:rsidRPr="00EB5E38">
        <w:t>); and</w:t>
      </w:r>
    </w:p>
    <w:p w14:paraId="6C683824" w14:textId="77777777" w:rsidR="00F807DC" w:rsidRPr="00EB5E38" w:rsidRDefault="007562F7" w:rsidP="00880E10">
      <w:pPr>
        <w:pStyle w:val="Heading4"/>
      </w:pPr>
      <w:r w:rsidRPr="00EB5E38">
        <w:t xml:space="preserve">not Process or otherwise transfer any </w:t>
      </w:r>
      <w:r w:rsidR="007D1596" w:rsidRPr="00EB5E38">
        <w:t>Customer</w:t>
      </w:r>
      <w:r w:rsidRPr="00EB5E38">
        <w:t>’s Personal Data outside the European Economic Area</w:t>
      </w:r>
      <w:r w:rsidR="00D84C3A" w:rsidRPr="00EB5E38">
        <w:t xml:space="preserve"> without the prior written consent of the </w:t>
      </w:r>
      <w:r w:rsidR="007D1596" w:rsidRPr="00EB5E38">
        <w:t>Customer</w:t>
      </w:r>
      <w:r w:rsidR="00D84C3A" w:rsidRPr="00EB5E38">
        <w:t xml:space="preserve"> which may be given on such terms as the </w:t>
      </w:r>
      <w:r w:rsidR="007D1596" w:rsidRPr="00EB5E38">
        <w:t>Customer</w:t>
      </w:r>
      <w:r w:rsidR="00D84C3A" w:rsidRPr="00EB5E38">
        <w:t xml:space="preserve"> in its discretion thinks fit.</w:t>
      </w:r>
    </w:p>
    <w:p w14:paraId="6C683825"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comply at all times with the Data Protection Legislation and shall not perform its obligations under </w:t>
      </w:r>
      <w:r w:rsidR="0013772A" w:rsidRPr="00EB5E38">
        <w:rPr>
          <w:rFonts w:cs="Arial"/>
          <w:sz w:val="20"/>
        </w:rPr>
        <w:t>the Contract</w:t>
      </w:r>
      <w:r w:rsidRPr="00EB5E38">
        <w:rPr>
          <w:rFonts w:cs="Arial"/>
          <w:sz w:val="20"/>
        </w:rPr>
        <w:t xml:space="preserve"> in such a way as to cause the </w:t>
      </w:r>
      <w:r w:rsidR="007D1596" w:rsidRPr="00EB5E38">
        <w:rPr>
          <w:rFonts w:cs="Arial"/>
          <w:sz w:val="20"/>
        </w:rPr>
        <w:t>Customer</w:t>
      </w:r>
      <w:r w:rsidRPr="00EB5E38">
        <w:rPr>
          <w:rFonts w:cs="Arial"/>
          <w:sz w:val="20"/>
        </w:rPr>
        <w:t xml:space="preserve"> to breach any of its applicable obligations under the Data Protection Legislation.</w:t>
      </w:r>
    </w:p>
    <w:p w14:paraId="6C683826"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in the event that it breaches (or attempts or threatens to breach) its obligations relating to the </w:t>
      </w:r>
      <w:r w:rsidR="007D1596" w:rsidRPr="00EB5E38">
        <w:rPr>
          <w:rFonts w:cs="Arial"/>
          <w:sz w:val="20"/>
        </w:rPr>
        <w:t>Customer</w:t>
      </w:r>
      <w:r w:rsidRPr="00EB5E38">
        <w:rPr>
          <w:rFonts w:cs="Arial"/>
          <w:sz w:val="20"/>
        </w:rPr>
        <w:t xml:space="preserve">’s Personal Data that the </w:t>
      </w:r>
      <w:r w:rsidR="007D1596" w:rsidRPr="00EB5E38">
        <w:rPr>
          <w:rFonts w:cs="Arial"/>
          <w:sz w:val="20"/>
        </w:rPr>
        <w:t>Customer</w:t>
      </w:r>
      <w:r w:rsidRPr="00EB5E38">
        <w:rPr>
          <w:rFonts w:cs="Arial"/>
          <w:sz w:val="20"/>
        </w:rPr>
        <w:t xml:space="preserve"> may be irreparably harmed (including harm to its reputation). In such circumstances, the </w:t>
      </w:r>
      <w:r w:rsidR="007D1596" w:rsidRPr="00EB5E38">
        <w:rPr>
          <w:rFonts w:cs="Arial"/>
          <w:sz w:val="20"/>
        </w:rPr>
        <w:t>Customer</w:t>
      </w:r>
      <w:r w:rsidRPr="00EB5E38">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EB5E38" w:rsidRDefault="007562F7" w:rsidP="002015CC">
      <w:pPr>
        <w:pStyle w:val="Heading3"/>
        <w:rPr>
          <w:rFonts w:cs="Arial"/>
          <w:sz w:val="20"/>
        </w:rPr>
      </w:pPr>
      <w:r w:rsidRPr="00EB5E38">
        <w:rPr>
          <w:rFonts w:cs="Arial"/>
          <w:sz w:val="20"/>
        </w:rPr>
        <w:t xml:space="preserve">In the event that through any </w:t>
      </w:r>
      <w:r w:rsidR="0070559B" w:rsidRPr="00EB5E38">
        <w:rPr>
          <w:rFonts w:cs="Arial"/>
          <w:sz w:val="20"/>
        </w:rPr>
        <w:t>failure by</w:t>
      </w:r>
      <w:r w:rsidRPr="00EB5E38">
        <w:rPr>
          <w:rFonts w:cs="Arial"/>
          <w:sz w:val="20"/>
        </w:rPr>
        <w:t xml:space="preserve"> the </w:t>
      </w:r>
      <w:r w:rsidR="004104F4" w:rsidRPr="00EB5E38">
        <w:rPr>
          <w:rFonts w:cs="Arial"/>
          <w:sz w:val="20"/>
        </w:rPr>
        <w:t>Supplier</w:t>
      </w:r>
      <w:r w:rsidR="0070559B" w:rsidRPr="00EB5E38">
        <w:rPr>
          <w:rFonts w:cs="Arial"/>
          <w:sz w:val="20"/>
        </w:rPr>
        <w:t xml:space="preserve"> to comply with its obligations under the Contract</w:t>
      </w:r>
      <w:r w:rsidRPr="00EB5E38">
        <w:rPr>
          <w:rFonts w:cs="Arial"/>
          <w:sz w:val="20"/>
        </w:rPr>
        <w:t xml:space="preserve">, </w:t>
      </w:r>
      <w:r w:rsidR="007D1596" w:rsidRPr="00EB5E38">
        <w:rPr>
          <w:rFonts w:cs="Arial"/>
          <w:sz w:val="20"/>
        </w:rPr>
        <w:t>Customer</w:t>
      </w:r>
      <w:r w:rsidRPr="00EB5E38">
        <w:rPr>
          <w:rFonts w:cs="Arial"/>
          <w:sz w:val="20"/>
        </w:rPr>
        <w:t xml:space="preserve">’s Personal Data is transmitted or Processed in connection with </w:t>
      </w:r>
      <w:r w:rsidR="0013772A" w:rsidRPr="00EB5E38">
        <w:rPr>
          <w:rFonts w:cs="Arial"/>
          <w:sz w:val="20"/>
        </w:rPr>
        <w:t>the Contract</w:t>
      </w:r>
      <w:r w:rsidRPr="00EB5E38">
        <w:rPr>
          <w:rFonts w:cs="Arial"/>
          <w:sz w:val="20"/>
        </w:rPr>
        <w:t xml:space="preserve"> is either lost or sufficiently degraded so as to be unusable, the </w:t>
      </w:r>
      <w:r w:rsidR="004104F4" w:rsidRPr="00EB5E38">
        <w:rPr>
          <w:rFonts w:cs="Arial"/>
          <w:sz w:val="20"/>
        </w:rPr>
        <w:t>Supplier</w:t>
      </w:r>
      <w:r w:rsidRPr="00EB5E38">
        <w:rPr>
          <w:rFonts w:cs="Arial"/>
          <w:sz w:val="20"/>
        </w:rPr>
        <w:t xml:space="preserve"> shall be liable for the cost of reconstitution of that data and shall reimburse the </w:t>
      </w:r>
      <w:r w:rsidR="007D1596" w:rsidRPr="00EB5E38">
        <w:rPr>
          <w:rFonts w:cs="Arial"/>
          <w:sz w:val="20"/>
        </w:rPr>
        <w:t>Customer</w:t>
      </w:r>
      <w:r w:rsidRPr="00EB5E38">
        <w:rPr>
          <w:rFonts w:cs="Arial"/>
          <w:sz w:val="20"/>
        </w:rPr>
        <w:t xml:space="preserve"> in respect of any charge levied for its transmission and any other costs charged in connection with such </w:t>
      </w:r>
      <w:r w:rsidR="0070559B" w:rsidRPr="00EB5E38">
        <w:rPr>
          <w:rFonts w:cs="Arial"/>
          <w:sz w:val="20"/>
        </w:rPr>
        <w:t>failure by</w:t>
      </w:r>
      <w:r w:rsidRPr="00EB5E38">
        <w:rPr>
          <w:rFonts w:cs="Arial"/>
          <w:sz w:val="20"/>
        </w:rPr>
        <w:t xml:space="preserve"> the </w:t>
      </w:r>
      <w:r w:rsidR="004104F4" w:rsidRPr="00EB5E38">
        <w:rPr>
          <w:rFonts w:cs="Arial"/>
          <w:sz w:val="20"/>
        </w:rPr>
        <w:t>Supplier</w:t>
      </w:r>
      <w:r w:rsidRPr="00EB5E38">
        <w:rPr>
          <w:rFonts w:cs="Arial"/>
          <w:sz w:val="20"/>
        </w:rPr>
        <w:t>.</w:t>
      </w:r>
    </w:p>
    <w:p w14:paraId="6C683828" w14:textId="77777777" w:rsidR="00F807DC" w:rsidRPr="00EB5E38" w:rsidRDefault="007562F7" w:rsidP="0014427F">
      <w:pPr>
        <w:pStyle w:val="Heading2"/>
        <w:keepNext/>
        <w:keepLines/>
        <w:rPr>
          <w:rFonts w:cs="Arial"/>
          <w:b/>
          <w:sz w:val="20"/>
        </w:rPr>
      </w:pPr>
      <w:bookmarkStart w:id="77" w:name="_Ref313367753"/>
      <w:r w:rsidRPr="00EB5E38">
        <w:rPr>
          <w:rFonts w:cs="Arial"/>
          <w:b/>
          <w:sz w:val="20"/>
        </w:rPr>
        <w:t>Confidentiality</w:t>
      </w:r>
      <w:bookmarkEnd w:id="77"/>
    </w:p>
    <w:p w14:paraId="6C683829" w14:textId="77777777" w:rsidR="00F807DC" w:rsidRPr="00EB5E38" w:rsidRDefault="007562F7" w:rsidP="002015CC">
      <w:pPr>
        <w:pStyle w:val="Heading3"/>
        <w:keepNext/>
        <w:rPr>
          <w:rFonts w:cs="Arial"/>
          <w:sz w:val="20"/>
        </w:rPr>
      </w:pPr>
      <w:bookmarkStart w:id="78" w:name="_Ref313367575"/>
      <w:r w:rsidRPr="00EB5E38">
        <w:rPr>
          <w:rFonts w:cs="Arial"/>
          <w:sz w:val="20"/>
        </w:rPr>
        <w:t xml:space="preserve">Except to the extent set out in this </w:t>
      </w:r>
      <w:r w:rsidR="00E6002D" w:rsidRPr="00EB5E38">
        <w:rPr>
          <w:rFonts w:cs="Arial"/>
          <w:sz w:val="20"/>
        </w:rPr>
        <w:t>Clause </w:t>
      </w:r>
      <w:r w:rsidR="001E31C6" w:rsidRPr="00EB5E38">
        <w:rPr>
          <w:rFonts w:cs="Arial"/>
          <w:sz w:val="20"/>
        </w:rPr>
        <w:t>6</w:t>
      </w:r>
      <w:r w:rsidR="005B71F5" w:rsidRPr="00EB5E38">
        <w:rPr>
          <w:rFonts w:cs="Arial"/>
          <w:sz w:val="20"/>
        </w:rPr>
        <w:t>.2</w:t>
      </w:r>
      <w:r w:rsidR="00DB0EF7" w:rsidRPr="00EB5E38">
        <w:rPr>
          <w:rFonts w:cs="Arial"/>
          <w:sz w:val="20"/>
        </w:rPr>
        <w:t xml:space="preserve"> </w:t>
      </w:r>
      <w:r w:rsidRPr="00EB5E38">
        <w:rPr>
          <w:rFonts w:cs="Arial"/>
          <w:sz w:val="20"/>
        </w:rPr>
        <w:t xml:space="preserve">or where disclosure is expressly permitted elsewhere in </w:t>
      </w:r>
      <w:r w:rsidR="0013772A" w:rsidRPr="00EB5E38">
        <w:rPr>
          <w:rFonts w:cs="Arial"/>
          <w:sz w:val="20"/>
        </w:rPr>
        <w:t>the Contract</w:t>
      </w:r>
      <w:r w:rsidRPr="00EB5E38">
        <w:rPr>
          <w:rFonts w:cs="Arial"/>
          <w:sz w:val="20"/>
        </w:rPr>
        <w:t>, each Party shall:</w:t>
      </w:r>
      <w:bookmarkEnd w:id="78"/>
    </w:p>
    <w:p w14:paraId="6C68382A" w14:textId="4F313545" w:rsidR="00880E10" w:rsidRPr="00EB5E38" w:rsidRDefault="007562F7" w:rsidP="00880E10">
      <w:pPr>
        <w:pStyle w:val="Heading4"/>
      </w:pPr>
      <w:r w:rsidRPr="00EB5E38">
        <w:t xml:space="preserve">treat the other Party's Confidential Information as confidential and </w:t>
      </w:r>
      <w:r w:rsidR="00E772A6" w:rsidRPr="00EB5E38">
        <w:t>keep it in secure custody (which is appropriate depending upon the form in which such materials are stored and the nature of the Confidential Information contained in those materials)</w:t>
      </w:r>
      <w:r w:rsidRPr="00EB5E38">
        <w:t>; and</w:t>
      </w:r>
    </w:p>
    <w:p w14:paraId="6C68382B" w14:textId="2DD5779A" w:rsidR="00880E10" w:rsidRPr="00EB5E38" w:rsidRDefault="007562F7" w:rsidP="00880E10">
      <w:pPr>
        <w:pStyle w:val="Heading4"/>
      </w:pPr>
      <w:r w:rsidRPr="00EB5E38">
        <w:t xml:space="preserve">not disclose the other Party's Confidential Information to any other person </w:t>
      </w:r>
      <w:r w:rsidR="00E772A6" w:rsidRPr="00EB5E38">
        <w:t xml:space="preserve">except as expressly set out in this Agreement or </w:t>
      </w:r>
      <w:r w:rsidRPr="00EB5E38">
        <w:t xml:space="preserve">without the </w:t>
      </w:r>
      <w:r w:rsidR="00E772A6" w:rsidRPr="00EB5E38">
        <w:t xml:space="preserve">other Party’s </w:t>
      </w:r>
      <w:r w:rsidRPr="00EB5E38">
        <w:t>prior written consent</w:t>
      </w:r>
      <w:r w:rsidR="00F553AC" w:rsidRPr="00EB5E38">
        <w:t>.</w:t>
      </w:r>
    </w:p>
    <w:p w14:paraId="6C68382D" w14:textId="77777777" w:rsidR="00F807DC" w:rsidRPr="00EB5E38" w:rsidRDefault="00E6002D">
      <w:pPr>
        <w:pStyle w:val="Heading3"/>
        <w:keepNext/>
        <w:rPr>
          <w:rFonts w:cs="Arial"/>
          <w:sz w:val="20"/>
        </w:rPr>
      </w:pPr>
      <w:r w:rsidRPr="00EB5E38">
        <w:rPr>
          <w:rFonts w:cs="Arial"/>
          <w:sz w:val="20"/>
        </w:rPr>
        <w:t>Clause </w:t>
      </w:r>
      <w:r w:rsidR="00621BF7" w:rsidRPr="00EB5E38">
        <w:rPr>
          <w:rFonts w:cs="Arial"/>
          <w:sz w:val="20"/>
        </w:rPr>
        <w:t>6</w:t>
      </w:r>
      <w:r w:rsidR="005B71F5" w:rsidRPr="00EB5E38">
        <w:rPr>
          <w:rFonts w:cs="Arial"/>
          <w:sz w:val="20"/>
        </w:rPr>
        <w:t>.2.1</w:t>
      </w:r>
      <w:r w:rsidR="007562F7" w:rsidRPr="00EB5E38">
        <w:rPr>
          <w:rFonts w:cs="Arial"/>
          <w:sz w:val="20"/>
        </w:rPr>
        <w:t xml:space="preserve"> shall not apply to the extent that:</w:t>
      </w:r>
    </w:p>
    <w:p w14:paraId="6C68382E" w14:textId="77777777" w:rsidR="00F807DC" w:rsidRPr="00EB5E38" w:rsidRDefault="007562F7" w:rsidP="00880E10">
      <w:pPr>
        <w:pStyle w:val="Heading4"/>
      </w:pPr>
      <w:r w:rsidRPr="00EB5E38">
        <w:t xml:space="preserve">such disclosure is a requirement of Law </w:t>
      </w:r>
      <w:r w:rsidR="008447C4" w:rsidRPr="00EB5E38">
        <w:t xml:space="preserve">or any competent regulatory body </w:t>
      </w:r>
      <w:r w:rsidRPr="00EB5E38">
        <w:t>placed upon the Party making the disclosure, including any req</w:t>
      </w:r>
      <w:r w:rsidR="00621BF7" w:rsidRPr="00EB5E38">
        <w:t xml:space="preserve">uirements for disclosure under </w:t>
      </w:r>
      <w:r w:rsidRPr="00EB5E38">
        <w:t xml:space="preserve">the FOIA, Code of Practice on Access to Government Information or the Environmental Information Regulations pursuant to </w:t>
      </w:r>
      <w:r w:rsidR="00E6002D" w:rsidRPr="00EB5E38">
        <w:t>Clause </w:t>
      </w:r>
      <w:r w:rsidR="00621BF7" w:rsidRPr="00EB5E38">
        <w:t>6.4</w:t>
      </w:r>
      <w:r w:rsidR="00DB0EF7" w:rsidRPr="00EB5E38">
        <w:t xml:space="preserve"> </w:t>
      </w:r>
      <w:r w:rsidRPr="00EB5E38">
        <w:t>(Freedom of Information)</w:t>
      </w:r>
      <w:r w:rsidR="00F758B9" w:rsidRPr="00EB5E38">
        <w:t xml:space="preserve"> provided that </w:t>
      </w:r>
      <w:r w:rsidR="00F758B9" w:rsidRPr="00EB5E38">
        <w:rPr>
          <w:bCs/>
          <w:iCs/>
        </w:rPr>
        <w:t xml:space="preserve">the receiving Party shall as soon as reasonably practicable and to the extent permitted by Law </w:t>
      </w:r>
      <w:r w:rsidR="00F758B9" w:rsidRPr="00EB5E38">
        <w:rPr>
          <w:bCs/>
          <w:iCs/>
        </w:rPr>
        <w:lastRenderedPageBreak/>
        <w:t>notify the other Party of the full circumstances of the required disclosure including the relevant Law and/or regulatory body requiring such disclosure and the Confidential Information to which such disclosure would apply</w:t>
      </w:r>
      <w:r w:rsidRPr="00EB5E38">
        <w:t>;</w:t>
      </w:r>
      <w:r w:rsidR="00B014A2" w:rsidRPr="00EB5E38">
        <w:t xml:space="preserve"> or</w:t>
      </w:r>
    </w:p>
    <w:p w14:paraId="6C68382F" w14:textId="77777777" w:rsidR="00F807DC" w:rsidRPr="00EB5E38" w:rsidRDefault="007562F7" w:rsidP="00880E10">
      <w:pPr>
        <w:pStyle w:val="Heading4"/>
      </w:pPr>
      <w:r w:rsidRPr="00EB5E38">
        <w:t xml:space="preserve">such information was in the possession of the Party making the disclosure without obligation of confidentiality prior to its disclosure by the information owner; </w:t>
      </w:r>
      <w:r w:rsidR="00B014A2" w:rsidRPr="00EB5E38">
        <w:t>or</w:t>
      </w:r>
    </w:p>
    <w:p w14:paraId="6C683830" w14:textId="77777777" w:rsidR="00F807DC" w:rsidRPr="00EB5E38" w:rsidRDefault="007562F7" w:rsidP="00880E10">
      <w:pPr>
        <w:pStyle w:val="Heading4"/>
      </w:pPr>
      <w:r w:rsidRPr="00EB5E38">
        <w:t>such information was obtained from a third party without obligation of confidentiality;</w:t>
      </w:r>
      <w:r w:rsidR="00B014A2" w:rsidRPr="00EB5E38">
        <w:t xml:space="preserve"> or</w:t>
      </w:r>
    </w:p>
    <w:p w14:paraId="6C683831" w14:textId="77777777" w:rsidR="00F807DC" w:rsidRPr="00EB5E38" w:rsidRDefault="007562F7" w:rsidP="00880E10">
      <w:pPr>
        <w:pStyle w:val="Heading4"/>
      </w:pPr>
      <w:r w:rsidRPr="00EB5E38">
        <w:t xml:space="preserve">such information was already in the public domain at the time of disclosure otherwise than by a breach of </w:t>
      </w:r>
      <w:r w:rsidR="0013772A" w:rsidRPr="00EB5E38">
        <w:t>the Contract</w:t>
      </w:r>
      <w:r w:rsidRPr="00EB5E38">
        <w:t>; or</w:t>
      </w:r>
    </w:p>
    <w:p w14:paraId="6C683832" w14:textId="77777777" w:rsidR="00F807DC" w:rsidRPr="00EB5E38" w:rsidRDefault="007562F7" w:rsidP="00880E10">
      <w:pPr>
        <w:pStyle w:val="Heading4"/>
      </w:pPr>
      <w:r w:rsidRPr="00EB5E38">
        <w:t>it is independently developed without access to the other Party's Confidential Information.</w:t>
      </w:r>
    </w:p>
    <w:p w14:paraId="6C683833" w14:textId="552D7504" w:rsidR="00E772A6"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may disclose the </w:t>
      </w:r>
      <w:r w:rsidR="007D1596" w:rsidRPr="00EB5E38">
        <w:rPr>
          <w:rFonts w:cs="Arial"/>
          <w:sz w:val="20"/>
        </w:rPr>
        <w:t>Customer</w:t>
      </w:r>
      <w:r w:rsidRPr="00EB5E38">
        <w:rPr>
          <w:rFonts w:cs="Arial"/>
          <w:sz w:val="20"/>
        </w:rPr>
        <w:t xml:space="preserve">'s Confidential Information </w:t>
      </w:r>
      <w:r w:rsidR="00F553AC" w:rsidRPr="00EB5E38">
        <w:rPr>
          <w:rFonts w:cs="Arial"/>
          <w:sz w:val="20"/>
        </w:rPr>
        <w:t xml:space="preserve">on a confidential basis only to </w:t>
      </w:r>
      <w:r w:rsidR="004104F4" w:rsidRPr="00EB5E38">
        <w:rPr>
          <w:rFonts w:cs="Arial"/>
          <w:sz w:val="20"/>
        </w:rPr>
        <w:t>Supplier</w:t>
      </w:r>
      <w:r w:rsidR="00621BF7" w:rsidRPr="00EB5E38">
        <w:rPr>
          <w:rFonts w:cs="Arial"/>
          <w:sz w:val="20"/>
        </w:rPr>
        <w:t>’s</w:t>
      </w:r>
      <w:r w:rsidRPr="00EB5E38">
        <w:rPr>
          <w:rFonts w:cs="Arial"/>
          <w:sz w:val="20"/>
        </w:rPr>
        <w:t xml:space="preserve"> Staff who</w:t>
      </w:r>
      <w:r w:rsidR="00E772A6" w:rsidRPr="00EB5E38">
        <w:rPr>
          <w:rFonts w:cs="Arial"/>
          <w:sz w:val="20"/>
        </w:rPr>
        <w:t>:</w:t>
      </w:r>
      <w:r w:rsidRPr="00EB5E38">
        <w:rPr>
          <w:rFonts w:cs="Arial"/>
          <w:sz w:val="20"/>
        </w:rPr>
        <w:t xml:space="preserve"> </w:t>
      </w:r>
    </w:p>
    <w:p w14:paraId="6C683834" w14:textId="77777777" w:rsidR="00E772A6" w:rsidRPr="00EB5E38" w:rsidRDefault="007562F7" w:rsidP="00880E10">
      <w:pPr>
        <w:pStyle w:val="Heading4"/>
      </w:pPr>
      <w:r w:rsidRPr="00EB5E38">
        <w:t xml:space="preserve">are directly involved in the provision of the </w:t>
      </w:r>
      <w:r w:rsidR="00162C54" w:rsidRPr="00EB5E38">
        <w:t>Contract Services</w:t>
      </w:r>
      <w:r w:rsidR="00F553AC" w:rsidRPr="00EB5E38">
        <w:t>;</w:t>
      </w:r>
      <w:r w:rsidRPr="00EB5E38">
        <w:t xml:space="preserve"> and </w:t>
      </w:r>
    </w:p>
    <w:p w14:paraId="6C683835" w14:textId="65E14AF6" w:rsidR="00F553AC" w:rsidRPr="00EB5E38" w:rsidRDefault="007562F7" w:rsidP="00880E10">
      <w:pPr>
        <w:pStyle w:val="Heading4"/>
      </w:pPr>
      <w:r w:rsidRPr="00EB5E38">
        <w:t xml:space="preserve">need to know the </w:t>
      </w:r>
      <w:r w:rsidR="00F553AC" w:rsidRPr="00EB5E38">
        <w:t>Customer's Confidential Information to enable performance of the Supplier’s obligations under this Contract.</w:t>
      </w:r>
    </w:p>
    <w:p w14:paraId="6C683836" w14:textId="6D1E0BCA" w:rsidR="00F807DC" w:rsidRPr="00EB5E38" w:rsidRDefault="00F553AC" w:rsidP="00F553AC">
      <w:pPr>
        <w:pStyle w:val="Heading3"/>
        <w:numPr>
          <w:ilvl w:val="0"/>
          <w:numId w:val="0"/>
        </w:numPr>
        <w:ind w:left="1800"/>
        <w:rPr>
          <w:rFonts w:cs="Arial"/>
          <w:sz w:val="20"/>
        </w:rPr>
      </w:pPr>
      <w:r w:rsidRPr="00EB5E38">
        <w:rPr>
          <w:rFonts w:cs="Arial"/>
          <w:sz w:val="20"/>
        </w:rPr>
        <w:t xml:space="preserve">Where the Supplier discloses the Customer’s Confidential Information pursuant to Clause 6.2.3, it shall remain responsible at all times for compliance with the confidentiality obligations set out in this Contract by the persons to whom disclosure has been made.  </w:t>
      </w:r>
    </w:p>
    <w:p w14:paraId="6C683837" w14:textId="0F17626C"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not</w:t>
      </w:r>
      <w:r w:rsidR="004B18E0" w:rsidRPr="00EB5E38">
        <w:rPr>
          <w:rFonts w:cs="Arial"/>
          <w:sz w:val="20"/>
        </w:rPr>
        <w:t xml:space="preserve"> </w:t>
      </w:r>
      <w:r w:rsidRPr="00EB5E38">
        <w:rPr>
          <w:rFonts w:cs="Arial"/>
          <w:sz w:val="20"/>
        </w:rPr>
        <w:t xml:space="preserve">use </w:t>
      </w:r>
      <w:r w:rsidR="00F553AC" w:rsidRPr="00EB5E38">
        <w:rPr>
          <w:rFonts w:cs="Arial"/>
          <w:sz w:val="20"/>
        </w:rPr>
        <w:t xml:space="preserve">or exploit </w:t>
      </w:r>
      <w:r w:rsidRPr="00EB5E38">
        <w:rPr>
          <w:rFonts w:cs="Arial"/>
          <w:sz w:val="20"/>
        </w:rPr>
        <w:t xml:space="preserve">any of the </w:t>
      </w:r>
      <w:r w:rsidR="007D1596" w:rsidRPr="00EB5E38">
        <w:rPr>
          <w:rFonts w:cs="Arial"/>
          <w:sz w:val="20"/>
        </w:rPr>
        <w:t>Customer</w:t>
      </w:r>
      <w:r w:rsidRPr="00EB5E38">
        <w:rPr>
          <w:rFonts w:cs="Arial"/>
          <w:sz w:val="20"/>
        </w:rPr>
        <w:t xml:space="preserve">'s Confidential Information received otherwise than for the purposes </w:t>
      </w:r>
      <w:r w:rsidR="00E64809" w:rsidRPr="00EB5E38">
        <w:rPr>
          <w:rFonts w:cs="Arial"/>
          <w:sz w:val="20"/>
        </w:rPr>
        <w:t xml:space="preserve">anticipated under </w:t>
      </w:r>
      <w:r w:rsidR="0013772A" w:rsidRPr="00EB5E38">
        <w:rPr>
          <w:rFonts w:cs="Arial"/>
          <w:sz w:val="20"/>
        </w:rPr>
        <w:t>the Contract</w:t>
      </w:r>
      <w:r w:rsidRPr="00EB5E38">
        <w:rPr>
          <w:rFonts w:cs="Arial"/>
          <w:sz w:val="20"/>
        </w:rPr>
        <w:t>.</w:t>
      </w:r>
    </w:p>
    <w:p w14:paraId="6C683838" w14:textId="39D77FAD" w:rsidR="00F807DC" w:rsidRPr="00EB5E38" w:rsidRDefault="00F758B9">
      <w:pPr>
        <w:pStyle w:val="Heading3"/>
        <w:rPr>
          <w:rFonts w:cs="Arial"/>
          <w:sz w:val="20"/>
        </w:rPr>
      </w:pPr>
      <w:r w:rsidRPr="00EB5E38">
        <w:rPr>
          <w:rFonts w:cs="Arial"/>
          <w:sz w:val="20"/>
        </w:rPr>
        <w:t xml:space="preserve">Upon </w:t>
      </w:r>
      <w:r w:rsidR="007562F7" w:rsidRPr="00EB5E38">
        <w:rPr>
          <w:rFonts w:cs="Arial"/>
          <w:sz w:val="20"/>
        </w:rPr>
        <w:t xml:space="preserve">written </w:t>
      </w:r>
      <w:r w:rsidRPr="00EB5E38">
        <w:rPr>
          <w:rFonts w:cs="Arial"/>
          <w:sz w:val="20"/>
        </w:rPr>
        <w:t xml:space="preserve">notice </w:t>
      </w:r>
      <w:r w:rsidR="007562F7" w:rsidRPr="00EB5E38">
        <w:rPr>
          <w:rFonts w:cs="Arial"/>
          <w:sz w:val="20"/>
        </w:rPr>
        <w:t xml:space="preserve">of the </w:t>
      </w:r>
      <w:r w:rsidR="007D1596" w:rsidRPr="00EB5E38">
        <w:rPr>
          <w:rFonts w:cs="Arial"/>
          <w:sz w:val="20"/>
        </w:rPr>
        <w:t>Customer</w:t>
      </w:r>
      <w:r w:rsidR="007562F7" w:rsidRPr="00EB5E38">
        <w:rPr>
          <w:rFonts w:cs="Arial"/>
          <w:sz w:val="20"/>
        </w:rPr>
        <w:t xml:space="preserve">, the </w:t>
      </w:r>
      <w:r w:rsidR="004104F4" w:rsidRPr="00EB5E38">
        <w:rPr>
          <w:rFonts w:cs="Arial"/>
          <w:sz w:val="20"/>
        </w:rPr>
        <w:t>Supplier</w:t>
      </w:r>
      <w:r w:rsidR="007562F7" w:rsidRPr="00EB5E38">
        <w:rPr>
          <w:rFonts w:cs="Arial"/>
          <w:sz w:val="20"/>
        </w:rPr>
        <w:t xml:space="preserve"> shall procure that those members of </w:t>
      </w:r>
      <w:r w:rsidR="00621BF7" w:rsidRPr="00EB5E38">
        <w:rPr>
          <w:rFonts w:cs="Arial"/>
          <w:sz w:val="20"/>
        </w:rPr>
        <w:t xml:space="preserve">the </w:t>
      </w:r>
      <w:r w:rsidR="004104F4" w:rsidRPr="00EB5E38">
        <w:rPr>
          <w:rFonts w:cs="Arial"/>
          <w:sz w:val="20"/>
        </w:rPr>
        <w:t>Supplier</w:t>
      </w:r>
      <w:r w:rsidR="00621BF7" w:rsidRPr="00EB5E38">
        <w:rPr>
          <w:rFonts w:cs="Arial"/>
          <w:sz w:val="20"/>
        </w:rPr>
        <w:t xml:space="preserve">’s </w:t>
      </w:r>
      <w:r w:rsidR="007562F7" w:rsidRPr="00EB5E38">
        <w:rPr>
          <w:rFonts w:cs="Arial"/>
          <w:sz w:val="20"/>
        </w:rPr>
        <w:t>Staff</w:t>
      </w:r>
      <w:r w:rsidRPr="00EB5E38">
        <w:rPr>
          <w:rFonts w:cs="Arial"/>
          <w:sz w:val="20"/>
        </w:rPr>
        <w:t xml:space="preserve"> or any other Sub-Contractors, sub-contractors, employees, agents, servants or representatives</w:t>
      </w:r>
      <w:r w:rsidR="007562F7" w:rsidRPr="00EB5E38">
        <w:rPr>
          <w:rFonts w:cs="Arial"/>
          <w:sz w:val="20"/>
        </w:rPr>
        <w:t xml:space="preserve"> identified in the </w:t>
      </w:r>
      <w:r w:rsidR="007D1596" w:rsidRPr="00EB5E38">
        <w:rPr>
          <w:rFonts w:cs="Arial"/>
          <w:sz w:val="20"/>
        </w:rPr>
        <w:t>Customer</w:t>
      </w:r>
      <w:r w:rsidR="007562F7" w:rsidRPr="00EB5E38">
        <w:rPr>
          <w:rFonts w:cs="Arial"/>
          <w:sz w:val="20"/>
        </w:rPr>
        <w:t xml:space="preserve">'s notice sign a confidentiality undertaking prior to commencing any work in accordance with </w:t>
      </w:r>
      <w:r w:rsidR="0013772A" w:rsidRPr="00EB5E38">
        <w:rPr>
          <w:rFonts w:cs="Arial"/>
          <w:sz w:val="20"/>
        </w:rPr>
        <w:t>the Contract</w:t>
      </w:r>
      <w:r w:rsidR="007562F7" w:rsidRPr="00EB5E38">
        <w:rPr>
          <w:rFonts w:cs="Arial"/>
          <w:sz w:val="20"/>
        </w:rPr>
        <w:t>.</w:t>
      </w:r>
    </w:p>
    <w:p w14:paraId="6C683839" w14:textId="77777777" w:rsidR="00F807DC" w:rsidRPr="00EB5E38" w:rsidRDefault="007562F7">
      <w:pPr>
        <w:pStyle w:val="Heading3"/>
        <w:rPr>
          <w:rFonts w:cs="Arial"/>
          <w:sz w:val="20"/>
        </w:rPr>
      </w:pPr>
      <w:bookmarkStart w:id="79" w:name="_Ref313367748"/>
      <w:r w:rsidRPr="00EB5E38">
        <w:rPr>
          <w:rFonts w:cs="Arial"/>
          <w:sz w:val="20"/>
        </w:rPr>
        <w:t xml:space="preserve">Nothing in </w:t>
      </w:r>
      <w:r w:rsidR="0013772A" w:rsidRPr="00EB5E38">
        <w:rPr>
          <w:rFonts w:cs="Arial"/>
          <w:sz w:val="20"/>
        </w:rPr>
        <w:t>the Contract</w:t>
      </w:r>
      <w:r w:rsidRPr="00EB5E38">
        <w:rPr>
          <w:rFonts w:cs="Arial"/>
          <w:sz w:val="20"/>
        </w:rPr>
        <w:t xml:space="preserve"> shall prevent the </w:t>
      </w:r>
      <w:r w:rsidR="007D1596" w:rsidRPr="00EB5E38">
        <w:rPr>
          <w:rFonts w:cs="Arial"/>
          <w:sz w:val="20"/>
        </w:rPr>
        <w:t>Customer</w:t>
      </w:r>
      <w:r w:rsidRPr="00EB5E38">
        <w:rPr>
          <w:rFonts w:cs="Arial"/>
          <w:sz w:val="20"/>
        </w:rPr>
        <w:t xml:space="preserve"> from disclosing the </w:t>
      </w:r>
      <w:r w:rsidR="004104F4" w:rsidRPr="00EB5E38">
        <w:rPr>
          <w:rFonts w:cs="Arial"/>
          <w:sz w:val="20"/>
        </w:rPr>
        <w:t>Supplier</w:t>
      </w:r>
      <w:r w:rsidRPr="00EB5E38">
        <w:rPr>
          <w:rFonts w:cs="Arial"/>
          <w:sz w:val="20"/>
        </w:rPr>
        <w:t xml:space="preserve">'s Confidential Information (including the Management Information obtained </w:t>
      </w:r>
      <w:r w:rsidR="005B71F5" w:rsidRPr="00EB5E38">
        <w:rPr>
          <w:rFonts w:cs="Arial"/>
          <w:sz w:val="20"/>
        </w:rPr>
        <w:t>pursuant to</w:t>
      </w:r>
      <w:r w:rsidRPr="00EB5E38">
        <w:rPr>
          <w:rFonts w:cs="Arial"/>
          <w:sz w:val="20"/>
        </w:rPr>
        <w:t xml:space="preserve"> </w:t>
      </w:r>
      <w:r w:rsidR="00621BF7" w:rsidRPr="00EB5E38">
        <w:rPr>
          <w:rFonts w:cs="Arial"/>
          <w:sz w:val="20"/>
        </w:rPr>
        <w:t>c</w:t>
      </w:r>
      <w:r w:rsidR="00E6002D" w:rsidRPr="00EB5E38">
        <w:rPr>
          <w:rFonts w:cs="Arial"/>
          <w:sz w:val="20"/>
        </w:rPr>
        <w:t>lause </w:t>
      </w:r>
      <w:r w:rsidR="007C44A9" w:rsidRPr="00EB5E38">
        <w:rPr>
          <w:rFonts w:cs="Arial"/>
          <w:sz w:val="20"/>
        </w:rPr>
        <w:t>13</w:t>
      </w:r>
      <w:r w:rsidR="00DB0EF7" w:rsidRPr="00EB5E38">
        <w:rPr>
          <w:rFonts w:cs="Arial"/>
          <w:sz w:val="20"/>
        </w:rPr>
        <w:t xml:space="preserve"> </w:t>
      </w:r>
      <w:r w:rsidRPr="00EB5E38">
        <w:rPr>
          <w:rFonts w:cs="Arial"/>
          <w:sz w:val="20"/>
        </w:rPr>
        <w:t>of the Framework Agreement):</w:t>
      </w:r>
      <w:bookmarkEnd w:id="79"/>
    </w:p>
    <w:p w14:paraId="6C68383A" w14:textId="77777777" w:rsidR="00F807DC" w:rsidRPr="00EB5E38" w:rsidRDefault="007C44A9" w:rsidP="00880E10">
      <w:pPr>
        <w:pStyle w:val="Heading4"/>
      </w:pPr>
      <w:r w:rsidRPr="00EB5E38">
        <w:t>to any Crown body or any o</w:t>
      </w:r>
      <w:r w:rsidR="007562F7" w:rsidRPr="00EB5E38">
        <w:t xml:space="preserve">ther Contracting Body on the basis that the information is confidential and is not to be disclosed to a third party which is not part of any Crown body or any </w:t>
      </w:r>
      <w:r w:rsidR="00E60BBC" w:rsidRPr="00EB5E38">
        <w:t>Contracting Body</w:t>
      </w:r>
      <w:r w:rsidR="00B014A2" w:rsidRPr="00EB5E38">
        <w:t xml:space="preserve"> save as required by Law</w:t>
      </w:r>
      <w:r w:rsidR="007562F7" w:rsidRPr="00EB5E38">
        <w:t>;</w:t>
      </w:r>
    </w:p>
    <w:p w14:paraId="6C68383B" w14:textId="77777777" w:rsidR="00F807DC" w:rsidRPr="00EB5E38" w:rsidRDefault="007562F7" w:rsidP="00880E10">
      <w:pPr>
        <w:pStyle w:val="Heading4"/>
      </w:pPr>
      <w:r w:rsidRPr="00EB5E38">
        <w:t xml:space="preserve">to any consultant, contractor or other person engaged by the </w:t>
      </w:r>
      <w:r w:rsidR="007D1596" w:rsidRPr="00EB5E38">
        <w:t>Customer</w:t>
      </w:r>
      <w:r w:rsidRPr="00EB5E38">
        <w:t xml:space="preserve"> for any purpose relating to or connected with the </w:t>
      </w:r>
      <w:r w:rsidR="007B35D4" w:rsidRPr="00EB5E38">
        <w:t xml:space="preserve">Contract or the </w:t>
      </w:r>
      <w:r w:rsidRPr="00EB5E38">
        <w:t xml:space="preserve">Framework Agreement (on the basis that the information shall be held by such consultant, contractor or other person in confidence and is not to be disclosed to any third party) or any person conducting an </w:t>
      </w:r>
      <w:r w:rsidR="00553C08" w:rsidRPr="00EB5E38">
        <w:t>OGC G</w:t>
      </w:r>
      <w:r w:rsidRPr="00EB5E38">
        <w:t>ateway</w:t>
      </w:r>
      <w:r w:rsidR="00553C08" w:rsidRPr="00EB5E38">
        <w:t xml:space="preserve"> </w:t>
      </w:r>
      <w:r w:rsidR="00553C08" w:rsidRPr="00EB5E38">
        <w:rPr>
          <w:sz w:val="16"/>
          <w:szCs w:val="16"/>
        </w:rPr>
        <w:t>TM</w:t>
      </w:r>
      <w:r w:rsidRPr="00EB5E38">
        <w:t xml:space="preserve"> review or any additional assurance programme;</w:t>
      </w:r>
    </w:p>
    <w:p w14:paraId="6C68383C" w14:textId="77777777" w:rsidR="00F807DC" w:rsidRPr="00EB5E38" w:rsidRDefault="007562F7" w:rsidP="00880E10">
      <w:pPr>
        <w:pStyle w:val="Heading4"/>
      </w:pPr>
      <w:r w:rsidRPr="00EB5E38">
        <w:lastRenderedPageBreak/>
        <w:t xml:space="preserve">for the purpose of the examination and certification of the </w:t>
      </w:r>
      <w:r w:rsidR="007D1596" w:rsidRPr="00EB5E38">
        <w:t>Customer</w:t>
      </w:r>
      <w:r w:rsidRPr="00EB5E38">
        <w:t>‘s accounts; or</w:t>
      </w:r>
    </w:p>
    <w:p w14:paraId="6C68383D" w14:textId="77777777" w:rsidR="00F807DC" w:rsidRPr="00EB5E38" w:rsidRDefault="007562F7" w:rsidP="00880E10">
      <w:pPr>
        <w:pStyle w:val="Heading4"/>
      </w:pPr>
      <w:r w:rsidRPr="00EB5E38">
        <w:t>f</w:t>
      </w:r>
      <w:r w:rsidR="007C44A9" w:rsidRPr="00EB5E38">
        <w:t>or any examination pursuant to section </w:t>
      </w:r>
      <w:r w:rsidRPr="00EB5E38">
        <w:t xml:space="preserve">6(1) of the National Audit Act 1983 of the economy, efficiency and effectiveness with which the </w:t>
      </w:r>
      <w:r w:rsidR="007D1596" w:rsidRPr="00EB5E38">
        <w:t>Customer</w:t>
      </w:r>
      <w:r w:rsidR="007C44A9" w:rsidRPr="00EB5E38">
        <w:t xml:space="preserve"> </w:t>
      </w:r>
      <w:r w:rsidRPr="00EB5E38">
        <w:t>has used its resources.</w:t>
      </w:r>
    </w:p>
    <w:p w14:paraId="6C68383E"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use all reasonable endeavours to ensure that any government department, </w:t>
      </w:r>
      <w:r w:rsidR="007D1596" w:rsidRPr="00EB5E38">
        <w:rPr>
          <w:rFonts w:cs="Arial"/>
          <w:sz w:val="20"/>
        </w:rPr>
        <w:t>Customer</w:t>
      </w:r>
      <w:r w:rsidRPr="00EB5E38">
        <w:rPr>
          <w:rFonts w:cs="Arial"/>
          <w:sz w:val="20"/>
        </w:rPr>
        <w:t xml:space="preserve">, employee, third party or Sub-Contractor to whom the </w:t>
      </w:r>
      <w:r w:rsidR="004104F4" w:rsidRPr="00EB5E38">
        <w:rPr>
          <w:rFonts w:cs="Arial"/>
          <w:sz w:val="20"/>
        </w:rPr>
        <w:t>Supplier</w:t>
      </w:r>
      <w:r w:rsidRPr="00EB5E38">
        <w:rPr>
          <w:rFonts w:cs="Arial"/>
          <w:sz w:val="20"/>
        </w:rPr>
        <w:t xml:space="preserve">'s Confidential Information is disclosed pursuant to </w:t>
      </w:r>
      <w:r w:rsidR="00E6002D" w:rsidRPr="00EB5E38">
        <w:rPr>
          <w:rFonts w:cs="Arial"/>
          <w:sz w:val="20"/>
        </w:rPr>
        <w:t>Clause </w:t>
      </w:r>
      <w:r w:rsidR="00621BF7" w:rsidRPr="00EB5E38">
        <w:rPr>
          <w:rFonts w:cs="Arial"/>
          <w:sz w:val="20"/>
        </w:rPr>
        <w:t xml:space="preserve">6.2.6 </w:t>
      </w:r>
      <w:r w:rsidRPr="00EB5E38">
        <w:rPr>
          <w:rFonts w:cs="Arial"/>
          <w:sz w:val="20"/>
        </w:rPr>
        <w:t xml:space="preserve">is made aware of the </w:t>
      </w:r>
      <w:r w:rsidR="007D1596" w:rsidRPr="00EB5E38">
        <w:rPr>
          <w:rFonts w:cs="Arial"/>
          <w:sz w:val="20"/>
        </w:rPr>
        <w:t>Customer</w:t>
      </w:r>
      <w:r w:rsidR="00621BF7" w:rsidRPr="00EB5E38">
        <w:rPr>
          <w:rFonts w:cs="Arial"/>
          <w:sz w:val="20"/>
        </w:rPr>
        <w:t>’</w:t>
      </w:r>
      <w:r w:rsidRPr="00EB5E38">
        <w:rPr>
          <w:rFonts w:cs="Arial"/>
          <w:sz w:val="20"/>
        </w:rPr>
        <w:t xml:space="preserve">s obligations of confidentiality. </w:t>
      </w:r>
    </w:p>
    <w:p w14:paraId="6C68383F" w14:textId="77777777" w:rsidR="00F807DC" w:rsidRPr="00EB5E38" w:rsidRDefault="007562F7">
      <w:pPr>
        <w:pStyle w:val="Heading3"/>
        <w:rPr>
          <w:rFonts w:cs="Arial"/>
          <w:sz w:val="20"/>
        </w:rPr>
      </w:pPr>
      <w:r w:rsidRPr="00EB5E38">
        <w:rPr>
          <w:rFonts w:cs="Arial"/>
          <w:sz w:val="20"/>
        </w:rPr>
        <w:t xml:space="preserve">Nothing in this </w:t>
      </w:r>
      <w:r w:rsidR="00E6002D" w:rsidRPr="00EB5E38">
        <w:rPr>
          <w:rFonts w:cs="Arial"/>
          <w:sz w:val="20"/>
        </w:rPr>
        <w:t>Clause </w:t>
      </w:r>
      <w:r w:rsidR="00621BF7" w:rsidRPr="00EB5E38">
        <w:rPr>
          <w:rFonts w:cs="Arial"/>
          <w:sz w:val="20"/>
        </w:rPr>
        <w:t>6</w:t>
      </w:r>
      <w:r w:rsidR="005B71F5" w:rsidRPr="00EB5E38">
        <w:rPr>
          <w:rFonts w:cs="Arial"/>
          <w:sz w:val="20"/>
        </w:rPr>
        <w:t>.2</w:t>
      </w:r>
      <w:r w:rsidR="00DB0EF7" w:rsidRPr="00EB5E38">
        <w:rPr>
          <w:rFonts w:cs="Arial"/>
          <w:sz w:val="20"/>
        </w:rPr>
        <w:t xml:space="preserve"> </w:t>
      </w:r>
      <w:r w:rsidRPr="00EB5E38">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EB5E38" w:rsidRDefault="007562F7">
      <w:pPr>
        <w:pStyle w:val="Heading3"/>
        <w:rPr>
          <w:rFonts w:cs="Arial"/>
          <w:sz w:val="20"/>
        </w:rPr>
      </w:pPr>
      <w:r w:rsidRPr="00EB5E38">
        <w:rPr>
          <w:rFonts w:cs="Arial"/>
          <w:sz w:val="20"/>
        </w:rPr>
        <w:t xml:space="preserve">In order to ensure that no unauthorised person gains access to any Confidential Information or any data obtained in performance of </w:t>
      </w:r>
      <w:r w:rsidR="0013772A" w:rsidRPr="00EB5E38">
        <w:rPr>
          <w:rFonts w:cs="Arial"/>
          <w:sz w:val="20"/>
        </w:rPr>
        <w:t>the Contract</w:t>
      </w:r>
      <w:r w:rsidRPr="00EB5E38">
        <w:rPr>
          <w:rFonts w:cs="Arial"/>
          <w:sz w:val="20"/>
        </w:rPr>
        <w:t xml:space="preserve">, the </w:t>
      </w:r>
      <w:r w:rsidR="004104F4" w:rsidRPr="00EB5E38">
        <w:rPr>
          <w:rFonts w:cs="Arial"/>
          <w:sz w:val="20"/>
        </w:rPr>
        <w:t>Supplier</w:t>
      </w:r>
      <w:r w:rsidRPr="00EB5E38">
        <w:rPr>
          <w:rFonts w:cs="Arial"/>
          <w:sz w:val="20"/>
        </w:rPr>
        <w:t xml:space="preserve"> undertakes to maintain adequate security arrangements that meet the requirements of Good Industry Practice. </w:t>
      </w:r>
    </w:p>
    <w:p w14:paraId="6C683841" w14:textId="77777777" w:rsidR="00294DCA" w:rsidRPr="00EB5E38" w:rsidRDefault="007562F7" w:rsidP="001E31C6">
      <w:pPr>
        <w:pStyle w:val="Heading3"/>
        <w:rPr>
          <w:rFonts w:cs="Arial"/>
          <w:sz w:val="20"/>
        </w:rPr>
      </w:pPr>
      <w:bookmarkStart w:id="80" w:name="_Ref321322295"/>
      <w:r w:rsidRPr="00EB5E38">
        <w:rPr>
          <w:rFonts w:cs="Arial"/>
          <w:sz w:val="20"/>
        </w:rPr>
        <w:t xml:space="preserve">The </w:t>
      </w:r>
      <w:r w:rsidR="004104F4" w:rsidRPr="00EB5E38">
        <w:rPr>
          <w:rFonts w:cs="Arial"/>
          <w:sz w:val="20"/>
        </w:rPr>
        <w:t>Supplier</w:t>
      </w:r>
      <w:r w:rsidRPr="00EB5E38">
        <w:rPr>
          <w:rFonts w:cs="Arial"/>
          <w:sz w:val="20"/>
        </w:rPr>
        <w:t xml:space="preserve"> shall, at all times during and after the </w:t>
      </w:r>
      <w:r w:rsidR="005B71F5" w:rsidRPr="00EB5E38">
        <w:rPr>
          <w:rFonts w:cs="Arial"/>
          <w:sz w:val="20"/>
        </w:rPr>
        <w:t xml:space="preserve">performance of the </w:t>
      </w:r>
      <w:r w:rsidRPr="00EB5E38">
        <w:rPr>
          <w:rFonts w:cs="Arial"/>
          <w:sz w:val="20"/>
        </w:rPr>
        <w:t xml:space="preserve">Contract, indemnify the </w:t>
      </w:r>
      <w:r w:rsidR="007D1596" w:rsidRPr="00EB5E38">
        <w:rPr>
          <w:rFonts w:cs="Arial"/>
          <w:sz w:val="20"/>
        </w:rPr>
        <w:t>Customer</w:t>
      </w:r>
      <w:r w:rsidRPr="00EB5E38">
        <w:rPr>
          <w:rFonts w:cs="Arial"/>
          <w:sz w:val="20"/>
        </w:rPr>
        <w:t xml:space="preserve"> and keep the </w:t>
      </w:r>
      <w:r w:rsidR="007D1596" w:rsidRPr="00EB5E38">
        <w:rPr>
          <w:rFonts w:cs="Arial"/>
          <w:sz w:val="20"/>
        </w:rPr>
        <w:t>Customer</w:t>
      </w:r>
      <w:r w:rsidR="005B71F5" w:rsidRPr="00EB5E38">
        <w:rPr>
          <w:rFonts w:cs="Arial"/>
          <w:sz w:val="20"/>
        </w:rPr>
        <w:t xml:space="preserve"> </w:t>
      </w:r>
      <w:r w:rsidRPr="00EB5E38">
        <w:rPr>
          <w:rFonts w:cs="Arial"/>
          <w:sz w:val="20"/>
        </w:rPr>
        <w:t xml:space="preserve">fully indemnified against all losses, damages, costs or expenses and other liabilities (including legal fees) incurred by, awarded against or agreed to be paid by the </w:t>
      </w:r>
      <w:r w:rsidR="007D1596" w:rsidRPr="00EB5E38">
        <w:rPr>
          <w:rFonts w:cs="Arial"/>
          <w:sz w:val="20"/>
        </w:rPr>
        <w:t>Customer</w:t>
      </w:r>
      <w:r w:rsidR="005B71F5" w:rsidRPr="00EB5E38">
        <w:rPr>
          <w:rFonts w:cs="Arial"/>
          <w:sz w:val="20"/>
        </w:rPr>
        <w:t xml:space="preserve"> </w:t>
      </w:r>
      <w:r w:rsidRPr="00EB5E38">
        <w:rPr>
          <w:rFonts w:cs="Arial"/>
          <w:sz w:val="20"/>
        </w:rPr>
        <w:t xml:space="preserve">arising from any breach of the </w:t>
      </w:r>
      <w:r w:rsidR="004104F4" w:rsidRPr="00EB5E38">
        <w:rPr>
          <w:rFonts w:cs="Arial"/>
          <w:sz w:val="20"/>
        </w:rPr>
        <w:t>Supplier</w:t>
      </w:r>
      <w:r w:rsidR="005B71F5" w:rsidRPr="00EB5E38">
        <w:rPr>
          <w:rFonts w:cs="Arial"/>
          <w:sz w:val="20"/>
        </w:rPr>
        <w:t xml:space="preserve">'s obligations under </w:t>
      </w:r>
      <w:r w:rsidR="001E31C6" w:rsidRPr="00EB5E38">
        <w:rPr>
          <w:rFonts w:cs="Arial"/>
          <w:sz w:val="20"/>
        </w:rPr>
        <w:t xml:space="preserve">this </w:t>
      </w:r>
      <w:r w:rsidR="00E6002D" w:rsidRPr="00EB5E38">
        <w:rPr>
          <w:rFonts w:cs="Arial"/>
          <w:sz w:val="20"/>
        </w:rPr>
        <w:t>Clause </w:t>
      </w:r>
      <w:r w:rsidR="001E31C6" w:rsidRPr="00EB5E38">
        <w:rPr>
          <w:rFonts w:cs="Arial"/>
          <w:sz w:val="20"/>
        </w:rPr>
        <w:t>6</w:t>
      </w:r>
      <w:r w:rsidR="005B71F5" w:rsidRPr="00EB5E38">
        <w:rPr>
          <w:rFonts w:cs="Arial"/>
          <w:sz w:val="20"/>
        </w:rPr>
        <w:t>.2</w:t>
      </w:r>
      <w:r w:rsidRPr="00EB5E38">
        <w:rPr>
          <w:rFonts w:cs="Arial"/>
          <w:sz w:val="20"/>
        </w:rPr>
        <w:t xml:space="preserve"> except and to the extent that such liabilities have resulted directly from the </w:t>
      </w:r>
      <w:r w:rsidR="007D1596" w:rsidRPr="00EB5E38">
        <w:rPr>
          <w:rFonts w:cs="Arial"/>
          <w:sz w:val="20"/>
        </w:rPr>
        <w:t>Customer</w:t>
      </w:r>
      <w:r w:rsidRPr="00EB5E38">
        <w:rPr>
          <w:rFonts w:cs="Arial"/>
          <w:sz w:val="20"/>
        </w:rPr>
        <w:t>'s instructions.</w:t>
      </w:r>
      <w:bookmarkEnd w:id="80"/>
    </w:p>
    <w:p w14:paraId="6C683842" w14:textId="77777777" w:rsidR="00F807DC" w:rsidRPr="00EB5E38" w:rsidRDefault="00294DCA" w:rsidP="00294DCA">
      <w:pPr>
        <w:pStyle w:val="Heading3"/>
        <w:rPr>
          <w:rFonts w:cs="Arial"/>
          <w:sz w:val="20"/>
        </w:rPr>
      </w:pPr>
      <w:r w:rsidRPr="00EB5E38">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EB5E38">
        <w:rPr>
          <w:rFonts w:cs="Arial"/>
          <w:sz w:val="20"/>
        </w:rPr>
        <w:t xml:space="preserve"> </w:t>
      </w:r>
    </w:p>
    <w:p w14:paraId="6C683843" w14:textId="77777777" w:rsidR="00F807DC" w:rsidRPr="00EB5E38" w:rsidRDefault="007562F7">
      <w:pPr>
        <w:pStyle w:val="Heading2"/>
        <w:keepNext/>
        <w:rPr>
          <w:rFonts w:cs="Arial"/>
          <w:b/>
          <w:sz w:val="20"/>
        </w:rPr>
      </w:pPr>
      <w:bookmarkStart w:id="81" w:name="_Ref313369966"/>
      <w:r w:rsidRPr="00EB5E38">
        <w:rPr>
          <w:rFonts w:cs="Arial"/>
          <w:b/>
          <w:sz w:val="20"/>
        </w:rPr>
        <w:t>Official Secrets Acts 1911 to 1989</w:t>
      </w:r>
      <w:r w:rsidR="005B71F5" w:rsidRPr="00EB5E38">
        <w:rPr>
          <w:rFonts w:cs="Arial"/>
          <w:b/>
          <w:sz w:val="20"/>
        </w:rPr>
        <w:t>;</w:t>
      </w:r>
      <w:r w:rsidRPr="00EB5E38">
        <w:rPr>
          <w:rFonts w:cs="Arial"/>
          <w:b/>
          <w:sz w:val="20"/>
        </w:rPr>
        <w:t xml:space="preserve"> </w:t>
      </w:r>
      <w:r w:rsidR="007C44A9" w:rsidRPr="00EB5E38">
        <w:rPr>
          <w:rFonts w:cs="Arial"/>
          <w:b/>
          <w:sz w:val="20"/>
        </w:rPr>
        <w:t>section </w:t>
      </w:r>
      <w:r w:rsidRPr="00EB5E38">
        <w:rPr>
          <w:rFonts w:cs="Arial"/>
          <w:b/>
          <w:sz w:val="20"/>
        </w:rPr>
        <w:t>182 of the Finance Act 1989</w:t>
      </w:r>
      <w:bookmarkEnd w:id="81"/>
    </w:p>
    <w:p w14:paraId="6C683844"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comply with and shall ensure that its Staff comply with, the provisions of:</w:t>
      </w:r>
    </w:p>
    <w:p w14:paraId="6C683845" w14:textId="77777777" w:rsidR="00F807DC" w:rsidRPr="00EB5E38" w:rsidRDefault="007562F7" w:rsidP="00880E10">
      <w:pPr>
        <w:pStyle w:val="Heading4"/>
      </w:pPr>
      <w:r w:rsidRPr="00EB5E38">
        <w:t>the Official Secrets Acts 1911 to 1989; and</w:t>
      </w:r>
    </w:p>
    <w:p w14:paraId="6C683846" w14:textId="77777777" w:rsidR="00F807DC" w:rsidRPr="00EB5E38" w:rsidRDefault="007C44A9" w:rsidP="00880E10">
      <w:pPr>
        <w:pStyle w:val="Heading4"/>
      </w:pPr>
      <w:r w:rsidRPr="00EB5E38">
        <w:t>section </w:t>
      </w:r>
      <w:r w:rsidR="007562F7" w:rsidRPr="00EB5E38">
        <w:t>182 of the Finance Act 1989.</w:t>
      </w:r>
    </w:p>
    <w:p w14:paraId="6C683847" w14:textId="77777777" w:rsidR="00F807DC" w:rsidRPr="00EB5E38" w:rsidRDefault="007562F7">
      <w:pPr>
        <w:pStyle w:val="Heading2"/>
        <w:keepNext/>
        <w:rPr>
          <w:rFonts w:cs="Arial"/>
          <w:b/>
          <w:sz w:val="20"/>
        </w:rPr>
      </w:pPr>
      <w:bookmarkStart w:id="82" w:name="_Ref313369975"/>
      <w:r w:rsidRPr="00EB5E38">
        <w:rPr>
          <w:rFonts w:cs="Arial"/>
          <w:b/>
          <w:sz w:val="20"/>
        </w:rPr>
        <w:t>Freedom of Information</w:t>
      </w:r>
      <w:bookmarkEnd w:id="82"/>
    </w:p>
    <w:p w14:paraId="6C683848"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w:t>
      </w:r>
      <w:r w:rsidR="007D1596" w:rsidRPr="00EB5E38">
        <w:rPr>
          <w:rFonts w:cs="Arial"/>
          <w:sz w:val="20"/>
        </w:rPr>
        <w:t>Customer</w:t>
      </w:r>
      <w:r w:rsidRPr="00EB5E38">
        <w:rPr>
          <w:rFonts w:cs="Arial"/>
          <w:sz w:val="20"/>
        </w:rPr>
        <w:t xml:space="preserve"> is subject to the requirements of the FOIA and the Environmental Information Regulations and shall assist and cooperate with the </w:t>
      </w:r>
      <w:r w:rsidR="007D1596" w:rsidRPr="00EB5E38">
        <w:rPr>
          <w:rFonts w:cs="Arial"/>
          <w:sz w:val="20"/>
        </w:rPr>
        <w:t>Customer</w:t>
      </w:r>
      <w:r w:rsidRPr="00EB5E38">
        <w:rPr>
          <w:rFonts w:cs="Arial"/>
          <w:sz w:val="20"/>
        </w:rPr>
        <w:t xml:space="preserve"> to enable the </w:t>
      </w:r>
      <w:r w:rsidR="007D1596" w:rsidRPr="00EB5E38">
        <w:rPr>
          <w:rFonts w:cs="Arial"/>
          <w:sz w:val="20"/>
        </w:rPr>
        <w:t>Customer</w:t>
      </w:r>
      <w:r w:rsidRPr="00EB5E38">
        <w:rPr>
          <w:rFonts w:cs="Arial"/>
          <w:sz w:val="20"/>
        </w:rPr>
        <w:t xml:space="preserve"> to comply with its Information disclosure obligations.</w:t>
      </w:r>
    </w:p>
    <w:p w14:paraId="6C683849" w14:textId="77777777" w:rsidR="00F807DC" w:rsidRPr="00EB5E38" w:rsidRDefault="007562F7">
      <w:pPr>
        <w:pStyle w:val="Heading3"/>
        <w:keepNext/>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and shall procure that its Sub-Contractors shall:</w:t>
      </w:r>
    </w:p>
    <w:p w14:paraId="6C68384A" w14:textId="77777777" w:rsidR="00F807DC" w:rsidRPr="00EB5E38" w:rsidRDefault="007562F7" w:rsidP="00880E10">
      <w:pPr>
        <w:pStyle w:val="Heading4"/>
      </w:pPr>
      <w:r w:rsidRPr="00EB5E38">
        <w:t xml:space="preserve">transfer to the </w:t>
      </w:r>
      <w:r w:rsidR="007D1596" w:rsidRPr="00EB5E38">
        <w:t>Customer</w:t>
      </w:r>
      <w:r w:rsidRPr="00EB5E38">
        <w:t xml:space="preserve"> all Requests for Information that it receives as soon as practicable and in any event within two (2) Working Days of receiving a Request for Information;</w:t>
      </w:r>
    </w:p>
    <w:p w14:paraId="6C68384B" w14:textId="77777777" w:rsidR="00F807DC" w:rsidRPr="00EB5E38" w:rsidRDefault="007562F7" w:rsidP="00880E10">
      <w:pPr>
        <w:pStyle w:val="Heading4"/>
      </w:pPr>
      <w:r w:rsidRPr="00EB5E38">
        <w:lastRenderedPageBreak/>
        <w:t xml:space="preserve">provide the </w:t>
      </w:r>
      <w:r w:rsidR="007D1596" w:rsidRPr="00EB5E38">
        <w:t>Customer</w:t>
      </w:r>
      <w:r w:rsidRPr="00EB5E38">
        <w:t xml:space="preserve"> with a copy of all Information relating to a Request for Information in its possession, or control in the form that the </w:t>
      </w:r>
      <w:r w:rsidR="007D1596" w:rsidRPr="00EB5E38">
        <w:t>Customer</w:t>
      </w:r>
      <w:r w:rsidRPr="00EB5E38">
        <w:t xml:space="preserve"> requires within five (5) Working Days (or such other period as the </w:t>
      </w:r>
      <w:r w:rsidR="007D1596" w:rsidRPr="00EB5E38">
        <w:t>Customer</w:t>
      </w:r>
      <w:r w:rsidRPr="00EB5E38">
        <w:t xml:space="preserve"> may specify) of the </w:t>
      </w:r>
      <w:r w:rsidR="007D1596" w:rsidRPr="00EB5E38">
        <w:t>Customer</w:t>
      </w:r>
      <w:r w:rsidRPr="00EB5E38">
        <w:t>'s request; and</w:t>
      </w:r>
    </w:p>
    <w:p w14:paraId="6C68384C" w14:textId="77777777" w:rsidR="00F807DC" w:rsidRPr="00EB5E38" w:rsidRDefault="007562F7" w:rsidP="00880E10">
      <w:pPr>
        <w:pStyle w:val="Heading4"/>
      </w:pPr>
      <w:r w:rsidRPr="00EB5E38">
        <w:t xml:space="preserve">provide all necessary assistance as reasonably requested by the </w:t>
      </w:r>
      <w:r w:rsidR="007D1596" w:rsidRPr="00EB5E38">
        <w:t>Customer</w:t>
      </w:r>
      <w:r w:rsidRPr="00EB5E38">
        <w:t xml:space="preserve"> to enable the </w:t>
      </w:r>
      <w:r w:rsidR="007D1596" w:rsidRPr="00EB5E38">
        <w:t>Customer</w:t>
      </w:r>
      <w:r w:rsidRPr="00EB5E38">
        <w:t xml:space="preserve"> to respond to the Request for Information within the time for compliance set out in </w:t>
      </w:r>
      <w:r w:rsidR="007C44A9" w:rsidRPr="00EB5E38">
        <w:t>section </w:t>
      </w:r>
      <w:r w:rsidRPr="00EB5E38">
        <w:t>10 of the FOIA or regulation 5 of the Environmental Information Regulations.</w:t>
      </w:r>
    </w:p>
    <w:p w14:paraId="6C68384D"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be responsible for determining in its absolute discretion and notwithstanding any other provision in </w:t>
      </w:r>
      <w:r w:rsidR="0013772A" w:rsidRPr="00EB5E38">
        <w:rPr>
          <w:rFonts w:cs="Arial"/>
          <w:sz w:val="20"/>
        </w:rPr>
        <w:t>the Contract</w:t>
      </w:r>
      <w:r w:rsidRPr="00EB5E38">
        <w:rPr>
          <w:rFonts w:cs="Arial"/>
          <w:sz w:val="20"/>
        </w:rPr>
        <w:t xml:space="preserve"> or any other </w:t>
      </w:r>
      <w:r w:rsidR="007C44A9" w:rsidRPr="00EB5E38">
        <w:rPr>
          <w:rFonts w:cs="Arial"/>
          <w:sz w:val="20"/>
        </w:rPr>
        <w:t>c</w:t>
      </w:r>
      <w:r w:rsidRPr="00EB5E38">
        <w:rPr>
          <w:rFonts w:cs="Arial"/>
          <w:sz w:val="20"/>
        </w:rPr>
        <w:t xml:space="preserve">ontract whether the Commercially Sensitive Information and/or any other Information including </w:t>
      </w:r>
      <w:r w:rsidR="004104F4" w:rsidRPr="00EB5E38">
        <w:rPr>
          <w:rFonts w:cs="Arial"/>
          <w:sz w:val="20"/>
        </w:rPr>
        <w:t>Supplier</w:t>
      </w:r>
      <w:r w:rsidRPr="00EB5E38">
        <w:rPr>
          <w:rFonts w:cs="Arial"/>
          <w:sz w:val="20"/>
        </w:rPr>
        <w:t>’s Confidential Information, is exempt from disclosure in accordance with the provisions of the FOIA or the Environmental Information Regulations.</w:t>
      </w:r>
    </w:p>
    <w:p w14:paraId="6C68384E" w14:textId="77777777" w:rsidR="00F807DC" w:rsidRPr="00EB5E38" w:rsidRDefault="007562F7">
      <w:pPr>
        <w:pStyle w:val="Heading3"/>
        <w:rPr>
          <w:rFonts w:cs="Arial"/>
          <w:sz w:val="20"/>
        </w:rPr>
      </w:pPr>
      <w:r w:rsidRPr="00EB5E38">
        <w:rPr>
          <w:rFonts w:cs="Arial"/>
          <w:sz w:val="20"/>
        </w:rPr>
        <w:t xml:space="preserve">In no event shall the </w:t>
      </w:r>
      <w:r w:rsidR="004104F4" w:rsidRPr="00EB5E38">
        <w:rPr>
          <w:rFonts w:cs="Arial"/>
          <w:sz w:val="20"/>
        </w:rPr>
        <w:t>Supplier</w:t>
      </w:r>
      <w:r w:rsidRPr="00EB5E38">
        <w:rPr>
          <w:rFonts w:cs="Arial"/>
          <w:sz w:val="20"/>
        </w:rPr>
        <w:t xml:space="preserve"> respond directly to a Request for Information unless authorised in writing to do so by the </w:t>
      </w:r>
      <w:r w:rsidR="007D1596" w:rsidRPr="00EB5E38">
        <w:rPr>
          <w:rFonts w:cs="Arial"/>
          <w:sz w:val="20"/>
        </w:rPr>
        <w:t>Customer</w:t>
      </w:r>
      <w:r w:rsidRPr="00EB5E38">
        <w:rPr>
          <w:rFonts w:cs="Arial"/>
          <w:sz w:val="20"/>
        </w:rPr>
        <w:t>.</w:t>
      </w:r>
    </w:p>
    <w:p w14:paraId="6C68384F" w14:textId="77777777" w:rsidR="00F807DC" w:rsidRPr="00EB5E38" w:rsidRDefault="007562F7">
      <w:pPr>
        <w:pStyle w:val="Heading3"/>
        <w:rPr>
          <w:rFonts w:cs="Arial"/>
          <w:sz w:val="20"/>
        </w:rPr>
      </w:pPr>
      <w:bookmarkStart w:id="83" w:name="_Ref313368004"/>
      <w:r w:rsidRPr="00EB5E38">
        <w:rPr>
          <w:rFonts w:cs="Arial"/>
          <w:sz w:val="20"/>
        </w:rPr>
        <w:t xml:space="preserve">The </w:t>
      </w:r>
      <w:r w:rsidR="004104F4" w:rsidRPr="00EB5E38">
        <w:rPr>
          <w:rFonts w:cs="Arial"/>
          <w:sz w:val="20"/>
        </w:rPr>
        <w:t>Supplier</w:t>
      </w:r>
      <w:r w:rsidRPr="00EB5E38">
        <w:rPr>
          <w:rFonts w:cs="Arial"/>
          <w:sz w:val="20"/>
        </w:rPr>
        <w:t xml:space="preserve"> acknowledges that (notwithstanding the provisions of </w:t>
      </w:r>
      <w:r w:rsidR="00E6002D" w:rsidRPr="00EB5E38">
        <w:rPr>
          <w:rFonts w:cs="Arial"/>
          <w:sz w:val="20"/>
        </w:rPr>
        <w:t>Clause </w:t>
      </w:r>
      <w:r w:rsidR="00621BF7" w:rsidRPr="00EB5E38">
        <w:rPr>
          <w:rFonts w:cs="Arial"/>
          <w:sz w:val="20"/>
        </w:rPr>
        <w:t>6</w:t>
      </w:r>
      <w:r w:rsidR="005B71F5" w:rsidRPr="00EB5E38">
        <w:rPr>
          <w:rFonts w:cs="Arial"/>
          <w:sz w:val="20"/>
        </w:rPr>
        <w:t>.2</w:t>
      </w:r>
      <w:r w:rsidRPr="00EB5E38">
        <w:rPr>
          <w:rFonts w:cs="Arial"/>
          <w:sz w:val="20"/>
        </w:rPr>
        <w:t xml:space="preserve">) the </w:t>
      </w:r>
      <w:r w:rsidR="007D1596" w:rsidRPr="00EB5E38">
        <w:rPr>
          <w:rFonts w:cs="Arial"/>
          <w:sz w:val="20"/>
        </w:rPr>
        <w:t>Customer</w:t>
      </w:r>
      <w:r w:rsidRPr="00EB5E38">
        <w:rPr>
          <w:rFonts w:cs="Arial"/>
          <w:sz w:val="20"/>
        </w:rPr>
        <w:t xml:space="preserve"> may, acting in accordance with the Ministry of Justice Code</w:t>
      </w:r>
      <w:r w:rsidR="00C901FE" w:rsidRPr="00EB5E38">
        <w:rPr>
          <w:rFonts w:cs="Arial"/>
          <w:sz w:val="20"/>
        </w:rPr>
        <w:t>s</w:t>
      </w:r>
      <w:r w:rsidRPr="00EB5E38">
        <w:rPr>
          <w:rFonts w:cs="Arial"/>
          <w:sz w:val="20"/>
        </w:rPr>
        <w:t xml:space="preserve">, be obliged under the FOIA or the Environmental Information Regulations to disclose information concerning the </w:t>
      </w:r>
      <w:r w:rsidR="004104F4" w:rsidRPr="00EB5E38">
        <w:rPr>
          <w:rFonts w:cs="Arial"/>
          <w:sz w:val="20"/>
        </w:rPr>
        <w:t>Supplier</w:t>
      </w:r>
      <w:r w:rsidRPr="00EB5E38">
        <w:rPr>
          <w:rFonts w:cs="Arial"/>
          <w:sz w:val="20"/>
        </w:rPr>
        <w:t xml:space="preserve"> or the </w:t>
      </w:r>
      <w:r w:rsidR="00AB51E9" w:rsidRPr="00EB5E38">
        <w:rPr>
          <w:rFonts w:cs="Arial"/>
          <w:sz w:val="20"/>
        </w:rPr>
        <w:t>Contract Services</w:t>
      </w:r>
      <w:r w:rsidRPr="00EB5E38">
        <w:rPr>
          <w:rFonts w:cs="Arial"/>
          <w:sz w:val="20"/>
        </w:rPr>
        <w:t>:</w:t>
      </w:r>
      <w:bookmarkEnd w:id="83"/>
    </w:p>
    <w:p w14:paraId="6C683850" w14:textId="77777777" w:rsidR="00F807DC" w:rsidRPr="00EB5E38" w:rsidRDefault="007562F7" w:rsidP="00880E10">
      <w:pPr>
        <w:pStyle w:val="Heading4"/>
      </w:pPr>
      <w:r w:rsidRPr="00EB5E38">
        <w:t xml:space="preserve">in certain circumstances without consulting the </w:t>
      </w:r>
      <w:r w:rsidR="004104F4" w:rsidRPr="00EB5E38">
        <w:t>Supplier</w:t>
      </w:r>
      <w:r w:rsidRPr="00EB5E38">
        <w:t>; or</w:t>
      </w:r>
    </w:p>
    <w:p w14:paraId="6C683851" w14:textId="77777777" w:rsidR="00F807DC" w:rsidRPr="00EB5E38" w:rsidRDefault="007562F7" w:rsidP="00880E10">
      <w:pPr>
        <w:pStyle w:val="Heading4"/>
      </w:pPr>
      <w:r w:rsidRPr="00EB5E38">
        <w:t xml:space="preserve">following consultation with the </w:t>
      </w:r>
      <w:r w:rsidR="004104F4" w:rsidRPr="00EB5E38">
        <w:t>Supplier</w:t>
      </w:r>
      <w:r w:rsidRPr="00EB5E38">
        <w:t xml:space="preserve"> and having taken </w:t>
      </w:r>
      <w:r w:rsidR="005B71F5" w:rsidRPr="00EB5E38">
        <w:t xml:space="preserve">the </w:t>
      </w:r>
      <w:r w:rsidR="004104F4" w:rsidRPr="00EB5E38">
        <w:t>Supplier</w:t>
      </w:r>
      <w:r w:rsidR="005B71F5" w:rsidRPr="00EB5E38">
        <w:t>’s</w:t>
      </w:r>
      <w:r w:rsidRPr="00EB5E38">
        <w:t xml:space="preserve"> views into account,</w:t>
      </w:r>
    </w:p>
    <w:p w14:paraId="6C683852" w14:textId="77777777" w:rsidR="00F807DC" w:rsidRPr="00EB5E38" w:rsidRDefault="007562F7" w:rsidP="00630C13">
      <w:pPr>
        <w:pStyle w:val="BodyTextIndent"/>
        <w:tabs>
          <w:tab w:val="clear" w:pos="720"/>
          <w:tab w:val="num" w:pos="1800"/>
        </w:tabs>
        <w:ind w:left="1800"/>
        <w:rPr>
          <w:rFonts w:cs="Arial"/>
          <w:sz w:val="20"/>
        </w:rPr>
      </w:pPr>
      <w:r w:rsidRPr="00EB5E38">
        <w:rPr>
          <w:rFonts w:cs="Arial"/>
          <w:sz w:val="20"/>
        </w:rPr>
        <w:t>pro</w:t>
      </w:r>
      <w:r w:rsidR="00630C13" w:rsidRPr="00EB5E38">
        <w:rPr>
          <w:rFonts w:cs="Arial"/>
          <w:sz w:val="20"/>
        </w:rPr>
        <w:t xml:space="preserve">vided always that where </w:t>
      </w:r>
      <w:r w:rsidR="00E6002D" w:rsidRPr="00EB5E38">
        <w:rPr>
          <w:rFonts w:cs="Arial"/>
          <w:sz w:val="20"/>
        </w:rPr>
        <w:t>Clause </w:t>
      </w:r>
      <w:r w:rsidR="00621BF7" w:rsidRPr="00EB5E38">
        <w:rPr>
          <w:rFonts w:cs="Arial"/>
          <w:sz w:val="20"/>
        </w:rPr>
        <w:t>6</w:t>
      </w:r>
      <w:r w:rsidR="00630C13" w:rsidRPr="00EB5E38">
        <w:rPr>
          <w:rFonts w:cs="Arial"/>
          <w:sz w:val="20"/>
        </w:rPr>
        <w:t>.4</w:t>
      </w:r>
      <w:r w:rsidR="00DB0EF7" w:rsidRPr="00EB5E38">
        <w:rPr>
          <w:rFonts w:cs="Arial"/>
          <w:sz w:val="20"/>
        </w:rPr>
        <w:t>.</w:t>
      </w:r>
      <w:r w:rsidR="00E81BCB" w:rsidRPr="00EB5E38">
        <w:rPr>
          <w:rFonts w:cs="Arial"/>
          <w:sz w:val="20"/>
        </w:rPr>
        <w:t>5</w:t>
      </w:r>
      <w:r w:rsidR="00DB0EF7" w:rsidRPr="00EB5E38">
        <w:rPr>
          <w:rFonts w:cs="Arial"/>
          <w:sz w:val="20"/>
        </w:rPr>
        <w:t xml:space="preserve"> </w:t>
      </w:r>
      <w:r w:rsidRPr="00EB5E38">
        <w:rPr>
          <w:rFonts w:cs="Arial"/>
          <w:sz w:val="20"/>
        </w:rPr>
        <w:t xml:space="preserve">applies the </w:t>
      </w:r>
      <w:r w:rsidR="007D1596" w:rsidRPr="00EB5E38">
        <w:rPr>
          <w:rFonts w:cs="Arial"/>
          <w:sz w:val="20"/>
        </w:rPr>
        <w:t>Customer</w:t>
      </w:r>
      <w:r w:rsidRPr="00EB5E38">
        <w:rPr>
          <w:rFonts w:cs="Arial"/>
          <w:sz w:val="20"/>
        </w:rPr>
        <w:t xml:space="preserve"> shall, in accordance with any recommendations of the Code, take reasonable steps, where appropriate, to give the </w:t>
      </w:r>
      <w:r w:rsidR="004104F4" w:rsidRPr="00EB5E38">
        <w:rPr>
          <w:rFonts w:cs="Arial"/>
          <w:sz w:val="20"/>
        </w:rPr>
        <w:t>Supplier</w:t>
      </w:r>
      <w:r w:rsidRPr="00EB5E38">
        <w:rPr>
          <w:rFonts w:cs="Arial"/>
          <w:sz w:val="20"/>
        </w:rPr>
        <w:t xml:space="preserve"> advanced notice, or failing that, to draw the disclosure to the </w:t>
      </w:r>
      <w:r w:rsidR="004104F4" w:rsidRPr="00EB5E38">
        <w:rPr>
          <w:rFonts w:cs="Arial"/>
          <w:sz w:val="20"/>
        </w:rPr>
        <w:t>Supplier</w:t>
      </w:r>
      <w:r w:rsidRPr="00EB5E38">
        <w:rPr>
          <w:rFonts w:cs="Arial"/>
          <w:sz w:val="20"/>
        </w:rPr>
        <w:t>'s attention after any such disclosure.</w:t>
      </w:r>
    </w:p>
    <w:p w14:paraId="6C683853"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ensure that all Information is retained for disclosure in accordance with the provisions of </w:t>
      </w:r>
      <w:r w:rsidR="0013772A" w:rsidRPr="00EB5E38">
        <w:rPr>
          <w:rFonts w:cs="Arial"/>
          <w:sz w:val="20"/>
        </w:rPr>
        <w:t>the Contract</w:t>
      </w:r>
      <w:r w:rsidRPr="00EB5E38">
        <w:rPr>
          <w:rFonts w:cs="Arial"/>
          <w:sz w:val="20"/>
        </w:rPr>
        <w:t xml:space="preserve"> and in any event in accordance with the requirements of Good Industry Practice and shall permit the </w:t>
      </w:r>
      <w:r w:rsidR="007D1596" w:rsidRPr="00EB5E38">
        <w:rPr>
          <w:rFonts w:cs="Arial"/>
          <w:sz w:val="20"/>
        </w:rPr>
        <w:t>Customer</w:t>
      </w:r>
      <w:r w:rsidR="00D8174C" w:rsidRPr="00EB5E38">
        <w:rPr>
          <w:rFonts w:cs="Arial"/>
          <w:sz w:val="20"/>
        </w:rPr>
        <w:t xml:space="preserve"> on reasonable notice</w:t>
      </w:r>
      <w:r w:rsidRPr="00EB5E38">
        <w:rPr>
          <w:rFonts w:cs="Arial"/>
          <w:sz w:val="20"/>
        </w:rPr>
        <w:t xml:space="preserve"> to inspect such records as requested from time to time.</w:t>
      </w:r>
    </w:p>
    <w:p w14:paraId="6C683854"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Commercially Sensitive Information is of an indicative nature only and that the </w:t>
      </w:r>
      <w:r w:rsidR="007D1596" w:rsidRPr="00EB5E38">
        <w:rPr>
          <w:rFonts w:cs="Arial"/>
          <w:sz w:val="20"/>
        </w:rPr>
        <w:t>Customer</w:t>
      </w:r>
      <w:r w:rsidR="001F58EB" w:rsidRPr="00EB5E38">
        <w:rPr>
          <w:rFonts w:cs="Arial"/>
          <w:sz w:val="20"/>
        </w:rPr>
        <w:t xml:space="preserve"> may</w:t>
      </w:r>
      <w:r w:rsidRPr="00EB5E38">
        <w:rPr>
          <w:rFonts w:cs="Arial"/>
          <w:sz w:val="20"/>
        </w:rPr>
        <w:t xml:space="preserve"> be obliged to disclose it in accordance with </w:t>
      </w:r>
      <w:r w:rsidR="00E6002D" w:rsidRPr="00EB5E38">
        <w:rPr>
          <w:rFonts w:cs="Arial"/>
          <w:sz w:val="20"/>
        </w:rPr>
        <w:t>Clause </w:t>
      </w:r>
      <w:r w:rsidR="00621BF7" w:rsidRPr="00EB5E38">
        <w:rPr>
          <w:rFonts w:cs="Arial"/>
          <w:sz w:val="20"/>
        </w:rPr>
        <w:t>6</w:t>
      </w:r>
      <w:r w:rsidR="00630C13" w:rsidRPr="00EB5E38">
        <w:rPr>
          <w:rFonts w:cs="Arial"/>
          <w:sz w:val="20"/>
        </w:rPr>
        <w:t>.4.5</w:t>
      </w:r>
      <w:r w:rsidRPr="00EB5E38">
        <w:rPr>
          <w:rFonts w:cs="Arial"/>
          <w:sz w:val="20"/>
        </w:rPr>
        <w:t>.</w:t>
      </w:r>
    </w:p>
    <w:p w14:paraId="6C683855" w14:textId="77777777" w:rsidR="00F807DC" w:rsidRPr="00EB5E38" w:rsidRDefault="007562F7">
      <w:pPr>
        <w:pStyle w:val="Heading2"/>
        <w:keepNext/>
        <w:rPr>
          <w:rFonts w:cs="Arial"/>
          <w:b/>
          <w:sz w:val="20"/>
        </w:rPr>
      </w:pPr>
      <w:r w:rsidRPr="00EB5E38">
        <w:rPr>
          <w:rFonts w:cs="Arial"/>
          <w:b/>
          <w:sz w:val="20"/>
        </w:rPr>
        <w:t>Transparency</w:t>
      </w:r>
    </w:p>
    <w:p w14:paraId="6C683856" w14:textId="77777777" w:rsidR="00F807DC" w:rsidRPr="00EB5E38" w:rsidRDefault="007562F7">
      <w:pPr>
        <w:pStyle w:val="Heading3"/>
        <w:rPr>
          <w:rFonts w:cs="Arial"/>
          <w:sz w:val="20"/>
        </w:rPr>
      </w:pPr>
      <w:r w:rsidRPr="00EB5E38">
        <w:rPr>
          <w:rFonts w:cs="Arial"/>
          <w:sz w:val="20"/>
        </w:rPr>
        <w:t xml:space="preserve">The Parties acknowledge that, except for any information which is exempt from disclosure in accordance with the provisions of the FOIA, the content of </w:t>
      </w:r>
      <w:r w:rsidR="0013772A" w:rsidRPr="00EB5E38">
        <w:rPr>
          <w:rFonts w:cs="Arial"/>
          <w:sz w:val="20"/>
        </w:rPr>
        <w:t>the Contract</w:t>
      </w:r>
      <w:r w:rsidRPr="00EB5E38">
        <w:rPr>
          <w:rFonts w:cs="Arial"/>
          <w:sz w:val="20"/>
        </w:rPr>
        <w:t xml:space="preserve"> is not Confidential Information.  The </w:t>
      </w:r>
      <w:r w:rsidR="007D1596" w:rsidRPr="00EB5E38">
        <w:rPr>
          <w:rFonts w:cs="Arial"/>
          <w:sz w:val="20"/>
        </w:rPr>
        <w:t>Customer</w:t>
      </w:r>
      <w:r w:rsidRPr="00EB5E38">
        <w:rPr>
          <w:rFonts w:cs="Arial"/>
          <w:sz w:val="20"/>
        </w:rPr>
        <w:t xml:space="preserve"> shall be responsible for determining in its absolute discretion whether any of the content of </w:t>
      </w:r>
      <w:r w:rsidR="0013772A" w:rsidRPr="00EB5E38">
        <w:rPr>
          <w:rFonts w:cs="Arial"/>
          <w:sz w:val="20"/>
        </w:rPr>
        <w:t>the Contract</w:t>
      </w:r>
      <w:r w:rsidRPr="00EB5E38">
        <w:rPr>
          <w:rFonts w:cs="Arial"/>
          <w:sz w:val="20"/>
        </w:rPr>
        <w:t xml:space="preserve"> is exempt from disclosure in accordance with the provisions of the FOIA.  </w:t>
      </w:r>
    </w:p>
    <w:p w14:paraId="6C683857" w14:textId="77777777" w:rsidR="00F807DC" w:rsidRPr="00EB5E38" w:rsidRDefault="007562F7">
      <w:pPr>
        <w:pStyle w:val="Heading3"/>
        <w:rPr>
          <w:rFonts w:cs="Arial"/>
          <w:sz w:val="20"/>
        </w:rPr>
      </w:pPr>
      <w:r w:rsidRPr="00EB5E38">
        <w:rPr>
          <w:rFonts w:cs="Arial"/>
          <w:sz w:val="20"/>
        </w:rPr>
        <w:t xml:space="preserve">Notwithstanding any other term of </w:t>
      </w:r>
      <w:r w:rsidR="0013772A" w:rsidRPr="00EB5E38">
        <w:rPr>
          <w:rFonts w:cs="Arial"/>
          <w:sz w:val="20"/>
        </w:rPr>
        <w:t>the Contract</w:t>
      </w:r>
      <w:r w:rsidRPr="00EB5E38">
        <w:rPr>
          <w:rFonts w:cs="Arial"/>
          <w:sz w:val="20"/>
        </w:rPr>
        <w:t xml:space="preserve">, the </w:t>
      </w:r>
      <w:r w:rsidR="004104F4" w:rsidRPr="00EB5E38">
        <w:rPr>
          <w:rFonts w:cs="Arial"/>
          <w:sz w:val="20"/>
        </w:rPr>
        <w:t>Supplier</w:t>
      </w:r>
      <w:r w:rsidRPr="00EB5E38">
        <w:rPr>
          <w:rFonts w:cs="Arial"/>
          <w:sz w:val="20"/>
        </w:rPr>
        <w:t xml:space="preserve"> hereby gives consent </w:t>
      </w:r>
      <w:r w:rsidR="002015CC" w:rsidRPr="00EB5E38">
        <w:rPr>
          <w:rFonts w:cs="Arial"/>
          <w:sz w:val="20"/>
        </w:rPr>
        <w:t>to</w:t>
      </w:r>
      <w:r w:rsidRPr="00EB5E38">
        <w:rPr>
          <w:rFonts w:cs="Arial"/>
          <w:sz w:val="20"/>
        </w:rPr>
        <w:t xml:space="preserve"> the </w:t>
      </w:r>
      <w:r w:rsidR="007D1596" w:rsidRPr="00EB5E38">
        <w:rPr>
          <w:rFonts w:cs="Arial"/>
          <w:sz w:val="20"/>
        </w:rPr>
        <w:t>Customer</w:t>
      </w:r>
      <w:r w:rsidRPr="00EB5E38">
        <w:rPr>
          <w:rFonts w:cs="Arial"/>
          <w:sz w:val="20"/>
        </w:rPr>
        <w:t xml:space="preserve"> to publish </w:t>
      </w:r>
      <w:r w:rsidR="0013772A" w:rsidRPr="00EB5E38">
        <w:rPr>
          <w:rFonts w:cs="Arial"/>
          <w:sz w:val="20"/>
        </w:rPr>
        <w:t>the Contract</w:t>
      </w:r>
      <w:r w:rsidRPr="00EB5E38">
        <w:rPr>
          <w:rFonts w:cs="Arial"/>
          <w:sz w:val="20"/>
        </w:rPr>
        <w:t xml:space="preserve"> </w:t>
      </w:r>
      <w:r w:rsidR="002015CC" w:rsidRPr="00EB5E38">
        <w:rPr>
          <w:rFonts w:cs="Arial"/>
          <w:sz w:val="20"/>
        </w:rPr>
        <w:t xml:space="preserve">to the general public </w:t>
      </w:r>
      <w:r w:rsidRPr="00EB5E38">
        <w:rPr>
          <w:rFonts w:cs="Arial"/>
          <w:sz w:val="20"/>
        </w:rPr>
        <w:t>in its entirety (</w:t>
      </w:r>
      <w:r w:rsidR="002015CC" w:rsidRPr="00EB5E38">
        <w:rPr>
          <w:rFonts w:cs="Arial"/>
          <w:sz w:val="20"/>
        </w:rPr>
        <w:t>subject only to redaction of</w:t>
      </w:r>
      <w:r w:rsidRPr="00EB5E38">
        <w:rPr>
          <w:rFonts w:cs="Arial"/>
          <w:sz w:val="20"/>
        </w:rPr>
        <w:t xml:space="preserve"> any information which is exempt from </w:t>
      </w:r>
      <w:r w:rsidRPr="00EB5E38">
        <w:rPr>
          <w:rFonts w:cs="Arial"/>
          <w:sz w:val="20"/>
        </w:rPr>
        <w:lastRenderedPageBreak/>
        <w:t xml:space="preserve">disclosure in accordance with the provisions of the FOIA), including </w:t>
      </w:r>
      <w:r w:rsidR="002015CC" w:rsidRPr="00EB5E38">
        <w:rPr>
          <w:rFonts w:cs="Arial"/>
          <w:sz w:val="20"/>
        </w:rPr>
        <w:t xml:space="preserve">any </w:t>
      </w:r>
      <w:r w:rsidRPr="00EB5E38">
        <w:rPr>
          <w:rFonts w:cs="Arial"/>
          <w:sz w:val="20"/>
        </w:rPr>
        <w:t xml:space="preserve">changes to </w:t>
      </w:r>
      <w:r w:rsidR="0013772A" w:rsidRPr="00EB5E38">
        <w:rPr>
          <w:rFonts w:cs="Arial"/>
          <w:sz w:val="20"/>
        </w:rPr>
        <w:t>the Contract</w:t>
      </w:r>
      <w:r w:rsidRPr="00EB5E38">
        <w:rPr>
          <w:rFonts w:cs="Arial"/>
          <w:sz w:val="20"/>
        </w:rPr>
        <w:t xml:space="preserve"> agreed from time to time.  </w:t>
      </w:r>
    </w:p>
    <w:p w14:paraId="6C683858"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may consult with the </w:t>
      </w:r>
      <w:r w:rsidR="004104F4" w:rsidRPr="00EB5E38">
        <w:rPr>
          <w:rFonts w:cs="Arial"/>
          <w:sz w:val="20"/>
        </w:rPr>
        <w:t>Supplier</w:t>
      </w:r>
      <w:r w:rsidRPr="00EB5E38">
        <w:rPr>
          <w:rFonts w:cs="Arial"/>
          <w:sz w:val="20"/>
        </w:rPr>
        <w:t xml:space="preserve"> to inform its decision regarding any redactions but the </w:t>
      </w:r>
      <w:r w:rsidR="007D1596" w:rsidRPr="00EB5E38">
        <w:rPr>
          <w:rFonts w:cs="Arial"/>
          <w:sz w:val="20"/>
        </w:rPr>
        <w:t>Customer</w:t>
      </w:r>
      <w:r w:rsidRPr="00EB5E38">
        <w:rPr>
          <w:rFonts w:cs="Arial"/>
          <w:sz w:val="20"/>
        </w:rPr>
        <w:t xml:space="preserve"> shall have the final decision in its absolute discretion.  </w:t>
      </w:r>
    </w:p>
    <w:p w14:paraId="6C683859"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assist and cooperate with the </w:t>
      </w:r>
      <w:r w:rsidR="007D1596" w:rsidRPr="00EB5E38">
        <w:rPr>
          <w:rFonts w:cs="Arial"/>
          <w:sz w:val="20"/>
        </w:rPr>
        <w:t>Customer</w:t>
      </w:r>
      <w:r w:rsidRPr="00EB5E38">
        <w:rPr>
          <w:rFonts w:cs="Arial"/>
          <w:sz w:val="20"/>
        </w:rPr>
        <w:t xml:space="preserve"> to enable the </w:t>
      </w:r>
      <w:r w:rsidR="007D1596" w:rsidRPr="00EB5E38">
        <w:rPr>
          <w:rFonts w:cs="Arial"/>
          <w:sz w:val="20"/>
        </w:rPr>
        <w:t>Customer</w:t>
      </w:r>
      <w:r w:rsidRPr="00EB5E38">
        <w:rPr>
          <w:rFonts w:cs="Arial"/>
          <w:sz w:val="20"/>
        </w:rPr>
        <w:t xml:space="preserve"> to publish </w:t>
      </w:r>
      <w:r w:rsidR="0013772A" w:rsidRPr="00EB5E38">
        <w:rPr>
          <w:rFonts w:cs="Arial"/>
          <w:sz w:val="20"/>
        </w:rPr>
        <w:t>the Contract</w:t>
      </w:r>
      <w:r w:rsidRPr="00EB5E38">
        <w:rPr>
          <w:rFonts w:cs="Arial"/>
          <w:sz w:val="20"/>
        </w:rPr>
        <w:t>.</w:t>
      </w:r>
    </w:p>
    <w:p w14:paraId="6C68385B" w14:textId="5F4881D8" w:rsidR="00534CF1" w:rsidRPr="00EB5E38" w:rsidRDefault="00EB5E38" w:rsidP="00EB5E38">
      <w:pPr>
        <w:pStyle w:val="Heading2"/>
        <w:numPr>
          <w:ilvl w:val="0"/>
          <w:numId w:val="0"/>
        </w:numPr>
        <w:tabs>
          <w:tab w:val="num" w:pos="1710"/>
          <w:tab w:val="num" w:pos="1980"/>
        </w:tabs>
        <w:rPr>
          <w:rFonts w:cs="Arial"/>
          <w:b/>
          <w:sz w:val="20"/>
        </w:rPr>
      </w:pPr>
      <w:r w:rsidRPr="00EB5E38">
        <w:rPr>
          <w:rFonts w:cs="Arial"/>
          <w:b/>
          <w:sz w:val="20"/>
        </w:rPr>
        <w:t>6A.</w:t>
      </w:r>
      <w:r w:rsidRPr="00EB5E38">
        <w:rPr>
          <w:rFonts w:cs="Arial"/>
          <w:b/>
          <w:sz w:val="20"/>
        </w:rPr>
        <w:tab/>
        <w:t>SECURITY REQUIREMENT</w:t>
      </w:r>
    </w:p>
    <w:p w14:paraId="6C68385C"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6A.1</w:t>
      </w:r>
      <w:r w:rsidRPr="00EB5E38">
        <w:rPr>
          <w:sz w:val="20"/>
        </w:rPr>
        <w:tab/>
        <w:t>The Supplier shall comply, and shall procure the compliance of the Supplier</w:t>
      </w:r>
      <w:r w:rsidR="00994DFD" w:rsidRPr="00EB5E38">
        <w:rPr>
          <w:sz w:val="20"/>
        </w:rPr>
        <w:t>’s</w:t>
      </w:r>
      <w:r w:rsidRPr="00EB5E38">
        <w:rPr>
          <w:sz w:val="20"/>
        </w:rPr>
        <w:t xml:space="preserve"> Staff, with the Security Policy and the Security Management Plan and the Supplier shall ensure that the Security Management Plan produced by the Supplier fully complies with the Security Policy.</w:t>
      </w:r>
      <w:bookmarkStart w:id="84" w:name="_Ref225254750"/>
    </w:p>
    <w:p w14:paraId="6C68385D"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6A.2</w:t>
      </w:r>
      <w:r w:rsidRPr="00EB5E38">
        <w:rPr>
          <w:sz w:val="20"/>
        </w:rPr>
        <w:tab/>
        <w:t>The Customer shall notify the Supplier of any changes or proposed changes to the Security Policy.</w:t>
      </w:r>
      <w:bookmarkStart w:id="85" w:name="_Ref221681832"/>
      <w:bookmarkStart w:id="86" w:name="_Ref231787108"/>
      <w:bookmarkEnd w:id="84"/>
    </w:p>
    <w:p w14:paraId="6C68385E"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6A.3</w:t>
      </w:r>
      <w:r w:rsidRPr="00EB5E38">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FE093F" w:rsidRPr="00EB5E38">
        <w:rPr>
          <w:sz w:val="20"/>
        </w:rPr>
        <w:t>2.2</w:t>
      </w:r>
      <w:r w:rsidRPr="00EB5E38">
        <w:rPr>
          <w:sz w:val="20"/>
        </w:rPr>
        <w:t>.</w:t>
      </w:r>
      <w:bookmarkEnd w:id="85"/>
      <w:bookmarkEnd w:id="86"/>
    </w:p>
    <w:p w14:paraId="6C68385F" w14:textId="4C2D6DC0" w:rsidR="007429AD" w:rsidRPr="00EB5E38" w:rsidRDefault="00FE093F" w:rsidP="00057B6F">
      <w:pPr>
        <w:pStyle w:val="Heading3"/>
        <w:numPr>
          <w:ilvl w:val="0"/>
          <w:numId w:val="0"/>
        </w:numPr>
        <w:tabs>
          <w:tab w:val="num" w:pos="2970"/>
        </w:tabs>
        <w:ind w:left="1800" w:hanging="1080"/>
        <w:rPr>
          <w:sz w:val="20"/>
        </w:rPr>
      </w:pPr>
      <w:r w:rsidRPr="00EB5E38">
        <w:rPr>
          <w:sz w:val="20"/>
        </w:rPr>
        <w:t>6A.4</w:t>
      </w:r>
      <w:r w:rsidRPr="00EB5E38">
        <w:rPr>
          <w:sz w:val="20"/>
        </w:rPr>
        <w:tab/>
      </w:r>
      <w:r w:rsidR="007429AD" w:rsidRPr="00EB5E38">
        <w:rPr>
          <w:sz w:val="20"/>
        </w:rPr>
        <w:t xml:space="preserve">Until and/or unless a change to the Contract Charges is agreed by the Customer pursuant to </w:t>
      </w:r>
      <w:r w:rsidRPr="00A00FC2">
        <w:rPr>
          <w:sz w:val="20"/>
        </w:rPr>
        <w:t>C</w:t>
      </w:r>
      <w:r w:rsidR="007429AD" w:rsidRPr="00A00FC2">
        <w:rPr>
          <w:sz w:val="20"/>
        </w:rPr>
        <w:t>lauses 2</w:t>
      </w:r>
      <w:r w:rsidRPr="00A00FC2">
        <w:rPr>
          <w:sz w:val="20"/>
        </w:rPr>
        <w:t>.2</w:t>
      </w:r>
      <w:r w:rsidR="007429AD" w:rsidRPr="00EB5E38">
        <w:rPr>
          <w:sz w:val="20"/>
        </w:rPr>
        <w:t xml:space="preserve"> the Supplier shall continue to perform the </w:t>
      </w:r>
      <w:r w:rsidRPr="00EB5E38">
        <w:rPr>
          <w:sz w:val="20"/>
        </w:rPr>
        <w:t xml:space="preserve">Contract </w:t>
      </w:r>
      <w:r w:rsidR="007429AD" w:rsidRPr="00EB5E38">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7" w:name="_Ref172388386"/>
      <w:r w:rsidRPr="00EB5E38">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7"/>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8"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9" w:name="_Ref313372170"/>
      <w:bookmarkStart w:id="90" w:name="_Toc386011031"/>
      <w:bookmarkEnd w:id="88"/>
      <w:r w:rsidRPr="00A4589E">
        <w:rPr>
          <w:rFonts w:cs="Arial"/>
          <w:sz w:val="20"/>
        </w:rPr>
        <w:t>WARRANTIES</w:t>
      </w:r>
      <w:r w:rsidR="00A14D96">
        <w:rPr>
          <w:rFonts w:cs="Arial"/>
          <w:sz w:val="20"/>
        </w:rPr>
        <w:t>,</w:t>
      </w:r>
      <w:r w:rsidRPr="00A4589E">
        <w:rPr>
          <w:rFonts w:cs="Arial"/>
          <w:sz w:val="20"/>
        </w:rPr>
        <w:t xml:space="preserve"> REPRESENTATIONS</w:t>
      </w:r>
      <w:bookmarkEnd w:id="89"/>
      <w:r w:rsidR="00A14D96">
        <w:rPr>
          <w:rFonts w:cs="Arial"/>
          <w:sz w:val="20"/>
        </w:rPr>
        <w:t xml:space="preserve"> AND UNDERTAKINGS</w:t>
      </w:r>
      <w:bookmarkEnd w:id="90"/>
    </w:p>
    <w:p w14:paraId="6C683866" w14:textId="77777777" w:rsidR="00F807DC" w:rsidRPr="00A4589E" w:rsidRDefault="007562F7">
      <w:pPr>
        <w:pStyle w:val="Heading2"/>
        <w:keepNext/>
        <w:rPr>
          <w:rFonts w:cs="Arial"/>
          <w:sz w:val="20"/>
        </w:rPr>
      </w:pPr>
      <w:bookmarkStart w:id="91"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91"/>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lastRenderedPageBreak/>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lastRenderedPageBreak/>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92" w:name="_Ref313373896"/>
      <w:bookmarkStart w:id="93" w:name="_Toc386011032"/>
      <w:r w:rsidRPr="00A4589E">
        <w:rPr>
          <w:rFonts w:cs="Arial"/>
          <w:sz w:val="20"/>
        </w:rPr>
        <w:t>TERMINATION</w:t>
      </w:r>
      <w:bookmarkEnd w:id="92"/>
      <w:bookmarkEnd w:id="93"/>
    </w:p>
    <w:p w14:paraId="6C683883" w14:textId="77777777" w:rsidR="00F807DC" w:rsidRPr="00A4589E" w:rsidRDefault="007562F7">
      <w:pPr>
        <w:pStyle w:val="Heading2"/>
        <w:keepNext/>
        <w:rPr>
          <w:rFonts w:cs="Arial"/>
          <w:b/>
          <w:sz w:val="20"/>
        </w:rPr>
      </w:pPr>
      <w:bookmarkStart w:id="94" w:name="_Ref313371016"/>
      <w:r w:rsidRPr="00A4589E">
        <w:rPr>
          <w:rFonts w:cs="Arial"/>
          <w:b/>
          <w:sz w:val="20"/>
        </w:rPr>
        <w:t>Termination on Insolvency</w:t>
      </w:r>
      <w:bookmarkEnd w:id="94"/>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5"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5"/>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lastRenderedPageBreak/>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6"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6"/>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w:t>
      </w:r>
      <w:r w:rsidR="0086551D" w:rsidRPr="00943D25">
        <w:lastRenderedPageBreak/>
        <w:t xml:space="preserve">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7"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7"/>
      <w:r w:rsidR="00A07C44" w:rsidRPr="00A4589E">
        <w:t>.</w:t>
      </w:r>
    </w:p>
    <w:p w14:paraId="6C683895" w14:textId="77777777" w:rsidR="00F807DC" w:rsidRPr="00A4589E" w:rsidRDefault="007562F7">
      <w:pPr>
        <w:pStyle w:val="Heading2"/>
        <w:keepNext/>
        <w:rPr>
          <w:rFonts w:cs="Arial"/>
          <w:b/>
          <w:sz w:val="20"/>
        </w:rPr>
      </w:pPr>
      <w:bookmarkStart w:id="98" w:name="_Ref313369326"/>
      <w:r w:rsidRPr="00A4589E">
        <w:rPr>
          <w:rFonts w:cs="Arial"/>
          <w:b/>
          <w:sz w:val="20"/>
        </w:rPr>
        <w:t xml:space="preserve">Termination on </w:t>
      </w:r>
      <w:bookmarkEnd w:id="98"/>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9"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w:t>
      </w:r>
      <w:r w:rsidRPr="0086551D">
        <w:rPr>
          <w:rFonts w:cs="Arial"/>
          <w:sz w:val="20"/>
        </w:rPr>
        <w:lastRenderedPageBreak/>
        <w:t xml:space="preserve">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9"/>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rPr>
          <w:rFonts w:cs="Arial"/>
          <w:b/>
          <w:sz w:val="20"/>
        </w:rPr>
      </w:pPr>
      <w:bookmarkStart w:id="100" w:name="_Ref313371033"/>
      <w:bookmarkStart w:id="101" w:name="_Ref313369604"/>
      <w:r w:rsidRPr="00A4589E">
        <w:rPr>
          <w:rFonts w:cs="Arial"/>
          <w:b/>
          <w:sz w:val="20"/>
        </w:rPr>
        <w:t>Termination on Change of Control</w:t>
      </w:r>
      <w:bookmarkEnd w:id="100"/>
    </w:p>
    <w:p w14:paraId="6C6838A3" w14:textId="77777777" w:rsidR="00BB527F" w:rsidRPr="00A4589E" w:rsidRDefault="00BB527F" w:rsidP="00BB527F">
      <w:pPr>
        <w:pStyle w:val="Heading3"/>
        <w:rPr>
          <w:rFonts w:cs="Arial"/>
          <w:sz w:val="20"/>
        </w:rPr>
      </w:pPr>
      <w:bookmarkStart w:id="102"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102"/>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rPr>
          <w:rFonts w:cs="Arial"/>
          <w:b/>
          <w:sz w:val="20"/>
        </w:rPr>
      </w:pPr>
      <w:r w:rsidRPr="00A4589E">
        <w:rPr>
          <w:rFonts w:cs="Arial"/>
          <w:b/>
          <w:sz w:val="20"/>
        </w:rPr>
        <w:t xml:space="preserve">Termination </w:t>
      </w:r>
      <w:bookmarkEnd w:id="101"/>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103" w:name="_Ref313370007"/>
      <w:bookmarkStart w:id="104" w:name="_Toc386011033"/>
      <w:r w:rsidRPr="00A4589E">
        <w:rPr>
          <w:rFonts w:cs="Arial"/>
          <w:sz w:val="20"/>
        </w:rPr>
        <w:t>CONSEQUENCES OF EXPIRY OR TERMINATION</w:t>
      </w:r>
      <w:bookmarkEnd w:id="103"/>
      <w:bookmarkEnd w:id="104"/>
    </w:p>
    <w:p w14:paraId="6C6838AE" w14:textId="77777777" w:rsidR="00527E29" w:rsidRDefault="00A14D96">
      <w:pPr>
        <w:pStyle w:val="Heading2"/>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rPr>
          <w:rFonts w:cs="Arial"/>
          <w:sz w:val="20"/>
        </w:rPr>
      </w:pPr>
      <w:r>
        <w:rPr>
          <w:rFonts w:cs="Arial"/>
          <w:sz w:val="20"/>
        </w:rPr>
        <w:lastRenderedPageBreak/>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5"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5"/>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6"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6"/>
    </w:p>
    <w:p w14:paraId="6C6838BD" w14:textId="77777777" w:rsidR="00A4589E" w:rsidRPr="00A4589E" w:rsidRDefault="008447C4" w:rsidP="00A4589E">
      <w:pPr>
        <w:pStyle w:val="Heading2"/>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w:t>
      </w:r>
      <w:r w:rsidRPr="00A4589E">
        <w:rPr>
          <w:rFonts w:cs="Arial"/>
          <w:sz w:val="20"/>
        </w:rPr>
        <w:lastRenderedPageBreak/>
        <w:t xml:space="preserve">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7" w:name="_Ref313373915"/>
      <w:bookmarkStart w:id="108" w:name="_Toc386011034"/>
      <w:r w:rsidRPr="00A4589E">
        <w:rPr>
          <w:rFonts w:cs="Arial"/>
          <w:sz w:val="20"/>
        </w:rPr>
        <w:t>PUBLICITY, MEDIA AND OFFICIAL ENQUIRIES</w:t>
      </w:r>
      <w:bookmarkEnd w:id="107"/>
      <w:bookmarkEnd w:id="108"/>
    </w:p>
    <w:p w14:paraId="6C6838C3" w14:textId="77777777" w:rsidR="00F807DC" w:rsidRPr="00A4589E" w:rsidRDefault="007562F7">
      <w:pPr>
        <w:pStyle w:val="Heading2"/>
        <w:rPr>
          <w:rFonts w:cs="Arial"/>
          <w:sz w:val="20"/>
        </w:rPr>
      </w:pPr>
      <w:bookmarkStart w:id="109"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9"/>
    </w:p>
    <w:p w14:paraId="6C6838C4" w14:textId="77777777" w:rsidR="00F807DC" w:rsidRPr="00A4589E" w:rsidRDefault="007562F7">
      <w:pPr>
        <w:pStyle w:val="Heading2"/>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10"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11" w:name="LASTCURSORPOSITION"/>
      <w:bookmarkEnd w:id="111"/>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10"/>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12" w:name="_Ref313370019"/>
      <w:bookmarkStart w:id="113" w:name="_Toc386011035"/>
      <w:r w:rsidRPr="00A4589E">
        <w:rPr>
          <w:rFonts w:cs="Arial"/>
          <w:sz w:val="20"/>
        </w:rPr>
        <w:t>PREVENTION OF BRIBERY AND CORRUPTION</w:t>
      </w:r>
      <w:bookmarkEnd w:id="112"/>
      <w:bookmarkEnd w:id="113"/>
    </w:p>
    <w:p w14:paraId="6C6838CE"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w:t>
      </w:r>
      <w:r w:rsidRPr="00A4589E">
        <w:rPr>
          <w:rFonts w:cs="Arial"/>
          <w:sz w:val="20"/>
        </w:rPr>
        <w:lastRenderedPageBreak/>
        <w:t xml:space="preserve">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lastRenderedPageBreak/>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4" w:name="_Toc386011036"/>
      <w:r w:rsidRPr="00A4589E">
        <w:rPr>
          <w:rFonts w:cs="Arial"/>
          <w:sz w:val="20"/>
        </w:rPr>
        <w:t>NON-DISCRIMINATION</w:t>
      </w:r>
      <w:bookmarkEnd w:id="114"/>
    </w:p>
    <w:p w14:paraId="6C6838E2" w14:textId="77777777" w:rsidR="00F807DC" w:rsidRPr="00A4589E" w:rsidRDefault="007562F7">
      <w:pPr>
        <w:pStyle w:val="Heading2"/>
        <w:rPr>
          <w:rFonts w:cs="Arial"/>
          <w:sz w:val="20"/>
        </w:rPr>
      </w:pPr>
      <w:bookmarkStart w:id="115"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5"/>
    </w:p>
    <w:p w14:paraId="6C6838E3" w14:textId="77777777" w:rsidR="00F807DC" w:rsidRPr="00A4589E" w:rsidRDefault="007562F7">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6" w:name="_Ref313370082"/>
      <w:bookmarkStart w:id="117" w:name="_Toc386011037"/>
      <w:r w:rsidRPr="00A4589E">
        <w:rPr>
          <w:rFonts w:cs="Arial"/>
          <w:sz w:val="20"/>
        </w:rPr>
        <w:t>PREVENTION OF FRAUD</w:t>
      </w:r>
      <w:bookmarkEnd w:id="116"/>
      <w:bookmarkEnd w:id="117"/>
    </w:p>
    <w:p w14:paraId="6C6838E5" w14:textId="77777777" w:rsidR="00F807DC" w:rsidRPr="00A4589E" w:rsidRDefault="007562F7">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8" w:name="_Ref313370605"/>
      <w:bookmarkStart w:id="119" w:name="_Toc386011038"/>
      <w:r w:rsidRPr="00A4589E">
        <w:rPr>
          <w:rFonts w:cs="Arial"/>
          <w:sz w:val="20"/>
        </w:rPr>
        <w:t>TRANSFER AND SUB-CONTRACTING</w:t>
      </w:r>
      <w:bookmarkEnd w:id="118"/>
      <w:bookmarkEnd w:id="119"/>
    </w:p>
    <w:p w14:paraId="6C6838EC" w14:textId="77777777" w:rsidR="00F807DC" w:rsidRPr="00A4589E" w:rsidRDefault="00506B11" w:rsidP="00E477FF">
      <w:pPr>
        <w:pStyle w:val="Heading2"/>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rPr>
          <w:rFonts w:cs="Arial"/>
          <w:sz w:val="20"/>
        </w:rPr>
      </w:pPr>
      <w:bookmarkStart w:id="120" w:name="_Ref313370972"/>
      <w:r w:rsidRPr="00A4589E">
        <w:rPr>
          <w:rFonts w:cs="Arial"/>
          <w:sz w:val="20"/>
        </w:rPr>
        <w:lastRenderedPageBreak/>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20"/>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rPr>
          <w:rFonts w:cs="Arial"/>
          <w:sz w:val="20"/>
        </w:rPr>
      </w:pPr>
      <w:bookmarkStart w:id="121"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21"/>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22" w:name="_Toc386011039"/>
      <w:r w:rsidRPr="00A4589E">
        <w:rPr>
          <w:rFonts w:cs="Arial"/>
          <w:sz w:val="20"/>
        </w:rPr>
        <w:t>WAIVER</w:t>
      </w:r>
      <w:bookmarkEnd w:id="122"/>
    </w:p>
    <w:p w14:paraId="6C6838FA" w14:textId="77777777" w:rsidR="00F807DC" w:rsidRPr="00A4589E" w:rsidRDefault="007562F7">
      <w:pPr>
        <w:pStyle w:val="Heading2"/>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rPr>
          <w:rFonts w:cs="Arial"/>
          <w:sz w:val="20"/>
        </w:rPr>
      </w:pPr>
      <w:r w:rsidRPr="00A4589E">
        <w:rPr>
          <w:rFonts w:cs="Arial"/>
          <w:sz w:val="20"/>
        </w:rPr>
        <w:lastRenderedPageBreak/>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23" w:name="_Ref313370047"/>
      <w:bookmarkStart w:id="124" w:name="_Toc386011040"/>
      <w:r w:rsidRPr="00A4589E">
        <w:rPr>
          <w:rFonts w:cs="Arial"/>
          <w:sz w:val="20"/>
        </w:rPr>
        <w:t>CUMULATI</w:t>
      </w:r>
      <w:r w:rsidRPr="00A4589E">
        <w:rPr>
          <w:rFonts w:cs="Arial"/>
          <w:b w:val="0"/>
          <w:sz w:val="20"/>
        </w:rPr>
        <w:t>V</w:t>
      </w:r>
      <w:r w:rsidRPr="00A4589E">
        <w:rPr>
          <w:rFonts w:cs="Arial"/>
          <w:sz w:val="20"/>
        </w:rPr>
        <w:t>E REMEDIES</w:t>
      </w:r>
      <w:bookmarkEnd w:id="123"/>
      <w:bookmarkEnd w:id="124"/>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5" w:name="_Toc386011041"/>
      <w:r w:rsidRPr="00A4589E">
        <w:rPr>
          <w:rFonts w:cs="Arial"/>
          <w:sz w:val="20"/>
        </w:rPr>
        <w:t>FURTHER ASSURANCES</w:t>
      </w:r>
      <w:bookmarkEnd w:id="125"/>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6" w:name="_Toc386011042"/>
      <w:r w:rsidRPr="00A4589E">
        <w:rPr>
          <w:rFonts w:cs="Arial"/>
          <w:sz w:val="20"/>
        </w:rPr>
        <w:t>SEVERABILITY</w:t>
      </w:r>
      <w:bookmarkEnd w:id="126"/>
    </w:p>
    <w:p w14:paraId="6C683902" w14:textId="77777777" w:rsidR="00F807DC" w:rsidRPr="00A4589E" w:rsidRDefault="007562F7">
      <w:pPr>
        <w:pStyle w:val="Heading2"/>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7"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27"/>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8" w:name="_Toc386011044"/>
      <w:r w:rsidRPr="00A4589E">
        <w:rPr>
          <w:rFonts w:cs="Arial"/>
          <w:sz w:val="20"/>
        </w:rPr>
        <w:t>ENTIRE AGREEMENT</w:t>
      </w:r>
      <w:bookmarkEnd w:id="128"/>
    </w:p>
    <w:p w14:paraId="6C683907" w14:textId="77777777" w:rsidR="00F807DC" w:rsidRPr="00A4589E" w:rsidRDefault="00837B0E">
      <w:pPr>
        <w:pStyle w:val="Heading2"/>
        <w:rPr>
          <w:rFonts w:cs="Arial"/>
          <w:sz w:val="20"/>
        </w:rPr>
      </w:pPr>
      <w:bookmarkStart w:id="129"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9"/>
    </w:p>
    <w:p w14:paraId="6C683908" w14:textId="77777777" w:rsidR="00F807DC" w:rsidRPr="00A4589E" w:rsidRDefault="007562F7">
      <w:pPr>
        <w:pStyle w:val="Heading2"/>
        <w:rPr>
          <w:rFonts w:cs="Arial"/>
          <w:sz w:val="20"/>
        </w:rPr>
      </w:pPr>
      <w:bookmarkStart w:id="130"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30"/>
      <w:r w:rsidRPr="00A4589E">
        <w:rPr>
          <w:rFonts w:cs="Arial"/>
          <w:sz w:val="20"/>
        </w:rPr>
        <w:t xml:space="preserve"> </w:t>
      </w:r>
    </w:p>
    <w:p w14:paraId="6C683909" w14:textId="77777777" w:rsidR="00F807DC" w:rsidRPr="00A4589E" w:rsidRDefault="007562F7">
      <w:pPr>
        <w:pStyle w:val="Heading2"/>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rPr>
          <w:rFonts w:cs="Arial"/>
          <w:sz w:val="20"/>
        </w:rPr>
      </w:pPr>
      <w:r>
        <w:rPr>
          <w:rFonts w:cs="Arial"/>
          <w:sz w:val="20"/>
        </w:rPr>
        <w:lastRenderedPageBreak/>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31" w:name="_Ref313370095"/>
      <w:bookmarkStart w:id="132" w:name="_Toc386011045"/>
      <w:r w:rsidRPr="00A4589E">
        <w:rPr>
          <w:rFonts w:cs="Arial"/>
          <w:sz w:val="20"/>
        </w:rPr>
        <w:t>CONTRACTS (RIGHTS OF THIRD PARTIES) ACT</w:t>
      </w:r>
      <w:bookmarkEnd w:id="131"/>
      <w:bookmarkEnd w:id="132"/>
    </w:p>
    <w:p w14:paraId="6C683911" w14:textId="77777777" w:rsidR="00F807DC" w:rsidRPr="00A4589E" w:rsidRDefault="001F58EB">
      <w:pPr>
        <w:pStyle w:val="Heading2"/>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rPr>
          <w:rFonts w:cs="Arial"/>
          <w:sz w:val="20"/>
        </w:rPr>
      </w:pPr>
      <w:bookmarkStart w:id="133"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4" w:name="_Toc386011046"/>
      <w:r w:rsidRPr="00A4589E">
        <w:rPr>
          <w:rFonts w:cs="Arial"/>
          <w:sz w:val="20"/>
        </w:rPr>
        <w:t>NOTICES</w:t>
      </w:r>
      <w:bookmarkEnd w:id="133"/>
      <w:bookmarkEnd w:id="134"/>
    </w:p>
    <w:p w14:paraId="6C683915" w14:textId="77777777" w:rsidR="00F807DC" w:rsidRPr="00A4589E" w:rsidRDefault="007562F7">
      <w:pPr>
        <w:pStyle w:val="Heading2"/>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rPr>
          <w:rFonts w:cs="Arial"/>
          <w:sz w:val="20"/>
        </w:rPr>
      </w:pPr>
      <w:bookmarkStart w:id="135"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 xml:space="preserve">of the </w:t>
      </w:r>
      <w:r w:rsidRPr="00837B0E">
        <w:lastRenderedPageBreak/>
        <w:t>facsimile an error-free transmission report is received by the Party sending the communication</w:t>
      </w:r>
      <w:r w:rsidR="007562F7" w:rsidRPr="00837B0E">
        <w:t>.</w:t>
      </w:r>
      <w:bookmarkEnd w:id="135"/>
    </w:p>
    <w:p w14:paraId="6C68391D" w14:textId="77777777" w:rsidR="00F807DC" w:rsidRPr="00A4589E" w:rsidRDefault="007562F7">
      <w:pPr>
        <w:pStyle w:val="Heading2"/>
        <w:rPr>
          <w:rFonts w:cs="Arial"/>
          <w:sz w:val="20"/>
        </w:rPr>
      </w:pPr>
      <w:bookmarkStart w:id="136"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6"/>
    </w:p>
    <w:p w14:paraId="6C68391E" w14:textId="77777777" w:rsidR="00F807DC" w:rsidRPr="00A4589E" w:rsidRDefault="007562F7">
      <w:pPr>
        <w:pStyle w:val="Heading2"/>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7" w:name="_Toc314810842"/>
      <w:bookmarkStart w:id="138" w:name="_Toc386011047"/>
      <w:r w:rsidRPr="00837B0E">
        <w:rPr>
          <w:sz w:val="20"/>
        </w:rPr>
        <w:t>DISPUTES AND LAW</w:t>
      </w:r>
      <w:bookmarkEnd w:id="137"/>
      <w:bookmarkEnd w:id="138"/>
    </w:p>
    <w:p w14:paraId="6C683921" w14:textId="77777777" w:rsidR="00185555" w:rsidRPr="00837B0E" w:rsidRDefault="00185555" w:rsidP="00185555">
      <w:pPr>
        <w:pStyle w:val="Heading2"/>
        <w:keepNext/>
        <w:rPr>
          <w:b/>
          <w:sz w:val="20"/>
        </w:rPr>
      </w:pPr>
      <w:bookmarkStart w:id="139" w:name="_Governing_Law_and"/>
      <w:bookmarkStart w:id="140" w:name="_Ref313370109"/>
      <w:bookmarkEnd w:id="139"/>
      <w:r w:rsidRPr="00837B0E">
        <w:rPr>
          <w:b/>
          <w:sz w:val="20"/>
        </w:rPr>
        <w:t>Governing Law and Jurisdiction</w:t>
      </w:r>
      <w:bookmarkEnd w:id="140"/>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rPr>
          <w:b/>
          <w:sz w:val="20"/>
        </w:rPr>
      </w:pPr>
      <w:bookmarkStart w:id="141" w:name="_Ref313372098"/>
      <w:r w:rsidRPr="00837B0E">
        <w:rPr>
          <w:b/>
          <w:sz w:val="20"/>
        </w:rPr>
        <w:t>Dispute Resolution</w:t>
      </w:r>
      <w:bookmarkEnd w:id="141"/>
    </w:p>
    <w:p w14:paraId="6C683924" w14:textId="77777777" w:rsidR="00185555" w:rsidRPr="00837B0E" w:rsidRDefault="00185555" w:rsidP="00185555">
      <w:pPr>
        <w:pStyle w:val="Heading3"/>
        <w:rPr>
          <w:sz w:val="20"/>
        </w:rPr>
      </w:pPr>
      <w:bookmarkStart w:id="142"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42"/>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43" w:name="_Ref313371432"/>
      <w:r w:rsidRPr="00837B0E">
        <w:rPr>
          <w:sz w:val="20"/>
        </w:rPr>
        <w:t>The procedure for mediation is as follows:</w:t>
      </w:r>
      <w:bookmarkEnd w:id="143"/>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lastRenderedPageBreak/>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4"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4"/>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5" w:name="_Toc127759065"/>
      <w:bookmarkStart w:id="146" w:name="_Toc139080105"/>
      <w:bookmarkStart w:id="147" w:name="_Toc296514644"/>
      <w:bookmarkStart w:id="148" w:name="_Toc297577110"/>
      <w:bookmarkStart w:id="149" w:name="_Toc297577509"/>
      <w:bookmarkStart w:id="150" w:name="_Toc297624436"/>
    </w:p>
    <w:bookmarkEnd w:id="145"/>
    <w:bookmarkEnd w:id="146"/>
    <w:bookmarkEnd w:id="147"/>
    <w:bookmarkEnd w:id="148"/>
    <w:bookmarkEnd w:id="149"/>
    <w:bookmarkEnd w:id="150"/>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51" w:name="_Toc386011048"/>
      <w:bookmarkStart w:id="152" w:name="_Ref313382807"/>
      <w:bookmarkStart w:id="153"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51"/>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4"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4"/>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5"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55"/>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52"/>
      <w:bookmarkEnd w:id="153"/>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56" w:name="_Toc386011050"/>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6"/>
    </w:p>
    <w:p w14:paraId="6C683AA5" w14:textId="77777777" w:rsidR="009C5528" w:rsidRPr="0061016F" w:rsidRDefault="009C5528"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7" w:name="_Toc331761805"/>
      <w:bookmarkStart w:id="158" w:name="_Toc333413319"/>
      <w:r w:rsidRPr="00A80570">
        <w:rPr>
          <w:b/>
        </w:rPr>
        <w:t>1</w:t>
      </w:r>
      <w:r w:rsidRPr="00A80570">
        <w:rPr>
          <w:b/>
        </w:rPr>
        <w:tab/>
      </w:r>
      <w:r w:rsidR="00F55276" w:rsidRPr="00A80570">
        <w:rPr>
          <w:b/>
        </w:rPr>
        <w:t>INTRODUCTION</w:t>
      </w:r>
      <w:bookmarkEnd w:id="157"/>
      <w:bookmarkEnd w:id="158"/>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9" w:name="_Toc331761806"/>
      <w:bookmarkStart w:id="160" w:name="_Toc333413320"/>
      <w:r w:rsidRPr="00A80570">
        <w:rPr>
          <w:b/>
        </w:rPr>
        <w:t>2.</w:t>
      </w:r>
      <w:r w:rsidRPr="00A80570">
        <w:rPr>
          <w:b/>
        </w:rPr>
        <w:tab/>
        <w:t>PRINCIPLES OF SECURITY</w:t>
      </w:r>
      <w:bookmarkEnd w:id="159"/>
      <w:bookmarkEnd w:id="160"/>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61" w:name="_Toc331761807"/>
      <w:bookmarkStart w:id="162" w:name="_Toc333413321"/>
      <w:r w:rsidRPr="00A80570">
        <w:rPr>
          <w:b/>
        </w:rPr>
        <w:lastRenderedPageBreak/>
        <w:t>3.</w:t>
      </w:r>
      <w:r w:rsidRPr="00A80570">
        <w:rPr>
          <w:b/>
        </w:rPr>
        <w:tab/>
        <w:t>ISMS AND SECURITY MANAGEMENT PLAN</w:t>
      </w:r>
      <w:bookmarkEnd w:id="161"/>
      <w:bookmarkEnd w:id="162"/>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63" w:name="_Toc331761808"/>
      <w:bookmarkStart w:id="164" w:name="_Toc333413322"/>
      <w:r w:rsidRPr="00A80570">
        <w:rPr>
          <w:b/>
        </w:rPr>
        <w:t>4.</w:t>
      </w:r>
      <w:r w:rsidRPr="00A80570">
        <w:rPr>
          <w:b/>
        </w:rPr>
        <w:tab/>
        <w:t>TESTING</w:t>
      </w:r>
      <w:bookmarkEnd w:id="163"/>
      <w:bookmarkEnd w:id="164"/>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5" w:name="_Toc331761809"/>
      <w:bookmarkStart w:id="166" w:name="_Toc333413323"/>
      <w:r w:rsidRPr="00A80570">
        <w:rPr>
          <w:b/>
        </w:rPr>
        <w:t>5.</w:t>
      </w:r>
      <w:r w:rsidRPr="00A80570">
        <w:rPr>
          <w:b/>
        </w:rPr>
        <w:tab/>
        <w:t>COMPLIANCE WITH ISO/IEC 27001</w:t>
      </w:r>
      <w:bookmarkEnd w:id="165"/>
      <w:bookmarkEnd w:id="166"/>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7" w:name="_Toc331761810"/>
      <w:bookmarkStart w:id="168" w:name="_Toc333413324"/>
      <w:r w:rsidRPr="00A80570">
        <w:rPr>
          <w:b/>
        </w:rPr>
        <w:t>6.</w:t>
      </w:r>
      <w:r w:rsidRPr="00A80570">
        <w:rPr>
          <w:b/>
        </w:rPr>
        <w:tab/>
        <w:t>BREACH OF SECURITY</w:t>
      </w:r>
      <w:bookmarkEnd w:id="167"/>
      <w:bookmarkEnd w:id="168"/>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9" w:name="_Appendix_B_to"/>
      <w:bookmarkEnd w:id="169"/>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BAA37D9" w:rsidR="00F55276" w:rsidRPr="008311CC" w:rsidRDefault="00EB5E38" w:rsidP="00F55276">
      <w:pPr>
        <w:pStyle w:val="ScheduleL1"/>
        <w:numPr>
          <w:ilvl w:val="0"/>
          <w:numId w:val="0"/>
        </w:numPr>
        <w:adjustRightInd/>
        <w:spacing w:after="0"/>
        <w:ind w:left="720"/>
        <w:jc w:val="center"/>
        <w:rPr>
          <w:rFonts w:cs="Arial"/>
          <w:b/>
          <w:sz w:val="20"/>
        </w:rPr>
      </w:pPr>
      <w:r>
        <w:rPr>
          <w:rFonts w:cs="Arial"/>
          <w:b/>
          <w:sz w:val="20"/>
        </w:rPr>
        <w:t>Not Applicable</w:t>
      </w: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70" w:name="_Toc350503097"/>
      <w:bookmarkStart w:id="171" w:name="_Toc350504087"/>
      <w:bookmarkStart w:id="172" w:name="_Toc350508009"/>
      <w:r>
        <w:rPr>
          <w:caps w:val="0"/>
        </w:rPr>
        <w:lastRenderedPageBreak/>
        <w:t xml:space="preserve">CALL OFF SCHEDULE 2: </w:t>
      </w:r>
      <w:bookmarkStart w:id="173" w:name="_Ref349134870"/>
      <w:r>
        <w:rPr>
          <w:caps w:val="0"/>
        </w:rPr>
        <w:t xml:space="preserve">ALTERNATIVE </w:t>
      </w:r>
      <w:r w:rsidRPr="003A5E12">
        <w:rPr>
          <w:caps w:val="0"/>
        </w:rPr>
        <w:t>CLAUSES</w:t>
      </w:r>
      <w:bookmarkEnd w:id="170"/>
      <w:bookmarkEnd w:id="171"/>
      <w:bookmarkEnd w:id="172"/>
      <w:bookmarkEnd w:id="173"/>
    </w:p>
    <w:p w14:paraId="6C683B2E" w14:textId="77777777" w:rsidR="005C1CC8" w:rsidRDefault="005C1CC8" w:rsidP="005C1CC8">
      <w:pPr>
        <w:pStyle w:val="TSOLScheduleMainSectionX"/>
        <w:tabs>
          <w:tab w:val="num" w:pos="794"/>
        </w:tabs>
        <w:ind w:left="794" w:hanging="794"/>
      </w:pPr>
      <w:bookmarkStart w:id="174" w:name="_Toc349231204"/>
      <w:bookmarkEnd w:id="174"/>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5" w:name="_Ref349213618"/>
      <w:r w:rsidRPr="003A5E12">
        <w:t>The</w:t>
      </w:r>
      <w:r>
        <w:t xml:space="preserve"> Customer may, in the Letter of Appointment at Appendix 3</w:t>
      </w:r>
      <w:r w:rsidRPr="003A5E12">
        <w:t>, request the following Alternative Clauses:</w:t>
      </w:r>
      <w:bookmarkEnd w:id="175"/>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6" w:name="_Ref369784510"/>
      <w:r w:rsidRPr="003A5E12">
        <w:t>ALTERNATIVE CLAUSES</w:t>
      </w:r>
      <w:bookmarkStart w:id="177" w:name="_Ref346016545"/>
      <w:bookmarkEnd w:id="176"/>
    </w:p>
    <w:p w14:paraId="6C683B37" w14:textId="77777777" w:rsidR="005C1CC8" w:rsidRDefault="005C1CC8" w:rsidP="005C1CC8">
      <w:pPr>
        <w:pStyle w:val="TSOLScheduleMainSectionX1BOLD"/>
      </w:pPr>
      <w:bookmarkStart w:id="178" w:name="_Ref349213545"/>
      <w:r w:rsidRPr="003A5E12">
        <w:t>SCOTS LAW</w:t>
      </w:r>
      <w:bookmarkEnd w:id="177"/>
      <w:bookmarkEnd w:id="178"/>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9" w:name="_Ref346016561"/>
    </w:p>
    <w:p w14:paraId="6C683B3B" w14:textId="77777777" w:rsidR="005C1CC8" w:rsidRDefault="005C1CC8" w:rsidP="005C1CC8">
      <w:pPr>
        <w:pStyle w:val="TSOLScheduleMainSectionX1BOLD"/>
      </w:pPr>
      <w:r w:rsidRPr="003A5E12">
        <w:t>NORTHERN IRELAND LAW</w:t>
      </w:r>
      <w:bookmarkEnd w:id="179"/>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w:t>
      </w:r>
      <w:r w:rsidRPr="003A5E12">
        <w:lastRenderedPageBreak/>
        <w:t>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72D59" w14:textId="77777777" w:rsidR="008E1DBA" w:rsidRDefault="008E1DBA">
      <w:pPr>
        <w:spacing w:after="0" w:line="20" w:lineRule="exact"/>
      </w:pPr>
    </w:p>
  </w:endnote>
  <w:endnote w:type="continuationSeparator" w:id="0">
    <w:p w14:paraId="0DD69EA0" w14:textId="77777777" w:rsidR="008E1DBA" w:rsidRDefault="008E1DBA">
      <w:pPr>
        <w:spacing w:after="0" w:line="20" w:lineRule="exact"/>
      </w:pPr>
    </w:p>
  </w:endnote>
  <w:endnote w:type="continuationNotice" w:id="1">
    <w:p w14:paraId="1969E259" w14:textId="77777777" w:rsidR="008E1DBA" w:rsidRDefault="008E1DBA">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592083" w:rsidRDefault="0059208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592083" w:rsidRDefault="0059208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592083" w:rsidRDefault="00592083"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756671352"/>
      <w:docPartObj>
        <w:docPartGallery w:val="Page Numbers (Bottom of Page)"/>
        <w:docPartUnique/>
      </w:docPartObj>
    </w:sdtPr>
    <w:sdtEndPr>
      <w:rPr>
        <w:sz w:val="22"/>
        <w:szCs w:val="20"/>
      </w:rPr>
    </w:sdtEndPr>
    <w:sdtContent>
      <w:p w14:paraId="6CB1EC7C" w14:textId="621AF13C" w:rsidR="00592083" w:rsidRDefault="00592083" w:rsidP="00016004">
        <w:pPr>
          <w:pStyle w:val="Footer"/>
          <w:jc w:val="left"/>
          <w:rPr>
            <w:sz w:val="18"/>
            <w:szCs w:val="18"/>
          </w:rPr>
        </w:pPr>
        <w:r>
          <w:rPr>
            <w:sz w:val="18"/>
            <w:szCs w:val="18"/>
          </w:rPr>
          <w:t>Contract: Provision of Consultancy for DIO – Project Athens &amp; Project Mars</w:t>
        </w:r>
      </w:p>
      <w:p w14:paraId="00CA4112" w14:textId="76F0BE07" w:rsidR="00592083" w:rsidRPr="00813093" w:rsidRDefault="00592083" w:rsidP="00016004">
        <w:pPr>
          <w:pStyle w:val="Footer"/>
          <w:jc w:val="left"/>
          <w:rPr>
            <w:sz w:val="18"/>
            <w:szCs w:val="18"/>
          </w:rPr>
        </w:pPr>
        <w:r>
          <w:rPr>
            <w:sz w:val="18"/>
            <w:szCs w:val="18"/>
          </w:rPr>
          <w:t>Contract Number: CCCC17B27</w:t>
        </w:r>
      </w:p>
      <w:p w14:paraId="6A2EF1EE" w14:textId="77777777" w:rsidR="00592083" w:rsidRPr="00813093" w:rsidRDefault="00592083" w:rsidP="00016004">
        <w:pPr>
          <w:pStyle w:val="Footer"/>
          <w:jc w:val="left"/>
          <w:rPr>
            <w:sz w:val="18"/>
            <w:szCs w:val="18"/>
          </w:rPr>
        </w:pPr>
        <w:r>
          <w:rPr>
            <w:sz w:val="18"/>
            <w:szCs w:val="18"/>
          </w:rPr>
          <w:tab/>
        </w:r>
      </w:p>
      <w:p w14:paraId="26041F9D" w14:textId="77777777" w:rsidR="00592083" w:rsidRDefault="00592083"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9738CE">
          <w:rPr>
            <w:noProof/>
            <w:sz w:val="18"/>
            <w:szCs w:val="18"/>
          </w:rPr>
          <w:t>44</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9738CE">
          <w:rPr>
            <w:noProof/>
            <w:sz w:val="18"/>
            <w:szCs w:val="18"/>
          </w:rPr>
          <w:t>72</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9738CE">
          <w:rPr>
            <w:noProof/>
            <w:sz w:val="18"/>
            <w:szCs w:val="18"/>
          </w:rPr>
          <w:t>14 November 2017</w:t>
        </w:r>
        <w:r>
          <w:rPr>
            <w:sz w:val="18"/>
            <w:szCs w:val="18"/>
          </w:rPr>
          <w:fldChar w:fldCharType="end"/>
        </w:r>
      </w:p>
      <w:p w14:paraId="073D9B69" w14:textId="77777777" w:rsidR="00592083" w:rsidRDefault="00592083"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592083" w:rsidRPr="00016004" w:rsidRDefault="00592083"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592083" w:rsidRDefault="00592083"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592083" w:rsidRDefault="0059208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592083" w:rsidRDefault="0059208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592083" w:rsidRDefault="00592083"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0F48C" w14:textId="77777777" w:rsidR="008E1DBA" w:rsidRDefault="008E1DBA">
      <w:pPr>
        <w:spacing w:after="0" w:line="240" w:lineRule="auto"/>
      </w:pPr>
      <w:r>
        <w:separator/>
      </w:r>
    </w:p>
  </w:footnote>
  <w:footnote w:type="continuationSeparator" w:id="0">
    <w:p w14:paraId="169DA447" w14:textId="77777777" w:rsidR="008E1DBA" w:rsidRDefault="008E1DBA">
      <w:pPr>
        <w:spacing w:after="0" w:line="240" w:lineRule="auto"/>
      </w:pPr>
      <w:r>
        <w:continuationSeparator/>
      </w:r>
    </w:p>
  </w:footnote>
  <w:footnote w:type="continuationNotice" w:id="1">
    <w:p w14:paraId="6886910C" w14:textId="77777777" w:rsidR="008E1DBA" w:rsidRDefault="008E1D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592083" w:rsidRPr="00016004" w:rsidRDefault="00592083"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592083" w:rsidRDefault="0059208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592083" w:rsidRDefault="0059208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592083" w:rsidRDefault="0059208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F0AA622E"/>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1350"/>
        </w:tabs>
        <w:ind w:left="1350" w:hanging="720"/>
      </w:pPr>
      <w:rPr>
        <w:caps w:val="0"/>
        <w:effect w:val="none"/>
      </w:rPr>
    </w:lvl>
    <w:lvl w:ilvl="2">
      <w:start w:val="1"/>
      <w:numFmt w:val="decimal"/>
      <w:lvlText w:val="%1.%2.%3"/>
      <w:lvlJc w:val="left"/>
      <w:pPr>
        <w:tabs>
          <w:tab w:val="num" w:pos="1647"/>
        </w:tabs>
        <w:ind w:left="1647" w:hanging="1080"/>
      </w:pPr>
      <w:rPr>
        <w:caps w:val="0"/>
        <w:color w:val="auto"/>
        <w:effect w:val="none"/>
      </w:rPr>
    </w:lvl>
    <w:lvl w:ilvl="3">
      <w:start w:val="1"/>
      <w:numFmt w:val="decimal"/>
      <w:lvlText w:val="%1.%2.%3.%4"/>
      <w:lvlJc w:val="left"/>
      <w:pPr>
        <w:tabs>
          <w:tab w:val="num" w:pos="1648"/>
        </w:tabs>
        <w:ind w:left="1648"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9" w15:restartNumberingAfterBreak="0">
    <w:nsid w:val="51200365"/>
    <w:multiLevelType w:val="multilevel"/>
    <w:tmpl w:val="E6AE6470"/>
    <w:lvl w:ilvl="0">
      <w:start w:val="5"/>
      <w:numFmt w:val="decimal"/>
      <w:lvlRestart w:val="0"/>
      <w:pStyle w:val="Heading1"/>
      <w:lvlText w:val="%1."/>
      <w:lvlJc w:val="left"/>
      <w:pPr>
        <w:tabs>
          <w:tab w:val="num" w:pos="720"/>
        </w:tabs>
        <w:ind w:left="720" w:hanging="720"/>
      </w:pPr>
      <w:rPr>
        <w:rFonts w:hint="default"/>
        <w:caps w:val="0"/>
        <w:effect w:val="none"/>
      </w:rPr>
    </w:lvl>
    <w:lvl w:ilvl="1">
      <w:start w:val="2"/>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1"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5"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2"/>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1"/>
  </w:num>
  <w:num w:numId="15">
    <w:abstractNumId w:val="24"/>
  </w:num>
  <w:num w:numId="16">
    <w:abstractNumId w:val="20"/>
  </w:num>
  <w:num w:numId="17">
    <w:abstractNumId w:val="26"/>
  </w:num>
  <w:num w:numId="18">
    <w:abstractNumId w:val="9"/>
  </w:num>
  <w:num w:numId="19">
    <w:abstractNumId w:val="27"/>
  </w:num>
  <w:num w:numId="20">
    <w:abstractNumId w:val="7"/>
  </w:num>
  <w:num w:numId="21">
    <w:abstractNumId w:val="25"/>
  </w:num>
  <w:num w:numId="22">
    <w:abstractNumId w:val="13"/>
  </w:num>
  <w:num w:numId="23">
    <w:abstractNumId w:val="17"/>
  </w:num>
  <w:num w:numId="24">
    <w:abstractNumId w:val="23"/>
  </w:num>
  <w:num w:numId="25">
    <w:abstractNumId w:val="18"/>
  </w:num>
  <w:num w:numId="26">
    <w:abstractNumId w:val="18"/>
  </w:num>
  <w:num w:numId="27">
    <w:abstractNumId w:val="18"/>
  </w:num>
  <w:num w:numId="28">
    <w:abstractNumId w:val="11"/>
  </w:num>
  <w:num w:numId="29">
    <w:abstractNumId w:val="12"/>
  </w:num>
  <w:num w:numId="30">
    <w:abstractNumId w:val="19"/>
  </w:num>
  <w:num w:numId="31">
    <w:abstractNumId w:val="19"/>
    <w:lvlOverride w:ilvl="0">
      <w:startOverride w:val="3"/>
    </w:lvlOverride>
    <w:lvlOverride w:ilvl="1">
      <w:startOverride w:val="2"/>
    </w:lvlOverride>
  </w:num>
  <w:num w:numId="32">
    <w:abstractNumId w:val="19"/>
    <w:lvlOverride w:ilvl="0">
      <w:startOverride w:val="4"/>
    </w:lvlOverride>
    <w:lvlOverride w:ilvl="1">
      <w:startOverride w:val="1"/>
    </w:lvlOverride>
  </w:num>
  <w:num w:numId="33">
    <w:abstractNumId w:val="19"/>
    <w:lvlOverride w:ilvl="0">
      <w:startOverride w:val="4"/>
    </w:lvlOverride>
    <w:lvlOverride w:ilvl="1">
      <w:startOverride w:val="1"/>
    </w:lvlOverride>
  </w:num>
  <w:num w:numId="34">
    <w:abstractNumId w:val="19"/>
    <w:lvlOverride w:ilvl="0">
      <w:startOverride w:val="3"/>
    </w:lvlOverride>
    <w:lvlOverride w:ilvl="1">
      <w:startOverride w:val="2"/>
    </w:lvlOverride>
  </w:num>
  <w:num w:numId="35">
    <w:abstractNumId w:val="19"/>
    <w:lvlOverride w:ilvl="0">
      <w:startOverride w:val="3"/>
    </w:lvlOverride>
    <w:lvlOverride w:ilvl="1">
      <w:startOverride w:val="2"/>
    </w:lvlOverride>
  </w:num>
  <w:num w:numId="36">
    <w:abstractNumId w:val="19"/>
    <w:lvlOverride w:ilvl="0">
      <w:startOverride w:val="3"/>
    </w:lvlOverride>
    <w:lvlOverride w:ilvl="1">
      <w:startOverride w:val="2"/>
    </w:lvlOverride>
  </w:num>
  <w:num w:numId="37">
    <w:abstractNumId w:val="19"/>
    <w:lvlOverride w:ilvl="0">
      <w:startOverride w:val="3"/>
    </w:lvlOverride>
    <w:lvlOverride w:ilvl="1">
      <w:startOverride w:val="2"/>
    </w:lvlOverride>
  </w:num>
  <w:num w:numId="38">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3"/>
    </w:lvlOverride>
    <w:lvlOverride w:ilvl="1">
      <w:startOverride w:val="2"/>
    </w:lvlOverride>
  </w:num>
  <w:num w:numId="40">
    <w:abstractNumId w:val="19"/>
  </w:num>
  <w:num w:numId="41">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3"/>
    </w:lvlOverride>
    <w:lvlOverride w:ilvl="1">
      <w:startOverride w:val="2"/>
    </w:lvlOverride>
  </w:num>
  <w:num w:numId="43">
    <w:abstractNumId w:val="19"/>
    <w:lvlOverride w:ilvl="0">
      <w:startOverride w:val="3"/>
    </w:lvlOverride>
    <w:lvlOverride w:ilvl="1">
      <w:startOverride w:val="2"/>
    </w:lvlOverride>
  </w:num>
  <w:num w:numId="44">
    <w:abstractNumId w:val="19"/>
    <w:lvlOverride w:ilvl="0">
      <w:startOverride w:val="3"/>
    </w:lvlOverride>
    <w:lvlOverride w:ilvl="1">
      <w:startOverride w:val="2"/>
    </w:lvlOverride>
  </w:num>
  <w:num w:numId="45">
    <w:abstractNumId w:val="19"/>
    <w:lvlOverride w:ilvl="0">
      <w:startOverride w:val="3"/>
    </w:lvlOverride>
    <w:lvlOverride w:ilvl="1">
      <w:startOverride w:val="2"/>
    </w:lvlOverride>
  </w:num>
  <w:num w:numId="46">
    <w:abstractNumId w:val="19"/>
    <w:lvlOverride w:ilvl="0">
      <w:startOverride w:val="4"/>
    </w:lvlOverride>
    <w:lvlOverride w:ilvl="1">
      <w:startOverride w:val="1"/>
    </w:lvlOverride>
  </w:num>
  <w:num w:numId="47">
    <w:abstractNumId w:val="19"/>
    <w:lvlOverride w:ilvl="0">
      <w:startOverride w:val="4"/>
    </w:lvlOverride>
    <w:lvlOverride w:ilvl="1">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2DB"/>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9357C"/>
    <w:rsid w:val="001A1409"/>
    <w:rsid w:val="001B04D4"/>
    <w:rsid w:val="001B18A6"/>
    <w:rsid w:val="001B7D21"/>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D5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22DE5"/>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7F8"/>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3F64FA"/>
    <w:rsid w:val="00401334"/>
    <w:rsid w:val="00401D22"/>
    <w:rsid w:val="004027C0"/>
    <w:rsid w:val="004062A9"/>
    <w:rsid w:val="004104F4"/>
    <w:rsid w:val="00412859"/>
    <w:rsid w:val="00413106"/>
    <w:rsid w:val="0041552C"/>
    <w:rsid w:val="00415575"/>
    <w:rsid w:val="004236C2"/>
    <w:rsid w:val="00423ACE"/>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0AB"/>
    <w:rsid w:val="00577AD8"/>
    <w:rsid w:val="00583253"/>
    <w:rsid w:val="00585376"/>
    <w:rsid w:val="00585E76"/>
    <w:rsid w:val="00585F0F"/>
    <w:rsid w:val="00587054"/>
    <w:rsid w:val="005905D6"/>
    <w:rsid w:val="00591381"/>
    <w:rsid w:val="00592083"/>
    <w:rsid w:val="00593F22"/>
    <w:rsid w:val="005A561C"/>
    <w:rsid w:val="005B04EB"/>
    <w:rsid w:val="005B0718"/>
    <w:rsid w:val="005B2602"/>
    <w:rsid w:val="005B26ED"/>
    <w:rsid w:val="005B2E88"/>
    <w:rsid w:val="005B3F9E"/>
    <w:rsid w:val="005B48E6"/>
    <w:rsid w:val="005B57A7"/>
    <w:rsid w:val="005B6D53"/>
    <w:rsid w:val="005B71F5"/>
    <w:rsid w:val="005B7D6A"/>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36B8"/>
    <w:rsid w:val="006675DA"/>
    <w:rsid w:val="00672401"/>
    <w:rsid w:val="0067310C"/>
    <w:rsid w:val="00674C31"/>
    <w:rsid w:val="006764C3"/>
    <w:rsid w:val="00676C61"/>
    <w:rsid w:val="0068141A"/>
    <w:rsid w:val="00681AFA"/>
    <w:rsid w:val="006847C5"/>
    <w:rsid w:val="00687486"/>
    <w:rsid w:val="006942E9"/>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7BC9"/>
    <w:rsid w:val="006F7EFE"/>
    <w:rsid w:val="00701646"/>
    <w:rsid w:val="00701CB8"/>
    <w:rsid w:val="0070559B"/>
    <w:rsid w:val="00706BB4"/>
    <w:rsid w:val="0071416C"/>
    <w:rsid w:val="00715154"/>
    <w:rsid w:val="00715D83"/>
    <w:rsid w:val="00720057"/>
    <w:rsid w:val="0073160F"/>
    <w:rsid w:val="007317E0"/>
    <w:rsid w:val="00732D82"/>
    <w:rsid w:val="00735D99"/>
    <w:rsid w:val="007360EF"/>
    <w:rsid w:val="00736E19"/>
    <w:rsid w:val="00741BA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918C0"/>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951CC"/>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782"/>
    <w:rsid w:val="008E006F"/>
    <w:rsid w:val="008E00E4"/>
    <w:rsid w:val="008E1DBA"/>
    <w:rsid w:val="008E3D4A"/>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38CE"/>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93D"/>
    <w:rsid w:val="009F03D4"/>
    <w:rsid w:val="009F0BA8"/>
    <w:rsid w:val="009F36E8"/>
    <w:rsid w:val="009F4DC2"/>
    <w:rsid w:val="009F57A8"/>
    <w:rsid w:val="009F7341"/>
    <w:rsid w:val="009F7881"/>
    <w:rsid w:val="009F7A6B"/>
    <w:rsid w:val="00A00285"/>
    <w:rsid w:val="00A00FC2"/>
    <w:rsid w:val="00A045DB"/>
    <w:rsid w:val="00A04A07"/>
    <w:rsid w:val="00A072A8"/>
    <w:rsid w:val="00A07C44"/>
    <w:rsid w:val="00A11B69"/>
    <w:rsid w:val="00A129CF"/>
    <w:rsid w:val="00A14D96"/>
    <w:rsid w:val="00A1604E"/>
    <w:rsid w:val="00A16FED"/>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3965"/>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B0A5C"/>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175C"/>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1D42"/>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551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1CA"/>
    <w:rsid w:val="00D75762"/>
    <w:rsid w:val="00D76972"/>
    <w:rsid w:val="00D80835"/>
    <w:rsid w:val="00D8174C"/>
    <w:rsid w:val="00D82B43"/>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4545"/>
    <w:rsid w:val="00DE25E9"/>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91523"/>
    <w:rsid w:val="00E92ACF"/>
    <w:rsid w:val="00E93B40"/>
    <w:rsid w:val="00E96F8D"/>
    <w:rsid w:val="00EA076E"/>
    <w:rsid w:val="00EA443E"/>
    <w:rsid w:val="00EA68D8"/>
    <w:rsid w:val="00EB4FB2"/>
    <w:rsid w:val="00EB5478"/>
    <w:rsid w:val="00EB5E3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36EC"/>
    <w:rsid w:val="00F03D5D"/>
    <w:rsid w:val="00F05C5E"/>
    <w:rsid w:val="00F136A1"/>
    <w:rsid w:val="00F13F53"/>
    <w:rsid w:val="00F14CCD"/>
    <w:rsid w:val="00F2283F"/>
    <w:rsid w:val="00F22BAA"/>
    <w:rsid w:val="00F23B27"/>
    <w:rsid w:val="00F26B34"/>
    <w:rsid w:val="00F30D55"/>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871DB"/>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0112"/>
    <w:rsid w:val="00FC3791"/>
    <w:rsid w:val="00FC3B52"/>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30"/>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30"/>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30"/>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30"/>
      </w:numPr>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30"/>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30"/>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30"/>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30"/>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abel version="1.0">
  <element uid="id_newpolicy" value=""/>
  <element uid="id_unclassified" value=""/>
</labe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2.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EAC8AB13-E270-47F0-ADE3-BACE150E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1</Pages>
  <Words>21464</Words>
  <Characters>122350</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3</cp:revision>
  <cp:lastPrinted>2017-05-11T09:27:00Z</cp:lastPrinted>
  <dcterms:created xsi:type="dcterms:W3CDTF">2017-11-14T14:14:00Z</dcterms:created>
  <dcterms:modified xsi:type="dcterms:W3CDTF">2017-11-14T14:14:00Z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