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eastAsiaTheme="majorEastAsia" w:cs="Arial"/>
        </w:rPr>
        <w:id w:val="-312327075"/>
        <w:docPartObj>
          <w:docPartGallery w:val="Cover Pages"/>
          <w:docPartUnique/>
        </w:docPartObj>
      </w:sdtPr>
      <w:sdtEndPr>
        <w:rPr>
          <w:rFonts w:eastAsiaTheme="minorHAnsi" w:cs="HelveticaNeueLT Std Lt"/>
          <w:color w:val="000000"/>
          <w:sz w:val="24"/>
          <w:szCs w:val="24"/>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405"/>
          </w:tblGrid>
          <w:tr w:rsidR="002D1D93">
            <w:sdt>
              <w:sdtPr>
                <w:rPr>
                  <w:rFonts w:eastAsiaTheme="majorEastAsia" w:cs="Arial"/>
                </w:rPr>
                <w:alias w:val="Company"/>
                <w:id w:val="13406915"/>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rsidR="002D1D93" w:rsidRPr="003811DB" w:rsidRDefault="00291868">
                    <w:pPr>
                      <w:pStyle w:val="NoSpacing"/>
                      <w:rPr>
                        <w:rFonts w:eastAsiaTheme="majorEastAsia" w:cs="Arial"/>
                      </w:rPr>
                    </w:pPr>
                    <w:r>
                      <w:rPr>
                        <w:rFonts w:eastAsiaTheme="majorEastAsia" w:cs="Arial"/>
                      </w:rPr>
                      <w:t>Partnership Commissioning</w:t>
                    </w:r>
                  </w:p>
                </w:tc>
              </w:sdtContent>
            </w:sdt>
          </w:tr>
          <w:tr w:rsidR="002D1D93">
            <w:tc>
              <w:tcPr>
                <w:tcW w:w="7672" w:type="dxa"/>
              </w:tcPr>
              <w:sdt>
                <w:sdtPr>
                  <w:rPr>
                    <w:rFonts w:eastAsiaTheme="majorEastAsia" w:cs="Arial"/>
                    <w:color w:val="4F81BD"/>
                    <w:sz w:val="80"/>
                    <w:szCs w:val="80"/>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rsidR="002D1D93" w:rsidRPr="003811DB" w:rsidRDefault="003811DB" w:rsidP="003811DB">
                    <w:pPr>
                      <w:pStyle w:val="NoSpacing"/>
                      <w:rPr>
                        <w:rFonts w:eastAsiaTheme="majorEastAsia" w:cs="Arial"/>
                        <w:color w:val="4F81BD" w:themeColor="accent1"/>
                        <w:sz w:val="80"/>
                        <w:szCs w:val="80"/>
                      </w:rPr>
                    </w:pPr>
                    <w:r w:rsidRPr="00825C9A">
                      <w:rPr>
                        <w:rFonts w:eastAsiaTheme="majorEastAsia" w:cs="Arial"/>
                        <w:color w:val="4F81BD"/>
                        <w:sz w:val="80"/>
                        <w:szCs w:val="80"/>
                      </w:rPr>
                      <w:t>Needs analysis</w:t>
                    </w:r>
                  </w:p>
                </w:sdtContent>
              </w:sdt>
            </w:tc>
          </w:tr>
          <w:tr w:rsidR="002D1D93">
            <w:sdt>
              <w:sdtPr>
                <w:rPr>
                  <w:rFonts w:eastAsiaTheme="majorEastAsia" w:cs="Arial"/>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rsidR="002D1D93" w:rsidRPr="003811DB" w:rsidRDefault="00A2065F" w:rsidP="00A2065F">
                    <w:pPr>
                      <w:pStyle w:val="NoSpacing"/>
                      <w:rPr>
                        <w:rFonts w:eastAsiaTheme="majorEastAsia" w:cs="Arial"/>
                      </w:rPr>
                    </w:pPr>
                    <w:r>
                      <w:rPr>
                        <w:rFonts w:eastAsiaTheme="majorEastAsia" w:cs="Arial"/>
                      </w:rPr>
                      <w:t>For r</w:t>
                    </w:r>
                    <w:r w:rsidR="003811DB" w:rsidRPr="003811DB">
                      <w:rPr>
                        <w:rFonts w:eastAsiaTheme="majorEastAsia" w:cs="Arial"/>
                      </w:rPr>
                      <w:t>eview of c</w:t>
                    </w:r>
                    <w:r>
                      <w:rPr>
                        <w:rFonts w:eastAsiaTheme="majorEastAsia" w:cs="Arial"/>
                      </w:rPr>
                      <w:t xml:space="preserve">hildren’s community health services, </w:t>
                    </w:r>
                    <w:r w:rsidR="003811DB" w:rsidRPr="003811DB">
                      <w:rPr>
                        <w:rFonts w:eastAsiaTheme="majorEastAsia" w:cs="Arial"/>
                      </w:rPr>
                      <w:t>2015</w:t>
                    </w:r>
                  </w:p>
                </w:tc>
              </w:sdtContent>
            </w:sdt>
          </w:tr>
        </w:tbl>
        <w:p w:rsidR="002D1D93" w:rsidRDefault="002D1D93"/>
        <w:p w:rsidR="002D1D93" w:rsidRDefault="002D1D93"/>
        <w:p w:rsidR="002D1D93" w:rsidRDefault="002D1D93"/>
        <w:p w:rsidR="003811DB" w:rsidRDefault="00205ED2">
          <w:pPr>
            <w:rPr>
              <w:rFonts w:cs="HelveticaNeueLT Std Lt"/>
              <w:color w:val="000000"/>
              <w:sz w:val="24"/>
              <w:szCs w:val="24"/>
            </w:rPr>
          </w:pPr>
          <w:r>
            <w:rPr>
              <w:rFonts w:cs="HelveticaNeueLT Std Lt"/>
              <w:color w:val="000000"/>
              <w:sz w:val="24"/>
              <w:szCs w:val="24"/>
            </w:rPr>
            <w:t xml:space="preserve"> </w:t>
          </w:r>
          <w:r w:rsidR="002D1D93">
            <w:rPr>
              <w:rFonts w:cs="HelveticaNeueLT Std Lt"/>
              <w:color w:val="000000"/>
              <w:sz w:val="24"/>
              <w:szCs w:val="24"/>
            </w:rPr>
            <w:br w:type="page"/>
          </w:r>
        </w:p>
        <w:sdt>
          <w:sdtPr>
            <w:rPr>
              <w:rFonts w:ascii="Arial" w:eastAsiaTheme="minorHAnsi" w:hAnsi="Arial" w:cs="Arial"/>
              <w:b w:val="0"/>
              <w:bCs w:val="0"/>
              <w:color w:val="auto"/>
              <w:sz w:val="22"/>
              <w:szCs w:val="22"/>
              <w:lang w:val="en-GB" w:eastAsia="en-US"/>
            </w:rPr>
            <w:id w:val="-702559350"/>
            <w:docPartObj>
              <w:docPartGallery w:val="Table of Contents"/>
              <w:docPartUnique/>
            </w:docPartObj>
          </w:sdtPr>
          <w:sdtEndPr>
            <w:rPr>
              <w:rFonts w:cstheme="minorBidi"/>
              <w:noProof/>
            </w:rPr>
          </w:sdtEndPr>
          <w:sdtContent>
            <w:p w:rsidR="003811DB" w:rsidRPr="00B406CC" w:rsidRDefault="003811DB" w:rsidP="00825C9A">
              <w:pPr>
                <w:pStyle w:val="TOCHeading"/>
                <w:shd w:val="clear" w:color="auto" w:fill="4F81BD"/>
                <w:rPr>
                  <w:rFonts w:ascii="Arial" w:hAnsi="Arial" w:cs="Arial"/>
                  <w:color w:val="FFFFFF" w:themeColor="background1"/>
                </w:rPr>
              </w:pPr>
              <w:r w:rsidRPr="00B406CC">
                <w:rPr>
                  <w:rFonts w:ascii="Arial" w:hAnsi="Arial" w:cs="Arial"/>
                  <w:color w:val="FFFFFF" w:themeColor="background1"/>
                </w:rPr>
                <w:t>Contents</w:t>
              </w:r>
            </w:p>
            <w:p w:rsidR="00272557" w:rsidRDefault="003811DB">
              <w:pPr>
                <w:pStyle w:val="TOC1"/>
                <w:tabs>
                  <w:tab w:val="right" w:leader="dot" w:pos="9016"/>
                </w:tabs>
                <w:rPr>
                  <w:rFonts w:asciiTheme="minorHAnsi" w:eastAsiaTheme="minorEastAsia" w:hAnsiTheme="minorHAnsi"/>
                  <w:noProof/>
                  <w:lang w:eastAsia="en-GB"/>
                </w:rPr>
              </w:pPr>
              <w:r>
                <w:fldChar w:fldCharType="begin"/>
              </w:r>
              <w:r>
                <w:instrText xml:space="preserve"> TOC \o "1-3" \h \z \u </w:instrText>
              </w:r>
              <w:r>
                <w:fldChar w:fldCharType="separate"/>
              </w:r>
              <w:hyperlink w:anchor="_Toc434938012" w:history="1">
                <w:r w:rsidR="00272557" w:rsidRPr="00D24BE0">
                  <w:rPr>
                    <w:rStyle w:val="Hyperlink"/>
                    <w:noProof/>
                  </w:rPr>
                  <w:t>Introduction</w:t>
                </w:r>
                <w:r w:rsidR="00272557">
                  <w:rPr>
                    <w:noProof/>
                    <w:webHidden/>
                  </w:rPr>
                  <w:tab/>
                </w:r>
                <w:r w:rsidR="00272557">
                  <w:rPr>
                    <w:noProof/>
                    <w:webHidden/>
                  </w:rPr>
                  <w:fldChar w:fldCharType="begin"/>
                </w:r>
                <w:r w:rsidR="00272557">
                  <w:rPr>
                    <w:noProof/>
                    <w:webHidden/>
                  </w:rPr>
                  <w:instrText xml:space="preserve"> PAGEREF _Toc434938012 \h </w:instrText>
                </w:r>
                <w:r w:rsidR="00272557">
                  <w:rPr>
                    <w:noProof/>
                    <w:webHidden/>
                  </w:rPr>
                </w:r>
                <w:r w:rsidR="00272557">
                  <w:rPr>
                    <w:noProof/>
                    <w:webHidden/>
                  </w:rPr>
                  <w:fldChar w:fldCharType="separate"/>
                </w:r>
                <w:r w:rsidR="00D20042">
                  <w:rPr>
                    <w:noProof/>
                    <w:webHidden/>
                  </w:rPr>
                  <w:t>3</w:t>
                </w:r>
                <w:r w:rsidR="00272557">
                  <w:rPr>
                    <w:noProof/>
                    <w:webHidden/>
                  </w:rPr>
                  <w:fldChar w:fldCharType="end"/>
                </w:r>
              </w:hyperlink>
            </w:p>
            <w:p w:rsidR="00272557" w:rsidRDefault="00156E8B">
              <w:pPr>
                <w:pStyle w:val="TOC1"/>
                <w:tabs>
                  <w:tab w:val="right" w:leader="dot" w:pos="9016"/>
                </w:tabs>
                <w:rPr>
                  <w:rFonts w:asciiTheme="minorHAnsi" w:eastAsiaTheme="minorEastAsia" w:hAnsiTheme="minorHAnsi"/>
                  <w:noProof/>
                  <w:lang w:eastAsia="en-GB"/>
                </w:rPr>
              </w:pPr>
              <w:hyperlink w:anchor="_Toc434938013" w:history="1">
                <w:r w:rsidR="00272557" w:rsidRPr="00D24BE0">
                  <w:rPr>
                    <w:rStyle w:val="Hyperlink"/>
                    <w:noProof/>
                  </w:rPr>
                  <w:t>Headlines</w:t>
                </w:r>
                <w:r w:rsidR="00272557">
                  <w:rPr>
                    <w:noProof/>
                    <w:webHidden/>
                  </w:rPr>
                  <w:tab/>
                </w:r>
                <w:r w:rsidR="00272557">
                  <w:rPr>
                    <w:noProof/>
                    <w:webHidden/>
                  </w:rPr>
                  <w:fldChar w:fldCharType="begin"/>
                </w:r>
                <w:r w:rsidR="00272557">
                  <w:rPr>
                    <w:noProof/>
                    <w:webHidden/>
                  </w:rPr>
                  <w:instrText xml:space="preserve"> PAGEREF _Toc434938013 \h </w:instrText>
                </w:r>
                <w:r w:rsidR="00272557">
                  <w:rPr>
                    <w:noProof/>
                    <w:webHidden/>
                  </w:rPr>
                </w:r>
                <w:r w:rsidR="00272557">
                  <w:rPr>
                    <w:noProof/>
                    <w:webHidden/>
                  </w:rPr>
                  <w:fldChar w:fldCharType="separate"/>
                </w:r>
                <w:r w:rsidR="00D20042">
                  <w:rPr>
                    <w:noProof/>
                    <w:webHidden/>
                  </w:rPr>
                  <w:t>5</w:t>
                </w:r>
                <w:r w:rsidR="00272557">
                  <w:rPr>
                    <w:noProof/>
                    <w:webHidden/>
                  </w:rPr>
                  <w:fldChar w:fldCharType="end"/>
                </w:r>
              </w:hyperlink>
            </w:p>
            <w:p w:rsidR="00272557" w:rsidRDefault="00156E8B">
              <w:pPr>
                <w:pStyle w:val="TOC1"/>
                <w:tabs>
                  <w:tab w:val="right" w:leader="dot" w:pos="9016"/>
                </w:tabs>
                <w:rPr>
                  <w:rFonts w:asciiTheme="minorHAnsi" w:eastAsiaTheme="minorEastAsia" w:hAnsiTheme="minorHAnsi"/>
                  <w:noProof/>
                  <w:lang w:eastAsia="en-GB"/>
                </w:rPr>
              </w:pPr>
              <w:hyperlink w:anchor="_Toc434938014" w:history="1">
                <w:r w:rsidR="00272557" w:rsidRPr="00D24BE0">
                  <w:rPr>
                    <w:rStyle w:val="Hyperlink"/>
                    <w:noProof/>
                  </w:rPr>
                  <w:t>General prevalence of childhood disabilities and impairments</w:t>
                </w:r>
                <w:r w:rsidR="00272557">
                  <w:rPr>
                    <w:noProof/>
                    <w:webHidden/>
                  </w:rPr>
                  <w:tab/>
                </w:r>
                <w:r w:rsidR="00272557">
                  <w:rPr>
                    <w:noProof/>
                    <w:webHidden/>
                  </w:rPr>
                  <w:fldChar w:fldCharType="begin"/>
                </w:r>
                <w:r w:rsidR="00272557">
                  <w:rPr>
                    <w:noProof/>
                    <w:webHidden/>
                  </w:rPr>
                  <w:instrText xml:space="preserve"> PAGEREF _Toc434938014 \h </w:instrText>
                </w:r>
                <w:r w:rsidR="00272557">
                  <w:rPr>
                    <w:noProof/>
                    <w:webHidden/>
                  </w:rPr>
                </w:r>
                <w:r w:rsidR="00272557">
                  <w:rPr>
                    <w:noProof/>
                    <w:webHidden/>
                  </w:rPr>
                  <w:fldChar w:fldCharType="separate"/>
                </w:r>
                <w:r w:rsidR="00D20042">
                  <w:rPr>
                    <w:noProof/>
                    <w:webHidden/>
                  </w:rPr>
                  <w:t>6</w:t>
                </w:r>
                <w:r w:rsidR="00272557">
                  <w:rPr>
                    <w:noProof/>
                    <w:webHidden/>
                  </w:rPr>
                  <w:fldChar w:fldCharType="end"/>
                </w:r>
              </w:hyperlink>
            </w:p>
            <w:p w:rsidR="00272557" w:rsidRDefault="00156E8B">
              <w:pPr>
                <w:pStyle w:val="TOC2"/>
                <w:tabs>
                  <w:tab w:val="left" w:pos="660"/>
                  <w:tab w:val="right" w:leader="dot" w:pos="9016"/>
                </w:tabs>
                <w:rPr>
                  <w:rFonts w:asciiTheme="minorHAnsi" w:eastAsiaTheme="minorEastAsia" w:hAnsiTheme="minorHAnsi"/>
                  <w:noProof/>
                  <w:lang w:eastAsia="en-GB"/>
                </w:rPr>
              </w:pPr>
              <w:hyperlink w:anchor="_Toc434938015" w:history="1">
                <w:r w:rsidR="00272557" w:rsidRPr="00D24BE0">
                  <w:rPr>
                    <w:rStyle w:val="Hyperlink"/>
                    <w:noProof/>
                  </w:rPr>
                  <w:t>a.</w:t>
                </w:r>
                <w:r w:rsidR="00272557">
                  <w:rPr>
                    <w:rFonts w:asciiTheme="minorHAnsi" w:eastAsiaTheme="minorEastAsia" w:hAnsiTheme="minorHAnsi"/>
                    <w:noProof/>
                    <w:lang w:eastAsia="en-GB"/>
                  </w:rPr>
                  <w:tab/>
                </w:r>
                <w:r w:rsidR="00272557" w:rsidRPr="00D24BE0">
                  <w:rPr>
                    <w:rStyle w:val="Hyperlink"/>
                    <w:noProof/>
                  </w:rPr>
                  <w:t>Family Resources Survey 2013/14</w:t>
                </w:r>
                <w:r w:rsidR="00272557">
                  <w:rPr>
                    <w:noProof/>
                    <w:webHidden/>
                  </w:rPr>
                  <w:tab/>
                </w:r>
                <w:r w:rsidR="00272557">
                  <w:rPr>
                    <w:noProof/>
                    <w:webHidden/>
                  </w:rPr>
                  <w:fldChar w:fldCharType="begin"/>
                </w:r>
                <w:r w:rsidR="00272557">
                  <w:rPr>
                    <w:noProof/>
                    <w:webHidden/>
                  </w:rPr>
                  <w:instrText xml:space="preserve"> PAGEREF _Toc434938015 \h </w:instrText>
                </w:r>
                <w:r w:rsidR="00272557">
                  <w:rPr>
                    <w:noProof/>
                    <w:webHidden/>
                  </w:rPr>
                </w:r>
                <w:r w:rsidR="00272557">
                  <w:rPr>
                    <w:noProof/>
                    <w:webHidden/>
                  </w:rPr>
                  <w:fldChar w:fldCharType="separate"/>
                </w:r>
                <w:r w:rsidR="00D20042">
                  <w:rPr>
                    <w:noProof/>
                    <w:webHidden/>
                  </w:rPr>
                  <w:t>6</w:t>
                </w:r>
                <w:r w:rsidR="00272557">
                  <w:rPr>
                    <w:noProof/>
                    <w:webHidden/>
                  </w:rPr>
                  <w:fldChar w:fldCharType="end"/>
                </w:r>
              </w:hyperlink>
            </w:p>
            <w:p w:rsidR="00272557" w:rsidRDefault="00156E8B">
              <w:pPr>
                <w:pStyle w:val="TOC2"/>
                <w:tabs>
                  <w:tab w:val="left" w:pos="660"/>
                  <w:tab w:val="right" w:leader="dot" w:pos="9016"/>
                </w:tabs>
                <w:rPr>
                  <w:rFonts w:asciiTheme="minorHAnsi" w:eastAsiaTheme="minorEastAsia" w:hAnsiTheme="minorHAnsi"/>
                  <w:noProof/>
                  <w:lang w:eastAsia="en-GB"/>
                </w:rPr>
              </w:pPr>
              <w:hyperlink w:anchor="_Toc434938016" w:history="1">
                <w:r w:rsidR="00272557" w:rsidRPr="00D24BE0">
                  <w:rPr>
                    <w:rStyle w:val="Hyperlink"/>
                    <w:noProof/>
                  </w:rPr>
                  <w:t>b.</w:t>
                </w:r>
                <w:r w:rsidR="00272557">
                  <w:rPr>
                    <w:rFonts w:asciiTheme="minorHAnsi" w:eastAsiaTheme="minorEastAsia" w:hAnsiTheme="minorHAnsi"/>
                    <w:noProof/>
                    <w:lang w:eastAsia="en-GB"/>
                  </w:rPr>
                  <w:tab/>
                </w:r>
                <w:r w:rsidR="00272557" w:rsidRPr="00D24BE0">
                  <w:rPr>
                    <w:rStyle w:val="Hyperlink"/>
                    <w:noProof/>
                  </w:rPr>
                  <w:t>Centre for Longitudinal Studies, University of London 2013</w:t>
                </w:r>
                <w:r w:rsidR="00272557">
                  <w:rPr>
                    <w:noProof/>
                    <w:webHidden/>
                  </w:rPr>
                  <w:tab/>
                </w:r>
                <w:r w:rsidR="00272557">
                  <w:rPr>
                    <w:noProof/>
                    <w:webHidden/>
                  </w:rPr>
                  <w:fldChar w:fldCharType="begin"/>
                </w:r>
                <w:r w:rsidR="00272557">
                  <w:rPr>
                    <w:noProof/>
                    <w:webHidden/>
                  </w:rPr>
                  <w:instrText xml:space="preserve"> PAGEREF _Toc434938016 \h </w:instrText>
                </w:r>
                <w:r w:rsidR="00272557">
                  <w:rPr>
                    <w:noProof/>
                    <w:webHidden/>
                  </w:rPr>
                </w:r>
                <w:r w:rsidR="00272557">
                  <w:rPr>
                    <w:noProof/>
                    <w:webHidden/>
                  </w:rPr>
                  <w:fldChar w:fldCharType="separate"/>
                </w:r>
                <w:r w:rsidR="00D20042">
                  <w:rPr>
                    <w:noProof/>
                    <w:webHidden/>
                  </w:rPr>
                  <w:t>6</w:t>
                </w:r>
                <w:r w:rsidR="00272557">
                  <w:rPr>
                    <w:noProof/>
                    <w:webHidden/>
                  </w:rPr>
                  <w:fldChar w:fldCharType="end"/>
                </w:r>
              </w:hyperlink>
            </w:p>
            <w:p w:rsidR="00272557" w:rsidRDefault="00156E8B">
              <w:pPr>
                <w:pStyle w:val="TOC1"/>
                <w:tabs>
                  <w:tab w:val="right" w:leader="dot" w:pos="9016"/>
                </w:tabs>
                <w:rPr>
                  <w:rFonts w:asciiTheme="minorHAnsi" w:eastAsiaTheme="minorEastAsia" w:hAnsiTheme="minorHAnsi"/>
                  <w:noProof/>
                  <w:lang w:eastAsia="en-GB"/>
                </w:rPr>
              </w:pPr>
              <w:hyperlink w:anchor="_Toc434938017" w:history="1">
                <w:r w:rsidR="00272557" w:rsidRPr="00D24BE0">
                  <w:rPr>
                    <w:rStyle w:val="Hyperlink"/>
                    <w:noProof/>
                  </w:rPr>
                  <w:t>Medway Prevalence</w:t>
                </w:r>
                <w:r w:rsidR="00272557">
                  <w:rPr>
                    <w:noProof/>
                    <w:webHidden/>
                  </w:rPr>
                  <w:tab/>
                </w:r>
                <w:r w:rsidR="00272557">
                  <w:rPr>
                    <w:noProof/>
                    <w:webHidden/>
                  </w:rPr>
                  <w:fldChar w:fldCharType="begin"/>
                </w:r>
                <w:r w:rsidR="00272557">
                  <w:rPr>
                    <w:noProof/>
                    <w:webHidden/>
                  </w:rPr>
                  <w:instrText xml:space="preserve"> PAGEREF _Toc434938017 \h </w:instrText>
                </w:r>
                <w:r w:rsidR="00272557">
                  <w:rPr>
                    <w:noProof/>
                    <w:webHidden/>
                  </w:rPr>
                </w:r>
                <w:r w:rsidR="00272557">
                  <w:rPr>
                    <w:noProof/>
                    <w:webHidden/>
                  </w:rPr>
                  <w:fldChar w:fldCharType="separate"/>
                </w:r>
                <w:r w:rsidR="00D20042">
                  <w:rPr>
                    <w:noProof/>
                    <w:webHidden/>
                  </w:rPr>
                  <w:t>7</w:t>
                </w:r>
                <w:r w:rsidR="00272557">
                  <w:rPr>
                    <w:noProof/>
                    <w:webHidden/>
                  </w:rPr>
                  <w:fldChar w:fldCharType="end"/>
                </w:r>
              </w:hyperlink>
            </w:p>
            <w:p w:rsidR="00272557" w:rsidRDefault="00156E8B">
              <w:pPr>
                <w:pStyle w:val="TOC1"/>
                <w:tabs>
                  <w:tab w:val="right" w:leader="dot" w:pos="9016"/>
                </w:tabs>
                <w:rPr>
                  <w:rFonts w:asciiTheme="minorHAnsi" w:eastAsiaTheme="minorEastAsia" w:hAnsiTheme="minorHAnsi"/>
                  <w:noProof/>
                  <w:lang w:eastAsia="en-GB"/>
                </w:rPr>
              </w:pPr>
              <w:hyperlink w:anchor="_Toc434938018" w:history="1">
                <w:r w:rsidR="00272557" w:rsidRPr="00D24BE0">
                  <w:rPr>
                    <w:rStyle w:val="Hyperlink"/>
                    <w:noProof/>
                  </w:rPr>
                  <w:t>Special Educational Needs (SEN)</w:t>
                </w:r>
                <w:r w:rsidR="00272557">
                  <w:rPr>
                    <w:noProof/>
                    <w:webHidden/>
                  </w:rPr>
                  <w:tab/>
                </w:r>
                <w:r w:rsidR="00272557">
                  <w:rPr>
                    <w:noProof/>
                    <w:webHidden/>
                  </w:rPr>
                  <w:fldChar w:fldCharType="begin"/>
                </w:r>
                <w:r w:rsidR="00272557">
                  <w:rPr>
                    <w:noProof/>
                    <w:webHidden/>
                  </w:rPr>
                  <w:instrText xml:space="preserve"> PAGEREF _Toc434938018 \h </w:instrText>
                </w:r>
                <w:r w:rsidR="00272557">
                  <w:rPr>
                    <w:noProof/>
                    <w:webHidden/>
                  </w:rPr>
                </w:r>
                <w:r w:rsidR="00272557">
                  <w:rPr>
                    <w:noProof/>
                    <w:webHidden/>
                  </w:rPr>
                  <w:fldChar w:fldCharType="separate"/>
                </w:r>
                <w:r w:rsidR="00D20042">
                  <w:rPr>
                    <w:noProof/>
                    <w:webHidden/>
                  </w:rPr>
                  <w:t>9</w:t>
                </w:r>
                <w:r w:rsidR="00272557">
                  <w:rPr>
                    <w:noProof/>
                    <w:webHidden/>
                  </w:rPr>
                  <w:fldChar w:fldCharType="end"/>
                </w:r>
              </w:hyperlink>
            </w:p>
            <w:p w:rsidR="00272557" w:rsidRDefault="00156E8B">
              <w:pPr>
                <w:pStyle w:val="TOC1"/>
                <w:tabs>
                  <w:tab w:val="right" w:leader="dot" w:pos="9016"/>
                </w:tabs>
                <w:rPr>
                  <w:rFonts w:asciiTheme="minorHAnsi" w:eastAsiaTheme="minorEastAsia" w:hAnsiTheme="minorHAnsi"/>
                  <w:noProof/>
                  <w:lang w:eastAsia="en-GB"/>
                </w:rPr>
              </w:pPr>
              <w:hyperlink w:anchor="_Toc434938019" w:history="1">
                <w:r w:rsidR="00272557" w:rsidRPr="00D24BE0">
                  <w:rPr>
                    <w:rStyle w:val="Hyperlink"/>
                    <w:noProof/>
                  </w:rPr>
                  <w:t>NHS At Home: Acute and short term conditions</w:t>
                </w:r>
                <w:r w:rsidR="00272557">
                  <w:rPr>
                    <w:noProof/>
                    <w:webHidden/>
                  </w:rPr>
                  <w:tab/>
                </w:r>
                <w:r w:rsidR="00272557">
                  <w:rPr>
                    <w:noProof/>
                    <w:webHidden/>
                  </w:rPr>
                  <w:fldChar w:fldCharType="begin"/>
                </w:r>
                <w:r w:rsidR="00272557">
                  <w:rPr>
                    <w:noProof/>
                    <w:webHidden/>
                  </w:rPr>
                  <w:instrText xml:space="preserve"> PAGEREF _Toc434938019 \h </w:instrText>
                </w:r>
                <w:r w:rsidR="00272557">
                  <w:rPr>
                    <w:noProof/>
                    <w:webHidden/>
                  </w:rPr>
                </w:r>
                <w:r w:rsidR="00272557">
                  <w:rPr>
                    <w:noProof/>
                    <w:webHidden/>
                  </w:rPr>
                  <w:fldChar w:fldCharType="separate"/>
                </w:r>
                <w:r w:rsidR="00D20042">
                  <w:rPr>
                    <w:noProof/>
                    <w:webHidden/>
                  </w:rPr>
                  <w:t>12</w:t>
                </w:r>
                <w:r w:rsidR="00272557">
                  <w:rPr>
                    <w:noProof/>
                    <w:webHidden/>
                  </w:rPr>
                  <w:fldChar w:fldCharType="end"/>
                </w:r>
              </w:hyperlink>
            </w:p>
            <w:p w:rsidR="00272557" w:rsidRDefault="00156E8B">
              <w:pPr>
                <w:pStyle w:val="TOC2"/>
                <w:tabs>
                  <w:tab w:val="right" w:leader="dot" w:pos="9016"/>
                </w:tabs>
                <w:rPr>
                  <w:rFonts w:asciiTheme="minorHAnsi" w:eastAsiaTheme="minorEastAsia" w:hAnsiTheme="minorHAnsi"/>
                  <w:noProof/>
                  <w:lang w:eastAsia="en-GB"/>
                </w:rPr>
              </w:pPr>
              <w:hyperlink w:anchor="_Toc434938020" w:history="1">
                <w:r w:rsidR="00272557" w:rsidRPr="00D24BE0">
                  <w:rPr>
                    <w:rStyle w:val="Hyperlink"/>
                    <w:noProof/>
                  </w:rPr>
                  <w:t>MFT caseload and resources</w:t>
                </w:r>
                <w:r w:rsidR="00272557">
                  <w:rPr>
                    <w:noProof/>
                    <w:webHidden/>
                  </w:rPr>
                  <w:tab/>
                </w:r>
                <w:r w:rsidR="00272557">
                  <w:rPr>
                    <w:noProof/>
                    <w:webHidden/>
                  </w:rPr>
                  <w:fldChar w:fldCharType="begin"/>
                </w:r>
                <w:r w:rsidR="00272557">
                  <w:rPr>
                    <w:noProof/>
                    <w:webHidden/>
                  </w:rPr>
                  <w:instrText xml:space="preserve"> PAGEREF _Toc434938020 \h </w:instrText>
                </w:r>
                <w:r w:rsidR="00272557">
                  <w:rPr>
                    <w:noProof/>
                    <w:webHidden/>
                  </w:rPr>
                </w:r>
                <w:r w:rsidR="00272557">
                  <w:rPr>
                    <w:noProof/>
                    <w:webHidden/>
                  </w:rPr>
                  <w:fldChar w:fldCharType="separate"/>
                </w:r>
                <w:r w:rsidR="00D20042">
                  <w:rPr>
                    <w:noProof/>
                    <w:webHidden/>
                  </w:rPr>
                  <w:t>13</w:t>
                </w:r>
                <w:r w:rsidR="00272557">
                  <w:rPr>
                    <w:noProof/>
                    <w:webHidden/>
                  </w:rPr>
                  <w:fldChar w:fldCharType="end"/>
                </w:r>
              </w:hyperlink>
            </w:p>
            <w:p w:rsidR="00272557" w:rsidRDefault="00156E8B">
              <w:pPr>
                <w:pStyle w:val="TOC1"/>
                <w:tabs>
                  <w:tab w:val="right" w:leader="dot" w:pos="9016"/>
                </w:tabs>
                <w:rPr>
                  <w:rFonts w:asciiTheme="minorHAnsi" w:eastAsiaTheme="minorEastAsia" w:hAnsiTheme="minorHAnsi"/>
                  <w:noProof/>
                  <w:lang w:eastAsia="en-GB"/>
                </w:rPr>
              </w:pPr>
              <w:hyperlink w:anchor="_Toc434938021" w:history="1">
                <w:r w:rsidR="00272557" w:rsidRPr="00D24BE0">
                  <w:rPr>
                    <w:rStyle w:val="Hyperlink"/>
                    <w:noProof/>
                  </w:rPr>
                  <w:t>NHS At Home: Long term conditions</w:t>
                </w:r>
                <w:r w:rsidR="00272557">
                  <w:rPr>
                    <w:noProof/>
                    <w:webHidden/>
                  </w:rPr>
                  <w:tab/>
                </w:r>
                <w:r w:rsidR="00272557">
                  <w:rPr>
                    <w:noProof/>
                    <w:webHidden/>
                  </w:rPr>
                  <w:fldChar w:fldCharType="begin"/>
                </w:r>
                <w:r w:rsidR="00272557">
                  <w:rPr>
                    <w:noProof/>
                    <w:webHidden/>
                  </w:rPr>
                  <w:instrText xml:space="preserve"> PAGEREF _Toc434938021 \h </w:instrText>
                </w:r>
                <w:r w:rsidR="00272557">
                  <w:rPr>
                    <w:noProof/>
                    <w:webHidden/>
                  </w:rPr>
                </w:r>
                <w:r w:rsidR="00272557">
                  <w:rPr>
                    <w:noProof/>
                    <w:webHidden/>
                  </w:rPr>
                  <w:fldChar w:fldCharType="separate"/>
                </w:r>
                <w:r w:rsidR="00D20042">
                  <w:rPr>
                    <w:noProof/>
                    <w:webHidden/>
                  </w:rPr>
                  <w:t>14</w:t>
                </w:r>
                <w:r w:rsidR="00272557">
                  <w:rPr>
                    <w:noProof/>
                    <w:webHidden/>
                  </w:rPr>
                  <w:fldChar w:fldCharType="end"/>
                </w:r>
              </w:hyperlink>
            </w:p>
            <w:p w:rsidR="00272557" w:rsidRDefault="00156E8B">
              <w:pPr>
                <w:pStyle w:val="TOC2"/>
                <w:tabs>
                  <w:tab w:val="left" w:pos="660"/>
                  <w:tab w:val="right" w:leader="dot" w:pos="9016"/>
                </w:tabs>
                <w:rPr>
                  <w:rFonts w:asciiTheme="minorHAnsi" w:eastAsiaTheme="minorEastAsia" w:hAnsiTheme="minorHAnsi"/>
                  <w:noProof/>
                  <w:lang w:eastAsia="en-GB"/>
                </w:rPr>
              </w:pPr>
              <w:hyperlink w:anchor="_Toc434938022" w:history="1">
                <w:r w:rsidR="00272557" w:rsidRPr="00D24BE0">
                  <w:rPr>
                    <w:rStyle w:val="Hyperlink"/>
                    <w:noProof/>
                  </w:rPr>
                  <w:t>a.</w:t>
                </w:r>
                <w:r w:rsidR="00272557">
                  <w:rPr>
                    <w:rFonts w:asciiTheme="minorHAnsi" w:eastAsiaTheme="minorEastAsia" w:hAnsiTheme="minorHAnsi"/>
                    <w:noProof/>
                    <w:lang w:eastAsia="en-GB"/>
                  </w:rPr>
                  <w:tab/>
                </w:r>
                <w:r w:rsidR="00272557" w:rsidRPr="00D24BE0">
                  <w:rPr>
                    <w:rStyle w:val="Hyperlink"/>
                    <w:noProof/>
                  </w:rPr>
                  <w:t>Paediatric Asthma</w:t>
                </w:r>
                <w:r w:rsidR="00272557">
                  <w:rPr>
                    <w:noProof/>
                    <w:webHidden/>
                  </w:rPr>
                  <w:tab/>
                </w:r>
                <w:r w:rsidR="00272557">
                  <w:rPr>
                    <w:noProof/>
                    <w:webHidden/>
                  </w:rPr>
                  <w:fldChar w:fldCharType="begin"/>
                </w:r>
                <w:r w:rsidR="00272557">
                  <w:rPr>
                    <w:noProof/>
                    <w:webHidden/>
                  </w:rPr>
                  <w:instrText xml:space="preserve"> PAGEREF _Toc434938022 \h </w:instrText>
                </w:r>
                <w:r w:rsidR="00272557">
                  <w:rPr>
                    <w:noProof/>
                    <w:webHidden/>
                  </w:rPr>
                </w:r>
                <w:r w:rsidR="00272557">
                  <w:rPr>
                    <w:noProof/>
                    <w:webHidden/>
                  </w:rPr>
                  <w:fldChar w:fldCharType="separate"/>
                </w:r>
                <w:r w:rsidR="00D20042">
                  <w:rPr>
                    <w:noProof/>
                    <w:webHidden/>
                  </w:rPr>
                  <w:t>15</w:t>
                </w:r>
                <w:r w:rsidR="00272557">
                  <w:rPr>
                    <w:noProof/>
                    <w:webHidden/>
                  </w:rPr>
                  <w:fldChar w:fldCharType="end"/>
                </w:r>
              </w:hyperlink>
            </w:p>
            <w:p w:rsidR="00272557" w:rsidRDefault="00156E8B">
              <w:pPr>
                <w:pStyle w:val="TOC2"/>
                <w:tabs>
                  <w:tab w:val="right" w:leader="dot" w:pos="9016"/>
                </w:tabs>
                <w:rPr>
                  <w:rFonts w:asciiTheme="minorHAnsi" w:eastAsiaTheme="minorEastAsia" w:hAnsiTheme="minorHAnsi"/>
                  <w:noProof/>
                  <w:lang w:eastAsia="en-GB"/>
                </w:rPr>
              </w:pPr>
              <w:hyperlink w:anchor="_Toc434938023" w:history="1">
                <w:r w:rsidR="00272557" w:rsidRPr="00D24BE0">
                  <w:rPr>
                    <w:rStyle w:val="Hyperlink"/>
                    <w:noProof/>
                  </w:rPr>
                  <w:t>MFT Children’s Services caseload and resources</w:t>
                </w:r>
                <w:r w:rsidR="00272557">
                  <w:rPr>
                    <w:noProof/>
                    <w:webHidden/>
                  </w:rPr>
                  <w:tab/>
                </w:r>
                <w:r w:rsidR="00272557">
                  <w:rPr>
                    <w:noProof/>
                    <w:webHidden/>
                  </w:rPr>
                  <w:fldChar w:fldCharType="begin"/>
                </w:r>
                <w:r w:rsidR="00272557">
                  <w:rPr>
                    <w:noProof/>
                    <w:webHidden/>
                  </w:rPr>
                  <w:instrText xml:space="preserve"> PAGEREF _Toc434938023 \h </w:instrText>
                </w:r>
                <w:r w:rsidR="00272557">
                  <w:rPr>
                    <w:noProof/>
                    <w:webHidden/>
                  </w:rPr>
                </w:r>
                <w:r w:rsidR="00272557">
                  <w:rPr>
                    <w:noProof/>
                    <w:webHidden/>
                  </w:rPr>
                  <w:fldChar w:fldCharType="separate"/>
                </w:r>
                <w:r w:rsidR="00D20042">
                  <w:rPr>
                    <w:noProof/>
                    <w:webHidden/>
                  </w:rPr>
                  <w:t>18</w:t>
                </w:r>
                <w:r w:rsidR="00272557">
                  <w:rPr>
                    <w:noProof/>
                    <w:webHidden/>
                  </w:rPr>
                  <w:fldChar w:fldCharType="end"/>
                </w:r>
              </w:hyperlink>
            </w:p>
            <w:p w:rsidR="00272557" w:rsidRDefault="00156E8B">
              <w:pPr>
                <w:pStyle w:val="TOC2"/>
                <w:tabs>
                  <w:tab w:val="right" w:leader="dot" w:pos="9016"/>
                </w:tabs>
                <w:rPr>
                  <w:rFonts w:asciiTheme="minorHAnsi" w:eastAsiaTheme="minorEastAsia" w:hAnsiTheme="minorHAnsi"/>
                  <w:noProof/>
                  <w:lang w:eastAsia="en-GB"/>
                </w:rPr>
              </w:pPr>
              <w:hyperlink w:anchor="_Toc434938024" w:history="1">
                <w:r w:rsidR="00272557" w:rsidRPr="00D24BE0">
                  <w:rPr>
                    <w:rStyle w:val="Hyperlink"/>
                    <w:noProof/>
                  </w:rPr>
                  <w:t>Medway Asthma Self Help</w:t>
                </w:r>
                <w:r w:rsidR="00272557">
                  <w:rPr>
                    <w:noProof/>
                    <w:webHidden/>
                  </w:rPr>
                  <w:tab/>
                </w:r>
                <w:r w:rsidR="00272557">
                  <w:rPr>
                    <w:noProof/>
                    <w:webHidden/>
                  </w:rPr>
                  <w:fldChar w:fldCharType="begin"/>
                </w:r>
                <w:r w:rsidR="00272557">
                  <w:rPr>
                    <w:noProof/>
                    <w:webHidden/>
                  </w:rPr>
                  <w:instrText xml:space="preserve"> PAGEREF _Toc434938024 \h </w:instrText>
                </w:r>
                <w:r w:rsidR="00272557">
                  <w:rPr>
                    <w:noProof/>
                    <w:webHidden/>
                  </w:rPr>
                </w:r>
                <w:r w:rsidR="00272557">
                  <w:rPr>
                    <w:noProof/>
                    <w:webHidden/>
                  </w:rPr>
                  <w:fldChar w:fldCharType="separate"/>
                </w:r>
                <w:r w:rsidR="00D20042">
                  <w:rPr>
                    <w:noProof/>
                    <w:webHidden/>
                  </w:rPr>
                  <w:t>18</w:t>
                </w:r>
                <w:r w:rsidR="00272557">
                  <w:rPr>
                    <w:noProof/>
                    <w:webHidden/>
                  </w:rPr>
                  <w:fldChar w:fldCharType="end"/>
                </w:r>
              </w:hyperlink>
            </w:p>
            <w:p w:rsidR="00272557" w:rsidRDefault="00156E8B">
              <w:pPr>
                <w:pStyle w:val="TOC2"/>
                <w:tabs>
                  <w:tab w:val="left" w:pos="660"/>
                  <w:tab w:val="right" w:leader="dot" w:pos="9016"/>
                </w:tabs>
                <w:rPr>
                  <w:rFonts w:asciiTheme="minorHAnsi" w:eastAsiaTheme="minorEastAsia" w:hAnsiTheme="minorHAnsi"/>
                  <w:noProof/>
                  <w:lang w:eastAsia="en-GB"/>
                </w:rPr>
              </w:pPr>
              <w:hyperlink w:anchor="_Toc434938025" w:history="1">
                <w:r w:rsidR="00272557" w:rsidRPr="00D24BE0">
                  <w:rPr>
                    <w:rStyle w:val="Hyperlink"/>
                    <w:noProof/>
                  </w:rPr>
                  <w:t>b.</w:t>
                </w:r>
                <w:r w:rsidR="00272557">
                  <w:rPr>
                    <w:rFonts w:asciiTheme="minorHAnsi" w:eastAsiaTheme="minorEastAsia" w:hAnsiTheme="minorHAnsi"/>
                    <w:noProof/>
                    <w:lang w:eastAsia="en-GB"/>
                  </w:rPr>
                  <w:tab/>
                </w:r>
                <w:r w:rsidR="00272557" w:rsidRPr="00D24BE0">
                  <w:rPr>
                    <w:rStyle w:val="Hyperlink"/>
                    <w:noProof/>
                  </w:rPr>
                  <w:t>Epilepsy</w:t>
                </w:r>
                <w:r w:rsidR="00272557">
                  <w:rPr>
                    <w:noProof/>
                    <w:webHidden/>
                  </w:rPr>
                  <w:tab/>
                </w:r>
                <w:r w:rsidR="00272557">
                  <w:rPr>
                    <w:noProof/>
                    <w:webHidden/>
                  </w:rPr>
                  <w:fldChar w:fldCharType="begin"/>
                </w:r>
                <w:r w:rsidR="00272557">
                  <w:rPr>
                    <w:noProof/>
                    <w:webHidden/>
                  </w:rPr>
                  <w:instrText xml:space="preserve"> PAGEREF _Toc434938025 \h </w:instrText>
                </w:r>
                <w:r w:rsidR="00272557">
                  <w:rPr>
                    <w:noProof/>
                    <w:webHidden/>
                  </w:rPr>
                </w:r>
                <w:r w:rsidR="00272557">
                  <w:rPr>
                    <w:noProof/>
                    <w:webHidden/>
                  </w:rPr>
                  <w:fldChar w:fldCharType="separate"/>
                </w:r>
                <w:r w:rsidR="00D20042">
                  <w:rPr>
                    <w:noProof/>
                    <w:webHidden/>
                  </w:rPr>
                  <w:t>18</w:t>
                </w:r>
                <w:r w:rsidR="00272557">
                  <w:rPr>
                    <w:noProof/>
                    <w:webHidden/>
                  </w:rPr>
                  <w:fldChar w:fldCharType="end"/>
                </w:r>
              </w:hyperlink>
            </w:p>
            <w:p w:rsidR="00272557" w:rsidRDefault="00156E8B">
              <w:pPr>
                <w:pStyle w:val="TOC2"/>
                <w:tabs>
                  <w:tab w:val="right" w:leader="dot" w:pos="9016"/>
                </w:tabs>
                <w:rPr>
                  <w:rFonts w:asciiTheme="minorHAnsi" w:eastAsiaTheme="minorEastAsia" w:hAnsiTheme="minorHAnsi"/>
                  <w:noProof/>
                  <w:lang w:eastAsia="en-GB"/>
                </w:rPr>
              </w:pPr>
              <w:hyperlink w:anchor="_Toc434938026" w:history="1">
                <w:r w:rsidR="00272557" w:rsidRPr="00D24BE0">
                  <w:rPr>
                    <w:rStyle w:val="Hyperlink"/>
                    <w:noProof/>
                  </w:rPr>
                  <w:t>MFT Children’s Services caseload and resources</w:t>
                </w:r>
                <w:r w:rsidR="00272557">
                  <w:rPr>
                    <w:noProof/>
                    <w:webHidden/>
                  </w:rPr>
                  <w:tab/>
                </w:r>
                <w:r w:rsidR="00272557">
                  <w:rPr>
                    <w:noProof/>
                    <w:webHidden/>
                  </w:rPr>
                  <w:fldChar w:fldCharType="begin"/>
                </w:r>
                <w:r w:rsidR="00272557">
                  <w:rPr>
                    <w:noProof/>
                    <w:webHidden/>
                  </w:rPr>
                  <w:instrText xml:space="preserve"> PAGEREF _Toc434938026 \h </w:instrText>
                </w:r>
                <w:r w:rsidR="00272557">
                  <w:rPr>
                    <w:noProof/>
                    <w:webHidden/>
                  </w:rPr>
                </w:r>
                <w:r w:rsidR="00272557">
                  <w:rPr>
                    <w:noProof/>
                    <w:webHidden/>
                  </w:rPr>
                  <w:fldChar w:fldCharType="separate"/>
                </w:r>
                <w:r w:rsidR="00D20042">
                  <w:rPr>
                    <w:noProof/>
                    <w:webHidden/>
                  </w:rPr>
                  <w:t>20</w:t>
                </w:r>
                <w:r w:rsidR="00272557">
                  <w:rPr>
                    <w:noProof/>
                    <w:webHidden/>
                  </w:rPr>
                  <w:fldChar w:fldCharType="end"/>
                </w:r>
              </w:hyperlink>
            </w:p>
            <w:p w:rsidR="00272557" w:rsidRDefault="00156E8B">
              <w:pPr>
                <w:pStyle w:val="TOC2"/>
                <w:tabs>
                  <w:tab w:val="right" w:leader="dot" w:pos="9016"/>
                </w:tabs>
                <w:rPr>
                  <w:rFonts w:asciiTheme="minorHAnsi" w:eastAsiaTheme="minorEastAsia" w:hAnsiTheme="minorHAnsi"/>
                  <w:noProof/>
                  <w:lang w:eastAsia="en-GB"/>
                </w:rPr>
              </w:pPr>
              <w:hyperlink w:anchor="_Toc434938027" w:history="1">
                <w:r w:rsidR="00272557" w:rsidRPr="00D24BE0">
                  <w:rPr>
                    <w:rStyle w:val="Hyperlink"/>
                    <w:noProof/>
                  </w:rPr>
                  <w:t>Children’s Social Care</w:t>
                </w:r>
                <w:r w:rsidR="00272557">
                  <w:rPr>
                    <w:noProof/>
                    <w:webHidden/>
                  </w:rPr>
                  <w:tab/>
                </w:r>
                <w:r w:rsidR="00272557">
                  <w:rPr>
                    <w:noProof/>
                    <w:webHidden/>
                  </w:rPr>
                  <w:fldChar w:fldCharType="begin"/>
                </w:r>
                <w:r w:rsidR="00272557">
                  <w:rPr>
                    <w:noProof/>
                    <w:webHidden/>
                  </w:rPr>
                  <w:instrText xml:space="preserve"> PAGEREF _Toc434938027 \h </w:instrText>
                </w:r>
                <w:r w:rsidR="00272557">
                  <w:rPr>
                    <w:noProof/>
                    <w:webHidden/>
                  </w:rPr>
                </w:r>
                <w:r w:rsidR="00272557">
                  <w:rPr>
                    <w:noProof/>
                    <w:webHidden/>
                  </w:rPr>
                  <w:fldChar w:fldCharType="separate"/>
                </w:r>
                <w:r w:rsidR="00D20042">
                  <w:rPr>
                    <w:noProof/>
                    <w:webHidden/>
                  </w:rPr>
                  <w:t>21</w:t>
                </w:r>
                <w:r w:rsidR="00272557">
                  <w:rPr>
                    <w:noProof/>
                    <w:webHidden/>
                  </w:rPr>
                  <w:fldChar w:fldCharType="end"/>
                </w:r>
              </w:hyperlink>
            </w:p>
            <w:p w:rsidR="00272557" w:rsidRDefault="00156E8B">
              <w:pPr>
                <w:pStyle w:val="TOC2"/>
                <w:tabs>
                  <w:tab w:val="left" w:pos="660"/>
                  <w:tab w:val="right" w:leader="dot" w:pos="9016"/>
                </w:tabs>
                <w:rPr>
                  <w:rFonts w:asciiTheme="minorHAnsi" w:eastAsiaTheme="minorEastAsia" w:hAnsiTheme="minorHAnsi"/>
                  <w:noProof/>
                  <w:lang w:eastAsia="en-GB"/>
                </w:rPr>
              </w:pPr>
              <w:hyperlink w:anchor="_Toc434938028" w:history="1">
                <w:r w:rsidR="00272557" w:rsidRPr="00D24BE0">
                  <w:rPr>
                    <w:rStyle w:val="Hyperlink"/>
                    <w:noProof/>
                  </w:rPr>
                  <w:t>c.</w:t>
                </w:r>
                <w:r w:rsidR="00272557">
                  <w:rPr>
                    <w:rFonts w:asciiTheme="minorHAnsi" w:eastAsiaTheme="minorEastAsia" w:hAnsiTheme="minorHAnsi"/>
                    <w:noProof/>
                    <w:lang w:eastAsia="en-GB"/>
                  </w:rPr>
                  <w:tab/>
                </w:r>
                <w:r w:rsidR="00272557" w:rsidRPr="00D24BE0">
                  <w:rPr>
                    <w:rStyle w:val="Hyperlink"/>
                    <w:noProof/>
                  </w:rPr>
                  <w:t>Diabetes</w:t>
                </w:r>
                <w:r w:rsidR="00272557">
                  <w:rPr>
                    <w:noProof/>
                    <w:webHidden/>
                  </w:rPr>
                  <w:tab/>
                </w:r>
                <w:r w:rsidR="00272557">
                  <w:rPr>
                    <w:noProof/>
                    <w:webHidden/>
                  </w:rPr>
                  <w:fldChar w:fldCharType="begin"/>
                </w:r>
                <w:r w:rsidR="00272557">
                  <w:rPr>
                    <w:noProof/>
                    <w:webHidden/>
                  </w:rPr>
                  <w:instrText xml:space="preserve"> PAGEREF _Toc434938028 \h </w:instrText>
                </w:r>
                <w:r w:rsidR="00272557">
                  <w:rPr>
                    <w:noProof/>
                    <w:webHidden/>
                  </w:rPr>
                </w:r>
                <w:r w:rsidR="00272557">
                  <w:rPr>
                    <w:noProof/>
                    <w:webHidden/>
                  </w:rPr>
                  <w:fldChar w:fldCharType="separate"/>
                </w:r>
                <w:r w:rsidR="00D20042">
                  <w:rPr>
                    <w:noProof/>
                    <w:webHidden/>
                  </w:rPr>
                  <w:t>21</w:t>
                </w:r>
                <w:r w:rsidR="00272557">
                  <w:rPr>
                    <w:noProof/>
                    <w:webHidden/>
                  </w:rPr>
                  <w:fldChar w:fldCharType="end"/>
                </w:r>
              </w:hyperlink>
            </w:p>
            <w:p w:rsidR="00272557" w:rsidRDefault="00156E8B">
              <w:pPr>
                <w:pStyle w:val="TOC2"/>
                <w:tabs>
                  <w:tab w:val="right" w:leader="dot" w:pos="9016"/>
                </w:tabs>
                <w:rPr>
                  <w:rFonts w:asciiTheme="minorHAnsi" w:eastAsiaTheme="minorEastAsia" w:hAnsiTheme="minorHAnsi"/>
                  <w:noProof/>
                  <w:lang w:eastAsia="en-GB"/>
                </w:rPr>
              </w:pPr>
              <w:hyperlink w:anchor="_Toc434938029" w:history="1">
                <w:r w:rsidR="00272557" w:rsidRPr="00D24BE0">
                  <w:rPr>
                    <w:rStyle w:val="Hyperlink"/>
                    <w:noProof/>
                  </w:rPr>
                  <w:t>MFT Children’s Services caseload and resources</w:t>
                </w:r>
                <w:r w:rsidR="00272557">
                  <w:rPr>
                    <w:noProof/>
                    <w:webHidden/>
                  </w:rPr>
                  <w:tab/>
                </w:r>
                <w:r w:rsidR="00272557">
                  <w:rPr>
                    <w:noProof/>
                    <w:webHidden/>
                  </w:rPr>
                  <w:fldChar w:fldCharType="begin"/>
                </w:r>
                <w:r w:rsidR="00272557">
                  <w:rPr>
                    <w:noProof/>
                    <w:webHidden/>
                  </w:rPr>
                  <w:instrText xml:space="preserve"> PAGEREF _Toc434938029 \h </w:instrText>
                </w:r>
                <w:r w:rsidR="00272557">
                  <w:rPr>
                    <w:noProof/>
                    <w:webHidden/>
                  </w:rPr>
                </w:r>
                <w:r w:rsidR="00272557">
                  <w:rPr>
                    <w:noProof/>
                    <w:webHidden/>
                  </w:rPr>
                  <w:fldChar w:fldCharType="separate"/>
                </w:r>
                <w:r w:rsidR="00D20042">
                  <w:rPr>
                    <w:noProof/>
                    <w:webHidden/>
                  </w:rPr>
                  <w:t>23</w:t>
                </w:r>
                <w:r w:rsidR="00272557">
                  <w:rPr>
                    <w:noProof/>
                    <w:webHidden/>
                  </w:rPr>
                  <w:fldChar w:fldCharType="end"/>
                </w:r>
              </w:hyperlink>
            </w:p>
            <w:p w:rsidR="00272557" w:rsidRDefault="00156E8B">
              <w:pPr>
                <w:pStyle w:val="TOC1"/>
                <w:tabs>
                  <w:tab w:val="right" w:leader="dot" w:pos="9016"/>
                </w:tabs>
                <w:rPr>
                  <w:rFonts w:asciiTheme="minorHAnsi" w:eastAsiaTheme="minorEastAsia" w:hAnsiTheme="minorHAnsi"/>
                  <w:noProof/>
                  <w:lang w:eastAsia="en-GB"/>
                </w:rPr>
              </w:pPr>
              <w:hyperlink w:anchor="_Toc434938030" w:history="1">
                <w:r w:rsidR="00272557" w:rsidRPr="00D24BE0">
                  <w:rPr>
                    <w:rStyle w:val="Hyperlink"/>
                    <w:noProof/>
                  </w:rPr>
                  <w:t>NHS At Home: Disabilities and complex continuing care conditions</w:t>
                </w:r>
                <w:r w:rsidR="00272557">
                  <w:rPr>
                    <w:noProof/>
                    <w:webHidden/>
                  </w:rPr>
                  <w:tab/>
                </w:r>
                <w:r w:rsidR="00272557">
                  <w:rPr>
                    <w:noProof/>
                    <w:webHidden/>
                  </w:rPr>
                  <w:fldChar w:fldCharType="begin"/>
                </w:r>
                <w:r w:rsidR="00272557">
                  <w:rPr>
                    <w:noProof/>
                    <w:webHidden/>
                  </w:rPr>
                  <w:instrText xml:space="preserve"> PAGEREF _Toc434938030 \h </w:instrText>
                </w:r>
                <w:r w:rsidR="00272557">
                  <w:rPr>
                    <w:noProof/>
                    <w:webHidden/>
                  </w:rPr>
                </w:r>
                <w:r w:rsidR="00272557">
                  <w:rPr>
                    <w:noProof/>
                    <w:webHidden/>
                  </w:rPr>
                  <w:fldChar w:fldCharType="separate"/>
                </w:r>
                <w:r w:rsidR="00D20042">
                  <w:rPr>
                    <w:noProof/>
                    <w:webHidden/>
                  </w:rPr>
                  <w:t>23</w:t>
                </w:r>
                <w:r w:rsidR="00272557">
                  <w:rPr>
                    <w:noProof/>
                    <w:webHidden/>
                  </w:rPr>
                  <w:fldChar w:fldCharType="end"/>
                </w:r>
              </w:hyperlink>
            </w:p>
            <w:p w:rsidR="00272557" w:rsidRDefault="00156E8B">
              <w:pPr>
                <w:pStyle w:val="TOC2"/>
                <w:tabs>
                  <w:tab w:val="right" w:leader="dot" w:pos="9016"/>
                </w:tabs>
                <w:rPr>
                  <w:rFonts w:asciiTheme="minorHAnsi" w:eastAsiaTheme="minorEastAsia" w:hAnsiTheme="minorHAnsi"/>
                  <w:noProof/>
                  <w:lang w:eastAsia="en-GB"/>
                </w:rPr>
              </w:pPr>
              <w:hyperlink w:anchor="_Toc434938031" w:history="1">
                <w:r w:rsidR="00272557" w:rsidRPr="00D24BE0">
                  <w:rPr>
                    <w:rStyle w:val="Hyperlink"/>
                    <w:noProof/>
                  </w:rPr>
                  <w:t>Learning disability</w:t>
                </w:r>
                <w:r w:rsidR="00272557">
                  <w:rPr>
                    <w:noProof/>
                    <w:webHidden/>
                  </w:rPr>
                  <w:tab/>
                </w:r>
                <w:r w:rsidR="00272557">
                  <w:rPr>
                    <w:noProof/>
                    <w:webHidden/>
                  </w:rPr>
                  <w:fldChar w:fldCharType="begin"/>
                </w:r>
                <w:r w:rsidR="00272557">
                  <w:rPr>
                    <w:noProof/>
                    <w:webHidden/>
                  </w:rPr>
                  <w:instrText xml:space="preserve"> PAGEREF _Toc434938031 \h </w:instrText>
                </w:r>
                <w:r w:rsidR="00272557">
                  <w:rPr>
                    <w:noProof/>
                    <w:webHidden/>
                  </w:rPr>
                </w:r>
                <w:r w:rsidR="00272557">
                  <w:rPr>
                    <w:noProof/>
                    <w:webHidden/>
                  </w:rPr>
                  <w:fldChar w:fldCharType="separate"/>
                </w:r>
                <w:r w:rsidR="00D20042">
                  <w:rPr>
                    <w:noProof/>
                    <w:webHidden/>
                  </w:rPr>
                  <w:t>24</w:t>
                </w:r>
                <w:r w:rsidR="00272557">
                  <w:rPr>
                    <w:noProof/>
                    <w:webHidden/>
                  </w:rPr>
                  <w:fldChar w:fldCharType="end"/>
                </w:r>
              </w:hyperlink>
            </w:p>
            <w:p w:rsidR="00272557" w:rsidRDefault="00156E8B">
              <w:pPr>
                <w:pStyle w:val="TOC2"/>
                <w:tabs>
                  <w:tab w:val="right" w:leader="dot" w:pos="9016"/>
                </w:tabs>
                <w:rPr>
                  <w:rFonts w:asciiTheme="minorHAnsi" w:eastAsiaTheme="minorEastAsia" w:hAnsiTheme="minorHAnsi"/>
                  <w:noProof/>
                  <w:lang w:eastAsia="en-GB"/>
                </w:rPr>
              </w:pPr>
              <w:hyperlink w:anchor="_Toc434938032" w:history="1">
                <w:r w:rsidR="00272557" w:rsidRPr="00D24BE0">
                  <w:rPr>
                    <w:rStyle w:val="Hyperlink"/>
                    <w:noProof/>
                  </w:rPr>
                  <w:t>Global Developmental Delay</w:t>
                </w:r>
                <w:r w:rsidR="00272557">
                  <w:rPr>
                    <w:noProof/>
                    <w:webHidden/>
                  </w:rPr>
                  <w:tab/>
                </w:r>
                <w:r w:rsidR="00272557">
                  <w:rPr>
                    <w:noProof/>
                    <w:webHidden/>
                  </w:rPr>
                  <w:fldChar w:fldCharType="begin"/>
                </w:r>
                <w:r w:rsidR="00272557">
                  <w:rPr>
                    <w:noProof/>
                    <w:webHidden/>
                  </w:rPr>
                  <w:instrText xml:space="preserve"> PAGEREF _Toc434938032 \h </w:instrText>
                </w:r>
                <w:r w:rsidR="00272557">
                  <w:rPr>
                    <w:noProof/>
                    <w:webHidden/>
                  </w:rPr>
                </w:r>
                <w:r w:rsidR="00272557">
                  <w:rPr>
                    <w:noProof/>
                    <w:webHidden/>
                  </w:rPr>
                  <w:fldChar w:fldCharType="separate"/>
                </w:r>
                <w:r w:rsidR="00D20042">
                  <w:rPr>
                    <w:noProof/>
                    <w:webHidden/>
                  </w:rPr>
                  <w:t>25</w:t>
                </w:r>
                <w:r w:rsidR="00272557">
                  <w:rPr>
                    <w:noProof/>
                    <w:webHidden/>
                  </w:rPr>
                  <w:fldChar w:fldCharType="end"/>
                </w:r>
              </w:hyperlink>
            </w:p>
            <w:p w:rsidR="00272557" w:rsidRDefault="00156E8B">
              <w:pPr>
                <w:pStyle w:val="TOC2"/>
                <w:tabs>
                  <w:tab w:val="right" w:leader="dot" w:pos="9016"/>
                </w:tabs>
                <w:rPr>
                  <w:rFonts w:asciiTheme="minorHAnsi" w:eastAsiaTheme="minorEastAsia" w:hAnsiTheme="minorHAnsi"/>
                  <w:noProof/>
                  <w:lang w:eastAsia="en-GB"/>
                </w:rPr>
              </w:pPr>
              <w:hyperlink w:anchor="_Toc434938033" w:history="1">
                <w:r w:rsidR="00272557" w:rsidRPr="00D24BE0">
                  <w:rPr>
                    <w:rStyle w:val="Hyperlink"/>
                    <w:noProof/>
                  </w:rPr>
                  <w:t>Complex health needs</w:t>
                </w:r>
                <w:r w:rsidR="00272557">
                  <w:rPr>
                    <w:noProof/>
                    <w:webHidden/>
                  </w:rPr>
                  <w:tab/>
                </w:r>
                <w:r w:rsidR="00272557">
                  <w:rPr>
                    <w:noProof/>
                    <w:webHidden/>
                  </w:rPr>
                  <w:fldChar w:fldCharType="begin"/>
                </w:r>
                <w:r w:rsidR="00272557">
                  <w:rPr>
                    <w:noProof/>
                    <w:webHidden/>
                  </w:rPr>
                  <w:instrText xml:space="preserve"> PAGEREF _Toc434938033 \h </w:instrText>
                </w:r>
                <w:r w:rsidR="00272557">
                  <w:rPr>
                    <w:noProof/>
                    <w:webHidden/>
                  </w:rPr>
                </w:r>
                <w:r w:rsidR="00272557">
                  <w:rPr>
                    <w:noProof/>
                    <w:webHidden/>
                  </w:rPr>
                  <w:fldChar w:fldCharType="separate"/>
                </w:r>
                <w:r w:rsidR="00D20042">
                  <w:rPr>
                    <w:noProof/>
                    <w:webHidden/>
                  </w:rPr>
                  <w:t>26</w:t>
                </w:r>
                <w:r w:rsidR="00272557">
                  <w:rPr>
                    <w:noProof/>
                    <w:webHidden/>
                  </w:rPr>
                  <w:fldChar w:fldCharType="end"/>
                </w:r>
              </w:hyperlink>
            </w:p>
            <w:p w:rsidR="00272557" w:rsidRDefault="00156E8B">
              <w:pPr>
                <w:pStyle w:val="TOC2"/>
                <w:tabs>
                  <w:tab w:val="right" w:leader="dot" w:pos="9016"/>
                </w:tabs>
                <w:rPr>
                  <w:rFonts w:asciiTheme="minorHAnsi" w:eastAsiaTheme="minorEastAsia" w:hAnsiTheme="minorHAnsi"/>
                  <w:noProof/>
                  <w:lang w:eastAsia="en-GB"/>
                </w:rPr>
              </w:pPr>
              <w:hyperlink w:anchor="_Toc434938034" w:history="1">
                <w:r w:rsidR="00272557" w:rsidRPr="00D24BE0">
                  <w:rPr>
                    <w:rStyle w:val="Hyperlink"/>
                    <w:noProof/>
                  </w:rPr>
                  <w:t>Autism and ADHD</w:t>
                </w:r>
                <w:r w:rsidR="00272557">
                  <w:rPr>
                    <w:noProof/>
                    <w:webHidden/>
                  </w:rPr>
                  <w:tab/>
                </w:r>
                <w:r w:rsidR="00272557">
                  <w:rPr>
                    <w:noProof/>
                    <w:webHidden/>
                  </w:rPr>
                  <w:fldChar w:fldCharType="begin"/>
                </w:r>
                <w:r w:rsidR="00272557">
                  <w:rPr>
                    <w:noProof/>
                    <w:webHidden/>
                  </w:rPr>
                  <w:instrText xml:space="preserve"> PAGEREF _Toc434938034 \h </w:instrText>
                </w:r>
                <w:r w:rsidR="00272557">
                  <w:rPr>
                    <w:noProof/>
                    <w:webHidden/>
                  </w:rPr>
                </w:r>
                <w:r w:rsidR="00272557">
                  <w:rPr>
                    <w:noProof/>
                    <w:webHidden/>
                  </w:rPr>
                  <w:fldChar w:fldCharType="separate"/>
                </w:r>
                <w:r w:rsidR="00D20042">
                  <w:rPr>
                    <w:noProof/>
                    <w:webHidden/>
                  </w:rPr>
                  <w:t>28</w:t>
                </w:r>
                <w:r w:rsidR="00272557">
                  <w:rPr>
                    <w:noProof/>
                    <w:webHidden/>
                  </w:rPr>
                  <w:fldChar w:fldCharType="end"/>
                </w:r>
              </w:hyperlink>
            </w:p>
            <w:p w:rsidR="00272557" w:rsidRDefault="00156E8B">
              <w:pPr>
                <w:pStyle w:val="TOC2"/>
                <w:tabs>
                  <w:tab w:val="right" w:leader="dot" w:pos="9016"/>
                </w:tabs>
                <w:rPr>
                  <w:rFonts w:asciiTheme="minorHAnsi" w:eastAsiaTheme="minorEastAsia" w:hAnsiTheme="minorHAnsi"/>
                  <w:noProof/>
                  <w:lang w:eastAsia="en-GB"/>
                </w:rPr>
              </w:pPr>
              <w:hyperlink w:anchor="_Toc434938035" w:history="1">
                <w:r w:rsidR="00272557" w:rsidRPr="00D24BE0">
                  <w:rPr>
                    <w:rStyle w:val="Hyperlink"/>
                    <w:noProof/>
                  </w:rPr>
                  <w:t>MFT caseload and resources</w:t>
                </w:r>
                <w:r w:rsidR="00272557">
                  <w:rPr>
                    <w:noProof/>
                    <w:webHidden/>
                  </w:rPr>
                  <w:tab/>
                </w:r>
                <w:r w:rsidR="00272557">
                  <w:rPr>
                    <w:noProof/>
                    <w:webHidden/>
                  </w:rPr>
                  <w:fldChar w:fldCharType="begin"/>
                </w:r>
                <w:r w:rsidR="00272557">
                  <w:rPr>
                    <w:noProof/>
                    <w:webHidden/>
                  </w:rPr>
                  <w:instrText xml:space="preserve"> PAGEREF _Toc434938035 \h </w:instrText>
                </w:r>
                <w:r w:rsidR="00272557">
                  <w:rPr>
                    <w:noProof/>
                    <w:webHidden/>
                  </w:rPr>
                </w:r>
                <w:r w:rsidR="00272557">
                  <w:rPr>
                    <w:noProof/>
                    <w:webHidden/>
                  </w:rPr>
                  <w:fldChar w:fldCharType="separate"/>
                </w:r>
                <w:r w:rsidR="00D20042">
                  <w:rPr>
                    <w:noProof/>
                    <w:webHidden/>
                  </w:rPr>
                  <w:t>29</w:t>
                </w:r>
                <w:r w:rsidR="00272557">
                  <w:rPr>
                    <w:noProof/>
                    <w:webHidden/>
                  </w:rPr>
                  <w:fldChar w:fldCharType="end"/>
                </w:r>
              </w:hyperlink>
            </w:p>
            <w:p w:rsidR="00272557" w:rsidRDefault="00156E8B">
              <w:pPr>
                <w:pStyle w:val="TOC3"/>
                <w:tabs>
                  <w:tab w:val="right" w:leader="dot" w:pos="9016"/>
                </w:tabs>
                <w:rPr>
                  <w:rFonts w:asciiTheme="minorHAnsi" w:eastAsiaTheme="minorEastAsia" w:hAnsiTheme="minorHAnsi"/>
                  <w:noProof/>
                  <w:lang w:eastAsia="en-GB"/>
                </w:rPr>
              </w:pPr>
              <w:hyperlink w:anchor="_Toc434938036" w:history="1">
                <w:r w:rsidR="00272557" w:rsidRPr="00D24BE0">
                  <w:rPr>
                    <w:rStyle w:val="Hyperlink"/>
                    <w:noProof/>
                  </w:rPr>
                  <w:t>Community Paediatricians</w:t>
                </w:r>
                <w:r w:rsidR="00272557">
                  <w:rPr>
                    <w:noProof/>
                    <w:webHidden/>
                  </w:rPr>
                  <w:tab/>
                </w:r>
                <w:r w:rsidR="00272557">
                  <w:rPr>
                    <w:noProof/>
                    <w:webHidden/>
                  </w:rPr>
                  <w:fldChar w:fldCharType="begin"/>
                </w:r>
                <w:r w:rsidR="00272557">
                  <w:rPr>
                    <w:noProof/>
                    <w:webHidden/>
                  </w:rPr>
                  <w:instrText xml:space="preserve"> PAGEREF _Toc434938036 \h </w:instrText>
                </w:r>
                <w:r w:rsidR="00272557">
                  <w:rPr>
                    <w:noProof/>
                    <w:webHidden/>
                  </w:rPr>
                </w:r>
                <w:r w:rsidR="00272557">
                  <w:rPr>
                    <w:noProof/>
                    <w:webHidden/>
                  </w:rPr>
                  <w:fldChar w:fldCharType="separate"/>
                </w:r>
                <w:r w:rsidR="00D20042">
                  <w:rPr>
                    <w:noProof/>
                    <w:webHidden/>
                  </w:rPr>
                  <w:t>29</w:t>
                </w:r>
                <w:r w:rsidR="00272557">
                  <w:rPr>
                    <w:noProof/>
                    <w:webHidden/>
                  </w:rPr>
                  <w:fldChar w:fldCharType="end"/>
                </w:r>
              </w:hyperlink>
            </w:p>
            <w:p w:rsidR="00272557" w:rsidRDefault="00156E8B">
              <w:pPr>
                <w:pStyle w:val="TOC3"/>
                <w:tabs>
                  <w:tab w:val="right" w:leader="dot" w:pos="9016"/>
                </w:tabs>
                <w:rPr>
                  <w:rFonts w:asciiTheme="minorHAnsi" w:eastAsiaTheme="minorEastAsia" w:hAnsiTheme="minorHAnsi"/>
                  <w:noProof/>
                  <w:lang w:eastAsia="en-GB"/>
                </w:rPr>
              </w:pPr>
              <w:hyperlink w:anchor="_Toc434938037" w:history="1">
                <w:r w:rsidR="00272557" w:rsidRPr="00D24BE0">
                  <w:rPr>
                    <w:rStyle w:val="Hyperlink"/>
                    <w:noProof/>
                  </w:rPr>
                  <w:t>Learning Disability Nursing</w:t>
                </w:r>
                <w:r w:rsidR="00272557">
                  <w:rPr>
                    <w:noProof/>
                    <w:webHidden/>
                  </w:rPr>
                  <w:tab/>
                </w:r>
                <w:r w:rsidR="00272557">
                  <w:rPr>
                    <w:noProof/>
                    <w:webHidden/>
                  </w:rPr>
                  <w:fldChar w:fldCharType="begin"/>
                </w:r>
                <w:r w:rsidR="00272557">
                  <w:rPr>
                    <w:noProof/>
                    <w:webHidden/>
                  </w:rPr>
                  <w:instrText xml:space="preserve"> PAGEREF _Toc434938037 \h </w:instrText>
                </w:r>
                <w:r w:rsidR="00272557">
                  <w:rPr>
                    <w:noProof/>
                    <w:webHidden/>
                  </w:rPr>
                </w:r>
                <w:r w:rsidR="00272557">
                  <w:rPr>
                    <w:noProof/>
                    <w:webHidden/>
                  </w:rPr>
                  <w:fldChar w:fldCharType="separate"/>
                </w:r>
                <w:r w:rsidR="00D20042">
                  <w:rPr>
                    <w:noProof/>
                    <w:webHidden/>
                  </w:rPr>
                  <w:t>30</w:t>
                </w:r>
                <w:r w:rsidR="00272557">
                  <w:rPr>
                    <w:noProof/>
                    <w:webHidden/>
                  </w:rPr>
                  <w:fldChar w:fldCharType="end"/>
                </w:r>
              </w:hyperlink>
            </w:p>
            <w:p w:rsidR="00272557" w:rsidRDefault="00156E8B">
              <w:pPr>
                <w:pStyle w:val="TOC3"/>
                <w:tabs>
                  <w:tab w:val="right" w:leader="dot" w:pos="9016"/>
                </w:tabs>
                <w:rPr>
                  <w:rFonts w:asciiTheme="minorHAnsi" w:eastAsiaTheme="minorEastAsia" w:hAnsiTheme="minorHAnsi"/>
                  <w:noProof/>
                  <w:lang w:eastAsia="en-GB"/>
                </w:rPr>
              </w:pPr>
              <w:hyperlink w:anchor="_Toc434938038" w:history="1">
                <w:r w:rsidR="00272557" w:rsidRPr="00D24BE0">
                  <w:rPr>
                    <w:rStyle w:val="Hyperlink"/>
                    <w:noProof/>
                  </w:rPr>
                  <w:t>Special School Nursing</w:t>
                </w:r>
                <w:r w:rsidR="00272557">
                  <w:rPr>
                    <w:noProof/>
                    <w:webHidden/>
                  </w:rPr>
                  <w:tab/>
                </w:r>
                <w:r w:rsidR="00272557">
                  <w:rPr>
                    <w:noProof/>
                    <w:webHidden/>
                  </w:rPr>
                  <w:fldChar w:fldCharType="begin"/>
                </w:r>
                <w:r w:rsidR="00272557">
                  <w:rPr>
                    <w:noProof/>
                    <w:webHidden/>
                  </w:rPr>
                  <w:instrText xml:space="preserve"> PAGEREF _Toc434938038 \h </w:instrText>
                </w:r>
                <w:r w:rsidR="00272557">
                  <w:rPr>
                    <w:noProof/>
                    <w:webHidden/>
                  </w:rPr>
                </w:r>
                <w:r w:rsidR="00272557">
                  <w:rPr>
                    <w:noProof/>
                    <w:webHidden/>
                  </w:rPr>
                  <w:fldChar w:fldCharType="separate"/>
                </w:r>
                <w:r w:rsidR="00D20042">
                  <w:rPr>
                    <w:noProof/>
                    <w:webHidden/>
                  </w:rPr>
                  <w:t>31</w:t>
                </w:r>
                <w:r w:rsidR="00272557">
                  <w:rPr>
                    <w:noProof/>
                    <w:webHidden/>
                  </w:rPr>
                  <w:fldChar w:fldCharType="end"/>
                </w:r>
              </w:hyperlink>
            </w:p>
            <w:p w:rsidR="00272557" w:rsidRDefault="00156E8B">
              <w:pPr>
                <w:pStyle w:val="TOC3"/>
                <w:tabs>
                  <w:tab w:val="right" w:leader="dot" w:pos="9016"/>
                </w:tabs>
                <w:rPr>
                  <w:rFonts w:asciiTheme="minorHAnsi" w:eastAsiaTheme="minorEastAsia" w:hAnsiTheme="minorHAnsi"/>
                  <w:noProof/>
                  <w:lang w:eastAsia="en-GB"/>
                </w:rPr>
              </w:pPr>
              <w:hyperlink w:anchor="_Toc434938039" w:history="1">
                <w:r w:rsidR="00272557" w:rsidRPr="00D24BE0">
                  <w:rPr>
                    <w:rStyle w:val="Hyperlink"/>
                    <w:noProof/>
                  </w:rPr>
                  <w:t>Special Needs Nursery</w:t>
                </w:r>
                <w:r w:rsidR="00272557">
                  <w:rPr>
                    <w:noProof/>
                    <w:webHidden/>
                  </w:rPr>
                  <w:tab/>
                </w:r>
                <w:r w:rsidR="00272557">
                  <w:rPr>
                    <w:noProof/>
                    <w:webHidden/>
                  </w:rPr>
                  <w:fldChar w:fldCharType="begin"/>
                </w:r>
                <w:r w:rsidR="00272557">
                  <w:rPr>
                    <w:noProof/>
                    <w:webHidden/>
                  </w:rPr>
                  <w:instrText xml:space="preserve"> PAGEREF _Toc434938039 \h </w:instrText>
                </w:r>
                <w:r w:rsidR="00272557">
                  <w:rPr>
                    <w:noProof/>
                    <w:webHidden/>
                  </w:rPr>
                </w:r>
                <w:r w:rsidR="00272557">
                  <w:rPr>
                    <w:noProof/>
                    <w:webHidden/>
                  </w:rPr>
                  <w:fldChar w:fldCharType="separate"/>
                </w:r>
                <w:r w:rsidR="00D20042">
                  <w:rPr>
                    <w:noProof/>
                    <w:webHidden/>
                  </w:rPr>
                  <w:t>31</w:t>
                </w:r>
                <w:r w:rsidR="00272557">
                  <w:rPr>
                    <w:noProof/>
                    <w:webHidden/>
                  </w:rPr>
                  <w:fldChar w:fldCharType="end"/>
                </w:r>
              </w:hyperlink>
            </w:p>
            <w:p w:rsidR="00272557" w:rsidRDefault="00156E8B">
              <w:pPr>
                <w:pStyle w:val="TOC2"/>
                <w:tabs>
                  <w:tab w:val="right" w:leader="dot" w:pos="9016"/>
                </w:tabs>
                <w:rPr>
                  <w:rFonts w:asciiTheme="minorHAnsi" w:eastAsiaTheme="minorEastAsia" w:hAnsiTheme="minorHAnsi"/>
                  <w:noProof/>
                  <w:lang w:eastAsia="en-GB"/>
                </w:rPr>
              </w:pPr>
              <w:hyperlink w:anchor="_Toc434938040" w:history="1">
                <w:r w:rsidR="00272557" w:rsidRPr="00D24BE0">
                  <w:rPr>
                    <w:rStyle w:val="Hyperlink"/>
                    <w:noProof/>
                  </w:rPr>
                  <w:t>Medway Community Healthcare Children’s Therapies Team</w:t>
                </w:r>
                <w:r w:rsidR="00272557">
                  <w:rPr>
                    <w:noProof/>
                    <w:webHidden/>
                  </w:rPr>
                  <w:tab/>
                </w:r>
                <w:r w:rsidR="00272557">
                  <w:rPr>
                    <w:noProof/>
                    <w:webHidden/>
                  </w:rPr>
                  <w:fldChar w:fldCharType="begin"/>
                </w:r>
                <w:r w:rsidR="00272557">
                  <w:rPr>
                    <w:noProof/>
                    <w:webHidden/>
                  </w:rPr>
                  <w:instrText xml:space="preserve"> PAGEREF _Toc434938040 \h </w:instrText>
                </w:r>
                <w:r w:rsidR="00272557">
                  <w:rPr>
                    <w:noProof/>
                    <w:webHidden/>
                  </w:rPr>
                </w:r>
                <w:r w:rsidR="00272557">
                  <w:rPr>
                    <w:noProof/>
                    <w:webHidden/>
                  </w:rPr>
                  <w:fldChar w:fldCharType="separate"/>
                </w:r>
                <w:r w:rsidR="00D20042">
                  <w:rPr>
                    <w:noProof/>
                    <w:webHidden/>
                  </w:rPr>
                  <w:t>32</w:t>
                </w:r>
                <w:r w:rsidR="00272557">
                  <w:rPr>
                    <w:noProof/>
                    <w:webHidden/>
                  </w:rPr>
                  <w:fldChar w:fldCharType="end"/>
                </w:r>
              </w:hyperlink>
            </w:p>
            <w:p w:rsidR="00272557" w:rsidRDefault="00156E8B">
              <w:pPr>
                <w:pStyle w:val="TOC3"/>
                <w:tabs>
                  <w:tab w:val="right" w:leader="dot" w:pos="9016"/>
                </w:tabs>
                <w:rPr>
                  <w:rFonts w:asciiTheme="minorHAnsi" w:eastAsiaTheme="minorEastAsia" w:hAnsiTheme="minorHAnsi"/>
                  <w:noProof/>
                  <w:lang w:eastAsia="en-GB"/>
                </w:rPr>
              </w:pPr>
              <w:hyperlink w:anchor="_Toc434938041" w:history="1">
                <w:r w:rsidR="00272557" w:rsidRPr="00D24BE0">
                  <w:rPr>
                    <w:rStyle w:val="Hyperlink"/>
                    <w:noProof/>
                  </w:rPr>
                  <w:t>Neurological Physiotherapy</w:t>
                </w:r>
                <w:r w:rsidR="00272557">
                  <w:rPr>
                    <w:noProof/>
                    <w:webHidden/>
                  </w:rPr>
                  <w:tab/>
                </w:r>
                <w:r w:rsidR="00272557">
                  <w:rPr>
                    <w:noProof/>
                    <w:webHidden/>
                  </w:rPr>
                  <w:fldChar w:fldCharType="begin"/>
                </w:r>
                <w:r w:rsidR="00272557">
                  <w:rPr>
                    <w:noProof/>
                    <w:webHidden/>
                  </w:rPr>
                  <w:instrText xml:space="preserve"> PAGEREF _Toc434938041 \h </w:instrText>
                </w:r>
                <w:r w:rsidR="00272557">
                  <w:rPr>
                    <w:noProof/>
                    <w:webHidden/>
                  </w:rPr>
                </w:r>
                <w:r w:rsidR="00272557">
                  <w:rPr>
                    <w:noProof/>
                    <w:webHidden/>
                  </w:rPr>
                  <w:fldChar w:fldCharType="separate"/>
                </w:r>
                <w:r w:rsidR="00D20042">
                  <w:rPr>
                    <w:noProof/>
                    <w:webHidden/>
                  </w:rPr>
                  <w:t>32</w:t>
                </w:r>
                <w:r w:rsidR="00272557">
                  <w:rPr>
                    <w:noProof/>
                    <w:webHidden/>
                  </w:rPr>
                  <w:fldChar w:fldCharType="end"/>
                </w:r>
              </w:hyperlink>
            </w:p>
            <w:p w:rsidR="00272557" w:rsidRDefault="00156E8B">
              <w:pPr>
                <w:pStyle w:val="TOC3"/>
                <w:tabs>
                  <w:tab w:val="right" w:leader="dot" w:pos="9016"/>
                </w:tabs>
                <w:rPr>
                  <w:rFonts w:asciiTheme="minorHAnsi" w:eastAsiaTheme="minorEastAsia" w:hAnsiTheme="minorHAnsi"/>
                  <w:noProof/>
                  <w:lang w:eastAsia="en-GB"/>
                </w:rPr>
              </w:pPr>
              <w:hyperlink w:anchor="_Toc434938042" w:history="1">
                <w:r w:rsidR="00272557" w:rsidRPr="00D24BE0">
                  <w:rPr>
                    <w:rStyle w:val="Hyperlink"/>
                    <w:noProof/>
                  </w:rPr>
                  <w:t>Musculo-skeletal Physiotherapy (MSK)</w:t>
                </w:r>
                <w:r w:rsidR="00272557">
                  <w:rPr>
                    <w:noProof/>
                    <w:webHidden/>
                  </w:rPr>
                  <w:tab/>
                </w:r>
                <w:r w:rsidR="00272557">
                  <w:rPr>
                    <w:noProof/>
                    <w:webHidden/>
                  </w:rPr>
                  <w:fldChar w:fldCharType="begin"/>
                </w:r>
                <w:r w:rsidR="00272557">
                  <w:rPr>
                    <w:noProof/>
                    <w:webHidden/>
                  </w:rPr>
                  <w:instrText xml:space="preserve"> PAGEREF _Toc434938042 \h </w:instrText>
                </w:r>
                <w:r w:rsidR="00272557">
                  <w:rPr>
                    <w:noProof/>
                    <w:webHidden/>
                  </w:rPr>
                </w:r>
                <w:r w:rsidR="00272557">
                  <w:rPr>
                    <w:noProof/>
                    <w:webHidden/>
                  </w:rPr>
                  <w:fldChar w:fldCharType="separate"/>
                </w:r>
                <w:r w:rsidR="00D20042">
                  <w:rPr>
                    <w:noProof/>
                    <w:webHidden/>
                  </w:rPr>
                  <w:t>32</w:t>
                </w:r>
                <w:r w:rsidR="00272557">
                  <w:rPr>
                    <w:noProof/>
                    <w:webHidden/>
                  </w:rPr>
                  <w:fldChar w:fldCharType="end"/>
                </w:r>
              </w:hyperlink>
            </w:p>
            <w:p w:rsidR="00272557" w:rsidRDefault="00156E8B">
              <w:pPr>
                <w:pStyle w:val="TOC3"/>
                <w:tabs>
                  <w:tab w:val="right" w:leader="dot" w:pos="9016"/>
                </w:tabs>
                <w:rPr>
                  <w:rFonts w:asciiTheme="minorHAnsi" w:eastAsiaTheme="minorEastAsia" w:hAnsiTheme="minorHAnsi"/>
                  <w:noProof/>
                  <w:lang w:eastAsia="en-GB"/>
                </w:rPr>
              </w:pPr>
              <w:hyperlink w:anchor="_Toc434938043" w:history="1">
                <w:r w:rsidR="00272557" w:rsidRPr="00D24BE0">
                  <w:rPr>
                    <w:rStyle w:val="Hyperlink"/>
                    <w:noProof/>
                  </w:rPr>
                  <w:t>Podiatry</w:t>
                </w:r>
                <w:r w:rsidR="00272557">
                  <w:rPr>
                    <w:noProof/>
                    <w:webHidden/>
                  </w:rPr>
                  <w:tab/>
                </w:r>
                <w:r w:rsidR="00272557">
                  <w:rPr>
                    <w:noProof/>
                    <w:webHidden/>
                  </w:rPr>
                  <w:fldChar w:fldCharType="begin"/>
                </w:r>
                <w:r w:rsidR="00272557">
                  <w:rPr>
                    <w:noProof/>
                    <w:webHidden/>
                  </w:rPr>
                  <w:instrText xml:space="preserve"> PAGEREF _Toc434938043 \h </w:instrText>
                </w:r>
                <w:r w:rsidR="00272557">
                  <w:rPr>
                    <w:noProof/>
                    <w:webHidden/>
                  </w:rPr>
                </w:r>
                <w:r w:rsidR="00272557">
                  <w:rPr>
                    <w:noProof/>
                    <w:webHidden/>
                  </w:rPr>
                  <w:fldChar w:fldCharType="separate"/>
                </w:r>
                <w:r w:rsidR="00D20042">
                  <w:rPr>
                    <w:noProof/>
                    <w:webHidden/>
                  </w:rPr>
                  <w:t>32</w:t>
                </w:r>
                <w:r w:rsidR="00272557">
                  <w:rPr>
                    <w:noProof/>
                    <w:webHidden/>
                  </w:rPr>
                  <w:fldChar w:fldCharType="end"/>
                </w:r>
              </w:hyperlink>
            </w:p>
            <w:p w:rsidR="00272557" w:rsidRDefault="00156E8B">
              <w:pPr>
                <w:pStyle w:val="TOC3"/>
                <w:tabs>
                  <w:tab w:val="right" w:leader="dot" w:pos="9016"/>
                </w:tabs>
                <w:rPr>
                  <w:rFonts w:asciiTheme="minorHAnsi" w:eastAsiaTheme="minorEastAsia" w:hAnsiTheme="minorHAnsi"/>
                  <w:noProof/>
                  <w:lang w:eastAsia="en-GB"/>
                </w:rPr>
              </w:pPr>
              <w:hyperlink w:anchor="_Toc434938044" w:history="1">
                <w:r w:rsidR="00272557" w:rsidRPr="00D24BE0">
                  <w:rPr>
                    <w:rStyle w:val="Hyperlink"/>
                    <w:noProof/>
                  </w:rPr>
                  <w:t>Occupational therapy, Early Years</w:t>
                </w:r>
                <w:r w:rsidR="00272557">
                  <w:rPr>
                    <w:noProof/>
                    <w:webHidden/>
                  </w:rPr>
                  <w:tab/>
                </w:r>
                <w:r w:rsidR="00272557">
                  <w:rPr>
                    <w:noProof/>
                    <w:webHidden/>
                  </w:rPr>
                  <w:fldChar w:fldCharType="begin"/>
                </w:r>
                <w:r w:rsidR="00272557">
                  <w:rPr>
                    <w:noProof/>
                    <w:webHidden/>
                  </w:rPr>
                  <w:instrText xml:space="preserve"> PAGEREF _Toc434938044 \h </w:instrText>
                </w:r>
                <w:r w:rsidR="00272557">
                  <w:rPr>
                    <w:noProof/>
                    <w:webHidden/>
                  </w:rPr>
                </w:r>
                <w:r w:rsidR="00272557">
                  <w:rPr>
                    <w:noProof/>
                    <w:webHidden/>
                  </w:rPr>
                  <w:fldChar w:fldCharType="separate"/>
                </w:r>
                <w:r w:rsidR="00D20042">
                  <w:rPr>
                    <w:noProof/>
                    <w:webHidden/>
                  </w:rPr>
                  <w:t>32</w:t>
                </w:r>
                <w:r w:rsidR="00272557">
                  <w:rPr>
                    <w:noProof/>
                    <w:webHidden/>
                  </w:rPr>
                  <w:fldChar w:fldCharType="end"/>
                </w:r>
              </w:hyperlink>
            </w:p>
            <w:p w:rsidR="00272557" w:rsidRDefault="00156E8B">
              <w:pPr>
                <w:pStyle w:val="TOC3"/>
                <w:tabs>
                  <w:tab w:val="right" w:leader="dot" w:pos="9016"/>
                </w:tabs>
                <w:rPr>
                  <w:rFonts w:asciiTheme="minorHAnsi" w:eastAsiaTheme="minorEastAsia" w:hAnsiTheme="minorHAnsi"/>
                  <w:noProof/>
                  <w:lang w:eastAsia="en-GB"/>
                </w:rPr>
              </w:pPr>
              <w:hyperlink w:anchor="_Toc434938045" w:history="1">
                <w:r w:rsidR="00272557" w:rsidRPr="00D24BE0">
                  <w:rPr>
                    <w:rStyle w:val="Hyperlink"/>
                    <w:noProof/>
                  </w:rPr>
                  <w:t>Occupational therapy, school age children and young people</w:t>
                </w:r>
                <w:r w:rsidR="00272557">
                  <w:rPr>
                    <w:noProof/>
                    <w:webHidden/>
                  </w:rPr>
                  <w:tab/>
                </w:r>
                <w:r w:rsidR="00272557">
                  <w:rPr>
                    <w:noProof/>
                    <w:webHidden/>
                  </w:rPr>
                  <w:fldChar w:fldCharType="begin"/>
                </w:r>
                <w:r w:rsidR="00272557">
                  <w:rPr>
                    <w:noProof/>
                    <w:webHidden/>
                  </w:rPr>
                  <w:instrText xml:space="preserve"> PAGEREF _Toc434938045 \h </w:instrText>
                </w:r>
                <w:r w:rsidR="00272557">
                  <w:rPr>
                    <w:noProof/>
                    <w:webHidden/>
                  </w:rPr>
                </w:r>
                <w:r w:rsidR="00272557">
                  <w:rPr>
                    <w:noProof/>
                    <w:webHidden/>
                  </w:rPr>
                  <w:fldChar w:fldCharType="separate"/>
                </w:r>
                <w:r w:rsidR="00D20042">
                  <w:rPr>
                    <w:noProof/>
                    <w:webHidden/>
                  </w:rPr>
                  <w:t>33</w:t>
                </w:r>
                <w:r w:rsidR="00272557">
                  <w:rPr>
                    <w:noProof/>
                    <w:webHidden/>
                  </w:rPr>
                  <w:fldChar w:fldCharType="end"/>
                </w:r>
              </w:hyperlink>
            </w:p>
            <w:p w:rsidR="00272557" w:rsidRDefault="00156E8B">
              <w:pPr>
                <w:pStyle w:val="TOC3"/>
                <w:tabs>
                  <w:tab w:val="right" w:leader="dot" w:pos="9016"/>
                </w:tabs>
                <w:rPr>
                  <w:rFonts w:asciiTheme="minorHAnsi" w:eastAsiaTheme="minorEastAsia" w:hAnsiTheme="minorHAnsi"/>
                  <w:noProof/>
                  <w:lang w:eastAsia="en-GB"/>
                </w:rPr>
              </w:pPr>
              <w:hyperlink w:anchor="_Toc434938046" w:history="1">
                <w:r w:rsidR="00272557" w:rsidRPr="00D24BE0">
                  <w:rPr>
                    <w:rStyle w:val="Hyperlink"/>
                    <w:noProof/>
                  </w:rPr>
                  <w:t>Speech and Language Therapy, Early Years</w:t>
                </w:r>
                <w:r w:rsidR="00272557">
                  <w:rPr>
                    <w:noProof/>
                    <w:webHidden/>
                  </w:rPr>
                  <w:tab/>
                </w:r>
                <w:r w:rsidR="00272557">
                  <w:rPr>
                    <w:noProof/>
                    <w:webHidden/>
                  </w:rPr>
                  <w:fldChar w:fldCharType="begin"/>
                </w:r>
                <w:r w:rsidR="00272557">
                  <w:rPr>
                    <w:noProof/>
                    <w:webHidden/>
                  </w:rPr>
                  <w:instrText xml:space="preserve"> PAGEREF _Toc434938046 \h </w:instrText>
                </w:r>
                <w:r w:rsidR="00272557">
                  <w:rPr>
                    <w:noProof/>
                    <w:webHidden/>
                  </w:rPr>
                </w:r>
                <w:r w:rsidR="00272557">
                  <w:rPr>
                    <w:noProof/>
                    <w:webHidden/>
                  </w:rPr>
                  <w:fldChar w:fldCharType="separate"/>
                </w:r>
                <w:r w:rsidR="00D20042">
                  <w:rPr>
                    <w:noProof/>
                    <w:webHidden/>
                  </w:rPr>
                  <w:t>33</w:t>
                </w:r>
                <w:r w:rsidR="00272557">
                  <w:rPr>
                    <w:noProof/>
                    <w:webHidden/>
                  </w:rPr>
                  <w:fldChar w:fldCharType="end"/>
                </w:r>
              </w:hyperlink>
            </w:p>
            <w:p w:rsidR="00272557" w:rsidRDefault="00156E8B">
              <w:pPr>
                <w:pStyle w:val="TOC3"/>
                <w:tabs>
                  <w:tab w:val="right" w:leader="dot" w:pos="9016"/>
                </w:tabs>
                <w:rPr>
                  <w:rFonts w:asciiTheme="minorHAnsi" w:eastAsiaTheme="minorEastAsia" w:hAnsiTheme="minorHAnsi"/>
                  <w:noProof/>
                  <w:lang w:eastAsia="en-GB"/>
                </w:rPr>
              </w:pPr>
              <w:hyperlink w:anchor="_Toc434938047" w:history="1">
                <w:r w:rsidR="00272557" w:rsidRPr="00D24BE0">
                  <w:rPr>
                    <w:rStyle w:val="Hyperlink"/>
                    <w:noProof/>
                  </w:rPr>
                  <w:t>Speech and Language Therapy, school age children and young people with Education, Health and Care plans or a primary health need</w:t>
                </w:r>
                <w:r w:rsidR="00272557">
                  <w:rPr>
                    <w:noProof/>
                    <w:webHidden/>
                  </w:rPr>
                  <w:tab/>
                </w:r>
                <w:r w:rsidR="00272557">
                  <w:rPr>
                    <w:noProof/>
                    <w:webHidden/>
                  </w:rPr>
                  <w:fldChar w:fldCharType="begin"/>
                </w:r>
                <w:r w:rsidR="00272557">
                  <w:rPr>
                    <w:noProof/>
                    <w:webHidden/>
                  </w:rPr>
                  <w:instrText xml:space="preserve"> PAGEREF _Toc434938047 \h </w:instrText>
                </w:r>
                <w:r w:rsidR="00272557">
                  <w:rPr>
                    <w:noProof/>
                    <w:webHidden/>
                  </w:rPr>
                </w:r>
                <w:r w:rsidR="00272557">
                  <w:rPr>
                    <w:noProof/>
                    <w:webHidden/>
                  </w:rPr>
                  <w:fldChar w:fldCharType="separate"/>
                </w:r>
                <w:r w:rsidR="00D20042">
                  <w:rPr>
                    <w:noProof/>
                    <w:webHidden/>
                  </w:rPr>
                  <w:t>33</w:t>
                </w:r>
                <w:r w:rsidR="00272557">
                  <w:rPr>
                    <w:noProof/>
                    <w:webHidden/>
                  </w:rPr>
                  <w:fldChar w:fldCharType="end"/>
                </w:r>
              </w:hyperlink>
            </w:p>
            <w:p w:rsidR="00272557" w:rsidRDefault="00156E8B">
              <w:pPr>
                <w:pStyle w:val="TOC3"/>
                <w:tabs>
                  <w:tab w:val="right" w:leader="dot" w:pos="9016"/>
                </w:tabs>
                <w:rPr>
                  <w:rFonts w:asciiTheme="minorHAnsi" w:eastAsiaTheme="minorEastAsia" w:hAnsiTheme="minorHAnsi"/>
                  <w:noProof/>
                  <w:lang w:eastAsia="en-GB"/>
                </w:rPr>
              </w:pPr>
              <w:hyperlink w:anchor="_Toc434938048" w:history="1">
                <w:r w:rsidR="00272557" w:rsidRPr="00D24BE0">
                  <w:rPr>
                    <w:rStyle w:val="Hyperlink"/>
                    <w:noProof/>
                  </w:rPr>
                  <w:t>Continence Advisory Service</w:t>
                </w:r>
                <w:r w:rsidR="00272557">
                  <w:rPr>
                    <w:noProof/>
                    <w:webHidden/>
                  </w:rPr>
                  <w:tab/>
                </w:r>
                <w:r w:rsidR="00272557">
                  <w:rPr>
                    <w:noProof/>
                    <w:webHidden/>
                  </w:rPr>
                  <w:fldChar w:fldCharType="begin"/>
                </w:r>
                <w:r w:rsidR="00272557">
                  <w:rPr>
                    <w:noProof/>
                    <w:webHidden/>
                  </w:rPr>
                  <w:instrText xml:space="preserve"> PAGEREF _Toc434938048 \h </w:instrText>
                </w:r>
                <w:r w:rsidR="00272557">
                  <w:rPr>
                    <w:noProof/>
                    <w:webHidden/>
                  </w:rPr>
                </w:r>
                <w:r w:rsidR="00272557">
                  <w:rPr>
                    <w:noProof/>
                    <w:webHidden/>
                  </w:rPr>
                  <w:fldChar w:fldCharType="separate"/>
                </w:r>
                <w:r w:rsidR="00D20042">
                  <w:rPr>
                    <w:noProof/>
                    <w:webHidden/>
                  </w:rPr>
                  <w:t>33</w:t>
                </w:r>
                <w:r w:rsidR="00272557">
                  <w:rPr>
                    <w:noProof/>
                    <w:webHidden/>
                  </w:rPr>
                  <w:fldChar w:fldCharType="end"/>
                </w:r>
              </w:hyperlink>
            </w:p>
            <w:p w:rsidR="00272557" w:rsidRDefault="00156E8B">
              <w:pPr>
                <w:pStyle w:val="TOC3"/>
                <w:tabs>
                  <w:tab w:val="right" w:leader="dot" w:pos="9016"/>
                </w:tabs>
                <w:rPr>
                  <w:rFonts w:asciiTheme="minorHAnsi" w:eastAsiaTheme="minorEastAsia" w:hAnsiTheme="minorHAnsi"/>
                  <w:noProof/>
                  <w:lang w:eastAsia="en-GB"/>
                </w:rPr>
              </w:pPr>
              <w:hyperlink w:anchor="_Toc434938049" w:history="1">
                <w:r w:rsidR="00272557" w:rsidRPr="00D24BE0">
                  <w:rPr>
                    <w:rStyle w:val="Hyperlink"/>
                    <w:noProof/>
                  </w:rPr>
                  <w:t>Dietetics</w:t>
                </w:r>
                <w:r w:rsidR="00272557">
                  <w:rPr>
                    <w:noProof/>
                    <w:webHidden/>
                  </w:rPr>
                  <w:tab/>
                </w:r>
                <w:r w:rsidR="00272557">
                  <w:rPr>
                    <w:noProof/>
                    <w:webHidden/>
                  </w:rPr>
                  <w:fldChar w:fldCharType="begin"/>
                </w:r>
                <w:r w:rsidR="00272557">
                  <w:rPr>
                    <w:noProof/>
                    <w:webHidden/>
                  </w:rPr>
                  <w:instrText xml:space="preserve"> PAGEREF _Toc434938049 \h </w:instrText>
                </w:r>
                <w:r w:rsidR="00272557">
                  <w:rPr>
                    <w:noProof/>
                    <w:webHidden/>
                  </w:rPr>
                </w:r>
                <w:r w:rsidR="00272557">
                  <w:rPr>
                    <w:noProof/>
                    <w:webHidden/>
                  </w:rPr>
                  <w:fldChar w:fldCharType="separate"/>
                </w:r>
                <w:r w:rsidR="00D20042">
                  <w:rPr>
                    <w:noProof/>
                    <w:webHidden/>
                  </w:rPr>
                  <w:t>33</w:t>
                </w:r>
                <w:r w:rsidR="00272557">
                  <w:rPr>
                    <w:noProof/>
                    <w:webHidden/>
                  </w:rPr>
                  <w:fldChar w:fldCharType="end"/>
                </w:r>
              </w:hyperlink>
            </w:p>
            <w:p w:rsidR="00272557" w:rsidRDefault="00156E8B">
              <w:pPr>
                <w:pStyle w:val="TOC1"/>
                <w:tabs>
                  <w:tab w:val="right" w:leader="dot" w:pos="9016"/>
                </w:tabs>
                <w:rPr>
                  <w:rFonts w:asciiTheme="minorHAnsi" w:eastAsiaTheme="minorEastAsia" w:hAnsiTheme="minorHAnsi"/>
                  <w:noProof/>
                  <w:lang w:eastAsia="en-GB"/>
                </w:rPr>
              </w:pPr>
              <w:hyperlink w:anchor="_Toc434938050" w:history="1">
                <w:r w:rsidR="00272557" w:rsidRPr="00D24BE0">
                  <w:rPr>
                    <w:rStyle w:val="Hyperlink"/>
                    <w:noProof/>
                  </w:rPr>
                  <w:t>Medway Council Services Children’s Social Care, including the 0 – 25 Disability Service</w:t>
                </w:r>
                <w:r w:rsidR="00272557">
                  <w:rPr>
                    <w:noProof/>
                    <w:webHidden/>
                  </w:rPr>
                  <w:tab/>
                </w:r>
                <w:r w:rsidR="00272557">
                  <w:rPr>
                    <w:noProof/>
                    <w:webHidden/>
                  </w:rPr>
                  <w:fldChar w:fldCharType="begin"/>
                </w:r>
                <w:r w:rsidR="00272557">
                  <w:rPr>
                    <w:noProof/>
                    <w:webHidden/>
                  </w:rPr>
                  <w:instrText xml:space="preserve"> PAGEREF _Toc434938050 \h </w:instrText>
                </w:r>
                <w:r w:rsidR="00272557">
                  <w:rPr>
                    <w:noProof/>
                    <w:webHidden/>
                  </w:rPr>
                </w:r>
                <w:r w:rsidR="00272557">
                  <w:rPr>
                    <w:noProof/>
                    <w:webHidden/>
                  </w:rPr>
                  <w:fldChar w:fldCharType="separate"/>
                </w:r>
                <w:r w:rsidR="00D20042">
                  <w:rPr>
                    <w:noProof/>
                    <w:webHidden/>
                  </w:rPr>
                  <w:t>33</w:t>
                </w:r>
                <w:r w:rsidR="00272557">
                  <w:rPr>
                    <w:noProof/>
                    <w:webHidden/>
                  </w:rPr>
                  <w:fldChar w:fldCharType="end"/>
                </w:r>
              </w:hyperlink>
            </w:p>
            <w:p w:rsidR="00272557" w:rsidRDefault="00156E8B">
              <w:pPr>
                <w:pStyle w:val="TOC1"/>
                <w:tabs>
                  <w:tab w:val="right" w:leader="dot" w:pos="9016"/>
                </w:tabs>
                <w:rPr>
                  <w:rFonts w:asciiTheme="minorHAnsi" w:eastAsiaTheme="minorEastAsia" w:hAnsiTheme="minorHAnsi"/>
                  <w:noProof/>
                  <w:lang w:eastAsia="en-GB"/>
                </w:rPr>
              </w:pPr>
              <w:hyperlink w:anchor="_Toc434938051" w:history="1">
                <w:r w:rsidR="00272557" w:rsidRPr="00D24BE0">
                  <w:rPr>
                    <w:rStyle w:val="Hyperlink"/>
                    <w:noProof/>
                  </w:rPr>
                  <w:t>NHS At Home: Life limiting/life threatening illness including palliative/end of life care</w:t>
                </w:r>
                <w:r w:rsidR="00272557">
                  <w:rPr>
                    <w:noProof/>
                    <w:webHidden/>
                  </w:rPr>
                  <w:tab/>
                </w:r>
                <w:r w:rsidR="00272557">
                  <w:rPr>
                    <w:noProof/>
                    <w:webHidden/>
                  </w:rPr>
                  <w:fldChar w:fldCharType="begin"/>
                </w:r>
                <w:r w:rsidR="00272557">
                  <w:rPr>
                    <w:noProof/>
                    <w:webHidden/>
                  </w:rPr>
                  <w:instrText xml:space="preserve"> PAGEREF _Toc434938051 \h </w:instrText>
                </w:r>
                <w:r w:rsidR="00272557">
                  <w:rPr>
                    <w:noProof/>
                    <w:webHidden/>
                  </w:rPr>
                </w:r>
                <w:r w:rsidR="00272557">
                  <w:rPr>
                    <w:noProof/>
                    <w:webHidden/>
                  </w:rPr>
                  <w:fldChar w:fldCharType="separate"/>
                </w:r>
                <w:r w:rsidR="00D20042">
                  <w:rPr>
                    <w:noProof/>
                    <w:webHidden/>
                  </w:rPr>
                  <w:t>35</w:t>
                </w:r>
                <w:r w:rsidR="00272557">
                  <w:rPr>
                    <w:noProof/>
                    <w:webHidden/>
                  </w:rPr>
                  <w:fldChar w:fldCharType="end"/>
                </w:r>
              </w:hyperlink>
            </w:p>
            <w:p w:rsidR="00272557" w:rsidRDefault="00156E8B">
              <w:pPr>
                <w:pStyle w:val="TOC2"/>
                <w:tabs>
                  <w:tab w:val="right" w:leader="dot" w:pos="9016"/>
                </w:tabs>
                <w:rPr>
                  <w:rFonts w:asciiTheme="minorHAnsi" w:eastAsiaTheme="minorEastAsia" w:hAnsiTheme="minorHAnsi"/>
                  <w:noProof/>
                  <w:lang w:eastAsia="en-GB"/>
                </w:rPr>
              </w:pPr>
              <w:hyperlink w:anchor="_Toc434938052" w:history="1">
                <w:r w:rsidR="00272557" w:rsidRPr="00D24BE0">
                  <w:rPr>
                    <w:rStyle w:val="Hyperlink"/>
                    <w:noProof/>
                  </w:rPr>
                  <w:t>Cystic Fibrosis</w:t>
                </w:r>
                <w:r w:rsidR="00272557">
                  <w:rPr>
                    <w:noProof/>
                    <w:webHidden/>
                  </w:rPr>
                  <w:tab/>
                </w:r>
                <w:r w:rsidR="00272557">
                  <w:rPr>
                    <w:noProof/>
                    <w:webHidden/>
                  </w:rPr>
                  <w:fldChar w:fldCharType="begin"/>
                </w:r>
                <w:r w:rsidR="00272557">
                  <w:rPr>
                    <w:noProof/>
                    <w:webHidden/>
                  </w:rPr>
                  <w:instrText xml:space="preserve"> PAGEREF _Toc434938052 \h </w:instrText>
                </w:r>
                <w:r w:rsidR="00272557">
                  <w:rPr>
                    <w:noProof/>
                    <w:webHidden/>
                  </w:rPr>
                </w:r>
                <w:r w:rsidR="00272557">
                  <w:rPr>
                    <w:noProof/>
                    <w:webHidden/>
                  </w:rPr>
                  <w:fldChar w:fldCharType="separate"/>
                </w:r>
                <w:r w:rsidR="00D20042">
                  <w:rPr>
                    <w:noProof/>
                    <w:webHidden/>
                  </w:rPr>
                  <w:t>36</w:t>
                </w:r>
                <w:r w:rsidR="00272557">
                  <w:rPr>
                    <w:noProof/>
                    <w:webHidden/>
                  </w:rPr>
                  <w:fldChar w:fldCharType="end"/>
                </w:r>
              </w:hyperlink>
            </w:p>
            <w:p w:rsidR="00272557" w:rsidRDefault="00156E8B">
              <w:pPr>
                <w:pStyle w:val="TOC2"/>
                <w:tabs>
                  <w:tab w:val="right" w:leader="dot" w:pos="9016"/>
                </w:tabs>
                <w:rPr>
                  <w:rFonts w:asciiTheme="minorHAnsi" w:eastAsiaTheme="minorEastAsia" w:hAnsiTheme="minorHAnsi"/>
                  <w:noProof/>
                  <w:lang w:eastAsia="en-GB"/>
                </w:rPr>
              </w:pPr>
              <w:hyperlink w:anchor="_Toc434938053" w:history="1">
                <w:r w:rsidR="00272557" w:rsidRPr="00D24BE0">
                  <w:rPr>
                    <w:rStyle w:val="Hyperlink"/>
                    <w:noProof/>
                  </w:rPr>
                  <w:t>Cancer</w:t>
                </w:r>
                <w:r w:rsidR="00272557">
                  <w:rPr>
                    <w:noProof/>
                    <w:webHidden/>
                  </w:rPr>
                  <w:tab/>
                </w:r>
                <w:r w:rsidR="00272557">
                  <w:rPr>
                    <w:noProof/>
                    <w:webHidden/>
                  </w:rPr>
                  <w:fldChar w:fldCharType="begin"/>
                </w:r>
                <w:r w:rsidR="00272557">
                  <w:rPr>
                    <w:noProof/>
                    <w:webHidden/>
                  </w:rPr>
                  <w:instrText xml:space="preserve"> PAGEREF _Toc434938053 \h </w:instrText>
                </w:r>
                <w:r w:rsidR="00272557">
                  <w:rPr>
                    <w:noProof/>
                    <w:webHidden/>
                  </w:rPr>
                </w:r>
                <w:r w:rsidR="00272557">
                  <w:rPr>
                    <w:noProof/>
                    <w:webHidden/>
                  </w:rPr>
                  <w:fldChar w:fldCharType="separate"/>
                </w:r>
                <w:r w:rsidR="00D20042">
                  <w:rPr>
                    <w:noProof/>
                    <w:webHidden/>
                  </w:rPr>
                  <w:t>36</w:t>
                </w:r>
                <w:r w:rsidR="00272557">
                  <w:rPr>
                    <w:noProof/>
                    <w:webHidden/>
                  </w:rPr>
                  <w:fldChar w:fldCharType="end"/>
                </w:r>
              </w:hyperlink>
            </w:p>
            <w:p w:rsidR="00272557" w:rsidRDefault="00156E8B">
              <w:pPr>
                <w:pStyle w:val="TOC2"/>
                <w:tabs>
                  <w:tab w:val="right" w:leader="dot" w:pos="9016"/>
                </w:tabs>
                <w:rPr>
                  <w:rFonts w:asciiTheme="minorHAnsi" w:eastAsiaTheme="minorEastAsia" w:hAnsiTheme="minorHAnsi"/>
                  <w:noProof/>
                  <w:lang w:eastAsia="en-GB"/>
                </w:rPr>
              </w:pPr>
              <w:hyperlink w:anchor="_Toc434938054" w:history="1">
                <w:r w:rsidR="00272557" w:rsidRPr="00D24BE0">
                  <w:rPr>
                    <w:rStyle w:val="Hyperlink"/>
                    <w:noProof/>
                  </w:rPr>
                  <w:t>Continuing Care</w:t>
                </w:r>
                <w:r w:rsidR="00272557">
                  <w:rPr>
                    <w:noProof/>
                    <w:webHidden/>
                  </w:rPr>
                  <w:tab/>
                </w:r>
                <w:r w:rsidR="00272557">
                  <w:rPr>
                    <w:noProof/>
                    <w:webHidden/>
                  </w:rPr>
                  <w:fldChar w:fldCharType="begin"/>
                </w:r>
                <w:r w:rsidR="00272557">
                  <w:rPr>
                    <w:noProof/>
                    <w:webHidden/>
                  </w:rPr>
                  <w:instrText xml:space="preserve"> PAGEREF _Toc434938054 \h </w:instrText>
                </w:r>
                <w:r w:rsidR="00272557">
                  <w:rPr>
                    <w:noProof/>
                    <w:webHidden/>
                  </w:rPr>
                </w:r>
                <w:r w:rsidR="00272557">
                  <w:rPr>
                    <w:noProof/>
                    <w:webHidden/>
                  </w:rPr>
                  <w:fldChar w:fldCharType="separate"/>
                </w:r>
                <w:r w:rsidR="00D20042">
                  <w:rPr>
                    <w:noProof/>
                    <w:webHidden/>
                  </w:rPr>
                  <w:t>37</w:t>
                </w:r>
                <w:r w:rsidR="00272557">
                  <w:rPr>
                    <w:noProof/>
                    <w:webHidden/>
                  </w:rPr>
                  <w:fldChar w:fldCharType="end"/>
                </w:r>
              </w:hyperlink>
            </w:p>
            <w:p w:rsidR="00272557" w:rsidRDefault="00156E8B">
              <w:pPr>
                <w:pStyle w:val="TOC3"/>
                <w:tabs>
                  <w:tab w:val="right" w:leader="dot" w:pos="9016"/>
                </w:tabs>
                <w:rPr>
                  <w:rFonts w:asciiTheme="minorHAnsi" w:eastAsiaTheme="minorEastAsia" w:hAnsiTheme="minorHAnsi"/>
                  <w:noProof/>
                  <w:lang w:eastAsia="en-GB"/>
                </w:rPr>
              </w:pPr>
              <w:hyperlink w:anchor="_Toc434938055" w:history="1">
                <w:r w:rsidR="00272557" w:rsidRPr="00D24BE0">
                  <w:rPr>
                    <w:rStyle w:val="Hyperlink"/>
                    <w:noProof/>
                  </w:rPr>
                  <w:t>Children and young people who are in residential placements and in receipt of tri-partite funding</w:t>
                </w:r>
                <w:r w:rsidR="00272557">
                  <w:rPr>
                    <w:noProof/>
                    <w:webHidden/>
                  </w:rPr>
                  <w:tab/>
                </w:r>
                <w:r w:rsidR="00272557">
                  <w:rPr>
                    <w:noProof/>
                    <w:webHidden/>
                  </w:rPr>
                  <w:fldChar w:fldCharType="begin"/>
                </w:r>
                <w:r w:rsidR="00272557">
                  <w:rPr>
                    <w:noProof/>
                    <w:webHidden/>
                  </w:rPr>
                  <w:instrText xml:space="preserve"> PAGEREF _Toc434938055 \h </w:instrText>
                </w:r>
                <w:r w:rsidR="00272557">
                  <w:rPr>
                    <w:noProof/>
                    <w:webHidden/>
                  </w:rPr>
                </w:r>
                <w:r w:rsidR="00272557">
                  <w:rPr>
                    <w:noProof/>
                    <w:webHidden/>
                  </w:rPr>
                  <w:fldChar w:fldCharType="separate"/>
                </w:r>
                <w:r w:rsidR="00D20042">
                  <w:rPr>
                    <w:noProof/>
                    <w:webHidden/>
                  </w:rPr>
                  <w:t>37</w:t>
                </w:r>
                <w:r w:rsidR="00272557">
                  <w:rPr>
                    <w:noProof/>
                    <w:webHidden/>
                  </w:rPr>
                  <w:fldChar w:fldCharType="end"/>
                </w:r>
              </w:hyperlink>
            </w:p>
            <w:p w:rsidR="00272557" w:rsidRDefault="00156E8B">
              <w:pPr>
                <w:pStyle w:val="TOC2"/>
                <w:tabs>
                  <w:tab w:val="right" w:leader="dot" w:pos="9016"/>
                </w:tabs>
                <w:rPr>
                  <w:rFonts w:asciiTheme="minorHAnsi" w:eastAsiaTheme="minorEastAsia" w:hAnsiTheme="minorHAnsi"/>
                  <w:noProof/>
                  <w:lang w:eastAsia="en-GB"/>
                </w:rPr>
              </w:pPr>
              <w:hyperlink w:anchor="_Toc434938056" w:history="1">
                <w:r w:rsidR="00272557" w:rsidRPr="00D24BE0">
                  <w:rPr>
                    <w:rStyle w:val="Hyperlink"/>
                    <w:noProof/>
                  </w:rPr>
                  <w:t>Impact of disability and illness</w:t>
                </w:r>
                <w:r w:rsidR="00272557">
                  <w:rPr>
                    <w:noProof/>
                    <w:webHidden/>
                  </w:rPr>
                  <w:tab/>
                </w:r>
                <w:r w:rsidR="00272557">
                  <w:rPr>
                    <w:noProof/>
                    <w:webHidden/>
                  </w:rPr>
                  <w:fldChar w:fldCharType="begin"/>
                </w:r>
                <w:r w:rsidR="00272557">
                  <w:rPr>
                    <w:noProof/>
                    <w:webHidden/>
                  </w:rPr>
                  <w:instrText xml:space="preserve"> PAGEREF _Toc434938056 \h </w:instrText>
                </w:r>
                <w:r w:rsidR="00272557">
                  <w:rPr>
                    <w:noProof/>
                    <w:webHidden/>
                  </w:rPr>
                </w:r>
                <w:r w:rsidR="00272557">
                  <w:rPr>
                    <w:noProof/>
                    <w:webHidden/>
                  </w:rPr>
                  <w:fldChar w:fldCharType="separate"/>
                </w:r>
                <w:r w:rsidR="00D20042">
                  <w:rPr>
                    <w:noProof/>
                    <w:webHidden/>
                  </w:rPr>
                  <w:t>37</w:t>
                </w:r>
                <w:r w:rsidR="00272557">
                  <w:rPr>
                    <w:noProof/>
                    <w:webHidden/>
                  </w:rPr>
                  <w:fldChar w:fldCharType="end"/>
                </w:r>
              </w:hyperlink>
            </w:p>
            <w:p w:rsidR="00272557" w:rsidRDefault="00156E8B">
              <w:pPr>
                <w:pStyle w:val="TOC1"/>
                <w:tabs>
                  <w:tab w:val="right" w:leader="dot" w:pos="9016"/>
                </w:tabs>
                <w:rPr>
                  <w:rFonts w:asciiTheme="minorHAnsi" w:eastAsiaTheme="minorEastAsia" w:hAnsiTheme="minorHAnsi"/>
                  <w:noProof/>
                  <w:lang w:eastAsia="en-GB"/>
                </w:rPr>
              </w:pPr>
              <w:hyperlink w:anchor="_Toc434938057" w:history="1">
                <w:r w:rsidR="00272557" w:rsidRPr="00D24BE0">
                  <w:rPr>
                    <w:rStyle w:val="Hyperlink"/>
                    <w:noProof/>
                  </w:rPr>
                  <w:t>Trends</w:t>
                </w:r>
                <w:r w:rsidR="00272557">
                  <w:rPr>
                    <w:noProof/>
                    <w:webHidden/>
                  </w:rPr>
                  <w:tab/>
                </w:r>
                <w:r w:rsidR="00272557">
                  <w:rPr>
                    <w:noProof/>
                    <w:webHidden/>
                  </w:rPr>
                  <w:fldChar w:fldCharType="begin"/>
                </w:r>
                <w:r w:rsidR="00272557">
                  <w:rPr>
                    <w:noProof/>
                    <w:webHidden/>
                  </w:rPr>
                  <w:instrText xml:space="preserve"> PAGEREF _Toc434938057 \h </w:instrText>
                </w:r>
                <w:r w:rsidR="00272557">
                  <w:rPr>
                    <w:noProof/>
                    <w:webHidden/>
                  </w:rPr>
                </w:r>
                <w:r w:rsidR="00272557">
                  <w:rPr>
                    <w:noProof/>
                    <w:webHidden/>
                  </w:rPr>
                  <w:fldChar w:fldCharType="separate"/>
                </w:r>
                <w:r w:rsidR="00D20042">
                  <w:rPr>
                    <w:noProof/>
                    <w:webHidden/>
                  </w:rPr>
                  <w:t>39</w:t>
                </w:r>
                <w:r w:rsidR="00272557">
                  <w:rPr>
                    <w:noProof/>
                    <w:webHidden/>
                  </w:rPr>
                  <w:fldChar w:fldCharType="end"/>
                </w:r>
              </w:hyperlink>
            </w:p>
            <w:p w:rsidR="00272557" w:rsidRDefault="00156E8B">
              <w:pPr>
                <w:pStyle w:val="TOC1"/>
                <w:tabs>
                  <w:tab w:val="right" w:leader="dot" w:pos="9016"/>
                </w:tabs>
                <w:rPr>
                  <w:rFonts w:asciiTheme="minorHAnsi" w:eastAsiaTheme="minorEastAsia" w:hAnsiTheme="minorHAnsi"/>
                  <w:noProof/>
                  <w:lang w:eastAsia="en-GB"/>
                </w:rPr>
              </w:pPr>
              <w:hyperlink w:anchor="_Toc434938058" w:history="1">
                <w:r w:rsidR="00272557" w:rsidRPr="00D24BE0">
                  <w:rPr>
                    <w:rStyle w:val="Hyperlink"/>
                    <w:noProof/>
                  </w:rPr>
                  <w:t>Appendix 1: Statistical Neighbours</w:t>
                </w:r>
                <w:r w:rsidR="00272557">
                  <w:rPr>
                    <w:noProof/>
                    <w:webHidden/>
                  </w:rPr>
                  <w:tab/>
                </w:r>
                <w:r w:rsidR="00272557">
                  <w:rPr>
                    <w:noProof/>
                    <w:webHidden/>
                  </w:rPr>
                  <w:fldChar w:fldCharType="begin"/>
                </w:r>
                <w:r w:rsidR="00272557">
                  <w:rPr>
                    <w:noProof/>
                    <w:webHidden/>
                  </w:rPr>
                  <w:instrText xml:space="preserve"> PAGEREF _Toc434938058 \h </w:instrText>
                </w:r>
                <w:r w:rsidR="00272557">
                  <w:rPr>
                    <w:noProof/>
                    <w:webHidden/>
                  </w:rPr>
                </w:r>
                <w:r w:rsidR="00272557">
                  <w:rPr>
                    <w:noProof/>
                    <w:webHidden/>
                  </w:rPr>
                  <w:fldChar w:fldCharType="separate"/>
                </w:r>
                <w:r w:rsidR="00D20042">
                  <w:rPr>
                    <w:noProof/>
                    <w:webHidden/>
                  </w:rPr>
                  <w:t>41</w:t>
                </w:r>
                <w:r w:rsidR="00272557">
                  <w:rPr>
                    <w:noProof/>
                    <w:webHidden/>
                  </w:rPr>
                  <w:fldChar w:fldCharType="end"/>
                </w:r>
              </w:hyperlink>
            </w:p>
            <w:p w:rsidR="00272557" w:rsidRDefault="00156E8B">
              <w:pPr>
                <w:pStyle w:val="TOC1"/>
                <w:tabs>
                  <w:tab w:val="right" w:leader="dot" w:pos="9016"/>
                </w:tabs>
                <w:rPr>
                  <w:rFonts w:asciiTheme="minorHAnsi" w:eastAsiaTheme="minorEastAsia" w:hAnsiTheme="minorHAnsi"/>
                  <w:noProof/>
                  <w:lang w:eastAsia="en-GB"/>
                </w:rPr>
              </w:pPr>
              <w:hyperlink w:anchor="_Toc434938059" w:history="1">
                <w:r w:rsidR="00272557" w:rsidRPr="00D24BE0">
                  <w:rPr>
                    <w:rStyle w:val="Hyperlink"/>
                    <w:noProof/>
                  </w:rPr>
                  <w:t>Appendix 2: Glossary</w:t>
                </w:r>
                <w:r w:rsidR="00272557">
                  <w:rPr>
                    <w:noProof/>
                    <w:webHidden/>
                  </w:rPr>
                  <w:tab/>
                </w:r>
                <w:r w:rsidR="00272557">
                  <w:rPr>
                    <w:noProof/>
                    <w:webHidden/>
                  </w:rPr>
                  <w:fldChar w:fldCharType="begin"/>
                </w:r>
                <w:r w:rsidR="00272557">
                  <w:rPr>
                    <w:noProof/>
                    <w:webHidden/>
                  </w:rPr>
                  <w:instrText xml:space="preserve"> PAGEREF _Toc434938059 \h </w:instrText>
                </w:r>
                <w:r w:rsidR="00272557">
                  <w:rPr>
                    <w:noProof/>
                    <w:webHidden/>
                  </w:rPr>
                </w:r>
                <w:r w:rsidR="00272557">
                  <w:rPr>
                    <w:noProof/>
                    <w:webHidden/>
                  </w:rPr>
                  <w:fldChar w:fldCharType="separate"/>
                </w:r>
                <w:r w:rsidR="00D20042">
                  <w:rPr>
                    <w:noProof/>
                    <w:webHidden/>
                  </w:rPr>
                  <w:t>42</w:t>
                </w:r>
                <w:r w:rsidR="00272557">
                  <w:rPr>
                    <w:noProof/>
                    <w:webHidden/>
                  </w:rPr>
                  <w:fldChar w:fldCharType="end"/>
                </w:r>
              </w:hyperlink>
            </w:p>
            <w:p w:rsidR="00272557" w:rsidRDefault="00156E8B">
              <w:pPr>
                <w:pStyle w:val="TOC1"/>
                <w:tabs>
                  <w:tab w:val="right" w:leader="dot" w:pos="9016"/>
                </w:tabs>
                <w:rPr>
                  <w:rFonts w:asciiTheme="minorHAnsi" w:eastAsiaTheme="minorEastAsia" w:hAnsiTheme="minorHAnsi"/>
                  <w:noProof/>
                  <w:lang w:eastAsia="en-GB"/>
                </w:rPr>
              </w:pPr>
              <w:hyperlink w:anchor="_Toc434938060" w:history="1">
                <w:r w:rsidR="00272557" w:rsidRPr="00D24BE0">
                  <w:rPr>
                    <w:rStyle w:val="Hyperlink"/>
                    <w:noProof/>
                  </w:rPr>
                  <w:t>Appendix 3: Data Sources</w:t>
                </w:r>
                <w:r w:rsidR="00272557">
                  <w:rPr>
                    <w:noProof/>
                    <w:webHidden/>
                  </w:rPr>
                  <w:tab/>
                </w:r>
                <w:r w:rsidR="00272557">
                  <w:rPr>
                    <w:noProof/>
                    <w:webHidden/>
                  </w:rPr>
                  <w:fldChar w:fldCharType="begin"/>
                </w:r>
                <w:r w:rsidR="00272557">
                  <w:rPr>
                    <w:noProof/>
                    <w:webHidden/>
                  </w:rPr>
                  <w:instrText xml:space="preserve"> PAGEREF _Toc434938060 \h </w:instrText>
                </w:r>
                <w:r w:rsidR="00272557">
                  <w:rPr>
                    <w:noProof/>
                    <w:webHidden/>
                  </w:rPr>
                </w:r>
                <w:r w:rsidR="00272557">
                  <w:rPr>
                    <w:noProof/>
                    <w:webHidden/>
                  </w:rPr>
                  <w:fldChar w:fldCharType="separate"/>
                </w:r>
                <w:r w:rsidR="00D20042">
                  <w:rPr>
                    <w:noProof/>
                    <w:webHidden/>
                  </w:rPr>
                  <w:t>49</w:t>
                </w:r>
                <w:r w:rsidR="00272557">
                  <w:rPr>
                    <w:noProof/>
                    <w:webHidden/>
                  </w:rPr>
                  <w:fldChar w:fldCharType="end"/>
                </w:r>
              </w:hyperlink>
            </w:p>
            <w:p w:rsidR="00272557" w:rsidRDefault="00156E8B">
              <w:pPr>
                <w:pStyle w:val="TOC1"/>
                <w:tabs>
                  <w:tab w:val="right" w:leader="dot" w:pos="9016"/>
                </w:tabs>
                <w:rPr>
                  <w:rFonts w:asciiTheme="minorHAnsi" w:eastAsiaTheme="minorEastAsia" w:hAnsiTheme="minorHAnsi"/>
                  <w:noProof/>
                  <w:lang w:eastAsia="en-GB"/>
                </w:rPr>
              </w:pPr>
              <w:hyperlink w:anchor="_Toc434938061" w:history="1">
                <w:r w:rsidR="00272557" w:rsidRPr="00D24BE0">
                  <w:rPr>
                    <w:rStyle w:val="Hyperlink"/>
                    <w:noProof/>
                  </w:rPr>
                  <w:t>Appendix 4: Services in Medway for children and young people with long term conditions/complex health needs</w:t>
                </w:r>
                <w:r w:rsidR="00272557">
                  <w:rPr>
                    <w:noProof/>
                    <w:webHidden/>
                  </w:rPr>
                  <w:tab/>
                </w:r>
                <w:r w:rsidR="00272557">
                  <w:rPr>
                    <w:noProof/>
                    <w:webHidden/>
                  </w:rPr>
                  <w:fldChar w:fldCharType="begin"/>
                </w:r>
                <w:r w:rsidR="00272557">
                  <w:rPr>
                    <w:noProof/>
                    <w:webHidden/>
                  </w:rPr>
                  <w:instrText xml:space="preserve"> PAGEREF _Toc434938061 \h </w:instrText>
                </w:r>
                <w:r w:rsidR="00272557">
                  <w:rPr>
                    <w:noProof/>
                    <w:webHidden/>
                  </w:rPr>
                </w:r>
                <w:r w:rsidR="00272557">
                  <w:rPr>
                    <w:noProof/>
                    <w:webHidden/>
                  </w:rPr>
                  <w:fldChar w:fldCharType="separate"/>
                </w:r>
                <w:r w:rsidR="00D20042">
                  <w:rPr>
                    <w:noProof/>
                    <w:webHidden/>
                  </w:rPr>
                  <w:t>51</w:t>
                </w:r>
                <w:r w:rsidR="00272557">
                  <w:rPr>
                    <w:noProof/>
                    <w:webHidden/>
                  </w:rPr>
                  <w:fldChar w:fldCharType="end"/>
                </w:r>
              </w:hyperlink>
            </w:p>
            <w:p w:rsidR="003811DB" w:rsidRDefault="003811DB">
              <w:r>
                <w:rPr>
                  <w:b/>
                  <w:bCs/>
                  <w:noProof/>
                </w:rPr>
                <w:fldChar w:fldCharType="end"/>
              </w:r>
            </w:p>
          </w:sdtContent>
        </w:sdt>
        <w:p w:rsidR="00C87B98" w:rsidRPr="003D0ED6" w:rsidRDefault="00510DA1" w:rsidP="003D0ED6">
          <w:pPr>
            <w:rPr>
              <w:rFonts w:cs="HelveticaNeueLT Std Lt"/>
              <w:color w:val="000000"/>
              <w:sz w:val="24"/>
              <w:szCs w:val="24"/>
            </w:rPr>
          </w:pPr>
          <w:r>
            <w:rPr>
              <w:rFonts w:cs="HelveticaNeueLT Std Lt"/>
              <w:color w:val="000000"/>
              <w:sz w:val="24"/>
              <w:szCs w:val="24"/>
            </w:rPr>
            <w:br w:type="page"/>
          </w:r>
        </w:p>
      </w:sdtContent>
    </w:sdt>
    <w:p w:rsidR="00C87B98" w:rsidRDefault="00C87B98" w:rsidP="00A2065F">
      <w:pPr>
        <w:pStyle w:val="Heading1"/>
        <w:numPr>
          <w:ilvl w:val="0"/>
          <w:numId w:val="47"/>
        </w:numPr>
      </w:pPr>
      <w:bookmarkStart w:id="1" w:name="_Toc434938012"/>
      <w:r>
        <w:lastRenderedPageBreak/>
        <w:t>Introduction</w:t>
      </w:r>
      <w:bookmarkEnd w:id="1"/>
    </w:p>
    <w:p w:rsidR="002C44FA" w:rsidRDefault="002C44FA" w:rsidP="00C87B98">
      <w:r>
        <w:t>The intention of this needs a</w:t>
      </w:r>
      <w:r w:rsidR="00F2096C">
        <w:t>nalysis is to inform the review</w:t>
      </w:r>
      <w:r>
        <w:t xml:space="preserve"> of </w:t>
      </w:r>
      <w:r w:rsidR="00F2096C">
        <w:t xml:space="preserve">Medway Foundation Trust </w:t>
      </w:r>
      <w:r w:rsidR="00582E06">
        <w:t xml:space="preserve">(MFT) </w:t>
      </w:r>
      <w:r>
        <w:t>children’</w:t>
      </w:r>
      <w:r w:rsidR="00F2096C">
        <w:t xml:space="preserve">s services </w:t>
      </w:r>
      <w:r w:rsidR="00B10FAC">
        <w:t xml:space="preserve">and MCH children’s therapy services </w:t>
      </w:r>
      <w:r w:rsidR="00F2096C">
        <w:t xml:space="preserve">undertaken by Partnership Commissioning </w:t>
      </w:r>
      <w:r w:rsidR="00B10FAC">
        <w:t xml:space="preserve">between </w:t>
      </w:r>
      <w:r w:rsidR="00D32B30">
        <w:t xml:space="preserve">July – </w:t>
      </w:r>
      <w:r w:rsidR="00C77FE0">
        <w:t xml:space="preserve">November  </w:t>
      </w:r>
      <w:r w:rsidR="00F2096C">
        <w:t>2015.</w:t>
      </w:r>
    </w:p>
    <w:p w:rsidR="002D4080" w:rsidRDefault="002D4080" w:rsidP="00C87B98"/>
    <w:p w:rsidR="002D4080" w:rsidRDefault="002D4080" w:rsidP="002D4080">
      <w:r>
        <w:t>“Health services for children and young people with SEN or disabilities provide early identification, assessment and diagnosis, intervention and review for children and young people with long-term conditions and disabilities, for example chronic fatigue syndrome, anxiety disorders or life-threatening conditions such as inoperable heart disease…</w:t>
      </w:r>
    </w:p>
    <w:p w:rsidR="002D4080" w:rsidRDefault="002D4080" w:rsidP="00C87B98">
      <w:r>
        <w:t xml:space="preserve">The multi-disciplinary child health team, including paediatricians, therapists, clinical psychologists, dieticians and specialist nurses .. provide intervention and review for children and young people with SEN and disabilities and should contribute to supporting key transition points, including to adulthood. They aim to provide optimum health care for the children, addressing the impact of their conditions, managing consequences for the families and preventing further complications.  Health professionals advise education services on managing health conditions such as </w:t>
      </w:r>
      <w:hyperlink w:anchor="epilepsy" w:history="1">
        <w:r w:rsidRPr="00D443B0">
          <w:rPr>
            <w:rStyle w:val="Hyperlink"/>
          </w:rPr>
          <w:t>epilepsy</w:t>
        </w:r>
      </w:hyperlink>
      <w:r>
        <w:t xml:space="preserve"> and </w:t>
      </w:r>
      <w:hyperlink w:anchor="diabetes" w:history="1">
        <w:r w:rsidRPr="00D443B0">
          <w:rPr>
            <w:rStyle w:val="Hyperlink"/>
          </w:rPr>
          <w:t>diabetes</w:t>
        </w:r>
      </w:hyperlink>
      <w:r>
        <w:t xml:space="preserve">, and health technologies such as </w:t>
      </w:r>
      <w:hyperlink w:anchor="peg" w:history="1">
        <w:r w:rsidRPr="00D443B0">
          <w:rPr>
            <w:rStyle w:val="Hyperlink"/>
          </w:rPr>
          <w:t>tube feeding</w:t>
        </w:r>
      </w:hyperlink>
      <w:r>
        <w:t xml:space="preserve">, </w:t>
      </w:r>
      <w:hyperlink w:anchor="tracheostomy" w:history="1">
        <w:r w:rsidRPr="009B2651">
          <w:rPr>
            <w:rStyle w:val="Hyperlink"/>
          </w:rPr>
          <w:t>tracheostomy</w:t>
        </w:r>
      </w:hyperlink>
      <w:r>
        <w:t xml:space="preserve"> care and ventilation in schools. They are able to provide an ongoing overview of health and wellbeing. They seek advice from paediatric specialists when necessary and facilitate training for education staff”.</w:t>
      </w:r>
      <w:r>
        <w:rPr>
          <w:rStyle w:val="FootnoteReference"/>
        </w:rPr>
        <w:footnoteReference w:id="1"/>
      </w:r>
    </w:p>
    <w:p w:rsidR="002C565C" w:rsidRDefault="002C565C" w:rsidP="002C670E"/>
    <w:p w:rsidR="002C670E" w:rsidRDefault="002C565C" w:rsidP="002C670E">
      <w:pPr>
        <w:rPr>
          <w:rFonts w:cs="Arial"/>
        </w:rPr>
      </w:pPr>
      <w:r>
        <w:t>The analysis</w:t>
      </w:r>
      <w:r w:rsidR="00B951DB">
        <w:t xml:space="preserve"> compares Medway statistics and projections against national, regional and statistical neighbour </w:t>
      </w:r>
      <w:r w:rsidR="00C35D56">
        <w:t>data</w:t>
      </w:r>
      <w:r w:rsidR="002C670E">
        <w:t xml:space="preserve"> in terms of general prevalence and also against</w:t>
      </w:r>
      <w:r w:rsidR="00C35D56">
        <w:t xml:space="preserve"> the</w:t>
      </w:r>
      <w:r w:rsidR="002C670E" w:rsidRPr="009725FB">
        <w:rPr>
          <w:rFonts w:cs="Arial"/>
        </w:rPr>
        <w:t xml:space="preserve"> </w:t>
      </w:r>
      <w:r w:rsidR="00D32B30">
        <w:rPr>
          <w:rFonts w:cs="Arial"/>
        </w:rPr>
        <w:t>four categories of the</w:t>
      </w:r>
      <w:r w:rsidR="002C670E">
        <w:rPr>
          <w:rFonts w:cs="Arial"/>
        </w:rPr>
        <w:t xml:space="preserve"> ‘NHS at Home’ model</w:t>
      </w:r>
      <w:r w:rsidR="00D32B30">
        <w:rPr>
          <w:rStyle w:val="FootnoteReference"/>
          <w:rFonts w:cs="Arial"/>
        </w:rPr>
        <w:footnoteReference w:id="2"/>
      </w:r>
      <w:r w:rsidR="002C670E">
        <w:rPr>
          <w:rFonts w:cs="Arial"/>
        </w:rPr>
        <w:t>:</w:t>
      </w:r>
    </w:p>
    <w:p w:rsidR="00B951DB" w:rsidRDefault="00B951DB" w:rsidP="00C87B98"/>
    <w:p w:rsidR="00C35D56" w:rsidRPr="00D32B30" w:rsidRDefault="00C35D56" w:rsidP="00D32B30">
      <w:pPr>
        <w:pStyle w:val="ListParagraph"/>
        <w:numPr>
          <w:ilvl w:val="0"/>
          <w:numId w:val="23"/>
        </w:numPr>
        <w:rPr>
          <w:rFonts w:ascii="Arial" w:hAnsi="Arial" w:cs="Arial"/>
          <w:sz w:val="22"/>
          <w:szCs w:val="22"/>
        </w:rPr>
      </w:pPr>
      <w:r w:rsidRPr="00D32B30">
        <w:rPr>
          <w:rFonts w:ascii="Arial" w:hAnsi="Arial" w:cs="Arial"/>
          <w:sz w:val="22"/>
          <w:szCs w:val="22"/>
        </w:rPr>
        <w:t>Acute and short term conditions</w:t>
      </w:r>
    </w:p>
    <w:p w:rsidR="00C35D56" w:rsidRPr="00D32B30" w:rsidRDefault="00156E8B" w:rsidP="00D32B30">
      <w:pPr>
        <w:pStyle w:val="ListParagraph"/>
        <w:numPr>
          <w:ilvl w:val="0"/>
          <w:numId w:val="23"/>
        </w:numPr>
        <w:rPr>
          <w:rFonts w:ascii="Arial" w:hAnsi="Arial" w:cs="Arial"/>
          <w:sz w:val="22"/>
          <w:szCs w:val="22"/>
        </w:rPr>
      </w:pPr>
      <w:hyperlink w:anchor="longterm" w:history="1">
        <w:r w:rsidR="00C35D56" w:rsidRPr="009231D8">
          <w:rPr>
            <w:rStyle w:val="Hyperlink"/>
            <w:rFonts w:ascii="Arial" w:hAnsi="Arial" w:cs="Arial"/>
            <w:sz w:val="22"/>
            <w:szCs w:val="22"/>
          </w:rPr>
          <w:t>Long term conditions</w:t>
        </w:r>
      </w:hyperlink>
      <w:r w:rsidR="00C35D56" w:rsidRPr="00D32B30">
        <w:rPr>
          <w:rFonts w:ascii="Arial" w:hAnsi="Arial" w:cs="Arial"/>
          <w:sz w:val="22"/>
          <w:szCs w:val="22"/>
        </w:rPr>
        <w:t xml:space="preserve"> such as asthma and epilepsy</w:t>
      </w:r>
    </w:p>
    <w:p w:rsidR="00C35D56" w:rsidRPr="00D32B30" w:rsidRDefault="00C35D56" w:rsidP="00D32B30">
      <w:pPr>
        <w:pStyle w:val="ListParagraph"/>
        <w:numPr>
          <w:ilvl w:val="0"/>
          <w:numId w:val="23"/>
        </w:numPr>
        <w:rPr>
          <w:rFonts w:ascii="Arial" w:hAnsi="Arial" w:cs="Arial"/>
          <w:sz w:val="22"/>
          <w:szCs w:val="22"/>
        </w:rPr>
      </w:pPr>
      <w:r w:rsidRPr="00D32B30">
        <w:rPr>
          <w:rFonts w:ascii="Arial" w:hAnsi="Arial" w:cs="Arial"/>
          <w:sz w:val="22"/>
          <w:szCs w:val="22"/>
        </w:rPr>
        <w:t xml:space="preserve">Disabilities and complex health needs, including learning disability and </w:t>
      </w:r>
      <w:hyperlink w:anchor="autism" w:history="1">
        <w:r w:rsidRPr="00D443B0">
          <w:rPr>
            <w:rStyle w:val="Hyperlink"/>
            <w:rFonts w:ascii="Arial" w:hAnsi="Arial" w:cs="Arial"/>
            <w:sz w:val="22"/>
            <w:szCs w:val="22"/>
          </w:rPr>
          <w:t>Autism</w:t>
        </w:r>
      </w:hyperlink>
    </w:p>
    <w:p w:rsidR="00C35D56" w:rsidRDefault="00156E8B" w:rsidP="00D32B30">
      <w:pPr>
        <w:pStyle w:val="ListParagraph"/>
        <w:numPr>
          <w:ilvl w:val="0"/>
          <w:numId w:val="23"/>
        </w:numPr>
        <w:rPr>
          <w:rFonts w:ascii="Arial" w:hAnsi="Arial" w:cs="Arial"/>
          <w:sz w:val="22"/>
          <w:szCs w:val="22"/>
        </w:rPr>
      </w:pPr>
      <w:hyperlink w:anchor="limiting" w:history="1">
        <w:r w:rsidR="00C35D56" w:rsidRPr="009231D8">
          <w:rPr>
            <w:rStyle w:val="Hyperlink"/>
            <w:rFonts w:ascii="Arial" w:hAnsi="Arial" w:cs="Arial"/>
            <w:sz w:val="22"/>
            <w:szCs w:val="22"/>
          </w:rPr>
          <w:t>Life limiting</w:t>
        </w:r>
      </w:hyperlink>
      <w:r w:rsidR="00C35D56" w:rsidRPr="00D32B30">
        <w:rPr>
          <w:rFonts w:ascii="Arial" w:hAnsi="Arial" w:cs="Arial"/>
          <w:sz w:val="22"/>
          <w:szCs w:val="22"/>
        </w:rPr>
        <w:t xml:space="preserve"> and </w:t>
      </w:r>
      <w:hyperlink w:anchor="threat" w:history="1">
        <w:r w:rsidR="00C35D56" w:rsidRPr="009231D8">
          <w:rPr>
            <w:rStyle w:val="Hyperlink"/>
            <w:rFonts w:ascii="Arial" w:hAnsi="Arial" w:cs="Arial"/>
            <w:sz w:val="22"/>
            <w:szCs w:val="22"/>
          </w:rPr>
          <w:t xml:space="preserve">life </w:t>
        </w:r>
        <w:r w:rsidR="009231D8" w:rsidRPr="009231D8">
          <w:rPr>
            <w:rStyle w:val="Hyperlink"/>
            <w:rFonts w:ascii="Arial" w:hAnsi="Arial" w:cs="Arial"/>
            <w:sz w:val="22"/>
            <w:szCs w:val="22"/>
          </w:rPr>
          <w:t>threatening</w:t>
        </w:r>
      </w:hyperlink>
      <w:r w:rsidR="00C35D56" w:rsidRPr="00D32B30">
        <w:rPr>
          <w:rFonts w:ascii="Arial" w:hAnsi="Arial" w:cs="Arial"/>
          <w:sz w:val="22"/>
          <w:szCs w:val="22"/>
        </w:rPr>
        <w:t xml:space="preserve"> illness such as </w:t>
      </w:r>
      <w:hyperlink w:anchor="cystic" w:history="1">
        <w:r w:rsidR="00C35D56" w:rsidRPr="00792529">
          <w:rPr>
            <w:rStyle w:val="Hyperlink"/>
            <w:rFonts w:ascii="Arial" w:hAnsi="Arial" w:cs="Arial"/>
            <w:sz w:val="22"/>
            <w:szCs w:val="22"/>
          </w:rPr>
          <w:t>cystic fibrosis</w:t>
        </w:r>
      </w:hyperlink>
      <w:r w:rsidR="00C35D56" w:rsidRPr="00D32B30">
        <w:rPr>
          <w:rFonts w:ascii="Arial" w:hAnsi="Arial" w:cs="Arial"/>
          <w:sz w:val="22"/>
          <w:szCs w:val="22"/>
        </w:rPr>
        <w:t xml:space="preserve"> and childhood cancer</w:t>
      </w:r>
    </w:p>
    <w:p w:rsidR="006358CD" w:rsidRDefault="006358CD" w:rsidP="006358CD">
      <w:pPr>
        <w:rPr>
          <w:rFonts w:cs="Arial"/>
        </w:rPr>
      </w:pPr>
    </w:p>
    <w:p w:rsidR="0059532E" w:rsidRDefault="00510DA1" w:rsidP="006358CD">
      <w:pPr>
        <w:rPr>
          <w:rFonts w:cs="Arial"/>
        </w:rPr>
      </w:pPr>
      <w:r>
        <w:rPr>
          <w:rFonts w:cs="Arial"/>
        </w:rPr>
        <w:t xml:space="preserve">In terms of population data, many existing reports are based on the Office of National Statistics (ONS) </w:t>
      </w:r>
      <w:r w:rsidR="002F3B0B">
        <w:rPr>
          <w:rFonts w:cs="Arial"/>
        </w:rPr>
        <w:t xml:space="preserve">estimate </w:t>
      </w:r>
      <w:r>
        <w:rPr>
          <w:rFonts w:cs="Arial"/>
        </w:rPr>
        <w:t>which is slightly lower than that of the GP registration</w:t>
      </w:r>
      <w:r w:rsidR="00D443B0">
        <w:rPr>
          <w:rFonts w:cs="Arial"/>
        </w:rPr>
        <w:t xml:space="preserve"> data</w:t>
      </w:r>
      <w:r>
        <w:rPr>
          <w:rFonts w:cs="Arial"/>
        </w:rPr>
        <w:t xml:space="preserve"> re</w:t>
      </w:r>
      <w:r w:rsidR="00E57B3E">
        <w:rPr>
          <w:rFonts w:cs="Arial"/>
        </w:rPr>
        <w:t>cently made available (see Fig 1</w:t>
      </w:r>
      <w:r>
        <w:rPr>
          <w:rFonts w:cs="Arial"/>
        </w:rPr>
        <w:t>).  Wherever possible, GP data has been used.</w:t>
      </w:r>
    </w:p>
    <w:p w:rsidR="0059532E" w:rsidRDefault="0059532E" w:rsidP="006358CD">
      <w:pPr>
        <w:rPr>
          <w:rFonts w:cs="Arial"/>
        </w:rPr>
      </w:pPr>
    </w:p>
    <w:tbl>
      <w:tblPr>
        <w:tblStyle w:val="LightList-Accent1"/>
        <w:tblW w:w="0" w:type="auto"/>
        <w:tblLook w:val="04A0" w:firstRow="1" w:lastRow="0" w:firstColumn="1" w:lastColumn="0" w:noHBand="0" w:noVBand="1"/>
      </w:tblPr>
      <w:tblGrid>
        <w:gridCol w:w="4621"/>
        <w:gridCol w:w="4621"/>
      </w:tblGrid>
      <w:tr w:rsidR="0059532E" w:rsidTr="005953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59532E" w:rsidRDefault="0059532E" w:rsidP="006358CD">
            <w:pPr>
              <w:rPr>
                <w:rFonts w:cs="Arial"/>
              </w:rPr>
            </w:pPr>
            <w:r>
              <w:rPr>
                <w:rFonts w:cs="Arial"/>
              </w:rPr>
              <w:t>Source</w:t>
            </w:r>
          </w:p>
        </w:tc>
        <w:tc>
          <w:tcPr>
            <w:tcW w:w="4621" w:type="dxa"/>
          </w:tcPr>
          <w:p w:rsidR="0059532E" w:rsidRDefault="0059532E" w:rsidP="006358CD">
            <w:pPr>
              <w:cnfStyle w:val="100000000000" w:firstRow="1" w:lastRow="0" w:firstColumn="0" w:lastColumn="0" w:oddVBand="0" w:evenVBand="0" w:oddHBand="0" w:evenHBand="0" w:firstRowFirstColumn="0" w:firstRowLastColumn="0" w:lastRowFirstColumn="0" w:lastRowLastColumn="0"/>
              <w:rPr>
                <w:rFonts w:cs="Arial"/>
              </w:rPr>
            </w:pPr>
            <w:r>
              <w:rPr>
                <w:rFonts w:cs="Arial"/>
              </w:rPr>
              <w:t>Medway number</w:t>
            </w:r>
          </w:p>
        </w:tc>
      </w:tr>
      <w:tr w:rsidR="0059532E" w:rsidTr="005953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59532E" w:rsidRDefault="0059532E" w:rsidP="00F21530">
            <w:pPr>
              <w:rPr>
                <w:rFonts w:cs="Arial"/>
              </w:rPr>
            </w:pPr>
            <w:r>
              <w:rPr>
                <w:rFonts w:cs="Arial"/>
              </w:rPr>
              <w:t xml:space="preserve">Office of National Statistics 2013 </w:t>
            </w:r>
            <w:r w:rsidR="00F21530">
              <w:rPr>
                <w:rFonts w:cs="Arial"/>
              </w:rPr>
              <w:t xml:space="preserve">mid-year estimate </w:t>
            </w:r>
            <w:r>
              <w:rPr>
                <w:rFonts w:cs="Arial"/>
              </w:rPr>
              <w:t>of 0 -19 population</w:t>
            </w:r>
            <w:r w:rsidR="009C070E">
              <w:rPr>
                <w:rStyle w:val="FootnoteReference"/>
                <w:rFonts w:cs="Arial"/>
              </w:rPr>
              <w:footnoteReference w:id="3"/>
            </w:r>
          </w:p>
        </w:tc>
        <w:tc>
          <w:tcPr>
            <w:tcW w:w="4621" w:type="dxa"/>
          </w:tcPr>
          <w:p w:rsidR="0059532E" w:rsidRDefault="0059532E" w:rsidP="006358CD">
            <w:pPr>
              <w:cnfStyle w:val="000000100000" w:firstRow="0" w:lastRow="0" w:firstColumn="0" w:lastColumn="0" w:oddVBand="0" w:evenVBand="0" w:oddHBand="1" w:evenHBand="0" w:firstRowFirstColumn="0" w:firstRowLastColumn="0" w:lastRowFirstColumn="0" w:lastRowLastColumn="0"/>
              <w:rPr>
                <w:rFonts w:cs="Arial"/>
              </w:rPr>
            </w:pPr>
            <w:r>
              <w:rPr>
                <w:rFonts w:cs="Arial"/>
              </w:rPr>
              <w:t>69,000</w:t>
            </w:r>
          </w:p>
        </w:tc>
      </w:tr>
      <w:tr w:rsidR="0059532E" w:rsidTr="0059532E">
        <w:tc>
          <w:tcPr>
            <w:cnfStyle w:val="001000000000" w:firstRow="0" w:lastRow="0" w:firstColumn="1" w:lastColumn="0" w:oddVBand="0" w:evenVBand="0" w:oddHBand="0" w:evenHBand="0" w:firstRowFirstColumn="0" w:firstRowLastColumn="0" w:lastRowFirstColumn="0" w:lastRowLastColumn="0"/>
            <w:tcW w:w="4621" w:type="dxa"/>
          </w:tcPr>
          <w:p w:rsidR="0059532E" w:rsidRDefault="0059532E" w:rsidP="006358CD">
            <w:pPr>
              <w:rPr>
                <w:rFonts w:cs="Arial"/>
              </w:rPr>
            </w:pPr>
            <w:r>
              <w:rPr>
                <w:rFonts w:cs="Arial"/>
              </w:rPr>
              <w:t xml:space="preserve">GP registered 0 – 19 </w:t>
            </w:r>
            <w:r w:rsidR="00B64257">
              <w:rPr>
                <w:rFonts w:cs="Arial"/>
              </w:rPr>
              <w:t>population, July 2015</w:t>
            </w:r>
            <w:r w:rsidR="009C070E">
              <w:rPr>
                <w:rStyle w:val="FootnoteReference"/>
                <w:rFonts w:cs="Arial"/>
              </w:rPr>
              <w:footnoteReference w:id="4"/>
            </w:r>
          </w:p>
        </w:tc>
        <w:tc>
          <w:tcPr>
            <w:tcW w:w="4621" w:type="dxa"/>
          </w:tcPr>
          <w:p w:rsidR="0059532E" w:rsidRDefault="0059532E" w:rsidP="006358CD">
            <w:pPr>
              <w:cnfStyle w:val="000000000000" w:firstRow="0" w:lastRow="0" w:firstColumn="0" w:lastColumn="0" w:oddVBand="0" w:evenVBand="0" w:oddHBand="0" w:evenHBand="0" w:firstRowFirstColumn="0" w:firstRowLastColumn="0" w:lastRowFirstColumn="0" w:lastRowLastColumn="0"/>
              <w:rPr>
                <w:rFonts w:cs="Arial"/>
              </w:rPr>
            </w:pPr>
            <w:r>
              <w:rPr>
                <w:rFonts w:cs="Arial"/>
              </w:rPr>
              <w:t>73,513</w:t>
            </w:r>
          </w:p>
        </w:tc>
      </w:tr>
    </w:tbl>
    <w:p w:rsidR="00E51B34" w:rsidRDefault="00045280" w:rsidP="00045280">
      <w:pPr>
        <w:pStyle w:val="Caption"/>
        <w:rPr>
          <w:rFonts w:cs="Arial"/>
        </w:rPr>
      </w:pPr>
      <w:r>
        <w:t xml:space="preserve">Figure </w:t>
      </w:r>
      <w:r w:rsidR="00156E8B">
        <w:fldChar w:fldCharType="begin"/>
      </w:r>
      <w:r w:rsidR="00156E8B">
        <w:instrText xml:space="preserve"> SEQ Figure \* ARABIC </w:instrText>
      </w:r>
      <w:r w:rsidR="00156E8B">
        <w:fldChar w:fldCharType="separate"/>
      </w:r>
      <w:r w:rsidR="005C553C">
        <w:rPr>
          <w:noProof/>
        </w:rPr>
        <w:t>1</w:t>
      </w:r>
      <w:r w:rsidR="00156E8B">
        <w:rPr>
          <w:noProof/>
        </w:rPr>
        <w:fldChar w:fldCharType="end"/>
      </w:r>
      <w:r>
        <w:t xml:space="preserve"> Child population estimates</w:t>
      </w:r>
    </w:p>
    <w:p w:rsidR="00D5162B" w:rsidRDefault="006358CD" w:rsidP="00D5162B">
      <w:r>
        <w:t>C</w:t>
      </w:r>
      <w:r w:rsidRPr="00316275">
        <w:t xml:space="preserve">hildhood disability affects a sizeable proportion of children and disabled children are a </w:t>
      </w:r>
      <w:r>
        <w:t>diverse</w:t>
      </w:r>
      <w:r w:rsidRPr="00316275">
        <w:t xml:space="preserve"> group who experience a wide range of conditions</w:t>
      </w:r>
      <w:r w:rsidR="00E51B34">
        <w:t xml:space="preserve">.  However, </w:t>
      </w:r>
      <w:r w:rsidR="00D5162B">
        <w:t xml:space="preserve">because young people </w:t>
      </w:r>
      <w:r w:rsidR="00D5162B">
        <w:lastRenderedPageBreak/>
        <w:t>have lower overall morbidity than older age groups this can result in their health needs being overl</w:t>
      </w:r>
      <w:r w:rsidR="00D443B0">
        <w:t xml:space="preserve">ooked within health design and </w:t>
      </w:r>
      <w:r w:rsidR="00D5162B">
        <w:t>commissioning</w:t>
      </w:r>
      <w:r w:rsidR="00D5162B">
        <w:rPr>
          <w:rStyle w:val="FootnoteReference"/>
        </w:rPr>
        <w:footnoteReference w:id="5"/>
      </w:r>
      <w:r w:rsidR="00D5162B">
        <w:t>.</w:t>
      </w:r>
      <w:r>
        <w:t xml:space="preserve">  </w:t>
      </w:r>
    </w:p>
    <w:p w:rsidR="00D5162B" w:rsidRDefault="00D5162B" w:rsidP="00D5162B"/>
    <w:p w:rsidR="006358CD" w:rsidRDefault="006358CD" w:rsidP="00D5162B">
      <w:r>
        <w:t>Some</w:t>
      </w:r>
      <w:r w:rsidR="00D5162B">
        <w:t xml:space="preserve"> children and young people</w:t>
      </w:r>
      <w:r>
        <w:t xml:space="preserve"> will have highly complex needs requiring multi-agency support across health, social services and education – the most extreme example perhaps being those who are technology-dependent. Other children will require substantially less support, nevertheless have a long-term disability.</w:t>
      </w:r>
    </w:p>
    <w:p w:rsidR="006358CD" w:rsidRDefault="006358CD" w:rsidP="006358CD"/>
    <w:p w:rsidR="006358CD" w:rsidRDefault="006358CD" w:rsidP="006358CD">
      <w:r>
        <w:t>Children with disabilities and long term conditions are also a group with conditions that will follow varying courses including:</w:t>
      </w:r>
    </w:p>
    <w:p w:rsidR="00E51B34" w:rsidRDefault="00E51B34" w:rsidP="006358CD"/>
    <w:p w:rsidR="006358CD" w:rsidRPr="00E300E9" w:rsidRDefault="00E51B34" w:rsidP="006358CD">
      <w:pPr>
        <w:pStyle w:val="ListParagraph"/>
        <w:numPr>
          <w:ilvl w:val="0"/>
          <w:numId w:val="13"/>
        </w:numPr>
        <w:rPr>
          <w:rFonts w:ascii="Arial" w:hAnsi="Arial" w:cs="Arial"/>
          <w:sz w:val="22"/>
        </w:rPr>
      </w:pPr>
      <w:r>
        <w:rPr>
          <w:rFonts w:ascii="Arial" w:hAnsi="Arial" w:cs="Arial"/>
          <w:sz w:val="22"/>
        </w:rPr>
        <w:t>Lifelong (e.g. Deafness)</w:t>
      </w:r>
    </w:p>
    <w:p w:rsidR="006358CD" w:rsidRPr="00E300E9" w:rsidRDefault="006358CD" w:rsidP="006358CD">
      <w:pPr>
        <w:pStyle w:val="ListParagraph"/>
        <w:numPr>
          <w:ilvl w:val="0"/>
          <w:numId w:val="13"/>
        </w:numPr>
        <w:rPr>
          <w:rFonts w:ascii="Arial" w:hAnsi="Arial" w:cs="Arial"/>
          <w:sz w:val="22"/>
        </w:rPr>
      </w:pPr>
      <w:r w:rsidRPr="00E300E9">
        <w:rPr>
          <w:rFonts w:ascii="Arial" w:hAnsi="Arial" w:cs="Arial"/>
          <w:sz w:val="22"/>
        </w:rPr>
        <w:t xml:space="preserve">Slowly deteriorating (e.g. </w:t>
      </w:r>
      <w:hyperlink w:anchor="muscular" w:history="1">
        <w:r w:rsidRPr="009231D8">
          <w:rPr>
            <w:rStyle w:val="Hyperlink"/>
            <w:rFonts w:ascii="Arial" w:hAnsi="Arial" w:cs="Arial"/>
            <w:sz w:val="22"/>
          </w:rPr>
          <w:t>muscular dystrophy</w:t>
        </w:r>
      </w:hyperlink>
      <w:r w:rsidR="00E51B34">
        <w:rPr>
          <w:rFonts w:ascii="Arial" w:hAnsi="Arial" w:cs="Arial"/>
          <w:sz w:val="22"/>
        </w:rPr>
        <w:t>)</w:t>
      </w:r>
    </w:p>
    <w:p w:rsidR="006358CD" w:rsidRPr="00E300E9" w:rsidRDefault="006358CD" w:rsidP="006358CD">
      <w:pPr>
        <w:pStyle w:val="ListParagraph"/>
        <w:numPr>
          <w:ilvl w:val="0"/>
          <w:numId w:val="13"/>
        </w:numPr>
        <w:rPr>
          <w:rFonts w:ascii="Arial" w:hAnsi="Arial" w:cs="Arial"/>
          <w:sz w:val="22"/>
        </w:rPr>
      </w:pPr>
      <w:r w:rsidRPr="00E300E9">
        <w:rPr>
          <w:rFonts w:ascii="Arial" w:hAnsi="Arial" w:cs="Arial"/>
          <w:sz w:val="22"/>
        </w:rPr>
        <w:t>Potent</w:t>
      </w:r>
      <w:r w:rsidR="00E51B34">
        <w:rPr>
          <w:rFonts w:ascii="Arial" w:hAnsi="Arial" w:cs="Arial"/>
          <w:sz w:val="22"/>
        </w:rPr>
        <w:t>ially curable (e.g. cancer)</w:t>
      </w:r>
    </w:p>
    <w:p w:rsidR="006358CD" w:rsidRDefault="006358CD" w:rsidP="006358CD">
      <w:pPr>
        <w:pStyle w:val="ListParagraph"/>
        <w:numPr>
          <w:ilvl w:val="0"/>
          <w:numId w:val="13"/>
        </w:numPr>
        <w:rPr>
          <w:rFonts w:ascii="Arial" w:hAnsi="Arial" w:cs="Arial"/>
          <w:sz w:val="22"/>
        </w:rPr>
      </w:pPr>
      <w:r w:rsidRPr="00E300E9">
        <w:rPr>
          <w:rFonts w:ascii="Arial" w:hAnsi="Arial" w:cs="Arial"/>
          <w:sz w:val="22"/>
        </w:rPr>
        <w:t xml:space="preserve">Variable course (e.g. </w:t>
      </w:r>
      <w:hyperlink w:anchor="cystic" w:history="1">
        <w:r w:rsidRPr="009231D8">
          <w:rPr>
            <w:rStyle w:val="Hyperlink"/>
            <w:rFonts w:ascii="Arial" w:hAnsi="Arial" w:cs="Arial"/>
            <w:sz w:val="22"/>
          </w:rPr>
          <w:t>cystic fibrosis</w:t>
        </w:r>
      </w:hyperlink>
      <w:r w:rsidRPr="00E300E9">
        <w:rPr>
          <w:rFonts w:ascii="Arial" w:hAnsi="Arial" w:cs="Arial"/>
          <w:sz w:val="22"/>
        </w:rPr>
        <w:t>)</w:t>
      </w:r>
      <w:r>
        <w:rPr>
          <w:rStyle w:val="FootnoteReference"/>
          <w:rFonts w:ascii="Arial" w:hAnsi="Arial" w:cs="Arial"/>
          <w:sz w:val="22"/>
        </w:rPr>
        <w:footnoteReference w:id="6"/>
      </w:r>
    </w:p>
    <w:p w:rsidR="0083743B" w:rsidRDefault="0083743B" w:rsidP="0083743B">
      <w:pPr>
        <w:rPr>
          <w:szCs w:val="24"/>
        </w:rPr>
      </w:pPr>
    </w:p>
    <w:p w:rsidR="00675513" w:rsidRDefault="0083743B" w:rsidP="0083743B">
      <w:pPr>
        <w:rPr>
          <w:szCs w:val="24"/>
        </w:rPr>
      </w:pPr>
      <w:r w:rsidRPr="00E300E9">
        <w:rPr>
          <w:szCs w:val="24"/>
        </w:rPr>
        <w:t>For many children with one diagnosis,</w:t>
      </w:r>
      <w:r>
        <w:rPr>
          <w:szCs w:val="24"/>
        </w:rPr>
        <w:t xml:space="preserve"> multiple coexisting conditions - </w:t>
      </w:r>
      <w:r w:rsidRPr="00E300E9">
        <w:rPr>
          <w:szCs w:val="24"/>
        </w:rPr>
        <w:t>also</w:t>
      </w:r>
      <w:r>
        <w:rPr>
          <w:szCs w:val="24"/>
        </w:rPr>
        <w:t xml:space="preserve"> </w:t>
      </w:r>
      <w:r w:rsidRPr="00E300E9">
        <w:rPr>
          <w:szCs w:val="24"/>
        </w:rPr>
        <w:t>referred to as comorbidities</w:t>
      </w:r>
      <w:r>
        <w:rPr>
          <w:szCs w:val="24"/>
        </w:rPr>
        <w:t xml:space="preserve"> </w:t>
      </w:r>
      <w:r w:rsidRPr="00E300E9">
        <w:rPr>
          <w:szCs w:val="24"/>
        </w:rPr>
        <w:t>-</w:t>
      </w:r>
      <w:r>
        <w:rPr>
          <w:szCs w:val="24"/>
        </w:rPr>
        <w:t xml:space="preserve"> </w:t>
      </w:r>
      <w:r w:rsidRPr="00E300E9">
        <w:rPr>
          <w:szCs w:val="24"/>
        </w:rPr>
        <w:t xml:space="preserve">will be the rule rather than the exception. </w:t>
      </w:r>
      <w:r>
        <w:rPr>
          <w:szCs w:val="24"/>
        </w:rPr>
        <w:t xml:space="preserve"> </w:t>
      </w:r>
    </w:p>
    <w:p w:rsidR="00675513" w:rsidRDefault="00675513" w:rsidP="0083743B">
      <w:pPr>
        <w:rPr>
          <w:szCs w:val="24"/>
        </w:rPr>
      </w:pPr>
    </w:p>
    <w:p w:rsidR="0083743B" w:rsidRPr="00675513" w:rsidRDefault="00D4092F" w:rsidP="00675513">
      <w:pPr>
        <w:pStyle w:val="ListParagraph"/>
        <w:numPr>
          <w:ilvl w:val="0"/>
          <w:numId w:val="24"/>
        </w:numPr>
        <w:spacing w:line="276" w:lineRule="auto"/>
        <w:rPr>
          <w:rFonts w:ascii="Arial" w:hAnsi="Arial" w:cs="Arial"/>
          <w:sz w:val="22"/>
        </w:rPr>
      </w:pPr>
      <w:r>
        <w:rPr>
          <w:rFonts w:ascii="Arial" w:hAnsi="Arial" w:cs="Arial"/>
          <w:sz w:val="22"/>
        </w:rPr>
        <w:t>A</w:t>
      </w:r>
      <w:r w:rsidR="0083743B" w:rsidRPr="00675513">
        <w:rPr>
          <w:rFonts w:ascii="Arial" w:hAnsi="Arial" w:cs="Arial"/>
          <w:sz w:val="22"/>
        </w:rPr>
        <w:t xml:space="preserve"> young person with </w:t>
      </w:r>
      <w:hyperlink w:anchor="cerebral" w:history="1">
        <w:r w:rsidR="0083743B" w:rsidRPr="005E3E26">
          <w:rPr>
            <w:rStyle w:val="Hyperlink"/>
            <w:rFonts w:ascii="Arial" w:hAnsi="Arial" w:cs="Arial"/>
            <w:sz w:val="22"/>
          </w:rPr>
          <w:t>cerebral palsy</w:t>
        </w:r>
      </w:hyperlink>
      <w:r w:rsidR="0083743B" w:rsidRPr="00675513">
        <w:rPr>
          <w:rFonts w:ascii="Arial" w:hAnsi="Arial" w:cs="Arial"/>
          <w:sz w:val="22"/>
        </w:rPr>
        <w:t xml:space="preserve"> that affects all four limbs is likely to have speech, eating, chest and gastrointestinal problems as well as being more likely to have intellectual disability, visual impairment and require equipment support for mobility and to enable them to achieve their academic potential.</w:t>
      </w:r>
      <w:r w:rsidR="0083743B" w:rsidRPr="00675513">
        <w:rPr>
          <w:rStyle w:val="FootnoteReference"/>
          <w:rFonts w:ascii="Arial" w:hAnsi="Arial" w:cs="Arial"/>
          <w:sz w:val="22"/>
        </w:rPr>
        <w:footnoteReference w:id="7"/>
      </w:r>
    </w:p>
    <w:p w:rsidR="0083743B" w:rsidRPr="009D1F46" w:rsidRDefault="0083743B" w:rsidP="0083743B">
      <w:pPr>
        <w:pStyle w:val="ListParagraph"/>
        <w:numPr>
          <w:ilvl w:val="0"/>
          <w:numId w:val="14"/>
        </w:numPr>
        <w:spacing w:line="276" w:lineRule="auto"/>
        <w:rPr>
          <w:rFonts w:ascii="Arial" w:hAnsi="Arial" w:cs="Arial"/>
          <w:sz w:val="22"/>
        </w:rPr>
      </w:pPr>
      <w:r w:rsidRPr="009D1F46">
        <w:rPr>
          <w:rFonts w:ascii="Arial" w:hAnsi="Arial" w:cs="Arial"/>
          <w:sz w:val="22"/>
        </w:rPr>
        <w:t>60-70% of people who have an autistic spectrum condition will also have a learning disability</w:t>
      </w:r>
    </w:p>
    <w:p w:rsidR="0083743B" w:rsidRPr="009D1F46" w:rsidRDefault="0083743B" w:rsidP="0083743B">
      <w:pPr>
        <w:pStyle w:val="ListParagraph"/>
        <w:numPr>
          <w:ilvl w:val="0"/>
          <w:numId w:val="14"/>
        </w:numPr>
        <w:spacing w:line="276" w:lineRule="auto"/>
        <w:rPr>
          <w:rFonts w:ascii="Arial" w:hAnsi="Arial" w:cs="Arial"/>
          <w:sz w:val="22"/>
        </w:rPr>
      </w:pPr>
      <w:r w:rsidRPr="009D1F46">
        <w:rPr>
          <w:rFonts w:ascii="Arial" w:hAnsi="Arial" w:cs="Arial"/>
          <w:sz w:val="22"/>
        </w:rPr>
        <w:t>For children and young people</w:t>
      </w:r>
      <w:r w:rsidR="005E3E26">
        <w:rPr>
          <w:rFonts w:ascii="Arial" w:hAnsi="Arial" w:cs="Arial"/>
          <w:sz w:val="22"/>
        </w:rPr>
        <w:t xml:space="preserve"> with learning disabilities</w:t>
      </w:r>
      <w:r w:rsidRPr="009D1F46">
        <w:rPr>
          <w:rFonts w:ascii="Arial" w:hAnsi="Arial" w:cs="Arial"/>
          <w:sz w:val="22"/>
        </w:rPr>
        <w:t xml:space="preserve">, the prevalence rate of a diagnosable psychiatric disorder is 36% compared with 8% </w:t>
      </w:r>
      <w:r w:rsidR="005E3E26">
        <w:rPr>
          <w:rFonts w:ascii="Arial" w:hAnsi="Arial" w:cs="Arial"/>
          <w:sz w:val="22"/>
        </w:rPr>
        <w:t>for</w:t>
      </w:r>
      <w:r w:rsidRPr="009D1F46">
        <w:rPr>
          <w:rFonts w:ascii="Arial" w:hAnsi="Arial" w:cs="Arial"/>
          <w:sz w:val="22"/>
        </w:rPr>
        <w:t xml:space="preserve"> those who did not have a learning disability. These young people were also 33 times more likely to be on the autistic spectrum and were much more likely than others to have emotional and conduct disorders</w:t>
      </w:r>
      <w:r w:rsidRPr="009D1F46">
        <w:rPr>
          <w:rStyle w:val="FootnoteReference"/>
          <w:rFonts w:ascii="Arial" w:hAnsi="Arial" w:cs="Arial"/>
          <w:sz w:val="22"/>
        </w:rPr>
        <w:footnoteReference w:id="8"/>
      </w:r>
    </w:p>
    <w:p w:rsidR="005E3E26" w:rsidRDefault="005E3E26" w:rsidP="006358CD">
      <w:pPr>
        <w:rPr>
          <w:rFonts w:cs="Arial"/>
        </w:rPr>
      </w:pPr>
    </w:p>
    <w:p w:rsidR="006358CD" w:rsidRDefault="00E1332D" w:rsidP="006358CD">
      <w:pPr>
        <w:rPr>
          <w:rFonts w:cs="Arial"/>
        </w:rPr>
      </w:pPr>
      <w:r>
        <w:rPr>
          <w:rFonts w:cs="Arial"/>
        </w:rPr>
        <w:t>Inferences drawn from any needs analysis of childhood disability will need to take acco</w:t>
      </w:r>
      <w:r w:rsidR="00675513">
        <w:rPr>
          <w:rFonts w:cs="Arial"/>
        </w:rPr>
        <w:t>unt of the above</w:t>
      </w:r>
      <w:r>
        <w:rPr>
          <w:rFonts w:cs="Arial"/>
        </w:rPr>
        <w:t xml:space="preserve"> complexities, and further work should be undertaken to look at disability and ill health relative to specific populations such as Looked After Children and Black and Minority Ethnic children.</w:t>
      </w:r>
    </w:p>
    <w:p w:rsidR="00D5162B" w:rsidRPr="00D5162B" w:rsidRDefault="00D5162B" w:rsidP="00D5162B">
      <w:pPr>
        <w:rPr>
          <w:rFonts w:cs="Arial"/>
        </w:rPr>
      </w:pPr>
    </w:p>
    <w:p w:rsidR="009C070E" w:rsidRDefault="009C070E" w:rsidP="006358CD">
      <w:pPr>
        <w:rPr>
          <w:rFonts w:cs="Arial"/>
        </w:rPr>
      </w:pPr>
    </w:p>
    <w:p w:rsidR="009C070E" w:rsidRDefault="009C070E">
      <w:pPr>
        <w:rPr>
          <w:rFonts w:cs="Arial"/>
        </w:rPr>
      </w:pPr>
      <w:r>
        <w:rPr>
          <w:rFonts w:cs="Arial"/>
        </w:rPr>
        <w:br w:type="page"/>
      </w:r>
    </w:p>
    <w:p w:rsidR="009C070E" w:rsidRDefault="009C070E" w:rsidP="00A2065F">
      <w:pPr>
        <w:pStyle w:val="Heading1"/>
        <w:numPr>
          <w:ilvl w:val="0"/>
          <w:numId w:val="47"/>
        </w:numPr>
      </w:pPr>
      <w:bookmarkStart w:id="2" w:name="_Toc434938013"/>
      <w:r>
        <w:lastRenderedPageBreak/>
        <w:t>Headlines</w:t>
      </w:r>
      <w:bookmarkEnd w:id="2"/>
    </w:p>
    <w:p w:rsidR="002F05EF" w:rsidRDefault="002F05EF" w:rsidP="002F05EF"/>
    <w:p w:rsidR="002F05EF" w:rsidRPr="002F05EF" w:rsidRDefault="002F05EF" w:rsidP="002F05EF">
      <w:pPr>
        <w:pStyle w:val="ListParagraph"/>
        <w:numPr>
          <w:ilvl w:val="0"/>
          <w:numId w:val="36"/>
        </w:numPr>
        <w:rPr>
          <w:rFonts w:ascii="Arial" w:hAnsi="Arial" w:cs="Arial"/>
          <w:sz w:val="22"/>
        </w:rPr>
      </w:pPr>
      <w:r w:rsidRPr="002F05EF">
        <w:rPr>
          <w:rFonts w:ascii="Arial" w:hAnsi="Arial" w:cs="Arial"/>
          <w:sz w:val="22"/>
        </w:rPr>
        <w:t>Using an estimated general disability prevalence rate of 8% means that approximately 5,500 to 5,800 children and young people</w:t>
      </w:r>
      <w:r w:rsidR="00D5162B">
        <w:rPr>
          <w:rFonts w:ascii="Arial" w:hAnsi="Arial" w:cs="Arial"/>
          <w:sz w:val="22"/>
        </w:rPr>
        <w:t xml:space="preserve"> in Medway</w:t>
      </w:r>
      <w:r w:rsidRPr="002F05EF">
        <w:rPr>
          <w:rFonts w:ascii="Arial" w:hAnsi="Arial" w:cs="Arial"/>
          <w:sz w:val="22"/>
        </w:rPr>
        <w:t xml:space="preserve"> may be affected by disability or illness that causes them difficulty with everyday life</w:t>
      </w:r>
      <w:r w:rsidR="00267EE6">
        <w:rPr>
          <w:rFonts w:ascii="Arial" w:hAnsi="Arial" w:cs="Arial"/>
          <w:sz w:val="22"/>
        </w:rPr>
        <w:t>.  This is in line with caseload information a</w:t>
      </w:r>
      <w:r w:rsidR="00E57B3E">
        <w:rPr>
          <w:rFonts w:ascii="Arial" w:hAnsi="Arial" w:cs="Arial"/>
          <w:sz w:val="22"/>
        </w:rPr>
        <w:t>cross community health services</w:t>
      </w:r>
    </w:p>
    <w:p w:rsidR="002F05EF" w:rsidRPr="002F05EF" w:rsidRDefault="002F05EF" w:rsidP="002F05EF">
      <w:pPr>
        <w:rPr>
          <w:rFonts w:cs="Arial"/>
          <w:sz w:val="20"/>
        </w:rPr>
      </w:pPr>
    </w:p>
    <w:p w:rsidR="002F05EF" w:rsidRPr="002F05EF" w:rsidRDefault="002F05EF" w:rsidP="002F05EF">
      <w:pPr>
        <w:pStyle w:val="ListParagraph"/>
        <w:numPr>
          <w:ilvl w:val="0"/>
          <w:numId w:val="36"/>
        </w:numPr>
        <w:rPr>
          <w:rFonts w:ascii="Arial" w:hAnsi="Arial" w:cs="Arial"/>
          <w:sz w:val="22"/>
        </w:rPr>
      </w:pPr>
      <w:r w:rsidRPr="002F05EF">
        <w:rPr>
          <w:rFonts w:ascii="Arial" w:hAnsi="Arial" w:cs="Arial"/>
          <w:sz w:val="22"/>
        </w:rPr>
        <w:t>Medway is</w:t>
      </w:r>
      <w:r w:rsidR="00267EE6">
        <w:rPr>
          <w:rFonts w:ascii="Arial" w:hAnsi="Arial" w:cs="Arial"/>
          <w:sz w:val="22"/>
        </w:rPr>
        <w:t xml:space="preserve"> in</w:t>
      </w:r>
      <w:r w:rsidRPr="002F05EF">
        <w:rPr>
          <w:rFonts w:ascii="Arial" w:hAnsi="Arial" w:cs="Arial"/>
          <w:sz w:val="22"/>
        </w:rPr>
        <w:t xml:space="preserve"> line with its statistical neighbours</w:t>
      </w:r>
      <w:r w:rsidR="00AC534C">
        <w:rPr>
          <w:rStyle w:val="FootnoteReference"/>
          <w:rFonts w:ascii="Arial" w:hAnsi="Arial" w:cs="Arial"/>
          <w:sz w:val="22"/>
        </w:rPr>
        <w:footnoteReference w:id="9"/>
      </w:r>
      <w:r w:rsidRPr="002F05EF">
        <w:rPr>
          <w:rFonts w:ascii="Arial" w:hAnsi="Arial" w:cs="Arial"/>
          <w:sz w:val="22"/>
        </w:rPr>
        <w:t xml:space="preserve"> in terms of the percentage of children and young people who have a statement of Special Educational Need/ Education, Health and Care Plan (SEN/EHCP), and just over national and regional rates</w:t>
      </w:r>
    </w:p>
    <w:p w:rsidR="002F05EF" w:rsidRPr="002F05EF" w:rsidRDefault="002F05EF" w:rsidP="002F05EF">
      <w:pPr>
        <w:rPr>
          <w:rFonts w:cs="Arial"/>
          <w:sz w:val="20"/>
        </w:rPr>
      </w:pPr>
    </w:p>
    <w:p w:rsidR="002F05EF" w:rsidRPr="002F05EF" w:rsidRDefault="002F05EF" w:rsidP="002F05EF">
      <w:pPr>
        <w:pStyle w:val="ListParagraph"/>
        <w:numPr>
          <w:ilvl w:val="0"/>
          <w:numId w:val="36"/>
        </w:numPr>
        <w:rPr>
          <w:rFonts w:ascii="Arial" w:hAnsi="Arial" w:cs="Arial"/>
          <w:sz w:val="22"/>
        </w:rPr>
      </w:pPr>
      <w:r w:rsidRPr="002F05EF">
        <w:rPr>
          <w:rFonts w:ascii="Arial" w:hAnsi="Arial" w:cs="Arial"/>
          <w:sz w:val="22"/>
        </w:rPr>
        <w:t>Medway has substantially more school pupils assessed as needing special educational needs support without a formal statement of SEN/ EHCP than its statistical neighbours</w:t>
      </w:r>
    </w:p>
    <w:p w:rsidR="002F05EF" w:rsidRPr="002F05EF" w:rsidRDefault="002F05EF" w:rsidP="002F05EF">
      <w:pPr>
        <w:rPr>
          <w:rFonts w:cs="Arial"/>
          <w:sz w:val="20"/>
        </w:rPr>
      </w:pPr>
    </w:p>
    <w:p w:rsidR="00E57B3E" w:rsidRDefault="00435BEB" w:rsidP="00435BEB">
      <w:pPr>
        <w:pStyle w:val="ListParagraph"/>
        <w:numPr>
          <w:ilvl w:val="0"/>
          <w:numId w:val="36"/>
        </w:numPr>
        <w:rPr>
          <w:rFonts w:ascii="Arial" w:hAnsi="Arial" w:cs="Arial"/>
          <w:sz w:val="22"/>
        </w:rPr>
      </w:pPr>
      <w:r w:rsidRPr="00435BEB">
        <w:rPr>
          <w:rFonts w:ascii="Arial" w:hAnsi="Arial" w:cs="Arial"/>
          <w:sz w:val="22"/>
        </w:rPr>
        <w:t>Medway is an outlier in comparison to its statistical neighbours in relation to the number of children with Autism known to schools, and the data suggests that diagnosis rates are approximately doub</w:t>
      </w:r>
      <w:r>
        <w:rPr>
          <w:rFonts w:ascii="Arial" w:hAnsi="Arial" w:cs="Arial"/>
          <w:sz w:val="22"/>
        </w:rPr>
        <w:t>le the national prevalence rate</w:t>
      </w:r>
    </w:p>
    <w:p w:rsidR="00435BEB" w:rsidRPr="00435BEB" w:rsidRDefault="00435BEB" w:rsidP="00435BEB">
      <w:pPr>
        <w:rPr>
          <w:rFonts w:cs="Arial"/>
        </w:rPr>
      </w:pPr>
    </w:p>
    <w:p w:rsidR="00E57B3E" w:rsidRDefault="00E57B3E" w:rsidP="00E57B3E">
      <w:pPr>
        <w:pStyle w:val="ListParagraph"/>
        <w:numPr>
          <w:ilvl w:val="0"/>
          <w:numId w:val="36"/>
        </w:numPr>
        <w:rPr>
          <w:rFonts w:ascii="Arial" w:hAnsi="Arial" w:cs="Arial"/>
          <w:sz w:val="22"/>
        </w:rPr>
      </w:pPr>
      <w:r w:rsidRPr="00E57B3E">
        <w:rPr>
          <w:rFonts w:ascii="Arial" w:hAnsi="Arial" w:cs="Arial"/>
          <w:sz w:val="22"/>
        </w:rPr>
        <w:t>Autistic Spectrum Disorder is the most frequently identified need for childre</w:t>
      </w:r>
      <w:r w:rsidR="005725A7">
        <w:rPr>
          <w:rFonts w:ascii="Arial" w:hAnsi="Arial" w:cs="Arial"/>
          <w:sz w:val="22"/>
        </w:rPr>
        <w:t xml:space="preserve">n with a statement/EHCP Plan, </w:t>
      </w:r>
      <w:r w:rsidRPr="00E57B3E">
        <w:rPr>
          <w:rFonts w:ascii="Arial" w:hAnsi="Arial" w:cs="Arial"/>
          <w:sz w:val="22"/>
        </w:rPr>
        <w:t>followed by moderate learning difficulty, behavioural/emotional difficulty, and speech, l</w:t>
      </w:r>
      <w:r w:rsidR="00150FA1">
        <w:rPr>
          <w:rFonts w:ascii="Arial" w:hAnsi="Arial" w:cs="Arial"/>
          <w:sz w:val="22"/>
        </w:rPr>
        <w:t>anguage and communication needs</w:t>
      </w:r>
    </w:p>
    <w:p w:rsidR="00150FA1" w:rsidRPr="00150FA1" w:rsidRDefault="00150FA1" w:rsidP="00150FA1">
      <w:pPr>
        <w:ind w:left="360"/>
        <w:rPr>
          <w:rFonts w:cs="Arial"/>
        </w:rPr>
      </w:pPr>
    </w:p>
    <w:p w:rsidR="002F05EF" w:rsidRPr="002F05EF" w:rsidRDefault="002F05EF" w:rsidP="002F05EF">
      <w:pPr>
        <w:pStyle w:val="ListParagraph"/>
        <w:numPr>
          <w:ilvl w:val="0"/>
          <w:numId w:val="36"/>
        </w:numPr>
        <w:rPr>
          <w:rFonts w:ascii="Arial" w:hAnsi="Arial" w:cs="Arial"/>
          <w:sz w:val="22"/>
        </w:rPr>
      </w:pPr>
      <w:r w:rsidRPr="002F05EF">
        <w:rPr>
          <w:rFonts w:ascii="Arial" w:hAnsi="Arial" w:cs="Arial"/>
          <w:sz w:val="22"/>
        </w:rPr>
        <w:t>Medway children with an existing illness or disability spend longer in hospital when admitted than comparators</w:t>
      </w:r>
    </w:p>
    <w:p w:rsidR="002F05EF" w:rsidRDefault="002F05EF" w:rsidP="002F05EF">
      <w:pPr>
        <w:rPr>
          <w:rFonts w:cs="Arial"/>
          <w:sz w:val="20"/>
        </w:rPr>
      </w:pPr>
    </w:p>
    <w:p w:rsidR="004162FC" w:rsidRDefault="004162FC" w:rsidP="004162FC">
      <w:pPr>
        <w:pStyle w:val="CommentText"/>
        <w:numPr>
          <w:ilvl w:val="0"/>
          <w:numId w:val="36"/>
        </w:numPr>
      </w:pPr>
      <w:r>
        <w:rPr>
          <w:rFonts w:cs="Arial"/>
        </w:rPr>
        <w:t xml:space="preserve">Current projections of spend on 21 packages of care for children with continuing care needs/the subject of trip-partite funding amount to over £1 million for next financial year.  </w:t>
      </w:r>
    </w:p>
    <w:p w:rsidR="00150FA1" w:rsidRPr="004162FC" w:rsidRDefault="00150FA1" w:rsidP="004162FC">
      <w:pPr>
        <w:ind w:left="360"/>
        <w:rPr>
          <w:rFonts w:cs="Arial"/>
          <w:sz w:val="20"/>
        </w:rPr>
      </w:pPr>
    </w:p>
    <w:p w:rsidR="002F05EF" w:rsidRDefault="002F05EF" w:rsidP="002F05EF">
      <w:pPr>
        <w:pStyle w:val="ListParagraph"/>
        <w:numPr>
          <w:ilvl w:val="0"/>
          <w:numId w:val="36"/>
        </w:numPr>
        <w:rPr>
          <w:rFonts w:ascii="Arial" w:hAnsi="Arial" w:cs="Arial"/>
          <w:sz w:val="22"/>
        </w:rPr>
      </w:pPr>
      <w:r w:rsidRPr="002F05EF">
        <w:rPr>
          <w:rFonts w:ascii="Arial" w:hAnsi="Arial" w:cs="Arial"/>
          <w:sz w:val="22"/>
        </w:rPr>
        <w:t>Medway is an outlier for unplanned hospitalisation for asthma, diabetes and epilepsy in under 19s</w:t>
      </w:r>
      <w:r w:rsidR="006F3B7A">
        <w:rPr>
          <w:rFonts w:ascii="Arial" w:hAnsi="Arial" w:cs="Arial"/>
          <w:sz w:val="22"/>
        </w:rPr>
        <w:t>.  The  causes of variation may include</w:t>
      </w:r>
      <w:r w:rsidR="006F3B7A">
        <w:rPr>
          <w:rStyle w:val="FootnoteReference"/>
          <w:rFonts w:ascii="Arial" w:hAnsi="Arial" w:cs="Arial"/>
          <w:sz w:val="22"/>
        </w:rPr>
        <w:footnoteReference w:id="10"/>
      </w:r>
    </w:p>
    <w:p w:rsidR="006F3B7A" w:rsidRPr="006F3B7A" w:rsidRDefault="006F3B7A" w:rsidP="006F3B7A">
      <w:pPr>
        <w:pStyle w:val="ListParagraph"/>
        <w:rPr>
          <w:rFonts w:ascii="Arial" w:hAnsi="Arial" w:cs="Arial"/>
          <w:sz w:val="22"/>
        </w:rPr>
      </w:pPr>
    </w:p>
    <w:p w:rsidR="006F3B7A" w:rsidRPr="006F3B7A" w:rsidRDefault="006F3B7A" w:rsidP="006F3B7A">
      <w:pPr>
        <w:pStyle w:val="ListParagraph"/>
        <w:numPr>
          <w:ilvl w:val="1"/>
          <w:numId w:val="36"/>
        </w:numPr>
        <w:rPr>
          <w:rFonts w:ascii="Arial" w:hAnsi="Arial" w:cs="Arial"/>
          <w:sz w:val="22"/>
        </w:rPr>
      </w:pPr>
      <w:r w:rsidRPr="006F3B7A">
        <w:rPr>
          <w:rFonts w:ascii="Arial" w:hAnsi="Arial" w:cs="Arial"/>
          <w:sz w:val="22"/>
        </w:rPr>
        <w:t>suboptimal symptom management and second</w:t>
      </w:r>
      <w:r w:rsidR="00E57B3E">
        <w:rPr>
          <w:rFonts w:ascii="Arial" w:hAnsi="Arial" w:cs="Arial"/>
          <w:sz w:val="22"/>
        </w:rPr>
        <w:t>ary prevention in the community</w:t>
      </w:r>
    </w:p>
    <w:p w:rsidR="006F3B7A" w:rsidRPr="006F3B7A" w:rsidRDefault="006F3B7A" w:rsidP="006F3B7A">
      <w:pPr>
        <w:pStyle w:val="ListParagraph"/>
        <w:numPr>
          <w:ilvl w:val="1"/>
          <w:numId w:val="36"/>
        </w:numPr>
        <w:rPr>
          <w:rFonts w:ascii="Arial" w:hAnsi="Arial" w:cs="Arial"/>
          <w:sz w:val="22"/>
        </w:rPr>
      </w:pPr>
      <w:r w:rsidRPr="006F3B7A">
        <w:rPr>
          <w:rFonts w:ascii="Arial" w:hAnsi="Arial" w:cs="Arial"/>
          <w:sz w:val="22"/>
        </w:rPr>
        <w:t>suboptimal emergency care in the accident</w:t>
      </w:r>
      <w:r w:rsidR="00E57B3E">
        <w:rPr>
          <w:rFonts w:ascii="Arial" w:hAnsi="Arial" w:cs="Arial"/>
          <w:sz w:val="22"/>
        </w:rPr>
        <w:t xml:space="preserve"> and emergency (A&amp;E) department</w:t>
      </w:r>
    </w:p>
    <w:p w:rsidR="006F3B7A" w:rsidRPr="002F05EF" w:rsidRDefault="006F3B7A" w:rsidP="006F3B7A">
      <w:pPr>
        <w:pStyle w:val="ListParagraph"/>
        <w:numPr>
          <w:ilvl w:val="1"/>
          <w:numId w:val="36"/>
        </w:numPr>
        <w:rPr>
          <w:rFonts w:ascii="Arial" w:hAnsi="Arial" w:cs="Arial"/>
          <w:sz w:val="22"/>
        </w:rPr>
      </w:pPr>
      <w:r w:rsidRPr="006F3B7A">
        <w:rPr>
          <w:rFonts w:ascii="Arial" w:hAnsi="Arial" w:cs="Arial"/>
          <w:sz w:val="22"/>
        </w:rPr>
        <w:t>differences in admission criteria among paediatric clinicians</w:t>
      </w:r>
    </w:p>
    <w:p w:rsidR="002F05EF" w:rsidRPr="002F05EF" w:rsidRDefault="002F05EF" w:rsidP="002F05EF">
      <w:pPr>
        <w:rPr>
          <w:rFonts w:cs="Arial"/>
          <w:sz w:val="20"/>
          <w:szCs w:val="24"/>
        </w:rPr>
      </w:pPr>
    </w:p>
    <w:p w:rsidR="002F05EF" w:rsidRPr="002F05EF" w:rsidRDefault="002F05EF" w:rsidP="002F05EF">
      <w:pPr>
        <w:pStyle w:val="ListParagraph"/>
        <w:numPr>
          <w:ilvl w:val="0"/>
          <w:numId w:val="36"/>
        </w:numPr>
        <w:contextualSpacing/>
        <w:rPr>
          <w:rFonts w:ascii="Arial" w:hAnsi="Arial" w:cs="Arial"/>
          <w:sz w:val="22"/>
        </w:rPr>
      </w:pPr>
      <w:r w:rsidRPr="002F05EF">
        <w:rPr>
          <w:rFonts w:ascii="Arial" w:hAnsi="Arial" w:cs="Arial"/>
          <w:sz w:val="22"/>
        </w:rPr>
        <w:t>Medway children with complex health conditions experience longer hospital stays than children from similar CCGs and regionally: Medway is rated 196</w:t>
      </w:r>
      <w:r w:rsidRPr="002F05EF">
        <w:rPr>
          <w:rFonts w:ascii="Arial" w:hAnsi="Arial" w:cs="Arial"/>
          <w:sz w:val="22"/>
          <w:vertAlign w:val="superscript"/>
        </w:rPr>
        <w:t>th</w:t>
      </w:r>
      <w:r w:rsidR="00267EE6">
        <w:rPr>
          <w:rFonts w:ascii="Arial" w:hAnsi="Arial" w:cs="Arial"/>
          <w:sz w:val="22"/>
        </w:rPr>
        <w:t xml:space="preserve"> out of 221 CCGs</w:t>
      </w:r>
      <w:r w:rsidR="00594860">
        <w:rPr>
          <w:rFonts w:ascii="Arial" w:hAnsi="Arial" w:cs="Arial"/>
          <w:sz w:val="22"/>
        </w:rPr>
        <w:t xml:space="preserve"> for Length of Stay (LoS) for children with complex health conditions</w:t>
      </w:r>
    </w:p>
    <w:p w:rsidR="002F05EF" w:rsidRPr="002F05EF" w:rsidRDefault="002F05EF" w:rsidP="002F05EF">
      <w:pPr>
        <w:rPr>
          <w:rFonts w:cs="Arial"/>
          <w:sz w:val="20"/>
        </w:rPr>
      </w:pPr>
    </w:p>
    <w:p w:rsidR="002F05EF" w:rsidRPr="002F05EF" w:rsidRDefault="002F05EF" w:rsidP="002F05EF">
      <w:pPr>
        <w:pStyle w:val="ListParagraph"/>
        <w:numPr>
          <w:ilvl w:val="0"/>
          <w:numId w:val="36"/>
        </w:numPr>
        <w:rPr>
          <w:rFonts w:ascii="Arial" w:hAnsi="Arial" w:cs="Arial"/>
          <w:sz w:val="22"/>
        </w:rPr>
      </w:pPr>
      <w:r w:rsidRPr="002F05EF">
        <w:rPr>
          <w:rFonts w:ascii="Arial" w:hAnsi="Arial" w:cs="Arial"/>
          <w:sz w:val="22"/>
        </w:rPr>
        <w:t>Outpatient caseloads for ADHD are in line wit</w:t>
      </w:r>
      <w:r w:rsidR="00267EE6">
        <w:rPr>
          <w:rFonts w:ascii="Arial" w:hAnsi="Arial" w:cs="Arial"/>
          <w:sz w:val="22"/>
        </w:rPr>
        <w:t>h national prevalence estimates</w:t>
      </w:r>
    </w:p>
    <w:p w:rsidR="002F05EF" w:rsidRPr="002F05EF" w:rsidRDefault="002F05EF" w:rsidP="002F05EF">
      <w:pPr>
        <w:rPr>
          <w:rFonts w:cs="Arial"/>
          <w:sz w:val="20"/>
        </w:rPr>
      </w:pPr>
    </w:p>
    <w:p w:rsidR="002F05EF" w:rsidRPr="002F05EF" w:rsidRDefault="002F05EF" w:rsidP="002F05EF">
      <w:pPr>
        <w:pStyle w:val="ListParagraph"/>
        <w:numPr>
          <w:ilvl w:val="0"/>
          <w:numId w:val="36"/>
        </w:numPr>
        <w:contextualSpacing/>
        <w:rPr>
          <w:rFonts w:ascii="Arial" w:hAnsi="Arial" w:cs="Arial"/>
          <w:sz w:val="22"/>
        </w:rPr>
      </w:pPr>
      <w:r w:rsidRPr="002F05EF">
        <w:rPr>
          <w:rFonts w:ascii="Arial" w:hAnsi="Arial" w:cs="Arial"/>
          <w:sz w:val="22"/>
        </w:rPr>
        <w:t xml:space="preserve">A potential indicator of capacity issues is the percentage of appointments cancelled by the hospital with between </w:t>
      </w:r>
      <w:r w:rsidR="00CF23BE">
        <w:rPr>
          <w:rFonts w:ascii="Arial" w:hAnsi="Arial" w:cs="Arial"/>
          <w:sz w:val="22"/>
        </w:rPr>
        <w:t xml:space="preserve">1 and 6 week’s notice. The MFT </w:t>
      </w:r>
      <w:r w:rsidRPr="002F05EF">
        <w:rPr>
          <w:rFonts w:ascii="Arial" w:hAnsi="Arial" w:cs="Arial"/>
          <w:sz w:val="22"/>
        </w:rPr>
        <w:t>target for the percentage of appointments cancelled by the hospital with between one and six weeks</w:t>
      </w:r>
      <w:r w:rsidR="003453DE">
        <w:rPr>
          <w:rFonts w:ascii="Arial" w:hAnsi="Arial" w:cs="Arial"/>
          <w:sz w:val="22"/>
        </w:rPr>
        <w:t xml:space="preserve"> notice </w:t>
      </w:r>
      <w:r w:rsidRPr="002F05EF">
        <w:rPr>
          <w:rFonts w:ascii="Arial" w:hAnsi="Arial" w:cs="Arial"/>
          <w:sz w:val="22"/>
        </w:rPr>
        <w:t>is 10%, but the rate for the Community Paediatric department is 56.8% (8th</w:t>
      </w:r>
      <w:r w:rsidR="00267EE6">
        <w:rPr>
          <w:rFonts w:ascii="Arial" w:hAnsi="Arial" w:cs="Arial"/>
          <w:sz w:val="22"/>
        </w:rPr>
        <w:t xml:space="preserve"> highest out of 30 departments)</w:t>
      </w:r>
      <w:r w:rsidR="00601D27">
        <w:rPr>
          <w:rFonts w:ascii="Arial" w:hAnsi="Arial" w:cs="Arial"/>
          <w:sz w:val="22"/>
        </w:rPr>
        <w:t>, and is being investigated as a part of the review work.</w:t>
      </w:r>
    </w:p>
    <w:p w:rsidR="002F05EF" w:rsidRPr="002F05EF" w:rsidRDefault="002F05EF" w:rsidP="002F05EF">
      <w:pPr>
        <w:rPr>
          <w:rFonts w:cs="Arial"/>
          <w:sz w:val="20"/>
        </w:rPr>
      </w:pPr>
    </w:p>
    <w:p w:rsidR="002F05EF" w:rsidRPr="002F05EF" w:rsidRDefault="002F05EF" w:rsidP="002F05EF">
      <w:pPr>
        <w:pStyle w:val="ListParagraph"/>
        <w:numPr>
          <w:ilvl w:val="0"/>
          <w:numId w:val="36"/>
        </w:numPr>
        <w:rPr>
          <w:rFonts w:ascii="Arial" w:hAnsi="Arial" w:cs="Arial"/>
          <w:sz w:val="22"/>
        </w:rPr>
      </w:pPr>
      <w:r w:rsidRPr="002F05EF">
        <w:rPr>
          <w:rFonts w:ascii="Arial" w:hAnsi="Arial" w:cs="Arial"/>
          <w:sz w:val="22"/>
        </w:rPr>
        <w:lastRenderedPageBreak/>
        <w:t xml:space="preserve">Key local data which would tell us more about the needs of children and young people is </w:t>
      </w:r>
      <w:r w:rsidR="001F6102">
        <w:rPr>
          <w:rFonts w:ascii="Arial" w:hAnsi="Arial" w:cs="Arial"/>
          <w:sz w:val="22"/>
        </w:rPr>
        <w:t xml:space="preserve">not </w:t>
      </w:r>
      <w:r w:rsidR="002F3B0B">
        <w:rPr>
          <w:rFonts w:ascii="Arial" w:hAnsi="Arial" w:cs="Arial"/>
          <w:sz w:val="22"/>
        </w:rPr>
        <w:t xml:space="preserve">currently </w:t>
      </w:r>
      <w:r w:rsidR="001F6102">
        <w:rPr>
          <w:rFonts w:ascii="Arial" w:hAnsi="Arial" w:cs="Arial"/>
          <w:sz w:val="22"/>
        </w:rPr>
        <w:t>available</w:t>
      </w:r>
      <w:r w:rsidR="0053688B">
        <w:rPr>
          <w:rFonts w:ascii="Arial" w:hAnsi="Arial" w:cs="Arial"/>
          <w:sz w:val="22"/>
        </w:rPr>
        <w:t xml:space="preserve">, and limits further detailed </w:t>
      </w:r>
      <w:r w:rsidR="00AD2C45">
        <w:rPr>
          <w:rFonts w:ascii="Arial" w:hAnsi="Arial" w:cs="Arial"/>
          <w:sz w:val="22"/>
        </w:rPr>
        <w:t>information</w:t>
      </w:r>
      <w:r w:rsidR="0053688B">
        <w:rPr>
          <w:rFonts w:ascii="Arial" w:hAnsi="Arial" w:cs="Arial"/>
          <w:sz w:val="22"/>
        </w:rPr>
        <w:t xml:space="preserve"> that would otherwise be included in this needs analysis.</w:t>
      </w:r>
      <w:r w:rsidR="007A5BEF">
        <w:rPr>
          <w:rFonts w:ascii="Arial" w:hAnsi="Arial" w:cs="Arial"/>
          <w:sz w:val="22"/>
        </w:rPr>
        <w:t xml:space="preserve">  An agreed suite of caseload data common to all services would be beneficial, to include diagnosis, assessment, levels of activity, types of intervention and outcomes</w:t>
      </w:r>
      <w:r w:rsidR="00B319E3">
        <w:rPr>
          <w:rFonts w:ascii="Arial" w:hAnsi="Arial" w:cs="Arial"/>
          <w:sz w:val="22"/>
        </w:rPr>
        <w:t>.</w:t>
      </w:r>
    </w:p>
    <w:p w:rsidR="002D1D93" w:rsidRPr="00DB622E" w:rsidRDefault="003814D0" w:rsidP="00A2065F">
      <w:pPr>
        <w:pStyle w:val="Heading1"/>
        <w:numPr>
          <w:ilvl w:val="0"/>
          <w:numId w:val="47"/>
        </w:numPr>
      </w:pPr>
      <w:bookmarkStart w:id="3" w:name="_Toc434938014"/>
      <w:r>
        <w:t>General p</w:t>
      </w:r>
      <w:r w:rsidR="002D1D93">
        <w:t>revalence of childhood disabilit</w:t>
      </w:r>
      <w:r w:rsidR="005E3E26">
        <w:t>ies and impairments</w:t>
      </w:r>
      <w:bookmarkEnd w:id="3"/>
    </w:p>
    <w:p w:rsidR="002D1D93" w:rsidRDefault="00E1332D" w:rsidP="002D1D93">
      <w:pPr>
        <w:rPr>
          <w:i/>
        </w:rPr>
      </w:pPr>
      <w:r>
        <w:t>Assessments of the rate</w:t>
      </w:r>
      <w:r w:rsidR="002D1D93">
        <w:t xml:space="preserve"> of</w:t>
      </w:r>
      <w:r>
        <w:t xml:space="preserve"> UK</w:t>
      </w:r>
      <w:r w:rsidR="002D1D93">
        <w:t xml:space="preserve"> childhood disability vary somewhat according to the source, the definition and the ages of the children considered.  However, the most common definition of disability is based on the Disability Discrimination Act (DDA) and subsequently (from October 2010) the Equality Act (EA), which focuses on “</w:t>
      </w:r>
      <w:r w:rsidR="002D1D93" w:rsidRPr="008C7326">
        <w:rPr>
          <w:i/>
        </w:rPr>
        <w:t>physical or mental impairments that have a substantial and long-term adverse effect on a person’s ability to carry out normal day-to-day activities</w:t>
      </w:r>
      <w:r w:rsidR="002D1D93">
        <w:rPr>
          <w:i/>
        </w:rPr>
        <w:t>”.</w:t>
      </w:r>
    </w:p>
    <w:p w:rsidR="0018231E" w:rsidRDefault="0018231E" w:rsidP="002D1D93">
      <w:pPr>
        <w:rPr>
          <w:i/>
        </w:rPr>
      </w:pPr>
    </w:p>
    <w:p w:rsidR="0018231E" w:rsidRPr="0018231E" w:rsidRDefault="0018231E" w:rsidP="002D1D93">
      <w:r>
        <w:t xml:space="preserve">Two </w:t>
      </w:r>
      <w:r w:rsidR="0083743B">
        <w:t xml:space="preserve">useful studies are helpful </w:t>
      </w:r>
      <w:r>
        <w:t>in assessing pr</w:t>
      </w:r>
      <w:r w:rsidR="0083743B">
        <w:t>evalence</w:t>
      </w:r>
      <w:r>
        <w:t xml:space="preserve">: the Family Resources </w:t>
      </w:r>
      <w:r w:rsidR="00631484">
        <w:t>Survey</w:t>
      </w:r>
      <w:r>
        <w:t xml:space="preserve"> and research conducted by the Centre of Longitudinal Studies.</w:t>
      </w:r>
    </w:p>
    <w:p w:rsidR="002D1D93" w:rsidRPr="00E767AE" w:rsidRDefault="002D1D93" w:rsidP="00B95D21">
      <w:pPr>
        <w:pStyle w:val="Heading2"/>
        <w:numPr>
          <w:ilvl w:val="0"/>
          <w:numId w:val="12"/>
        </w:numPr>
      </w:pPr>
      <w:bookmarkStart w:id="4" w:name="_Toc434938015"/>
      <w:r w:rsidRPr="00E767AE">
        <w:t>Family Resources Survey 2013/14</w:t>
      </w:r>
      <w:r>
        <w:rPr>
          <w:rStyle w:val="FootnoteReference"/>
          <w:b w:val="0"/>
        </w:rPr>
        <w:footnoteReference w:id="11"/>
      </w:r>
      <w:bookmarkEnd w:id="4"/>
    </w:p>
    <w:p w:rsidR="002D1D93" w:rsidRPr="00027ADB" w:rsidRDefault="002D1D93" w:rsidP="002D1D93">
      <w:pPr>
        <w:pStyle w:val="ListParagraph"/>
        <w:numPr>
          <w:ilvl w:val="0"/>
          <w:numId w:val="4"/>
        </w:numPr>
        <w:spacing w:line="276" w:lineRule="auto"/>
        <w:contextualSpacing/>
        <w:rPr>
          <w:rFonts w:ascii="Arial" w:hAnsi="Arial" w:cs="Arial"/>
          <w:sz w:val="22"/>
        </w:rPr>
      </w:pPr>
      <w:r w:rsidRPr="00027ADB">
        <w:rPr>
          <w:rFonts w:ascii="Arial" w:hAnsi="Arial" w:cs="Arial"/>
          <w:sz w:val="22"/>
        </w:rPr>
        <w:t>Extensive information on disability is collected in the Family Resources Survey (FRS); it now stands as one of the key sources of information on the populations of disabled adults and children</w:t>
      </w:r>
      <w:r w:rsidRPr="00027ADB">
        <w:rPr>
          <w:rStyle w:val="FootnoteReference"/>
          <w:rFonts w:ascii="Arial" w:hAnsi="Arial" w:cs="Arial"/>
          <w:sz w:val="22"/>
        </w:rPr>
        <w:footnoteReference w:id="12"/>
      </w:r>
      <w:r w:rsidRPr="00027ADB">
        <w:rPr>
          <w:rFonts w:ascii="Arial" w:hAnsi="Arial" w:cs="Arial"/>
          <w:sz w:val="22"/>
        </w:rPr>
        <w:t xml:space="preserve">  </w:t>
      </w:r>
    </w:p>
    <w:p w:rsidR="002D1D93" w:rsidRPr="00027ADB" w:rsidRDefault="002D1D93" w:rsidP="002D1D93">
      <w:pPr>
        <w:pStyle w:val="ListParagraph"/>
        <w:numPr>
          <w:ilvl w:val="0"/>
          <w:numId w:val="4"/>
        </w:numPr>
        <w:spacing w:line="276" w:lineRule="auto"/>
        <w:contextualSpacing/>
        <w:rPr>
          <w:rFonts w:ascii="Arial" w:hAnsi="Arial" w:cs="Arial"/>
          <w:sz w:val="22"/>
        </w:rPr>
      </w:pPr>
      <w:r w:rsidRPr="00027ADB">
        <w:rPr>
          <w:rFonts w:ascii="Arial" w:hAnsi="Arial" w:cs="Arial"/>
          <w:sz w:val="22"/>
        </w:rPr>
        <w:t>The measure used is a longstanding illness, disability or infirmity which causes a significant diffic</w:t>
      </w:r>
      <w:r w:rsidR="00631484">
        <w:rPr>
          <w:rFonts w:ascii="Arial" w:hAnsi="Arial" w:cs="Arial"/>
          <w:sz w:val="22"/>
        </w:rPr>
        <w:t>ulty with day-to-day activities</w:t>
      </w:r>
      <w:r w:rsidRPr="00027ADB">
        <w:rPr>
          <w:rFonts w:ascii="Arial" w:hAnsi="Arial" w:cs="Arial"/>
          <w:sz w:val="22"/>
        </w:rPr>
        <w:t xml:space="preserve">  </w:t>
      </w:r>
    </w:p>
    <w:p w:rsidR="002D1D93" w:rsidRPr="00027ADB" w:rsidRDefault="002D1D93" w:rsidP="002D1D93">
      <w:pPr>
        <w:pStyle w:val="ListParagraph"/>
        <w:numPr>
          <w:ilvl w:val="0"/>
          <w:numId w:val="4"/>
        </w:numPr>
        <w:spacing w:line="276" w:lineRule="auto"/>
        <w:contextualSpacing/>
        <w:rPr>
          <w:rFonts w:ascii="Arial" w:hAnsi="Arial" w:cs="Arial"/>
          <w:sz w:val="22"/>
        </w:rPr>
      </w:pPr>
      <w:r w:rsidRPr="00027ADB">
        <w:rPr>
          <w:rFonts w:ascii="Arial" w:hAnsi="Arial" w:cs="Arial"/>
          <w:sz w:val="22"/>
        </w:rPr>
        <w:t>In 2013/14, 7% of children wer</w:t>
      </w:r>
      <w:r w:rsidR="009C070E">
        <w:rPr>
          <w:rFonts w:ascii="Arial" w:hAnsi="Arial" w:cs="Arial"/>
          <w:sz w:val="22"/>
        </w:rPr>
        <w:t>e considered disabled (see Fig.x</w:t>
      </w:r>
      <w:r w:rsidRPr="00027ADB">
        <w:rPr>
          <w:rFonts w:ascii="Arial" w:hAnsi="Arial" w:cs="Arial"/>
          <w:sz w:val="22"/>
        </w:rPr>
        <w:t>)</w:t>
      </w:r>
    </w:p>
    <w:p w:rsidR="002D1D93" w:rsidRDefault="002D1D93" w:rsidP="002D1D93">
      <w:pPr>
        <w:ind w:left="360"/>
      </w:pPr>
    </w:p>
    <w:tbl>
      <w:tblPr>
        <w:tblStyle w:val="LightList-Accent1"/>
        <w:tblW w:w="5000" w:type="pct"/>
        <w:tblLook w:val="04A0" w:firstRow="1" w:lastRow="0" w:firstColumn="1" w:lastColumn="0" w:noHBand="0" w:noVBand="1"/>
      </w:tblPr>
      <w:tblGrid>
        <w:gridCol w:w="4621"/>
        <w:gridCol w:w="4621"/>
      </w:tblGrid>
      <w:tr w:rsidR="002D1D93" w:rsidRPr="00B071E0" w:rsidTr="00091F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rsidR="002D1D93" w:rsidRPr="00B071E0" w:rsidRDefault="002D1D93" w:rsidP="007251D7">
            <w:pPr>
              <w:rPr>
                <w:b w:val="0"/>
              </w:rPr>
            </w:pPr>
            <w:r w:rsidRPr="00B071E0">
              <w:rPr>
                <w:b w:val="0"/>
              </w:rPr>
              <w:t>Age</w:t>
            </w:r>
          </w:p>
        </w:tc>
        <w:tc>
          <w:tcPr>
            <w:tcW w:w="2500" w:type="pct"/>
          </w:tcPr>
          <w:p w:rsidR="002D1D93" w:rsidRPr="00B071E0" w:rsidRDefault="002D1D93" w:rsidP="007251D7">
            <w:pPr>
              <w:cnfStyle w:val="100000000000" w:firstRow="1" w:lastRow="0" w:firstColumn="0" w:lastColumn="0" w:oddVBand="0" w:evenVBand="0" w:oddHBand="0" w:evenHBand="0" w:firstRowFirstColumn="0" w:firstRowLastColumn="0" w:lastRowFirstColumn="0" w:lastRowLastColumn="0"/>
              <w:rPr>
                <w:b w:val="0"/>
              </w:rPr>
            </w:pPr>
            <w:r w:rsidRPr="00B071E0">
              <w:rPr>
                <w:b w:val="0"/>
              </w:rPr>
              <w:t>% of all individuals</w:t>
            </w:r>
          </w:p>
        </w:tc>
      </w:tr>
      <w:tr w:rsidR="002D1D93" w:rsidTr="00091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rsidR="002D1D93" w:rsidRDefault="002D1D93" w:rsidP="007251D7">
            <w:r>
              <w:t>0-4</w:t>
            </w:r>
          </w:p>
        </w:tc>
        <w:tc>
          <w:tcPr>
            <w:tcW w:w="2500" w:type="pct"/>
          </w:tcPr>
          <w:p w:rsidR="002D1D93" w:rsidRDefault="002D1D93" w:rsidP="007251D7">
            <w:pPr>
              <w:cnfStyle w:val="000000100000" w:firstRow="0" w:lastRow="0" w:firstColumn="0" w:lastColumn="0" w:oddVBand="0" w:evenVBand="0" w:oddHBand="1" w:evenHBand="0" w:firstRowFirstColumn="0" w:firstRowLastColumn="0" w:lastRowFirstColumn="0" w:lastRowLastColumn="0"/>
            </w:pPr>
            <w:r>
              <w:t>4</w:t>
            </w:r>
          </w:p>
        </w:tc>
      </w:tr>
      <w:tr w:rsidR="002D1D93" w:rsidTr="00091FB9">
        <w:tc>
          <w:tcPr>
            <w:cnfStyle w:val="001000000000" w:firstRow="0" w:lastRow="0" w:firstColumn="1" w:lastColumn="0" w:oddVBand="0" w:evenVBand="0" w:oddHBand="0" w:evenHBand="0" w:firstRowFirstColumn="0" w:firstRowLastColumn="0" w:lastRowFirstColumn="0" w:lastRowLastColumn="0"/>
            <w:tcW w:w="2500" w:type="pct"/>
          </w:tcPr>
          <w:p w:rsidR="002D1D93" w:rsidRDefault="002D1D93" w:rsidP="007251D7">
            <w:r>
              <w:t>5-9</w:t>
            </w:r>
          </w:p>
        </w:tc>
        <w:tc>
          <w:tcPr>
            <w:tcW w:w="2500" w:type="pct"/>
          </w:tcPr>
          <w:p w:rsidR="002D1D93" w:rsidRDefault="002D1D93" w:rsidP="007251D7">
            <w:pPr>
              <w:cnfStyle w:val="000000000000" w:firstRow="0" w:lastRow="0" w:firstColumn="0" w:lastColumn="0" w:oddVBand="0" w:evenVBand="0" w:oddHBand="0" w:evenHBand="0" w:firstRowFirstColumn="0" w:firstRowLastColumn="0" w:lastRowFirstColumn="0" w:lastRowLastColumn="0"/>
            </w:pPr>
            <w:r>
              <w:t>7</w:t>
            </w:r>
          </w:p>
        </w:tc>
      </w:tr>
      <w:tr w:rsidR="002D1D93" w:rsidTr="00091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rsidR="002D1D93" w:rsidRDefault="002D1D93" w:rsidP="007251D7">
            <w:r>
              <w:t>10-14</w:t>
            </w:r>
          </w:p>
        </w:tc>
        <w:tc>
          <w:tcPr>
            <w:tcW w:w="2500" w:type="pct"/>
          </w:tcPr>
          <w:p w:rsidR="002D1D93" w:rsidRDefault="002D1D93" w:rsidP="007251D7">
            <w:pPr>
              <w:cnfStyle w:val="000000100000" w:firstRow="0" w:lastRow="0" w:firstColumn="0" w:lastColumn="0" w:oddVBand="0" w:evenVBand="0" w:oddHBand="1" w:evenHBand="0" w:firstRowFirstColumn="0" w:firstRowLastColumn="0" w:lastRowFirstColumn="0" w:lastRowLastColumn="0"/>
            </w:pPr>
            <w:r>
              <w:t>9</w:t>
            </w:r>
          </w:p>
        </w:tc>
      </w:tr>
      <w:tr w:rsidR="002D1D93" w:rsidTr="00091FB9">
        <w:tc>
          <w:tcPr>
            <w:cnfStyle w:val="001000000000" w:firstRow="0" w:lastRow="0" w:firstColumn="1" w:lastColumn="0" w:oddVBand="0" w:evenVBand="0" w:oddHBand="0" w:evenHBand="0" w:firstRowFirstColumn="0" w:firstRowLastColumn="0" w:lastRowFirstColumn="0" w:lastRowLastColumn="0"/>
            <w:tcW w:w="2500" w:type="pct"/>
          </w:tcPr>
          <w:p w:rsidR="002D1D93" w:rsidRDefault="002D1D93" w:rsidP="007251D7">
            <w:r>
              <w:t>15-19</w:t>
            </w:r>
          </w:p>
        </w:tc>
        <w:tc>
          <w:tcPr>
            <w:tcW w:w="2500" w:type="pct"/>
          </w:tcPr>
          <w:p w:rsidR="002D1D93" w:rsidRDefault="002D1D93" w:rsidP="007251D7">
            <w:pPr>
              <w:cnfStyle w:val="000000000000" w:firstRow="0" w:lastRow="0" w:firstColumn="0" w:lastColumn="0" w:oddVBand="0" w:evenVBand="0" w:oddHBand="0" w:evenHBand="0" w:firstRowFirstColumn="0" w:firstRowLastColumn="0" w:lastRowFirstColumn="0" w:lastRowLastColumn="0"/>
            </w:pPr>
            <w:r>
              <w:t>8</w:t>
            </w:r>
          </w:p>
        </w:tc>
      </w:tr>
      <w:tr w:rsidR="002D1D93" w:rsidTr="00091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rsidR="002D1D93" w:rsidRDefault="002D1D93" w:rsidP="007251D7">
            <w:r>
              <w:t>Across all ages</w:t>
            </w:r>
          </w:p>
        </w:tc>
        <w:tc>
          <w:tcPr>
            <w:tcW w:w="2500" w:type="pct"/>
          </w:tcPr>
          <w:p w:rsidR="002D1D93" w:rsidRDefault="002D1D93" w:rsidP="007251D7">
            <w:pPr>
              <w:cnfStyle w:val="000000100000" w:firstRow="0" w:lastRow="0" w:firstColumn="0" w:lastColumn="0" w:oddVBand="0" w:evenVBand="0" w:oddHBand="1" w:evenHBand="0" w:firstRowFirstColumn="0" w:firstRowLastColumn="0" w:lastRowFirstColumn="0" w:lastRowLastColumn="0"/>
            </w:pPr>
            <w:r>
              <w:t>7</w:t>
            </w:r>
          </w:p>
        </w:tc>
      </w:tr>
    </w:tbl>
    <w:p w:rsidR="00045280" w:rsidRDefault="00045280" w:rsidP="00045280">
      <w:pPr>
        <w:pStyle w:val="Caption"/>
      </w:pPr>
      <w:r>
        <w:t xml:space="preserve">Figure </w:t>
      </w:r>
      <w:r w:rsidR="00156E8B">
        <w:fldChar w:fldCharType="begin"/>
      </w:r>
      <w:r w:rsidR="00156E8B">
        <w:instrText xml:space="preserve"> SEQ Figure \* ARABIC </w:instrText>
      </w:r>
      <w:r w:rsidR="00156E8B">
        <w:fldChar w:fldCharType="separate"/>
      </w:r>
      <w:r w:rsidR="005C553C">
        <w:rPr>
          <w:noProof/>
        </w:rPr>
        <w:t>2</w:t>
      </w:r>
      <w:r w:rsidR="00156E8B">
        <w:rPr>
          <w:noProof/>
        </w:rPr>
        <w:fldChar w:fldCharType="end"/>
      </w:r>
      <w:r>
        <w:t xml:space="preserve"> Childhood disability estimates, FRS</w:t>
      </w:r>
    </w:p>
    <w:p w:rsidR="002D1D93" w:rsidRDefault="00B95D21" w:rsidP="00B95D21">
      <w:pPr>
        <w:pStyle w:val="Heading2"/>
        <w:numPr>
          <w:ilvl w:val="0"/>
          <w:numId w:val="12"/>
        </w:numPr>
      </w:pPr>
      <w:r>
        <w:t xml:space="preserve"> </w:t>
      </w:r>
      <w:bookmarkStart w:id="5" w:name="_Toc434938016"/>
      <w:r w:rsidR="002D1D93">
        <w:t>Centre for Longitudinal Studies, University of London 2013</w:t>
      </w:r>
      <w:r w:rsidR="002D1D93">
        <w:rPr>
          <w:rStyle w:val="FootnoteReference"/>
        </w:rPr>
        <w:footnoteReference w:id="13"/>
      </w:r>
      <w:bookmarkEnd w:id="5"/>
    </w:p>
    <w:p w:rsidR="002D1D93" w:rsidRDefault="002D1D93" w:rsidP="002D1D93">
      <w:r>
        <w:t>This research examined disability in children via two cohort studies:</w:t>
      </w:r>
    </w:p>
    <w:p w:rsidR="002D1D93" w:rsidRDefault="002D1D93" w:rsidP="002D1D93"/>
    <w:p w:rsidR="002D1D93" w:rsidRPr="00027ADB" w:rsidRDefault="002D1D93" w:rsidP="002D1D93">
      <w:pPr>
        <w:rPr>
          <w:rStyle w:val="Emphasis"/>
          <w:rFonts w:cs="Arial"/>
          <w:iCs w:val="0"/>
        </w:rPr>
      </w:pPr>
      <w:r w:rsidRPr="00027ADB">
        <w:rPr>
          <w:rStyle w:val="Emphasis"/>
          <w:rFonts w:cs="Arial"/>
          <w:iCs w:val="0"/>
        </w:rPr>
        <w:t xml:space="preserve">The Millennium Cohort Study (MCS) </w:t>
      </w:r>
    </w:p>
    <w:p w:rsidR="002D1D93" w:rsidRPr="00027ADB" w:rsidRDefault="002D1D93" w:rsidP="002D1D93">
      <w:pPr>
        <w:pStyle w:val="ListParagraph"/>
        <w:numPr>
          <w:ilvl w:val="0"/>
          <w:numId w:val="3"/>
        </w:numPr>
        <w:spacing w:line="276" w:lineRule="auto"/>
        <w:contextualSpacing/>
        <w:rPr>
          <w:rFonts w:ascii="Arial" w:hAnsi="Arial" w:cs="Arial"/>
          <w:sz w:val="22"/>
          <w:szCs w:val="22"/>
        </w:rPr>
      </w:pPr>
      <w:r w:rsidRPr="00027ADB">
        <w:rPr>
          <w:rFonts w:ascii="Arial" w:hAnsi="Arial" w:cs="Arial"/>
          <w:sz w:val="22"/>
          <w:szCs w:val="22"/>
        </w:rPr>
        <w:t xml:space="preserve">19,000 children born in 2000-2001 and surveyed at 9 months, and </w:t>
      </w:r>
      <w:r w:rsidR="00045280">
        <w:rPr>
          <w:rFonts w:ascii="Arial" w:hAnsi="Arial" w:cs="Arial"/>
          <w:sz w:val="22"/>
          <w:szCs w:val="22"/>
        </w:rPr>
        <w:t xml:space="preserve">at </w:t>
      </w:r>
      <w:r w:rsidRPr="00027ADB">
        <w:rPr>
          <w:rFonts w:ascii="Arial" w:hAnsi="Arial" w:cs="Arial"/>
          <w:sz w:val="22"/>
          <w:szCs w:val="22"/>
        </w:rPr>
        <w:t>ages 3, 5 and 7 years</w:t>
      </w:r>
    </w:p>
    <w:p w:rsidR="002D1D93" w:rsidRDefault="002D1D93" w:rsidP="002D1D93">
      <w:pPr>
        <w:pStyle w:val="ListParagraph"/>
        <w:numPr>
          <w:ilvl w:val="0"/>
          <w:numId w:val="3"/>
        </w:numPr>
        <w:spacing w:line="276" w:lineRule="auto"/>
        <w:contextualSpacing/>
        <w:rPr>
          <w:rFonts w:ascii="Arial" w:hAnsi="Arial" w:cs="Arial"/>
          <w:sz w:val="22"/>
          <w:szCs w:val="22"/>
        </w:rPr>
      </w:pPr>
      <w:r w:rsidRPr="00027ADB">
        <w:rPr>
          <w:rFonts w:ascii="Arial" w:hAnsi="Arial" w:cs="Arial"/>
          <w:sz w:val="22"/>
          <w:szCs w:val="22"/>
        </w:rPr>
        <w:t>11% of the sample were considered to have a long standing illness which limited day-to-day activity e</w:t>
      </w:r>
      <w:r w:rsidR="0083743B">
        <w:rPr>
          <w:rFonts w:ascii="Arial" w:hAnsi="Arial" w:cs="Arial"/>
          <w:sz w:val="22"/>
          <w:szCs w:val="22"/>
        </w:rPr>
        <w:t>.</w:t>
      </w:r>
      <w:r w:rsidRPr="00027ADB">
        <w:rPr>
          <w:rFonts w:ascii="Arial" w:hAnsi="Arial" w:cs="Arial"/>
          <w:sz w:val="22"/>
          <w:szCs w:val="22"/>
        </w:rPr>
        <w:t>g</w:t>
      </w:r>
      <w:r w:rsidR="0083743B">
        <w:rPr>
          <w:rFonts w:ascii="Arial" w:hAnsi="Arial" w:cs="Arial"/>
          <w:sz w:val="22"/>
          <w:szCs w:val="22"/>
        </w:rPr>
        <w:t>.</w:t>
      </w:r>
      <w:r w:rsidRPr="00027ADB">
        <w:rPr>
          <w:rFonts w:ascii="Arial" w:hAnsi="Arial" w:cs="Arial"/>
          <w:sz w:val="22"/>
          <w:szCs w:val="22"/>
        </w:rPr>
        <w:t xml:space="preserve"> </w:t>
      </w:r>
      <w:hyperlink w:anchor="diabetes" w:history="1">
        <w:r w:rsidRPr="00734DA4">
          <w:rPr>
            <w:rStyle w:val="Hyperlink"/>
            <w:rFonts w:ascii="Arial" w:hAnsi="Arial" w:cs="Arial"/>
            <w:sz w:val="22"/>
            <w:szCs w:val="22"/>
          </w:rPr>
          <w:t>Type 1 diabetes</w:t>
        </w:r>
      </w:hyperlink>
      <w:r w:rsidRPr="00027ADB">
        <w:rPr>
          <w:rFonts w:ascii="Arial" w:hAnsi="Arial" w:cs="Arial"/>
          <w:sz w:val="22"/>
          <w:szCs w:val="22"/>
        </w:rPr>
        <w:t>, asthma, mental health problems and physical impairments</w:t>
      </w:r>
    </w:p>
    <w:p w:rsidR="00631484" w:rsidRPr="00631484" w:rsidRDefault="00631484" w:rsidP="00631484">
      <w:pPr>
        <w:ind w:left="360"/>
        <w:contextualSpacing/>
        <w:rPr>
          <w:rFonts w:cs="Arial"/>
        </w:rPr>
      </w:pPr>
    </w:p>
    <w:p w:rsidR="002D1D93" w:rsidRPr="00027ADB" w:rsidRDefault="002D1D93" w:rsidP="002D1D93">
      <w:pPr>
        <w:rPr>
          <w:rFonts w:cs="Arial"/>
          <w:i/>
        </w:rPr>
      </w:pPr>
      <w:r w:rsidRPr="00027ADB">
        <w:rPr>
          <w:rFonts w:cs="Arial"/>
          <w:i/>
        </w:rPr>
        <w:t xml:space="preserve">The Longitudinal Study of Young People in England (LSYPE) </w:t>
      </w:r>
    </w:p>
    <w:p w:rsidR="002D1D93" w:rsidRPr="00027ADB" w:rsidRDefault="002D1D93" w:rsidP="002D1D93">
      <w:pPr>
        <w:pStyle w:val="ListParagraph"/>
        <w:numPr>
          <w:ilvl w:val="0"/>
          <w:numId w:val="5"/>
        </w:numPr>
        <w:spacing w:line="276" w:lineRule="auto"/>
        <w:contextualSpacing/>
        <w:rPr>
          <w:rFonts w:ascii="Arial" w:hAnsi="Arial" w:cs="Arial"/>
          <w:sz w:val="22"/>
          <w:szCs w:val="22"/>
        </w:rPr>
      </w:pPr>
      <w:r w:rsidRPr="00027ADB">
        <w:rPr>
          <w:rFonts w:ascii="Arial" w:hAnsi="Arial" w:cs="Arial"/>
          <w:sz w:val="22"/>
          <w:szCs w:val="22"/>
        </w:rPr>
        <w:lastRenderedPageBreak/>
        <w:t xml:space="preserve">Large scale representative study of nearly 16,000 young people born in the early 1990s </w:t>
      </w:r>
    </w:p>
    <w:p w:rsidR="002D1D93" w:rsidRPr="00027ADB" w:rsidRDefault="002D1D93" w:rsidP="002D1D93">
      <w:pPr>
        <w:pStyle w:val="ListParagraph"/>
        <w:numPr>
          <w:ilvl w:val="0"/>
          <w:numId w:val="5"/>
        </w:numPr>
        <w:spacing w:line="276" w:lineRule="auto"/>
        <w:contextualSpacing/>
        <w:rPr>
          <w:rFonts w:ascii="Arial" w:hAnsi="Arial" w:cs="Arial"/>
          <w:sz w:val="22"/>
          <w:szCs w:val="22"/>
        </w:rPr>
      </w:pPr>
      <w:r w:rsidRPr="00027ADB">
        <w:rPr>
          <w:rFonts w:ascii="Arial" w:hAnsi="Arial" w:cs="Arial"/>
          <w:sz w:val="22"/>
          <w:szCs w:val="22"/>
        </w:rPr>
        <w:t>7% fell into the category of long standing illness which limited day to day activity, mirroring the findings</w:t>
      </w:r>
      <w:r w:rsidR="00045280">
        <w:rPr>
          <w:rFonts w:ascii="Arial" w:hAnsi="Arial" w:cs="Arial"/>
          <w:sz w:val="22"/>
          <w:szCs w:val="22"/>
        </w:rPr>
        <w:t xml:space="preserve"> of the Family Resources Survey</w:t>
      </w:r>
    </w:p>
    <w:p w:rsidR="001F0DDC" w:rsidRPr="00825C9A" w:rsidRDefault="001F0DDC" w:rsidP="00A2065F">
      <w:pPr>
        <w:pStyle w:val="Heading1"/>
        <w:numPr>
          <w:ilvl w:val="0"/>
          <w:numId w:val="47"/>
        </w:numPr>
      </w:pPr>
      <w:bookmarkStart w:id="6" w:name="_Toc434938017"/>
      <w:r w:rsidRPr="00825C9A">
        <w:t>Medway Prevalence</w:t>
      </w:r>
      <w:bookmarkEnd w:id="6"/>
    </w:p>
    <w:p w:rsidR="008C7291" w:rsidRPr="00272557" w:rsidRDefault="008C7291" w:rsidP="002D1208">
      <w:pPr>
        <w:rPr>
          <w:rFonts w:cs="HelveticaNeueLT Std Lt"/>
          <w:color w:val="000000"/>
        </w:rPr>
      </w:pPr>
      <w:r w:rsidRPr="00272557">
        <w:rPr>
          <w:rFonts w:cs="HelveticaNeueLT Std Lt"/>
          <w:color w:val="000000"/>
        </w:rPr>
        <w:t xml:space="preserve">The </w:t>
      </w:r>
      <w:r w:rsidRPr="00272557">
        <w:t>CHIMAT</w:t>
      </w:r>
      <w:r w:rsidRPr="00272557">
        <w:rPr>
          <w:rStyle w:val="FootnoteReference"/>
        </w:rPr>
        <w:footnoteReference w:id="14"/>
      </w:r>
      <w:r w:rsidRPr="00272557">
        <w:t xml:space="preserve"> Medway Disability Needs Assessment estimates that 12,263 of Medway </w:t>
      </w:r>
      <w:r w:rsidR="00445F69" w:rsidRPr="00272557">
        <w:t>children and young people</w:t>
      </w:r>
      <w:r w:rsidRPr="00272557">
        <w:t xml:space="preserve"> may be living with longstanding illness or ‘mild’ disability, with an additional 49 being ‘severely disabled’.  This equates to 18% of the </w:t>
      </w:r>
      <w:r w:rsidR="008A1318" w:rsidRPr="00272557">
        <w:t xml:space="preserve">ONS </w:t>
      </w:r>
      <w:r w:rsidRPr="00272557">
        <w:t xml:space="preserve">0-19 population.  </w:t>
      </w:r>
      <w:r w:rsidR="00C63713" w:rsidRPr="00272557">
        <w:t xml:space="preserve">The methodology used is </w:t>
      </w:r>
      <w:r w:rsidR="00445F69" w:rsidRPr="00272557">
        <w:t>a</w:t>
      </w:r>
      <w:r w:rsidR="00C63713" w:rsidRPr="00272557">
        <w:t xml:space="preserve"> project</w:t>
      </w:r>
      <w:r w:rsidR="00445F69" w:rsidRPr="00272557">
        <w:t>ion of</w:t>
      </w:r>
      <w:r w:rsidR="00C63713" w:rsidRPr="00272557">
        <w:t xml:space="preserve"> the prevalence rates calculated by the Office of National Statistics (ONS) in 2004 using data from the General Household Survey and the Family Fund Trust register of applicants</w:t>
      </w:r>
      <w:r w:rsidR="00445F69" w:rsidRPr="00272557">
        <w:t xml:space="preserve"> on to 2011 child population figures</w:t>
      </w:r>
      <w:r w:rsidR="00C63713" w:rsidRPr="00272557">
        <w:t>.</w:t>
      </w:r>
      <w:r w:rsidR="00445F69" w:rsidRPr="00272557">
        <w:t xml:space="preserve">  This would seem an overestimation when compared to the studies above, and may more closely reflect the rates of Special Educational Need experienced by children at any one time (commonly assessed as 20%).</w:t>
      </w:r>
    </w:p>
    <w:p w:rsidR="008C7291" w:rsidRDefault="008C7291" w:rsidP="001C7E9F"/>
    <w:p w:rsidR="001C7E9F" w:rsidRDefault="001C7E9F" w:rsidP="001C7E9F">
      <w:r>
        <w:t>Globally, school readiness is gaining currency as an indicator</w:t>
      </w:r>
      <w:r w:rsidR="009F6754">
        <w:t xml:space="preserve"> of </w:t>
      </w:r>
      <w:r>
        <w:t xml:space="preserve">full developmental potential among young children. </w:t>
      </w:r>
      <w:r w:rsidR="002D1208">
        <w:t xml:space="preserve"> </w:t>
      </w:r>
      <w:r>
        <w:t>It does so by considering all children, especially the vulnerable and disadvantaged, including children with disabilities, ethnic minorities and those living in rural areas.</w:t>
      </w:r>
    </w:p>
    <w:p w:rsidR="001C7E9F" w:rsidRDefault="00045280" w:rsidP="00045280">
      <w:pPr>
        <w:pStyle w:val="Caption"/>
      </w:pPr>
      <w:r>
        <w:t xml:space="preserve">Figure </w:t>
      </w:r>
      <w:r w:rsidR="00156E8B">
        <w:fldChar w:fldCharType="begin"/>
      </w:r>
      <w:r w:rsidR="00156E8B">
        <w:instrText xml:space="preserve"> SEQ Figure \* ARABIC </w:instrText>
      </w:r>
      <w:r w:rsidR="00156E8B">
        <w:fldChar w:fldCharType="separate"/>
      </w:r>
      <w:r w:rsidR="005C553C">
        <w:rPr>
          <w:noProof/>
        </w:rPr>
        <w:t>3</w:t>
      </w:r>
      <w:r w:rsidR="00156E8B">
        <w:rPr>
          <w:noProof/>
        </w:rPr>
        <w:fldChar w:fldCharType="end"/>
      </w:r>
      <w:r>
        <w:t xml:space="preserve"> Percentage of children achieving expected developmental goals</w:t>
      </w:r>
    </w:p>
    <w:p w:rsidR="001F0DDC" w:rsidRDefault="001F0DDC" w:rsidP="002D1D93">
      <w:r>
        <w:t>Elements from the Early Years foundation stage profile 2014</w:t>
      </w:r>
      <w:r w:rsidR="00C77C6F">
        <w:rPr>
          <w:rStyle w:val="FootnoteReference"/>
        </w:rPr>
        <w:footnoteReference w:id="15"/>
      </w:r>
      <w:r>
        <w:t xml:space="preserve"> show that </w:t>
      </w:r>
      <w:r w:rsidR="00763049">
        <w:t xml:space="preserve">the percentage of </w:t>
      </w:r>
      <w:r>
        <w:t xml:space="preserve">young children in Medway </w:t>
      </w:r>
      <w:r w:rsidR="00763049">
        <w:t>achieving</w:t>
      </w:r>
      <w:r>
        <w:t xml:space="preserve"> </w:t>
      </w:r>
      <w:r w:rsidR="00763049">
        <w:t xml:space="preserve">their expected developmental goals is </w:t>
      </w:r>
      <w:r w:rsidR="00A210B2">
        <w:t>slightly better than the England average, and in line with statistical neighbours and regional figures</w:t>
      </w:r>
      <w:r w:rsidR="00045280">
        <w:t xml:space="preserve"> (Figure 3).</w:t>
      </w:r>
      <w:r w:rsidR="00C80D98">
        <w:t>.</w:t>
      </w:r>
      <w:r>
        <w:t xml:space="preserve"> </w:t>
      </w:r>
    </w:p>
    <w:tbl>
      <w:tblPr>
        <w:tblStyle w:val="LightList-Accent1"/>
        <w:tblpPr w:leftFromText="180" w:rightFromText="180" w:vertAnchor="page" w:horzAnchor="margin" w:tblpY="7787"/>
        <w:tblW w:w="5000" w:type="pct"/>
        <w:tblLook w:val="04A0" w:firstRow="1" w:lastRow="0" w:firstColumn="1" w:lastColumn="0" w:noHBand="0" w:noVBand="1"/>
      </w:tblPr>
      <w:tblGrid>
        <w:gridCol w:w="717"/>
        <w:gridCol w:w="4534"/>
        <w:gridCol w:w="1331"/>
        <w:gridCol w:w="1331"/>
        <w:gridCol w:w="1329"/>
      </w:tblGrid>
      <w:tr w:rsidR="00C80D98" w:rsidRPr="00BB06D9" w:rsidTr="00045280">
        <w:trPr>
          <w:cnfStyle w:val="100000000000" w:firstRow="1" w:lastRow="0" w:firstColumn="0" w:lastColumn="0" w:oddVBand="0" w:evenVBand="0" w:oddHBand="0"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2841" w:type="pct"/>
            <w:gridSpan w:val="2"/>
            <w:noWrap/>
            <w:hideMark/>
          </w:tcPr>
          <w:p w:rsidR="00C80D98" w:rsidRPr="00C80D98" w:rsidRDefault="00C80D98" w:rsidP="00045280">
            <w:pPr>
              <w:rPr>
                <w:rFonts w:eastAsia="Times New Roman" w:cs="Arial"/>
                <w:color w:val="000000"/>
                <w:lang w:eastAsia="en-GB"/>
              </w:rPr>
            </w:pPr>
          </w:p>
        </w:tc>
        <w:tc>
          <w:tcPr>
            <w:tcW w:w="720" w:type="pct"/>
            <w:hideMark/>
          </w:tcPr>
          <w:p w:rsidR="00C80D98" w:rsidRPr="00C80D98" w:rsidRDefault="00C80D98" w:rsidP="00045280">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lang w:eastAsia="en-GB"/>
              </w:rPr>
            </w:pPr>
            <w:r w:rsidRPr="00734861">
              <w:rPr>
                <w:rFonts w:eastAsia="Times New Roman" w:cs="Arial"/>
                <w:lang w:eastAsia="en-GB"/>
              </w:rPr>
              <w:t>2013</w:t>
            </w:r>
          </w:p>
        </w:tc>
        <w:tc>
          <w:tcPr>
            <w:tcW w:w="720" w:type="pct"/>
            <w:hideMark/>
          </w:tcPr>
          <w:p w:rsidR="00C80D98" w:rsidRPr="00C80D98" w:rsidRDefault="00C80D98" w:rsidP="00045280">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lang w:eastAsia="en-GB"/>
              </w:rPr>
            </w:pPr>
            <w:r w:rsidRPr="00734861">
              <w:rPr>
                <w:rFonts w:eastAsia="Times New Roman" w:cs="Arial"/>
                <w:lang w:eastAsia="en-GB"/>
              </w:rPr>
              <w:t>2014</w:t>
            </w:r>
          </w:p>
        </w:tc>
        <w:tc>
          <w:tcPr>
            <w:tcW w:w="719" w:type="pct"/>
          </w:tcPr>
          <w:p w:rsidR="00C80D98" w:rsidRPr="00C80D98" w:rsidRDefault="00C80D98" w:rsidP="00045280">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lang w:eastAsia="en-GB"/>
              </w:rPr>
            </w:pPr>
          </w:p>
        </w:tc>
      </w:tr>
      <w:tr w:rsidR="00C80D98" w:rsidRPr="00BB06D9" w:rsidTr="0004528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88" w:type="pct"/>
            <w:noWrap/>
            <w:hideMark/>
          </w:tcPr>
          <w:p w:rsidR="00C80D98" w:rsidRPr="00C80D98" w:rsidRDefault="00C80D98" w:rsidP="00045280">
            <w:pPr>
              <w:jc w:val="center"/>
              <w:rPr>
                <w:rFonts w:eastAsia="Times New Roman" w:cs="Arial"/>
                <w:color w:val="31869B"/>
                <w:lang w:eastAsia="en-GB"/>
              </w:rPr>
            </w:pPr>
          </w:p>
        </w:tc>
        <w:tc>
          <w:tcPr>
            <w:tcW w:w="2453" w:type="pct"/>
            <w:noWrap/>
            <w:hideMark/>
          </w:tcPr>
          <w:p w:rsidR="00C80D98" w:rsidRPr="00C80D98" w:rsidRDefault="00C80D98" w:rsidP="00045280">
            <w:pPr>
              <w:cnfStyle w:val="000000100000" w:firstRow="0" w:lastRow="0" w:firstColumn="0" w:lastColumn="0" w:oddVBand="0" w:evenVBand="0" w:oddHBand="1" w:evenHBand="0" w:firstRowFirstColumn="0" w:firstRowLastColumn="0" w:lastRowFirstColumn="0" w:lastRowLastColumn="0"/>
              <w:rPr>
                <w:rFonts w:eastAsia="Times New Roman" w:cs="Arial"/>
                <w:b/>
                <w:bCs/>
                <w:color w:val="31869B"/>
                <w:lang w:eastAsia="en-GB"/>
              </w:rPr>
            </w:pPr>
            <w:r w:rsidRPr="00C80D98">
              <w:rPr>
                <w:rFonts w:eastAsia="Times New Roman" w:cs="Arial"/>
                <w:b/>
                <w:bCs/>
                <w:color w:val="31869B"/>
                <w:lang w:eastAsia="en-GB"/>
              </w:rPr>
              <w:t>Medway</w:t>
            </w:r>
          </w:p>
        </w:tc>
        <w:tc>
          <w:tcPr>
            <w:tcW w:w="720" w:type="pct"/>
            <w:noWrap/>
            <w:hideMark/>
          </w:tcPr>
          <w:p w:rsidR="00C80D98" w:rsidRPr="00C80D98" w:rsidRDefault="00C80D98" w:rsidP="00045280">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31869B"/>
                <w:lang w:eastAsia="en-GB"/>
              </w:rPr>
            </w:pPr>
            <w:r w:rsidRPr="00C80D98">
              <w:rPr>
                <w:rFonts w:eastAsia="Times New Roman" w:cs="Arial"/>
                <w:b/>
                <w:bCs/>
                <w:color w:val="31869B"/>
                <w:lang w:eastAsia="en-GB"/>
              </w:rPr>
              <w:t>33.60</w:t>
            </w:r>
          </w:p>
        </w:tc>
        <w:tc>
          <w:tcPr>
            <w:tcW w:w="720" w:type="pct"/>
            <w:noWrap/>
            <w:hideMark/>
          </w:tcPr>
          <w:p w:rsidR="00C80D98" w:rsidRPr="00C80D98" w:rsidRDefault="00C80D98" w:rsidP="00045280">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31869B"/>
                <w:lang w:eastAsia="en-GB"/>
              </w:rPr>
            </w:pPr>
            <w:r w:rsidRPr="00C80D98">
              <w:rPr>
                <w:rFonts w:eastAsia="Times New Roman" w:cs="Arial"/>
                <w:b/>
                <w:bCs/>
                <w:color w:val="31869B"/>
                <w:lang w:eastAsia="en-GB"/>
              </w:rPr>
              <w:t>34.00</w:t>
            </w:r>
          </w:p>
        </w:tc>
        <w:tc>
          <w:tcPr>
            <w:tcW w:w="719" w:type="pct"/>
            <w:noWrap/>
          </w:tcPr>
          <w:p w:rsidR="00C80D98" w:rsidRPr="00C80D98" w:rsidRDefault="00C80D98" w:rsidP="00045280">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31869B"/>
                <w:lang w:eastAsia="en-GB"/>
              </w:rPr>
            </w:pPr>
          </w:p>
        </w:tc>
      </w:tr>
      <w:tr w:rsidR="00C80D98" w:rsidRPr="00BB06D9" w:rsidTr="00045280">
        <w:trPr>
          <w:trHeight w:val="255"/>
        </w:trPr>
        <w:tc>
          <w:tcPr>
            <w:cnfStyle w:val="001000000000" w:firstRow="0" w:lastRow="0" w:firstColumn="1" w:lastColumn="0" w:oddVBand="0" w:evenVBand="0" w:oddHBand="0" w:evenHBand="0" w:firstRowFirstColumn="0" w:firstRowLastColumn="0" w:lastRowFirstColumn="0" w:lastRowLastColumn="0"/>
            <w:tcW w:w="388" w:type="pct"/>
            <w:noWrap/>
            <w:hideMark/>
          </w:tcPr>
          <w:p w:rsidR="00C80D98" w:rsidRPr="00C80D98" w:rsidRDefault="00C80D98" w:rsidP="00045280">
            <w:pPr>
              <w:jc w:val="center"/>
              <w:rPr>
                <w:rFonts w:eastAsia="Times New Roman" w:cs="Arial"/>
                <w:color w:val="E26B0A"/>
                <w:lang w:eastAsia="en-GB"/>
              </w:rPr>
            </w:pPr>
          </w:p>
        </w:tc>
        <w:tc>
          <w:tcPr>
            <w:tcW w:w="2453" w:type="pct"/>
            <w:noWrap/>
            <w:hideMark/>
          </w:tcPr>
          <w:p w:rsidR="00C80D98" w:rsidRPr="00C80D98" w:rsidRDefault="00C80D98" w:rsidP="00045280">
            <w:pPr>
              <w:cnfStyle w:val="000000000000" w:firstRow="0" w:lastRow="0" w:firstColumn="0" w:lastColumn="0" w:oddVBand="0" w:evenVBand="0" w:oddHBand="0" w:evenHBand="0" w:firstRowFirstColumn="0" w:firstRowLastColumn="0" w:lastRowFirstColumn="0" w:lastRowLastColumn="0"/>
              <w:rPr>
                <w:rFonts w:eastAsia="Times New Roman" w:cs="Arial"/>
                <w:b/>
                <w:bCs/>
                <w:color w:val="E26B0A"/>
                <w:lang w:eastAsia="en-GB"/>
              </w:rPr>
            </w:pPr>
            <w:r w:rsidRPr="00C80D98">
              <w:rPr>
                <w:rFonts w:eastAsia="Times New Roman" w:cs="Arial"/>
                <w:b/>
                <w:bCs/>
                <w:color w:val="E26B0A"/>
                <w:lang w:eastAsia="en-GB"/>
              </w:rPr>
              <w:t>South East</w:t>
            </w:r>
          </w:p>
        </w:tc>
        <w:tc>
          <w:tcPr>
            <w:tcW w:w="720" w:type="pct"/>
            <w:noWrap/>
            <w:hideMark/>
          </w:tcPr>
          <w:p w:rsidR="00C80D98" w:rsidRPr="00C80D98" w:rsidRDefault="00C80D98" w:rsidP="00045280">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E26B0A"/>
                <w:lang w:eastAsia="en-GB"/>
              </w:rPr>
            </w:pPr>
            <w:r w:rsidRPr="00C80D98">
              <w:rPr>
                <w:rFonts w:eastAsia="Times New Roman" w:cs="Arial"/>
                <w:b/>
                <w:bCs/>
                <w:color w:val="E26B0A"/>
                <w:lang w:eastAsia="en-GB"/>
              </w:rPr>
              <w:t>33.60</w:t>
            </w:r>
          </w:p>
        </w:tc>
        <w:tc>
          <w:tcPr>
            <w:tcW w:w="720" w:type="pct"/>
            <w:noWrap/>
            <w:hideMark/>
          </w:tcPr>
          <w:p w:rsidR="00C80D98" w:rsidRPr="00C80D98" w:rsidRDefault="00C80D98" w:rsidP="00045280">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E26B0A"/>
                <w:lang w:eastAsia="en-GB"/>
              </w:rPr>
            </w:pPr>
            <w:r w:rsidRPr="00C80D98">
              <w:rPr>
                <w:rFonts w:eastAsia="Times New Roman" w:cs="Arial"/>
                <w:b/>
                <w:bCs/>
                <w:color w:val="E26B0A"/>
                <w:lang w:eastAsia="en-GB"/>
              </w:rPr>
              <w:t>34.70</w:t>
            </w:r>
          </w:p>
        </w:tc>
        <w:tc>
          <w:tcPr>
            <w:tcW w:w="719" w:type="pct"/>
            <w:noWrap/>
          </w:tcPr>
          <w:p w:rsidR="00C80D98" w:rsidRPr="00C80D98" w:rsidRDefault="00C80D98" w:rsidP="00045280">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E26B0A"/>
                <w:lang w:eastAsia="en-GB"/>
              </w:rPr>
            </w:pPr>
          </w:p>
        </w:tc>
      </w:tr>
      <w:tr w:rsidR="00C80D98" w:rsidRPr="00BB06D9" w:rsidTr="0004528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88" w:type="pct"/>
            <w:noWrap/>
            <w:hideMark/>
          </w:tcPr>
          <w:p w:rsidR="00C80D98" w:rsidRPr="00C80D98" w:rsidRDefault="00C80D98" w:rsidP="00045280">
            <w:pPr>
              <w:jc w:val="center"/>
              <w:rPr>
                <w:rFonts w:eastAsia="Times New Roman" w:cs="Arial"/>
                <w:color w:val="538DD5"/>
                <w:lang w:eastAsia="en-GB"/>
              </w:rPr>
            </w:pPr>
          </w:p>
        </w:tc>
        <w:tc>
          <w:tcPr>
            <w:tcW w:w="2453" w:type="pct"/>
            <w:noWrap/>
            <w:hideMark/>
          </w:tcPr>
          <w:p w:rsidR="00C80D98" w:rsidRPr="00C80D98" w:rsidRDefault="00C80D98" w:rsidP="00045280">
            <w:pPr>
              <w:cnfStyle w:val="000000100000" w:firstRow="0" w:lastRow="0" w:firstColumn="0" w:lastColumn="0" w:oddVBand="0" w:evenVBand="0" w:oddHBand="1" w:evenHBand="0" w:firstRowFirstColumn="0" w:firstRowLastColumn="0" w:lastRowFirstColumn="0" w:lastRowLastColumn="0"/>
              <w:rPr>
                <w:rFonts w:eastAsia="Times New Roman" w:cs="Arial"/>
                <w:b/>
                <w:bCs/>
                <w:color w:val="538DD5"/>
                <w:lang w:eastAsia="en-GB"/>
              </w:rPr>
            </w:pPr>
            <w:r w:rsidRPr="00C80D98">
              <w:rPr>
                <w:rFonts w:eastAsia="Times New Roman" w:cs="Arial"/>
                <w:b/>
                <w:bCs/>
                <w:color w:val="538DD5"/>
                <w:lang w:eastAsia="en-GB"/>
              </w:rPr>
              <w:t>Statistical Neighbours</w:t>
            </w:r>
          </w:p>
        </w:tc>
        <w:tc>
          <w:tcPr>
            <w:tcW w:w="720" w:type="pct"/>
            <w:noWrap/>
            <w:hideMark/>
          </w:tcPr>
          <w:p w:rsidR="00C80D98" w:rsidRPr="00C80D98" w:rsidRDefault="00C80D98" w:rsidP="00045280">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538DD5"/>
                <w:lang w:eastAsia="en-GB"/>
              </w:rPr>
            </w:pPr>
            <w:r w:rsidRPr="00C80D98">
              <w:rPr>
                <w:rFonts w:eastAsia="Times New Roman" w:cs="Arial"/>
                <w:b/>
                <w:bCs/>
                <w:color w:val="538DD5"/>
                <w:lang w:eastAsia="en-GB"/>
              </w:rPr>
              <w:t>33.19</w:t>
            </w:r>
          </w:p>
        </w:tc>
        <w:tc>
          <w:tcPr>
            <w:tcW w:w="720" w:type="pct"/>
            <w:noWrap/>
            <w:hideMark/>
          </w:tcPr>
          <w:p w:rsidR="00C80D98" w:rsidRPr="00C80D98" w:rsidRDefault="00C80D98" w:rsidP="00045280">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538DD5"/>
                <w:lang w:eastAsia="en-GB"/>
              </w:rPr>
            </w:pPr>
            <w:r w:rsidRPr="00C80D98">
              <w:rPr>
                <w:rFonts w:eastAsia="Times New Roman" w:cs="Arial"/>
                <w:b/>
                <w:bCs/>
                <w:color w:val="538DD5"/>
                <w:lang w:eastAsia="en-GB"/>
              </w:rPr>
              <w:t>34.16</w:t>
            </w:r>
          </w:p>
        </w:tc>
        <w:tc>
          <w:tcPr>
            <w:tcW w:w="719" w:type="pct"/>
            <w:noWrap/>
          </w:tcPr>
          <w:p w:rsidR="00C80D98" w:rsidRPr="00C80D98" w:rsidRDefault="00C80D98" w:rsidP="00045280">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538DD5"/>
                <w:lang w:eastAsia="en-GB"/>
              </w:rPr>
            </w:pPr>
          </w:p>
        </w:tc>
      </w:tr>
      <w:tr w:rsidR="00C80D98" w:rsidRPr="00BB06D9" w:rsidTr="00045280">
        <w:trPr>
          <w:trHeight w:val="255"/>
        </w:trPr>
        <w:tc>
          <w:tcPr>
            <w:cnfStyle w:val="001000000000" w:firstRow="0" w:lastRow="0" w:firstColumn="1" w:lastColumn="0" w:oddVBand="0" w:evenVBand="0" w:oddHBand="0" w:evenHBand="0" w:firstRowFirstColumn="0" w:firstRowLastColumn="0" w:lastRowFirstColumn="0" w:lastRowLastColumn="0"/>
            <w:tcW w:w="388" w:type="pct"/>
            <w:noWrap/>
            <w:hideMark/>
          </w:tcPr>
          <w:p w:rsidR="00C80D98" w:rsidRPr="00C80D98" w:rsidRDefault="00C80D98" w:rsidP="00045280">
            <w:pPr>
              <w:jc w:val="center"/>
              <w:rPr>
                <w:rFonts w:eastAsia="Times New Roman" w:cs="Arial"/>
                <w:lang w:eastAsia="en-GB"/>
              </w:rPr>
            </w:pPr>
          </w:p>
        </w:tc>
        <w:tc>
          <w:tcPr>
            <w:tcW w:w="2453" w:type="pct"/>
            <w:noWrap/>
            <w:hideMark/>
          </w:tcPr>
          <w:p w:rsidR="00C80D98" w:rsidRPr="00C80D98" w:rsidRDefault="00C80D98" w:rsidP="00045280">
            <w:pPr>
              <w:cnfStyle w:val="000000000000" w:firstRow="0" w:lastRow="0" w:firstColumn="0" w:lastColumn="0" w:oddVBand="0" w:evenVBand="0" w:oddHBand="0" w:evenHBand="0" w:firstRowFirstColumn="0" w:firstRowLastColumn="0" w:lastRowFirstColumn="0" w:lastRowLastColumn="0"/>
              <w:rPr>
                <w:rFonts w:eastAsia="Times New Roman" w:cs="Arial"/>
                <w:b/>
                <w:bCs/>
                <w:lang w:eastAsia="en-GB"/>
              </w:rPr>
            </w:pPr>
            <w:r w:rsidRPr="00C80D98">
              <w:rPr>
                <w:rFonts w:eastAsia="Times New Roman" w:cs="Arial"/>
                <w:b/>
                <w:bCs/>
                <w:lang w:eastAsia="en-GB"/>
              </w:rPr>
              <w:t>England</w:t>
            </w:r>
          </w:p>
        </w:tc>
        <w:tc>
          <w:tcPr>
            <w:tcW w:w="720" w:type="pct"/>
            <w:noWrap/>
            <w:hideMark/>
          </w:tcPr>
          <w:p w:rsidR="00C80D98" w:rsidRPr="00C80D98" w:rsidRDefault="00C80D98" w:rsidP="00045280">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lang w:eastAsia="en-GB"/>
              </w:rPr>
            </w:pPr>
            <w:r w:rsidRPr="00C80D98">
              <w:rPr>
                <w:rFonts w:eastAsia="Times New Roman" w:cs="Arial"/>
                <w:b/>
                <w:bCs/>
                <w:lang w:eastAsia="en-GB"/>
              </w:rPr>
              <w:t>32.80</w:t>
            </w:r>
          </w:p>
        </w:tc>
        <w:tc>
          <w:tcPr>
            <w:tcW w:w="720" w:type="pct"/>
            <w:noWrap/>
            <w:hideMark/>
          </w:tcPr>
          <w:p w:rsidR="00C80D98" w:rsidRPr="00C80D98" w:rsidRDefault="00C80D98" w:rsidP="00045280">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lang w:eastAsia="en-GB"/>
              </w:rPr>
            </w:pPr>
            <w:r w:rsidRPr="00C80D98">
              <w:rPr>
                <w:rFonts w:eastAsia="Times New Roman" w:cs="Arial"/>
                <w:b/>
                <w:bCs/>
                <w:lang w:eastAsia="en-GB"/>
              </w:rPr>
              <w:t>33.80</w:t>
            </w:r>
          </w:p>
        </w:tc>
        <w:tc>
          <w:tcPr>
            <w:tcW w:w="719" w:type="pct"/>
            <w:noWrap/>
          </w:tcPr>
          <w:p w:rsidR="00C80D98" w:rsidRPr="00C80D98" w:rsidRDefault="00C80D98" w:rsidP="00045280">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lang w:eastAsia="en-GB"/>
              </w:rPr>
            </w:pPr>
          </w:p>
        </w:tc>
      </w:tr>
    </w:tbl>
    <w:p w:rsidR="00734DA4" w:rsidRDefault="00734DA4" w:rsidP="002D1D93"/>
    <w:p w:rsidR="00B427D9" w:rsidRDefault="00B427D9" w:rsidP="009F6754">
      <w:r>
        <w:t>Young children are in general achieving or bettering the expected levels for communication and language, physical development and personal, social and emotional development compared to</w:t>
      </w:r>
      <w:r w:rsidR="00F50238">
        <w:t xml:space="preserve"> England,</w:t>
      </w:r>
      <w:r>
        <w:t xml:space="preserve"> the region, and statistical neighbours</w:t>
      </w:r>
      <w:r w:rsidR="002E1CE9">
        <w:t>, and children identified as having special educational needs</w:t>
      </w:r>
      <w:r w:rsidR="0083128C">
        <w:t xml:space="preserve"> (without a statement or EHC plan)</w:t>
      </w:r>
      <w:r w:rsidR="002E1CE9">
        <w:t xml:space="preserve"> are clearly being well supported</w:t>
      </w:r>
      <w:r w:rsidR="00045280">
        <w:t xml:space="preserve"> (Figure 4).</w:t>
      </w:r>
    </w:p>
    <w:p w:rsidR="002E1CE9" w:rsidRDefault="002E1CE9" w:rsidP="009F6754"/>
    <w:tbl>
      <w:tblPr>
        <w:tblStyle w:val="LightList-Accent1"/>
        <w:tblW w:w="5000" w:type="pct"/>
        <w:tblLook w:val="04A0" w:firstRow="1" w:lastRow="0" w:firstColumn="1" w:lastColumn="0" w:noHBand="0" w:noVBand="1"/>
      </w:tblPr>
      <w:tblGrid>
        <w:gridCol w:w="2004"/>
        <w:gridCol w:w="3734"/>
        <w:gridCol w:w="1752"/>
        <w:gridCol w:w="1752"/>
      </w:tblGrid>
      <w:tr w:rsidR="002E1CE9" w:rsidRPr="0094613F" w:rsidTr="0083128C">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84" w:type="pct"/>
            <w:noWrap/>
            <w:hideMark/>
          </w:tcPr>
          <w:p w:rsidR="002E1CE9" w:rsidRPr="0094613F" w:rsidRDefault="002E1CE9" w:rsidP="00272557">
            <w:pPr>
              <w:jc w:val="center"/>
              <w:rPr>
                <w:rFonts w:eastAsia="Times New Roman" w:cs="Arial"/>
                <w:color w:val="31869B"/>
                <w:sz w:val="16"/>
                <w:szCs w:val="16"/>
                <w:lang w:eastAsia="en-GB"/>
              </w:rPr>
            </w:pPr>
          </w:p>
        </w:tc>
        <w:tc>
          <w:tcPr>
            <w:tcW w:w="2020" w:type="pct"/>
            <w:noWrap/>
            <w:hideMark/>
          </w:tcPr>
          <w:p w:rsidR="002E1CE9" w:rsidRPr="002E1CE9" w:rsidRDefault="002E1CE9" w:rsidP="00272557">
            <w:pPr>
              <w:cnfStyle w:val="100000000000" w:firstRow="1" w:lastRow="0" w:firstColumn="0" w:lastColumn="0" w:oddVBand="0" w:evenVBand="0" w:oddHBand="0" w:evenHBand="0" w:firstRowFirstColumn="0" w:firstRowLastColumn="0" w:lastRowFirstColumn="0" w:lastRowLastColumn="0"/>
              <w:rPr>
                <w:rFonts w:eastAsia="Times New Roman" w:cs="Arial"/>
                <w:color w:val="31869B"/>
                <w:lang w:eastAsia="en-GB"/>
              </w:rPr>
            </w:pPr>
            <w:r w:rsidRPr="002E1CE9">
              <w:rPr>
                <w:rFonts w:eastAsia="Times New Roman" w:cs="Arial"/>
                <w:color w:val="31869B"/>
                <w:lang w:eastAsia="en-GB"/>
              </w:rPr>
              <w:t>Medway</w:t>
            </w:r>
          </w:p>
        </w:tc>
        <w:tc>
          <w:tcPr>
            <w:tcW w:w="948" w:type="pct"/>
            <w:noWrap/>
            <w:hideMark/>
          </w:tcPr>
          <w:p w:rsidR="002E1CE9" w:rsidRPr="0083128C" w:rsidRDefault="0083128C" w:rsidP="00734861">
            <w:pPr>
              <w:cnfStyle w:val="100000000000" w:firstRow="1" w:lastRow="0" w:firstColumn="0" w:lastColumn="0" w:oddVBand="0" w:evenVBand="0" w:oddHBand="0" w:evenHBand="0" w:firstRowFirstColumn="0" w:firstRowLastColumn="0" w:lastRowFirstColumn="0" w:lastRowLastColumn="0"/>
              <w:rPr>
                <w:rFonts w:eastAsia="Times New Roman" w:cs="Arial"/>
                <w:lang w:eastAsia="en-GB"/>
              </w:rPr>
            </w:pPr>
            <w:r w:rsidRPr="0083128C">
              <w:rPr>
                <w:rFonts w:eastAsia="Times New Roman" w:cs="Arial"/>
                <w:lang w:eastAsia="en-GB"/>
              </w:rPr>
              <w:t>2013</w:t>
            </w:r>
          </w:p>
        </w:tc>
        <w:tc>
          <w:tcPr>
            <w:tcW w:w="948" w:type="pct"/>
            <w:noWrap/>
            <w:hideMark/>
          </w:tcPr>
          <w:p w:rsidR="002E1CE9" w:rsidRPr="0083128C" w:rsidRDefault="0083128C" w:rsidP="00272557">
            <w:pPr>
              <w:jc w:val="center"/>
              <w:cnfStyle w:val="100000000000" w:firstRow="1" w:lastRow="0" w:firstColumn="0" w:lastColumn="0" w:oddVBand="0" w:evenVBand="0" w:oddHBand="0" w:evenHBand="0" w:firstRowFirstColumn="0" w:firstRowLastColumn="0" w:lastRowFirstColumn="0" w:lastRowLastColumn="0"/>
              <w:rPr>
                <w:rFonts w:eastAsia="Times New Roman" w:cs="Arial"/>
                <w:lang w:eastAsia="en-GB"/>
              </w:rPr>
            </w:pPr>
            <w:r w:rsidRPr="0083128C">
              <w:rPr>
                <w:rFonts w:eastAsia="Times New Roman" w:cs="Arial"/>
                <w:lang w:eastAsia="en-GB"/>
              </w:rPr>
              <w:t>2014</w:t>
            </w:r>
          </w:p>
        </w:tc>
      </w:tr>
      <w:tr w:rsidR="002E1CE9" w:rsidRPr="0094613F" w:rsidTr="0083128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84" w:type="pct"/>
            <w:noWrap/>
            <w:hideMark/>
          </w:tcPr>
          <w:p w:rsidR="002E1CE9" w:rsidRPr="0094613F" w:rsidRDefault="002E1CE9" w:rsidP="00272557">
            <w:pPr>
              <w:jc w:val="center"/>
              <w:rPr>
                <w:rFonts w:eastAsia="Times New Roman" w:cs="Arial"/>
                <w:color w:val="E26B0A"/>
                <w:sz w:val="16"/>
                <w:szCs w:val="16"/>
                <w:lang w:eastAsia="en-GB"/>
              </w:rPr>
            </w:pPr>
          </w:p>
        </w:tc>
        <w:tc>
          <w:tcPr>
            <w:tcW w:w="2020" w:type="pct"/>
            <w:noWrap/>
            <w:hideMark/>
          </w:tcPr>
          <w:p w:rsidR="002E1CE9" w:rsidRPr="002E1CE9" w:rsidRDefault="002E1CE9" w:rsidP="0083128C">
            <w:pPr>
              <w:jc w:val="both"/>
              <w:cnfStyle w:val="000000100000" w:firstRow="0" w:lastRow="0" w:firstColumn="0" w:lastColumn="0" w:oddVBand="0" w:evenVBand="0" w:oddHBand="1" w:evenHBand="0" w:firstRowFirstColumn="0" w:firstRowLastColumn="0" w:lastRowFirstColumn="0" w:lastRowLastColumn="0"/>
              <w:rPr>
                <w:rFonts w:eastAsia="Times New Roman" w:cs="Arial"/>
                <w:b/>
                <w:bCs/>
                <w:color w:val="E26B0A"/>
                <w:lang w:eastAsia="en-GB"/>
              </w:rPr>
            </w:pPr>
            <w:r w:rsidRPr="002E1CE9">
              <w:rPr>
                <w:rFonts w:eastAsia="Times New Roman" w:cs="Arial"/>
                <w:b/>
                <w:bCs/>
                <w:color w:val="E26B0A"/>
                <w:lang w:eastAsia="en-GB"/>
              </w:rPr>
              <w:t>South East</w:t>
            </w:r>
          </w:p>
        </w:tc>
        <w:tc>
          <w:tcPr>
            <w:tcW w:w="948" w:type="pct"/>
            <w:noWrap/>
            <w:hideMark/>
          </w:tcPr>
          <w:p w:rsidR="002E1CE9" w:rsidRPr="002E1CE9" w:rsidRDefault="002E1CE9" w:rsidP="00734861">
            <w:pPr>
              <w:cnfStyle w:val="000000100000" w:firstRow="0" w:lastRow="0" w:firstColumn="0" w:lastColumn="0" w:oddVBand="0" w:evenVBand="0" w:oddHBand="1" w:evenHBand="0" w:firstRowFirstColumn="0" w:firstRowLastColumn="0" w:lastRowFirstColumn="0" w:lastRowLastColumn="0"/>
              <w:rPr>
                <w:rFonts w:eastAsia="Times New Roman" w:cs="Arial"/>
                <w:b/>
                <w:bCs/>
                <w:color w:val="E26B0A"/>
                <w:lang w:eastAsia="en-GB"/>
              </w:rPr>
            </w:pPr>
            <w:r w:rsidRPr="002E1CE9">
              <w:rPr>
                <w:rFonts w:eastAsia="Times New Roman" w:cs="Arial"/>
                <w:b/>
                <w:bCs/>
                <w:color w:val="E26B0A"/>
                <w:lang w:eastAsia="en-GB"/>
              </w:rPr>
              <w:t>18.00</w:t>
            </w:r>
          </w:p>
        </w:tc>
        <w:tc>
          <w:tcPr>
            <w:tcW w:w="948" w:type="pct"/>
            <w:noWrap/>
            <w:hideMark/>
          </w:tcPr>
          <w:p w:rsidR="002E1CE9" w:rsidRPr="002E1CE9" w:rsidRDefault="002E1CE9" w:rsidP="00272557">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E26B0A"/>
                <w:lang w:eastAsia="en-GB"/>
              </w:rPr>
            </w:pPr>
            <w:r w:rsidRPr="002E1CE9">
              <w:rPr>
                <w:rFonts w:eastAsia="Times New Roman" w:cs="Arial"/>
                <w:b/>
                <w:bCs/>
                <w:color w:val="E26B0A"/>
                <w:lang w:eastAsia="en-GB"/>
              </w:rPr>
              <w:t>24.00</w:t>
            </w:r>
          </w:p>
        </w:tc>
      </w:tr>
      <w:tr w:rsidR="002E1CE9" w:rsidRPr="0094613F" w:rsidTr="0083128C">
        <w:trPr>
          <w:trHeight w:val="255"/>
        </w:trPr>
        <w:tc>
          <w:tcPr>
            <w:cnfStyle w:val="001000000000" w:firstRow="0" w:lastRow="0" w:firstColumn="1" w:lastColumn="0" w:oddVBand="0" w:evenVBand="0" w:oddHBand="0" w:evenHBand="0" w:firstRowFirstColumn="0" w:firstRowLastColumn="0" w:lastRowFirstColumn="0" w:lastRowLastColumn="0"/>
            <w:tcW w:w="1084" w:type="pct"/>
            <w:noWrap/>
            <w:hideMark/>
          </w:tcPr>
          <w:p w:rsidR="002E1CE9" w:rsidRPr="0094613F" w:rsidRDefault="002E1CE9" w:rsidP="00272557">
            <w:pPr>
              <w:jc w:val="center"/>
              <w:rPr>
                <w:rFonts w:eastAsia="Times New Roman" w:cs="Arial"/>
                <w:color w:val="538DD5"/>
                <w:sz w:val="16"/>
                <w:szCs w:val="16"/>
                <w:lang w:eastAsia="en-GB"/>
              </w:rPr>
            </w:pPr>
          </w:p>
        </w:tc>
        <w:tc>
          <w:tcPr>
            <w:tcW w:w="2020" w:type="pct"/>
            <w:noWrap/>
            <w:hideMark/>
          </w:tcPr>
          <w:p w:rsidR="002E1CE9" w:rsidRPr="002E1CE9" w:rsidRDefault="002E1CE9" w:rsidP="00272557">
            <w:pPr>
              <w:cnfStyle w:val="000000000000" w:firstRow="0" w:lastRow="0" w:firstColumn="0" w:lastColumn="0" w:oddVBand="0" w:evenVBand="0" w:oddHBand="0" w:evenHBand="0" w:firstRowFirstColumn="0" w:firstRowLastColumn="0" w:lastRowFirstColumn="0" w:lastRowLastColumn="0"/>
              <w:rPr>
                <w:rFonts w:eastAsia="Times New Roman" w:cs="Arial"/>
                <w:b/>
                <w:bCs/>
                <w:color w:val="538DD5"/>
                <w:lang w:eastAsia="en-GB"/>
              </w:rPr>
            </w:pPr>
            <w:r w:rsidRPr="002E1CE9">
              <w:rPr>
                <w:rFonts w:eastAsia="Times New Roman" w:cs="Arial"/>
                <w:b/>
                <w:bCs/>
                <w:color w:val="538DD5"/>
                <w:lang w:eastAsia="en-GB"/>
              </w:rPr>
              <w:t>Statistical Neighbours</w:t>
            </w:r>
          </w:p>
        </w:tc>
        <w:tc>
          <w:tcPr>
            <w:tcW w:w="948" w:type="pct"/>
            <w:noWrap/>
            <w:hideMark/>
          </w:tcPr>
          <w:p w:rsidR="002E1CE9" w:rsidRPr="002E1CE9" w:rsidRDefault="002E1CE9" w:rsidP="00734861">
            <w:pPr>
              <w:cnfStyle w:val="000000000000" w:firstRow="0" w:lastRow="0" w:firstColumn="0" w:lastColumn="0" w:oddVBand="0" w:evenVBand="0" w:oddHBand="0" w:evenHBand="0" w:firstRowFirstColumn="0" w:firstRowLastColumn="0" w:lastRowFirstColumn="0" w:lastRowLastColumn="0"/>
              <w:rPr>
                <w:rFonts w:eastAsia="Times New Roman" w:cs="Arial"/>
                <w:b/>
                <w:bCs/>
                <w:color w:val="538DD5"/>
                <w:lang w:eastAsia="en-GB"/>
              </w:rPr>
            </w:pPr>
            <w:r w:rsidRPr="002E1CE9">
              <w:rPr>
                <w:rFonts w:eastAsia="Times New Roman" w:cs="Arial"/>
                <w:b/>
                <w:bCs/>
                <w:color w:val="538DD5"/>
                <w:lang w:eastAsia="en-GB"/>
              </w:rPr>
              <w:t>15.20</w:t>
            </w:r>
          </w:p>
        </w:tc>
        <w:tc>
          <w:tcPr>
            <w:tcW w:w="948" w:type="pct"/>
            <w:noWrap/>
            <w:hideMark/>
          </w:tcPr>
          <w:p w:rsidR="002E1CE9" w:rsidRPr="002E1CE9" w:rsidRDefault="002E1CE9" w:rsidP="00272557">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538DD5"/>
                <w:lang w:eastAsia="en-GB"/>
              </w:rPr>
            </w:pPr>
            <w:r w:rsidRPr="002E1CE9">
              <w:rPr>
                <w:rFonts w:eastAsia="Times New Roman" w:cs="Arial"/>
                <w:b/>
                <w:bCs/>
                <w:color w:val="538DD5"/>
                <w:lang w:eastAsia="en-GB"/>
              </w:rPr>
              <w:t>21.10</w:t>
            </w:r>
          </w:p>
        </w:tc>
      </w:tr>
      <w:tr w:rsidR="002E1CE9" w:rsidRPr="0094613F" w:rsidTr="0083128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84" w:type="pct"/>
            <w:noWrap/>
            <w:hideMark/>
          </w:tcPr>
          <w:p w:rsidR="002E1CE9" w:rsidRPr="0094613F" w:rsidRDefault="002E1CE9" w:rsidP="00272557">
            <w:pPr>
              <w:jc w:val="center"/>
              <w:rPr>
                <w:rFonts w:eastAsia="Times New Roman" w:cs="Arial"/>
                <w:sz w:val="16"/>
                <w:szCs w:val="16"/>
                <w:lang w:eastAsia="en-GB"/>
              </w:rPr>
            </w:pPr>
          </w:p>
        </w:tc>
        <w:tc>
          <w:tcPr>
            <w:tcW w:w="2020" w:type="pct"/>
            <w:noWrap/>
            <w:hideMark/>
          </w:tcPr>
          <w:p w:rsidR="002E1CE9" w:rsidRPr="002E1CE9" w:rsidRDefault="002E1CE9" w:rsidP="00272557">
            <w:pPr>
              <w:cnfStyle w:val="000000100000" w:firstRow="0" w:lastRow="0" w:firstColumn="0" w:lastColumn="0" w:oddVBand="0" w:evenVBand="0" w:oddHBand="1" w:evenHBand="0" w:firstRowFirstColumn="0" w:firstRowLastColumn="0" w:lastRowFirstColumn="0" w:lastRowLastColumn="0"/>
              <w:rPr>
                <w:rFonts w:eastAsia="Times New Roman" w:cs="Arial"/>
                <w:b/>
                <w:bCs/>
                <w:lang w:eastAsia="en-GB"/>
              </w:rPr>
            </w:pPr>
            <w:r w:rsidRPr="002E1CE9">
              <w:rPr>
                <w:rFonts w:eastAsia="Times New Roman" w:cs="Arial"/>
                <w:b/>
                <w:bCs/>
                <w:lang w:eastAsia="en-GB"/>
              </w:rPr>
              <w:t>England</w:t>
            </w:r>
          </w:p>
        </w:tc>
        <w:tc>
          <w:tcPr>
            <w:tcW w:w="948" w:type="pct"/>
            <w:noWrap/>
            <w:hideMark/>
          </w:tcPr>
          <w:p w:rsidR="002E1CE9" w:rsidRPr="002E1CE9" w:rsidRDefault="002E1CE9" w:rsidP="00734861">
            <w:pPr>
              <w:cnfStyle w:val="000000100000" w:firstRow="0" w:lastRow="0" w:firstColumn="0" w:lastColumn="0" w:oddVBand="0" w:evenVBand="0" w:oddHBand="1" w:evenHBand="0" w:firstRowFirstColumn="0" w:firstRowLastColumn="0" w:lastRowFirstColumn="0" w:lastRowLastColumn="0"/>
              <w:rPr>
                <w:rFonts w:eastAsia="Times New Roman" w:cs="Arial"/>
                <w:b/>
                <w:bCs/>
                <w:lang w:eastAsia="en-GB"/>
              </w:rPr>
            </w:pPr>
            <w:r w:rsidRPr="002E1CE9">
              <w:rPr>
                <w:rFonts w:eastAsia="Times New Roman" w:cs="Arial"/>
                <w:b/>
                <w:bCs/>
                <w:lang w:eastAsia="en-GB"/>
              </w:rPr>
              <w:t>16.00</w:t>
            </w:r>
          </w:p>
        </w:tc>
        <w:tc>
          <w:tcPr>
            <w:tcW w:w="948" w:type="pct"/>
            <w:noWrap/>
            <w:hideMark/>
          </w:tcPr>
          <w:p w:rsidR="002E1CE9" w:rsidRPr="002E1CE9" w:rsidRDefault="002E1CE9" w:rsidP="00272557">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lang w:eastAsia="en-GB"/>
              </w:rPr>
            </w:pPr>
            <w:r w:rsidRPr="002E1CE9">
              <w:rPr>
                <w:rFonts w:eastAsia="Times New Roman" w:cs="Arial"/>
                <w:b/>
                <w:bCs/>
                <w:lang w:eastAsia="en-GB"/>
              </w:rPr>
              <w:t>21.00</w:t>
            </w:r>
          </w:p>
        </w:tc>
      </w:tr>
    </w:tbl>
    <w:p w:rsidR="002E1CE9" w:rsidRDefault="00045280" w:rsidP="00045280">
      <w:pPr>
        <w:pStyle w:val="Caption"/>
      </w:pPr>
      <w:r>
        <w:t xml:space="preserve">Figure </w:t>
      </w:r>
      <w:r w:rsidR="00156E8B">
        <w:fldChar w:fldCharType="begin"/>
      </w:r>
      <w:r w:rsidR="00156E8B">
        <w:instrText xml:space="preserve"> SEQ Figure \* ARABIC </w:instrText>
      </w:r>
      <w:r w:rsidR="00156E8B">
        <w:fldChar w:fldCharType="separate"/>
      </w:r>
      <w:r w:rsidR="005C553C">
        <w:rPr>
          <w:noProof/>
        </w:rPr>
        <w:t>4</w:t>
      </w:r>
      <w:r w:rsidR="00156E8B">
        <w:rPr>
          <w:noProof/>
        </w:rPr>
        <w:fldChar w:fldCharType="end"/>
      </w:r>
      <w:r>
        <w:t xml:space="preserve"> Percentage of non-statemented children with SEN achieving a good level of development</w:t>
      </w:r>
    </w:p>
    <w:p w:rsidR="002E1CE9" w:rsidRDefault="002E1CE9" w:rsidP="002E1CE9"/>
    <w:p w:rsidR="002E1CE9" w:rsidRDefault="002E1CE9" w:rsidP="009F6754"/>
    <w:p w:rsidR="00B427D9" w:rsidRDefault="00B427D9" w:rsidP="009F6754"/>
    <w:p w:rsidR="009F6754" w:rsidRDefault="009F6754" w:rsidP="009F6754">
      <w:r>
        <w:t>The FRS and Centre for Longitudinal Studies findings discussed above suggest a national childhood disability prevalence rate of 7% to 11%, although 7% is the generally accepted figure.</w:t>
      </w:r>
    </w:p>
    <w:p w:rsidR="009F6754" w:rsidRDefault="009F6754" w:rsidP="002D1D93"/>
    <w:p w:rsidR="002D1D93" w:rsidRDefault="009F6754" w:rsidP="002D1D93">
      <w:r>
        <w:t>However, t</w:t>
      </w:r>
      <w:r w:rsidR="00631484">
        <w:t>here</w:t>
      </w:r>
      <w:r w:rsidR="002D1D93">
        <w:t xml:space="preserve"> is a known link between poverty and increased rates of disability</w:t>
      </w:r>
      <w:r w:rsidR="002D1D93">
        <w:rPr>
          <w:rStyle w:val="FootnoteReference"/>
        </w:rPr>
        <w:footnoteReference w:id="16"/>
      </w:r>
      <w:r w:rsidR="002D1D93">
        <w:t xml:space="preserve">: the Medway rate of child poverty </w:t>
      </w:r>
      <w:r w:rsidR="002F3B0B">
        <w:t xml:space="preserve">stood at </w:t>
      </w:r>
      <w:r w:rsidR="002D1D93">
        <w:t xml:space="preserve">21.2% </w:t>
      </w:r>
      <w:r w:rsidR="002F3B0B">
        <w:t>in 2012,</w:t>
      </w:r>
      <w:r w:rsidR="002D1D93">
        <w:t xml:space="preserve"> considerably higher than the South East figure of 14.2%</w:t>
      </w:r>
      <w:r w:rsidR="002D1D93">
        <w:rPr>
          <w:rStyle w:val="FootnoteReference"/>
        </w:rPr>
        <w:footnoteReference w:id="17"/>
      </w:r>
      <w:r w:rsidR="002D1D93">
        <w:t xml:space="preserve"> </w:t>
      </w:r>
      <w:r w:rsidR="004E33F2">
        <w:t xml:space="preserve">.  </w:t>
      </w:r>
      <w:r w:rsidR="00140B5C">
        <w:t>A</w:t>
      </w:r>
      <w:r w:rsidR="002D1D93">
        <w:t xml:space="preserve">n estimated prevalence rate of </w:t>
      </w:r>
      <w:r w:rsidR="004E33F2">
        <w:t>8%</w:t>
      </w:r>
      <w:r w:rsidR="002D1D93">
        <w:t xml:space="preserve"> may be </w:t>
      </w:r>
      <w:r w:rsidR="00734DA4">
        <w:t xml:space="preserve">a </w:t>
      </w:r>
      <w:r>
        <w:t>reasonable assumption for</w:t>
      </w:r>
      <w:r w:rsidR="000D75F0">
        <w:t xml:space="preserve"> </w:t>
      </w:r>
      <w:r w:rsidR="00734DA4">
        <w:t xml:space="preserve">overall prevalence of disability in </w:t>
      </w:r>
      <w:r w:rsidR="000D75F0">
        <w:t>Medway.</w:t>
      </w:r>
    </w:p>
    <w:p w:rsidR="009F6754" w:rsidRDefault="009F6754" w:rsidP="00A6127B">
      <w:pPr>
        <w:rPr>
          <w:rFonts w:cs="HelveticaNeueLT Std Lt"/>
          <w:color w:val="000000"/>
          <w:sz w:val="24"/>
          <w:szCs w:val="24"/>
        </w:rPr>
      </w:pPr>
    </w:p>
    <w:p w:rsidR="00734DA4" w:rsidRDefault="000D75F0" w:rsidP="00A6127B">
      <w:pPr>
        <w:rPr>
          <w:rFonts w:cs="HelveticaNeueLT Std Lt"/>
          <w:color w:val="000000"/>
          <w:szCs w:val="24"/>
        </w:rPr>
      </w:pPr>
      <w:r>
        <w:rPr>
          <w:rFonts w:cs="HelveticaNeueLT Std Lt"/>
          <w:color w:val="000000"/>
          <w:szCs w:val="24"/>
        </w:rPr>
        <w:t>With a</w:t>
      </w:r>
      <w:r w:rsidRPr="000D75F0">
        <w:rPr>
          <w:rFonts w:cs="HelveticaNeueLT Std Lt"/>
          <w:color w:val="000000"/>
          <w:szCs w:val="24"/>
        </w:rPr>
        <w:t xml:space="preserve"> </w:t>
      </w:r>
      <w:r w:rsidR="005B7B2F" w:rsidRPr="000D75F0">
        <w:rPr>
          <w:rFonts w:cs="HelveticaNeueLT Std Lt"/>
          <w:color w:val="000000"/>
          <w:szCs w:val="24"/>
        </w:rPr>
        <w:t>Medway child population (0 -19)</w:t>
      </w:r>
      <w:r w:rsidRPr="000D75F0">
        <w:rPr>
          <w:rFonts w:cs="HelveticaNeueLT Std Lt"/>
          <w:color w:val="000000"/>
          <w:szCs w:val="24"/>
        </w:rPr>
        <w:t xml:space="preserve"> </w:t>
      </w:r>
      <w:r>
        <w:rPr>
          <w:rFonts w:cs="HelveticaNeueLT Std Lt"/>
          <w:color w:val="000000"/>
          <w:szCs w:val="24"/>
        </w:rPr>
        <w:t xml:space="preserve">of </w:t>
      </w:r>
      <w:r w:rsidR="005B7B2F" w:rsidRPr="000D75F0">
        <w:rPr>
          <w:rFonts w:cs="HelveticaNeueLT Std Lt"/>
          <w:color w:val="000000"/>
          <w:szCs w:val="24"/>
        </w:rPr>
        <w:t>approximately 69,000</w:t>
      </w:r>
      <w:r>
        <w:rPr>
          <w:rStyle w:val="FootnoteReference"/>
          <w:rFonts w:cs="HelveticaNeueLT Std Lt"/>
          <w:color w:val="000000"/>
          <w:szCs w:val="24"/>
        </w:rPr>
        <w:footnoteReference w:id="18"/>
      </w:r>
      <w:r>
        <w:rPr>
          <w:rFonts w:cs="HelveticaNeueLT Std Lt"/>
          <w:color w:val="000000"/>
          <w:szCs w:val="24"/>
        </w:rPr>
        <w:t xml:space="preserve">, this would give a figure of </w:t>
      </w:r>
      <w:r w:rsidR="00233AC9">
        <w:rPr>
          <w:rFonts w:cs="HelveticaNeueLT Std Lt"/>
          <w:color w:val="000000"/>
          <w:szCs w:val="24"/>
        </w:rPr>
        <w:t xml:space="preserve">5,520 </w:t>
      </w:r>
      <w:r>
        <w:rPr>
          <w:rFonts w:cs="HelveticaNeueLT Std Lt"/>
          <w:color w:val="000000"/>
          <w:szCs w:val="24"/>
        </w:rPr>
        <w:t>children and young people in Medway with a</w:t>
      </w:r>
      <w:r w:rsidR="00233AC9">
        <w:rPr>
          <w:rFonts w:cs="HelveticaNeueLT Std Lt"/>
          <w:color w:val="000000"/>
          <w:szCs w:val="24"/>
        </w:rPr>
        <w:t xml:space="preserve"> long standing illness or</w:t>
      </w:r>
      <w:r>
        <w:rPr>
          <w:rFonts w:cs="HelveticaNeueLT Std Lt"/>
          <w:color w:val="000000"/>
          <w:szCs w:val="24"/>
        </w:rPr>
        <w:t xml:space="preserve"> disability.</w:t>
      </w:r>
      <w:r w:rsidR="00B732F3">
        <w:rPr>
          <w:rFonts w:cs="HelveticaNeueLT Std Lt"/>
          <w:color w:val="000000"/>
          <w:szCs w:val="24"/>
        </w:rPr>
        <w:t xml:space="preserve">  </w:t>
      </w:r>
      <w:r w:rsidR="008A1318">
        <w:rPr>
          <w:rFonts w:cs="HelveticaNeueLT Std Lt"/>
          <w:color w:val="000000"/>
          <w:szCs w:val="24"/>
        </w:rPr>
        <w:t xml:space="preserve">Using the </w:t>
      </w:r>
      <w:r w:rsidR="00995F3C">
        <w:rPr>
          <w:rFonts w:cs="HelveticaNeueLT Std Lt"/>
          <w:color w:val="000000"/>
          <w:szCs w:val="24"/>
        </w:rPr>
        <w:t xml:space="preserve">2014 </w:t>
      </w:r>
      <w:r w:rsidR="008A1318">
        <w:rPr>
          <w:rFonts w:cs="HelveticaNeueLT Std Lt"/>
          <w:color w:val="000000"/>
          <w:szCs w:val="24"/>
        </w:rPr>
        <w:t>GP registration figure of 73,513, this would equate to 5,881 children and young people.</w:t>
      </w:r>
    </w:p>
    <w:p w:rsidR="00165C4A" w:rsidRDefault="00165C4A" w:rsidP="00165C4A">
      <w:pPr>
        <w:rPr>
          <w:rFonts w:cs="Arial"/>
        </w:rPr>
      </w:pPr>
    </w:p>
    <w:p w:rsidR="00165C4A" w:rsidRDefault="00165C4A" w:rsidP="00165C4A">
      <w:pPr>
        <w:rPr>
          <w:rFonts w:cs="Arial"/>
        </w:rPr>
      </w:pPr>
      <w:r>
        <w:rPr>
          <w:rFonts w:cs="Arial"/>
        </w:rPr>
        <w:t xml:space="preserve">This analysis has not examined the number of children with additional needs who may be receiving focused support from universal services such as health visiting, or from Local Authority services such as </w:t>
      </w:r>
      <w:hyperlink w:anchor="portage" w:history="1">
        <w:r w:rsidRPr="00F50238">
          <w:rPr>
            <w:rStyle w:val="Hyperlink"/>
            <w:rFonts w:cs="Arial"/>
          </w:rPr>
          <w:t>Portage</w:t>
        </w:r>
      </w:hyperlink>
      <w:r>
        <w:rPr>
          <w:rFonts w:cs="Arial"/>
        </w:rPr>
        <w:t>, but has concentrated on children and young people on the caseload of community health services (MFT and MCH) and children’s social care (Medway Council).</w:t>
      </w:r>
    </w:p>
    <w:p w:rsidR="00165C4A" w:rsidRDefault="00165C4A" w:rsidP="00165C4A">
      <w:pPr>
        <w:rPr>
          <w:rFonts w:cs="Arial"/>
        </w:rPr>
      </w:pPr>
    </w:p>
    <w:p w:rsidR="00165C4A" w:rsidRDefault="00165C4A" w:rsidP="00165C4A">
      <w:pPr>
        <w:rPr>
          <w:rFonts w:cs="Arial"/>
        </w:rPr>
      </w:pPr>
      <w:r>
        <w:rPr>
          <w:rFonts w:cs="Arial"/>
        </w:rPr>
        <w:t>Using NHS numbers to identify individual children appearing on MCH and MFT community health caseloads shows the following:</w:t>
      </w:r>
    </w:p>
    <w:p w:rsidR="00165C4A" w:rsidRDefault="00165C4A" w:rsidP="00165C4A">
      <w:pPr>
        <w:rPr>
          <w:rFonts w:cs="Arial"/>
        </w:rPr>
      </w:pPr>
    </w:p>
    <w:p w:rsidR="00165C4A" w:rsidRPr="008145B2" w:rsidRDefault="00165C4A" w:rsidP="00165C4A">
      <w:pPr>
        <w:pStyle w:val="ListParagraph"/>
        <w:numPr>
          <w:ilvl w:val="0"/>
          <w:numId w:val="44"/>
        </w:numPr>
        <w:spacing w:line="276" w:lineRule="auto"/>
        <w:rPr>
          <w:rFonts w:ascii="Arial" w:hAnsi="Arial" w:cs="Arial"/>
          <w:sz w:val="22"/>
        </w:rPr>
      </w:pPr>
      <w:r>
        <w:rPr>
          <w:rFonts w:ascii="Arial" w:hAnsi="Arial" w:cs="Arial"/>
          <w:sz w:val="22"/>
        </w:rPr>
        <w:t xml:space="preserve">A total of </w:t>
      </w:r>
      <w:r w:rsidRPr="008145B2">
        <w:rPr>
          <w:rFonts w:ascii="Arial" w:hAnsi="Arial" w:cs="Arial"/>
          <w:sz w:val="22"/>
        </w:rPr>
        <w:t xml:space="preserve">7,480 children and young people were on the caseload of one or more of the health services.  This includes children from Swale as well as Medway: the ratio of Medway activity to Swale activity is generally taken to </w:t>
      </w:r>
      <w:r w:rsidR="002D1208">
        <w:rPr>
          <w:rFonts w:ascii="Arial" w:hAnsi="Arial" w:cs="Arial"/>
          <w:sz w:val="22"/>
        </w:rPr>
        <w:t>reflect</w:t>
      </w:r>
      <w:r w:rsidRPr="008145B2">
        <w:rPr>
          <w:rFonts w:ascii="Arial" w:hAnsi="Arial" w:cs="Arial"/>
          <w:sz w:val="22"/>
        </w:rPr>
        <w:t xml:space="preserve"> a 70-30 split, which would mean a total of 5,236 Medway children and young people on the caseloads.  This is in line with the 8% prevalence estimated </w:t>
      </w:r>
      <w:r>
        <w:rPr>
          <w:rFonts w:ascii="Arial" w:hAnsi="Arial" w:cs="Arial"/>
          <w:sz w:val="22"/>
        </w:rPr>
        <w:t>above</w:t>
      </w:r>
    </w:p>
    <w:p w:rsidR="00165C4A" w:rsidRDefault="00165C4A" w:rsidP="00165C4A">
      <w:pPr>
        <w:rPr>
          <w:rFonts w:cs="Arial"/>
        </w:rPr>
      </w:pPr>
    </w:p>
    <w:p w:rsidR="00165C4A" w:rsidRDefault="00165C4A" w:rsidP="00165C4A">
      <w:pPr>
        <w:rPr>
          <w:rFonts w:cs="Arial"/>
        </w:rPr>
      </w:pPr>
      <w:r>
        <w:rPr>
          <w:rFonts w:cs="Arial"/>
        </w:rPr>
        <w:t>Again assuming a 70:30 ratio:</w:t>
      </w:r>
    </w:p>
    <w:p w:rsidR="00165C4A" w:rsidRDefault="00165C4A" w:rsidP="00165C4A">
      <w:pPr>
        <w:rPr>
          <w:rFonts w:cs="Arial"/>
        </w:rPr>
      </w:pPr>
    </w:p>
    <w:p w:rsidR="00165C4A" w:rsidRPr="008145B2" w:rsidRDefault="00165C4A" w:rsidP="00165C4A">
      <w:pPr>
        <w:pStyle w:val="ListParagraph"/>
        <w:numPr>
          <w:ilvl w:val="0"/>
          <w:numId w:val="43"/>
        </w:numPr>
        <w:spacing w:line="276" w:lineRule="auto"/>
        <w:rPr>
          <w:rFonts w:ascii="Arial" w:hAnsi="Arial" w:cs="Arial"/>
          <w:sz w:val="22"/>
        </w:rPr>
      </w:pPr>
      <w:r w:rsidRPr="008145B2">
        <w:rPr>
          <w:rFonts w:ascii="Arial" w:hAnsi="Arial" w:cs="Arial"/>
          <w:sz w:val="22"/>
        </w:rPr>
        <w:t>3</w:t>
      </w:r>
      <w:r>
        <w:rPr>
          <w:rFonts w:ascii="Arial" w:hAnsi="Arial" w:cs="Arial"/>
          <w:sz w:val="22"/>
        </w:rPr>
        <w:t>,</w:t>
      </w:r>
      <w:r w:rsidRPr="008145B2">
        <w:rPr>
          <w:rFonts w:ascii="Arial" w:hAnsi="Arial" w:cs="Arial"/>
          <w:sz w:val="22"/>
        </w:rPr>
        <w:t xml:space="preserve">824 </w:t>
      </w:r>
      <w:r>
        <w:rPr>
          <w:rFonts w:ascii="Arial" w:hAnsi="Arial" w:cs="Arial"/>
          <w:sz w:val="22"/>
        </w:rPr>
        <w:t xml:space="preserve">Medway </w:t>
      </w:r>
      <w:r w:rsidRPr="008145B2">
        <w:rPr>
          <w:rFonts w:ascii="Arial" w:hAnsi="Arial" w:cs="Arial"/>
          <w:sz w:val="22"/>
        </w:rPr>
        <w:t xml:space="preserve">children are only on the caseload of one service </w:t>
      </w:r>
    </w:p>
    <w:p w:rsidR="00165C4A" w:rsidRPr="008145B2" w:rsidRDefault="00165C4A" w:rsidP="00165C4A">
      <w:pPr>
        <w:pStyle w:val="ListParagraph"/>
        <w:numPr>
          <w:ilvl w:val="0"/>
          <w:numId w:val="43"/>
        </w:numPr>
        <w:spacing w:line="276" w:lineRule="auto"/>
        <w:rPr>
          <w:rFonts w:ascii="Arial" w:hAnsi="Arial" w:cs="Arial"/>
          <w:sz w:val="22"/>
        </w:rPr>
      </w:pPr>
      <w:r w:rsidRPr="008145B2">
        <w:rPr>
          <w:rFonts w:ascii="Arial" w:hAnsi="Arial" w:cs="Arial"/>
          <w:sz w:val="22"/>
        </w:rPr>
        <w:t xml:space="preserve">1,887 </w:t>
      </w:r>
      <w:r>
        <w:rPr>
          <w:rFonts w:ascii="Arial" w:hAnsi="Arial" w:cs="Arial"/>
          <w:sz w:val="22"/>
        </w:rPr>
        <w:t xml:space="preserve">Medway </w:t>
      </w:r>
      <w:r w:rsidRPr="008145B2">
        <w:rPr>
          <w:rFonts w:ascii="Arial" w:hAnsi="Arial" w:cs="Arial"/>
          <w:sz w:val="22"/>
        </w:rPr>
        <w:t>children are only being seen by Community Paediatrics</w:t>
      </w:r>
    </w:p>
    <w:p w:rsidR="00165C4A" w:rsidRPr="008145B2" w:rsidRDefault="00165C4A" w:rsidP="00165C4A">
      <w:pPr>
        <w:pStyle w:val="ListParagraph"/>
        <w:numPr>
          <w:ilvl w:val="0"/>
          <w:numId w:val="43"/>
        </w:numPr>
        <w:spacing w:line="276" w:lineRule="auto"/>
        <w:rPr>
          <w:rFonts w:ascii="Arial" w:hAnsi="Arial" w:cs="Arial"/>
          <w:sz w:val="22"/>
        </w:rPr>
      </w:pPr>
      <w:r w:rsidRPr="008145B2">
        <w:rPr>
          <w:rFonts w:ascii="Arial" w:hAnsi="Arial" w:cs="Arial"/>
          <w:sz w:val="22"/>
        </w:rPr>
        <w:t xml:space="preserve">1,526 </w:t>
      </w:r>
      <w:r>
        <w:rPr>
          <w:rFonts w:ascii="Arial" w:hAnsi="Arial" w:cs="Arial"/>
          <w:sz w:val="22"/>
        </w:rPr>
        <w:t xml:space="preserve">Medway </w:t>
      </w:r>
      <w:r w:rsidRPr="008145B2">
        <w:rPr>
          <w:rFonts w:ascii="Arial" w:hAnsi="Arial" w:cs="Arial"/>
          <w:sz w:val="22"/>
        </w:rPr>
        <w:t>children are only on the Children’s Therapies caseload</w:t>
      </w:r>
    </w:p>
    <w:p w:rsidR="00165C4A" w:rsidRPr="008145B2" w:rsidRDefault="00165C4A" w:rsidP="00165C4A">
      <w:pPr>
        <w:pStyle w:val="ListParagraph"/>
        <w:numPr>
          <w:ilvl w:val="0"/>
          <w:numId w:val="43"/>
        </w:numPr>
        <w:spacing w:line="276" w:lineRule="auto"/>
        <w:rPr>
          <w:rFonts w:ascii="Arial" w:hAnsi="Arial" w:cs="Arial"/>
          <w:sz w:val="22"/>
        </w:rPr>
      </w:pPr>
      <w:r w:rsidRPr="008145B2">
        <w:rPr>
          <w:rFonts w:ascii="Arial" w:hAnsi="Arial" w:cs="Arial"/>
          <w:sz w:val="22"/>
        </w:rPr>
        <w:t xml:space="preserve">1103 </w:t>
      </w:r>
      <w:r>
        <w:rPr>
          <w:rFonts w:ascii="Arial" w:hAnsi="Arial" w:cs="Arial"/>
          <w:sz w:val="22"/>
        </w:rPr>
        <w:t xml:space="preserve">Medway </w:t>
      </w:r>
      <w:r w:rsidRPr="008145B2">
        <w:rPr>
          <w:rFonts w:ascii="Arial" w:hAnsi="Arial" w:cs="Arial"/>
          <w:sz w:val="22"/>
        </w:rPr>
        <w:t>children are on the caseload of 2 services</w:t>
      </w:r>
    </w:p>
    <w:p w:rsidR="00165C4A" w:rsidRPr="008145B2" w:rsidRDefault="00165C4A" w:rsidP="00165C4A">
      <w:pPr>
        <w:pStyle w:val="ListParagraph"/>
        <w:numPr>
          <w:ilvl w:val="0"/>
          <w:numId w:val="43"/>
        </w:numPr>
        <w:spacing w:line="276" w:lineRule="auto"/>
        <w:rPr>
          <w:rFonts w:ascii="Arial" w:hAnsi="Arial" w:cs="Arial"/>
          <w:sz w:val="22"/>
        </w:rPr>
      </w:pPr>
      <w:r w:rsidRPr="008145B2">
        <w:rPr>
          <w:rFonts w:ascii="Arial" w:hAnsi="Arial" w:cs="Arial"/>
          <w:sz w:val="22"/>
        </w:rPr>
        <w:t xml:space="preserve">270 </w:t>
      </w:r>
      <w:r>
        <w:rPr>
          <w:rFonts w:ascii="Arial" w:hAnsi="Arial" w:cs="Arial"/>
          <w:sz w:val="22"/>
        </w:rPr>
        <w:t xml:space="preserve">Medway </w:t>
      </w:r>
      <w:r w:rsidRPr="008145B2">
        <w:rPr>
          <w:rFonts w:ascii="Arial" w:hAnsi="Arial" w:cs="Arial"/>
          <w:sz w:val="22"/>
        </w:rPr>
        <w:t>children are on the caseload of 3 services</w:t>
      </w:r>
    </w:p>
    <w:p w:rsidR="00165C4A" w:rsidRPr="008145B2" w:rsidRDefault="00165C4A" w:rsidP="00165C4A">
      <w:pPr>
        <w:pStyle w:val="ListParagraph"/>
        <w:numPr>
          <w:ilvl w:val="0"/>
          <w:numId w:val="43"/>
        </w:numPr>
        <w:spacing w:line="276" w:lineRule="auto"/>
        <w:rPr>
          <w:rFonts w:ascii="Arial" w:hAnsi="Arial" w:cs="Arial"/>
          <w:sz w:val="22"/>
        </w:rPr>
      </w:pPr>
      <w:r w:rsidRPr="008145B2">
        <w:rPr>
          <w:rFonts w:ascii="Arial" w:hAnsi="Arial" w:cs="Arial"/>
          <w:sz w:val="22"/>
        </w:rPr>
        <w:t xml:space="preserve">38 </w:t>
      </w:r>
      <w:r>
        <w:rPr>
          <w:rFonts w:ascii="Arial" w:hAnsi="Arial" w:cs="Arial"/>
          <w:sz w:val="22"/>
        </w:rPr>
        <w:t xml:space="preserve">Medway </w:t>
      </w:r>
      <w:r w:rsidRPr="008145B2">
        <w:rPr>
          <w:rFonts w:ascii="Arial" w:hAnsi="Arial" w:cs="Arial"/>
          <w:sz w:val="22"/>
        </w:rPr>
        <w:t>children are on the caseload of 4 services</w:t>
      </w:r>
    </w:p>
    <w:p w:rsidR="00165C4A" w:rsidRDefault="00165C4A" w:rsidP="00165C4A">
      <w:pPr>
        <w:rPr>
          <w:rFonts w:cs="Arial"/>
        </w:rPr>
      </w:pPr>
    </w:p>
    <w:p w:rsidR="00165C4A" w:rsidRDefault="00165C4A" w:rsidP="00165C4A">
      <w:pPr>
        <w:rPr>
          <w:rFonts w:cs="Arial"/>
        </w:rPr>
      </w:pPr>
      <w:r>
        <w:rPr>
          <w:rFonts w:cs="Arial"/>
        </w:rPr>
        <w:lastRenderedPageBreak/>
        <w:t xml:space="preserve">A common belief is that a core group of children and young people may </w:t>
      </w:r>
      <w:r w:rsidR="002D1208">
        <w:rPr>
          <w:rFonts w:cs="Arial"/>
        </w:rPr>
        <w:t xml:space="preserve">be receiving </w:t>
      </w:r>
      <w:r>
        <w:rPr>
          <w:rFonts w:cs="Arial"/>
        </w:rPr>
        <w:t>several services, and that the system is prone to duplication, but this does not seem to be the case.  Further examination of the detail is needed to understand the story behind these headline figures</w:t>
      </w:r>
      <w:r w:rsidR="00D64546">
        <w:rPr>
          <w:rFonts w:cs="Arial"/>
        </w:rPr>
        <w:t>; not all caseload information has been able to be matched during the course of this work (for example Medway Council’s Portage service do not collect NHS numbers).</w:t>
      </w:r>
    </w:p>
    <w:p w:rsidR="00081D29" w:rsidRDefault="00081D29" w:rsidP="00A2065F">
      <w:pPr>
        <w:pStyle w:val="Heading1"/>
        <w:numPr>
          <w:ilvl w:val="0"/>
          <w:numId w:val="47"/>
        </w:numPr>
      </w:pPr>
      <w:bookmarkStart w:id="7" w:name="_Toc434938018"/>
      <w:r>
        <w:t>Special Educational Needs</w:t>
      </w:r>
      <w:r w:rsidR="00B900F2">
        <w:t xml:space="preserve"> (SEN)</w:t>
      </w:r>
      <w:bookmarkEnd w:id="7"/>
    </w:p>
    <w:p w:rsidR="00B900F2" w:rsidRDefault="00B900F2" w:rsidP="00B900F2">
      <w:r>
        <w:t>SEN is of limited use as a proxy indicator of disability as not all disabled children will have a special educational need and not all children with an educational need will have a disability or long lasting illness</w:t>
      </w:r>
      <w:r w:rsidR="00D64546">
        <w:t>.  T</w:t>
      </w:r>
      <w:r w:rsidR="00501337">
        <w:t>here is</w:t>
      </w:r>
      <w:r w:rsidR="00D64546">
        <w:t xml:space="preserve"> </w:t>
      </w:r>
      <w:r w:rsidR="00501337">
        <w:t>some crossover</w:t>
      </w:r>
      <w:r w:rsidR="00D64546">
        <w:t xml:space="preserve"> between SEN and disability however,</w:t>
      </w:r>
      <w:r w:rsidR="00501337">
        <w:t xml:space="preserve"> and many children with SEN will be users of local secondary health</w:t>
      </w:r>
      <w:r w:rsidR="00F50238">
        <w:t>care</w:t>
      </w:r>
      <w:r w:rsidR="00501337">
        <w:t xml:space="preserve"> services.</w:t>
      </w:r>
    </w:p>
    <w:p w:rsidR="00165C4A" w:rsidRDefault="00165C4A" w:rsidP="00165C4A">
      <w:pPr>
        <w:rPr>
          <w:b/>
        </w:rPr>
      </w:pPr>
    </w:p>
    <w:p w:rsidR="00E65C68" w:rsidRPr="00AD638F" w:rsidRDefault="003B6A62" w:rsidP="00165C4A">
      <w:r>
        <w:t>The b</w:t>
      </w:r>
      <w:r w:rsidR="00E65C68" w:rsidRPr="003B6A62">
        <w:t xml:space="preserve">road areas </w:t>
      </w:r>
      <w:r w:rsidR="00E65C68" w:rsidRPr="00AD638F">
        <w:t>of educational need as defined by the SEN Code of Practice</w:t>
      </w:r>
      <w:r>
        <w:t xml:space="preserve"> are communication and interaction, cognition and learning, specific learning disabilities (encompassing a range of conditions such as </w:t>
      </w:r>
      <w:hyperlink w:anchor="dyslexia" w:history="1">
        <w:r w:rsidRPr="002D14D2">
          <w:rPr>
            <w:rStyle w:val="Hyperlink"/>
          </w:rPr>
          <w:t>dyslexia</w:t>
        </w:r>
      </w:hyperlink>
      <w:r>
        <w:t xml:space="preserve">, </w:t>
      </w:r>
      <w:hyperlink w:anchor="dyscalculia" w:history="1">
        <w:r w:rsidRPr="002D14D2">
          <w:rPr>
            <w:rStyle w:val="Hyperlink"/>
          </w:rPr>
          <w:t>dyscalculia</w:t>
        </w:r>
      </w:hyperlink>
      <w:r>
        <w:t xml:space="preserve"> and </w:t>
      </w:r>
      <w:hyperlink w:anchor="developmental" w:history="1">
        <w:r w:rsidRPr="002D14D2">
          <w:rPr>
            <w:rStyle w:val="Hyperlink"/>
          </w:rPr>
          <w:t>dyspraxia</w:t>
        </w:r>
      </w:hyperlink>
      <w:r>
        <w:rPr>
          <w:rStyle w:val="Hyperlink"/>
        </w:rPr>
        <w:t xml:space="preserve">), </w:t>
      </w:r>
      <w:r>
        <w:t>and social, emotional and mental health difficulties.</w:t>
      </w:r>
      <w:r w:rsidR="00E65C68" w:rsidRPr="00AD638F">
        <w:rPr>
          <w:rStyle w:val="FootnoteReference"/>
        </w:rPr>
        <w:footnoteReference w:id="19"/>
      </w:r>
    </w:p>
    <w:p w:rsidR="00E65C68" w:rsidRDefault="00E65C68" w:rsidP="00B900F2"/>
    <w:p w:rsidR="00D86128" w:rsidRDefault="00D86128" w:rsidP="00B900F2">
      <w:r>
        <w:t xml:space="preserve">Medway is line with its statistical neighbours in terms of the percentage of children and young people who have a </w:t>
      </w:r>
      <w:hyperlink w:anchor="statement" w:history="1">
        <w:r w:rsidRPr="005B07B7">
          <w:rPr>
            <w:rStyle w:val="Hyperlink"/>
          </w:rPr>
          <w:t>stateme</w:t>
        </w:r>
        <w:r w:rsidR="008C3671" w:rsidRPr="005B07B7">
          <w:rPr>
            <w:rStyle w:val="Hyperlink"/>
          </w:rPr>
          <w:t>nt of educational need/EHC plan</w:t>
        </w:r>
      </w:hyperlink>
      <w:r w:rsidR="008C3671">
        <w:t>, and just over national and regional rates</w:t>
      </w:r>
      <w:r w:rsidR="008C3671">
        <w:rPr>
          <w:rStyle w:val="FootnoteReference"/>
        </w:rPr>
        <w:footnoteReference w:id="20"/>
      </w:r>
      <w:r w:rsidR="00F50238">
        <w:t xml:space="preserve"> (Figure 5).</w:t>
      </w:r>
    </w:p>
    <w:p w:rsidR="002D1208" w:rsidRDefault="002D1208" w:rsidP="00B900F2"/>
    <w:tbl>
      <w:tblPr>
        <w:tblStyle w:val="LightList-Accent1"/>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30"/>
        <w:gridCol w:w="1889"/>
        <w:gridCol w:w="2039"/>
        <w:gridCol w:w="1784"/>
      </w:tblGrid>
      <w:tr w:rsidR="00D86128" w:rsidRPr="00E905E6" w:rsidTr="002C4E3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0" w:type="pct"/>
            <w:vMerge w:val="restart"/>
            <w:shd w:val="clear" w:color="auto" w:fill="auto"/>
            <w:noWrap/>
            <w:hideMark/>
          </w:tcPr>
          <w:p w:rsidR="00D86128" w:rsidRPr="00E905E6" w:rsidRDefault="00D86128" w:rsidP="002D7E24">
            <w:pPr>
              <w:rPr>
                <w:rFonts w:eastAsia="Times New Roman" w:cs="Arial"/>
                <w:b w:val="0"/>
                <w:bCs w:val="0"/>
                <w:lang w:eastAsia="en-GB"/>
              </w:rPr>
            </w:pPr>
            <w:r w:rsidRPr="00BB56B4">
              <w:rPr>
                <w:rFonts w:eastAsia="Times New Roman" w:cs="Arial"/>
                <w:b w:val="0"/>
                <w:bCs w:val="0"/>
                <w:lang w:eastAsia="en-GB"/>
              </w:rPr>
              <w:t> </w:t>
            </w:r>
          </w:p>
          <w:p w:rsidR="00D86128" w:rsidRPr="00BB56B4" w:rsidRDefault="00D86128" w:rsidP="002D7E24">
            <w:pPr>
              <w:jc w:val="center"/>
              <w:rPr>
                <w:rFonts w:eastAsia="Times New Roman" w:cs="Arial"/>
                <w:b w:val="0"/>
                <w:bCs w:val="0"/>
                <w:lang w:eastAsia="en-GB"/>
              </w:rPr>
            </w:pPr>
            <w:r w:rsidRPr="00BB56B4">
              <w:rPr>
                <w:rFonts w:eastAsia="Times New Roman" w:cs="Arial"/>
                <w:lang w:eastAsia="en-GB"/>
              </w:rPr>
              <w:t> </w:t>
            </w:r>
          </w:p>
        </w:tc>
        <w:tc>
          <w:tcPr>
            <w:tcW w:w="3090" w:type="pct"/>
            <w:gridSpan w:val="3"/>
            <w:tcBorders>
              <w:bottom w:val="single" w:sz="8" w:space="0" w:color="4F81BD" w:themeColor="accent1"/>
            </w:tcBorders>
            <w:noWrap/>
            <w:hideMark/>
          </w:tcPr>
          <w:p w:rsidR="00D86128" w:rsidRPr="00BB56B4" w:rsidRDefault="005B07B7" w:rsidP="002D7E24">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lang w:eastAsia="en-GB"/>
              </w:rPr>
            </w:pPr>
            <w:r>
              <w:rPr>
                <w:rFonts w:eastAsia="Times New Roman" w:cs="Arial"/>
                <w:b w:val="0"/>
                <w:bCs w:val="0"/>
                <w:lang w:eastAsia="en-GB"/>
              </w:rPr>
              <w:t xml:space="preserve">January </w:t>
            </w:r>
            <w:r w:rsidR="00D86128" w:rsidRPr="00BB56B4">
              <w:rPr>
                <w:rFonts w:eastAsia="Times New Roman" w:cs="Arial"/>
                <w:b w:val="0"/>
                <w:bCs w:val="0"/>
                <w:lang w:eastAsia="en-GB"/>
              </w:rPr>
              <w:t>2015</w:t>
            </w:r>
          </w:p>
        </w:tc>
      </w:tr>
      <w:tr w:rsidR="00D86128" w:rsidRPr="00E905E6" w:rsidTr="002C4E34">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910" w:type="pct"/>
            <w:vMerge/>
            <w:tcBorders>
              <w:top w:val="none" w:sz="0" w:space="0" w:color="auto"/>
              <w:left w:val="none" w:sz="0" w:space="0" w:color="auto"/>
              <w:bottom w:val="none" w:sz="0" w:space="0" w:color="auto"/>
              <w:right w:val="single" w:sz="8" w:space="0" w:color="4F81BD" w:themeColor="accent1"/>
            </w:tcBorders>
            <w:shd w:val="clear" w:color="auto" w:fill="auto"/>
            <w:hideMark/>
          </w:tcPr>
          <w:p w:rsidR="00D86128" w:rsidRPr="00BB56B4" w:rsidRDefault="00D86128" w:rsidP="002D7E24">
            <w:pPr>
              <w:jc w:val="center"/>
              <w:rPr>
                <w:rFonts w:eastAsia="Times New Roman" w:cs="Arial"/>
                <w:lang w:eastAsia="en-GB"/>
              </w:rPr>
            </w:pPr>
          </w:p>
        </w:tc>
        <w:tc>
          <w:tcPr>
            <w:tcW w:w="1022" w:type="pct"/>
            <w:tcBorders>
              <w:left w:val="single" w:sz="8" w:space="0" w:color="4F81BD" w:themeColor="accent1"/>
              <w:right w:val="single" w:sz="8" w:space="0" w:color="4F81BD" w:themeColor="accent1"/>
            </w:tcBorders>
            <w:hideMark/>
          </w:tcPr>
          <w:p w:rsidR="00D86128" w:rsidRPr="00BB56B4" w:rsidRDefault="00D86128" w:rsidP="002D7E24">
            <w:pPr>
              <w:jc w:val="center"/>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sidRPr="00BB56B4">
              <w:rPr>
                <w:rFonts w:eastAsia="Times New Roman" w:cs="Arial"/>
                <w:lang w:eastAsia="en-GB"/>
              </w:rPr>
              <w:t>Total pupils</w:t>
            </w:r>
          </w:p>
        </w:tc>
        <w:tc>
          <w:tcPr>
            <w:tcW w:w="1103" w:type="pct"/>
            <w:tcBorders>
              <w:left w:val="single" w:sz="8" w:space="0" w:color="4F81BD" w:themeColor="accent1"/>
              <w:right w:val="single" w:sz="8" w:space="0" w:color="4F81BD" w:themeColor="accent1"/>
            </w:tcBorders>
            <w:hideMark/>
          </w:tcPr>
          <w:p w:rsidR="00D86128" w:rsidRPr="00BB56B4" w:rsidRDefault="00D86128" w:rsidP="002D7E24">
            <w:pPr>
              <w:jc w:val="center"/>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sidRPr="00BB56B4">
              <w:rPr>
                <w:rFonts w:eastAsia="Times New Roman" w:cs="Arial"/>
                <w:lang w:eastAsia="en-GB"/>
              </w:rPr>
              <w:t>Pupils with statements or EHC plans</w:t>
            </w:r>
          </w:p>
        </w:tc>
        <w:tc>
          <w:tcPr>
            <w:tcW w:w="965" w:type="pct"/>
            <w:tcBorders>
              <w:left w:val="single" w:sz="8" w:space="0" w:color="4F81BD" w:themeColor="accent1"/>
            </w:tcBorders>
            <w:hideMark/>
          </w:tcPr>
          <w:p w:rsidR="00D86128" w:rsidRPr="00BB56B4" w:rsidRDefault="00D86128" w:rsidP="002D7E24">
            <w:pPr>
              <w:jc w:val="center"/>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sidRPr="00E905E6">
              <w:rPr>
                <w:rFonts w:eastAsia="Times New Roman" w:cs="Arial"/>
                <w:lang w:eastAsia="en-GB"/>
              </w:rPr>
              <w:t>% of total school population</w:t>
            </w:r>
          </w:p>
        </w:tc>
      </w:tr>
      <w:tr w:rsidR="00D86128" w:rsidRPr="00BB56B4" w:rsidTr="002C4E34">
        <w:trPr>
          <w:trHeight w:val="300"/>
        </w:trPr>
        <w:tc>
          <w:tcPr>
            <w:cnfStyle w:val="001000000000" w:firstRow="0" w:lastRow="0" w:firstColumn="1" w:lastColumn="0" w:oddVBand="0" w:evenVBand="0" w:oddHBand="0" w:evenHBand="0" w:firstRowFirstColumn="0" w:firstRowLastColumn="0" w:lastRowFirstColumn="0" w:lastRowLastColumn="0"/>
            <w:tcW w:w="1910" w:type="pct"/>
            <w:tcBorders>
              <w:bottom w:val="single" w:sz="8" w:space="0" w:color="4F81BD" w:themeColor="accent1"/>
              <w:right w:val="single" w:sz="8" w:space="0" w:color="4F81BD" w:themeColor="accent1"/>
            </w:tcBorders>
            <w:noWrap/>
            <w:hideMark/>
          </w:tcPr>
          <w:p w:rsidR="00D86128" w:rsidRPr="00BB56B4" w:rsidRDefault="00D86128" w:rsidP="002D7E24">
            <w:pPr>
              <w:rPr>
                <w:rFonts w:eastAsia="Times New Roman" w:cs="Arial"/>
                <w:lang w:eastAsia="en-GB"/>
              </w:rPr>
            </w:pPr>
          </w:p>
        </w:tc>
        <w:tc>
          <w:tcPr>
            <w:tcW w:w="102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hideMark/>
          </w:tcPr>
          <w:p w:rsidR="00D86128" w:rsidRPr="00BB56B4" w:rsidRDefault="00D86128" w:rsidP="002D7E24">
            <w:pPr>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sidRPr="00BB56B4">
              <w:rPr>
                <w:rFonts w:eastAsia="Times New Roman" w:cs="Arial"/>
                <w:lang w:eastAsia="en-GB"/>
              </w:rPr>
              <w:t> </w:t>
            </w:r>
          </w:p>
        </w:tc>
        <w:tc>
          <w:tcPr>
            <w:tcW w:w="110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hideMark/>
          </w:tcPr>
          <w:p w:rsidR="00D86128" w:rsidRPr="00BB56B4" w:rsidRDefault="00D86128" w:rsidP="002D7E24">
            <w:pPr>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p>
        </w:tc>
        <w:tc>
          <w:tcPr>
            <w:tcW w:w="965"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hideMark/>
          </w:tcPr>
          <w:p w:rsidR="00D86128" w:rsidRPr="00BB56B4" w:rsidRDefault="00D86128" w:rsidP="002D7E24">
            <w:pPr>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p>
        </w:tc>
      </w:tr>
      <w:tr w:rsidR="00D86128" w:rsidRPr="00BB56B4" w:rsidTr="002C4E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0" w:type="pct"/>
            <w:tcBorders>
              <w:right w:val="single" w:sz="8" w:space="0" w:color="4F81BD" w:themeColor="accent1"/>
            </w:tcBorders>
            <w:noWrap/>
            <w:hideMark/>
          </w:tcPr>
          <w:p w:rsidR="00D86128" w:rsidRPr="002D14D2" w:rsidRDefault="002D14D2" w:rsidP="002D7E24">
            <w:pPr>
              <w:rPr>
                <w:rFonts w:eastAsia="Times New Roman" w:cs="Arial"/>
                <w:bCs w:val="0"/>
                <w:lang w:eastAsia="en-GB"/>
              </w:rPr>
            </w:pPr>
            <w:r w:rsidRPr="002D14D2">
              <w:rPr>
                <w:rFonts w:eastAsia="Times New Roman" w:cs="Arial"/>
                <w:bCs w:val="0"/>
                <w:lang w:eastAsia="en-GB"/>
              </w:rPr>
              <w:t xml:space="preserve">England </w:t>
            </w:r>
          </w:p>
        </w:tc>
        <w:tc>
          <w:tcPr>
            <w:tcW w:w="1022" w:type="pct"/>
            <w:tcBorders>
              <w:left w:val="single" w:sz="8" w:space="0" w:color="4F81BD" w:themeColor="accent1"/>
              <w:right w:val="single" w:sz="8" w:space="0" w:color="4F81BD" w:themeColor="accent1"/>
            </w:tcBorders>
            <w:noWrap/>
            <w:hideMark/>
          </w:tcPr>
          <w:p w:rsidR="00D86128" w:rsidRPr="00FE02A9" w:rsidRDefault="00D86128" w:rsidP="002D7E24">
            <w:pPr>
              <w:jc w:val="right"/>
              <w:cnfStyle w:val="000000100000" w:firstRow="0" w:lastRow="0" w:firstColumn="0" w:lastColumn="0" w:oddVBand="0" w:evenVBand="0" w:oddHBand="1" w:evenHBand="0" w:firstRowFirstColumn="0" w:firstRowLastColumn="0" w:lastRowFirstColumn="0" w:lastRowLastColumn="0"/>
              <w:rPr>
                <w:rFonts w:eastAsia="Times New Roman" w:cs="Arial"/>
                <w:bCs/>
                <w:lang w:eastAsia="en-GB"/>
              </w:rPr>
            </w:pPr>
            <w:r w:rsidRPr="00FE02A9">
              <w:rPr>
                <w:rFonts w:eastAsia="Times New Roman" w:cs="Arial"/>
                <w:bCs/>
                <w:lang w:eastAsia="en-GB"/>
              </w:rPr>
              <w:t>8,438,145</w:t>
            </w:r>
          </w:p>
        </w:tc>
        <w:tc>
          <w:tcPr>
            <w:tcW w:w="1103" w:type="pct"/>
            <w:tcBorders>
              <w:left w:val="single" w:sz="8" w:space="0" w:color="4F81BD" w:themeColor="accent1"/>
              <w:right w:val="single" w:sz="8" w:space="0" w:color="4F81BD" w:themeColor="accent1"/>
            </w:tcBorders>
            <w:noWrap/>
            <w:hideMark/>
          </w:tcPr>
          <w:p w:rsidR="00D86128" w:rsidRPr="00FE02A9" w:rsidRDefault="00D86128" w:rsidP="002D7E24">
            <w:pPr>
              <w:jc w:val="right"/>
              <w:cnfStyle w:val="000000100000" w:firstRow="0" w:lastRow="0" w:firstColumn="0" w:lastColumn="0" w:oddVBand="0" w:evenVBand="0" w:oddHBand="1" w:evenHBand="0" w:firstRowFirstColumn="0" w:firstRowLastColumn="0" w:lastRowFirstColumn="0" w:lastRowLastColumn="0"/>
              <w:rPr>
                <w:rFonts w:eastAsia="Times New Roman" w:cs="Arial"/>
                <w:bCs/>
                <w:lang w:eastAsia="en-GB"/>
              </w:rPr>
            </w:pPr>
            <w:r w:rsidRPr="00FE02A9">
              <w:rPr>
                <w:rFonts w:eastAsia="Times New Roman" w:cs="Arial"/>
                <w:bCs/>
                <w:lang w:eastAsia="en-GB"/>
              </w:rPr>
              <w:t>236,165</w:t>
            </w:r>
          </w:p>
        </w:tc>
        <w:tc>
          <w:tcPr>
            <w:tcW w:w="965" w:type="pct"/>
            <w:tcBorders>
              <w:left w:val="single" w:sz="8" w:space="0" w:color="4F81BD" w:themeColor="accent1"/>
            </w:tcBorders>
            <w:noWrap/>
            <w:hideMark/>
          </w:tcPr>
          <w:p w:rsidR="00D86128" w:rsidRPr="00FE02A9" w:rsidRDefault="00D86128" w:rsidP="002D7E24">
            <w:pPr>
              <w:jc w:val="right"/>
              <w:cnfStyle w:val="000000100000" w:firstRow="0" w:lastRow="0" w:firstColumn="0" w:lastColumn="0" w:oddVBand="0" w:evenVBand="0" w:oddHBand="1" w:evenHBand="0" w:firstRowFirstColumn="0" w:firstRowLastColumn="0" w:lastRowFirstColumn="0" w:lastRowLastColumn="0"/>
              <w:rPr>
                <w:rFonts w:eastAsia="Times New Roman" w:cs="Arial"/>
                <w:bCs/>
                <w:lang w:eastAsia="en-GB"/>
              </w:rPr>
            </w:pPr>
            <w:r w:rsidRPr="00FE02A9">
              <w:rPr>
                <w:rFonts w:eastAsia="Times New Roman" w:cs="Arial"/>
                <w:bCs/>
                <w:lang w:eastAsia="en-GB"/>
              </w:rPr>
              <w:t>2.8</w:t>
            </w:r>
          </w:p>
        </w:tc>
      </w:tr>
      <w:tr w:rsidR="00D86128" w:rsidRPr="00BB56B4" w:rsidTr="002C4E34">
        <w:trPr>
          <w:trHeight w:val="300"/>
        </w:trPr>
        <w:tc>
          <w:tcPr>
            <w:cnfStyle w:val="001000000000" w:firstRow="0" w:lastRow="0" w:firstColumn="1" w:lastColumn="0" w:oddVBand="0" w:evenVBand="0" w:oddHBand="0" w:evenHBand="0" w:firstRowFirstColumn="0" w:firstRowLastColumn="0" w:lastRowFirstColumn="0" w:lastRowLastColumn="0"/>
            <w:tcW w:w="1910"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noWrap/>
            <w:hideMark/>
          </w:tcPr>
          <w:p w:rsidR="00D86128" w:rsidRPr="002D14D2" w:rsidRDefault="002D14D2" w:rsidP="002D7E24">
            <w:pPr>
              <w:rPr>
                <w:rFonts w:eastAsia="Times New Roman" w:cs="Arial"/>
                <w:bCs w:val="0"/>
                <w:lang w:eastAsia="en-GB"/>
              </w:rPr>
            </w:pPr>
            <w:r w:rsidRPr="002D14D2">
              <w:rPr>
                <w:rFonts w:eastAsia="Times New Roman" w:cs="Arial"/>
                <w:bCs w:val="0"/>
                <w:lang w:eastAsia="en-GB"/>
              </w:rPr>
              <w:t xml:space="preserve">South East </w:t>
            </w:r>
          </w:p>
        </w:tc>
        <w:tc>
          <w:tcPr>
            <w:tcW w:w="102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noWrap/>
            <w:hideMark/>
          </w:tcPr>
          <w:p w:rsidR="00D86128" w:rsidRPr="00FE02A9" w:rsidRDefault="00D86128" w:rsidP="002D7E24">
            <w:pPr>
              <w:jc w:val="right"/>
              <w:cnfStyle w:val="000000000000" w:firstRow="0" w:lastRow="0" w:firstColumn="0" w:lastColumn="0" w:oddVBand="0" w:evenVBand="0" w:oddHBand="0" w:evenHBand="0" w:firstRowFirstColumn="0" w:firstRowLastColumn="0" w:lastRowFirstColumn="0" w:lastRowLastColumn="0"/>
              <w:rPr>
                <w:rFonts w:eastAsia="Times New Roman" w:cs="Arial"/>
                <w:bCs/>
                <w:lang w:eastAsia="en-GB"/>
              </w:rPr>
            </w:pPr>
            <w:r w:rsidRPr="00FE02A9">
              <w:rPr>
                <w:rFonts w:eastAsia="Times New Roman" w:cs="Arial"/>
                <w:bCs/>
                <w:lang w:eastAsia="en-GB"/>
              </w:rPr>
              <w:t>1,366,780</w:t>
            </w:r>
          </w:p>
        </w:tc>
        <w:tc>
          <w:tcPr>
            <w:tcW w:w="110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noWrap/>
            <w:hideMark/>
          </w:tcPr>
          <w:p w:rsidR="00D86128" w:rsidRPr="00FE02A9" w:rsidRDefault="00D86128" w:rsidP="002D7E24">
            <w:pPr>
              <w:jc w:val="right"/>
              <w:cnfStyle w:val="000000000000" w:firstRow="0" w:lastRow="0" w:firstColumn="0" w:lastColumn="0" w:oddVBand="0" w:evenVBand="0" w:oddHBand="0" w:evenHBand="0" w:firstRowFirstColumn="0" w:firstRowLastColumn="0" w:lastRowFirstColumn="0" w:lastRowLastColumn="0"/>
              <w:rPr>
                <w:rFonts w:eastAsia="Times New Roman" w:cs="Arial"/>
                <w:bCs/>
                <w:lang w:eastAsia="en-GB"/>
              </w:rPr>
            </w:pPr>
            <w:r w:rsidRPr="00FE02A9">
              <w:rPr>
                <w:rFonts w:eastAsia="Times New Roman" w:cs="Arial"/>
                <w:bCs/>
                <w:lang w:eastAsia="en-GB"/>
              </w:rPr>
              <w:t>40,035</w:t>
            </w:r>
          </w:p>
        </w:tc>
        <w:tc>
          <w:tcPr>
            <w:tcW w:w="965"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noWrap/>
            <w:hideMark/>
          </w:tcPr>
          <w:p w:rsidR="00D86128" w:rsidRPr="00FE02A9" w:rsidRDefault="00D86128" w:rsidP="002D7E24">
            <w:pPr>
              <w:jc w:val="right"/>
              <w:cnfStyle w:val="000000000000" w:firstRow="0" w:lastRow="0" w:firstColumn="0" w:lastColumn="0" w:oddVBand="0" w:evenVBand="0" w:oddHBand="0" w:evenHBand="0" w:firstRowFirstColumn="0" w:firstRowLastColumn="0" w:lastRowFirstColumn="0" w:lastRowLastColumn="0"/>
              <w:rPr>
                <w:rFonts w:eastAsia="Times New Roman" w:cs="Arial"/>
                <w:bCs/>
                <w:lang w:eastAsia="en-GB"/>
              </w:rPr>
            </w:pPr>
            <w:r w:rsidRPr="00FE02A9">
              <w:rPr>
                <w:rFonts w:eastAsia="Times New Roman" w:cs="Arial"/>
                <w:bCs/>
                <w:lang w:eastAsia="en-GB"/>
              </w:rPr>
              <w:t>2.9</w:t>
            </w:r>
          </w:p>
        </w:tc>
      </w:tr>
      <w:tr w:rsidR="002C4E34" w:rsidRPr="002C4E34" w:rsidTr="002C4E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0" w:type="pct"/>
            <w:tcBorders>
              <w:right w:val="single" w:sz="8" w:space="0" w:color="4F81BD" w:themeColor="accent1"/>
            </w:tcBorders>
            <w:shd w:val="clear" w:color="auto" w:fill="4F81BD"/>
            <w:noWrap/>
            <w:hideMark/>
          </w:tcPr>
          <w:p w:rsidR="00D86128" w:rsidRPr="002C4E34" w:rsidRDefault="00D86128" w:rsidP="002D7E24">
            <w:pPr>
              <w:rPr>
                <w:rFonts w:eastAsia="Times New Roman" w:cs="Arial"/>
                <w:color w:val="FFFFFF" w:themeColor="background1"/>
                <w:lang w:eastAsia="en-GB"/>
              </w:rPr>
            </w:pPr>
            <w:r w:rsidRPr="002C4E34">
              <w:rPr>
                <w:rFonts w:eastAsia="Times New Roman" w:cs="Arial"/>
                <w:color w:val="FFFFFF" w:themeColor="background1"/>
                <w:lang w:eastAsia="en-GB"/>
              </w:rPr>
              <w:t>Medway</w:t>
            </w:r>
          </w:p>
        </w:tc>
        <w:tc>
          <w:tcPr>
            <w:tcW w:w="1022" w:type="pct"/>
            <w:tcBorders>
              <w:left w:val="single" w:sz="8" w:space="0" w:color="4F81BD" w:themeColor="accent1"/>
              <w:right w:val="single" w:sz="8" w:space="0" w:color="4F81BD" w:themeColor="accent1"/>
            </w:tcBorders>
            <w:shd w:val="clear" w:color="auto" w:fill="4F81BD"/>
            <w:noWrap/>
            <w:hideMark/>
          </w:tcPr>
          <w:p w:rsidR="00D86128" w:rsidRPr="002C4E34" w:rsidRDefault="00D86128" w:rsidP="002D7E24">
            <w:pPr>
              <w:jc w:val="right"/>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lang w:eastAsia="en-GB"/>
              </w:rPr>
            </w:pPr>
            <w:r w:rsidRPr="002C4E34">
              <w:rPr>
                <w:rFonts w:eastAsia="Times New Roman" w:cs="Arial"/>
                <w:b/>
                <w:color w:val="FFFFFF" w:themeColor="background1"/>
                <w:lang w:eastAsia="en-GB"/>
              </w:rPr>
              <w:t>45,510</w:t>
            </w:r>
          </w:p>
        </w:tc>
        <w:tc>
          <w:tcPr>
            <w:tcW w:w="1103" w:type="pct"/>
            <w:tcBorders>
              <w:left w:val="single" w:sz="8" w:space="0" w:color="4F81BD" w:themeColor="accent1"/>
              <w:right w:val="single" w:sz="8" w:space="0" w:color="4F81BD" w:themeColor="accent1"/>
            </w:tcBorders>
            <w:shd w:val="clear" w:color="auto" w:fill="4F81BD"/>
            <w:noWrap/>
            <w:hideMark/>
          </w:tcPr>
          <w:p w:rsidR="00D86128" w:rsidRPr="002C4E34" w:rsidRDefault="00D86128" w:rsidP="002D7E24">
            <w:pPr>
              <w:jc w:val="right"/>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lang w:eastAsia="en-GB"/>
              </w:rPr>
            </w:pPr>
            <w:r w:rsidRPr="002C4E34">
              <w:rPr>
                <w:rFonts w:eastAsia="Times New Roman" w:cs="Arial"/>
                <w:b/>
                <w:color w:val="FFFFFF" w:themeColor="background1"/>
                <w:lang w:eastAsia="en-GB"/>
              </w:rPr>
              <w:t>1,378</w:t>
            </w:r>
          </w:p>
        </w:tc>
        <w:tc>
          <w:tcPr>
            <w:tcW w:w="965" w:type="pct"/>
            <w:tcBorders>
              <w:left w:val="single" w:sz="8" w:space="0" w:color="4F81BD" w:themeColor="accent1"/>
            </w:tcBorders>
            <w:shd w:val="clear" w:color="auto" w:fill="4F81BD"/>
            <w:noWrap/>
            <w:hideMark/>
          </w:tcPr>
          <w:p w:rsidR="00D86128" w:rsidRPr="002C4E34" w:rsidRDefault="00D86128" w:rsidP="002D7E24">
            <w:pPr>
              <w:jc w:val="right"/>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lang w:eastAsia="en-GB"/>
              </w:rPr>
            </w:pPr>
            <w:r w:rsidRPr="002C4E34">
              <w:rPr>
                <w:rFonts w:eastAsia="Times New Roman" w:cs="Arial"/>
                <w:b/>
                <w:color w:val="FFFFFF" w:themeColor="background1"/>
                <w:lang w:eastAsia="en-GB"/>
              </w:rPr>
              <w:t>3.0</w:t>
            </w:r>
          </w:p>
        </w:tc>
      </w:tr>
      <w:tr w:rsidR="00D86128" w:rsidRPr="00BB56B4" w:rsidTr="002C4E34">
        <w:trPr>
          <w:trHeight w:val="300"/>
        </w:trPr>
        <w:tc>
          <w:tcPr>
            <w:cnfStyle w:val="001000000000" w:firstRow="0" w:lastRow="0" w:firstColumn="1" w:lastColumn="0" w:oddVBand="0" w:evenVBand="0" w:oddHBand="0" w:evenHBand="0" w:firstRowFirstColumn="0" w:firstRowLastColumn="0" w:lastRowFirstColumn="0" w:lastRowLastColumn="0"/>
            <w:tcW w:w="1910"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noWrap/>
            <w:hideMark/>
          </w:tcPr>
          <w:p w:rsidR="00D86128" w:rsidRPr="00BB56B4" w:rsidRDefault="00D86128" w:rsidP="002D7E24">
            <w:pPr>
              <w:rPr>
                <w:rFonts w:eastAsia="Times New Roman" w:cs="Arial"/>
                <w:lang w:eastAsia="en-GB"/>
              </w:rPr>
            </w:pPr>
            <w:r w:rsidRPr="00BB56B4">
              <w:rPr>
                <w:rFonts w:eastAsia="Times New Roman" w:cs="Arial"/>
                <w:lang w:eastAsia="en-GB"/>
              </w:rPr>
              <w:t>Dudley</w:t>
            </w:r>
          </w:p>
        </w:tc>
        <w:tc>
          <w:tcPr>
            <w:tcW w:w="102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noWrap/>
            <w:hideMark/>
          </w:tcPr>
          <w:p w:rsidR="00D86128" w:rsidRPr="00BB56B4" w:rsidRDefault="00D86128" w:rsidP="002D7E24">
            <w:pPr>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sidRPr="00BB56B4">
              <w:rPr>
                <w:rFonts w:eastAsia="Times New Roman" w:cs="Arial"/>
                <w:lang w:eastAsia="en-GB"/>
              </w:rPr>
              <w:t>47,217</w:t>
            </w:r>
          </w:p>
        </w:tc>
        <w:tc>
          <w:tcPr>
            <w:tcW w:w="110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noWrap/>
            <w:hideMark/>
          </w:tcPr>
          <w:p w:rsidR="00D86128" w:rsidRPr="00BB56B4" w:rsidRDefault="00D86128" w:rsidP="002D7E24">
            <w:pPr>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sidRPr="00BB56B4">
              <w:rPr>
                <w:rFonts w:eastAsia="Times New Roman" w:cs="Arial"/>
                <w:lang w:eastAsia="en-GB"/>
              </w:rPr>
              <w:t>1,378</w:t>
            </w:r>
          </w:p>
        </w:tc>
        <w:tc>
          <w:tcPr>
            <w:tcW w:w="965"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noWrap/>
            <w:hideMark/>
          </w:tcPr>
          <w:p w:rsidR="00D86128" w:rsidRPr="00BB56B4" w:rsidRDefault="00D86128" w:rsidP="002D7E24">
            <w:pPr>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sidRPr="00BB56B4">
              <w:rPr>
                <w:rFonts w:eastAsia="Times New Roman" w:cs="Arial"/>
                <w:lang w:eastAsia="en-GB"/>
              </w:rPr>
              <w:t>2.9</w:t>
            </w:r>
          </w:p>
        </w:tc>
      </w:tr>
      <w:tr w:rsidR="00D86128" w:rsidRPr="00BB56B4" w:rsidTr="002C4E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0" w:type="pct"/>
            <w:tcBorders>
              <w:right w:val="single" w:sz="8" w:space="0" w:color="4F81BD" w:themeColor="accent1"/>
            </w:tcBorders>
            <w:noWrap/>
            <w:hideMark/>
          </w:tcPr>
          <w:p w:rsidR="00D86128" w:rsidRPr="00BB56B4" w:rsidRDefault="00D86128" w:rsidP="002D7E24">
            <w:pPr>
              <w:rPr>
                <w:rFonts w:eastAsia="Times New Roman" w:cs="Arial"/>
                <w:lang w:eastAsia="en-GB"/>
              </w:rPr>
            </w:pPr>
            <w:r w:rsidRPr="00BB56B4">
              <w:rPr>
                <w:rFonts w:eastAsia="Times New Roman" w:cs="Arial"/>
                <w:lang w:eastAsia="en-GB"/>
              </w:rPr>
              <w:t>Havering</w:t>
            </w:r>
          </w:p>
        </w:tc>
        <w:tc>
          <w:tcPr>
            <w:tcW w:w="1022" w:type="pct"/>
            <w:tcBorders>
              <w:left w:val="single" w:sz="8" w:space="0" w:color="4F81BD" w:themeColor="accent1"/>
              <w:right w:val="single" w:sz="8" w:space="0" w:color="4F81BD" w:themeColor="accent1"/>
            </w:tcBorders>
            <w:noWrap/>
            <w:hideMark/>
          </w:tcPr>
          <w:p w:rsidR="00D86128" w:rsidRPr="00BB56B4" w:rsidRDefault="00D86128" w:rsidP="002D7E24">
            <w:pPr>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sidRPr="00BB56B4">
              <w:rPr>
                <w:rFonts w:eastAsia="Times New Roman" w:cs="Arial"/>
                <w:lang w:eastAsia="en-GB"/>
              </w:rPr>
              <w:t>38,707</w:t>
            </w:r>
          </w:p>
        </w:tc>
        <w:tc>
          <w:tcPr>
            <w:tcW w:w="1103" w:type="pct"/>
            <w:tcBorders>
              <w:left w:val="single" w:sz="8" w:space="0" w:color="4F81BD" w:themeColor="accent1"/>
              <w:right w:val="single" w:sz="8" w:space="0" w:color="4F81BD" w:themeColor="accent1"/>
            </w:tcBorders>
            <w:noWrap/>
            <w:hideMark/>
          </w:tcPr>
          <w:p w:rsidR="00D86128" w:rsidRPr="00BB56B4" w:rsidRDefault="00D86128" w:rsidP="002D7E24">
            <w:pPr>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sidRPr="00BB56B4">
              <w:rPr>
                <w:rFonts w:eastAsia="Times New Roman" w:cs="Arial"/>
                <w:lang w:eastAsia="en-GB"/>
              </w:rPr>
              <w:t>920</w:t>
            </w:r>
          </w:p>
        </w:tc>
        <w:tc>
          <w:tcPr>
            <w:tcW w:w="965" w:type="pct"/>
            <w:tcBorders>
              <w:left w:val="single" w:sz="8" w:space="0" w:color="4F81BD" w:themeColor="accent1"/>
            </w:tcBorders>
            <w:noWrap/>
            <w:hideMark/>
          </w:tcPr>
          <w:p w:rsidR="00D86128" w:rsidRPr="00BB56B4" w:rsidRDefault="00D86128" w:rsidP="002D7E24">
            <w:pPr>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sidRPr="00BB56B4">
              <w:rPr>
                <w:rFonts w:eastAsia="Times New Roman" w:cs="Arial"/>
                <w:lang w:eastAsia="en-GB"/>
              </w:rPr>
              <w:t>2.4</w:t>
            </w:r>
          </w:p>
        </w:tc>
      </w:tr>
      <w:tr w:rsidR="00D86128" w:rsidRPr="00BB56B4" w:rsidTr="002C4E34">
        <w:trPr>
          <w:trHeight w:val="300"/>
        </w:trPr>
        <w:tc>
          <w:tcPr>
            <w:cnfStyle w:val="001000000000" w:firstRow="0" w:lastRow="0" w:firstColumn="1" w:lastColumn="0" w:oddVBand="0" w:evenVBand="0" w:oddHBand="0" w:evenHBand="0" w:firstRowFirstColumn="0" w:firstRowLastColumn="0" w:lastRowFirstColumn="0" w:lastRowLastColumn="0"/>
            <w:tcW w:w="1910"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noWrap/>
            <w:hideMark/>
          </w:tcPr>
          <w:p w:rsidR="00D86128" w:rsidRPr="00BB56B4" w:rsidRDefault="00D86128" w:rsidP="002D7E24">
            <w:pPr>
              <w:rPr>
                <w:rFonts w:eastAsia="Times New Roman" w:cs="Arial"/>
                <w:lang w:eastAsia="en-GB"/>
              </w:rPr>
            </w:pPr>
            <w:r w:rsidRPr="00BB56B4">
              <w:rPr>
                <w:rFonts w:eastAsia="Times New Roman" w:cs="Arial"/>
                <w:lang w:eastAsia="en-GB"/>
              </w:rPr>
              <w:t>Northamptonshire</w:t>
            </w:r>
          </w:p>
        </w:tc>
        <w:tc>
          <w:tcPr>
            <w:tcW w:w="102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noWrap/>
            <w:hideMark/>
          </w:tcPr>
          <w:p w:rsidR="00D86128" w:rsidRPr="00BB56B4" w:rsidRDefault="00D86128" w:rsidP="002D7E24">
            <w:pPr>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sidRPr="00BB56B4">
              <w:rPr>
                <w:rFonts w:eastAsia="Times New Roman" w:cs="Arial"/>
                <w:lang w:eastAsia="en-GB"/>
              </w:rPr>
              <w:t>117,153</w:t>
            </w:r>
          </w:p>
        </w:tc>
        <w:tc>
          <w:tcPr>
            <w:tcW w:w="110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noWrap/>
            <w:hideMark/>
          </w:tcPr>
          <w:p w:rsidR="00D86128" w:rsidRPr="00BB56B4" w:rsidRDefault="00D86128" w:rsidP="002D7E24">
            <w:pPr>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sidRPr="00BB56B4">
              <w:rPr>
                <w:rFonts w:eastAsia="Times New Roman" w:cs="Arial"/>
                <w:lang w:eastAsia="en-GB"/>
              </w:rPr>
              <w:t>3,368</w:t>
            </w:r>
          </w:p>
        </w:tc>
        <w:tc>
          <w:tcPr>
            <w:tcW w:w="965"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noWrap/>
            <w:hideMark/>
          </w:tcPr>
          <w:p w:rsidR="00D86128" w:rsidRPr="00BB56B4" w:rsidRDefault="00D86128" w:rsidP="002D7E24">
            <w:pPr>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sidRPr="00BB56B4">
              <w:rPr>
                <w:rFonts w:eastAsia="Times New Roman" w:cs="Arial"/>
                <w:lang w:eastAsia="en-GB"/>
              </w:rPr>
              <w:t>2.9</w:t>
            </w:r>
          </w:p>
        </w:tc>
      </w:tr>
      <w:tr w:rsidR="00D86128" w:rsidRPr="00BB56B4" w:rsidTr="002C4E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0" w:type="pct"/>
            <w:tcBorders>
              <w:right w:val="single" w:sz="8" w:space="0" w:color="4F81BD" w:themeColor="accent1"/>
            </w:tcBorders>
            <w:noWrap/>
            <w:hideMark/>
          </w:tcPr>
          <w:p w:rsidR="00D86128" w:rsidRPr="00BB56B4" w:rsidRDefault="00D86128" w:rsidP="002D7E24">
            <w:pPr>
              <w:rPr>
                <w:rFonts w:eastAsia="Times New Roman" w:cs="Arial"/>
                <w:lang w:eastAsia="en-GB"/>
              </w:rPr>
            </w:pPr>
            <w:r w:rsidRPr="00BB56B4">
              <w:rPr>
                <w:rFonts w:eastAsia="Times New Roman" w:cs="Arial"/>
                <w:lang w:eastAsia="en-GB"/>
              </w:rPr>
              <w:t>Rotherham</w:t>
            </w:r>
          </w:p>
        </w:tc>
        <w:tc>
          <w:tcPr>
            <w:tcW w:w="1022" w:type="pct"/>
            <w:tcBorders>
              <w:left w:val="single" w:sz="8" w:space="0" w:color="4F81BD" w:themeColor="accent1"/>
              <w:right w:val="single" w:sz="8" w:space="0" w:color="4F81BD" w:themeColor="accent1"/>
            </w:tcBorders>
            <w:noWrap/>
            <w:hideMark/>
          </w:tcPr>
          <w:p w:rsidR="00D86128" w:rsidRPr="00BB56B4" w:rsidRDefault="00D86128" w:rsidP="002D7E24">
            <w:pPr>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sidRPr="00BB56B4">
              <w:rPr>
                <w:rFonts w:eastAsia="Times New Roman" w:cs="Arial"/>
                <w:lang w:eastAsia="en-GB"/>
              </w:rPr>
              <w:t>44,030</w:t>
            </w:r>
          </w:p>
        </w:tc>
        <w:tc>
          <w:tcPr>
            <w:tcW w:w="1103" w:type="pct"/>
            <w:tcBorders>
              <w:left w:val="single" w:sz="8" w:space="0" w:color="4F81BD" w:themeColor="accent1"/>
              <w:right w:val="single" w:sz="8" w:space="0" w:color="4F81BD" w:themeColor="accent1"/>
            </w:tcBorders>
            <w:noWrap/>
            <w:hideMark/>
          </w:tcPr>
          <w:p w:rsidR="00D86128" w:rsidRPr="00BB56B4" w:rsidRDefault="00D86128" w:rsidP="002D7E24">
            <w:pPr>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sidRPr="00BB56B4">
              <w:rPr>
                <w:rFonts w:eastAsia="Times New Roman" w:cs="Arial"/>
                <w:lang w:eastAsia="en-GB"/>
              </w:rPr>
              <w:t>1,031</w:t>
            </w:r>
          </w:p>
        </w:tc>
        <w:tc>
          <w:tcPr>
            <w:tcW w:w="965" w:type="pct"/>
            <w:tcBorders>
              <w:left w:val="single" w:sz="8" w:space="0" w:color="4F81BD" w:themeColor="accent1"/>
            </w:tcBorders>
            <w:noWrap/>
            <w:hideMark/>
          </w:tcPr>
          <w:p w:rsidR="00D86128" w:rsidRPr="00BB56B4" w:rsidRDefault="00D86128" w:rsidP="002D7E24">
            <w:pPr>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sidRPr="00BB56B4">
              <w:rPr>
                <w:rFonts w:eastAsia="Times New Roman" w:cs="Arial"/>
                <w:lang w:eastAsia="en-GB"/>
              </w:rPr>
              <w:t>2.3</w:t>
            </w:r>
          </w:p>
        </w:tc>
      </w:tr>
      <w:tr w:rsidR="00D86128" w:rsidRPr="00BB56B4" w:rsidTr="002C4E34">
        <w:trPr>
          <w:trHeight w:val="300"/>
        </w:trPr>
        <w:tc>
          <w:tcPr>
            <w:cnfStyle w:val="001000000000" w:firstRow="0" w:lastRow="0" w:firstColumn="1" w:lastColumn="0" w:oddVBand="0" w:evenVBand="0" w:oddHBand="0" w:evenHBand="0" w:firstRowFirstColumn="0" w:firstRowLastColumn="0" w:lastRowFirstColumn="0" w:lastRowLastColumn="0"/>
            <w:tcW w:w="1910"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noWrap/>
            <w:hideMark/>
          </w:tcPr>
          <w:p w:rsidR="00D86128" w:rsidRPr="00BB56B4" w:rsidRDefault="00D86128" w:rsidP="002D7E24">
            <w:pPr>
              <w:rPr>
                <w:rFonts w:eastAsia="Times New Roman" w:cs="Arial"/>
                <w:lang w:eastAsia="en-GB"/>
              </w:rPr>
            </w:pPr>
            <w:r w:rsidRPr="00BB56B4">
              <w:rPr>
                <w:rFonts w:eastAsia="Times New Roman" w:cs="Arial"/>
                <w:lang w:eastAsia="en-GB"/>
              </w:rPr>
              <w:t>Southend-on-Sea</w:t>
            </w:r>
          </w:p>
        </w:tc>
        <w:tc>
          <w:tcPr>
            <w:tcW w:w="102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noWrap/>
            <w:hideMark/>
          </w:tcPr>
          <w:p w:rsidR="00D86128" w:rsidRPr="00BB56B4" w:rsidRDefault="00D86128" w:rsidP="002D7E24">
            <w:pPr>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sidRPr="00BB56B4">
              <w:rPr>
                <w:rFonts w:eastAsia="Times New Roman" w:cs="Arial"/>
                <w:lang w:eastAsia="en-GB"/>
              </w:rPr>
              <w:t>29,653</w:t>
            </w:r>
          </w:p>
        </w:tc>
        <w:tc>
          <w:tcPr>
            <w:tcW w:w="110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noWrap/>
            <w:hideMark/>
          </w:tcPr>
          <w:p w:rsidR="00D86128" w:rsidRPr="00BB56B4" w:rsidRDefault="00D86128" w:rsidP="002D7E24">
            <w:pPr>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sidRPr="00BB56B4">
              <w:rPr>
                <w:rFonts w:eastAsia="Times New Roman" w:cs="Arial"/>
                <w:lang w:eastAsia="en-GB"/>
              </w:rPr>
              <w:t>956</w:t>
            </w:r>
          </w:p>
        </w:tc>
        <w:tc>
          <w:tcPr>
            <w:tcW w:w="965"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noWrap/>
            <w:hideMark/>
          </w:tcPr>
          <w:p w:rsidR="00D86128" w:rsidRPr="00BB56B4" w:rsidRDefault="00D86128" w:rsidP="002D7E24">
            <w:pPr>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sidRPr="00BB56B4">
              <w:rPr>
                <w:rFonts w:eastAsia="Times New Roman" w:cs="Arial"/>
                <w:lang w:eastAsia="en-GB"/>
              </w:rPr>
              <w:t>3.2</w:t>
            </w:r>
          </w:p>
        </w:tc>
      </w:tr>
      <w:tr w:rsidR="00D86128" w:rsidRPr="00BB56B4" w:rsidTr="002C4E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0" w:type="pct"/>
            <w:tcBorders>
              <w:right w:val="single" w:sz="8" w:space="0" w:color="4F81BD" w:themeColor="accent1"/>
            </w:tcBorders>
            <w:noWrap/>
            <w:hideMark/>
          </w:tcPr>
          <w:p w:rsidR="00D86128" w:rsidRPr="00BB56B4" w:rsidRDefault="00D86128" w:rsidP="002D7E24">
            <w:pPr>
              <w:rPr>
                <w:rFonts w:eastAsia="Times New Roman" w:cs="Arial"/>
                <w:lang w:eastAsia="en-GB"/>
              </w:rPr>
            </w:pPr>
            <w:r w:rsidRPr="00BB56B4">
              <w:rPr>
                <w:rFonts w:eastAsia="Times New Roman" w:cs="Arial"/>
                <w:lang w:eastAsia="en-GB"/>
              </w:rPr>
              <w:t>Swindon</w:t>
            </w:r>
          </w:p>
        </w:tc>
        <w:tc>
          <w:tcPr>
            <w:tcW w:w="1022" w:type="pct"/>
            <w:tcBorders>
              <w:left w:val="single" w:sz="8" w:space="0" w:color="4F81BD" w:themeColor="accent1"/>
              <w:right w:val="single" w:sz="8" w:space="0" w:color="4F81BD" w:themeColor="accent1"/>
            </w:tcBorders>
            <w:noWrap/>
            <w:hideMark/>
          </w:tcPr>
          <w:p w:rsidR="00D86128" w:rsidRPr="00BB56B4" w:rsidRDefault="00D86128" w:rsidP="002D7E24">
            <w:pPr>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sidRPr="00BB56B4">
              <w:rPr>
                <w:rFonts w:eastAsia="Times New Roman" w:cs="Arial"/>
                <w:lang w:eastAsia="en-GB"/>
              </w:rPr>
              <w:t>31,920</w:t>
            </w:r>
          </w:p>
        </w:tc>
        <w:tc>
          <w:tcPr>
            <w:tcW w:w="1103" w:type="pct"/>
            <w:tcBorders>
              <w:left w:val="single" w:sz="8" w:space="0" w:color="4F81BD" w:themeColor="accent1"/>
              <w:right w:val="single" w:sz="8" w:space="0" w:color="4F81BD" w:themeColor="accent1"/>
            </w:tcBorders>
            <w:noWrap/>
            <w:hideMark/>
          </w:tcPr>
          <w:p w:rsidR="00D86128" w:rsidRPr="00BB56B4" w:rsidRDefault="00D86128" w:rsidP="002D7E24">
            <w:pPr>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sidRPr="00BB56B4">
              <w:rPr>
                <w:rFonts w:eastAsia="Times New Roman" w:cs="Arial"/>
                <w:lang w:eastAsia="en-GB"/>
              </w:rPr>
              <w:t>1,207</w:t>
            </w:r>
          </w:p>
        </w:tc>
        <w:tc>
          <w:tcPr>
            <w:tcW w:w="965" w:type="pct"/>
            <w:tcBorders>
              <w:left w:val="single" w:sz="8" w:space="0" w:color="4F81BD" w:themeColor="accent1"/>
            </w:tcBorders>
            <w:noWrap/>
            <w:hideMark/>
          </w:tcPr>
          <w:p w:rsidR="00D86128" w:rsidRPr="00BB56B4" w:rsidRDefault="00D86128" w:rsidP="002D7E24">
            <w:pPr>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sidRPr="00BB56B4">
              <w:rPr>
                <w:rFonts w:eastAsia="Times New Roman" w:cs="Arial"/>
                <w:lang w:eastAsia="en-GB"/>
              </w:rPr>
              <w:t>3.8</w:t>
            </w:r>
          </w:p>
        </w:tc>
      </w:tr>
      <w:tr w:rsidR="00D86128" w:rsidRPr="00BB56B4" w:rsidTr="002C4E34">
        <w:trPr>
          <w:trHeight w:val="300"/>
        </w:trPr>
        <w:tc>
          <w:tcPr>
            <w:cnfStyle w:val="001000000000" w:firstRow="0" w:lastRow="0" w:firstColumn="1" w:lastColumn="0" w:oddVBand="0" w:evenVBand="0" w:oddHBand="0" w:evenHBand="0" w:firstRowFirstColumn="0" w:firstRowLastColumn="0" w:lastRowFirstColumn="0" w:lastRowLastColumn="0"/>
            <w:tcW w:w="1910"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noWrap/>
            <w:hideMark/>
          </w:tcPr>
          <w:p w:rsidR="00D86128" w:rsidRPr="00BB56B4" w:rsidRDefault="00D86128" w:rsidP="002D7E24">
            <w:pPr>
              <w:rPr>
                <w:rFonts w:eastAsia="Times New Roman" w:cs="Arial"/>
                <w:lang w:eastAsia="en-GB"/>
              </w:rPr>
            </w:pPr>
            <w:r w:rsidRPr="00BB56B4">
              <w:rPr>
                <w:rFonts w:eastAsia="Times New Roman" w:cs="Arial"/>
                <w:lang w:eastAsia="en-GB"/>
              </w:rPr>
              <w:t>Telford and Wrekin</w:t>
            </w:r>
          </w:p>
        </w:tc>
        <w:tc>
          <w:tcPr>
            <w:tcW w:w="102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noWrap/>
            <w:hideMark/>
          </w:tcPr>
          <w:p w:rsidR="00D86128" w:rsidRPr="00BB56B4" w:rsidRDefault="00D86128" w:rsidP="002D7E24">
            <w:pPr>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sidRPr="00BB56B4">
              <w:rPr>
                <w:rFonts w:eastAsia="Times New Roman" w:cs="Arial"/>
                <w:lang w:eastAsia="en-GB"/>
              </w:rPr>
              <w:t>28,310</w:t>
            </w:r>
          </w:p>
        </w:tc>
        <w:tc>
          <w:tcPr>
            <w:tcW w:w="110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noWrap/>
            <w:hideMark/>
          </w:tcPr>
          <w:p w:rsidR="00D86128" w:rsidRPr="00BB56B4" w:rsidRDefault="00D86128" w:rsidP="002D7E24">
            <w:pPr>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sidRPr="00BB56B4">
              <w:rPr>
                <w:rFonts w:eastAsia="Times New Roman" w:cs="Arial"/>
                <w:lang w:eastAsia="en-GB"/>
              </w:rPr>
              <w:t>1,001</w:t>
            </w:r>
          </w:p>
        </w:tc>
        <w:tc>
          <w:tcPr>
            <w:tcW w:w="965"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noWrap/>
            <w:hideMark/>
          </w:tcPr>
          <w:p w:rsidR="00D86128" w:rsidRPr="00BB56B4" w:rsidRDefault="00D86128" w:rsidP="002D7E24">
            <w:pPr>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sidRPr="00BB56B4">
              <w:rPr>
                <w:rFonts w:eastAsia="Times New Roman" w:cs="Arial"/>
                <w:lang w:eastAsia="en-GB"/>
              </w:rPr>
              <w:t>3.5</w:t>
            </w:r>
          </w:p>
        </w:tc>
      </w:tr>
      <w:tr w:rsidR="00D86128" w:rsidRPr="00BB56B4" w:rsidTr="002C4E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0" w:type="pct"/>
            <w:tcBorders>
              <w:right w:val="single" w:sz="8" w:space="0" w:color="4F81BD" w:themeColor="accent1"/>
            </w:tcBorders>
            <w:noWrap/>
            <w:hideMark/>
          </w:tcPr>
          <w:p w:rsidR="00D86128" w:rsidRPr="00BB56B4" w:rsidRDefault="00D86128" w:rsidP="002D7E24">
            <w:pPr>
              <w:rPr>
                <w:rFonts w:eastAsia="Times New Roman" w:cs="Arial"/>
                <w:lang w:eastAsia="en-GB"/>
              </w:rPr>
            </w:pPr>
            <w:r w:rsidRPr="00BB56B4">
              <w:rPr>
                <w:rFonts w:eastAsia="Times New Roman" w:cs="Arial"/>
                <w:lang w:eastAsia="en-GB"/>
              </w:rPr>
              <w:t>Thurrock</w:t>
            </w:r>
          </w:p>
        </w:tc>
        <w:tc>
          <w:tcPr>
            <w:tcW w:w="1022" w:type="pct"/>
            <w:tcBorders>
              <w:left w:val="single" w:sz="8" w:space="0" w:color="4F81BD" w:themeColor="accent1"/>
              <w:right w:val="single" w:sz="8" w:space="0" w:color="4F81BD" w:themeColor="accent1"/>
            </w:tcBorders>
            <w:noWrap/>
            <w:hideMark/>
          </w:tcPr>
          <w:p w:rsidR="00D86128" w:rsidRPr="00BB56B4" w:rsidRDefault="00D86128" w:rsidP="002D7E24">
            <w:pPr>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sidRPr="00BB56B4">
              <w:rPr>
                <w:rFonts w:eastAsia="Times New Roman" w:cs="Arial"/>
                <w:lang w:eastAsia="en-GB"/>
              </w:rPr>
              <w:t>26,314</w:t>
            </w:r>
          </w:p>
        </w:tc>
        <w:tc>
          <w:tcPr>
            <w:tcW w:w="1103" w:type="pct"/>
            <w:tcBorders>
              <w:left w:val="single" w:sz="8" w:space="0" w:color="4F81BD" w:themeColor="accent1"/>
              <w:right w:val="single" w:sz="8" w:space="0" w:color="4F81BD" w:themeColor="accent1"/>
            </w:tcBorders>
            <w:noWrap/>
            <w:hideMark/>
          </w:tcPr>
          <w:p w:rsidR="00D86128" w:rsidRPr="00BB56B4" w:rsidRDefault="00D86128" w:rsidP="002D7E24">
            <w:pPr>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sidRPr="00BB56B4">
              <w:rPr>
                <w:rFonts w:eastAsia="Times New Roman" w:cs="Arial"/>
                <w:lang w:eastAsia="en-GB"/>
              </w:rPr>
              <w:t>934</w:t>
            </w:r>
          </w:p>
        </w:tc>
        <w:tc>
          <w:tcPr>
            <w:tcW w:w="965" w:type="pct"/>
            <w:tcBorders>
              <w:left w:val="single" w:sz="8" w:space="0" w:color="4F81BD" w:themeColor="accent1"/>
            </w:tcBorders>
            <w:noWrap/>
            <w:hideMark/>
          </w:tcPr>
          <w:p w:rsidR="00D86128" w:rsidRPr="00BB56B4" w:rsidRDefault="00D86128" w:rsidP="002D7E24">
            <w:pPr>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sidRPr="00BB56B4">
              <w:rPr>
                <w:rFonts w:eastAsia="Times New Roman" w:cs="Arial"/>
                <w:lang w:eastAsia="en-GB"/>
              </w:rPr>
              <w:t>3.5</w:t>
            </w:r>
          </w:p>
        </w:tc>
      </w:tr>
    </w:tbl>
    <w:p w:rsidR="00255BA4" w:rsidRDefault="00F50238" w:rsidP="00F50238">
      <w:pPr>
        <w:pStyle w:val="Caption"/>
      </w:pPr>
      <w:r>
        <w:t xml:space="preserve">Figure </w:t>
      </w:r>
      <w:r w:rsidR="00156E8B">
        <w:fldChar w:fldCharType="begin"/>
      </w:r>
      <w:r w:rsidR="00156E8B">
        <w:instrText xml:space="preserve"> SEQ Figure \* ARABIC </w:instrText>
      </w:r>
      <w:r w:rsidR="00156E8B">
        <w:fldChar w:fldCharType="separate"/>
      </w:r>
      <w:r w:rsidR="005C553C">
        <w:rPr>
          <w:noProof/>
        </w:rPr>
        <w:t>5</w:t>
      </w:r>
      <w:r w:rsidR="00156E8B">
        <w:rPr>
          <w:noProof/>
        </w:rPr>
        <w:fldChar w:fldCharType="end"/>
      </w:r>
      <w:r>
        <w:t xml:space="preserve"> Percentage of chidlren with statement of educational need/education, care and health plan</w:t>
      </w:r>
    </w:p>
    <w:p w:rsidR="003814D0" w:rsidRDefault="005B07B7" w:rsidP="00A6127B">
      <w:r>
        <w:t xml:space="preserve">The internal Medway Council database of </w:t>
      </w:r>
      <w:r w:rsidR="00627007">
        <w:t>pupils with statements/plans</w:t>
      </w:r>
      <w:r w:rsidR="002D1208">
        <w:t xml:space="preserve"> (</w:t>
      </w:r>
      <w:r>
        <w:t>April 2015</w:t>
      </w:r>
      <w:r w:rsidR="002D1208">
        <w:t>)</w:t>
      </w:r>
      <w:r>
        <w:t xml:space="preserve"> </w:t>
      </w:r>
      <w:r w:rsidR="003814D0">
        <w:t>contains 1,555 entries</w:t>
      </w:r>
      <w:r>
        <w:t xml:space="preserve"> broken down by primary need </w:t>
      </w:r>
      <w:r w:rsidR="00146CE4">
        <w:t>(Fig</w:t>
      </w:r>
      <w:r w:rsidR="00F50238">
        <w:t>ure 6</w:t>
      </w:r>
      <w:r w:rsidR="00146CE4">
        <w:t xml:space="preserve">).  </w:t>
      </w:r>
    </w:p>
    <w:p w:rsidR="003814D0" w:rsidRDefault="003814D0" w:rsidP="00A6127B"/>
    <w:p w:rsidR="00255BA4" w:rsidRDefault="00C15AC6" w:rsidP="00A6127B">
      <w:r>
        <w:lastRenderedPageBreak/>
        <w:t xml:space="preserve">Figure </w:t>
      </w:r>
      <w:r w:rsidR="00CD01D3">
        <w:t xml:space="preserve">6 demonstrates that </w:t>
      </w:r>
      <w:r w:rsidR="00146CE4">
        <w:t>Autistic Spectrum Disorder is the most frequent</w:t>
      </w:r>
      <w:r w:rsidR="003814D0">
        <w:t>ly</w:t>
      </w:r>
      <w:r w:rsidR="00146CE4">
        <w:t xml:space="preserve"> identified need, followed by moderate learning difficulty, behavioural/emotional difficulty</w:t>
      </w:r>
      <w:r w:rsidR="003814D0">
        <w:t>,</w:t>
      </w:r>
      <w:r w:rsidR="00146CE4">
        <w:t xml:space="preserve"> and speech, language and communication needs.</w:t>
      </w:r>
    </w:p>
    <w:p w:rsidR="003A36F3" w:rsidRDefault="003A36F3" w:rsidP="00A6127B"/>
    <w:tbl>
      <w:tblPr>
        <w:tblStyle w:val="LightList-Accent1"/>
        <w:tblW w:w="5000" w:type="pct"/>
        <w:tblLook w:val="04A0" w:firstRow="1" w:lastRow="0" w:firstColumn="1" w:lastColumn="0" w:noHBand="0" w:noVBand="1"/>
      </w:tblPr>
      <w:tblGrid>
        <w:gridCol w:w="2784"/>
        <w:gridCol w:w="2153"/>
        <w:gridCol w:w="2153"/>
        <w:gridCol w:w="2152"/>
      </w:tblGrid>
      <w:tr w:rsidR="001B7458" w:rsidRPr="002C4E34" w:rsidTr="00146C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pct"/>
          </w:tcPr>
          <w:p w:rsidR="001B7458" w:rsidRPr="002C4E34" w:rsidRDefault="001B7458" w:rsidP="002D7E24">
            <w:pPr>
              <w:rPr>
                <w:rFonts w:eastAsia="Times New Roman" w:cs="Arial"/>
                <w:bCs w:val="0"/>
                <w:lang w:eastAsia="en-GB"/>
              </w:rPr>
            </w:pPr>
            <w:r w:rsidRPr="002C4E34">
              <w:rPr>
                <w:rFonts w:eastAsia="Times New Roman" w:cs="Arial"/>
                <w:bCs w:val="0"/>
                <w:lang w:eastAsia="en-GB"/>
              </w:rPr>
              <w:t>Category</w:t>
            </w:r>
          </w:p>
        </w:tc>
        <w:tc>
          <w:tcPr>
            <w:tcW w:w="1165" w:type="pct"/>
          </w:tcPr>
          <w:p w:rsidR="001B7458" w:rsidRPr="002C4E34" w:rsidRDefault="001B7458" w:rsidP="002D7E24">
            <w:pPr>
              <w:cnfStyle w:val="100000000000" w:firstRow="1" w:lastRow="0" w:firstColumn="0" w:lastColumn="0" w:oddVBand="0" w:evenVBand="0" w:oddHBand="0" w:evenHBand="0" w:firstRowFirstColumn="0" w:firstRowLastColumn="0" w:lastRowFirstColumn="0" w:lastRowLastColumn="0"/>
            </w:pPr>
            <w:r w:rsidRPr="002C4E34">
              <w:t>Number of pupils</w:t>
            </w:r>
          </w:p>
        </w:tc>
        <w:tc>
          <w:tcPr>
            <w:tcW w:w="1165" w:type="pct"/>
          </w:tcPr>
          <w:p w:rsidR="001B7458" w:rsidRPr="002C4E34" w:rsidRDefault="00DB4B09" w:rsidP="002D7E24">
            <w:pPr>
              <w:cnfStyle w:val="100000000000" w:firstRow="1" w:lastRow="0" w:firstColumn="0" w:lastColumn="0" w:oddVBand="0" w:evenVBand="0" w:oddHBand="0" w:evenHBand="0" w:firstRowFirstColumn="0" w:firstRowLastColumn="0" w:lastRowFirstColumn="0" w:lastRowLastColumn="0"/>
            </w:pPr>
            <w:r>
              <w:t xml:space="preserve">As a </w:t>
            </w:r>
            <w:r w:rsidR="001B7458">
              <w:t xml:space="preserve">% of </w:t>
            </w:r>
            <w:r>
              <w:t xml:space="preserve">number of </w:t>
            </w:r>
            <w:r w:rsidR="001B7458">
              <w:t>pupils with statement/EHC plan</w:t>
            </w:r>
          </w:p>
        </w:tc>
        <w:tc>
          <w:tcPr>
            <w:tcW w:w="1164" w:type="pct"/>
          </w:tcPr>
          <w:p w:rsidR="001B7458" w:rsidRDefault="00DB4B09" w:rsidP="002D7E24">
            <w:pPr>
              <w:cnfStyle w:val="100000000000" w:firstRow="1" w:lastRow="0" w:firstColumn="0" w:lastColumn="0" w:oddVBand="0" w:evenVBand="0" w:oddHBand="0" w:evenHBand="0" w:firstRowFirstColumn="0" w:firstRowLastColumn="0" w:lastRowFirstColumn="0" w:lastRowLastColumn="0"/>
            </w:pPr>
            <w:r>
              <w:t xml:space="preserve">As a </w:t>
            </w:r>
            <w:r w:rsidR="001B7458">
              <w:t>% of total school population (as of January 2015)</w:t>
            </w:r>
          </w:p>
        </w:tc>
      </w:tr>
      <w:tr w:rsidR="001B7458" w:rsidTr="00146C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pct"/>
          </w:tcPr>
          <w:p w:rsidR="001B7458" w:rsidRPr="00311A5D" w:rsidRDefault="001B7458" w:rsidP="002D7E24">
            <w:r w:rsidRPr="00311A5D">
              <w:rPr>
                <w:rFonts w:eastAsia="Times New Roman" w:cs="Arial"/>
                <w:bCs w:val="0"/>
                <w:lang w:eastAsia="en-GB"/>
              </w:rPr>
              <w:t>Other</w:t>
            </w:r>
          </w:p>
        </w:tc>
        <w:tc>
          <w:tcPr>
            <w:tcW w:w="1165" w:type="pct"/>
          </w:tcPr>
          <w:p w:rsidR="001B7458" w:rsidRDefault="001B7458" w:rsidP="002D7E24">
            <w:pPr>
              <w:cnfStyle w:val="000000100000" w:firstRow="0" w:lastRow="0" w:firstColumn="0" w:lastColumn="0" w:oddVBand="0" w:evenVBand="0" w:oddHBand="1" w:evenHBand="0" w:firstRowFirstColumn="0" w:firstRowLastColumn="0" w:lastRowFirstColumn="0" w:lastRowLastColumn="0"/>
            </w:pPr>
            <w:r>
              <w:t>6</w:t>
            </w:r>
          </w:p>
        </w:tc>
        <w:tc>
          <w:tcPr>
            <w:tcW w:w="1165" w:type="pct"/>
          </w:tcPr>
          <w:p w:rsidR="001B7458" w:rsidRDefault="001B7458" w:rsidP="002D7E24">
            <w:pPr>
              <w:cnfStyle w:val="000000100000" w:firstRow="0" w:lastRow="0" w:firstColumn="0" w:lastColumn="0" w:oddVBand="0" w:evenVBand="0" w:oddHBand="1" w:evenHBand="0" w:firstRowFirstColumn="0" w:firstRowLastColumn="0" w:lastRowFirstColumn="0" w:lastRowLastColumn="0"/>
            </w:pPr>
            <w:r>
              <w:t>0.38</w:t>
            </w:r>
          </w:p>
        </w:tc>
        <w:tc>
          <w:tcPr>
            <w:tcW w:w="1164" w:type="pct"/>
          </w:tcPr>
          <w:p w:rsidR="001B7458" w:rsidRDefault="001B7458" w:rsidP="002D7E24">
            <w:pPr>
              <w:cnfStyle w:val="000000100000" w:firstRow="0" w:lastRow="0" w:firstColumn="0" w:lastColumn="0" w:oddVBand="0" w:evenVBand="0" w:oddHBand="1" w:evenHBand="0" w:firstRowFirstColumn="0" w:firstRowLastColumn="0" w:lastRowFirstColumn="0" w:lastRowLastColumn="0"/>
            </w:pPr>
            <w:r>
              <w:t>-</w:t>
            </w:r>
          </w:p>
        </w:tc>
      </w:tr>
      <w:tr w:rsidR="001B7458" w:rsidTr="00146CE4">
        <w:tc>
          <w:tcPr>
            <w:cnfStyle w:val="001000000000" w:firstRow="0" w:lastRow="0" w:firstColumn="1" w:lastColumn="0" w:oddVBand="0" w:evenVBand="0" w:oddHBand="0" w:evenHBand="0" w:firstRowFirstColumn="0" w:firstRowLastColumn="0" w:lastRowFirstColumn="0" w:lastRowLastColumn="0"/>
            <w:tcW w:w="1506" w:type="pct"/>
          </w:tcPr>
          <w:p w:rsidR="001B7458" w:rsidRPr="00311A5D" w:rsidRDefault="001B7458" w:rsidP="002D7E24">
            <w:r w:rsidRPr="00311A5D">
              <w:rPr>
                <w:rFonts w:eastAsia="Times New Roman" w:cs="Arial"/>
                <w:bCs w:val="0"/>
                <w:lang w:eastAsia="en-GB"/>
              </w:rPr>
              <w:t>Profound and Multiple Learning Difficulties</w:t>
            </w:r>
          </w:p>
        </w:tc>
        <w:tc>
          <w:tcPr>
            <w:tcW w:w="1165" w:type="pct"/>
          </w:tcPr>
          <w:p w:rsidR="001B7458" w:rsidRDefault="001B7458" w:rsidP="002D7E24">
            <w:pPr>
              <w:cnfStyle w:val="000000000000" w:firstRow="0" w:lastRow="0" w:firstColumn="0" w:lastColumn="0" w:oddVBand="0" w:evenVBand="0" w:oddHBand="0" w:evenHBand="0" w:firstRowFirstColumn="0" w:firstRowLastColumn="0" w:lastRowFirstColumn="0" w:lastRowLastColumn="0"/>
            </w:pPr>
            <w:r>
              <w:t>9</w:t>
            </w:r>
          </w:p>
        </w:tc>
        <w:tc>
          <w:tcPr>
            <w:tcW w:w="1165" w:type="pct"/>
          </w:tcPr>
          <w:p w:rsidR="001B7458" w:rsidRDefault="001B7458" w:rsidP="002D7E24">
            <w:pPr>
              <w:cnfStyle w:val="000000000000" w:firstRow="0" w:lastRow="0" w:firstColumn="0" w:lastColumn="0" w:oddVBand="0" w:evenVBand="0" w:oddHBand="0" w:evenHBand="0" w:firstRowFirstColumn="0" w:firstRowLastColumn="0" w:lastRowFirstColumn="0" w:lastRowLastColumn="0"/>
            </w:pPr>
            <w:r>
              <w:t>0.57</w:t>
            </w:r>
          </w:p>
        </w:tc>
        <w:tc>
          <w:tcPr>
            <w:tcW w:w="1164" w:type="pct"/>
          </w:tcPr>
          <w:p w:rsidR="001B7458" w:rsidRDefault="001B7458" w:rsidP="002D7E24">
            <w:pPr>
              <w:cnfStyle w:val="000000000000" w:firstRow="0" w:lastRow="0" w:firstColumn="0" w:lastColumn="0" w:oddVBand="0" w:evenVBand="0" w:oddHBand="0" w:evenHBand="0" w:firstRowFirstColumn="0" w:firstRowLastColumn="0" w:lastRowFirstColumn="0" w:lastRowLastColumn="0"/>
            </w:pPr>
            <w:r>
              <w:t>0.01</w:t>
            </w:r>
          </w:p>
        </w:tc>
      </w:tr>
      <w:tr w:rsidR="001B7458" w:rsidTr="00146C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pct"/>
          </w:tcPr>
          <w:p w:rsidR="001B7458" w:rsidRDefault="001B7458" w:rsidP="002D7E24">
            <w:r>
              <w:t>Visual Impairment</w:t>
            </w:r>
          </w:p>
        </w:tc>
        <w:tc>
          <w:tcPr>
            <w:tcW w:w="1165" w:type="pct"/>
          </w:tcPr>
          <w:p w:rsidR="001B7458" w:rsidRDefault="001B7458" w:rsidP="002D7E24">
            <w:pPr>
              <w:cnfStyle w:val="000000100000" w:firstRow="0" w:lastRow="0" w:firstColumn="0" w:lastColumn="0" w:oddVBand="0" w:evenVBand="0" w:oddHBand="1" w:evenHBand="0" w:firstRowFirstColumn="0" w:firstRowLastColumn="0" w:lastRowFirstColumn="0" w:lastRowLastColumn="0"/>
            </w:pPr>
            <w:r>
              <w:t>19</w:t>
            </w:r>
          </w:p>
        </w:tc>
        <w:tc>
          <w:tcPr>
            <w:tcW w:w="1165" w:type="pct"/>
          </w:tcPr>
          <w:p w:rsidR="001B7458" w:rsidRDefault="001B7458" w:rsidP="002D7E24">
            <w:pPr>
              <w:cnfStyle w:val="000000100000" w:firstRow="0" w:lastRow="0" w:firstColumn="0" w:lastColumn="0" w:oddVBand="0" w:evenVBand="0" w:oddHBand="1" w:evenHBand="0" w:firstRowFirstColumn="0" w:firstRowLastColumn="0" w:lastRowFirstColumn="0" w:lastRowLastColumn="0"/>
            </w:pPr>
            <w:r>
              <w:t>1.22</w:t>
            </w:r>
          </w:p>
        </w:tc>
        <w:tc>
          <w:tcPr>
            <w:tcW w:w="1164" w:type="pct"/>
          </w:tcPr>
          <w:p w:rsidR="001B7458" w:rsidRDefault="001B7458" w:rsidP="002D7E24">
            <w:pPr>
              <w:cnfStyle w:val="000000100000" w:firstRow="0" w:lastRow="0" w:firstColumn="0" w:lastColumn="0" w:oddVBand="0" w:evenVBand="0" w:oddHBand="1" w:evenHBand="0" w:firstRowFirstColumn="0" w:firstRowLastColumn="0" w:lastRowFirstColumn="0" w:lastRowLastColumn="0"/>
            </w:pPr>
            <w:r>
              <w:t>0.04</w:t>
            </w:r>
          </w:p>
        </w:tc>
      </w:tr>
      <w:tr w:rsidR="001B7458" w:rsidTr="00146CE4">
        <w:tc>
          <w:tcPr>
            <w:cnfStyle w:val="001000000000" w:firstRow="0" w:lastRow="0" w:firstColumn="1" w:lastColumn="0" w:oddVBand="0" w:evenVBand="0" w:oddHBand="0" w:evenHBand="0" w:firstRowFirstColumn="0" w:firstRowLastColumn="0" w:lastRowFirstColumn="0" w:lastRowLastColumn="0"/>
            <w:tcW w:w="1506" w:type="pct"/>
          </w:tcPr>
          <w:p w:rsidR="001B7458" w:rsidRPr="00311A5D" w:rsidRDefault="001B7458" w:rsidP="002D7E24">
            <w:r w:rsidRPr="00311A5D">
              <w:rPr>
                <w:rFonts w:eastAsia="Times New Roman" w:cs="Arial"/>
                <w:bCs w:val="0"/>
                <w:lang w:eastAsia="en-GB"/>
              </w:rPr>
              <w:t>Hearing Impairment</w:t>
            </w:r>
          </w:p>
        </w:tc>
        <w:tc>
          <w:tcPr>
            <w:tcW w:w="1165" w:type="pct"/>
          </w:tcPr>
          <w:p w:rsidR="001B7458" w:rsidRDefault="001B7458" w:rsidP="002D7E24">
            <w:pPr>
              <w:cnfStyle w:val="000000000000" w:firstRow="0" w:lastRow="0" w:firstColumn="0" w:lastColumn="0" w:oddVBand="0" w:evenVBand="0" w:oddHBand="0" w:evenHBand="0" w:firstRowFirstColumn="0" w:firstRowLastColumn="0" w:lastRowFirstColumn="0" w:lastRowLastColumn="0"/>
            </w:pPr>
            <w:r>
              <w:t>48</w:t>
            </w:r>
          </w:p>
        </w:tc>
        <w:tc>
          <w:tcPr>
            <w:tcW w:w="1165" w:type="pct"/>
          </w:tcPr>
          <w:p w:rsidR="001B7458" w:rsidRDefault="001B7458" w:rsidP="002D7E24">
            <w:pPr>
              <w:cnfStyle w:val="000000000000" w:firstRow="0" w:lastRow="0" w:firstColumn="0" w:lastColumn="0" w:oddVBand="0" w:evenVBand="0" w:oddHBand="0" w:evenHBand="0" w:firstRowFirstColumn="0" w:firstRowLastColumn="0" w:lastRowFirstColumn="0" w:lastRowLastColumn="0"/>
            </w:pPr>
            <w:r>
              <w:t>3.0</w:t>
            </w:r>
          </w:p>
        </w:tc>
        <w:tc>
          <w:tcPr>
            <w:tcW w:w="1164" w:type="pct"/>
          </w:tcPr>
          <w:p w:rsidR="001B7458" w:rsidRDefault="001B7458" w:rsidP="002D7E24">
            <w:pPr>
              <w:cnfStyle w:val="000000000000" w:firstRow="0" w:lastRow="0" w:firstColumn="0" w:lastColumn="0" w:oddVBand="0" w:evenVBand="0" w:oddHBand="0" w:evenHBand="0" w:firstRowFirstColumn="0" w:firstRowLastColumn="0" w:lastRowFirstColumn="0" w:lastRowLastColumn="0"/>
            </w:pPr>
            <w:r>
              <w:t>0.1</w:t>
            </w:r>
          </w:p>
        </w:tc>
      </w:tr>
      <w:tr w:rsidR="001B7458" w:rsidTr="00146C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pct"/>
          </w:tcPr>
          <w:p w:rsidR="001B7458" w:rsidRDefault="001B7458" w:rsidP="002D7E24">
            <w:r>
              <w:t>Specific Learning Difficulty</w:t>
            </w:r>
          </w:p>
        </w:tc>
        <w:tc>
          <w:tcPr>
            <w:tcW w:w="1165" w:type="pct"/>
          </w:tcPr>
          <w:p w:rsidR="001B7458" w:rsidRDefault="001B7458" w:rsidP="002D7E24">
            <w:pPr>
              <w:cnfStyle w:val="000000100000" w:firstRow="0" w:lastRow="0" w:firstColumn="0" w:lastColumn="0" w:oddVBand="0" w:evenVBand="0" w:oddHBand="1" w:evenHBand="0" w:firstRowFirstColumn="0" w:firstRowLastColumn="0" w:lastRowFirstColumn="0" w:lastRowLastColumn="0"/>
            </w:pPr>
            <w:r>
              <w:t>74</w:t>
            </w:r>
          </w:p>
        </w:tc>
        <w:tc>
          <w:tcPr>
            <w:tcW w:w="1165" w:type="pct"/>
          </w:tcPr>
          <w:p w:rsidR="001B7458" w:rsidRDefault="001B7458" w:rsidP="002D7E24">
            <w:pPr>
              <w:cnfStyle w:val="000000100000" w:firstRow="0" w:lastRow="0" w:firstColumn="0" w:lastColumn="0" w:oddVBand="0" w:evenVBand="0" w:oddHBand="1" w:evenHBand="0" w:firstRowFirstColumn="0" w:firstRowLastColumn="0" w:lastRowFirstColumn="0" w:lastRowLastColumn="0"/>
            </w:pPr>
            <w:r>
              <w:t>4.75</w:t>
            </w:r>
          </w:p>
        </w:tc>
        <w:tc>
          <w:tcPr>
            <w:tcW w:w="1164" w:type="pct"/>
          </w:tcPr>
          <w:p w:rsidR="001B7458" w:rsidRDefault="001B7458" w:rsidP="002D7E24">
            <w:pPr>
              <w:cnfStyle w:val="000000100000" w:firstRow="0" w:lastRow="0" w:firstColumn="0" w:lastColumn="0" w:oddVBand="0" w:evenVBand="0" w:oddHBand="1" w:evenHBand="0" w:firstRowFirstColumn="0" w:firstRowLastColumn="0" w:lastRowFirstColumn="0" w:lastRowLastColumn="0"/>
            </w:pPr>
            <w:r>
              <w:t>0.16</w:t>
            </w:r>
          </w:p>
        </w:tc>
      </w:tr>
      <w:tr w:rsidR="001B7458" w:rsidTr="00146CE4">
        <w:tc>
          <w:tcPr>
            <w:cnfStyle w:val="001000000000" w:firstRow="0" w:lastRow="0" w:firstColumn="1" w:lastColumn="0" w:oddVBand="0" w:evenVBand="0" w:oddHBand="0" w:evenHBand="0" w:firstRowFirstColumn="0" w:firstRowLastColumn="0" w:lastRowFirstColumn="0" w:lastRowLastColumn="0"/>
            <w:tcW w:w="1506" w:type="pct"/>
          </w:tcPr>
          <w:p w:rsidR="001B7458" w:rsidRPr="00311A5D" w:rsidRDefault="001B7458" w:rsidP="002D7E24">
            <w:r w:rsidRPr="00311A5D">
              <w:rPr>
                <w:rFonts w:eastAsia="Times New Roman" w:cs="Arial"/>
                <w:bCs w:val="0"/>
                <w:lang w:eastAsia="en-GB"/>
              </w:rPr>
              <w:t>Physical Disability</w:t>
            </w:r>
          </w:p>
        </w:tc>
        <w:tc>
          <w:tcPr>
            <w:tcW w:w="1165" w:type="pct"/>
          </w:tcPr>
          <w:p w:rsidR="001B7458" w:rsidRDefault="001B7458" w:rsidP="002D7E24">
            <w:pPr>
              <w:cnfStyle w:val="000000000000" w:firstRow="0" w:lastRow="0" w:firstColumn="0" w:lastColumn="0" w:oddVBand="0" w:evenVBand="0" w:oddHBand="0" w:evenHBand="0" w:firstRowFirstColumn="0" w:firstRowLastColumn="0" w:lastRowFirstColumn="0" w:lastRowLastColumn="0"/>
            </w:pPr>
            <w:r>
              <w:t>64</w:t>
            </w:r>
          </w:p>
        </w:tc>
        <w:tc>
          <w:tcPr>
            <w:tcW w:w="1165" w:type="pct"/>
          </w:tcPr>
          <w:p w:rsidR="001B7458" w:rsidRDefault="001B7458" w:rsidP="002D7E24">
            <w:pPr>
              <w:cnfStyle w:val="000000000000" w:firstRow="0" w:lastRow="0" w:firstColumn="0" w:lastColumn="0" w:oddVBand="0" w:evenVBand="0" w:oddHBand="0" w:evenHBand="0" w:firstRowFirstColumn="0" w:firstRowLastColumn="0" w:lastRowFirstColumn="0" w:lastRowLastColumn="0"/>
            </w:pPr>
            <w:r>
              <w:t>4.1</w:t>
            </w:r>
          </w:p>
        </w:tc>
        <w:tc>
          <w:tcPr>
            <w:tcW w:w="1164" w:type="pct"/>
          </w:tcPr>
          <w:p w:rsidR="001B7458" w:rsidRDefault="001B7458" w:rsidP="002D7E24">
            <w:pPr>
              <w:cnfStyle w:val="000000000000" w:firstRow="0" w:lastRow="0" w:firstColumn="0" w:lastColumn="0" w:oddVBand="0" w:evenVBand="0" w:oddHBand="0" w:evenHBand="0" w:firstRowFirstColumn="0" w:firstRowLastColumn="0" w:lastRowFirstColumn="0" w:lastRowLastColumn="0"/>
            </w:pPr>
            <w:r>
              <w:t>0.14</w:t>
            </w:r>
          </w:p>
        </w:tc>
      </w:tr>
      <w:tr w:rsidR="001B7458" w:rsidTr="00146C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pct"/>
          </w:tcPr>
          <w:p w:rsidR="001B7458" w:rsidRDefault="001B7458" w:rsidP="002D7E24">
            <w:r>
              <w:t>Severe Learning Difficulty</w:t>
            </w:r>
          </w:p>
        </w:tc>
        <w:tc>
          <w:tcPr>
            <w:tcW w:w="1165" w:type="pct"/>
          </w:tcPr>
          <w:p w:rsidR="001B7458" w:rsidRDefault="001B7458" w:rsidP="002D7E24">
            <w:pPr>
              <w:cnfStyle w:val="000000100000" w:firstRow="0" w:lastRow="0" w:firstColumn="0" w:lastColumn="0" w:oddVBand="0" w:evenVBand="0" w:oddHBand="1" w:evenHBand="0" w:firstRowFirstColumn="0" w:firstRowLastColumn="0" w:lastRowFirstColumn="0" w:lastRowLastColumn="0"/>
            </w:pPr>
            <w:r>
              <w:t>161</w:t>
            </w:r>
          </w:p>
        </w:tc>
        <w:tc>
          <w:tcPr>
            <w:tcW w:w="1165" w:type="pct"/>
          </w:tcPr>
          <w:p w:rsidR="001B7458" w:rsidRDefault="001B7458" w:rsidP="002D7E24">
            <w:pPr>
              <w:cnfStyle w:val="000000100000" w:firstRow="0" w:lastRow="0" w:firstColumn="0" w:lastColumn="0" w:oddVBand="0" w:evenVBand="0" w:oddHBand="1" w:evenHBand="0" w:firstRowFirstColumn="0" w:firstRowLastColumn="0" w:lastRowFirstColumn="0" w:lastRowLastColumn="0"/>
            </w:pPr>
            <w:r>
              <w:t>10.3</w:t>
            </w:r>
          </w:p>
        </w:tc>
        <w:tc>
          <w:tcPr>
            <w:tcW w:w="1164" w:type="pct"/>
          </w:tcPr>
          <w:p w:rsidR="001B7458" w:rsidRDefault="00D57211" w:rsidP="002D7E24">
            <w:pPr>
              <w:cnfStyle w:val="000000100000" w:firstRow="0" w:lastRow="0" w:firstColumn="0" w:lastColumn="0" w:oddVBand="0" w:evenVBand="0" w:oddHBand="1" w:evenHBand="0" w:firstRowFirstColumn="0" w:firstRowLastColumn="0" w:lastRowFirstColumn="0" w:lastRowLastColumn="0"/>
            </w:pPr>
            <w:r>
              <w:t>0.35</w:t>
            </w:r>
          </w:p>
        </w:tc>
      </w:tr>
      <w:tr w:rsidR="001B7458" w:rsidTr="00146CE4">
        <w:tc>
          <w:tcPr>
            <w:cnfStyle w:val="001000000000" w:firstRow="0" w:lastRow="0" w:firstColumn="1" w:lastColumn="0" w:oddVBand="0" w:evenVBand="0" w:oddHBand="0" w:evenHBand="0" w:firstRowFirstColumn="0" w:firstRowLastColumn="0" w:lastRowFirstColumn="0" w:lastRowLastColumn="0"/>
            <w:tcW w:w="1506" w:type="pct"/>
          </w:tcPr>
          <w:p w:rsidR="001B7458" w:rsidRDefault="001B7458" w:rsidP="002D7E24">
            <w:r>
              <w:t>Speech, Language and Communication Needs</w:t>
            </w:r>
          </w:p>
        </w:tc>
        <w:tc>
          <w:tcPr>
            <w:tcW w:w="1165" w:type="pct"/>
          </w:tcPr>
          <w:p w:rsidR="001B7458" w:rsidRDefault="001B7458" w:rsidP="002D7E24">
            <w:pPr>
              <w:cnfStyle w:val="000000000000" w:firstRow="0" w:lastRow="0" w:firstColumn="0" w:lastColumn="0" w:oddVBand="0" w:evenVBand="0" w:oddHBand="0" w:evenHBand="0" w:firstRowFirstColumn="0" w:firstRowLastColumn="0" w:lastRowFirstColumn="0" w:lastRowLastColumn="0"/>
            </w:pPr>
            <w:r>
              <w:t>176</w:t>
            </w:r>
          </w:p>
        </w:tc>
        <w:tc>
          <w:tcPr>
            <w:tcW w:w="1165" w:type="pct"/>
          </w:tcPr>
          <w:p w:rsidR="001B7458" w:rsidRDefault="001B7458" w:rsidP="002D7E24">
            <w:pPr>
              <w:cnfStyle w:val="000000000000" w:firstRow="0" w:lastRow="0" w:firstColumn="0" w:lastColumn="0" w:oddVBand="0" w:evenVBand="0" w:oddHBand="0" w:evenHBand="0" w:firstRowFirstColumn="0" w:firstRowLastColumn="0" w:lastRowFirstColumn="0" w:lastRowLastColumn="0"/>
            </w:pPr>
            <w:r>
              <w:t>11.3</w:t>
            </w:r>
          </w:p>
        </w:tc>
        <w:tc>
          <w:tcPr>
            <w:tcW w:w="1164" w:type="pct"/>
          </w:tcPr>
          <w:p w:rsidR="001B7458" w:rsidRDefault="00D57211" w:rsidP="002D7E24">
            <w:pPr>
              <w:cnfStyle w:val="000000000000" w:firstRow="0" w:lastRow="0" w:firstColumn="0" w:lastColumn="0" w:oddVBand="0" w:evenVBand="0" w:oddHBand="0" w:evenHBand="0" w:firstRowFirstColumn="0" w:firstRowLastColumn="0" w:lastRowFirstColumn="0" w:lastRowLastColumn="0"/>
            </w:pPr>
            <w:r>
              <w:t>0.38</w:t>
            </w:r>
          </w:p>
        </w:tc>
      </w:tr>
      <w:tr w:rsidR="001B7458" w:rsidTr="00146C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pct"/>
          </w:tcPr>
          <w:p w:rsidR="001B7458" w:rsidRPr="00311A5D" w:rsidRDefault="001B7458" w:rsidP="002D7E24">
            <w:r w:rsidRPr="00311A5D">
              <w:rPr>
                <w:rFonts w:eastAsia="Times New Roman" w:cs="Arial"/>
                <w:bCs w:val="0"/>
                <w:lang w:eastAsia="en-GB"/>
              </w:rPr>
              <w:t>Behavioural, Emotional and Social Difficulties</w:t>
            </w:r>
          </w:p>
        </w:tc>
        <w:tc>
          <w:tcPr>
            <w:tcW w:w="1165" w:type="pct"/>
          </w:tcPr>
          <w:p w:rsidR="001B7458" w:rsidRDefault="001B7458" w:rsidP="002D7E24">
            <w:pPr>
              <w:cnfStyle w:val="000000100000" w:firstRow="0" w:lastRow="0" w:firstColumn="0" w:lastColumn="0" w:oddVBand="0" w:evenVBand="0" w:oddHBand="1" w:evenHBand="0" w:firstRowFirstColumn="0" w:firstRowLastColumn="0" w:lastRowFirstColumn="0" w:lastRowLastColumn="0"/>
            </w:pPr>
            <w:r>
              <w:t>180</w:t>
            </w:r>
          </w:p>
        </w:tc>
        <w:tc>
          <w:tcPr>
            <w:tcW w:w="1165" w:type="pct"/>
          </w:tcPr>
          <w:p w:rsidR="001B7458" w:rsidRDefault="001B7458" w:rsidP="002D7E24">
            <w:pPr>
              <w:cnfStyle w:val="000000100000" w:firstRow="0" w:lastRow="0" w:firstColumn="0" w:lastColumn="0" w:oddVBand="0" w:evenVBand="0" w:oddHBand="1" w:evenHBand="0" w:firstRowFirstColumn="0" w:firstRowLastColumn="0" w:lastRowFirstColumn="0" w:lastRowLastColumn="0"/>
            </w:pPr>
            <w:r>
              <w:t>11.6</w:t>
            </w:r>
          </w:p>
        </w:tc>
        <w:tc>
          <w:tcPr>
            <w:tcW w:w="1164" w:type="pct"/>
          </w:tcPr>
          <w:p w:rsidR="001B7458" w:rsidRDefault="00D57211" w:rsidP="002D7E24">
            <w:pPr>
              <w:cnfStyle w:val="000000100000" w:firstRow="0" w:lastRow="0" w:firstColumn="0" w:lastColumn="0" w:oddVBand="0" w:evenVBand="0" w:oddHBand="1" w:evenHBand="0" w:firstRowFirstColumn="0" w:firstRowLastColumn="0" w:lastRowFirstColumn="0" w:lastRowLastColumn="0"/>
            </w:pPr>
            <w:r>
              <w:t>0.39</w:t>
            </w:r>
          </w:p>
        </w:tc>
      </w:tr>
      <w:tr w:rsidR="001B7458" w:rsidTr="00146CE4">
        <w:tc>
          <w:tcPr>
            <w:cnfStyle w:val="001000000000" w:firstRow="0" w:lastRow="0" w:firstColumn="1" w:lastColumn="0" w:oddVBand="0" w:evenVBand="0" w:oddHBand="0" w:evenHBand="0" w:firstRowFirstColumn="0" w:firstRowLastColumn="0" w:lastRowFirstColumn="0" w:lastRowLastColumn="0"/>
            <w:tcW w:w="1506" w:type="pct"/>
          </w:tcPr>
          <w:p w:rsidR="001B7458" w:rsidRPr="00311A5D" w:rsidRDefault="001B7458" w:rsidP="002D7E24">
            <w:r w:rsidRPr="00311A5D">
              <w:rPr>
                <w:rFonts w:eastAsia="Times New Roman" w:cs="Arial"/>
                <w:bCs w:val="0"/>
                <w:lang w:eastAsia="en-GB"/>
              </w:rPr>
              <w:t>Moderate Learning Difficulties</w:t>
            </w:r>
          </w:p>
        </w:tc>
        <w:tc>
          <w:tcPr>
            <w:tcW w:w="1165" w:type="pct"/>
          </w:tcPr>
          <w:p w:rsidR="001B7458" w:rsidRDefault="001B7458" w:rsidP="002D7E24">
            <w:pPr>
              <w:cnfStyle w:val="000000000000" w:firstRow="0" w:lastRow="0" w:firstColumn="0" w:lastColumn="0" w:oddVBand="0" w:evenVBand="0" w:oddHBand="0" w:evenHBand="0" w:firstRowFirstColumn="0" w:firstRowLastColumn="0" w:lastRowFirstColumn="0" w:lastRowLastColumn="0"/>
            </w:pPr>
            <w:r>
              <w:t>386</w:t>
            </w:r>
          </w:p>
        </w:tc>
        <w:tc>
          <w:tcPr>
            <w:tcW w:w="1165" w:type="pct"/>
          </w:tcPr>
          <w:p w:rsidR="001B7458" w:rsidRDefault="001B7458" w:rsidP="002D7E24">
            <w:pPr>
              <w:cnfStyle w:val="000000000000" w:firstRow="0" w:lastRow="0" w:firstColumn="0" w:lastColumn="0" w:oddVBand="0" w:evenVBand="0" w:oddHBand="0" w:evenHBand="0" w:firstRowFirstColumn="0" w:firstRowLastColumn="0" w:lastRowFirstColumn="0" w:lastRowLastColumn="0"/>
            </w:pPr>
            <w:r>
              <w:t>24.8</w:t>
            </w:r>
          </w:p>
        </w:tc>
        <w:tc>
          <w:tcPr>
            <w:tcW w:w="1164" w:type="pct"/>
          </w:tcPr>
          <w:p w:rsidR="001B7458" w:rsidRDefault="00D57211" w:rsidP="002D7E24">
            <w:pPr>
              <w:cnfStyle w:val="000000000000" w:firstRow="0" w:lastRow="0" w:firstColumn="0" w:lastColumn="0" w:oddVBand="0" w:evenVBand="0" w:oddHBand="0" w:evenHBand="0" w:firstRowFirstColumn="0" w:firstRowLastColumn="0" w:lastRowFirstColumn="0" w:lastRowLastColumn="0"/>
            </w:pPr>
            <w:r>
              <w:t>0.8</w:t>
            </w:r>
          </w:p>
        </w:tc>
      </w:tr>
      <w:tr w:rsidR="001B7458" w:rsidTr="00146C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pct"/>
          </w:tcPr>
          <w:p w:rsidR="001B7458" w:rsidRPr="00311A5D" w:rsidRDefault="001B7458" w:rsidP="002D7E24">
            <w:r w:rsidRPr="00311A5D">
              <w:rPr>
                <w:rFonts w:eastAsia="Times New Roman" w:cs="Arial"/>
                <w:bCs w:val="0"/>
                <w:lang w:eastAsia="en-GB"/>
              </w:rPr>
              <w:t>Autistic Spectrum Disorder</w:t>
            </w:r>
          </w:p>
        </w:tc>
        <w:tc>
          <w:tcPr>
            <w:tcW w:w="1165" w:type="pct"/>
          </w:tcPr>
          <w:p w:rsidR="001B7458" w:rsidRDefault="001B7458" w:rsidP="002D7E24">
            <w:pPr>
              <w:cnfStyle w:val="000000100000" w:firstRow="0" w:lastRow="0" w:firstColumn="0" w:lastColumn="0" w:oddVBand="0" w:evenVBand="0" w:oddHBand="1" w:evenHBand="0" w:firstRowFirstColumn="0" w:firstRowLastColumn="0" w:lastRowFirstColumn="0" w:lastRowLastColumn="0"/>
            </w:pPr>
            <w:r>
              <w:t>432</w:t>
            </w:r>
          </w:p>
        </w:tc>
        <w:tc>
          <w:tcPr>
            <w:tcW w:w="1165" w:type="pct"/>
          </w:tcPr>
          <w:p w:rsidR="001B7458" w:rsidRDefault="00D57211" w:rsidP="002D7E24">
            <w:pPr>
              <w:cnfStyle w:val="000000100000" w:firstRow="0" w:lastRow="0" w:firstColumn="0" w:lastColumn="0" w:oddVBand="0" w:evenVBand="0" w:oddHBand="1" w:evenHBand="0" w:firstRowFirstColumn="0" w:firstRowLastColumn="0" w:lastRowFirstColumn="0" w:lastRowLastColumn="0"/>
            </w:pPr>
            <w:r>
              <w:t>28</w:t>
            </w:r>
          </w:p>
        </w:tc>
        <w:tc>
          <w:tcPr>
            <w:tcW w:w="1164" w:type="pct"/>
          </w:tcPr>
          <w:p w:rsidR="001B7458" w:rsidRDefault="00D57211" w:rsidP="002D7E24">
            <w:pPr>
              <w:cnfStyle w:val="000000100000" w:firstRow="0" w:lastRow="0" w:firstColumn="0" w:lastColumn="0" w:oddVBand="0" w:evenVBand="0" w:oddHBand="1" w:evenHBand="0" w:firstRowFirstColumn="0" w:firstRowLastColumn="0" w:lastRowFirstColumn="0" w:lastRowLastColumn="0"/>
            </w:pPr>
            <w:r>
              <w:t>0.94</w:t>
            </w:r>
          </w:p>
        </w:tc>
      </w:tr>
    </w:tbl>
    <w:p w:rsidR="00146CE4" w:rsidRDefault="00F50238" w:rsidP="00F50238">
      <w:pPr>
        <w:pStyle w:val="Caption"/>
        <w:rPr>
          <w:rFonts w:cs="HelveticaNeueLT Std Lt"/>
          <w:color w:val="000000"/>
          <w:szCs w:val="24"/>
        </w:rPr>
      </w:pPr>
      <w:r>
        <w:t xml:space="preserve">Figure </w:t>
      </w:r>
      <w:r w:rsidR="00156E8B">
        <w:fldChar w:fldCharType="begin"/>
      </w:r>
      <w:r w:rsidR="00156E8B">
        <w:instrText xml:space="preserve"> SEQ Figure \* ARABIC </w:instrText>
      </w:r>
      <w:r w:rsidR="00156E8B">
        <w:fldChar w:fldCharType="separate"/>
      </w:r>
      <w:r w:rsidR="005C553C">
        <w:rPr>
          <w:noProof/>
        </w:rPr>
        <w:t>6</w:t>
      </w:r>
      <w:r w:rsidR="00156E8B">
        <w:rPr>
          <w:noProof/>
        </w:rPr>
        <w:fldChar w:fldCharType="end"/>
      </w:r>
      <w:r>
        <w:t xml:space="preserve"> Breakdown of statement/plan by primary need</w:t>
      </w:r>
    </w:p>
    <w:p w:rsidR="00191CEE" w:rsidRDefault="00191CEE" w:rsidP="00A6127B">
      <w:pPr>
        <w:rPr>
          <w:rFonts w:cs="HelveticaNeueLT Std Lt"/>
          <w:color w:val="000000"/>
          <w:szCs w:val="24"/>
        </w:rPr>
      </w:pPr>
      <w:r>
        <w:rPr>
          <w:rFonts w:cs="HelveticaNeueLT Std Lt"/>
          <w:color w:val="000000"/>
          <w:szCs w:val="24"/>
        </w:rPr>
        <w:t xml:space="preserve">In comparison with its statistical neighbours, </w:t>
      </w:r>
      <w:r w:rsidR="00C15AC6">
        <w:rPr>
          <w:rFonts w:cs="HelveticaNeueLT Std Lt"/>
          <w:color w:val="000000"/>
          <w:szCs w:val="24"/>
        </w:rPr>
        <w:t>Figure 7</w:t>
      </w:r>
      <w:r w:rsidR="003C13B4">
        <w:rPr>
          <w:rFonts w:cs="HelveticaNeueLT Std Lt"/>
          <w:color w:val="000000"/>
          <w:szCs w:val="24"/>
        </w:rPr>
        <w:t xml:space="preserve"> shows that </w:t>
      </w:r>
      <w:r>
        <w:rPr>
          <w:rFonts w:cs="HelveticaNeueLT Std Lt"/>
          <w:color w:val="000000"/>
          <w:szCs w:val="24"/>
        </w:rPr>
        <w:t xml:space="preserve">Medway is an outlier for the percentage of children who do </w:t>
      </w:r>
      <w:r w:rsidRPr="00E905E6">
        <w:rPr>
          <w:rFonts w:cs="HelveticaNeueLT Std Lt"/>
          <w:i/>
          <w:color w:val="000000"/>
          <w:szCs w:val="24"/>
        </w:rPr>
        <w:t>not</w:t>
      </w:r>
      <w:r>
        <w:rPr>
          <w:rFonts w:cs="HelveticaNeueLT Std Lt"/>
          <w:color w:val="000000"/>
          <w:szCs w:val="24"/>
        </w:rPr>
        <w:t xml:space="preserve"> ha</w:t>
      </w:r>
      <w:r w:rsidR="00E905E6">
        <w:rPr>
          <w:rFonts w:cs="HelveticaNeueLT Std Lt"/>
          <w:color w:val="000000"/>
          <w:szCs w:val="24"/>
        </w:rPr>
        <w:t xml:space="preserve">ve an SEN Statement or EHC plan but </w:t>
      </w:r>
      <w:r w:rsidR="00E905E6" w:rsidRPr="00E905E6">
        <w:rPr>
          <w:rFonts w:cs="HelveticaNeueLT Std Lt"/>
          <w:i/>
          <w:color w:val="000000"/>
          <w:szCs w:val="24"/>
        </w:rPr>
        <w:t>are</w:t>
      </w:r>
      <w:r w:rsidR="00E905E6">
        <w:rPr>
          <w:rFonts w:cs="HelveticaNeueLT Std Lt"/>
          <w:color w:val="000000"/>
          <w:szCs w:val="24"/>
        </w:rPr>
        <w:t xml:space="preserve"> assessed as </w:t>
      </w:r>
      <w:r w:rsidR="00E905E6" w:rsidRPr="00DF7B70">
        <w:rPr>
          <w:rFonts w:cs="HelveticaNeueLT Std Lt"/>
          <w:color w:val="000000"/>
          <w:szCs w:val="24"/>
        </w:rPr>
        <w:t>in need of SEN support</w:t>
      </w:r>
      <w:r w:rsidR="00DF7B70">
        <w:rPr>
          <w:rFonts w:cs="HelveticaNeueLT Std Lt"/>
          <w:color w:val="000000"/>
          <w:szCs w:val="24"/>
        </w:rPr>
        <w:t xml:space="preserve"> (previously those pupils falling within the ‘school action’ and ‘school action plus’ categories</w:t>
      </w:r>
      <w:r w:rsidR="00F00BEE">
        <w:rPr>
          <w:rStyle w:val="FootnoteReference"/>
          <w:rFonts w:cs="HelveticaNeueLT Std Lt"/>
          <w:color w:val="000000"/>
          <w:szCs w:val="24"/>
        </w:rPr>
        <w:footnoteReference w:id="21"/>
      </w:r>
      <w:r w:rsidR="00DF7B70">
        <w:rPr>
          <w:rFonts w:cs="HelveticaNeueLT Std Lt"/>
          <w:color w:val="000000"/>
          <w:szCs w:val="24"/>
        </w:rPr>
        <w:t>)</w:t>
      </w:r>
      <w:r w:rsidR="00E905E6" w:rsidRPr="00DF7B70">
        <w:rPr>
          <w:rFonts w:cs="HelveticaNeueLT Std Lt"/>
          <w:color w:val="000000"/>
          <w:szCs w:val="24"/>
        </w:rPr>
        <w:t>:</w:t>
      </w:r>
    </w:p>
    <w:p w:rsidR="00081D29" w:rsidRDefault="00081D29" w:rsidP="00A6127B">
      <w:pPr>
        <w:rPr>
          <w:rFonts w:cs="HelveticaNeueLT Std Lt"/>
          <w:color w:val="000000"/>
          <w:szCs w:val="24"/>
        </w:rPr>
      </w:pPr>
    </w:p>
    <w:tbl>
      <w:tblPr>
        <w:tblStyle w:val="LightList-Accent1"/>
        <w:tblW w:w="5000" w:type="pct"/>
        <w:tblLook w:val="04A0" w:firstRow="1" w:lastRow="0" w:firstColumn="1" w:lastColumn="0" w:noHBand="0" w:noVBand="1"/>
      </w:tblPr>
      <w:tblGrid>
        <w:gridCol w:w="3510"/>
        <w:gridCol w:w="5732"/>
      </w:tblGrid>
      <w:tr w:rsidR="002C4E34" w:rsidRPr="002C4E34" w:rsidTr="002C4E34">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899" w:type="pct"/>
            <w:noWrap/>
            <w:hideMark/>
          </w:tcPr>
          <w:p w:rsidR="00081D29" w:rsidRPr="002C4E34" w:rsidRDefault="00081D29" w:rsidP="00B45DB6">
            <w:pPr>
              <w:rPr>
                <w:rFonts w:eastAsia="Times New Roman" w:cs="Arial"/>
                <w:bCs w:val="0"/>
                <w:szCs w:val="18"/>
                <w:lang w:eastAsia="en-GB"/>
              </w:rPr>
            </w:pPr>
            <w:r w:rsidRPr="002C4E34">
              <w:rPr>
                <w:rFonts w:eastAsia="Times New Roman" w:cs="Arial"/>
                <w:bCs w:val="0"/>
                <w:szCs w:val="18"/>
                <w:lang w:eastAsia="en-GB"/>
              </w:rPr>
              <w:t> Area</w:t>
            </w:r>
          </w:p>
        </w:tc>
        <w:tc>
          <w:tcPr>
            <w:tcW w:w="3101" w:type="pct"/>
            <w:hideMark/>
          </w:tcPr>
          <w:p w:rsidR="00081D29" w:rsidRPr="002C4E34" w:rsidRDefault="00081D29" w:rsidP="00E905E6">
            <w:pPr>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zCs w:val="18"/>
                <w:lang w:eastAsia="en-GB"/>
              </w:rPr>
            </w:pPr>
            <w:r w:rsidRPr="002C4E34">
              <w:rPr>
                <w:rFonts w:eastAsia="Times New Roman" w:cs="Arial"/>
                <w:bCs w:val="0"/>
                <w:szCs w:val="18"/>
                <w:lang w:eastAsia="en-GB"/>
              </w:rPr>
              <w:t xml:space="preserve">% </w:t>
            </w:r>
            <w:r w:rsidR="00E905E6" w:rsidRPr="002C4E34">
              <w:rPr>
                <w:rFonts w:eastAsia="Times New Roman" w:cs="Arial"/>
                <w:bCs w:val="0"/>
                <w:szCs w:val="18"/>
                <w:lang w:eastAsia="en-GB"/>
              </w:rPr>
              <w:t>school population</w:t>
            </w:r>
            <w:r w:rsidRPr="002C4E34">
              <w:rPr>
                <w:rFonts w:eastAsia="Times New Roman" w:cs="Arial"/>
                <w:bCs w:val="0"/>
                <w:szCs w:val="18"/>
                <w:lang w:eastAsia="en-GB"/>
              </w:rPr>
              <w:t xml:space="preserve"> in need of SEN support but who do not have SEN statement or EHC Plan 2015</w:t>
            </w:r>
          </w:p>
        </w:tc>
      </w:tr>
      <w:tr w:rsidR="00E905E6" w:rsidRPr="00FD5F16" w:rsidTr="002C4E3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899" w:type="pct"/>
            <w:noWrap/>
            <w:hideMark/>
          </w:tcPr>
          <w:p w:rsidR="00E905E6" w:rsidRPr="00FD5F16" w:rsidRDefault="00E905E6" w:rsidP="00B45DB6">
            <w:pPr>
              <w:rPr>
                <w:rFonts w:eastAsia="Times New Roman" w:cs="Arial"/>
                <w:color w:val="000000"/>
                <w:szCs w:val="16"/>
                <w:lang w:eastAsia="en-GB"/>
              </w:rPr>
            </w:pPr>
            <w:r w:rsidRPr="00FD5F16">
              <w:rPr>
                <w:rFonts w:eastAsia="Times New Roman" w:cs="Arial"/>
                <w:color w:val="000000"/>
                <w:szCs w:val="16"/>
                <w:lang w:eastAsia="en-GB"/>
              </w:rPr>
              <w:t>Havering</w:t>
            </w:r>
          </w:p>
        </w:tc>
        <w:tc>
          <w:tcPr>
            <w:tcW w:w="3101" w:type="pct"/>
            <w:noWrap/>
            <w:hideMark/>
          </w:tcPr>
          <w:p w:rsidR="00E905E6" w:rsidRPr="00FD5F16" w:rsidRDefault="00E905E6" w:rsidP="00B45DB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Cs w:val="16"/>
                <w:lang w:eastAsia="en-GB"/>
              </w:rPr>
            </w:pPr>
            <w:r w:rsidRPr="00FD5F16">
              <w:rPr>
                <w:rFonts w:eastAsia="Times New Roman" w:cs="Arial"/>
                <w:bCs/>
                <w:color w:val="000000"/>
                <w:szCs w:val="16"/>
                <w:lang w:eastAsia="en-GB"/>
              </w:rPr>
              <w:t>7.9</w:t>
            </w:r>
          </w:p>
        </w:tc>
      </w:tr>
      <w:tr w:rsidR="00E905E6" w:rsidRPr="00FD5F16" w:rsidTr="002C4E34">
        <w:trPr>
          <w:trHeight w:val="255"/>
        </w:trPr>
        <w:tc>
          <w:tcPr>
            <w:cnfStyle w:val="001000000000" w:firstRow="0" w:lastRow="0" w:firstColumn="1" w:lastColumn="0" w:oddVBand="0" w:evenVBand="0" w:oddHBand="0" w:evenHBand="0" w:firstRowFirstColumn="0" w:firstRowLastColumn="0" w:lastRowFirstColumn="0" w:lastRowLastColumn="0"/>
            <w:tcW w:w="1899" w:type="pct"/>
            <w:noWrap/>
            <w:hideMark/>
          </w:tcPr>
          <w:p w:rsidR="00E905E6" w:rsidRPr="00FD5F16" w:rsidRDefault="00E905E6" w:rsidP="00B45DB6">
            <w:pPr>
              <w:rPr>
                <w:rFonts w:eastAsia="Times New Roman" w:cs="Arial"/>
                <w:color w:val="000000"/>
                <w:szCs w:val="16"/>
                <w:lang w:eastAsia="en-GB"/>
              </w:rPr>
            </w:pPr>
            <w:r w:rsidRPr="00FD5F16">
              <w:rPr>
                <w:rFonts w:eastAsia="Times New Roman" w:cs="Arial"/>
                <w:color w:val="000000"/>
                <w:szCs w:val="16"/>
                <w:lang w:eastAsia="en-GB"/>
              </w:rPr>
              <w:t>Southend-on-Sea</w:t>
            </w:r>
          </w:p>
        </w:tc>
        <w:tc>
          <w:tcPr>
            <w:tcW w:w="3101" w:type="pct"/>
            <w:noWrap/>
            <w:hideMark/>
          </w:tcPr>
          <w:p w:rsidR="00E905E6" w:rsidRPr="00FD5F16" w:rsidRDefault="00E905E6" w:rsidP="00B45DB6">
            <w:pPr>
              <w:jc w:val="cente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Cs w:val="16"/>
                <w:lang w:eastAsia="en-GB"/>
              </w:rPr>
            </w:pPr>
            <w:r w:rsidRPr="00FD5F16">
              <w:rPr>
                <w:rFonts w:eastAsia="Times New Roman" w:cs="Arial"/>
                <w:bCs/>
                <w:color w:val="000000"/>
                <w:szCs w:val="16"/>
                <w:lang w:eastAsia="en-GB"/>
              </w:rPr>
              <w:t>8.7</w:t>
            </w:r>
          </w:p>
        </w:tc>
      </w:tr>
      <w:tr w:rsidR="00E905E6" w:rsidRPr="00FD5F16" w:rsidTr="002C4E3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899" w:type="pct"/>
            <w:noWrap/>
            <w:hideMark/>
          </w:tcPr>
          <w:p w:rsidR="00E905E6" w:rsidRPr="00FD5F16" w:rsidRDefault="00E905E6" w:rsidP="00B45DB6">
            <w:pPr>
              <w:rPr>
                <w:rFonts w:eastAsia="Times New Roman" w:cs="Arial"/>
                <w:color w:val="000000"/>
                <w:szCs w:val="16"/>
                <w:lang w:eastAsia="en-GB"/>
              </w:rPr>
            </w:pPr>
            <w:r w:rsidRPr="00FD5F16">
              <w:rPr>
                <w:rFonts w:eastAsia="Times New Roman" w:cs="Arial"/>
                <w:color w:val="000000"/>
                <w:szCs w:val="16"/>
                <w:lang w:eastAsia="en-GB"/>
              </w:rPr>
              <w:t>Northamptonshire</w:t>
            </w:r>
          </w:p>
        </w:tc>
        <w:tc>
          <w:tcPr>
            <w:tcW w:w="3101" w:type="pct"/>
            <w:noWrap/>
            <w:hideMark/>
          </w:tcPr>
          <w:p w:rsidR="00E905E6" w:rsidRPr="00FD5F16" w:rsidRDefault="00E905E6" w:rsidP="00B45DB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Cs w:val="16"/>
                <w:lang w:eastAsia="en-GB"/>
              </w:rPr>
            </w:pPr>
            <w:r w:rsidRPr="00FD5F16">
              <w:rPr>
                <w:rFonts w:eastAsia="Times New Roman" w:cs="Arial"/>
                <w:bCs/>
                <w:color w:val="000000"/>
                <w:szCs w:val="16"/>
                <w:lang w:eastAsia="en-GB"/>
              </w:rPr>
              <w:t>9.5</w:t>
            </w:r>
          </w:p>
        </w:tc>
      </w:tr>
      <w:tr w:rsidR="00E905E6" w:rsidRPr="00FD5F16" w:rsidTr="002C4E34">
        <w:trPr>
          <w:trHeight w:val="255"/>
        </w:trPr>
        <w:tc>
          <w:tcPr>
            <w:cnfStyle w:val="001000000000" w:firstRow="0" w:lastRow="0" w:firstColumn="1" w:lastColumn="0" w:oddVBand="0" w:evenVBand="0" w:oddHBand="0" w:evenHBand="0" w:firstRowFirstColumn="0" w:firstRowLastColumn="0" w:lastRowFirstColumn="0" w:lastRowLastColumn="0"/>
            <w:tcW w:w="1899" w:type="pct"/>
            <w:noWrap/>
            <w:hideMark/>
          </w:tcPr>
          <w:p w:rsidR="00E905E6" w:rsidRPr="00FD5F16" w:rsidRDefault="00E905E6" w:rsidP="00B45DB6">
            <w:pPr>
              <w:rPr>
                <w:rFonts w:eastAsia="Times New Roman" w:cs="Arial"/>
                <w:color w:val="000000"/>
                <w:szCs w:val="16"/>
                <w:lang w:eastAsia="en-GB"/>
              </w:rPr>
            </w:pPr>
            <w:r w:rsidRPr="00FD5F16">
              <w:rPr>
                <w:rFonts w:eastAsia="Times New Roman" w:cs="Arial"/>
                <w:color w:val="000000"/>
                <w:szCs w:val="16"/>
                <w:lang w:eastAsia="en-GB"/>
              </w:rPr>
              <w:t>Kent</w:t>
            </w:r>
          </w:p>
        </w:tc>
        <w:tc>
          <w:tcPr>
            <w:tcW w:w="3101" w:type="pct"/>
            <w:noWrap/>
            <w:hideMark/>
          </w:tcPr>
          <w:p w:rsidR="00E905E6" w:rsidRPr="00FD5F16" w:rsidRDefault="00E905E6" w:rsidP="00B45DB6">
            <w:pPr>
              <w:jc w:val="cente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Cs w:val="16"/>
                <w:lang w:eastAsia="en-GB"/>
              </w:rPr>
            </w:pPr>
            <w:r w:rsidRPr="00FD5F16">
              <w:rPr>
                <w:rFonts w:eastAsia="Times New Roman" w:cs="Arial"/>
                <w:bCs/>
                <w:color w:val="000000"/>
                <w:szCs w:val="16"/>
                <w:lang w:eastAsia="en-GB"/>
              </w:rPr>
              <w:t>11.3</w:t>
            </w:r>
          </w:p>
        </w:tc>
      </w:tr>
      <w:tr w:rsidR="00E905E6" w:rsidRPr="00FD5F16" w:rsidTr="002C4E3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899" w:type="pct"/>
            <w:noWrap/>
            <w:hideMark/>
          </w:tcPr>
          <w:p w:rsidR="00E905E6" w:rsidRPr="00FD5F16" w:rsidRDefault="00E905E6" w:rsidP="00B45DB6">
            <w:pPr>
              <w:rPr>
                <w:rFonts w:eastAsia="Times New Roman" w:cs="Arial"/>
                <w:color w:val="000000"/>
                <w:szCs w:val="16"/>
                <w:lang w:eastAsia="en-GB"/>
              </w:rPr>
            </w:pPr>
            <w:r w:rsidRPr="00FD5F16">
              <w:rPr>
                <w:rFonts w:eastAsia="Times New Roman" w:cs="Arial"/>
                <w:color w:val="000000"/>
                <w:szCs w:val="16"/>
                <w:lang w:eastAsia="en-GB"/>
              </w:rPr>
              <w:t>Thurrock</w:t>
            </w:r>
          </w:p>
        </w:tc>
        <w:tc>
          <w:tcPr>
            <w:tcW w:w="3101" w:type="pct"/>
            <w:noWrap/>
            <w:hideMark/>
          </w:tcPr>
          <w:p w:rsidR="00E905E6" w:rsidRPr="00FD5F16" w:rsidRDefault="00E905E6" w:rsidP="00B45DB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Cs w:val="16"/>
                <w:lang w:eastAsia="en-GB"/>
              </w:rPr>
            </w:pPr>
            <w:r w:rsidRPr="00FD5F16">
              <w:rPr>
                <w:rFonts w:eastAsia="Times New Roman" w:cs="Arial"/>
                <w:bCs/>
                <w:color w:val="000000"/>
                <w:szCs w:val="16"/>
                <w:lang w:eastAsia="en-GB"/>
              </w:rPr>
              <w:t>11.5</w:t>
            </w:r>
          </w:p>
        </w:tc>
      </w:tr>
      <w:tr w:rsidR="00E905E6" w:rsidRPr="00FD5F16" w:rsidTr="002C4E34">
        <w:trPr>
          <w:trHeight w:val="255"/>
        </w:trPr>
        <w:tc>
          <w:tcPr>
            <w:cnfStyle w:val="001000000000" w:firstRow="0" w:lastRow="0" w:firstColumn="1" w:lastColumn="0" w:oddVBand="0" w:evenVBand="0" w:oddHBand="0" w:evenHBand="0" w:firstRowFirstColumn="0" w:firstRowLastColumn="0" w:lastRowFirstColumn="0" w:lastRowLastColumn="0"/>
            <w:tcW w:w="1899" w:type="pct"/>
            <w:noWrap/>
            <w:hideMark/>
          </w:tcPr>
          <w:p w:rsidR="00E905E6" w:rsidRPr="00FD5F16" w:rsidRDefault="00E905E6" w:rsidP="00B45DB6">
            <w:pPr>
              <w:rPr>
                <w:rFonts w:eastAsia="Times New Roman" w:cs="Arial"/>
                <w:bCs w:val="0"/>
                <w:color w:val="000000"/>
                <w:szCs w:val="16"/>
                <w:lang w:eastAsia="en-GB"/>
              </w:rPr>
            </w:pPr>
            <w:r w:rsidRPr="00FD5F16">
              <w:rPr>
                <w:rFonts w:eastAsia="Times New Roman" w:cs="Arial"/>
                <w:bCs w:val="0"/>
                <w:color w:val="000000"/>
                <w:szCs w:val="16"/>
                <w:lang w:eastAsia="en-GB"/>
              </w:rPr>
              <w:t>England</w:t>
            </w:r>
          </w:p>
        </w:tc>
        <w:tc>
          <w:tcPr>
            <w:tcW w:w="3101" w:type="pct"/>
            <w:noWrap/>
            <w:hideMark/>
          </w:tcPr>
          <w:p w:rsidR="00E905E6" w:rsidRPr="00FD5F16" w:rsidRDefault="00E905E6" w:rsidP="00B45DB6">
            <w:pPr>
              <w:jc w:val="cente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Cs w:val="16"/>
                <w:lang w:eastAsia="en-GB"/>
              </w:rPr>
            </w:pPr>
            <w:r w:rsidRPr="00FD5F16">
              <w:rPr>
                <w:rFonts w:eastAsia="Times New Roman" w:cs="Arial"/>
                <w:bCs/>
                <w:color w:val="000000"/>
                <w:szCs w:val="16"/>
                <w:lang w:eastAsia="en-GB"/>
              </w:rPr>
              <w:t>12.6</w:t>
            </w:r>
          </w:p>
        </w:tc>
      </w:tr>
      <w:tr w:rsidR="00E905E6" w:rsidRPr="00FD5F16" w:rsidTr="002C4E3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899" w:type="pct"/>
            <w:noWrap/>
            <w:hideMark/>
          </w:tcPr>
          <w:p w:rsidR="00E905E6" w:rsidRPr="00FD5F16" w:rsidRDefault="00E905E6" w:rsidP="00B45DB6">
            <w:pPr>
              <w:rPr>
                <w:rFonts w:eastAsia="Times New Roman" w:cs="Arial"/>
                <w:color w:val="000000"/>
                <w:szCs w:val="16"/>
                <w:lang w:eastAsia="en-GB"/>
              </w:rPr>
            </w:pPr>
            <w:r w:rsidRPr="00FD5F16">
              <w:rPr>
                <w:rFonts w:eastAsia="Times New Roman" w:cs="Arial"/>
                <w:color w:val="000000"/>
                <w:szCs w:val="16"/>
                <w:lang w:eastAsia="en-GB"/>
              </w:rPr>
              <w:t>Swindon</w:t>
            </w:r>
          </w:p>
        </w:tc>
        <w:tc>
          <w:tcPr>
            <w:tcW w:w="3101" w:type="pct"/>
            <w:noWrap/>
            <w:hideMark/>
          </w:tcPr>
          <w:p w:rsidR="00E905E6" w:rsidRPr="00FD5F16" w:rsidRDefault="00E905E6" w:rsidP="00B45DB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Cs w:val="16"/>
                <w:lang w:eastAsia="en-GB"/>
              </w:rPr>
            </w:pPr>
            <w:r w:rsidRPr="00FD5F16">
              <w:rPr>
                <w:rFonts w:eastAsia="Times New Roman" w:cs="Arial"/>
                <w:bCs/>
                <w:color w:val="000000"/>
                <w:szCs w:val="16"/>
                <w:lang w:eastAsia="en-GB"/>
              </w:rPr>
              <w:t>13.1</w:t>
            </w:r>
          </w:p>
        </w:tc>
      </w:tr>
      <w:tr w:rsidR="00E905E6" w:rsidRPr="00FD5F16" w:rsidTr="002C4E34">
        <w:trPr>
          <w:trHeight w:val="255"/>
        </w:trPr>
        <w:tc>
          <w:tcPr>
            <w:cnfStyle w:val="001000000000" w:firstRow="0" w:lastRow="0" w:firstColumn="1" w:lastColumn="0" w:oddVBand="0" w:evenVBand="0" w:oddHBand="0" w:evenHBand="0" w:firstRowFirstColumn="0" w:firstRowLastColumn="0" w:lastRowFirstColumn="0" w:lastRowLastColumn="0"/>
            <w:tcW w:w="1899" w:type="pct"/>
            <w:noWrap/>
            <w:hideMark/>
          </w:tcPr>
          <w:p w:rsidR="00E905E6" w:rsidRPr="00FD5F16" w:rsidRDefault="00E905E6" w:rsidP="00B45DB6">
            <w:pPr>
              <w:rPr>
                <w:rFonts w:eastAsia="Times New Roman" w:cs="Arial"/>
                <w:color w:val="000000"/>
                <w:szCs w:val="16"/>
                <w:lang w:eastAsia="en-GB"/>
              </w:rPr>
            </w:pPr>
            <w:r w:rsidRPr="00FD5F16">
              <w:rPr>
                <w:rFonts w:eastAsia="Times New Roman" w:cs="Arial"/>
                <w:color w:val="000000"/>
                <w:szCs w:val="16"/>
                <w:lang w:eastAsia="en-GB"/>
              </w:rPr>
              <w:t>North Lincolnshire</w:t>
            </w:r>
          </w:p>
        </w:tc>
        <w:tc>
          <w:tcPr>
            <w:tcW w:w="3101" w:type="pct"/>
            <w:noWrap/>
            <w:hideMark/>
          </w:tcPr>
          <w:p w:rsidR="00E905E6" w:rsidRPr="00FD5F16" w:rsidRDefault="00E905E6" w:rsidP="00B45DB6">
            <w:pPr>
              <w:jc w:val="cente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Cs w:val="16"/>
                <w:lang w:eastAsia="en-GB"/>
              </w:rPr>
            </w:pPr>
            <w:r w:rsidRPr="00FD5F16">
              <w:rPr>
                <w:rFonts w:eastAsia="Times New Roman" w:cs="Arial"/>
                <w:bCs/>
                <w:color w:val="000000"/>
                <w:szCs w:val="16"/>
                <w:lang w:eastAsia="en-GB"/>
              </w:rPr>
              <w:t>13.8</w:t>
            </w:r>
          </w:p>
        </w:tc>
      </w:tr>
      <w:tr w:rsidR="00E905E6" w:rsidRPr="00FD5F16" w:rsidTr="002C4E3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899" w:type="pct"/>
            <w:noWrap/>
            <w:hideMark/>
          </w:tcPr>
          <w:p w:rsidR="00E905E6" w:rsidRPr="00FD5F16" w:rsidRDefault="00E905E6" w:rsidP="00B45DB6">
            <w:pPr>
              <w:rPr>
                <w:rFonts w:eastAsia="Times New Roman" w:cs="Arial"/>
                <w:color w:val="000000"/>
                <w:szCs w:val="16"/>
                <w:lang w:eastAsia="en-GB"/>
              </w:rPr>
            </w:pPr>
            <w:r w:rsidRPr="00FD5F16">
              <w:rPr>
                <w:rFonts w:eastAsia="Times New Roman" w:cs="Arial"/>
                <w:color w:val="000000"/>
                <w:szCs w:val="16"/>
                <w:lang w:eastAsia="en-GB"/>
              </w:rPr>
              <w:t>Dudley</w:t>
            </w:r>
          </w:p>
        </w:tc>
        <w:tc>
          <w:tcPr>
            <w:tcW w:w="3101" w:type="pct"/>
            <w:noWrap/>
            <w:hideMark/>
          </w:tcPr>
          <w:p w:rsidR="00E905E6" w:rsidRPr="00FD5F16" w:rsidRDefault="00E905E6" w:rsidP="00B45DB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Cs w:val="16"/>
                <w:lang w:eastAsia="en-GB"/>
              </w:rPr>
            </w:pPr>
            <w:r w:rsidRPr="00FD5F16">
              <w:rPr>
                <w:rFonts w:eastAsia="Times New Roman" w:cs="Arial"/>
                <w:bCs/>
                <w:color w:val="000000"/>
                <w:szCs w:val="16"/>
                <w:lang w:eastAsia="en-GB"/>
              </w:rPr>
              <w:t>14.2</w:t>
            </w:r>
          </w:p>
        </w:tc>
      </w:tr>
      <w:tr w:rsidR="00E905E6" w:rsidRPr="00FD5F16" w:rsidTr="002C4E34">
        <w:trPr>
          <w:trHeight w:val="255"/>
        </w:trPr>
        <w:tc>
          <w:tcPr>
            <w:cnfStyle w:val="001000000000" w:firstRow="0" w:lastRow="0" w:firstColumn="1" w:lastColumn="0" w:oddVBand="0" w:evenVBand="0" w:oddHBand="0" w:evenHBand="0" w:firstRowFirstColumn="0" w:firstRowLastColumn="0" w:lastRowFirstColumn="0" w:lastRowLastColumn="0"/>
            <w:tcW w:w="1899" w:type="pct"/>
            <w:noWrap/>
            <w:hideMark/>
          </w:tcPr>
          <w:p w:rsidR="00E905E6" w:rsidRPr="00FD5F16" w:rsidRDefault="00E905E6" w:rsidP="00B45DB6">
            <w:pPr>
              <w:rPr>
                <w:rFonts w:eastAsia="Times New Roman" w:cs="Arial"/>
                <w:color w:val="000000"/>
                <w:szCs w:val="16"/>
                <w:lang w:eastAsia="en-GB"/>
              </w:rPr>
            </w:pPr>
            <w:r w:rsidRPr="00FD5F16">
              <w:rPr>
                <w:rFonts w:eastAsia="Times New Roman" w:cs="Arial"/>
                <w:color w:val="000000"/>
                <w:szCs w:val="16"/>
                <w:lang w:eastAsia="en-GB"/>
              </w:rPr>
              <w:t>Rotherham</w:t>
            </w:r>
          </w:p>
        </w:tc>
        <w:tc>
          <w:tcPr>
            <w:tcW w:w="3101" w:type="pct"/>
            <w:noWrap/>
            <w:hideMark/>
          </w:tcPr>
          <w:p w:rsidR="00E905E6" w:rsidRPr="00FD5F16" w:rsidRDefault="00E905E6" w:rsidP="00B45DB6">
            <w:pPr>
              <w:jc w:val="cente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Cs w:val="16"/>
                <w:lang w:eastAsia="en-GB"/>
              </w:rPr>
            </w:pPr>
            <w:r w:rsidRPr="00FD5F16">
              <w:rPr>
                <w:rFonts w:eastAsia="Times New Roman" w:cs="Arial"/>
                <w:bCs/>
                <w:color w:val="000000"/>
                <w:szCs w:val="16"/>
                <w:lang w:eastAsia="en-GB"/>
              </w:rPr>
              <w:t>14.2</w:t>
            </w:r>
          </w:p>
        </w:tc>
      </w:tr>
      <w:tr w:rsidR="00E905E6" w:rsidRPr="00FD5F16" w:rsidTr="002C4E3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899" w:type="pct"/>
            <w:noWrap/>
            <w:hideMark/>
          </w:tcPr>
          <w:p w:rsidR="00E905E6" w:rsidRPr="00FD5F16" w:rsidRDefault="00E905E6" w:rsidP="00B45DB6">
            <w:pPr>
              <w:rPr>
                <w:rFonts w:eastAsia="Times New Roman" w:cs="Arial"/>
                <w:color w:val="000000"/>
                <w:szCs w:val="16"/>
                <w:lang w:eastAsia="en-GB"/>
              </w:rPr>
            </w:pPr>
            <w:r w:rsidRPr="00FD5F16">
              <w:rPr>
                <w:rFonts w:eastAsia="Times New Roman" w:cs="Arial"/>
                <w:color w:val="000000"/>
                <w:szCs w:val="16"/>
                <w:lang w:eastAsia="en-GB"/>
              </w:rPr>
              <w:t>Telford and Wrekin</w:t>
            </w:r>
          </w:p>
        </w:tc>
        <w:tc>
          <w:tcPr>
            <w:tcW w:w="3101" w:type="pct"/>
            <w:noWrap/>
            <w:hideMark/>
          </w:tcPr>
          <w:p w:rsidR="00E905E6" w:rsidRPr="00FD5F16" w:rsidRDefault="00E905E6" w:rsidP="00B45DB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Cs w:val="16"/>
                <w:lang w:eastAsia="en-GB"/>
              </w:rPr>
            </w:pPr>
            <w:r w:rsidRPr="00FD5F16">
              <w:rPr>
                <w:rFonts w:eastAsia="Times New Roman" w:cs="Arial"/>
                <w:bCs/>
                <w:color w:val="000000"/>
                <w:szCs w:val="16"/>
                <w:lang w:eastAsia="en-GB"/>
              </w:rPr>
              <w:t>15.2</w:t>
            </w:r>
          </w:p>
        </w:tc>
      </w:tr>
      <w:tr w:rsidR="002C4E34" w:rsidRPr="002C4E34" w:rsidTr="002C4E34">
        <w:trPr>
          <w:trHeight w:val="255"/>
        </w:trPr>
        <w:tc>
          <w:tcPr>
            <w:cnfStyle w:val="001000000000" w:firstRow="0" w:lastRow="0" w:firstColumn="1" w:lastColumn="0" w:oddVBand="0" w:evenVBand="0" w:oddHBand="0" w:evenHBand="0" w:firstRowFirstColumn="0" w:firstRowLastColumn="0" w:lastRowFirstColumn="0" w:lastRowLastColumn="0"/>
            <w:tcW w:w="1899" w:type="pct"/>
            <w:shd w:val="clear" w:color="auto" w:fill="4F81BD"/>
            <w:noWrap/>
            <w:hideMark/>
          </w:tcPr>
          <w:p w:rsidR="00E905E6" w:rsidRPr="002C4E34" w:rsidRDefault="00E905E6" w:rsidP="00B45DB6">
            <w:pPr>
              <w:rPr>
                <w:rFonts w:eastAsia="Times New Roman" w:cs="Arial"/>
                <w:bCs w:val="0"/>
                <w:color w:val="FFFFFF" w:themeColor="background1"/>
                <w:szCs w:val="16"/>
                <w:lang w:eastAsia="en-GB"/>
              </w:rPr>
            </w:pPr>
            <w:r w:rsidRPr="002C4E34">
              <w:rPr>
                <w:rFonts w:eastAsia="Times New Roman" w:cs="Arial"/>
                <w:bCs w:val="0"/>
                <w:color w:val="FFFFFF" w:themeColor="background1"/>
                <w:szCs w:val="16"/>
                <w:lang w:eastAsia="en-GB"/>
              </w:rPr>
              <w:t>Medway</w:t>
            </w:r>
          </w:p>
        </w:tc>
        <w:tc>
          <w:tcPr>
            <w:tcW w:w="3101" w:type="pct"/>
            <w:shd w:val="clear" w:color="auto" w:fill="4F81BD"/>
            <w:noWrap/>
            <w:hideMark/>
          </w:tcPr>
          <w:p w:rsidR="00E905E6" w:rsidRPr="002C4E34" w:rsidRDefault="00E905E6" w:rsidP="00B45DB6">
            <w:pPr>
              <w:jc w:val="center"/>
              <w:cnfStyle w:val="000000000000" w:firstRow="0" w:lastRow="0" w:firstColumn="0" w:lastColumn="0" w:oddVBand="0" w:evenVBand="0" w:oddHBand="0" w:evenHBand="0" w:firstRowFirstColumn="0" w:firstRowLastColumn="0" w:lastRowFirstColumn="0" w:lastRowLastColumn="0"/>
              <w:rPr>
                <w:rFonts w:eastAsia="Times New Roman" w:cs="Arial"/>
                <w:bCs/>
                <w:color w:val="FFFFFF" w:themeColor="background1"/>
                <w:szCs w:val="16"/>
                <w:lang w:eastAsia="en-GB"/>
              </w:rPr>
            </w:pPr>
            <w:r w:rsidRPr="002C4E34">
              <w:rPr>
                <w:rFonts w:eastAsia="Times New Roman" w:cs="Arial"/>
                <w:bCs/>
                <w:color w:val="FFFFFF" w:themeColor="background1"/>
                <w:szCs w:val="16"/>
                <w:lang w:eastAsia="en-GB"/>
              </w:rPr>
              <w:t>17.0</w:t>
            </w:r>
          </w:p>
        </w:tc>
      </w:tr>
    </w:tbl>
    <w:p w:rsidR="003C13B4" w:rsidRDefault="00C15AC6" w:rsidP="00C15AC6">
      <w:pPr>
        <w:pStyle w:val="Caption"/>
      </w:pPr>
      <w:r>
        <w:t xml:space="preserve">Figure </w:t>
      </w:r>
      <w:r w:rsidR="00156E8B">
        <w:fldChar w:fldCharType="begin"/>
      </w:r>
      <w:r w:rsidR="00156E8B">
        <w:instrText xml:space="preserve"> SEQ Figure \* ARABIC </w:instrText>
      </w:r>
      <w:r w:rsidR="00156E8B">
        <w:fldChar w:fldCharType="separate"/>
      </w:r>
      <w:r w:rsidR="005C553C">
        <w:rPr>
          <w:noProof/>
        </w:rPr>
        <w:t>7</w:t>
      </w:r>
      <w:r w:rsidR="00156E8B">
        <w:rPr>
          <w:noProof/>
        </w:rPr>
        <w:fldChar w:fldCharType="end"/>
      </w:r>
      <w:r>
        <w:t xml:space="preserve"> Percentage of children without statement or plan but assessed as having SEN</w:t>
      </w:r>
    </w:p>
    <w:p w:rsidR="00DF75A4" w:rsidRDefault="00DF7B70" w:rsidP="00081D29">
      <w:r>
        <w:lastRenderedPageBreak/>
        <w:t xml:space="preserve">From 2015, </w:t>
      </w:r>
      <w:r w:rsidR="005C3C45">
        <w:t>children</w:t>
      </w:r>
      <w:r w:rsidR="00CF4063">
        <w:t xml:space="preserve"> without a statement or plan are also having their primary need recorded (NB </w:t>
      </w:r>
      <w:r w:rsidRPr="00255BA4">
        <w:rPr>
          <w:rFonts w:cs="HelveticaNeueLT Std Lt"/>
          <w:color w:val="000000"/>
          <w:szCs w:val="24"/>
        </w:rPr>
        <w:t xml:space="preserve">Social Emotional and Mental Health </w:t>
      </w:r>
      <w:r>
        <w:rPr>
          <w:rFonts w:cs="HelveticaNeueLT Std Lt"/>
          <w:color w:val="000000"/>
          <w:szCs w:val="24"/>
        </w:rPr>
        <w:t xml:space="preserve">has </w:t>
      </w:r>
      <w:r w:rsidR="00CF3E35">
        <w:rPr>
          <w:rFonts w:cs="HelveticaNeueLT Std Lt"/>
          <w:color w:val="000000"/>
          <w:szCs w:val="24"/>
        </w:rPr>
        <w:t xml:space="preserve">replaced </w:t>
      </w:r>
      <w:r w:rsidR="003814D0">
        <w:rPr>
          <w:rFonts w:cs="HelveticaNeueLT Std Lt"/>
          <w:color w:val="000000"/>
          <w:szCs w:val="24"/>
        </w:rPr>
        <w:t>the category</w:t>
      </w:r>
      <w:r w:rsidR="00005C82">
        <w:rPr>
          <w:rFonts w:cs="HelveticaNeueLT Std Lt"/>
          <w:color w:val="000000"/>
          <w:szCs w:val="24"/>
        </w:rPr>
        <w:t xml:space="preserve"> previously used i.e. </w:t>
      </w:r>
      <w:r w:rsidR="00CF3E35" w:rsidRPr="00255BA4">
        <w:rPr>
          <w:rFonts w:cs="HelveticaNeueLT Std Lt"/>
          <w:color w:val="000000"/>
          <w:szCs w:val="24"/>
        </w:rPr>
        <w:t>Behaviour, Emotional and Social Difficulties</w:t>
      </w:r>
      <w:r w:rsidR="00CF4063">
        <w:rPr>
          <w:rFonts w:cs="HelveticaNeueLT Std Lt"/>
          <w:color w:val="000000"/>
          <w:szCs w:val="24"/>
        </w:rPr>
        <w:t>)</w:t>
      </w:r>
      <w:r w:rsidR="00CF3E35">
        <w:rPr>
          <w:rFonts w:cs="HelveticaNeueLT Std Lt"/>
          <w:color w:val="000000"/>
          <w:szCs w:val="24"/>
        </w:rPr>
        <w:t>.</w:t>
      </w:r>
      <w:r w:rsidR="00CF4063">
        <w:rPr>
          <w:rFonts w:cs="HelveticaNeueLT Std Lt"/>
          <w:color w:val="000000"/>
          <w:szCs w:val="24"/>
        </w:rPr>
        <w:t xml:space="preserve">  </w:t>
      </w:r>
      <w:r w:rsidR="005B73D2">
        <w:t xml:space="preserve">Figures </w:t>
      </w:r>
      <w:r w:rsidR="00C15AC6">
        <w:t>8</w:t>
      </w:r>
      <w:r w:rsidR="005B73D2">
        <w:t xml:space="preserve"> and </w:t>
      </w:r>
      <w:r w:rsidR="00C15AC6">
        <w:t>9</w:t>
      </w:r>
      <w:r w:rsidR="005B73D2">
        <w:t xml:space="preserve"> show the </w:t>
      </w:r>
      <w:r w:rsidR="00CF4063">
        <w:t>most common</w:t>
      </w:r>
      <w:r w:rsidR="005B73D2">
        <w:t xml:space="preserve"> categories of need of primary and secondary school pupils in comparison to national, regional and </w:t>
      </w:r>
      <w:r w:rsidR="00D67F8F">
        <w:t>statistical neighbour</w:t>
      </w:r>
      <w:r w:rsidR="005B73D2">
        <w:t xml:space="preserve"> data</w:t>
      </w:r>
      <w:r w:rsidR="00F00BEE">
        <w:rPr>
          <w:rStyle w:val="FootnoteReference"/>
        </w:rPr>
        <w:footnoteReference w:id="22"/>
      </w:r>
      <w:r w:rsidR="005B73D2">
        <w:t>.</w:t>
      </w:r>
    </w:p>
    <w:p w:rsidR="00D67F8F" w:rsidRDefault="00D67F8F" w:rsidP="00081D29"/>
    <w:p w:rsidR="003C13B4" w:rsidRDefault="003C13B4" w:rsidP="003C13B4">
      <w:r>
        <w:t xml:space="preserve">In relation to primary school pupils, Medway primary schools have the second highest rate of children with social, emotional and mental health needs, and the third highest </w:t>
      </w:r>
      <w:r w:rsidR="00005C82">
        <w:t>in terms of speech and language in comparison to statistical neighbours.</w:t>
      </w:r>
    </w:p>
    <w:p w:rsidR="00D67F8F" w:rsidRDefault="00D67F8F" w:rsidP="00081D29"/>
    <w:tbl>
      <w:tblPr>
        <w:tblStyle w:val="LightList-Accent1"/>
        <w:tblpPr w:leftFromText="180" w:rightFromText="180" w:vertAnchor="text" w:horzAnchor="margin" w:tblpY="158"/>
        <w:tblW w:w="5000" w:type="pct"/>
        <w:tblLook w:val="04A0" w:firstRow="1" w:lastRow="0" w:firstColumn="1" w:lastColumn="0" w:noHBand="0" w:noVBand="1"/>
      </w:tblPr>
      <w:tblGrid>
        <w:gridCol w:w="2773"/>
        <w:gridCol w:w="944"/>
        <w:gridCol w:w="606"/>
        <w:gridCol w:w="945"/>
        <w:gridCol w:w="606"/>
        <w:gridCol w:w="945"/>
        <w:gridCol w:w="606"/>
        <w:gridCol w:w="945"/>
        <w:gridCol w:w="872"/>
      </w:tblGrid>
      <w:tr w:rsidR="003C13B4" w:rsidRPr="00267C7F" w:rsidTr="003C13B4">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5000" w:type="pct"/>
            <w:gridSpan w:val="9"/>
          </w:tcPr>
          <w:p w:rsidR="003C13B4" w:rsidRPr="00267C7F" w:rsidRDefault="003C13B4" w:rsidP="003C13B4">
            <w:pPr>
              <w:jc w:val="center"/>
              <w:rPr>
                <w:rFonts w:eastAsia="Times New Roman" w:cs="Arial"/>
                <w:sz w:val="20"/>
                <w:szCs w:val="18"/>
                <w:lang w:eastAsia="en-GB"/>
              </w:rPr>
            </w:pPr>
            <w:r w:rsidRPr="00267C7F">
              <w:rPr>
                <w:rFonts w:eastAsia="Times New Roman" w:cs="Arial"/>
                <w:sz w:val="20"/>
                <w:szCs w:val="18"/>
                <w:lang w:eastAsia="en-GB"/>
              </w:rPr>
              <w:t>Primary school pupils (with SEN but without statement/EHC plan)</w:t>
            </w:r>
          </w:p>
        </w:tc>
      </w:tr>
      <w:tr w:rsidR="003C13B4" w:rsidRPr="00267C7F" w:rsidTr="003C13B4">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1500" w:type="pct"/>
            <w:hideMark/>
          </w:tcPr>
          <w:p w:rsidR="003C13B4" w:rsidRPr="00267C7F" w:rsidRDefault="003C13B4" w:rsidP="003C13B4">
            <w:pPr>
              <w:jc w:val="center"/>
              <w:rPr>
                <w:rFonts w:eastAsia="Times New Roman" w:cs="Arial"/>
                <w:sz w:val="20"/>
                <w:szCs w:val="18"/>
                <w:lang w:eastAsia="en-GB"/>
              </w:rPr>
            </w:pPr>
            <w:r w:rsidRPr="00267C7F">
              <w:rPr>
                <w:rFonts w:eastAsia="Times New Roman" w:cs="Arial"/>
                <w:sz w:val="20"/>
                <w:szCs w:val="18"/>
                <w:lang w:eastAsia="en-GB"/>
              </w:rPr>
              <w:t>Area</w:t>
            </w:r>
          </w:p>
        </w:tc>
        <w:tc>
          <w:tcPr>
            <w:tcW w:w="839" w:type="pct"/>
            <w:gridSpan w:val="2"/>
            <w:hideMark/>
          </w:tcPr>
          <w:p w:rsidR="003C13B4" w:rsidRPr="00267C7F" w:rsidRDefault="003C13B4" w:rsidP="003C13B4">
            <w:pPr>
              <w:jc w:val="center"/>
              <w:cnfStyle w:val="000000100000" w:firstRow="0" w:lastRow="0" w:firstColumn="0" w:lastColumn="0" w:oddVBand="0" w:evenVBand="0" w:oddHBand="1" w:evenHBand="0" w:firstRowFirstColumn="0" w:firstRowLastColumn="0" w:lastRowFirstColumn="0" w:lastRowLastColumn="0"/>
              <w:rPr>
                <w:rFonts w:eastAsia="Times New Roman" w:cs="Arial"/>
                <w:b/>
                <w:sz w:val="20"/>
                <w:szCs w:val="18"/>
                <w:lang w:eastAsia="en-GB"/>
              </w:rPr>
            </w:pPr>
            <w:r w:rsidRPr="00267C7F">
              <w:rPr>
                <w:rFonts w:eastAsia="Times New Roman" w:cs="Arial"/>
                <w:b/>
                <w:sz w:val="20"/>
                <w:szCs w:val="18"/>
                <w:lang w:eastAsia="en-GB"/>
              </w:rPr>
              <w:t>Specific Learning Difficulty</w:t>
            </w:r>
          </w:p>
        </w:tc>
        <w:tc>
          <w:tcPr>
            <w:tcW w:w="839" w:type="pct"/>
            <w:gridSpan w:val="2"/>
            <w:hideMark/>
          </w:tcPr>
          <w:p w:rsidR="003C13B4" w:rsidRPr="00267C7F" w:rsidRDefault="003C13B4" w:rsidP="003C13B4">
            <w:pPr>
              <w:jc w:val="center"/>
              <w:cnfStyle w:val="000000100000" w:firstRow="0" w:lastRow="0" w:firstColumn="0" w:lastColumn="0" w:oddVBand="0" w:evenVBand="0" w:oddHBand="1" w:evenHBand="0" w:firstRowFirstColumn="0" w:firstRowLastColumn="0" w:lastRowFirstColumn="0" w:lastRowLastColumn="0"/>
              <w:rPr>
                <w:rFonts w:eastAsia="Times New Roman" w:cs="Arial"/>
                <w:b/>
                <w:sz w:val="20"/>
                <w:szCs w:val="18"/>
                <w:lang w:eastAsia="en-GB"/>
              </w:rPr>
            </w:pPr>
            <w:r w:rsidRPr="00267C7F">
              <w:rPr>
                <w:rFonts w:eastAsia="Times New Roman" w:cs="Arial"/>
                <w:b/>
                <w:sz w:val="20"/>
                <w:szCs w:val="18"/>
                <w:lang w:eastAsia="en-GB"/>
              </w:rPr>
              <w:t>Moderate Learning Difficulty</w:t>
            </w:r>
          </w:p>
        </w:tc>
        <w:tc>
          <w:tcPr>
            <w:tcW w:w="839" w:type="pct"/>
            <w:gridSpan w:val="2"/>
            <w:hideMark/>
          </w:tcPr>
          <w:p w:rsidR="003C13B4" w:rsidRPr="00267C7F" w:rsidRDefault="003C13B4" w:rsidP="003C13B4">
            <w:pPr>
              <w:jc w:val="center"/>
              <w:cnfStyle w:val="000000100000" w:firstRow="0" w:lastRow="0" w:firstColumn="0" w:lastColumn="0" w:oddVBand="0" w:evenVBand="0" w:oddHBand="1" w:evenHBand="0" w:firstRowFirstColumn="0" w:firstRowLastColumn="0" w:lastRowFirstColumn="0" w:lastRowLastColumn="0"/>
              <w:rPr>
                <w:rFonts w:eastAsia="Times New Roman" w:cs="Arial"/>
                <w:b/>
                <w:sz w:val="20"/>
                <w:szCs w:val="18"/>
                <w:lang w:eastAsia="en-GB"/>
              </w:rPr>
            </w:pPr>
            <w:r w:rsidRPr="00267C7F">
              <w:rPr>
                <w:rFonts w:eastAsia="Times New Roman" w:cs="Arial"/>
                <w:b/>
                <w:sz w:val="20"/>
                <w:szCs w:val="18"/>
                <w:lang w:eastAsia="en-GB"/>
              </w:rPr>
              <w:t xml:space="preserve">Social, Emotional and Mental Health </w:t>
            </w:r>
          </w:p>
        </w:tc>
        <w:tc>
          <w:tcPr>
            <w:tcW w:w="983" w:type="pct"/>
            <w:gridSpan w:val="2"/>
            <w:hideMark/>
          </w:tcPr>
          <w:p w:rsidR="003C13B4" w:rsidRPr="00267C7F" w:rsidRDefault="003C13B4" w:rsidP="003C13B4">
            <w:pPr>
              <w:jc w:val="center"/>
              <w:cnfStyle w:val="000000100000" w:firstRow="0" w:lastRow="0" w:firstColumn="0" w:lastColumn="0" w:oddVBand="0" w:evenVBand="0" w:oddHBand="1" w:evenHBand="0" w:firstRowFirstColumn="0" w:firstRowLastColumn="0" w:lastRowFirstColumn="0" w:lastRowLastColumn="0"/>
              <w:rPr>
                <w:rFonts w:eastAsia="Times New Roman" w:cs="Arial"/>
                <w:b/>
                <w:sz w:val="20"/>
                <w:szCs w:val="18"/>
                <w:lang w:eastAsia="en-GB"/>
              </w:rPr>
            </w:pPr>
            <w:r w:rsidRPr="00267C7F">
              <w:rPr>
                <w:rFonts w:eastAsia="Times New Roman" w:cs="Arial"/>
                <w:b/>
                <w:sz w:val="20"/>
                <w:szCs w:val="18"/>
                <w:lang w:eastAsia="en-GB"/>
              </w:rPr>
              <w:t>Speech and Language</w:t>
            </w:r>
          </w:p>
        </w:tc>
      </w:tr>
      <w:tr w:rsidR="003C13B4" w:rsidRPr="00267C7F" w:rsidTr="003C13B4">
        <w:trPr>
          <w:trHeight w:val="300"/>
        </w:trPr>
        <w:tc>
          <w:tcPr>
            <w:cnfStyle w:val="001000000000" w:firstRow="0" w:lastRow="0" w:firstColumn="1" w:lastColumn="0" w:oddVBand="0" w:evenVBand="0" w:oddHBand="0" w:evenHBand="0" w:firstRowFirstColumn="0" w:firstRowLastColumn="0" w:lastRowFirstColumn="0" w:lastRowLastColumn="0"/>
            <w:tcW w:w="1500" w:type="pct"/>
            <w:hideMark/>
          </w:tcPr>
          <w:p w:rsidR="003C13B4" w:rsidRPr="00267C7F" w:rsidRDefault="003C13B4" w:rsidP="003C13B4">
            <w:pPr>
              <w:jc w:val="center"/>
              <w:rPr>
                <w:rFonts w:eastAsia="Times New Roman" w:cs="Arial"/>
                <w:sz w:val="20"/>
                <w:szCs w:val="18"/>
                <w:lang w:eastAsia="en-GB"/>
              </w:rPr>
            </w:pPr>
            <w:r w:rsidRPr="00267C7F">
              <w:rPr>
                <w:rFonts w:eastAsia="Times New Roman" w:cs="Arial"/>
                <w:sz w:val="20"/>
                <w:szCs w:val="18"/>
                <w:lang w:eastAsia="en-GB"/>
              </w:rPr>
              <w:t> </w:t>
            </w:r>
          </w:p>
        </w:tc>
        <w:tc>
          <w:tcPr>
            <w:tcW w:w="511" w:type="pct"/>
            <w:hideMark/>
          </w:tcPr>
          <w:p w:rsidR="003C13B4" w:rsidRPr="00267C7F" w:rsidRDefault="003C13B4" w:rsidP="003C13B4">
            <w:pPr>
              <w:jc w:val="center"/>
              <w:cnfStyle w:val="000000000000" w:firstRow="0" w:lastRow="0" w:firstColumn="0" w:lastColumn="0" w:oddVBand="0" w:evenVBand="0" w:oddHBand="0" w:evenHBand="0" w:firstRowFirstColumn="0" w:firstRowLastColumn="0" w:lastRowFirstColumn="0" w:lastRowLastColumn="0"/>
              <w:rPr>
                <w:rFonts w:eastAsia="Times New Roman" w:cs="Arial"/>
                <w:b/>
                <w:sz w:val="20"/>
                <w:szCs w:val="18"/>
                <w:lang w:eastAsia="en-GB"/>
              </w:rPr>
            </w:pPr>
            <w:r w:rsidRPr="00267C7F">
              <w:rPr>
                <w:rFonts w:eastAsia="Times New Roman" w:cs="Arial"/>
                <w:b/>
                <w:sz w:val="20"/>
                <w:szCs w:val="18"/>
                <w:lang w:eastAsia="en-GB"/>
              </w:rPr>
              <w:t>No.</w:t>
            </w:r>
          </w:p>
        </w:tc>
        <w:tc>
          <w:tcPr>
            <w:tcW w:w="328" w:type="pct"/>
            <w:hideMark/>
          </w:tcPr>
          <w:p w:rsidR="003C13B4" w:rsidRPr="00267C7F" w:rsidRDefault="003C13B4" w:rsidP="003C13B4">
            <w:pPr>
              <w:jc w:val="center"/>
              <w:cnfStyle w:val="000000000000" w:firstRow="0" w:lastRow="0" w:firstColumn="0" w:lastColumn="0" w:oddVBand="0" w:evenVBand="0" w:oddHBand="0" w:evenHBand="0" w:firstRowFirstColumn="0" w:firstRowLastColumn="0" w:lastRowFirstColumn="0" w:lastRowLastColumn="0"/>
              <w:rPr>
                <w:rFonts w:eastAsia="Times New Roman" w:cs="Arial"/>
                <w:b/>
                <w:sz w:val="20"/>
                <w:szCs w:val="18"/>
                <w:lang w:eastAsia="en-GB"/>
              </w:rPr>
            </w:pPr>
            <w:r w:rsidRPr="00267C7F">
              <w:rPr>
                <w:rFonts w:eastAsia="Times New Roman" w:cs="Arial"/>
                <w:b/>
                <w:sz w:val="20"/>
                <w:szCs w:val="18"/>
                <w:lang w:eastAsia="en-GB"/>
              </w:rPr>
              <w:t xml:space="preserve">% </w:t>
            </w:r>
          </w:p>
        </w:tc>
        <w:tc>
          <w:tcPr>
            <w:tcW w:w="511" w:type="pct"/>
            <w:hideMark/>
          </w:tcPr>
          <w:p w:rsidR="003C13B4" w:rsidRPr="00267C7F" w:rsidRDefault="003C13B4" w:rsidP="003C13B4">
            <w:pPr>
              <w:jc w:val="center"/>
              <w:cnfStyle w:val="000000000000" w:firstRow="0" w:lastRow="0" w:firstColumn="0" w:lastColumn="0" w:oddVBand="0" w:evenVBand="0" w:oddHBand="0" w:evenHBand="0" w:firstRowFirstColumn="0" w:firstRowLastColumn="0" w:lastRowFirstColumn="0" w:lastRowLastColumn="0"/>
              <w:rPr>
                <w:rFonts w:eastAsia="Times New Roman" w:cs="Arial"/>
                <w:b/>
                <w:sz w:val="20"/>
                <w:szCs w:val="18"/>
                <w:lang w:eastAsia="en-GB"/>
              </w:rPr>
            </w:pPr>
            <w:r w:rsidRPr="00267C7F">
              <w:rPr>
                <w:rFonts w:eastAsia="Times New Roman" w:cs="Arial"/>
                <w:b/>
                <w:sz w:val="20"/>
                <w:szCs w:val="18"/>
                <w:lang w:eastAsia="en-GB"/>
              </w:rPr>
              <w:t>No.</w:t>
            </w:r>
          </w:p>
        </w:tc>
        <w:tc>
          <w:tcPr>
            <w:tcW w:w="328" w:type="pct"/>
            <w:hideMark/>
          </w:tcPr>
          <w:p w:rsidR="003C13B4" w:rsidRPr="00267C7F" w:rsidRDefault="003C13B4" w:rsidP="003C13B4">
            <w:pPr>
              <w:jc w:val="center"/>
              <w:cnfStyle w:val="000000000000" w:firstRow="0" w:lastRow="0" w:firstColumn="0" w:lastColumn="0" w:oddVBand="0" w:evenVBand="0" w:oddHBand="0" w:evenHBand="0" w:firstRowFirstColumn="0" w:firstRowLastColumn="0" w:lastRowFirstColumn="0" w:lastRowLastColumn="0"/>
              <w:rPr>
                <w:rFonts w:eastAsia="Times New Roman" w:cs="Arial"/>
                <w:b/>
                <w:sz w:val="20"/>
                <w:szCs w:val="18"/>
                <w:lang w:eastAsia="en-GB"/>
              </w:rPr>
            </w:pPr>
            <w:r w:rsidRPr="00267C7F">
              <w:rPr>
                <w:rFonts w:eastAsia="Times New Roman" w:cs="Arial"/>
                <w:b/>
                <w:sz w:val="20"/>
                <w:szCs w:val="18"/>
                <w:lang w:eastAsia="en-GB"/>
              </w:rPr>
              <w:t xml:space="preserve">% </w:t>
            </w:r>
          </w:p>
        </w:tc>
        <w:tc>
          <w:tcPr>
            <w:tcW w:w="511" w:type="pct"/>
            <w:hideMark/>
          </w:tcPr>
          <w:p w:rsidR="003C13B4" w:rsidRPr="00267C7F" w:rsidRDefault="003C13B4" w:rsidP="003C13B4">
            <w:pPr>
              <w:jc w:val="center"/>
              <w:cnfStyle w:val="000000000000" w:firstRow="0" w:lastRow="0" w:firstColumn="0" w:lastColumn="0" w:oddVBand="0" w:evenVBand="0" w:oddHBand="0" w:evenHBand="0" w:firstRowFirstColumn="0" w:firstRowLastColumn="0" w:lastRowFirstColumn="0" w:lastRowLastColumn="0"/>
              <w:rPr>
                <w:rFonts w:eastAsia="Times New Roman" w:cs="Arial"/>
                <w:b/>
                <w:sz w:val="20"/>
                <w:szCs w:val="18"/>
                <w:lang w:eastAsia="en-GB"/>
              </w:rPr>
            </w:pPr>
            <w:r w:rsidRPr="00267C7F">
              <w:rPr>
                <w:rFonts w:eastAsia="Times New Roman" w:cs="Arial"/>
                <w:b/>
                <w:sz w:val="20"/>
                <w:szCs w:val="18"/>
                <w:lang w:eastAsia="en-GB"/>
              </w:rPr>
              <w:t>No.</w:t>
            </w:r>
          </w:p>
        </w:tc>
        <w:tc>
          <w:tcPr>
            <w:tcW w:w="328" w:type="pct"/>
            <w:hideMark/>
          </w:tcPr>
          <w:p w:rsidR="003C13B4" w:rsidRPr="00267C7F" w:rsidRDefault="003C13B4" w:rsidP="003C13B4">
            <w:pPr>
              <w:jc w:val="center"/>
              <w:cnfStyle w:val="000000000000" w:firstRow="0" w:lastRow="0" w:firstColumn="0" w:lastColumn="0" w:oddVBand="0" w:evenVBand="0" w:oddHBand="0" w:evenHBand="0" w:firstRowFirstColumn="0" w:firstRowLastColumn="0" w:lastRowFirstColumn="0" w:lastRowLastColumn="0"/>
              <w:rPr>
                <w:rFonts w:eastAsia="Times New Roman" w:cs="Arial"/>
                <w:b/>
                <w:sz w:val="20"/>
                <w:szCs w:val="18"/>
                <w:lang w:eastAsia="en-GB"/>
              </w:rPr>
            </w:pPr>
            <w:r w:rsidRPr="00267C7F">
              <w:rPr>
                <w:rFonts w:eastAsia="Times New Roman" w:cs="Arial"/>
                <w:b/>
                <w:sz w:val="20"/>
                <w:szCs w:val="18"/>
                <w:lang w:eastAsia="en-GB"/>
              </w:rPr>
              <w:t xml:space="preserve">% </w:t>
            </w:r>
          </w:p>
        </w:tc>
        <w:tc>
          <w:tcPr>
            <w:tcW w:w="511" w:type="pct"/>
            <w:hideMark/>
          </w:tcPr>
          <w:p w:rsidR="003C13B4" w:rsidRPr="00267C7F" w:rsidRDefault="003C13B4" w:rsidP="003C13B4">
            <w:pPr>
              <w:jc w:val="center"/>
              <w:cnfStyle w:val="000000000000" w:firstRow="0" w:lastRow="0" w:firstColumn="0" w:lastColumn="0" w:oddVBand="0" w:evenVBand="0" w:oddHBand="0" w:evenHBand="0" w:firstRowFirstColumn="0" w:firstRowLastColumn="0" w:lastRowFirstColumn="0" w:lastRowLastColumn="0"/>
              <w:rPr>
                <w:rFonts w:eastAsia="Times New Roman" w:cs="Arial"/>
                <w:b/>
                <w:sz w:val="20"/>
                <w:szCs w:val="18"/>
                <w:lang w:eastAsia="en-GB"/>
              </w:rPr>
            </w:pPr>
            <w:r w:rsidRPr="00267C7F">
              <w:rPr>
                <w:rFonts w:eastAsia="Times New Roman" w:cs="Arial"/>
                <w:b/>
                <w:sz w:val="20"/>
                <w:szCs w:val="18"/>
                <w:lang w:eastAsia="en-GB"/>
              </w:rPr>
              <w:t>No.</w:t>
            </w:r>
          </w:p>
        </w:tc>
        <w:tc>
          <w:tcPr>
            <w:tcW w:w="472" w:type="pct"/>
            <w:hideMark/>
          </w:tcPr>
          <w:p w:rsidR="003C13B4" w:rsidRPr="00267C7F" w:rsidRDefault="003C13B4" w:rsidP="003C13B4">
            <w:pPr>
              <w:jc w:val="center"/>
              <w:cnfStyle w:val="000000000000" w:firstRow="0" w:lastRow="0" w:firstColumn="0" w:lastColumn="0" w:oddVBand="0" w:evenVBand="0" w:oddHBand="0" w:evenHBand="0" w:firstRowFirstColumn="0" w:firstRowLastColumn="0" w:lastRowFirstColumn="0" w:lastRowLastColumn="0"/>
              <w:rPr>
                <w:rFonts w:eastAsia="Times New Roman" w:cs="Arial"/>
                <w:b/>
                <w:sz w:val="20"/>
                <w:szCs w:val="18"/>
                <w:lang w:eastAsia="en-GB"/>
              </w:rPr>
            </w:pPr>
            <w:r w:rsidRPr="00267C7F">
              <w:rPr>
                <w:rFonts w:eastAsia="Times New Roman" w:cs="Arial"/>
                <w:b/>
                <w:sz w:val="20"/>
                <w:szCs w:val="18"/>
                <w:lang w:eastAsia="en-GB"/>
              </w:rPr>
              <w:t xml:space="preserve">%* </w:t>
            </w:r>
          </w:p>
        </w:tc>
      </w:tr>
      <w:tr w:rsidR="003C13B4" w:rsidRPr="00267C7F" w:rsidTr="003C13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0" w:type="pct"/>
            <w:hideMark/>
          </w:tcPr>
          <w:p w:rsidR="003C13B4" w:rsidRPr="00267C7F" w:rsidRDefault="003C13B4" w:rsidP="003C13B4">
            <w:pPr>
              <w:rPr>
                <w:rFonts w:eastAsia="Times New Roman" w:cs="Arial"/>
                <w:bCs w:val="0"/>
                <w:sz w:val="20"/>
                <w:szCs w:val="18"/>
                <w:lang w:eastAsia="en-GB"/>
              </w:rPr>
            </w:pPr>
            <w:r w:rsidRPr="00267C7F">
              <w:rPr>
                <w:rFonts w:eastAsia="Times New Roman" w:cs="Arial"/>
                <w:bCs w:val="0"/>
                <w:sz w:val="20"/>
                <w:szCs w:val="18"/>
                <w:lang w:eastAsia="en-GB"/>
              </w:rPr>
              <w:t xml:space="preserve">England </w:t>
            </w:r>
          </w:p>
        </w:tc>
        <w:tc>
          <w:tcPr>
            <w:tcW w:w="511" w:type="pct"/>
            <w:noWrap/>
            <w:hideMark/>
          </w:tcPr>
          <w:p w:rsidR="003C13B4" w:rsidRPr="00267C7F" w:rsidRDefault="003C13B4" w:rsidP="003C13B4">
            <w:pPr>
              <w:jc w:val="right"/>
              <w:cnfStyle w:val="000000100000" w:firstRow="0" w:lastRow="0" w:firstColumn="0" w:lastColumn="0" w:oddVBand="0" w:evenVBand="0" w:oddHBand="1" w:evenHBand="0" w:firstRowFirstColumn="0" w:firstRowLastColumn="0" w:lastRowFirstColumn="0" w:lastRowLastColumn="0"/>
              <w:rPr>
                <w:rFonts w:eastAsia="Times New Roman" w:cs="Arial"/>
                <w:bCs/>
                <w:sz w:val="20"/>
                <w:szCs w:val="18"/>
                <w:lang w:eastAsia="en-GB"/>
              </w:rPr>
            </w:pPr>
            <w:r w:rsidRPr="00267C7F">
              <w:rPr>
                <w:rFonts w:eastAsia="Times New Roman" w:cs="Arial"/>
                <w:bCs/>
                <w:sz w:val="20"/>
                <w:szCs w:val="18"/>
                <w:lang w:eastAsia="en-GB"/>
              </w:rPr>
              <w:t>56,190</w:t>
            </w:r>
          </w:p>
        </w:tc>
        <w:tc>
          <w:tcPr>
            <w:tcW w:w="328" w:type="pct"/>
            <w:noWrap/>
            <w:hideMark/>
          </w:tcPr>
          <w:p w:rsidR="003C13B4" w:rsidRPr="00267C7F" w:rsidRDefault="003C13B4" w:rsidP="003C13B4">
            <w:pPr>
              <w:jc w:val="right"/>
              <w:cnfStyle w:val="000000100000" w:firstRow="0" w:lastRow="0" w:firstColumn="0" w:lastColumn="0" w:oddVBand="0" w:evenVBand="0" w:oddHBand="1" w:evenHBand="0" w:firstRowFirstColumn="0" w:firstRowLastColumn="0" w:lastRowFirstColumn="0" w:lastRowLastColumn="0"/>
              <w:rPr>
                <w:rFonts w:eastAsia="Times New Roman" w:cs="Arial"/>
                <w:bCs/>
                <w:sz w:val="20"/>
                <w:szCs w:val="18"/>
                <w:lang w:eastAsia="en-GB"/>
              </w:rPr>
            </w:pPr>
            <w:r w:rsidRPr="00267C7F">
              <w:rPr>
                <w:rFonts w:eastAsia="Times New Roman" w:cs="Arial"/>
                <w:bCs/>
                <w:sz w:val="20"/>
                <w:szCs w:val="18"/>
                <w:lang w:eastAsia="en-GB"/>
              </w:rPr>
              <w:t>10.5</w:t>
            </w:r>
          </w:p>
        </w:tc>
        <w:tc>
          <w:tcPr>
            <w:tcW w:w="511" w:type="pct"/>
            <w:noWrap/>
            <w:hideMark/>
          </w:tcPr>
          <w:p w:rsidR="003C13B4" w:rsidRPr="00267C7F" w:rsidRDefault="003C13B4" w:rsidP="003C13B4">
            <w:pPr>
              <w:jc w:val="right"/>
              <w:cnfStyle w:val="000000100000" w:firstRow="0" w:lastRow="0" w:firstColumn="0" w:lastColumn="0" w:oddVBand="0" w:evenVBand="0" w:oddHBand="1" w:evenHBand="0" w:firstRowFirstColumn="0" w:firstRowLastColumn="0" w:lastRowFirstColumn="0" w:lastRowLastColumn="0"/>
              <w:rPr>
                <w:rFonts w:eastAsia="Times New Roman" w:cs="Arial"/>
                <w:bCs/>
                <w:sz w:val="20"/>
                <w:szCs w:val="18"/>
                <w:lang w:eastAsia="en-GB"/>
              </w:rPr>
            </w:pPr>
            <w:r w:rsidRPr="00267C7F">
              <w:rPr>
                <w:rFonts w:eastAsia="Times New Roman" w:cs="Arial"/>
                <w:bCs/>
                <w:sz w:val="20"/>
                <w:szCs w:val="18"/>
                <w:lang w:eastAsia="en-GB"/>
              </w:rPr>
              <w:t>131,530</w:t>
            </w:r>
          </w:p>
        </w:tc>
        <w:tc>
          <w:tcPr>
            <w:tcW w:w="328" w:type="pct"/>
            <w:noWrap/>
            <w:hideMark/>
          </w:tcPr>
          <w:p w:rsidR="003C13B4" w:rsidRPr="00267C7F" w:rsidRDefault="003C13B4" w:rsidP="003C13B4">
            <w:pPr>
              <w:jc w:val="right"/>
              <w:cnfStyle w:val="000000100000" w:firstRow="0" w:lastRow="0" w:firstColumn="0" w:lastColumn="0" w:oddVBand="0" w:evenVBand="0" w:oddHBand="1" w:evenHBand="0" w:firstRowFirstColumn="0" w:firstRowLastColumn="0" w:lastRowFirstColumn="0" w:lastRowLastColumn="0"/>
              <w:rPr>
                <w:rFonts w:eastAsia="Times New Roman" w:cs="Arial"/>
                <w:bCs/>
                <w:sz w:val="20"/>
                <w:szCs w:val="18"/>
                <w:lang w:eastAsia="en-GB"/>
              </w:rPr>
            </w:pPr>
            <w:r w:rsidRPr="00267C7F">
              <w:rPr>
                <w:rFonts w:eastAsia="Times New Roman" w:cs="Arial"/>
                <w:bCs/>
                <w:sz w:val="20"/>
                <w:szCs w:val="18"/>
                <w:lang w:eastAsia="en-GB"/>
              </w:rPr>
              <w:t>24.6</w:t>
            </w:r>
          </w:p>
        </w:tc>
        <w:tc>
          <w:tcPr>
            <w:tcW w:w="511" w:type="pct"/>
            <w:noWrap/>
            <w:hideMark/>
          </w:tcPr>
          <w:p w:rsidR="003C13B4" w:rsidRPr="00267C7F" w:rsidRDefault="003C13B4" w:rsidP="003C13B4">
            <w:pPr>
              <w:jc w:val="right"/>
              <w:cnfStyle w:val="000000100000" w:firstRow="0" w:lastRow="0" w:firstColumn="0" w:lastColumn="0" w:oddVBand="0" w:evenVBand="0" w:oddHBand="1" w:evenHBand="0" w:firstRowFirstColumn="0" w:firstRowLastColumn="0" w:lastRowFirstColumn="0" w:lastRowLastColumn="0"/>
              <w:rPr>
                <w:rFonts w:eastAsia="Times New Roman" w:cs="Arial"/>
                <w:bCs/>
                <w:sz w:val="20"/>
                <w:szCs w:val="18"/>
                <w:lang w:eastAsia="en-GB"/>
              </w:rPr>
            </w:pPr>
            <w:r w:rsidRPr="00267C7F">
              <w:rPr>
                <w:rFonts w:eastAsia="Times New Roman" w:cs="Arial"/>
                <w:bCs/>
                <w:sz w:val="20"/>
                <w:szCs w:val="18"/>
                <w:lang w:eastAsia="en-GB"/>
              </w:rPr>
              <w:t>83,595</w:t>
            </w:r>
          </w:p>
        </w:tc>
        <w:tc>
          <w:tcPr>
            <w:tcW w:w="328" w:type="pct"/>
            <w:noWrap/>
            <w:hideMark/>
          </w:tcPr>
          <w:p w:rsidR="003C13B4" w:rsidRPr="00267C7F" w:rsidRDefault="003C13B4" w:rsidP="003C13B4">
            <w:pPr>
              <w:jc w:val="right"/>
              <w:cnfStyle w:val="000000100000" w:firstRow="0" w:lastRow="0" w:firstColumn="0" w:lastColumn="0" w:oddVBand="0" w:evenVBand="0" w:oddHBand="1" w:evenHBand="0" w:firstRowFirstColumn="0" w:firstRowLastColumn="0" w:lastRowFirstColumn="0" w:lastRowLastColumn="0"/>
              <w:rPr>
                <w:rFonts w:eastAsia="Times New Roman" w:cs="Arial"/>
                <w:bCs/>
                <w:sz w:val="20"/>
                <w:szCs w:val="18"/>
                <w:lang w:eastAsia="en-GB"/>
              </w:rPr>
            </w:pPr>
            <w:r w:rsidRPr="00267C7F">
              <w:rPr>
                <w:rFonts w:eastAsia="Times New Roman" w:cs="Arial"/>
                <w:bCs/>
                <w:sz w:val="20"/>
                <w:szCs w:val="18"/>
                <w:lang w:eastAsia="en-GB"/>
              </w:rPr>
              <w:t>15.6</w:t>
            </w:r>
          </w:p>
        </w:tc>
        <w:tc>
          <w:tcPr>
            <w:tcW w:w="511" w:type="pct"/>
            <w:noWrap/>
            <w:hideMark/>
          </w:tcPr>
          <w:p w:rsidR="003C13B4" w:rsidRPr="00267C7F" w:rsidRDefault="003C13B4" w:rsidP="003C13B4">
            <w:pPr>
              <w:jc w:val="right"/>
              <w:cnfStyle w:val="000000100000" w:firstRow="0" w:lastRow="0" w:firstColumn="0" w:lastColumn="0" w:oddVBand="0" w:evenVBand="0" w:oddHBand="1" w:evenHBand="0" w:firstRowFirstColumn="0" w:firstRowLastColumn="0" w:lastRowFirstColumn="0" w:lastRowLastColumn="0"/>
              <w:rPr>
                <w:rFonts w:eastAsia="Times New Roman" w:cs="Arial"/>
                <w:bCs/>
                <w:sz w:val="20"/>
                <w:szCs w:val="18"/>
                <w:lang w:eastAsia="en-GB"/>
              </w:rPr>
            </w:pPr>
            <w:r w:rsidRPr="00267C7F">
              <w:rPr>
                <w:rFonts w:eastAsia="Times New Roman" w:cs="Arial"/>
                <w:bCs/>
                <w:sz w:val="20"/>
                <w:szCs w:val="18"/>
                <w:lang w:eastAsia="en-GB"/>
              </w:rPr>
              <w:t>148,085</w:t>
            </w:r>
          </w:p>
        </w:tc>
        <w:tc>
          <w:tcPr>
            <w:tcW w:w="472" w:type="pct"/>
            <w:noWrap/>
            <w:hideMark/>
          </w:tcPr>
          <w:p w:rsidR="003C13B4" w:rsidRPr="00267C7F" w:rsidRDefault="003C13B4" w:rsidP="003C13B4">
            <w:pPr>
              <w:jc w:val="right"/>
              <w:cnfStyle w:val="000000100000" w:firstRow="0" w:lastRow="0" w:firstColumn="0" w:lastColumn="0" w:oddVBand="0" w:evenVBand="0" w:oddHBand="1" w:evenHBand="0" w:firstRowFirstColumn="0" w:firstRowLastColumn="0" w:lastRowFirstColumn="0" w:lastRowLastColumn="0"/>
              <w:rPr>
                <w:rFonts w:eastAsia="Times New Roman" w:cs="Arial"/>
                <w:bCs/>
                <w:sz w:val="20"/>
                <w:szCs w:val="18"/>
                <w:lang w:eastAsia="en-GB"/>
              </w:rPr>
            </w:pPr>
            <w:r w:rsidRPr="00267C7F">
              <w:rPr>
                <w:rFonts w:eastAsia="Times New Roman" w:cs="Arial"/>
                <w:bCs/>
                <w:sz w:val="20"/>
                <w:szCs w:val="18"/>
                <w:lang w:eastAsia="en-GB"/>
              </w:rPr>
              <w:t>27.7</w:t>
            </w:r>
          </w:p>
        </w:tc>
      </w:tr>
      <w:tr w:rsidR="003C13B4" w:rsidRPr="00267C7F" w:rsidTr="003C13B4">
        <w:trPr>
          <w:trHeight w:val="300"/>
        </w:trPr>
        <w:tc>
          <w:tcPr>
            <w:cnfStyle w:val="001000000000" w:firstRow="0" w:lastRow="0" w:firstColumn="1" w:lastColumn="0" w:oddVBand="0" w:evenVBand="0" w:oddHBand="0" w:evenHBand="0" w:firstRowFirstColumn="0" w:firstRowLastColumn="0" w:lastRowFirstColumn="0" w:lastRowLastColumn="0"/>
            <w:tcW w:w="1500" w:type="pct"/>
            <w:noWrap/>
            <w:hideMark/>
          </w:tcPr>
          <w:p w:rsidR="003C13B4" w:rsidRPr="00267C7F" w:rsidRDefault="003C13B4" w:rsidP="003C13B4">
            <w:pPr>
              <w:rPr>
                <w:rFonts w:eastAsia="Times New Roman" w:cs="Arial"/>
                <w:bCs w:val="0"/>
                <w:sz w:val="20"/>
                <w:szCs w:val="18"/>
                <w:lang w:eastAsia="en-GB"/>
              </w:rPr>
            </w:pPr>
            <w:r w:rsidRPr="00267C7F">
              <w:rPr>
                <w:rFonts w:eastAsia="Times New Roman" w:cs="Arial"/>
                <w:bCs w:val="0"/>
                <w:sz w:val="20"/>
                <w:szCs w:val="18"/>
                <w:lang w:eastAsia="en-GB"/>
              </w:rPr>
              <w:t xml:space="preserve">South East </w:t>
            </w:r>
          </w:p>
        </w:tc>
        <w:tc>
          <w:tcPr>
            <w:tcW w:w="511" w:type="pct"/>
            <w:noWrap/>
            <w:hideMark/>
          </w:tcPr>
          <w:p w:rsidR="003C13B4" w:rsidRPr="00267C7F" w:rsidRDefault="003C13B4" w:rsidP="003C13B4">
            <w:pPr>
              <w:jc w:val="right"/>
              <w:cnfStyle w:val="000000000000" w:firstRow="0" w:lastRow="0" w:firstColumn="0" w:lastColumn="0" w:oddVBand="0" w:evenVBand="0" w:oddHBand="0" w:evenHBand="0" w:firstRowFirstColumn="0" w:firstRowLastColumn="0" w:lastRowFirstColumn="0" w:lastRowLastColumn="0"/>
              <w:rPr>
                <w:rFonts w:eastAsia="Times New Roman" w:cs="Arial"/>
                <w:bCs/>
                <w:sz w:val="20"/>
                <w:szCs w:val="18"/>
                <w:lang w:eastAsia="en-GB"/>
              </w:rPr>
            </w:pPr>
            <w:r w:rsidRPr="00267C7F">
              <w:rPr>
                <w:rFonts w:eastAsia="Times New Roman" w:cs="Arial"/>
                <w:bCs/>
                <w:sz w:val="20"/>
                <w:szCs w:val="18"/>
                <w:lang w:eastAsia="en-GB"/>
              </w:rPr>
              <w:t>11,620</w:t>
            </w:r>
          </w:p>
        </w:tc>
        <w:tc>
          <w:tcPr>
            <w:tcW w:w="328" w:type="pct"/>
            <w:noWrap/>
            <w:hideMark/>
          </w:tcPr>
          <w:p w:rsidR="003C13B4" w:rsidRPr="00267C7F" w:rsidRDefault="003C13B4" w:rsidP="003C13B4">
            <w:pPr>
              <w:jc w:val="right"/>
              <w:cnfStyle w:val="000000000000" w:firstRow="0" w:lastRow="0" w:firstColumn="0" w:lastColumn="0" w:oddVBand="0" w:evenVBand="0" w:oddHBand="0" w:evenHBand="0" w:firstRowFirstColumn="0" w:firstRowLastColumn="0" w:lastRowFirstColumn="0" w:lastRowLastColumn="0"/>
              <w:rPr>
                <w:rFonts w:eastAsia="Times New Roman" w:cs="Arial"/>
                <w:bCs/>
                <w:sz w:val="20"/>
                <w:szCs w:val="18"/>
                <w:lang w:eastAsia="en-GB"/>
              </w:rPr>
            </w:pPr>
            <w:r w:rsidRPr="00267C7F">
              <w:rPr>
                <w:rFonts w:eastAsia="Times New Roman" w:cs="Arial"/>
                <w:bCs/>
                <w:sz w:val="20"/>
                <w:szCs w:val="18"/>
                <w:lang w:eastAsia="en-GB"/>
              </w:rPr>
              <w:t>13.5</w:t>
            </w:r>
          </w:p>
        </w:tc>
        <w:tc>
          <w:tcPr>
            <w:tcW w:w="511" w:type="pct"/>
            <w:noWrap/>
            <w:hideMark/>
          </w:tcPr>
          <w:p w:rsidR="003C13B4" w:rsidRPr="00267C7F" w:rsidRDefault="003C13B4" w:rsidP="003C13B4">
            <w:pPr>
              <w:jc w:val="right"/>
              <w:cnfStyle w:val="000000000000" w:firstRow="0" w:lastRow="0" w:firstColumn="0" w:lastColumn="0" w:oddVBand="0" w:evenVBand="0" w:oddHBand="0" w:evenHBand="0" w:firstRowFirstColumn="0" w:firstRowLastColumn="0" w:lastRowFirstColumn="0" w:lastRowLastColumn="0"/>
              <w:rPr>
                <w:rFonts w:eastAsia="Times New Roman" w:cs="Arial"/>
                <w:bCs/>
                <w:sz w:val="20"/>
                <w:szCs w:val="18"/>
                <w:lang w:eastAsia="en-GB"/>
              </w:rPr>
            </w:pPr>
            <w:r w:rsidRPr="00267C7F">
              <w:rPr>
                <w:rFonts w:eastAsia="Times New Roman" w:cs="Arial"/>
                <w:bCs/>
                <w:sz w:val="20"/>
                <w:szCs w:val="18"/>
                <w:lang w:eastAsia="en-GB"/>
              </w:rPr>
              <w:t>19,880</w:t>
            </w:r>
          </w:p>
        </w:tc>
        <w:tc>
          <w:tcPr>
            <w:tcW w:w="328" w:type="pct"/>
            <w:noWrap/>
            <w:hideMark/>
          </w:tcPr>
          <w:p w:rsidR="003C13B4" w:rsidRPr="00267C7F" w:rsidRDefault="003C13B4" w:rsidP="003C13B4">
            <w:pPr>
              <w:jc w:val="right"/>
              <w:cnfStyle w:val="000000000000" w:firstRow="0" w:lastRow="0" w:firstColumn="0" w:lastColumn="0" w:oddVBand="0" w:evenVBand="0" w:oddHBand="0" w:evenHBand="0" w:firstRowFirstColumn="0" w:firstRowLastColumn="0" w:lastRowFirstColumn="0" w:lastRowLastColumn="0"/>
              <w:rPr>
                <w:rFonts w:eastAsia="Times New Roman" w:cs="Arial"/>
                <w:bCs/>
                <w:sz w:val="20"/>
                <w:szCs w:val="18"/>
                <w:lang w:eastAsia="en-GB"/>
              </w:rPr>
            </w:pPr>
            <w:r w:rsidRPr="00267C7F">
              <w:rPr>
                <w:rFonts w:eastAsia="Times New Roman" w:cs="Arial"/>
                <w:bCs/>
                <w:sz w:val="20"/>
                <w:szCs w:val="18"/>
                <w:lang w:eastAsia="en-GB"/>
              </w:rPr>
              <w:t>23.1</w:t>
            </w:r>
          </w:p>
        </w:tc>
        <w:tc>
          <w:tcPr>
            <w:tcW w:w="511" w:type="pct"/>
            <w:noWrap/>
            <w:hideMark/>
          </w:tcPr>
          <w:p w:rsidR="003C13B4" w:rsidRPr="00267C7F" w:rsidRDefault="003C13B4" w:rsidP="003C13B4">
            <w:pPr>
              <w:jc w:val="right"/>
              <w:cnfStyle w:val="000000000000" w:firstRow="0" w:lastRow="0" w:firstColumn="0" w:lastColumn="0" w:oddVBand="0" w:evenVBand="0" w:oddHBand="0" w:evenHBand="0" w:firstRowFirstColumn="0" w:firstRowLastColumn="0" w:lastRowFirstColumn="0" w:lastRowLastColumn="0"/>
              <w:rPr>
                <w:rFonts w:eastAsia="Times New Roman" w:cs="Arial"/>
                <w:bCs/>
                <w:sz w:val="20"/>
                <w:szCs w:val="18"/>
                <w:lang w:eastAsia="en-GB"/>
              </w:rPr>
            </w:pPr>
            <w:r w:rsidRPr="00267C7F">
              <w:rPr>
                <w:rFonts w:eastAsia="Times New Roman" w:cs="Arial"/>
                <w:bCs/>
                <w:sz w:val="20"/>
                <w:szCs w:val="18"/>
                <w:lang w:eastAsia="en-GB"/>
              </w:rPr>
              <w:t>14,115</w:t>
            </w:r>
          </w:p>
        </w:tc>
        <w:tc>
          <w:tcPr>
            <w:tcW w:w="328" w:type="pct"/>
            <w:noWrap/>
            <w:hideMark/>
          </w:tcPr>
          <w:p w:rsidR="003C13B4" w:rsidRPr="00267C7F" w:rsidRDefault="003C13B4" w:rsidP="003C13B4">
            <w:pPr>
              <w:jc w:val="right"/>
              <w:cnfStyle w:val="000000000000" w:firstRow="0" w:lastRow="0" w:firstColumn="0" w:lastColumn="0" w:oddVBand="0" w:evenVBand="0" w:oddHBand="0" w:evenHBand="0" w:firstRowFirstColumn="0" w:firstRowLastColumn="0" w:lastRowFirstColumn="0" w:lastRowLastColumn="0"/>
              <w:rPr>
                <w:rFonts w:eastAsia="Times New Roman" w:cs="Arial"/>
                <w:bCs/>
                <w:sz w:val="20"/>
                <w:szCs w:val="18"/>
                <w:lang w:eastAsia="en-GB"/>
              </w:rPr>
            </w:pPr>
            <w:r w:rsidRPr="00267C7F">
              <w:rPr>
                <w:rFonts w:eastAsia="Times New Roman" w:cs="Arial"/>
                <w:bCs/>
                <w:sz w:val="20"/>
                <w:szCs w:val="18"/>
                <w:lang w:eastAsia="en-GB"/>
              </w:rPr>
              <w:t>16.4</w:t>
            </w:r>
          </w:p>
        </w:tc>
        <w:tc>
          <w:tcPr>
            <w:tcW w:w="511" w:type="pct"/>
            <w:noWrap/>
            <w:hideMark/>
          </w:tcPr>
          <w:p w:rsidR="003C13B4" w:rsidRPr="00267C7F" w:rsidRDefault="003C13B4" w:rsidP="003C13B4">
            <w:pPr>
              <w:jc w:val="right"/>
              <w:cnfStyle w:val="000000000000" w:firstRow="0" w:lastRow="0" w:firstColumn="0" w:lastColumn="0" w:oddVBand="0" w:evenVBand="0" w:oddHBand="0" w:evenHBand="0" w:firstRowFirstColumn="0" w:firstRowLastColumn="0" w:lastRowFirstColumn="0" w:lastRowLastColumn="0"/>
              <w:rPr>
                <w:rFonts w:eastAsia="Times New Roman" w:cs="Arial"/>
                <w:bCs/>
                <w:sz w:val="20"/>
                <w:szCs w:val="18"/>
                <w:lang w:eastAsia="en-GB"/>
              </w:rPr>
            </w:pPr>
            <w:r w:rsidRPr="00267C7F">
              <w:rPr>
                <w:rFonts w:eastAsia="Times New Roman" w:cs="Arial"/>
                <w:bCs/>
                <w:sz w:val="20"/>
                <w:szCs w:val="18"/>
                <w:lang w:eastAsia="en-GB"/>
              </w:rPr>
              <w:t>23,645</w:t>
            </w:r>
          </w:p>
        </w:tc>
        <w:tc>
          <w:tcPr>
            <w:tcW w:w="472" w:type="pct"/>
            <w:noWrap/>
            <w:hideMark/>
          </w:tcPr>
          <w:p w:rsidR="003C13B4" w:rsidRPr="00267C7F" w:rsidRDefault="003C13B4" w:rsidP="003C13B4">
            <w:pPr>
              <w:jc w:val="right"/>
              <w:cnfStyle w:val="000000000000" w:firstRow="0" w:lastRow="0" w:firstColumn="0" w:lastColumn="0" w:oddVBand="0" w:evenVBand="0" w:oddHBand="0" w:evenHBand="0" w:firstRowFirstColumn="0" w:firstRowLastColumn="0" w:lastRowFirstColumn="0" w:lastRowLastColumn="0"/>
              <w:rPr>
                <w:rFonts w:eastAsia="Times New Roman" w:cs="Arial"/>
                <w:bCs/>
                <w:sz w:val="20"/>
                <w:szCs w:val="18"/>
                <w:lang w:eastAsia="en-GB"/>
              </w:rPr>
            </w:pPr>
            <w:r w:rsidRPr="00267C7F">
              <w:rPr>
                <w:rFonts w:eastAsia="Times New Roman" w:cs="Arial"/>
                <w:bCs/>
                <w:sz w:val="20"/>
                <w:szCs w:val="18"/>
                <w:lang w:eastAsia="en-GB"/>
              </w:rPr>
              <w:t>27.5</w:t>
            </w:r>
          </w:p>
        </w:tc>
      </w:tr>
      <w:tr w:rsidR="003C13B4" w:rsidRPr="00267C7F" w:rsidTr="003C13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0" w:type="pct"/>
            <w:shd w:val="clear" w:color="auto" w:fill="4F81BD"/>
            <w:noWrap/>
            <w:hideMark/>
          </w:tcPr>
          <w:p w:rsidR="003C13B4" w:rsidRPr="00267C7F" w:rsidRDefault="003C13B4" w:rsidP="003C13B4">
            <w:pPr>
              <w:rPr>
                <w:rFonts w:eastAsia="Times New Roman" w:cs="Arial"/>
                <w:color w:val="FFFFFF" w:themeColor="background1"/>
                <w:sz w:val="20"/>
                <w:szCs w:val="18"/>
                <w:lang w:eastAsia="en-GB"/>
              </w:rPr>
            </w:pPr>
            <w:r w:rsidRPr="00267C7F">
              <w:rPr>
                <w:rFonts w:eastAsia="Times New Roman" w:cs="Arial"/>
                <w:color w:val="FFFFFF" w:themeColor="background1"/>
                <w:sz w:val="20"/>
                <w:szCs w:val="18"/>
                <w:lang w:eastAsia="en-GB"/>
              </w:rPr>
              <w:t>Medway</w:t>
            </w:r>
          </w:p>
        </w:tc>
        <w:tc>
          <w:tcPr>
            <w:tcW w:w="511" w:type="pct"/>
            <w:shd w:val="clear" w:color="auto" w:fill="4F81BD"/>
            <w:noWrap/>
            <w:hideMark/>
          </w:tcPr>
          <w:p w:rsidR="003C13B4" w:rsidRPr="00267C7F" w:rsidRDefault="003C13B4" w:rsidP="003C13B4">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FFFFFF" w:themeColor="background1"/>
                <w:sz w:val="20"/>
                <w:szCs w:val="18"/>
                <w:lang w:eastAsia="en-GB"/>
              </w:rPr>
            </w:pPr>
            <w:r w:rsidRPr="00267C7F">
              <w:rPr>
                <w:rFonts w:eastAsia="Times New Roman" w:cs="Arial"/>
                <w:color w:val="FFFFFF" w:themeColor="background1"/>
                <w:sz w:val="20"/>
                <w:szCs w:val="18"/>
                <w:lang w:eastAsia="en-GB"/>
              </w:rPr>
              <w:t>438</w:t>
            </w:r>
          </w:p>
        </w:tc>
        <w:tc>
          <w:tcPr>
            <w:tcW w:w="328" w:type="pct"/>
            <w:shd w:val="clear" w:color="auto" w:fill="4F81BD"/>
            <w:noWrap/>
            <w:hideMark/>
          </w:tcPr>
          <w:p w:rsidR="003C13B4" w:rsidRPr="00267C7F" w:rsidRDefault="003C13B4" w:rsidP="003C13B4">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FFFFFF" w:themeColor="background1"/>
                <w:sz w:val="20"/>
                <w:szCs w:val="18"/>
                <w:lang w:eastAsia="en-GB"/>
              </w:rPr>
            </w:pPr>
            <w:r w:rsidRPr="00267C7F">
              <w:rPr>
                <w:rFonts w:eastAsia="Times New Roman" w:cs="Arial"/>
                <w:color w:val="FFFFFF" w:themeColor="background1"/>
                <w:sz w:val="20"/>
                <w:szCs w:val="18"/>
                <w:lang w:eastAsia="en-GB"/>
              </w:rPr>
              <w:t>11.4</w:t>
            </w:r>
          </w:p>
        </w:tc>
        <w:tc>
          <w:tcPr>
            <w:tcW w:w="511" w:type="pct"/>
            <w:shd w:val="clear" w:color="auto" w:fill="4F81BD"/>
            <w:noWrap/>
            <w:hideMark/>
          </w:tcPr>
          <w:p w:rsidR="003C13B4" w:rsidRPr="00267C7F" w:rsidRDefault="003C13B4" w:rsidP="003C13B4">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FFFFFF" w:themeColor="background1"/>
                <w:sz w:val="20"/>
                <w:szCs w:val="18"/>
                <w:lang w:eastAsia="en-GB"/>
              </w:rPr>
            </w:pPr>
            <w:r w:rsidRPr="00267C7F">
              <w:rPr>
                <w:rFonts w:eastAsia="Times New Roman" w:cs="Arial"/>
                <w:color w:val="FFFFFF" w:themeColor="background1"/>
                <w:sz w:val="20"/>
                <w:szCs w:val="18"/>
                <w:lang w:eastAsia="en-GB"/>
              </w:rPr>
              <w:t>428</w:t>
            </w:r>
          </w:p>
        </w:tc>
        <w:tc>
          <w:tcPr>
            <w:tcW w:w="328" w:type="pct"/>
            <w:shd w:val="clear" w:color="auto" w:fill="4F81BD"/>
            <w:noWrap/>
            <w:hideMark/>
          </w:tcPr>
          <w:p w:rsidR="003C13B4" w:rsidRPr="00267C7F" w:rsidRDefault="003C13B4" w:rsidP="003C13B4">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FFFFFF" w:themeColor="background1"/>
                <w:sz w:val="20"/>
                <w:szCs w:val="18"/>
                <w:lang w:eastAsia="en-GB"/>
              </w:rPr>
            </w:pPr>
            <w:r w:rsidRPr="00267C7F">
              <w:rPr>
                <w:rFonts w:eastAsia="Times New Roman" w:cs="Arial"/>
                <w:color w:val="FFFFFF" w:themeColor="background1"/>
                <w:sz w:val="20"/>
                <w:szCs w:val="18"/>
                <w:lang w:eastAsia="en-GB"/>
              </w:rPr>
              <w:t>11.1</w:t>
            </w:r>
          </w:p>
        </w:tc>
        <w:tc>
          <w:tcPr>
            <w:tcW w:w="511" w:type="pct"/>
            <w:shd w:val="clear" w:color="auto" w:fill="4F81BD"/>
            <w:noWrap/>
            <w:hideMark/>
          </w:tcPr>
          <w:p w:rsidR="003C13B4" w:rsidRPr="00267C7F" w:rsidRDefault="003C13B4" w:rsidP="003C13B4">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FFFFFF" w:themeColor="background1"/>
                <w:sz w:val="20"/>
                <w:szCs w:val="18"/>
                <w:lang w:eastAsia="en-GB"/>
              </w:rPr>
            </w:pPr>
            <w:r w:rsidRPr="00267C7F">
              <w:rPr>
                <w:rFonts w:eastAsia="Times New Roman" w:cs="Arial"/>
                <w:color w:val="FFFFFF" w:themeColor="background1"/>
                <w:sz w:val="20"/>
                <w:szCs w:val="18"/>
                <w:lang w:eastAsia="en-GB"/>
              </w:rPr>
              <w:t>725</w:t>
            </w:r>
          </w:p>
        </w:tc>
        <w:tc>
          <w:tcPr>
            <w:tcW w:w="328" w:type="pct"/>
            <w:shd w:val="clear" w:color="auto" w:fill="4F81BD"/>
            <w:noWrap/>
            <w:hideMark/>
          </w:tcPr>
          <w:p w:rsidR="003C13B4" w:rsidRPr="00267C7F" w:rsidRDefault="003C13B4" w:rsidP="003C13B4">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FFFFFF" w:themeColor="background1"/>
                <w:sz w:val="20"/>
                <w:szCs w:val="18"/>
                <w:lang w:eastAsia="en-GB"/>
              </w:rPr>
            </w:pPr>
            <w:r w:rsidRPr="00267C7F">
              <w:rPr>
                <w:rFonts w:eastAsia="Times New Roman" w:cs="Arial"/>
                <w:color w:val="FFFFFF" w:themeColor="background1"/>
                <w:sz w:val="20"/>
                <w:szCs w:val="18"/>
                <w:lang w:eastAsia="en-GB"/>
              </w:rPr>
              <w:t>18.8</w:t>
            </w:r>
          </w:p>
        </w:tc>
        <w:tc>
          <w:tcPr>
            <w:tcW w:w="511" w:type="pct"/>
            <w:shd w:val="clear" w:color="auto" w:fill="4F81BD"/>
            <w:noWrap/>
            <w:hideMark/>
          </w:tcPr>
          <w:p w:rsidR="003C13B4" w:rsidRPr="00267C7F" w:rsidRDefault="003C13B4" w:rsidP="003C13B4">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FFFFFF" w:themeColor="background1"/>
                <w:sz w:val="20"/>
                <w:szCs w:val="18"/>
                <w:lang w:eastAsia="en-GB"/>
              </w:rPr>
            </w:pPr>
            <w:r w:rsidRPr="00267C7F">
              <w:rPr>
                <w:rFonts w:eastAsia="Times New Roman" w:cs="Arial"/>
                <w:color w:val="FFFFFF" w:themeColor="background1"/>
                <w:sz w:val="20"/>
                <w:szCs w:val="18"/>
                <w:lang w:eastAsia="en-GB"/>
              </w:rPr>
              <w:t>1,216</w:t>
            </w:r>
          </w:p>
        </w:tc>
        <w:tc>
          <w:tcPr>
            <w:tcW w:w="472" w:type="pct"/>
            <w:shd w:val="clear" w:color="auto" w:fill="4F81BD"/>
            <w:noWrap/>
            <w:hideMark/>
          </w:tcPr>
          <w:p w:rsidR="003C13B4" w:rsidRPr="00267C7F" w:rsidRDefault="003C13B4" w:rsidP="003C13B4">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FFFFFF" w:themeColor="background1"/>
                <w:sz w:val="20"/>
                <w:szCs w:val="18"/>
                <w:lang w:eastAsia="en-GB"/>
              </w:rPr>
            </w:pPr>
            <w:r w:rsidRPr="00267C7F">
              <w:rPr>
                <w:rFonts w:eastAsia="Times New Roman" w:cs="Arial"/>
                <w:color w:val="FFFFFF" w:themeColor="background1"/>
                <w:sz w:val="20"/>
                <w:szCs w:val="18"/>
                <w:lang w:eastAsia="en-GB"/>
              </w:rPr>
              <w:t>31.5</w:t>
            </w:r>
          </w:p>
        </w:tc>
      </w:tr>
      <w:tr w:rsidR="003C13B4" w:rsidRPr="00267C7F" w:rsidTr="003C13B4">
        <w:trPr>
          <w:trHeight w:val="300"/>
        </w:trPr>
        <w:tc>
          <w:tcPr>
            <w:cnfStyle w:val="001000000000" w:firstRow="0" w:lastRow="0" w:firstColumn="1" w:lastColumn="0" w:oddVBand="0" w:evenVBand="0" w:oddHBand="0" w:evenHBand="0" w:firstRowFirstColumn="0" w:firstRowLastColumn="0" w:lastRowFirstColumn="0" w:lastRowLastColumn="0"/>
            <w:tcW w:w="1500" w:type="pct"/>
            <w:noWrap/>
            <w:hideMark/>
          </w:tcPr>
          <w:p w:rsidR="003C13B4" w:rsidRPr="00267C7F" w:rsidRDefault="003C13B4" w:rsidP="003C13B4">
            <w:pPr>
              <w:rPr>
                <w:rFonts w:eastAsia="Times New Roman" w:cs="Arial"/>
                <w:sz w:val="20"/>
                <w:szCs w:val="18"/>
                <w:lang w:eastAsia="en-GB"/>
              </w:rPr>
            </w:pPr>
            <w:r w:rsidRPr="00267C7F">
              <w:rPr>
                <w:rFonts w:eastAsia="Times New Roman" w:cs="Arial"/>
                <w:sz w:val="20"/>
                <w:szCs w:val="18"/>
                <w:lang w:eastAsia="en-GB"/>
              </w:rPr>
              <w:t>Dudley</w:t>
            </w:r>
          </w:p>
        </w:tc>
        <w:tc>
          <w:tcPr>
            <w:tcW w:w="511" w:type="pct"/>
            <w:noWrap/>
            <w:hideMark/>
          </w:tcPr>
          <w:p w:rsidR="003C13B4" w:rsidRPr="00267C7F" w:rsidRDefault="003C13B4" w:rsidP="003C13B4">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268</w:t>
            </w:r>
          </w:p>
        </w:tc>
        <w:tc>
          <w:tcPr>
            <w:tcW w:w="328" w:type="pct"/>
            <w:noWrap/>
            <w:hideMark/>
          </w:tcPr>
          <w:p w:rsidR="003C13B4" w:rsidRPr="00267C7F" w:rsidRDefault="003C13B4" w:rsidP="003C13B4">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6.9</w:t>
            </w:r>
          </w:p>
        </w:tc>
        <w:tc>
          <w:tcPr>
            <w:tcW w:w="511" w:type="pct"/>
            <w:noWrap/>
            <w:hideMark/>
          </w:tcPr>
          <w:p w:rsidR="003C13B4" w:rsidRPr="00267C7F" w:rsidRDefault="003C13B4" w:rsidP="003C13B4">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1,227</w:t>
            </w:r>
          </w:p>
        </w:tc>
        <w:tc>
          <w:tcPr>
            <w:tcW w:w="328" w:type="pct"/>
            <w:noWrap/>
            <w:hideMark/>
          </w:tcPr>
          <w:p w:rsidR="003C13B4" w:rsidRPr="00267C7F" w:rsidRDefault="003C13B4" w:rsidP="003C13B4">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31.6</w:t>
            </w:r>
          </w:p>
        </w:tc>
        <w:tc>
          <w:tcPr>
            <w:tcW w:w="511" w:type="pct"/>
            <w:noWrap/>
            <w:hideMark/>
          </w:tcPr>
          <w:p w:rsidR="003C13B4" w:rsidRPr="00267C7F" w:rsidRDefault="003C13B4" w:rsidP="003C13B4">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561</w:t>
            </w:r>
          </w:p>
        </w:tc>
        <w:tc>
          <w:tcPr>
            <w:tcW w:w="328" w:type="pct"/>
            <w:noWrap/>
            <w:hideMark/>
          </w:tcPr>
          <w:p w:rsidR="003C13B4" w:rsidRPr="00267C7F" w:rsidRDefault="003C13B4" w:rsidP="003C13B4">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14.4</w:t>
            </w:r>
          </w:p>
        </w:tc>
        <w:tc>
          <w:tcPr>
            <w:tcW w:w="511" w:type="pct"/>
            <w:noWrap/>
            <w:hideMark/>
          </w:tcPr>
          <w:p w:rsidR="003C13B4" w:rsidRPr="00267C7F" w:rsidRDefault="003C13B4" w:rsidP="003C13B4">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1,273</w:t>
            </w:r>
          </w:p>
        </w:tc>
        <w:tc>
          <w:tcPr>
            <w:tcW w:w="472" w:type="pct"/>
            <w:noWrap/>
            <w:hideMark/>
          </w:tcPr>
          <w:p w:rsidR="003C13B4" w:rsidRPr="00267C7F" w:rsidRDefault="003C13B4" w:rsidP="003C13B4">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32.8</w:t>
            </w:r>
          </w:p>
        </w:tc>
      </w:tr>
      <w:tr w:rsidR="003C13B4" w:rsidRPr="00267C7F" w:rsidTr="003C13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0" w:type="pct"/>
            <w:noWrap/>
            <w:hideMark/>
          </w:tcPr>
          <w:p w:rsidR="003C13B4" w:rsidRPr="00267C7F" w:rsidRDefault="003C13B4" w:rsidP="003C13B4">
            <w:pPr>
              <w:rPr>
                <w:rFonts w:eastAsia="Times New Roman" w:cs="Arial"/>
                <w:sz w:val="20"/>
                <w:szCs w:val="18"/>
                <w:lang w:eastAsia="en-GB"/>
              </w:rPr>
            </w:pPr>
            <w:r w:rsidRPr="00267C7F">
              <w:rPr>
                <w:rFonts w:eastAsia="Times New Roman" w:cs="Arial"/>
                <w:sz w:val="20"/>
                <w:szCs w:val="18"/>
                <w:lang w:eastAsia="en-GB"/>
              </w:rPr>
              <w:t>Havering</w:t>
            </w:r>
          </w:p>
        </w:tc>
        <w:tc>
          <w:tcPr>
            <w:tcW w:w="511" w:type="pct"/>
            <w:noWrap/>
            <w:hideMark/>
          </w:tcPr>
          <w:p w:rsidR="003C13B4" w:rsidRPr="00267C7F" w:rsidRDefault="003C13B4" w:rsidP="003C13B4">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67</w:t>
            </w:r>
          </w:p>
        </w:tc>
        <w:tc>
          <w:tcPr>
            <w:tcW w:w="328" w:type="pct"/>
            <w:noWrap/>
            <w:hideMark/>
          </w:tcPr>
          <w:p w:rsidR="003C13B4" w:rsidRPr="00267C7F" w:rsidRDefault="003C13B4" w:rsidP="003C13B4">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3.8</w:t>
            </w:r>
          </w:p>
        </w:tc>
        <w:tc>
          <w:tcPr>
            <w:tcW w:w="511" w:type="pct"/>
            <w:noWrap/>
            <w:hideMark/>
          </w:tcPr>
          <w:p w:rsidR="003C13B4" w:rsidRPr="00267C7F" w:rsidRDefault="003C13B4" w:rsidP="003C13B4">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437</w:t>
            </w:r>
          </w:p>
        </w:tc>
        <w:tc>
          <w:tcPr>
            <w:tcW w:w="328" w:type="pct"/>
            <w:noWrap/>
            <w:hideMark/>
          </w:tcPr>
          <w:p w:rsidR="003C13B4" w:rsidRPr="00267C7F" w:rsidRDefault="003C13B4" w:rsidP="003C13B4">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25.0</w:t>
            </w:r>
          </w:p>
        </w:tc>
        <w:tc>
          <w:tcPr>
            <w:tcW w:w="511" w:type="pct"/>
            <w:noWrap/>
            <w:hideMark/>
          </w:tcPr>
          <w:p w:rsidR="003C13B4" w:rsidRPr="00267C7F" w:rsidRDefault="003C13B4" w:rsidP="003C13B4">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151</w:t>
            </w:r>
          </w:p>
        </w:tc>
        <w:tc>
          <w:tcPr>
            <w:tcW w:w="328" w:type="pct"/>
            <w:noWrap/>
            <w:hideMark/>
          </w:tcPr>
          <w:p w:rsidR="003C13B4" w:rsidRPr="00267C7F" w:rsidRDefault="003C13B4" w:rsidP="003C13B4">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8.6</w:t>
            </w:r>
          </w:p>
        </w:tc>
        <w:tc>
          <w:tcPr>
            <w:tcW w:w="511" w:type="pct"/>
            <w:noWrap/>
            <w:hideMark/>
          </w:tcPr>
          <w:p w:rsidR="003C13B4" w:rsidRPr="00267C7F" w:rsidRDefault="003C13B4" w:rsidP="003C13B4">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665</w:t>
            </w:r>
          </w:p>
        </w:tc>
        <w:tc>
          <w:tcPr>
            <w:tcW w:w="472" w:type="pct"/>
            <w:noWrap/>
            <w:hideMark/>
          </w:tcPr>
          <w:p w:rsidR="003C13B4" w:rsidRPr="00267C7F" w:rsidRDefault="003C13B4" w:rsidP="003C13B4">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38.1</w:t>
            </w:r>
          </w:p>
        </w:tc>
      </w:tr>
      <w:tr w:rsidR="003C13B4" w:rsidRPr="00267C7F" w:rsidTr="003C13B4">
        <w:trPr>
          <w:trHeight w:val="300"/>
        </w:trPr>
        <w:tc>
          <w:tcPr>
            <w:cnfStyle w:val="001000000000" w:firstRow="0" w:lastRow="0" w:firstColumn="1" w:lastColumn="0" w:oddVBand="0" w:evenVBand="0" w:oddHBand="0" w:evenHBand="0" w:firstRowFirstColumn="0" w:firstRowLastColumn="0" w:lastRowFirstColumn="0" w:lastRowLastColumn="0"/>
            <w:tcW w:w="1500" w:type="pct"/>
            <w:noWrap/>
            <w:hideMark/>
          </w:tcPr>
          <w:p w:rsidR="003C13B4" w:rsidRPr="00267C7F" w:rsidRDefault="003C13B4" w:rsidP="003C13B4">
            <w:pPr>
              <w:rPr>
                <w:rFonts w:eastAsia="Times New Roman" w:cs="Arial"/>
                <w:sz w:val="20"/>
                <w:szCs w:val="18"/>
                <w:lang w:eastAsia="en-GB"/>
              </w:rPr>
            </w:pPr>
            <w:r w:rsidRPr="00267C7F">
              <w:rPr>
                <w:rFonts w:eastAsia="Times New Roman" w:cs="Arial"/>
                <w:sz w:val="20"/>
                <w:szCs w:val="18"/>
                <w:lang w:eastAsia="en-GB"/>
              </w:rPr>
              <w:t>Northamptonshire</w:t>
            </w:r>
          </w:p>
        </w:tc>
        <w:tc>
          <w:tcPr>
            <w:tcW w:w="511" w:type="pct"/>
            <w:noWrap/>
            <w:hideMark/>
          </w:tcPr>
          <w:p w:rsidR="003C13B4" w:rsidRPr="00267C7F" w:rsidRDefault="003C13B4" w:rsidP="003C13B4">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603</w:t>
            </w:r>
          </w:p>
        </w:tc>
        <w:tc>
          <w:tcPr>
            <w:tcW w:w="328" w:type="pct"/>
            <w:noWrap/>
            <w:hideMark/>
          </w:tcPr>
          <w:p w:rsidR="003C13B4" w:rsidRPr="00267C7F" w:rsidRDefault="003C13B4" w:rsidP="003C13B4">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10.3</w:t>
            </w:r>
          </w:p>
        </w:tc>
        <w:tc>
          <w:tcPr>
            <w:tcW w:w="511" w:type="pct"/>
            <w:noWrap/>
            <w:hideMark/>
          </w:tcPr>
          <w:p w:rsidR="003C13B4" w:rsidRPr="00267C7F" w:rsidRDefault="003C13B4" w:rsidP="003C13B4">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1,225</w:t>
            </w:r>
          </w:p>
        </w:tc>
        <w:tc>
          <w:tcPr>
            <w:tcW w:w="328" w:type="pct"/>
            <w:noWrap/>
            <w:hideMark/>
          </w:tcPr>
          <w:p w:rsidR="003C13B4" w:rsidRPr="00267C7F" w:rsidRDefault="003C13B4" w:rsidP="003C13B4">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20.9</w:t>
            </w:r>
          </w:p>
        </w:tc>
        <w:tc>
          <w:tcPr>
            <w:tcW w:w="511" w:type="pct"/>
            <w:noWrap/>
            <w:hideMark/>
          </w:tcPr>
          <w:p w:rsidR="003C13B4" w:rsidRPr="00267C7F" w:rsidRDefault="003C13B4" w:rsidP="003C13B4">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1,121</w:t>
            </w:r>
          </w:p>
        </w:tc>
        <w:tc>
          <w:tcPr>
            <w:tcW w:w="328" w:type="pct"/>
            <w:noWrap/>
            <w:hideMark/>
          </w:tcPr>
          <w:p w:rsidR="003C13B4" w:rsidRPr="00267C7F" w:rsidRDefault="003C13B4" w:rsidP="003C13B4">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19.1</w:t>
            </w:r>
          </w:p>
        </w:tc>
        <w:tc>
          <w:tcPr>
            <w:tcW w:w="511" w:type="pct"/>
            <w:noWrap/>
            <w:hideMark/>
          </w:tcPr>
          <w:p w:rsidR="003C13B4" w:rsidRPr="00267C7F" w:rsidRDefault="003C13B4" w:rsidP="003C13B4">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1,525</w:t>
            </w:r>
          </w:p>
        </w:tc>
        <w:tc>
          <w:tcPr>
            <w:tcW w:w="472" w:type="pct"/>
            <w:noWrap/>
            <w:hideMark/>
          </w:tcPr>
          <w:p w:rsidR="003C13B4" w:rsidRPr="00267C7F" w:rsidRDefault="003C13B4" w:rsidP="003C13B4">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26.0</w:t>
            </w:r>
          </w:p>
        </w:tc>
      </w:tr>
      <w:tr w:rsidR="003C13B4" w:rsidRPr="00267C7F" w:rsidTr="003C13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0" w:type="pct"/>
            <w:noWrap/>
            <w:hideMark/>
          </w:tcPr>
          <w:p w:rsidR="003C13B4" w:rsidRPr="00267C7F" w:rsidRDefault="003C13B4" w:rsidP="003C13B4">
            <w:pPr>
              <w:rPr>
                <w:rFonts w:eastAsia="Times New Roman" w:cs="Arial"/>
                <w:sz w:val="20"/>
                <w:szCs w:val="18"/>
                <w:lang w:eastAsia="en-GB"/>
              </w:rPr>
            </w:pPr>
            <w:r w:rsidRPr="00267C7F">
              <w:rPr>
                <w:rFonts w:eastAsia="Times New Roman" w:cs="Arial"/>
                <w:sz w:val="20"/>
                <w:szCs w:val="18"/>
                <w:lang w:eastAsia="en-GB"/>
              </w:rPr>
              <w:t>Rotherham</w:t>
            </w:r>
          </w:p>
        </w:tc>
        <w:tc>
          <w:tcPr>
            <w:tcW w:w="511" w:type="pct"/>
            <w:noWrap/>
            <w:hideMark/>
          </w:tcPr>
          <w:p w:rsidR="003C13B4" w:rsidRPr="00267C7F" w:rsidRDefault="003C13B4" w:rsidP="003C13B4">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841</w:t>
            </w:r>
          </w:p>
        </w:tc>
        <w:tc>
          <w:tcPr>
            <w:tcW w:w="328" w:type="pct"/>
            <w:noWrap/>
            <w:hideMark/>
          </w:tcPr>
          <w:p w:rsidR="003C13B4" w:rsidRPr="00267C7F" w:rsidRDefault="003C13B4" w:rsidP="003C13B4">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29.6</w:t>
            </w:r>
          </w:p>
        </w:tc>
        <w:tc>
          <w:tcPr>
            <w:tcW w:w="511" w:type="pct"/>
            <w:noWrap/>
            <w:hideMark/>
          </w:tcPr>
          <w:p w:rsidR="003C13B4" w:rsidRPr="00267C7F" w:rsidRDefault="003C13B4" w:rsidP="003C13B4">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456</w:t>
            </w:r>
          </w:p>
        </w:tc>
        <w:tc>
          <w:tcPr>
            <w:tcW w:w="328" w:type="pct"/>
            <w:noWrap/>
            <w:hideMark/>
          </w:tcPr>
          <w:p w:rsidR="003C13B4" w:rsidRPr="00267C7F" w:rsidRDefault="003C13B4" w:rsidP="003C13B4">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16.1</w:t>
            </w:r>
          </w:p>
        </w:tc>
        <w:tc>
          <w:tcPr>
            <w:tcW w:w="511" w:type="pct"/>
            <w:noWrap/>
            <w:hideMark/>
          </w:tcPr>
          <w:p w:rsidR="003C13B4" w:rsidRPr="00267C7F" w:rsidRDefault="003C13B4" w:rsidP="003C13B4">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321</w:t>
            </w:r>
          </w:p>
        </w:tc>
        <w:tc>
          <w:tcPr>
            <w:tcW w:w="328" w:type="pct"/>
            <w:noWrap/>
            <w:hideMark/>
          </w:tcPr>
          <w:p w:rsidR="003C13B4" w:rsidRPr="00267C7F" w:rsidRDefault="003C13B4" w:rsidP="003C13B4">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11.3</w:t>
            </w:r>
          </w:p>
        </w:tc>
        <w:tc>
          <w:tcPr>
            <w:tcW w:w="511" w:type="pct"/>
            <w:noWrap/>
            <w:hideMark/>
          </w:tcPr>
          <w:p w:rsidR="003C13B4" w:rsidRPr="00267C7F" w:rsidRDefault="003C13B4" w:rsidP="003C13B4">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537</w:t>
            </w:r>
          </w:p>
        </w:tc>
        <w:tc>
          <w:tcPr>
            <w:tcW w:w="472" w:type="pct"/>
            <w:noWrap/>
            <w:hideMark/>
          </w:tcPr>
          <w:p w:rsidR="003C13B4" w:rsidRPr="00267C7F" w:rsidRDefault="003C13B4" w:rsidP="003C13B4">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18.9</w:t>
            </w:r>
          </w:p>
        </w:tc>
      </w:tr>
      <w:tr w:rsidR="003C13B4" w:rsidRPr="00267C7F" w:rsidTr="003C13B4">
        <w:trPr>
          <w:trHeight w:val="300"/>
        </w:trPr>
        <w:tc>
          <w:tcPr>
            <w:cnfStyle w:val="001000000000" w:firstRow="0" w:lastRow="0" w:firstColumn="1" w:lastColumn="0" w:oddVBand="0" w:evenVBand="0" w:oddHBand="0" w:evenHBand="0" w:firstRowFirstColumn="0" w:firstRowLastColumn="0" w:lastRowFirstColumn="0" w:lastRowLastColumn="0"/>
            <w:tcW w:w="1500" w:type="pct"/>
            <w:noWrap/>
            <w:hideMark/>
          </w:tcPr>
          <w:p w:rsidR="003C13B4" w:rsidRPr="00267C7F" w:rsidRDefault="003C13B4" w:rsidP="003C13B4">
            <w:pPr>
              <w:rPr>
                <w:rFonts w:eastAsia="Times New Roman" w:cs="Arial"/>
                <w:sz w:val="20"/>
                <w:szCs w:val="18"/>
                <w:lang w:eastAsia="en-GB"/>
              </w:rPr>
            </w:pPr>
            <w:r w:rsidRPr="00267C7F">
              <w:rPr>
                <w:rFonts w:eastAsia="Times New Roman" w:cs="Arial"/>
                <w:sz w:val="20"/>
                <w:szCs w:val="18"/>
                <w:lang w:eastAsia="en-GB"/>
              </w:rPr>
              <w:t>Southend-on-Sea</w:t>
            </w:r>
          </w:p>
        </w:tc>
        <w:tc>
          <w:tcPr>
            <w:tcW w:w="511" w:type="pct"/>
            <w:noWrap/>
            <w:hideMark/>
          </w:tcPr>
          <w:p w:rsidR="003C13B4" w:rsidRPr="00267C7F" w:rsidRDefault="003C13B4" w:rsidP="003C13B4">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151</w:t>
            </w:r>
          </w:p>
        </w:tc>
        <w:tc>
          <w:tcPr>
            <w:tcW w:w="328" w:type="pct"/>
            <w:noWrap/>
            <w:hideMark/>
          </w:tcPr>
          <w:p w:rsidR="003C13B4" w:rsidRPr="00267C7F" w:rsidRDefault="003C13B4" w:rsidP="003C13B4">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10.0</w:t>
            </w:r>
          </w:p>
        </w:tc>
        <w:tc>
          <w:tcPr>
            <w:tcW w:w="511" w:type="pct"/>
            <w:noWrap/>
            <w:hideMark/>
          </w:tcPr>
          <w:p w:rsidR="003C13B4" w:rsidRPr="00267C7F" w:rsidRDefault="003C13B4" w:rsidP="003C13B4">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678</w:t>
            </w:r>
          </w:p>
        </w:tc>
        <w:tc>
          <w:tcPr>
            <w:tcW w:w="328" w:type="pct"/>
            <w:noWrap/>
            <w:hideMark/>
          </w:tcPr>
          <w:p w:rsidR="003C13B4" w:rsidRPr="00267C7F" w:rsidRDefault="003C13B4" w:rsidP="003C13B4">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44.7</w:t>
            </w:r>
          </w:p>
        </w:tc>
        <w:tc>
          <w:tcPr>
            <w:tcW w:w="511" w:type="pct"/>
            <w:noWrap/>
            <w:hideMark/>
          </w:tcPr>
          <w:p w:rsidR="003C13B4" w:rsidRPr="00267C7F" w:rsidRDefault="003C13B4" w:rsidP="003C13B4">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225</w:t>
            </w:r>
          </w:p>
        </w:tc>
        <w:tc>
          <w:tcPr>
            <w:tcW w:w="328" w:type="pct"/>
            <w:noWrap/>
            <w:hideMark/>
          </w:tcPr>
          <w:p w:rsidR="003C13B4" w:rsidRPr="00267C7F" w:rsidRDefault="003C13B4" w:rsidP="003C13B4">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14.8</w:t>
            </w:r>
          </w:p>
        </w:tc>
        <w:tc>
          <w:tcPr>
            <w:tcW w:w="511" w:type="pct"/>
            <w:noWrap/>
            <w:hideMark/>
          </w:tcPr>
          <w:p w:rsidR="003C13B4" w:rsidRPr="00267C7F" w:rsidRDefault="003C13B4" w:rsidP="003C13B4">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256</w:t>
            </w:r>
          </w:p>
        </w:tc>
        <w:tc>
          <w:tcPr>
            <w:tcW w:w="472" w:type="pct"/>
            <w:noWrap/>
            <w:hideMark/>
          </w:tcPr>
          <w:p w:rsidR="003C13B4" w:rsidRPr="00267C7F" w:rsidRDefault="003C13B4" w:rsidP="003C13B4">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16.9</w:t>
            </w:r>
          </w:p>
        </w:tc>
      </w:tr>
      <w:tr w:rsidR="003C13B4" w:rsidRPr="00267C7F" w:rsidTr="003C13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0" w:type="pct"/>
            <w:noWrap/>
            <w:hideMark/>
          </w:tcPr>
          <w:p w:rsidR="003C13B4" w:rsidRPr="00267C7F" w:rsidRDefault="003C13B4" w:rsidP="003C13B4">
            <w:pPr>
              <w:rPr>
                <w:rFonts w:eastAsia="Times New Roman" w:cs="Arial"/>
                <w:sz w:val="20"/>
                <w:szCs w:val="18"/>
                <w:lang w:eastAsia="en-GB"/>
              </w:rPr>
            </w:pPr>
            <w:r w:rsidRPr="00267C7F">
              <w:rPr>
                <w:rFonts w:eastAsia="Times New Roman" w:cs="Arial"/>
                <w:sz w:val="20"/>
                <w:szCs w:val="18"/>
                <w:lang w:eastAsia="en-GB"/>
              </w:rPr>
              <w:t>Swindon</w:t>
            </w:r>
          </w:p>
        </w:tc>
        <w:tc>
          <w:tcPr>
            <w:tcW w:w="511" w:type="pct"/>
            <w:noWrap/>
            <w:hideMark/>
          </w:tcPr>
          <w:p w:rsidR="003C13B4" w:rsidRPr="00267C7F" w:rsidRDefault="003C13B4" w:rsidP="003C13B4">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320</w:t>
            </w:r>
          </w:p>
        </w:tc>
        <w:tc>
          <w:tcPr>
            <w:tcW w:w="328" w:type="pct"/>
            <w:noWrap/>
            <w:hideMark/>
          </w:tcPr>
          <w:p w:rsidR="003C13B4" w:rsidRPr="00267C7F" w:rsidRDefault="003C13B4" w:rsidP="003C13B4">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13.9</w:t>
            </w:r>
          </w:p>
        </w:tc>
        <w:tc>
          <w:tcPr>
            <w:tcW w:w="511" w:type="pct"/>
            <w:noWrap/>
            <w:hideMark/>
          </w:tcPr>
          <w:p w:rsidR="003C13B4" w:rsidRPr="00267C7F" w:rsidRDefault="003C13B4" w:rsidP="003C13B4">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508</w:t>
            </w:r>
          </w:p>
        </w:tc>
        <w:tc>
          <w:tcPr>
            <w:tcW w:w="328" w:type="pct"/>
            <w:noWrap/>
            <w:hideMark/>
          </w:tcPr>
          <w:p w:rsidR="003C13B4" w:rsidRPr="00267C7F" w:rsidRDefault="003C13B4" w:rsidP="003C13B4">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22.1</w:t>
            </w:r>
          </w:p>
        </w:tc>
        <w:tc>
          <w:tcPr>
            <w:tcW w:w="511" w:type="pct"/>
            <w:noWrap/>
            <w:hideMark/>
          </w:tcPr>
          <w:p w:rsidR="003C13B4" w:rsidRPr="00267C7F" w:rsidRDefault="003C13B4" w:rsidP="003C13B4">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389</w:t>
            </w:r>
          </w:p>
        </w:tc>
        <w:tc>
          <w:tcPr>
            <w:tcW w:w="328" w:type="pct"/>
            <w:noWrap/>
            <w:hideMark/>
          </w:tcPr>
          <w:p w:rsidR="003C13B4" w:rsidRPr="00267C7F" w:rsidRDefault="003C13B4" w:rsidP="003C13B4">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16.9</w:t>
            </w:r>
          </w:p>
        </w:tc>
        <w:tc>
          <w:tcPr>
            <w:tcW w:w="511" w:type="pct"/>
            <w:noWrap/>
            <w:hideMark/>
          </w:tcPr>
          <w:p w:rsidR="003C13B4" w:rsidRPr="00267C7F" w:rsidRDefault="003C13B4" w:rsidP="003C13B4">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471</w:t>
            </w:r>
          </w:p>
        </w:tc>
        <w:tc>
          <w:tcPr>
            <w:tcW w:w="472" w:type="pct"/>
            <w:noWrap/>
            <w:hideMark/>
          </w:tcPr>
          <w:p w:rsidR="003C13B4" w:rsidRPr="00267C7F" w:rsidRDefault="003C13B4" w:rsidP="003C13B4">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20.5</w:t>
            </w:r>
          </w:p>
        </w:tc>
      </w:tr>
      <w:tr w:rsidR="003C13B4" w:rsidRPr="00267C7F" w:rsidTr="003C13B4">
        <w:trPr>
          <w:trHeight w:val="300"/>
        </w:trPr>
        <w:tc>
          <w:tcPr>
            <w:cnfStyle w:val="001000000000" w:firstRow="0" w:lastRow="0" w:firstColumn="1" w:lastColumn="0" w:oddVBand="0" w:evenVBand="0" w:oddHBand="0" w:evenHBand="0" w:firstRowFirstColumn="0" w:firstRowLastColumn="0" w:lastRowFirstColumn="0" w:lastRowLastColumn="0"/>
            <w:tcW w:w="1500" w:type="pct"/>
            <w:noWrap/>
            <w:hideMark/>
          </w:tcPr>
          <w:p w:rsidR="003C13B4" w:rsidRPr="00267C7F" w:rsidRDefault="003C13B4" w:rsidP="003C13B4">
            <w:pPr>
              <w:rPr>
                <w:rFonts w:eastAsia="Times New Roman" w:cs="Arial"/>
                <w:color w:val="000000"/>
                <w:sz w:val="20"/>
                <w:szCs w:val="18"/>
                <w:lang w:eastAsia="en-GB"/>
              </w:rPr>
            </w:pPr>
            <w:r w:rsidRPr="00267C7F">
              <w:rPr>
                <w:rFonts w:eastAsia="Times New Roman" w:cs="Arial"/>
                <w:color w:val="000000"/>
                <w:sz w:val="20"/>
                <w:szCs w:val="18"/>
                <w:lang w:eastAsia="en-GB"/>
              </w:rPr>
              <w:t>Telford and Wrekin</w:t>
            </w:r>
          </w:p>
        </w:tc>
        <w:tc>
          <w:tcPr>
            <w:tcW w:w="511" w:type="pct"/>
            <w:noWrap/>
            <w:hideMark/>
          </w:tcPr>
          <w:p w:rsidR="003C13B4" w:rsidRPr="00267C7F" w:rsidRDefault="003C13B4" w:rsidP="003C13B4">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187</w:t>
            </w:r>
          </w:p>
        </w:tc>
        <w:tc>
          <w:tcPr>
            <w:tcW w:w="328" w:type="pct"/>
            <w:noWrap/>
            <w:hideMark/>
          </w:tcPr>
          <w:p w:rsidR="003C13B4" w:rsidRPr="00267C7F" w:rsidRDefault="003C13B4" w:rsidP="003C13B4">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8.3</w:t>
            </w:r>
          </w:p>
        </w:tc>
        <w:tc>
          <w:tcPr>
            <w:tcW w:w="511" w:type="pct"/>
            <w:noWrap/>
            <w:hideMark/>
          </w:tcPr>
          <w:p w:rsidR="003C13B4" w:rsidRPr="00267C7F" w:rsidRDefault="003C13B4" w:rsidP="003C13B4">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723</w:t>
            </w:r>
          </w:p>
        </w:tc>
        <w:tc>
          <w:tcPr>
            <w:tcW w:w="328" w:type="pct"/>
            <w:noWrap/>
            <w:hideMark/>
          </w:tcPr>
          <w:p w:rsidR="003C13B4" w:rsidRPr="00267C7F" w:rsidRDefault="003C13B4" w:rsidP="003C13B4">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31.9</w:t>
            </w:r>
          </w:p>
        </w:tc>
        <w:tc>
          <w:tcPr>
            <w:tcW w:w="511" w:type="pct"/>
            <w:noWrap/>
            <w:hideMark/>
          </w:tcPr>
          <w:p w:rsidR="003C13B4" w:rsidRPr="00267C7F" w:rsidRDefault="003C13B4" w:rsidP="003C13B4">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306</w:t>
            </w:r>
          </w:p>
        </w:tc>
        <w:tc>
          <w:tcPr>
            <w:tcW w:w="328" w:type="pct"/>
            <w:noWrap/>
            <w:hideMark/>
          </w:tcPr>
          <w:p w:rsidR="003C13B4" w:rsidRPr="00267C7F" w:rsidRDefault="003C13B4" w:rsidP="003C13B4">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13.5</w:t>
            </w:r>
          </w:p>
        </w:tc>
        <w:tc>
          <w:tcPr>
            <w:tcW w:w="511" w:type="pct"/>
            <w:noWrap/>
            <w:hideMark/>
          </w:tcPr>
          <w:p w:rsidR="003C13B4" w:rsidRPr="00267C7F" w:rsidRDefault="003C13B4" w:rsidP="003C13B4">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556</w:t>
            </w:r>
          </w:p>
        </w:tc>
        <w:tc>
          <w:tcPr>
            <w:tcW w:w="472" w:type="pct"/>
            <w:noWrap/>
            <w:hideMark/>
          </w:tcPr>
          <w:p w:rsidR="003C13B4" w:rsidRPr="00267C7F" w:rsidRDefault="003C13B4" w:rsidP="003C13B4">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24.5</w:t>
            </w:r>
          </w:p>
        </w:tc>
      </w:tr>
      <w:tr w:rsidR="003C13B4" w:rsidRPr="00267C7F" w:rsidTr="003C13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0" w:type="pct"/>
            <w:noWrap/>
            <w:hideMark/>
          </w:tcPr>
          <w:p w:rsidR="003C13B4" w:rsidRPr="00267C7F" w:rsidRDefault="003C13B4" w:rsidP="003C13B4">
            <w:pPr>
              <w:rPr>
                <w:rFonts w:eastAsia="Times New Roman" w:cs="Arial"/>
                <w:color w:val="000000"/>
                <w:sz w:val="20"/>
                <w:szCs w:val="18"/>
                <w:lang w:eastAsia="en-GB"/>
              </w:rPr>
            </w:pPr>
            <w:r w:rsidRPr="00267C7F">
              <w:rPr>
                <w:rFonts w:eastAsia="Times New Roman" w:cs="Arial"/>
                <w:color w:val="000000"/>
                <w:sz w:val="20"/>
                <w:szCs w:val="18"/>
                <w:lang w:eastAsia="en-GB"/>
              </w:rPr>
              <w:t>Thurrock</w:t>
            </w:r>
          </w:p>
        </w:tc>
        <w:tc>
          <w:tcPr>
            <w:tcW w:w="511" w:type="pct"/>
            <w:noWrap/>
            <w:hideMark/>
          </w:tcPr>
          <w:p w:rsidR="003C13B4" w:rsidRPr="00267C7F" w:rsidRDefault="003C13B4" w:rsidP="003C13B4">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135</w:t>
            </w:r>
          </w:p>
        </w:tc>
        <w:tc>
          <w:tcPr>
            <w:tcW w:w="328" w:type="pct"/>
            <w:noWrap/>
            <w:hideMark/>
          </w:tcPr>
          <w:p w:rsidR="003C13B4" w:rsidRPr="00267C7F" w:rsidRDefault="003C13B4" w:rsidP="003C13B4">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9.0</w:t>
            </w:r>
          </w:p>
        </w:tc>
        <w:tc>
          <w:tcPr>
            <w:tcW w:w="511" w:type="pct"/>
            <w:noWrap/>
            <w:hideMark/>
          </w:tcPr>
          <w:p w:rsidR="003C13B4" w:rsidRPr="00267C7F" w:rsidRDefault="003C13B4" w:rsidP="003C13B4">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403</w:t>
            </w:r>
          </w:p>
        </w:tc>
        <w:tc>
          <w:tcPr>
            <w:tcW w:w="328" w:type="pct"/>
            <w:noWrap/>
            <w:hideMark/>
          </w:tcPr>
          <w:p w:rsidR="003C13B4" w:rsidRPr="00267C7F" w:rsidRDefault="003C13B4" w:rsidP="003C13B4">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26.9</w:t>
            </w:r>
          </w:p>
        </w:tc>
        <w:tc>
          <w:tcPr>
            <w:tcW w:w="511" w:type="pct"/>
            <w:noWrap/>
            <w:hideMark/>
          </w:tcPr>
          <w:p w:rsidR="003C13B4" w:rsidRPr="00267C7F" w:rsidRDefault="003C13B4" w:rsidP="003C13B4">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275</w:t>
            </w:r>
          </w:p>
        </w:tc>
        <w:tc>
          <w:tcPr>
            <w:tcW w:w="328" w:type="pct"/>
            <w:noWrap/>
            <w:hideMark/>
          </w:tcPr>
          <w:p w:rsidR="003C13B4" w:rsidRPr="00267C7F" w:rsidRDefault="003C13B4" w:rsidP="003C13B4">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18.3</w:t>
            </w:r>
          </w:p>
        </w:tc>
        <w:tc>
          <w:tcPr>
            <w:tcW w:w="511" w:type="pct"/>
            <w:noWrap/>
            <w:hideMark/>
          </w:tcPr>
          <w:p w:rsidR="003C13B4" w:rsidRPr="00267C7F" w:rsidRDefault="003C13B4" w:rsidP="003C13B4">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384</w:t>
            </w:r>
          </w:p>
        </w:tc>
        <w:tc>
          <w:tcPr>
            <w:tcW w:w="472" w:type="pct"/>
            <w:noWrap/>
            <w:hideMark/>
          </w:tcPr>
          <w:p w:rsidR="003C13B4" w:rsidRPr="00267C7F" w:rsidRDefault="003C13B4" w:rsidP="003C13B4">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25.6</w:t>
            </w:r>
          </w:p>
        </w:tc>
      </w:tr>
      <w:tr w:rsidR="003C13B4" w:rsidRPr="00267C7F" w:rsidTr="003C13B4">
        <w:trPr>
          <w:trHeight w:val="300"/>
        </w:trPr>
        <w:tc>
          <w:tcPr>
            <w:cnfStyle w:val="001000000000" w:firstRow="0" w:lastRow="0" w:firstColumn="1" w:lastColumn="0" w:oddVBand="0" w:evenVBand="0" w:oddHBand="0" w:evenHBand="0" w:firstRowFirstColumn="0" w:firstRowLastColumn="0" w:lastRowFirstColumn="0" w:lastRowLastColumn="0"/>
            <w:tcW w:w="1500" w:type="pct"/>
            <w:noWrap/>
          </w:tcPr>
          <w:p w:rsidR="003C13B4" w:rsidRPr="00267C7F" w:rsidRDefault="003C13B4" w:rsidP="003C13B4">
            <w:pPr>
              <w:rPr>
                <w:rFonts w:eastAsia="Times New Roman" w:cs="Arial"/>
                <w:color w:val="000000"/>
                <w:sz w:val="20"/>
                <w:szCs w:val="18"/>
                <w:lang w:eastAsia="en-GB"/>
              </w:rPr>
            </w:pPr>
            <w:r w:rsidRPr="00267C7F">
              <w:rPr>
                <w:rFonts w:eastAsia="Times New Roman" w:cs="Arial"/>
                <w:color w:val="000000"/>
                <w:sz w:val="20"/>
                <w:szCs w:val="18"/>
                <w:lang w:eastAsia="en-GB"/>
              </w:rPr>
              <w:t>Statistical neighbour mean</w:t>
            </w:r>
          </w:p>
        </w:tc>
        <w:tc>
          <w:tcPr>
            <w:tcW w:w="511" w:type="pct"/>
            <w:noWrap/>
          </w:tcPr>
          <w:p w:rsidR="003C13B4" w:rsidRPr="00267C7F" w:rsidRDefault="003C13B4" w:rsidP="003C13B4">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szCs w:val="18"/>
                <w:lang w:eastAsia="en-GB"/>
              </w:rPr>
            </w:pPr>
          </w:p>
        </w:tc>
        <w:tc>
          <w:tcPr>
            <w:tcW w:w="328" w:type="pct"/>
            <w:noWrap/>
          </w:tcPr>
          <w:p w:rsidR="003C13B4" w:rsidRPr="00267C7F" w:rsidRDefault="003C13B4" w:rsidP="003C13B4">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10</w:t>
            </w:r>
          </w:p>
        </w:tc>
        <w:tc>
          <w:tcPr>
            <w:tcW w:w="511" w:type="pct"/>
            <w:noWrap/>
          </w:tcPr>
          <w:p w:rsidR="003C13B4" w:rsidRPr="00267C7F" w:rsidRDefault="003C13B4" w:rsidP="003C13B4">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szCs w:val="18"/>
                <w:lang w:eastAsia="en-GB"/>
              </w:rPr>
            </w:pPr>
          </w:p>
        </w:tc>
        <w:tc>
          <w:tcPr>
            <w:tcW w:w="328" w:type="pct"/>
            <w:noWrap/>
          </w:tcPr>
          <w:p w:rsidR="003C13B4" w:rsidRPr="00267C7F" w:rsidRDefault="003C13B4" w:rsidP="003C13B4">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25</w:t>
            </w:r>
          </w:p>
        </w:tc>
        <w:tc>
          <w:tcPr>
            <w:tcW w:w="511" w:type="pct"/>
            <w:noWrap/>
          </w:tcPr>
          <w:p w:rsidR="003C13B4" w:rsidRPr="00267C7F" w:rsidRDefault="003C13B4" w:rsidP="003C13B4">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szCs w:val="18"/>
                <w:lang w:eastAsia="en-GB"/>
              </w:rPr>
            </w:pPr>
          </w:p>
        </w:tc>
        <w:tc>
          <w:tcPr>
            <w:tcW w:w="328" w:type="pct"/>
            <w:noWrap/>
          </w:tcPr>
          <w:p w:rsidR="003C13B4" w:rsidRPr="00267C7F" w:rsidRDefault="003C13B4" w:rsidP="003C13B4">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14.8</w:t>
            </w:r>
          </w:p>
        </w:tc>
        <w:tc>
          <w:tcPr>
            <w:tcW w:w="511" w:type="pct"/>
            <w:noWrap/>
          </w:tcPr>
          <w:p w:rsidR="003C13B4" w:rsidRPr="00267C7F" w:rsidRDefault="003C13B4" w:rsidP="003C13B4">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szCs w:val="18"/>
                <w:lang w:eastAsia="en-GB"/>
              </w:rPr>
            </w:pPr>
          </w:p>
        </w:tc>
        <w:tc>
          <w:tcPr>
            <w:tcW w:w="472" w:type="pct"/>
            <w:noWrap/>
          </w:tcPr>
          <w:p w:rsidR="003C13B4" w:rsidRPr="00267C7F" w:rsidRDefault="003C13B4" w:rsidP="003C13B4">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szCs w:val="18"/>
                <w:lang w:eastAsia="en-GB"/>
              </w:rPr>
            </w:pPr>
            <w:r w:rsidRPr="00267C7F">
              <w:rPr>
                <w:rFonts w:eastAsia="Times New Roman" w:cs="Arial"/>
                <w:sz w:val="20"/>
                <w:szCs w:val="18"/>
                <w:lang w:eastAsia="en-GB"/>
              </w:rPr>
              <w:t>25.6</w:t>
            </w:r>
          </w:p>
        </w:tc>
      </w:tr>
    </w:tbl>
    <w:p w:rsidR="00C15AC6" w:rsidRDefault="00C15AC6" w:rsidP="00C15AC6">
      <w:pPr>
        <w:pStyle w:val="Caption"/>
      </w:pPr>
      <w:r>
        <w:t xml:space="preserve">Figure </w:t>
      </w:r>
      <w:r w:rsidR="00156E8B">
        <w:fldChar w:fldCharType="begin"/>
      </w:r>
      <w:r w:rsidR="00156E8B">
        <w:instrText xml:space="preserve"> SEQ Figure \* ARABIC </w:instrText>
      </w:r>
      <w:r w:rsidR="00156E8B">
        <w:fldChar w:fldCharType="separate"/>
      </w:r>
      <w:r w:rsidR="005C553C">
        <w:rPr>
          <w:noProof/>
        </w:rPr>
        <w:t>8</w:t>
      </w:r>
      <w:r w:rsidR="00156E8B">
        <w:rPr>
          <w:noProof/>
        </w:rPr>
        <w:fldChar w:fldCharType="end"/>
      </w:r>
      <w:r>
        <w:t xml:space="preserve"> Primary school pupils most common educational needs</w:t>
      </w:r>
    </w:p>
    <w:p w:rsidR="00EA6AB3" w:rsidRPr="00C15AC6" w:rsidRDefault="003C13B4" w:rsidP="00C15AC6">
      <w:pPr>
        <w:rPr>
          <w:sz w:val="18"/>
        </w:rPr>
      </w:pPr>
      <w:r w:rsidRPr="003C13B4">
        <w:t>*Expressed as a percentage of all pupils with a type of need</w:t>
      </w:r>
    </w:p>
    <w:p w:rsidR="003C13B4" w:rsidRDefault="003C13B4" w:rsidP="00081D29"/>
    <w:p w:rsidR="006E69C3" w:rsidRDefault="00EA6AB3" w:rsidP="00081D29">
      <w:r>
        <w:t>Medway is the highest scoring of its</w:t>
      </w:r>
      <w:r w:rsidR="00F00BEE">
        <w:t xml:space="preserve"> statistical</w:t>
      </w:r>
      <w:r>
        <w:t xml:space="preserve"> neighbours for social, emotional and mental health</w:t>
      </w:r>
      <w:r w:rsidR="00CF4063">
        <w:t xml:space="preserve"> concern</w:t>
      </w:r>
      <w:r w:rsidR="006E69C3">
        <w:t>s</w:t>
      </w:r>
      <w:r>
        <w:t xml:space="preserve"> </w:t>
      </w:r>
      <w:r w:rsidR="003C13B4">
        <w:t>amongst</w:t>
      </w:r>
      <w:r w:rsidR="006E69C3">
        <w:t xml:space="preserve"> secondary school pupils</w:t>
      </w:r>
      <w:r>
        <w:t>, joint highest (with Rotherham) for secondary</w:t>
      </w:r>
      <w:r w:rsidR="00005C82">
        <w:t xml:space="preserve"> school pupils on the Autistic S</w:t>
      </w:r>
      <w:r>
        <w:t>pectrum</w:t>
      </w:r>
      <w:r w:rsidR="00EF7898">
        <w:t>, and lowest scoring for moderate learning difficulties.</w:t>
      </w:r>
      <w:r w:rsidR="008B5A9F">
        <w:t xml:space="preserve">  </w:t>
      </w:r>
    </w:p>
    <w:p w:rsidR="00B9632D" w:rsidRDefault="00B9632D" w:rsidP="00081D29"/>
    <w:tbl>
      <w:tblPr>
        <w:tblStyle w:val="LightList-Accent1"/>
        <w:tblW w:w="5000" w:type="pct"/>
        <w:tblLook w:val="04A0" w:firstRow="1" w:lastRow="0" w:firstColumn="1" w:lastColumn="0" w:noHBand="0" w:noVBand="1"/>
      </w:tblPr>
      <w:tblGrid>
        <w:gridCol w:w="2773"/>
        <w:gridCol w:w="971"/>
        <w:gridCol w:w="606"/>
        <w:gridCol w:w="949"/>
        <w:gridCol w:w="606"/>
        <w:gridCol w:w="961"/>
        <w:gridCol w:w="606"/>
        <w:gridCol w:w="944"/>
        <w:gridCol w:w="826"/>
      </w:tblGrid>
      <w:tr w:rsidR="005B73D2" w:rsidRPr="00267C7F" w:rsidTr="009D1EA9">
        <w:trPr>
          <w:cnfStyle w:val="100000000000" w:firstRow="1" w:lastRow="0" w:firstColumn="0" w:lastColumn="0" w:oddVBand="0" w:evenVBand="0" w:oddHBand="0"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5000" w:type="pct"/>
            <w:gridSpan w:val="9"/>
          </w:tcPr>
          <w:p w:rsidR="005B73D2" w:rsidRPr="00267C7F" w:rsidRDefault="005B73D2" w:rsidP="005B73D2">
            <w:pPr>
              <w:jc w:val="center"/>
              <w:rPr>
                <w:rFonts w:eastAsia="Times New Roman" w:cs="Arial"/>
                <w:sz w:val="20"/>
                <w:lang w:eastAsia="en-GB"/>
              </w:rPr>
            </w:pPr>
            <w:r w:rsidRPr="00267C7F">
              <w:rPr>
                <w:rFonts w:eastAsia="Times New Roman" w:cs="Arial"/>
                <w:sz w:val="20"/>
                <w:lang w:eastAsia="en-GB"/>
              </w:rPr>
              <w:t>Secondary school pupils</w:t>
            </w:r>
            <w:r w:rsidR="00625935" w:rsidRPr="00267C7F">
              <w:rPr>
                <w:rFonts w:eastAsia="Times New Roman" w:cs="Arial"/>
                <w:sz w:val="20"/>
                <w:lang w:eastAsia="en-GB"/>
              </w:rPr>
              <w:t xml:space="preserve"> </w:t>
            </w:r>
            <w:r w:rsidR="00625935" w:rsidRPr="00267C7F">
              <w:rPr>
                <w:rFonts w:eastAsia="Times New Roman" w:cs="Arial"/>
                <w:sz w:val="20"/>
                <w:szCs w:val="18"/>
                <w:lang w:eastAsia="en-GB"/>
              </w:rPr>
              <w:t>(with SEN but without statement/EHC plan)</w:t>
            </w:r>
          </w:p>
        </w:tc>
      </w:tr>
      <w:tr w:rsidR="003D0C77" w:rsidRPr="00267C7F" w:rsidTr="009D1EA9">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1360" w:type="pct"/>
            <w:hideMark/>
          </w:tcPr>
          <w:p w:rsidR="005B73D2" w:rsidRPr="00267C7F" w:rsidRDefault="005B73D2" w:rsidP="005B73D2">
            <w:pPr>
              <w:jc w:val="center"/>
              <w:rPr>
                <w:rFonts w:eastAsia="Times New Roman" w:cs="Arial"/>
                <w:sz w:val="20"/>
                <w:lang w:eastAsia="en-GB"/>
              </w:rPr>
            </w:pPr>
            <w:r w:rsidRPr="00267C7F">
              <w:rPr>
                <w:rFonts w:eastAsia="Times New Roman" w:cs="Arial"/>
                <w:sz w:val="20"/>
                <w:lang w:eastAsia="en-GB"/>
              </w:rPr>
              <w:t>Area</w:t>
            </w:r>
          </w:p>
        </w:tc>
        <w:tc>
          <w:tcPr>
            <w:tcW w:w="877" w:type="pct"/>
            <w:gridSpan w:val="2"/>
            <w:hideMark/>
          </w:tcPr>
          <w:p w:rsidR="005B73D2" w:rsidRPr="00267C7F" w:rsidRDefault="005B73D2" w:rsidP="005B73D2">
            <w:pPr>
              <w:jc w:val="center"/>
              <w:cnfStyle w:val="000000100000" w:firstRow="0" w:lastRow="0" w:firstColumn="0" w:lastColumn="0" w:oddVBand="0" w:evenVBand="0" w:oddHBand="1" w:evenHBand="0" w:firstRowFirstColumn="0" w:firstRowLastColumn="0" w:lastRowFirstColumn="0" w:lastRowLastColumn="0"/>
              <w:rPr>
                <w:rFonts w:eastAsia="Times New Roman" w:cs="Arial"/>
                <w:b/>
                <w:sz w:val="20"/>
                <w:lang w:eastAsia="en-GB"/>
              </w:rPr>
            </w:pPr>
            <w:r w:rsidRPr="00267C7F">
              <w:rPr>
                <w:rFonts w:eastAsia="Times New Roman" w:cs="Arial"/>
                <w:b/>
                <w:sz w:val="20"/>
                <w:lang w:eastAsia="en-GB"/>
              </w:rPr>
              <w:t>Specific Learning Difficulty</w:t>
            </w:r>
          </w:p>
        </w:tc>
        <w:tc>
          <w:tcPr>
            <w:tcW w:w="878" w:type="pct"/>
            <w:gridSpan w:val="2"/>
            <w:hideMark/>
          </w:tcPr>
          <w:p w:rsidR="005B73D2" w:rsidRPr="00267C7F" w:rsidRDefault="005B73D2" w:rsidP="005B73D2">
            <w:pPr>
              <w:jc w:val="center"/>
              <w:cnfStyle w:val="000000100000" w:firstRow="0" w:lastRow="0" w:firstColumn="0" w:lastColumn="0" w:oddVBand="0" w:evenVBand="0" w:oddHBand="1" w:evenHBand="0" w:firstRowFirstColumn="0" w:firstRowLastColumn="0" w:lastRowFirstColumn="0" w:lastRowLastColumn="0"/>
              <w:rPr>
                <w:rFonts w:eastAsia="Times New Roman" w:cs="Arial"/>
                <w:b/>
                <w:sz w:val="20"/>
                <w:lang w:eastAsia="en-GB"/>
              </w:rPr>
            </w:pPr>
            <w:r w:rsidRPr="00267C7F">
              <w:rPr>
                <w:rFonts w:eastAsia="Times New Roman" w:cs="Arial"/>
                <w:b/>
                <w:sz w:val="20"/>
                <w:lang w:eastAsia="en-GB"/>
              </w:rPr>
              <w:t>Moderate Learning Difficulty</w:t>
            </w:r>
          </w:p>
        </w:tc>
        <w:tc>
          <w:tcPr>
            <w:tcW w:w="885" w:type="pct"/>
            <w:gridSpan w:val="2"/>
            <w:hideMark/>
          </w:tcPr>
          <w:p w:rsidR="005B73D2" w:rsidRPr="00267C7F" w:rsidRDefault="005B73D2" w:rsidP="005B73D2">
            <w:pPr>
              <w:jc w:val="center"/>
              <w:cnfStyle w:val="000000100000" w:firstRow="0" w:lastRow="0" w:firstColumn="0" w:lastColumn="0" w:oddVBand="0" w:evenVBand="0" w:oddHBand="1" w:evenHBand="0" w:firstRowFirstColumn="0" w:firstRowLastColumn="0" w:lastRowFirstColumn="0" w:lastRowLastColumn="0"/>
              <w:rPr>
                <w:rFonts w:eastAsia="Times New Roman" w:cs="Arial"/>
                <w:b/>
                <w:sz w:val="20"/>
                <w:lang w:eastAsia="en-GB"/>
              </w:rPr>
            </w:pPr>
            <w:r w:rsidRPr="00267C7F">
              <w:rPr>
                <w:rFonts w:eastAsia="Times New Roman" w:cs="Arial"/>
                <w:b/>
                <w:sz w:val="20"/>
                <w:lang w:eastAsia="en-GB"/>
              </w:rPr>
              <w:t>Social,</w:t>
            </w:r>
            <w:r w:rsidR="003D0C77" w:rsidRPr="00267C7F">
              <w:rPr>
                <w:rFonts w:eastAsia="Times New Roman" w:cs="Arial"/>
                <w:b/>
                <w:sz w:val="20"/>
                <w:lang w:eastAsia="en-GB"/>
              </w:rPr>
              <w:t xml:space="preserve"> Emotional and Mental Health </w:t>
            </w:r>
          </w:p>
        </w:tc>
        <w:tc>
          <w:tcPr>
            <w:tcW w:w="1000" w:type="pct"/>
            <w:gridSpan w:val="2"/>
            <w:hideMark/>
          </w:tcPr>
          <w:p w:rsidR="005B73D2" w:rsidRPr="00267C7F" w:rsidRDefault="005B73D2" w:rsidP="005B73D2">
            <w:pPr>
              <w:jc w:val="center"/>
              <w:cnfStyle w:val="000000100000" w:firstRow="0" w:lastRow="0" w:firstColumn="0" w:lastColumn="0" w:oddVBand="0" w:evenVBand="0" w:oddHBand="1" w:evenHBand="0" w:firstRowFirstColumn="0" w:firstRowLastColumn="0" w:lastRowFirstColumn="0" w:lastRowLastColumn="0"/>
              <w:rPr>
                <w:rFonts w:eastAsia="Times New Roman" w:cs="Arial"/>
                <w:b/>
                <w:sz w:val="20"/>
                <w:lang w:eastAsia="en-GB"/>
              </w:rPr>
            </w:pPr>
            <w:r w:rsidRPr="00267C7F">
              <w:rPr>
                <w:rFonts w:eastAsia="Times New Roman" w:cs="Arial"/>
                <w:b/>
                <w:sz w:val="20"/>
                <w:lang w:eastAsia="en-GB"/>
              </w:rPr>
              <w:t>Autistic Spectrum Disorder</w:t>
            </w:r>
          </w:p>
        </w:tc>
      </w:tr>
      <w:tr w:rsidR="00273CD7" w:rsidRPr="00267C7F" w:rsidTr="009D1EA9">
        <w:trPr>
          <w:trHeight w:val="300"/>
        </w:trPr>
        <w:tc>
          <w:tcPr>
            <w:cnfStyle w:val="001000000000" w:firstRow="0" w:lastRow="0" w:firstColumn="1" w:lastColumn="0" w:oddVBand="0" w:evenVBand="0" w:oddHBand="0" w:evenHBand="0" w:firstRowFirstColumn="0" w:firstRowLastColumn="0" w:lastRowFirstColumn="0" w:lastRowLastColumn="0"/>
            <w:tcW w:w="1360" w:type="pct"/>
            <w:hideMark/>
          </w:tcPr>
          <w:p w:rsidR="005B73D2" w:rsidRPr="00267C7F" w:rsidRDefault="005B73D2" w:rsidP="005B73D2">
            <w:pPr>
              <w:jc w:val="center"/>
              <w:rPr>
                <w:rFonts w:eastAsia="Times New Roman" w:cs="Arial"/>
                <w:sz w:val="20"/>
                <w:lang w:eastAsia="en-GB"/>
              </w:rPr>
            </w:pPr>
            <w:r w:rsidRPr="00267C7F">
              <w:rPr>
                <w:rFonts w:eastAsia="Times New Roman" w:cs="Arial"/>
                <w:sz w:val="20"/>
                <w:lang w:eastAsia="en-GB"/>
              </w:rPr>
              <w:t> </w:t>
            </w:r>
          </w:p>
        </w:tc>
        <w:tc>
          <w:tcPr>
            <w:tcW w:w="543" w:type="pct"/>
            <w:hideMark/>
          </w:tcPr>
          <w:p w:rsidR="005B73D2" w:rsidRPr="00267C7F" w:rsidRDefault="009D1EA9" w:rsidP="005B73D2">
            <w:pPr>
              <w:jc w:val="center"/>
              <w:cnfStyle w:val="000000000000" w:firstRow="0" w:lastRow="0" w:firstColumn="0" w:lastColumn="0" w:oddVBand="0" w:evenVBand="0" w:oddHBand="0" w:evenHBand="0" w:firstRowFirstColumn="0" w:firstRowLastColumn="0" w:lastRowFirstColumn="0" w:lastRowLastColumn="0"/>
              <w:rPr>
                <w:rFonts w:eastAsia="Times New Roman" w:cs="Arial"/>
                <w:b/>
                <w:sz w:val="20"/>
                <w:lang w:eastAsia="en-GB"/>
              </w:rPr>
            </w:pPr>
            <w:r w:rsidRPr="00267C7F">
              <w:rPr>
                <w:rFonts w:eastAsia="Times New Roman" w:cs="Arial"/>
                <w:b/>
                <w:sz w:val="20"/>
                <w:szCs w:val="18"/>
                <w:lang w:eastAsia="en-GB"/>
              </w:rPr>
              <w:t>No.</w:t>
            </w:r>
          </w:p>
        </w:tc>
        <w:tc>
          <w:tcPr>
            <w:tcW w:w="334" w:type="pct"/>
            <w:hideMark/>
          </w:tcPr>
          <w:p w:rsidR="005B73D2" w:rsidRPr="00267C7F" w:rsidRDefault="005B73D2" w:rsidP="005B73D2">
            <w:pPr>
              <w:jc w:val="center"/>
              <w:cnfStyle w:val="000000000000" w:firstRow="0" w:lastRow="0" w:firstColumn="0" w:lastColumn="0" w:oddVBand="0" w:evenVBand="0" w:oddHBand="0" w:evenHBand="0" w:firstRowFirstColumn="0" w:firstRowLastColumn="0" w:lastRowFirstColumn="0" w:lastRowLastColumn="0"/>
              <w:rPr>
                <w:rFonts w:eastAsia="Times New Roman" w:cs="Arial"/>
                <w:b/>
                <w:sz w:val="20"/>
                <w:lang w:eastAsia="en-GB"/>
              </w:rPr>
            </w:pPr>
            <w:r w:rsidRPr="00267C7F">
              <w:rPr>
                <w:rFonts w:eastAsia="Times New Roman" w:cs="Arial"/>
                <w:b/>
                <w:sz w:val="20"/>
                <w:lang w:eastAsia="en-GB"/>
              </w:rPr>
              <w:t xml:space="preserve">% </w:t>
            </w:r>
          </w:p>
        </w:tc>
        <w:tc>
          <w:tcPr>
            <w:tcW w:w="543" w:type="pct"/>
            <w:hideMark/>
          </w:tcPr>
          <w:p w:rsidR="005B73D2" w:rsidRPr="00267C7F" w:rsidRDefault="009D1EA9" w:rsidP="005B73D2">
            <w:pPr>
              <w:jc w:val="center"/>
              <w:cnfStyle w:val="000000000000" w:firstRow="0" w:lastRow="0" w:firstColumn="0" w:lastColumn="0" w:oddVBand="0" w:evenVBand="0" w:oddHBand="0" w:evenHBand="0" w:firstRowFirstColumn="0" w:firstRowLastColumn="0" w:lastRowFirstColumn="0" w:lastRowLastColumn="0"/>
              <w:rPr>
                <w:rFonts w:eastAsia="Times New Roman" w:cs="Arial"/>
                <w:b/>
                <w:sz w:val="20"/>
                <w:lang w:eastAsia="en-GB"/>
              </w:rPr>
            </w:pPr>
            <w:r w:rsidRPr="00267C7F">
              <w:rPr>
                <w:rFonts w:eastAsia="Times New Roman" w:cs="Arial"/>
                <w:b/>
                <w:sz w:val="20"/>
                <w:szCs w:val="18"/>
                <w:lang w:eastAsia="en-GB"/>
              </w:rPr>
              <w:t>No.</w:t>
            </w:r>
          </w:p>
        </w:tc>
        <w:tc>
          <w:tcPr>
            <w:tcW w:w="334" w:type="pct"/>
            <w:hideMark/>
          </w:tcPr>
          <w:p w:rsidR="005B73D2" w:rsidRPr="00267C7F" w:rsidRDefault="005B73D2" w:rsidP="005B73D2">
            <w:pPr>
              <w:jc w:val="center"/>
              <w:cnfStyle w:val="000000000000" w:firstRow="0" w:lastRow="0" w:firstColumn="0" w:lastColumn="0" w:oddVBand="0" w:evenVBand="0" w:oddHBand="0" w:evenHBand="0" w:firstRowFirstColumn="0" w:firstRowLastColumn="0" w:lastRowFirstColumn="0" w:lastRowLastColumn="0"/>
              <w:rPr>
                <w:rFonts w:eastAsia="Times New Roman" w:cs="Arial"/>
                <w:b/>
                <w:sz w:val="20"/>
                <w:lang w:eastAsia="en-GB"/>
              </w:rPr>
            </w:pPr>
            <w:r w:rsidRPr="00267C7F">
              <w:rPr>
                <w:rFonts w:eastAsia="Times New Roman" w:cs="Arial"/>
                <w:b/>
                <w:sz w:val="20"/>
                <w:lang w:eastAsia="en-GB"/>
              </w:rPr>
              <w:t xml:space="preserve">% </w:t>
            </w:r>
          </w:p>
        </w:tc>
        <w:tc>
          <w:tcPr>
            <w:tcW w:w="548" w:type="pct"/>
            <w:hideMark/>
          </w:tcPr>
          <w:p w:rsidR="005B73D2" w:rsidRPr="00267C7F" w:rsidRDefault="009D1EA9" w:rsidP="005B73D2">
            <w:pPr>
              <w:jc w:val="center"/>
              <w:cnfStyle w:val="000000000000" w:firstRow="0" w:lastRow="0" w:firstColumn="0" w:lastColumn="0" w:oddVBand="0" w:evenVBand="0" w:oddHBand="0" w:evenHBand="0" w:firstRowFirstColumn="0" w:firstRowLastColumn="0" w:lastRowFirstColumn="0" w:lastRowLastColumn="0"/>
              <w:rPr>
                <w:rFonts w:eastAsia="Times New Roman" w:cs="Arial"/>
                <w:b/>
                <w:sz w:val="20"/>
                <w:lang w:eastAsia="en-GB"/>
              </w:rPr>
            </w:pPr>
            <w:r w:rsidRPr="00267C7F">
              <w:rPr>
                <w:rFonts w:eastAsia="Times New Roman" w:cs="Arial"/>
                <w:b/>
                <w:sz w:val="20"/>
                <w:szCs w:val="18"/>
                <w:lang w:eastAsia="en-GB"/>
              </w:rPr>
              <w:t>No.</w:t>
            </w:r>
          </w:p>
        </w:tc>
        <w:tc>
          <w:tcPr>
            <w:tcW w:w="337" w:type="pct"/>
            <w:hideMark/>
          </w:tcPr>
          <w:p w:rsidR="005B73D2" w:rsidRPr="00267C7F" w:rsidRDefault="005B73D2" w:rsidP="005B73D2">
            <w:pPr>
              <w:jc w:val="center"/>
              <w:cnfStyle w:val="000000000000" w:firstRow="0" w:lastRow="0" w:firstColumn="0" w:lastColumn="0" w:oddVBand="0" w:evenVBand="0" w:oddHBand="0" w:evenHBand="0" w:firstRowFirstColumn="0" w:firstRowLastColumn="0" w:lastRowFirstColumn="0" w:lastRowLastColumn="0"/>
              <w:rPr>
                <w:rFonts w:eastAsia="Times New Roman" w:cs="Arial"/>
                <w:b/>
                <w:sz w:val="20"/>
                <w:lang w:eastAsia="en-GB"/>
              </w:rPr>
            </w:pPr>
            <w:r w:rsidRPr="00267C7F">
              <w:rPr>
                <w:rFonts w:eastAsia="Times New Roman" w:cs="Arial"/>
                <w:b/>
                <w:sz w:val="20"/>
                <w:lang w:eastAsia="en-GB"/>
              </w:rPr>
              <w:t xml:space="preserve">% </w:t>
            </w:r>
          </w:p>
        </w:tc>
        <w:tc>
          <w:tcPr>
            <w:tcW w:w="536" w:type="pct"/>
            <w:hideMark/>
          </w:tcPr>
          <w:p w:rsidR="005B73D2" w:rsidRPr="00267C7F" w:rsidRDefault="009D1EA9" w:rsidP="005B73D2">
            <w:pPr>
              <w:jc w:val="center"/>
              <w:cnfStyle w:val="000000000000" w:firstRow="0" w:lastRow="0" w:firstColumn="0" w:lastColumn="0" w:oddVBand="0" w:evenVBand="0" w:oddHBand="0" w:evenHBand="0" w:firstRowFirstColumn="0" w:firstRowLastColumn="0" w:lastRowFirstColumn="0" w:lastRowLastColumn="0"/>
              <w:rPr>
                <w:rFonts w:eastAsia="Times New Roman" w:cs="Arial"/>
                <w:b/>
                <w:sz w:val="20"/>
                <w:lang w:eastAsia="en-GB"/>
              </w:rPr>
            </w:pPr>
            <w:r w:rsidRPr="00267C7F">
              <w:rPr>
                <w:rFonts w:eastAsia="Times New Roman" w:cs="Arial"/>
                <w:b/>
                <w:sz w:val="20"/>
                <w:szCs w:val="18"/>
                <w:lang w:eastAsia="en-GB"/>
              </w:rPr>
              <w:t>No.</w:t>
            </w:r>
          </w:p>
        </w:tc>
        <w:tc>
          <w:tcPr>
            <w:tcW w:w="465" w:type="pct"/>
            <w:hideMark/>
          </w:tcPr>
          <w:p w:rsidR="005B73D2" w:rsidRPr="00267C7F" w:rsidRDefault="005B73D2" w:rsidP="005B73D2">
            <w:pPr>
              <w:jc w:val="center"/>
              <w:cnfStyle w:val="000000000000" w:firstRow="0" w:lastRow="0" w:firstColumn="0" w:lastColumn="0" w:oddVBand="0" w:evenVBand="0" w:oddHBand="0" w:evenHBand="0" w:firstRowFirstColumn="0" w:firstRowLastColumn="0" w:lastRowFirstColumn="0" w:lastRowLastColumn="0"/>
              <w:rPr>
                <w:rFonts w:eastAsia="Times New Roman" w:cs="Arial"/>
                <w:b/>
                <w:sz w:val="20"/>
                <w:lang w:eastAsia="en-GB"/>
              </w:rPr>
            </w:pPr>
            <w:r w:rsidRPr="00267C7F">
              <w:rPr>
                <w:rFonts w:eastAsia="Times New Roman" w:cs="Arial"/>
                <w:b/>
                <w:sz w:val="20"/>
                <w:lang w:eastAsia="en-GB"/>
              </w:rPr>
              <w:t>%</w:t>
            </w:r>
            <w:r w:rsidR="009D1EA9" w:rsidRPr="00267C7F">
              <w:rPr>
                <w:rFonts w:eastAsia="Times New Roman" w:cs="Arial"/>
                <w:b/>
                <w:sz w:val="20"/>
                <w:lang w:eastAsia="en-GB"/>
              </w:rPr>
              <w:t>**</w:t>
            </w:r>
            <w:r w:rsidRPr="00267C7F">
              <w:rPr>
                <w:rFonts w:eastAsia="Times New Roman" w:cs="Arial"/>
                <w:b/>
                <w:sz w:val="20"/>
                <w:lang w:eastAsia="en-GB"/>
              </w:rPr>
              <w:t xml:space="preserve"> </w:t>
            </w:r>
          </w:p>
        </w:tc>
      </w:tr>
      <w:tr w:rsidR="00273CD7" w:rsidRPr="00267C7F" w:rsidTr="009D1E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pct"/>
            <w:hideMark/>
          </w:tcPr>
          <w:p w:rsidR="005B73D2" w:rsidRPr="00267C7F" w:rsidRDefault="005B73D2" w:rsidP="005B73D2">
            <w:pPr>
              <w:rPr>
                <w:rFonts w:eastAsia="Times New Roman" w:cs="Arial"/>
                <w:bCs w:val="0"/>
                <w:sz w:val="20"/>
                <w:lang w:eastAsia="en-GB"/>
              </w:rPr>
            </w:pPr>
            <w:r w:rsidRPr="00267C7F">
              <w:rPr>
                <w:rFonts w:eastAsia="Times New Roman" w:cs="Arial"/>
                <w:bCs w:val="0"/>
                <w:sz w:val="20"/>
                <w:lang w:eastAsia="en-GB"/>
              </w:rPr>
              <w:lastRenderedPageBreak/>
              <w:t>England</w:t>
            </w:r>
          </w:p>
        </w:tc>
        <w:tc>
          <w:tcPr>
            <w:tcW w:w="543" w:type="pct"/>
            <w:noWrap/>
            <w:hideMark/>
          </w:tcPr>
          <w:p w:rsidR="005B73D2" w:rsidRPr="00267C7F" w:rsidRDefault="005B73D2" w:rsidP="005B73D2">
            <w:pPr>
              <w:jc w:val="right"/>
              <w:cnfStyle w:val="000000100000" w:firstRow="0" w:lastRow="0" w:firstColumn="0" w:lastColumn="0" w:oddVBand="0" w:evenVBand="0" w:oddHBand="1" w:evenHBand="0" w:firstRowFirstColumn="0" w:firstRowLastColumn="0" w:lastRowFirstColumn="0" w:lastRowLastColumn="0"/>
              <w:rPr>
                <w:rFonts w:eastAsia="Times New Roman" w:cs="Arial"/>
                <w:bCs/>
                <w:sz w:val="20"/>
                <w:lang w:eastAsia="en-GB"/>
              </w:rPr>
            </w:pPr>
            <w:r w:rsidRPr="00267C7F">
              <w:rPr>
                <w:rFonts w:eastAsia="Times New Roman" w:cs="Arial"/>
                <w:bCs/>
                <w:sz w:val="20"/>
                <w:lang w:eastAsia="en-GB"/>
              </w:rPr>
              <w:t>77,965</w:t>
            </w:r>
          </w:p>
        </w:tc>
        <w:tc>
          <w:tcPr>
            <w:tcW w:w="334" w:type="pct"/>
            <w:noWrap/>
            <w:hideMark/>
          </w:tcPr>
          <w:p w:rsidR="005B73D2" w:rsidRPr="00267C7F" w:rsidRDefault="005B73D2" w:rsidP="005B73D2">
            <w:pPr>
              <w:jc w:val="right"/>
              <w:cnfStyle w:val="000000100000" w:firstRow="0" w:lastRow="0" w:firstColumn="0" w:lastColumn="0" w:oddVBand="0" w:evenVBand="0" w:oddHBand="1" w:evenHBand="0" w:firstRowFirstColumn="0" w:firstRowLastColumn="0" w:lastRowFirstColumn="0" w:lastRowLastColumn="0"/>
              <w:rPr>
                <w:rFonts w:eastAsia="Times New Roman" w:cs="Arial"/>
                <w:bCs/>
                <w:sz w:val="20"/>
                <w:lang w:eastAsia="en-GB"/>
              </w:rPr>
            </w:pPr>
            <w:r w:rsidRPr="00267C7F">
              <w:rPr>
                <w:rFonts w:eastAsia="Times New Roman" w:cs="Arial"/>
                <w:bCs/>
                <w:sz w:val="20"/>
                <w:lang w:eastAsia="en-GB"/>
              </w:rPr>
              <w:t>20.9</w:t>
            </w:r>
          </w:p>
        </w:tc>
        <w:tc>
          <w:tcPr>
            <w:tcW w:w="543" w:type="pct"/>
            <w:noWrap/>
            <w:hideMark/>
          </w:tcPr>
          <w:p w:rsidR="005B73D2" w:rsidRPr="00267C7F" w:rsidRDefault="005B73D2" w:rsidP="005B73D2">
            <w:pPr>
              <w:jc w:val="right"/>
              <w:cnfStyle w:val="000000100000" w:firstRow="0" w:lastRow="0" w:firstColumn="0" w:lastColumn="0" w:oddVBand="0" w:evenVBand="0" w:oddHBand="1" w:evenHBand="0" w:firstRowFirstColumn="0" w:firstRowLastColumn="0" w:lastRowFirstColumn="0" w:lastRowLastColumn="0"/>
              <w:rPr>
                <w:rFonts w:eastAsia="Times New Roman" w:cs="Arial"/>
                <w:bCs/>
                <w:sz w:val="20"/>
                <w:lang w:eastAsia="en-GB"/>
              </w:rPr>
            </w:pPr>
            <w:r w:rsidRPr="00267C7F">
              <w:rPr>
                <w:rFonts w:eastAsia="Times New Roman" w:cs="Arial"/>
                <w:bCs/>
                <w:sz w:val="20"/>
                <w:lang w:eastAsia="en-GB"/>
              </w:rPr>
              <w:t>92,770</w:t>
            </w:r>
          </w:p>
        </w:tc>
        <w:tc>
          <w:tcPr>
            <w:tcW w:w="334" w:type="pct"/>
            <w:noWrap/>
            <w:hideMark/>
          </w:tcPr>
          <w:p w:rsidR="005B73D2" w:rsidRPr="00267C7F" w:rsidRDefault="005B73D2" w:rsidP="005B73D2">
            <w:pPr>
              <w:jc w:val="right"/>
              <w:cnfStyle w:val="000000100000" w:firstRow="0" w:lastRow="0" w:firstColumn="0" w:lastColumn="0" w:oddVBand="0" w:evenVBand="0" w:oddHBand="1" w:evenHBand="0" w:firstRowFirstColumn="0" w:firstRowLastColumn="0" w:lastRowFirstColumn="0" w:lastRowLastColumn="0"/>
              <w:rPr>
                <w:rFonts w:eastAsia="Times New Roman" w:cs="Arial"/>
                <w:bCs/>
                <w:sz w:val="20"/>
                <w:lang w:eastAsia="en-GB"/>
              </w:rPr>
            </w:pPr>
            <w:r w:rsidRPr="00267C7F">
              <w:rPr>
                <w:rFonts w:eastAsia="Times New Roman" w:cs="Arial"/>
                <w:bCs/>
                <w:sz w:val="20"/>
                <w:lang w:eastAsia="en-GB"/>
              </w:rPr>
              <w:t>24.9</w:t>
            </w:r>
          </w:p>
        </w:tc>
        <w:tc>
          <w:tcPr>
            <w:tcW w:w="548" w:type="pct"/>
            <w:noWrap/>
            <w:hideMark/>
          </w:tcPr>
          <w:p w:rsidR="005B73D2" w:rsidRPr="00267C7F" w:rsidRDefault="005B73D2" w:rsidP="005B73D2">
            <w:pPr>
              <w:jc w:val="right"/>
              <w:cnfStyle w:val="000000100000" w:firstRow="0" w:lastRow="0" w:firstColumn="0" w:lastColumn="0" w:oddVBand="0" w:evenVBand="0" w:oddHBand="1" w:evenHBand="0" w:firstRowFirstColumn="0" w:firstRowLastColumn="0" w:lastRowFirstColumn="0" w:lastRowLastColumn="0"/>
              <w:rPr>
                <w:rFonts w:eastAsia="Times New Roman" w:cs="Arial"/>
                <w:bCs/>
                <w:sz w:val="20"/>
                <w:lang w:eastAsia="en-GB"/>
              </w:rPr>
            </w:pPr>
            <w:r w:rsidRPr="00267C7F">
              <w:rPr>
                <w:rFonts w:eastAsia="Times New Roman" w:cs="Arial"/>
                <w:bCs/>
                <w:sz w:val="20"/>
                <w:lang w:eastAsia="en-GB"/>
              </w:rPr>
              <w:t>72,065</w:t>
            </w:r>
          </w:p>
        </w:tc>
        <w:tc>
          <w:tcPr>
            <w:tcW w:w="337" w:type="pct"/>
            <w:noWrap/>
            <w:hideMark/>
          </w:tcPr>
          <w:p w:rsidR="005B73D2" w:rsidRPr="00267C7F" w:rsidRDefault="005B73D2" w:rsidP="005B73D2">
            <w:pPr>
              <w:jc w:val="right"/>
              <w:cnfStyle w:val="000000100000" w:firstRow="0" w:lastRow="0" w:firstColumn="0" w:lastColumn="0" w:oddVBand="0" w:evenVBand="0" w:oddHBand="1" w:evenHBand="0" w:firstRowFirstColumn="0" w:firstRowLastColumn="0" w:lastRowFirstColumn="0" w:lastRowLastColumn="0"/>
              <w:rPr>
                <w:rFonts w:eastAsia="Times New Roman" w:cs="Arial"/>
                <w:bCs/>
                <w:sz w:val="20"/>
                <w:lang w:eastAsia="en-GB"/>
              </w:rPr>
            </w:pPr>
            <w:r w:rsidRPr="00267C7F">
              <w:rPr>
                <w:rFonts w:eastAsia="Times New Roman" w:cs="Arial"/>
                <w:bCs/>
                <w:sz w:val="20"/>
                <w:lang w:eastAsia="en-GB"/>
              </w:rPr>
              <w:t>19.3</w:t>
            </w:r>
          </w:p>
        </w:tc>
        <w:tc>
          <w:tcPr>
            <w:tcW w:w="536" w:type="pct"/>
            <w:noWrap/>
            <w:hideMark/>
          </w:tcPr>
          <w:p w:rsidR="005B73D2" w:rsidRPr="00267C7F" w:rsidRDefault="005B73D2" w:rsidP="005B73D2">
            <w:pPr>
              <w:jc w:val="right"/>
              <w:cnfStyle w:val="000000100000" w:firstRow="0" w:lastRow="0" w:firstColumn="0" w:lastColumn="0" w:oddVBand="0" w:evenVBand="0" w:oddHBand="1" w:evenHBand="0" w:firstRowFirstColumn="0" w:firstRowLastColumn="0" w:lastRowFirstColumn="0" w:lastRowLastColumn="0"/>
              <w:rPr>
                <w:rFonts w:eastAsia="Times New Roman" w:cs="Arial"/>
                <w:bCs/>
                <w:sz w:val="20"/>
                <w:lang w:eastAsia="en-GB"/>
              </w:rPr>
            </w:pPr>
            <w:r w:rsidRPr="00267C7F">
              <w:rPr>
                <w:rFonts w:eastAsia="Times New Roman" w:cs="Arial"/>
                <w:bCs/>
                <w:sz w:val="20"/>
                <w:lang w:eastAsia="en-GB"/>
              </w:rPr>
              <w:t>30,845</w:t>
            </w:r>
          </w:p>
        </w:tc>
        <w:tc>
          <w:tcPr>
            <w:tcW w:w="465" w:type="pct"/>
            <w:noWrap/>
            <w:hideMark/>
          </w:tcPr>
          <w:p w:rsidR="005B73D2" w:rsidRPr="00267C7F" w:rsidRDefault="005B73D2" w:rsidP="005B73D2">
            <w:pPr>
              <w:jc w:val="right"/>
              <w:cnfStyle w:val="000000100000" w:firstRow="0" w:lastRow="0" w:firstColumn="0" w:lastColumn="0" w:oddVBand="0" w:evenVBand="0" w:oddHBand="1" w:evenHBand="0" w:firstRowFirstColumn="0" w:firstRowLastColumn="0" w:lastRowFirstColumn="0" w:lastRowLastColumn="0"/>
              <w:rPr>
                <w:rFonts w:eastAsia="Times New Roman" w:cs="Arial"/>
                <w:bCs/>
                <w:sz w:val="20"/>
                <w:lang w:eastAsia="en-GB"/>
              </w:rPr>
            </w:pPr>
            <w:r w:rsidRPr="00267C7F">
              <w:rPr>
                <w:rFonts w:eastAsia="Times New Roman" w:cs="Arial"/>
                <w:bCs/>
                <w:sz w:val="20"/>
                <w:lang w:eastAsia="en-GB"/>
              </w:rPr>
              <w:t>8.3</w:t>
            </w:r>
          </w:p>
        </w:tc>
      </w:tr>
      <w:tr w:rsidR="00273CD7" w:rsidRPr="00267C7F" w:rsidTr="009D1EA9">
        <w:trPr>
          <w:trHeight w:val="300"/>
        </w:trPr>
        <w:tc>
          <w:tcPr>
            <w:cnfStyle w:val="001000000000" w:firstRow="0" w:lastRow="0" w:firstColumn="1" w:lastColumn="0" w:oddVBand="0" w:evenVBand="0" w:oddHBand="0" w:evenHBand="0" w:firstRowFirstColumn="0" w:firstRowLastColumn="0" w:lastRowFirstColumn="0" w:lastRowLastColumn="0"/>
            <w:tcW w:w="1360" w:type="pct"/>
            <w:noWrap/>
            <w:hideMark/>
          </w:tcPr>
          <w:p w:rsidR="005B73D2" w:rsidRPr="00267C7F" w:rsidRDefault="005B73D2" w:rsidP="005B73D2">
            <w:pPr>
              <w:rPr>
                <w:rFonts w:eastAsia="Times New Roman" w:cs="Arial"/>
                <w:bCs w:val="0"/>
                <w:sz w:val="20"/>
                <w:lang w:eastAsia="en-GB"/>
              </w:rPr>
            </w:pPr>
            <w:r w:rsidRPr="00267C7F">
              <w:rPr>
                <w:rFonts w:eastAsia="Times New Roman" w:cs="Arial"/>
                <w:bCs w:val="0"/>
                <w:sz w:val="20"/>
                <w:lang w:eastAsia="en-GB"/>
              </w:rPr>
              <w:t xml:space="preserve">South East </w:t>
            </w:r>
          </w:p>
        </w:tc>
        <w:tc>
          <w:tcPr>
            <w:tcW w:w="543" w:type="pct"/>
            <w:noWrap/>
            <w:hideMark/>
          </w:tcPr>
          <w:p w:rsidR="005B73D2" w:rsidRPr="00267C7F" w:rsidRDefault="005B73D2" w:rsidP="005B73D2">
            <w:pPr>
              <w:jc w:val="right"/>
              <w:cnfStyle w:val="000000000000" w:firstRow="0" w:lastRow="0" w:firstColumn="0" w:lastColumn="0" w:oddVBand="0" w:evenVBand="0" w:oddHBand="0" w:evenHBand="0" w:firstRowFirstColumn="0" w:firstRowLastColumn="0" w:lastRowFirstColumn="0" w:lastRowLastColumn="0"/>
              <w:rPr>
                <w:rFonts w:eastAsia="Times New Roman" w:cs="Arial"/>
                <w:bCs/>
                <w:sz w:val="20"/>
                <w:lang w:eastAsia="en-GB"/>
              </w:rPr>
            </w:pPr>
            <w:r w:rsidRPr="00267C7F">
              <w:rPr>
                <w:rFonts w:eastAsia="Times New Roman" w:cs="Arial"/>
                <w:bCs/>
                <w:sz w:val="20"/>
                <w:lang w:eastAsia="en-GB"/>
              </w:rPr>
              <w:t>14,770</w:t>
            </w:r>
          </w:p>
        </w:tc>
        <w:tc>
          <w:tcPr>
            <w:tcW w:w="334" w:type="pct"/>
            <w:noWrap/>
            <w:hideMark/>
          </w:tcPr>
          <w:p w:rsidR="005B73D2" w:rsidRPr="00267C7F" w:rsidRDefault="005B73D2" w:rsidP="005B73D2">
            <w:pPr>
              <w:jc w:val="right"/>
              <w:cnfStyle w:val="000000000000" w:firstRow="0" w:lastRow="0" w:firstColumn="0" w:lastColumn="0" w:oddVBand="0" w:evenVBand="0" w:oddHBand="0" w:evenHBand="0" w:firstRowFirstColumn="0" w:firstRowLastColumn="0" w:lastRowFirstColumn="0" w:lastRowLastColumn="0"/>
              <w:rPr>
                <w:rFonts w:eastAsia="Times New Roman" w:cs="Arial"/>
                <w:bCs/>
                <w:sz w:val="20"/>
                <w:lang w:eastAsia="en-GB"/>
              </w:rPr>
            </w:pPr>
            <w:r w:rsidRPr="00267C7F">
              <w:rPr>
                <w:rFonts w:eastAsia="Times New Roman" w:cs="Arial"/>
                <w:bCs/>
                <w:sz w:val="20"/>
                <w:lang w:eastAsia="en-GB"/>
              </w:rPr>
              <w:t>24.9</w:t>
            </w:r>
          </w:p>
        </w:tc>
        <w:tc>
          <w:tcPr>
            <w:tcW w:w="543" w:type="pct"/>
            <w:noWrap/>
            <w:hideMark/>
          </w:tcPr>
          <w:p w:rsidR="005B73D2" w:rsidRPr="00267C7F" w:rsidRDefault="005B73D2" w:rsidP="005B73D2">
            <w:pPr>
              <w:jc w:val="right"/>
              <w:cnfStyle w:val="000000000000" w:firstRow="0" w:lastRow="0" w:firstColumn="0" w:lastColumn="0" w:oddVBand="0" w:evenVBand="0" w:oddHBand="0" w:evenHBand="0" w:firstRowFirstColumn="0" w:firstRowLastColumn="0" w:lastRowFirstColumn="0" w:lastRowLastColumn="0"/>
              <w:rPr>
                <w:rFonts w:eastAsia="Times New Roman" w:cs="Arial"/>
                <w:bCs/>
                <w:sz w:val="20"/>
                <w:lang w:eastAsia="en-GB"/>
              </w:rPr>
            </w:pPr>
            <w:r w:rsidRPr="00267C7F">
              <w:rPr>
                <w:rFonts w:eastAsia="Times New Roman" w:cs="Arial"/>
                <w:bCs/>
                <w:sz w:val="20"/>
                <w:lang w:eastAsia="en-GB"/>
              </w:rPr>
              <w:t>12,730</w:t>
            </w:r>
          </w:p>
        </w:tc>
        <w:tc>
          <w:tcPr>
            <w:tcW w:w="334" w:type="pct"/>
            <w:noWrap/>
            <w:hideMark/>
          </w:tcPr>
          <w:p w:rsidR="005B73D2" w:rsidRPr="00267C7F" w:rsidRDefault="005B73D2" w:rsidP="005B73D2">
            <w:pPr>
              <w:jc w:val="right"/>
              <w:cnfStyle w:val="000000000000" w:firstRow="0" w:lastRow="0" w:firstColumn="0" w:lastColumn="0" w:oddVBand="0" w:evenVBand="0" w:oddHBand="0" w:evenHBand="0" w:firstRowFirstColumn="0" w:firstRowLastColumn="0" w:lastRowFirstColumn="0" w:lastRowLastColumn="0"/>
              <w:rPr>
                <w:rFonts w:eastAsia="Times New Roman" w:cs="Arial"/>
                <w:bCs/>
                <w:sz w:val="20"/>
                <w:lang w:eastAsia="en-GB"/>
              </w:rPr>
            </w:pPr>
            <w:r w:rsidRPr="00267C7F">
              <w:rPr>
                <w:rFonts w:eastAsia="Times New Roman" w:cs="Arial"/>
                <w:bCs/>
                <w:sz w:val="20"/>
                <w:lang w:eastAsia="en-GB"/>
              </w:rPr>
              <w:t>21.5</w:t>
            </w:r>
          </w:p>
        </w:tc>
        <w:tc>
          <w:tcPr>
            <w:tcW w:w="548" w:type="pct"/>
            <w:noWrap/>
            <w:hideMark/>
          </w:tcPr>
          <w:p w:rsidR="005B73D2" w:rsidRPr="00267C7F" w:rsidRDefault="005B73D2" w:rsidP="005B73D2">
            <w:pPr>
              <w:jc w:val="right"/>
              <w:cnfStyle w:val="000000000000" w:firstRow="0" w:lastRow="0" w:firstColumn="0" w:lastColumn="0" w:oddVBand="0" w:evenVBand="0" w:oddHBand="0" w:evenHBand="0" w:firstRowFirstColumn="0" w:firstRowLastColumn="0" w:lastRowFirstColumn="0" w:lastRowLastColumn="0"/>
              <w:rPr>
                <w:rFonts w:eastAsia="Times New Roman" w:cs="Arial"/>
                <w:bCs/>
                <w:sz w:val="20"/>
                <w:lang w:eastAsia="en-GB"/>
              </w:rPr>
            </w:pPr>
            <w:r w:rsidRPr="00267C7F">
              <w:rPr>
                <w:rFonts w:eastAsia="Times New Roman" w:cs="Arial"/>
                <w:bCs/>
                <w:sz w:val="20"/>
                <w:lang w:eastAsia="en-GB"/>
              </w:rPr>
              <w:t>11,820</w:t>
            </w:r>
          </w:p>
        </w:tc>
        <w:tc>
          <w:tcPr>
            <w:tcW w:w="337" w:type="pct"/>
            <w:noWrap/>
            <w:hideMark/>
          </w:tcPr>
          <w:p w:rsidR="005B73D2" w:rsidRPr="00267C7F" w:rsidRDefault="005B73D2" w:rsidP="005B73D2">
            <w:pPr>
              <w:jc w:val="right"/>
              <w:cnfStyle w:val="000000000000" w:firstRow="0" w:lastRow="0" w:firstColumn="0" w:lastColumn="0" w:oddVBand="0" w:evenVBand="0" w:oddHBand="0" w:evenHBand="0" w:firstRowFirstColumn="0" w:firstRowLastColumn="0" w:lastRowFirstColumn="0" w:lastRowLastColumn="0"/>
              <w:rPr>
                <w:rFonts w:eastAsia="Times New Roman" w:cs="Arial"/>
                <w:bCs/>
                <w:sz w:val="20"/>
                <w:lang w:eastAsia="en-GB"/>
              </w:rPr>
            </w:pPr>
            <w:r w:rsidRPr="00267C7F">
              <w:rPr>
                <w:rFonts w:eastAsia="Times New Roman" w:cs="Arial"/>
                <w:bCs/>
                <w:sz w:val="20"/>
                <w:lang w:eastAsia="en-GB"/>
              </w:rPr>
              <w:t>19.9</w:t>
            </w:r>
          </w:p>
        </w:tc>
        <w:tc>
          <w:tcPr>
            <w:tcW w:w="536" w:type="pct"/>
            <w:noWrap/>
            <w:hideMark/>
          </w:tcPr>
          <w:p w:rsidR="005B73D2" w:rsidRPr="00267C7F" w:rsidRDefault="005B73D2" w:rsidP="005B73D2">
            <w:pPr>
              <w:jc w:val="right"/>
              <w:cnfStyle w:val="000000000000" w:firstRow="0" w:lastRow="0" w:firstColumn="0" w:lastColumn="0" w:oddVBand="0" w:evenVBand="0" w:oddHBand="0" w:evenHBand="0" w:firstRowFirstColumn="0" w:firstRowLastColumn="0" w:lastRowFirstColumn="0" w:lastRowLastColumn="0"/>
              <w:rPr>
                <w:rFonts w:eastAsia="Times New Roman" w:cs="Arial"/>
                <w:bCs/>
                <w:sz w:val="20"/>
                <w:lang w:eastAsia="en-GB"/>
              </w:rPr>
            </w:pPr>
            <w:r w:rsidRPr="00267C7F">
              <w:rPr>
                <w:rFonts w:eastAsia="Times New Roman" w:cs="Arial"/>
                <w:bCs/>
                <w:sz w:val="20"/>
                <w:lang w:eastAsia="en-GB"/>
              </w:rPr>
              <w:t>5,545</w:t>
            </w:r>
          </w:p>
        </w:tc>
        <w:tc>
          <w:tcPr>
            <w:tcW w:w="465" w:type="pct"/>
            <w:noWrap/>
            <w:hideMark/>
          </w:tcPr>
          <w:p w:rsidR="005B73D2" w:rsidRPr="00267C7F" w:rsidRDefault="005B73D2" w:rsidP="005B73D2">
            <w:pPr>
              <w:jc w:val="right"/>
              <w:cnfStyle w:val="000000000000" w:firstRow="0" w:lastRow="0" w:firstColumn="0" w:lastColumn="0" w:oddVBand="0" w:evenVBand="0" w:oddHBand="0" w:evenHBand="0" w:firstRowFirstColumn="0" w:firstRowLastColumn="0" w:lastRowFirstColumn="0" w:lastRowLastColumn="0"/>
              <w:rPr>
                <w:rFonts w:eastAsia="Times New Roman" w:cs="Arial"/>
                <w:bCs/>
                <w:sz w:val="20"/>
                <w:lang w:eastAsia="en-GB"/>
              </w:rPr>
            </w:pPr>
            <w:r w:rsidRPr="00267C7F">
              <w:rPr>
                <w:rFonts w:eastAsia="Times New Roman" w:cs="Arial"/>
                <w:bCs/>
                <w:sz w:val="20"/>
                <w:lang w:eastAsia="en-GB"/>
              </w:rPr>
              <w:t>9.4</w:t>
            </w:r>
          </w:p>
        </w:tc>
      </w:tr>
      <w:tr w:rsidR="002C4E34" w:rsidRPr="00267C7F" w:rsidTr="009D1E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pct"/>
            <w:shd w:val="clear" w:color="auto" w:fill="4F81BD"/>
            <w:noWrap/>
            <w:hideMark/>
          </w:tcPr>
          <w:p w:rsidR="005B73D2" w:rsidRPr="00267C7F" w:rsidRDefault="005B73D2" w:rsidP="005B73D2">
            <w:pPr>
              <w:rPr>
                <w:rFonts w:eastAsia="Times New Roman" w:cs="Arial"/>
                <w:color w:val="FFFFFF" w:themeColor="background1"/>
                <w:sz w:val="20"/>
                <w:lang w:eastAsia="en-GB"/>
              </w:rPr>
            </w:pPr>
            <w:r w:rsidRPr="00267C7F">
              <w:rPr>
                <w:rFonts w:eastAsia="Times New Roman" w:cs="Arial"/>
                <w:color w:val="FFFFFF" w:themeColor="background1"/>
                <w:sz w:val="20"/>
                <w:lang w:eastAsia="en-GB"/>
              </w:rPr>
              <w:t>Medway</w:t>
            </w:r>
          </w:p>
        </w:tc>
        <w:tc>
          <w:tcPr>
            <w:tcW w:w="543" w:type="pct"/>
            <w:shd w:val="clear" w:color="auto" w:fill="4F81BD"/>
            <w:noWrap/>
            <w:hideMark/>
          </w:tcPr>
          <w:p w:rsidR="005B73D2" w:rsidRPr="00267C7F" w:rsidRDefault="005B73D2" w:rsidP="005B73D2">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FFFFFF" w:themeColor="background1"/>
                <w:sz w:val="20"/>
                <w:lang w:eastAsia="en-GB"/>
              </w:rPr>
            </w:pPr>
            <w:r w:rsidRPr="00267C7F">
              <w:rPr>
                <w:rFonts w:eastAsia="Times New Roman" w:cs="Arial"/>
                <w:color w:val="FFFFFF" w:themeColor="background1"/>
                <w:sz w:val="20"/>
                <w:lang w:eastAsia="en-GB"/>
              </w:rPr>
              <w:t>521</w:t>
            </w:r>
          </w:p>
        </w:tc>
        <w:tc>
          <w:tcPr>
            <w:tcW w:w="334" w:type="pct"/>
            <w:shd w:val="clear" w:color="auto" w:fill="4F81BD"/>
            <w:noWrap/>
            <w:hideMark/>
          </w:tcPr>
          <w:p w:rsidR="005B73D2" w:rsidRPr="00267C7F" w:rsidRDefault="005B73D2" w:rsidP="005B73D2">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FFFFFF" w:themeColor="background1"/>
                <w:sz w:val="20"/>
                <w:lang w:eastAsia="en-GB"/>
              </w:rPr>
            </w:pPr>
            <w:r w:rsidRPr="00267C7F">
              <w:rPr>
                <w:rFonts w:eastAsia="Times New Roman" w:cs="Arial"/>
                <w:color w:val="FFFFFF" w:themeColor="background1"/>
                <w:sz w:val="20"/>
                <w:lang w:eastAsia="en-GB"/>
              </w:rPr>
              <w:t>19.2</w:t>
            </w:r>
          </w:p>
        </w:tc>
        <w:tc>
          <w:tcPr>
            <w:tcW w:w="543" w:type="pct"/>
            <w:shd w:val="clear" w:color="auto" w:fill="4F81BD"/>
            <w:noWrap/>
            <w:hideMark/>
          </w:tcPr>
          <w:p w:rsidR="005B73D2" w:rsidRPr="00267C7F" w:rsidRDefault="005B73D2" w:rsidP="005B73D2">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FFFFFF" w:themeColor="background1"/>
                <w:sz w:val="20"/>
                <w:lang w:eastAsia="en-GB"/>
              </w:rPr>
            </w:pPr>
            <w:r w:rsidRPr="00267C7F">
              <w:rPr>
                <w:rFonts w:eastAsia="Times New Roman" w:cs="Arial"/>
                <w:color w:val="FFFFFF" w:themeColor="background1"/>
                <w:sz w:val="20"/>
                <w:lang w:eastAsia="en-GB"/>
              </w:rPr>
              <w:t>422</w:t>
            </w:r>
          </w:p>
        </w:tc>
        <w:tc>
          <w:tcPr>
            <w:tcW w:w="334" w:type="pct"/>
            <w:shd w:val="clear" w:color="auto" w:fill="4F81BD"/>
            <w:noWrap/>
            <w:hideMark/>
          </w:tcPr>
          <w:p w:rsidR="005B73D2" w:rsidRPr="00267C7F" w:rsidRDefault="005B73D2" w:rsidP="005B73D2">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FFFFFF" w:themeColor="background1"/>
                <w:sz w:val="20"/>
                <w:lang w:eastAsia="en-GB"/>
              </w:rPr>
            </w:pPr>
            <w:r w:rsidRPr="00267C7F">
              <w:rPr>
                <w:rFonts w:eastAsia="Times New Roman" w:cs="Arial"/>
                <w:color w:val="FFFFFF" w:themeColor="background1"/>
                <w:sz w:val="20"/>
                <w:lang w:eastAsia="en-GB"/>
              </w:rPr>
              <w:t>15.5</w:t>
            </w:r>
          </w:p>
        </w:tc>
        <w:tc>
          <w:tcPr>
            <w:tcW w:w="548" w:type="pct"/>
            <w:shd w:val="clear" w:color="auto" w:fill="4F81BD"/>
            <w:noWrap/>
            <w:hideMark/>
          </w:tcPr>
          <w:p w:rsidR="005B73D2" w:rsidRPr="00267C7F" w:rsidRDefault="005B73D2" w:rsidP="005B73D2">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FFFFFF" w:themeColor="background1"/>
                <w:sz w:val="20"/>
                <w:lang w:eastAsia="en-GB"/>
              </w:rPr>
            </w:pPr>
            <w:r w:rsidRPr="00267C7F">
              <w:rPr>
                <w:rFonts w:eastAsia="Times New Roman" w:cs="Arial"/>
                <w:color w:val="FFFFFF" w:themeColor="background1"/>
                <w:sz w:val="20"/>
                <w:lang w:eastAsia="en-GB"/>
              </w:rPr>
              <w:t>644</w:t>
            </w:r>
          </w:p>
        </w:tc>
        <w:tc>
          <w:tcPr>
            <w:tcW w:w="337" w:type="pct"/>
            <w:shd w:val="clear" w:color="auto" w:fill="4F81BD"/>
            <w:noWrap/>
            <w:hideMark/>
          </w:tcPr>
          <w:p w:rsidR="005B73D2" w:rsidRPr="00267C7F" w:rsidRDefault="005B73D2" w:rsidP="005B73D2">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FFFFFF" w:themeColor="background1"/>
                <w:sz w:val="20"/>
                <w:lang w:eastAsia="en-GB"/>
              </w:rPr>
            </w:pPr>
            <w:r w:rsidRPr="00267C7F">
              <w:rPr>
                <w:rFonts w:eastAsia="Times New Roman" w:cs="Arial"/>
                <w:color w:val="FFFFFF" w:themeColor="background1"/>
                <w:sz w:val="20"/>
                <w:lang w:eastAsia="en-GB"/>
              </w:rPr>
              <w:t>23.7</w:t>
            </w:r>
          </w:p>
        </w:tc>
        <w:tc>
          <w:tcPr>
            <w:tcW w:w="536" w:type="pct"/>
            <w:shd w:val="clear" w:color="auto" w:fill="4F81BD"/>
            <w:noWrap/>
            <w:hideMark/>
          </w:tcPr>
          <w:p w:rsidR="005B73D2" w:rsidRPr="00267C7F" w:rsidRDefault="005B73D2" w:rsidP="005B73D2">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FFFFFF" w:themeColor="background1"/>
                <w:sz w:val="20"/>
                <w:lang w:eastAsia="en-GB"/>
              </w:rPr>
            </w:pPr>
            <w:r w:rsidRPr="00267C7F">
              <w:rPr>
                <w:rFonts w:eastAsia="Times New Roman" w:cs="Arial"/>
                <w:color w:val="FFFFFF" w:themeColor="background1"/>
                <w:sz w:val="20"/>
                <w:lang w:eastAsia="en-GB"/>
              </w:rPr>
              <w:t>422</w:t>
            </w:r>
          </w:p>
        </w:tc>
        <w:tc>
          <w:tcPr>
            <w:tcW w:w="465" w:type="pct"/>
            <w:shd w:val="clear" w:color="auto" w:fill="4F81BD"/>
            <w:noWrap/>
            <w:hideMark/>
          </w:tcPr>
          <w:p w:rsidR="005B73D2" w:rsidRPr="00267C7F" w:rsidRDefault="005B73D2" w:rsidP="005B73D2">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FFFFFF" w:themeColor="background1"/>
                <w:sz w:val="20"/>
                <w:lang w:eastAsia="en-GB"/>
              </w:rPr>
            </w:pPr>
            <w:r w:rsidRPr="00267C7F">
              <w:rPr>
                <w:rFonts w:eastAsia="Times New Roman" w:cs="Arial"/>
                <w:color w:val="FFFFFF" w:themeColor="background1"/>
                <w:sz w:val="20"/>
                <w:lang w:eastAsia="en-GB"/>
              </w:rPr>
              <w:t>15.5</w:t>
            </w:r>
          </w:p>
        </w:tc>
      </w:tr>
      <w:tr w:rsidR="00273CD7" w:rsidRPr="00267C7F" w:rsidTr="009D1EA9">
        <w:trPr>
          <w:trHeight w:val="300"/>
        </w:trPr>
        <w:tc>
          <w:tcPr>
            <w:cnfStyle w:val="001000000000" w:firstRow="0" w:lastRow="0" w:firstColumn="1" w:lastColumn="0" w:oddVBand="0" w:evenVBand="0" w:oddHBand="0" w:evenHBand="0" w:firstRowFirstColumn="0" w:firstRowLastColumn="0" w:lastRowFirstColumn="0" w:lastRowLastColumn="0"/>
            <w:tcW w:w="1360" w:type="pct"/>
            <w:noWrap/>
            <w:hideMark/>
          </w:tcPr>
          <w:p w:rsidR="005B73D2" w:rsidRPr="00267C7F" w:rsidRDefault="005B73D2" w:rsidP="005B73D2">
            <w:pPr>
              <w:rPr>
                <w:rFonts w:eastAsia="Times New Roman" w:cs="Arial"/>
                <w:sz w:val="20"/>
                <w:lang w:eastAsia="en-GB"/>
              </w:rPr>
            </w:pPr>
            <w:r w:rsidRPr="00267C7F">
              <w:rPr>
                <w:rFonts w:eastAsia="Times New Roman" w:cs="Arial"/>
                <w:sz w:val="20"/>
                <w:lang w:eastAsia="en-GB"/>
              </w:rPr>
              <w:t>Dudley</w:t>
            </w:r>
          </w:p>
        </w:tc>
        <w:tc>
          <w:tcPr>
            <w:tcW w:w="543" w:type="pct"/>
            <w:noWrap/>
            <w:hideMark/>
          </w:tcPr>
          <w:p w:rsidR="005B73D2" w:rsidRPr="00267C7F" w:rsidRDefault="005B73D2" w:rsidP="005B73D2">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395</w:t>
            </w:r>
          </w:p>
        </w:tc>
        <w:tc>
          <w:tcPr>
            <w:tcW w:w="334" w:type="pct"/>
            <w:noWrap/>
            <w:hideMark/>
          </w:tcPr>
          <w:p w:rsidR="005B73D2" w:rsidRPr="00267C7F" w:rsidRDefault="005B73D2" w:rsidP="005B73D2">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17.5</w:t>
            </w:r>
          </w:p>
        </w:tc>
        <w:tc>
          <w:tcPr>
            <w:tcW w:w="543" w:type="pct"/>
            <w:noWrap/>
            <w:hideMark/>
          </w:tcPr>
          <w:p w:rsidR="005B73D2" w:rsidRPr="00267C7F" w:rsidRDefault="005B73D2" w:rsidP="005B73D2">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830</w:t>
            </w:r>
          </w:p>
        </w:tc>
        <w:tc>
          <w:tcPr>
            <w:tcW w:w="334" w:type="pct"/>
            <w:noWrap/>
            <w:hideMark/>
          </w:tcPr>
          <w:p w:rsidR="005B73D2" w:rsidRPr="00267C7F" w:rsidRDefault="005B73D2" w:rsidP="005B73D2">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36.8</w:t>
            </w:r>
          </w:p>
        </w:tc>
        <w:tc>
          <w:tcPr>
            <w:tcW w:w="548" w:type="pct"/>
            <w:noWrap/>
            <w:hideMark/>
          </w:tcPr>
          <w:p w:rsidR="005B73D2" w:rsidRPr="00267C7F" w:rsidRDefault="005B73D2" w:rsidP="005B73D2">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297</w:t>
            </w:r>
          </w:p>
        </w:tc>
        <w:tc>
          <w:tcPr>
            <w:tcW w:w="337" w:type="pct"/>
            <w:noWrap/>
            <w:hideMark/>
          </w:tcPr>
          <w:p w:rsidR="005B73D2" w:rsidRPr="00267C7F" w:rsidRDefault="005B73D2" w:rsidP="005B73D2">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13.2</w:t>
            </w:r>
          </w:p>
        </w:tc>
        <w:tc>
          <w:tcPr>
            <w:tcW w:w="536" w:type="pct"/>
            <w:noWrap/>
            <w:hideMark/>
          </w:tcPr>
          <w:p w:rsidR="005B73D2" w:rsidRPr="00267C7F" w:rsidRDefault="005B73D2" w:rsidP="005B73D2">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161</w:t>
            </w:r>
          </w:p>
        </w:tc>
        <w:tc>
          <w:tcPr>
            <w:tcW w:w="465" w:type="pct"/>
            <w:noWrap/>
            <w:hideMark/>
          </w:tcPr>
          <w:p w:rsidR="005B73D2" w:rsidRPr="00267C7F" w:rsidRDefault="005B73D2" w:rsidP="005B73D2">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7.1</w:t>
            </w:r>
          </w:p>
        </w:tc>
      </w:tr>
      <w:tr w:rsidR="00273CD7" w:rsidRPr="00267C7F" w:rsidTr="009D1E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pct"/>
            <w:noWrap/>
            <w:hideMark/>
          </w:tcPr>
          <w:p w:rsidR="005B73D2" w:rsidRPr="00267C7F" w:rsidRDefault="005B73D2" w:rsidP="005B73D2">
            <w:pPr>
              <w:rPr>
                <w:rFonts w:eastAsia="Times New Roman" w:cs="Arial"/>
                <w:sz w:val="20"/>
                <w:lang w:eastAsia="en-GB"/>
              </w:rPr>
            </w:pPr>
            <w:r w:rsidRPr="00267C7F">
              <w:rPr>
                <w:rFonts w:eastAsia="Times New Roman" w:cs="Arial"/>
                <w:sz w:val="20"/>
                <w:lang w:eastAsia="en-GB"/>
              </w:rPr>
              <w:t>Havering</w:t>
            </w:r>
          </w:p>
        </w:tc>
        <w:tc>
          <w:tcPr>
            <w:tcW w:w="543" w:type="pct"/>
            <w:noWrap/>
            <w:hideMark/>
          </w:tcPr>
          <w:p w:rsidR="005B73D2" w:rsidRPr="00267C7F" w:rsidRDefault="005B73D2" w:rsidP="005B73D2">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89</w:t>
            </w:r>
          </w:p>
        </w:tc>
        <w:tc>
          <w:tcPr>
            <w:tcW w:w="334" w:type="pct"/>
            <w:noWrap/>
            <w:hideMark/>
          </w:tcPr>
          <w:p w:rsidR="005B73D2" w:rsidRPr="00267C7F" w:rsidRDefault="005B73D2" w:rsidP="005B73D2">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8.2</w:t>
            </w:r>
          </w:p>
        </w:tc>
        <w:tc>
          <w:tcPr>
            <w:tcW w:w="543" w:type="pct"/>
            <w:noWrap/>
            <w:hideMark/>
          </w:tcPr>
          <w:p w:rsidR="005B73D2" w:rsidRPr="00267C7F" w:rsidRDefault="005B73D2" w:rsidP="005B73D2">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442</w:t>
            </w:r>
          </w:p>
        </w:tc>
        <w:tc>
          <w:tcPr>
            <w:tcW w:w="334" w:type="pct"/>
            <w:noWrap/>
            <w:hideMark/>
          </w:tcPr>
          <w:p w:rsidR="005B73D2" w:rsidRPr="00267C7F" w:rsidRDefault="005B73D2" w:rsidP="005B73D2">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40.9</w:t>
            </w:r>
          </w:p>
        </w:tc>
        <w:tc>
          <w:tcPr>
            <w:tcW w:w="548" w:type="pct"/>
            <w:noWrap/>
            <w:hideMark/>
          </w:tcPr>
          <w:p w:rsidR="005B73D2" w:rsidRPr="00267C7F" w:rsidRDefault="005B73D2" w:rsidP="005B73D2">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121</w:t>
            </w:r>
          </w:p>
        </w:tc>
        <w:tc>
          <w:tcPr>
            <w:tcW w:w="337" w:type="pct"/>
            <w:noWrap/>
            <w:hideMark/>
          </w:tcPr>
          <w:p w:rsidR="005B73D2" w:rsidRPr="00267C7F" w:rsidRDefault="005B73D2" w:rsidP="005B73D2">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11.2</w:t>
            </w:r>
          </w:p>
        </w:tc>
        <w:tc>
          <w:tcPr>
            <w:tcW w:w="536" w:type="pct"/>
            <w:noWrap/>
            <w:hideMark/>
          </w:tcPr>
          <w:p w:rsidR="005B73D2" w:rsidRPr="00267C7F" w:rsidRDefault="005B73D2" w:rsidP="005B73D2">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115</w:t>
            </w:r>
          </w:p>
        </w:tc>
        <w:tc>
          <w:tcPr>
            <w:tcW w:w="465" w:type="pct"/>
            <w:noWrap/>
            <w:hideMark/>
          </w:tcPr>
          <w:p w:rsidR="005B73D2" w:rsidRPr="00267C7F" w:rsidRDefault="005B73D2" w:rsidP="005B73D2">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10.6</w:t>
            </w:r>
          </w:p>
        </w:tc>
      </w:tr>
      <w:tr w:rsidR="00273CD7" w:rsidRPr="00267C7F" w:rsidTr="009D1EA9">
        <w:trPr>
          <w:trHeight w:val="300"/>
        </w:trPr>
        <w:tc>
          <w:tcPr>
            <w:cnfStyle w:val="001000000000" w:firstRow="0" w:lastRow="0" w:firstColumn="1" w:lastColumn="0" w:oddVBand="0" w:evenVBand="0" w:oddHBand="0" w:evenHBand="0" w:firstRowFirstColumn="0" w:firstRowLastColumn="0" w:lastRowFirstColumn="0" w:lastRowLastColumn="0"/>
            <w:tcW w:w="1360" w:type="pct"/>
            <w:noWrap/>
            <w:hideMark/>
          </w:tcPr>
          <w:p w:rsidR="005B73D2" w:rsidRPr="00267C7F" w:rsidRDefault="005B73D2" w:rsidP="005B73D2">
            <w:pPr>
              <w:rPr>
                <w:rFonts w:eastAsia="Times New Roman" w:cs="Arial"/>
                <w:sz w:val="20"/>
                <w:lang w:eastAsia="en-GB"/>
              </w:rPr>
            </w:pPr>
            <w:r w:rsidRPr="00267C7F">
              <w:rPr>
                <w:rFonts w:eastAsia="Times New Roman" w:cs="Arial"/>
                <w:sz w:val="20"/>
                <w:lang w:eastAsia="en-GB"/>
              </w:rPr>
              <w:t>Northamptonshire</w:t>
            </w:r>
          </w:p>
        </w:tc>
        <w:tc>
          <w:tcPr>
            <w:tcW w:w="543" w:type="pct"/>
            <w:noWrap/>
            <w:hideMark/>
          </w:tcPr>
          <w:p w:rsidR="005B73D2" w:rsidRPr="00267C7F" w:rsidRDefault="005B73D2" w:rsidP="005B73D2">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923</w:t>
            </w:r>
          </w:p>
        </w:tc>
        <w:tc>
          <w:tcPr>
            <w:tcW w:w="334" w:type="pct"/>
            <w:noWrap/>
            <w:hideMark/>
          </w:tcPr>
          <w:p w:rsidR="005B73D2" w:rsidRPr="00267C7F" w:rsidRDefault="005B73D2" w:rsidP="005B73D2">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24.1</w:t>
            </w:r>
          </w:p>
        </w:tc>
        <w:tc>
          <w:tcPr>
            <w:tcW w:w="543" w:type="pct"/>
            <w:noWrap/>
            <w:hideMark/>
          </w:tcPr>
          <w:p w:rsidR="005B73D2" w:rsidRPr="00267C7F" w:rsidRDefault="005B73D2" w:rsidP="005B73D2">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864</w:t>
            </w:r>
          </w:p>
        </w:tc>
        <w:tc>
          <w:tcPr>
            <w:tcW w:w="334" w:type="pct"/>
            <w:noWrap/>
            <w:hideMark/>
          </w:tcPr>
          <w:p w:rsidR="005B73D2" w:rsidRPr="00267C7F" w:rsidRDefault="005B73D2" w:rsidP="005B73D2">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22.5</w:t>
            </w:r>
          </w:p>
        </w:tc>
        <w:tc>
          <w:tcPr>
            <w:tcW w:w="548" w:type="pct"/>
            <w:noWrap/>
            <w:hideMark/>
          </w:tcPr>
          <w:p w:rsidR="005B73D2" w:rsidRPr="00267C7F" w:rsidRDefault="005B73D2" w:rsidP="005B73D2">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666</w:t>
            </w:r>
          </w:p>
        </w:tc>
        <w:tc>
          <w:tcPr>
            <w:tcW w:w="337" w:type="pct"/>
            <w:noWrap/>
            <w:hideMark/>
          </w:tcPr>
          <w:p w:rsidR="005B73D2" w:rsidRPr="00267C7F" w:rsidRDefault="005B73D2" w:rsidP="005B73D2">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17.4</w:t>
            </w:r>
          </w:p>
        </w:tc>
        <w:tc>
          <w:tcPr>
            <w:tcW w:w="536" w:type="pct"/>
            <w:noWrap/>
            <w:hideMark/>
          </w:tcPr>
          <w:p w:rsidR="005B73D2" w:rsidRPr="00267C7F" w:rsidRDefault="005B73D2" w:rsidP="005B73D2">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411</w:t>
            </w:r>
          </w:p>
        </w:tc>
        <w:tc>
          <w:tcPr>
            <w:tcW w:w="465" w:type="pct"/>
            <w:noWrap/>
            <w:hideMark/>
          </w:tcPr>
          <w:p w:rsidR="005B73D2" w:rsidRPr="00267C7F" w:rsidRDefault="005B73D2" w:rsidP="005B73D2">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10.7</w:t>
            </w:r>
          </w:p>
        </w:tc>
      </w:tr>
      <w:tr w:rsidR="00273CD7" w:rsidRPr="00267C7F" w:rsidTr="009D1E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pct"/>
            <w:noWrap/>
            <w:hideMark/>
          </w:tcPr>
          <w:p w:rsidR="005B73D2" w:rsidRPr="00267C7F" w:rsidRDefault="005B73D2" w:rsidP="005B73D2">
            <w:pPr>
              <w:rPr>
                <w:rFonts w:eastAsia="Times New Roman" w:cs="Arial"/>
                <w:sz w:val="20"/>
                <w:lang w:eastAsia="en-GB"/>
              </w:rPr>
            </w:pPr>
            <w:r w:rsidRPr="00267C7F">
              <w:rPr>
                <w:rFonts w:eastAsia="Times New Roman" w:cs="Arial"/>
                <w:sz w:val="20"/>
                <w:lang w:eastAsia="en-GB"/>
              </w:rPr>
              <w:t>Rotherham</w:t>
            </w:r>
          </w:p>
        </w:tc>
        <w:tc>
          <w:tcPr>
            <w:tcW w:w="543" w:type="pct"/>
            <w:noWrap/>
            <w:hideMark/>
          </w:tcPr>
          <w:p w:rsidR="005B73D2" w:rsidRPr="00267C7F" w:rsidRDefault="005B73D2" w:rsidP="005B73D2">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537</w:t>
            </w:r>
          </w:p>
        </w:tc>
        <w:tc>
          <w:tcPr>
            <w:tcW w:w="334" w:type="pct"/>
            <w:noWrap/>
            <w:hideMark/>
          </w:tcPr>
          <w:p w:rsidR="005B73D2" w:rsidRPr="00267C7F" w:rsidRDefault="005B73D2" w:rsidP="005B73D2">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21.7</w:t>
            </w:r>
          </w:p>
        </w:tc>
        <w:tc>
          <w:tcPr>
            <w:tcW w:w="543" w:type="pct"/>
            <w:noWrap/>
            <w:hideMark/>
          </w:tcPr>
          <w:p w:rsidR="005B73D2" w:rsidRPr="00267C7F" w:rsidRDefault="005B73D2" w:rsidP="005B73D2">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554</w:t>
            </w:r>
          </w:p>
        </w:tc>
        <w:tc>
          <w:tcPr>
            <w:tcW w:w="334" w:type="pct"/>
            <w:noWrap/>
            <w:hideMark/>
          </w:tcPr>
          <w:p w:rsidR="005B73D2" w:rsidRPr="00267C7F" w:rsidRDefault="005B73D2" w:rsidP="005B73D2">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22.4</w:t>
            </w:r>
          </w:p>
        </w:tc>
        <w:tc>
          <w:tcPr>
            <w:tcW w:w="548" w:type="pct"/>
            <w:noWrap/>
            <w:hideMark/>
          </w:tcPr>
          <w:p w:rsidR="005B73D2" w:rsidRPr="00267C7F" w:rsidRDefault="005B73D2" w:rsidP="005B73D2">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454</w:t>
            </w:r>
          </w:p>
        </w:tc>
        <w:tc>
          <w:tcPr>
            <w:tcW w:w="337" w:type="pct"/>
            <w:noWrap/>
            <w:hideMark/>
          </w:tcPr>
          <w:p w:rsidR="005B73D2" w:rsidRPr="00267C7F" w:rsidRDefault="005B73D2" w:rsidP="005B73D2">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18.3</w:t>
            </w:r>
          </w:p>
        </w:tc>
        <w:tc>
          <w:tcPr>
            <w:tcW w:w="536" w:type="pct"/>
            <w:noWrap/>
            <w:hideMark/>
          </w:tcPr>
          <w:p w:rsidR="005B73D2" w:rsidRPr="00267C7F" w:rsidRDefault="005B73D2" w:rsidP="005B73D2">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385</w:t>
            </w:r>
          </w:p>
        </w:tc>
        <w:tc>
          <w:tcPr>
            <w:tcW w:w="465" w:type="pct"/>
            <w:noWrap/>
            <w:hideMark/>
          </w:tcPr>
          <w:p w:rsidR="005B73D2" w:rsidRPr="00267C7F" w:rsidRDefault="005B73D2" w:rsidP="005B73D2">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15.5</w:t>
            </w:r>
          </w:p>
        </w:tc>
      </w:tr>
      <w:tr w:rsidR="00273CD7" w:rsidRPr="00267C7F" w:rsidTr="009D1EA9">
        <w:trPr>
          <w:trHeight w:val="300"/>
        </w:trPr>
        <w:tc>
          <w:tcPr>
            <w:cnfStyle w:val="001000000000" w:firstRow="0" w:lastRow="0" w:firstColumn="1" w:lastColumn="0" w:oddVBand="0" w:evenVBand="0" w:oddHBand="0" w:evenHBand="0" w:firstRowFirstColumn="0" w:firstRowLastColumn="0" w:lastRowFirstColumn="0" w:lastRowLastColumn="0"/>
            <w:tcW w:w="1360" w:type="pct"/>
            <w:noWrap/>
            <w:hideMark/>
          </w:tcPr>
          <w:p w:rsidR="005B73D2" w:rsidRPr="00267C7F" w:rsidRDefault="005B73D2" w:rsidP="005B73D2">
            <w:pPr>
              <w:rPr>
                <w:rFonts w:eastAsia="Times New Roman" w:cs="Arial"/>
                <w:sz w:val="20"/>
                <w:lang w:eastAsia="en-GB"/>
              </w:rPr>
            </w:pPr>
            <w:r w:rsidRPr="00267C7F">
              <w:rPr>
                <w:rFonts w:eastAsia="Times New Roman" w:cs="Arial"/>
                <w:sz w:val="20"/>
                <w:lang w:eastAsia="en-GB"/>
              </w:rPr>
              <w:t>Southend-on-Sea</w:t>
            </w:r>
          </w:p>
        </w:tc>
        <w:tc>
          <w:tcPr>
            <w:tcW w:w="543" w:type="pct"/>
            <w:noWrap/>
            <w:hideMark/>
          </w:tcPr>
          <w:p w:rsidR="005B73D2" w:rsidRPr="00267C7F" w:rsidRDefault="005B73D2" w:rsidP="005B73D2">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101</w:t>
            </w:r>
          </w:p>
        </w:tc>
        <w:tc>
          <w:tcPr>
            <w:tcW w:w="334" w:type="pct"/>
            <w:noWrap/>
            <w:hideMark/>
          </w:tcPr>
          <w:p w:rsidR="005B73D2" w:rsidRPr="00267C7F" w:rsidRDefault="005B73D2" w:rsidP="005B73D2">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11.2</w:t>
            </w:r>
          </w:p>
        </w:tc>
        <w:tc>
          <w:tcPr>
            <w:tcW w:w="543" w:type="pct"/>
            <w:noWrap/>
            <w:hideMark/>
          </w:tcPr>
          <w:p w:rsidR="005B73D2" w:rsidRPr="00267C7F" w:rsidRDefault="005B73D2" w:rsidP="005B73D2">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462</w:t>
            </w:r>
          </w:p>
        </w:tc>
        <w:tc>
          <w:tcPr>
            <w:tcW w:w="334" w:type="pct"/>
            <w:noWrap/>
            <w:hideMark/>
          </w:tcPr>
          <w:p w:rsidR="005B73D2" w:rsidRPr="00267C7F" w:rsidRDefault="005B73D2" w:rsidP="005B73D2">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51.3</w:t>
            </w:r>
          </w:p>
        </w:tc>
        <w:tc>
          <w:tcPr>
            <w:tcW w:w="548" w:type="pct"/>
            <w:noWrap/>
            <w:hideMark/>
          </w:tcPr>
          <w:p w:rsidR="005B73D2" w:rsidRPr="00267C7F" w:rsidRDefault="005B73D2" w:rsidP="005B73D2">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161</w:t>
            </w:r>
          </w:p>
        </w:tc>
        <w:tc>
          <w:tcPr>
            <w:tcW w:w="337" w:type="pct"/>
            <w:noWrap/>
            <w:hideMark/>
          </w:tcPr>
          <w:p w:rsidR="005B73D2" w:rsidRPr="00267C7F" w:rsidRDefault="005B73D2" w:rsidP="005B73D2">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17.9</w:t>
            </w:r>
          </w:p>
        </w:tc>
        <w:tc>
          <w:tcPr>
            <w:tcW w:w="536" w:type="pct"/>
            <w:noWrap/>
            <w:hideMark/>
          </w:tcPr>
          <w:p w:rsidR="005B73D2" w:rsidRPr="00267C7F" w:rsidRDefault="005B73D2" w:rsidP="005B73D2">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48</w:t>
            </w:r>
          </w:p>
        </w:tc>
        <w:tc>
          <w:tcPr>
            <w:tcW w:w="465" w:type="pct"/>
            <w:noWrap/>
            <w:hideMark/>
          </w:tcPr>
          <w:p w:rsidR="005B73D2" w:rsidRPr="00267C7F" w:rsidRDefault="005B73D2" w:rsidP="005B73D2">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5.3</w:t>
            </w:r>
          </w:p>
        </w:tc>
      </w:tr>
      <w:tr w:rsidR="00273CD7" w:rsidRPr="00267C7F" w:rsidTr="009D1E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pct"/>
            <w:noWrap/>
            <w:hideMark/>
          </w:tcPr>
          <w:p w:rsidR="005B73D2" w:rsidRPr="00267C7F" w:rsidRDefault="005B73D2" w:rsidP="005B73D2">
            <w:pPr>
              <w:rPr>
                <w:rFonts w:eastAsia="Times New Roman" w:cs="Arial"/>
                <w:sz w:val="20"/>
                <w:lang w:eastAsia="en-GB"/>
              </w:rPr>
            </w:pPr>
            <w:r w:rsidRPr="00267C7F">
              <w:rPr>
                <w:rFonts w:eastAsia="Times New Roman" w:cs="Arial"/>
                <w:sz w:val="20"/>
                <w:lang w:eastAsia="en-GB"/>
              </w:rPr>
              <w:t>Swindon</w:t>
            </w:r>
          </w:p>
        </w:tc>
        <w:tc>
          <w:tcPr>
            <w:tcW w:w="543" w:type="pct"/>
            <w:noWrap/>
            <w:hideMark/>
          </w:tcPr>
          <w:p w:rsidR="005B73D2" w:rsidRPr="00267C7F" w:rsidRDefault="005B73D2" w:rsidP="005B73D2">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318</w:t>
            </w:r>
          </w:p>
        </w:tc>
        <w:tc>
          <w:tcPr>
            <w:tcW w:w="334" w:type="pct"/>
            <w:noWrap/>
            <w:hideMark/>
          </w:tcPr>
          <w:p w:rsidR="005B73D2" w:rsidRPr="00267C7F" w:rsidRDefault="005B73D2" w:rsidP="005B73D2">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19.3</w:t>
            </w:r>
          </w:p>
        </w:tc>
        <w:tc>
          <w:tcPr>
            <w:tcW w:w="543" w:type="pct"/>
            <w:noWrap/>
            <w:hideMark/>
          </w:tcPr>
          <w:p w:rsidR="005B73D2" w:rsidRPr="00267C7F" w:rsidRDefault="005B73D2" w:rsidP="005B73D2">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392</w:t>
            </w:r>
          </w:p>
        </w:tc>
        <w:tc>
          <w:tcPr>
            <w:tcW w:w="334" w:type="pct"/>
            <w:noWrap/>
            <w:hideMark/>
          </w:tcPr>
          <w:p w:rsidR="005B73D2" w:rsidRPr="00267C7F" w:rsidRDefault="005B73D2" w:rsidP="005B73D2">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23.8</w:t>
            </w:r>
          </w:p>
        </w:tc>
        <w:tc>
          <w:tcPr>
            <w:tcW w:w="548" w:type="pct"/>
            <w:noWrap/>
            <w:hideMark/>
          </w:tcPr>
          <w:p w:rsidR="005B73D2" w:rsidRPr="00267C7F" w:rsidRDefault="005B73D2" w:rsidP="005B73D2">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314</w:t>
            </w:r>
          </w:p>
        </w:tc>
        <w:tc>
          <w:tcPr>
            <w:tcW w:w="337" w:type="pct"/>
            <w:noWrap/>
            <w:hideMark/>
          </w:tcPr>
          <w:p w:rsidR="005B73D2" w:rsidRPr="00267C7F" w:rsidRDefault="005B73D2" w:rsidP="005B73D2">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19.1</w:t>
            </w:r>
          </w:p>
        </w:tc>
        <w:tc>
          <w:tcPr>
            <w:tcW w:w="536" w:type="pct"/>
            <w:noWrap/>
            <w:hideMark/>
          </w:tcPr>
          <w:p w:rsidR="005B73D2" w:rsidRPr="00267C7F" w:rsidRDefault="005B73D2" w:rsidP="005B73D2">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118</w:t>
            </w:r>
          </w:p>
        </w:tc>
        <w:tc>
          <w:tcPr>
            <w:tcW w:w="465" w:type="pct"/>
            <w:noWrap/>
            <w:hideMark/>
          </w:tcPr>
          <w:p w:rsidR="005B73D2" w:rsidRPr="00267C7F" w:rsidRDefault="005B73D2" w:rsidP="005B73D2">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7.2</w:t>
            </w:r>
          </w:p>
        </w:tc>
      </w:tr>
      <w:tr w:rsidR="00273CD7" w:rsidRPr="00267C7F" w:rsidTr="009D1EA9">
        <w:trPr>
          <w:trHeight w:val="300"/>
        </w:trPr>
        <w:tc>
          <w:tcPr>
            <w:cnfStyle w:val="001000000000" w:firstRow="0" w:lastRow="0" w:firstColumn="1" w:lastColumn="0" w:oddVBand="0" w:evenVBand="0" w:oddHBand="0" w:evenHBand="0" w:firstRowFirstColumn="0" w:firstRowLastColumn="0" w:lastRowFirstColumn="0" w:lastRowLastColumn="0"/>
            <w:tcW w:w="1360" w:type="pct"/>
            <w:noWrap/>
            <w:hideMark/>
          </w:tcPr>
          <w:p w:rsidR="005B73D2" w:rsidRPr="00267C7F" w:rsidRDefault="005B73D2" w:rsidP="005B73D2">
            <w:pPr>
              <w:rPr>
                <w:rFonts w:eastAsia="Times New Roman" w:cs="Arial"/>
                <w:sz w:val="20"/>
                <w:lang w:eastAsia="en-GB"/>
              </w:rPr>
            </w:pPr>
            <w:r w:rsidRPr="00267C7F">
              <w:rPr>
                <w:rFonts w:eastAsia="Times New Roman" w:cs="Arial"/>
                <w:sz w:val="20"/>
                <w:lang w:eastAsia="en-GB"/>
              </w:rPr>
              <w:t>Telford and Wrekin</w:t>
            </w:r>
          </w:p>
        </w:tc>
        <w:tc>
          <w:tcPr>
            <w:tcW w:w="543" w:type="pct"/>
            <w:noWrap/>
            <w:hideMark/>
          </w:tcPr>
          <w:p w:rsidR="005B73D2" w:rsidRPr="00267C7F" w:rsidRDefault="005B73D2" w:rsidP="005B73D2">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332</w:t>
            </w:r>
          </w:p>
        </w:tc>
        <w:tc>
          <w:tcPr>
            <w:tcW w:w="334" w:type="pct"/>
            <w:noWrap/>
            <w:hideMark/>
          </w:tcPr>
          <w:p w:rsidR="005B73D2" w:rsidRPr="00267C7F" w:rsidRDefault="005B73D2" w:rsidP="005B73D2">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21.6</w:t>
            </w:r>
          </w:p>
        </w:tc>
        <w:tc>
          <w:tcPr>
            <w:tcW w:w="543" w:type="pct"/>
            <w:noWrap/>
            <w:hideMark/>
          </w:tcPr>
          <w:p w:rsidR="005B73D2" w:rsidRPr="00267C7F" w:rsidRDefault="005B73D2" w:rsidP="005B73D2">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461</w:t>
            </w:r>
          </w:p>
        </w:tc>
        <w:tc>
          <w:tcPr>
            <w:tcW w:w="334" w:type="pct"/>
            <w:noWrap/>
            <w:hideMark/>
          </w:tcPr>
          <w:p w:rsidR="005B73D2" w:rsidRPr="00267C7F" w:rsidRDefault="005B73D2" w:rsidP="005B73D2">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30.1</w:t>
            </w:r>
          </w:p>
        </w:tc>
        <w:tc>
          <w:tcPr>
            <w:tcW w:w="548" w:type="pct"/>
            <w:noWrap/>
            <w:hideMark/>
          </w:tcPr>
          <w:p w:rsidR="005B73D2" w:rsidRPr="00267C7F" w:rsidRDefault="005B73D2" w:rsidP="005B73D2">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301</w:t>
            </w:r>
          </w:p>
        </w:tc>
        <w:tc>
          <w:tcPr>
            <w:tcW w:w="337" w:type="pct"/>
            <w:noWrap/>
            <w:hideMark/>
          </w:tcPr>
          <w:p w:rsidR="005B73D2" w:rsidRPr="00267C7F" w:rsidRDefault="005B73D2" w:rsidP="005B73D2">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19.6</w:t>
            </w:r>
          </w:p>
        </w:tc>
        <w:tc>
          <w:tcPr>
            <w:tcW w:w="536" w:type="pct"/>
            <w:noWrap/>
            <w:hideMark/>
          </w:tcPr>
          <w:p w:rsidR="005B73D2" w:rsidRPr="00267C7F" w:rsidRDefault="005B73D2" w:rsidP="005B73D2">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119</w:t>
            </w:r>
          </w:p>
        </w:tc>
        <w:tc>
          <w:tcPr>
            <w:tcW w:w="465" w:type="pct"/>
            <w:noWrap/>
            <w:hideMark/>
          </w:tcPr>
          <w:p w:rsidR="005B73D2" w:rsidRPr="00267C7F" w:rsidRDefault="005B73D2" w:rsidP="005B73D2">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7.8</w:t>
            </w:r>
          </w:p>
        </w:tc>
      </w:tr>
      <w:tr w:rsidR="00273CD7" w:rsidRPr="00267C7F" w:rsidTr="009D1E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pct"/>
            <w:noWrap/>
            <w:hideMark/>
          </w:tcPr>
          <w:p w:rsidR="005B73D2" w:rsidRPr="00267C7F" w:rsidRDefault="005B73D2" w:rsidP="005B73D2">
            <w:pPr>
              <w:rPr>
                <w:rFonts w:eastAsia="Times New Roman" w:cs="Arial"/>
                <w:sz w:val="20"/>
                <w:lang w:eastAsia="en-GB"/>
              </w:rPr>
            </w:pPr>
            <w:r w:rsidRPr="00267C7F">
              <w:rPr>
                <w:rFonts w:eastAsia="Times New Roman" w:cs="Arial"/>
                <w:sz w:val="20"/>
                <w:lang w:eastAsia="en-GB"/>
              </w:rPr>
              <w:t>Thurrock</w:t>
            </w:r>
          </w:p>
        </w:tc>
        <w:tc>
          <w:tcPr>
            <w:tcW w:w="543" w:type="pct"/>
            <w:noWrap/>
            <w:hideMark/>
          </w:tcPr>
          <w:p w:rsidR="005B73D2" w:rsidRPr="00267C7F" w:rsidRDefault="005B73D2" w:rsidP="005B73D2">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308</w:t>
            </w:r>
          </w:p>
        </w:tc>
        <w:tc>
          <w:tcPr>
            <w:tcW w:w="334" w:type="pct"/>
            <w:noWrap/>
            <w:hideMark/>
          </w:tcPr>
          <w:p w:rsidR="005B73D2" w:rsidRPr="00267C7F" w:rsidRDefault="005B73D2" w:rsidP="005B73D2">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28.1</w:t>
            </w:r>
          </w:p>
        </w:tc>
        <w:tc>
          <w:tcPr>
            <w:tcW w:w="543" w:type="pct"/>
            <w:noWrap/>
            <w:hideMark/>
          </w:tcPr>
          <w:p w:rsidR="005B73D2" w:rsidRPr="00267C7F" w:rsidRDefault="005B73D2" w:rsidP="005B73D2">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285</w:t>
            </w:r>
          </w:p>
        </w:tc>
        <w:tc>
          <w:tcPr>
            <w:tcW w:w="334" w:type="pct"/>
            <w:noWrap/>
            <w:hideMark/>
          </w:tcPr>
          <w:p w:rsidR="005B73D2" w:rsidRPr="00267C7F" w:rsidRDefault="005B73D2" w:rsidP="005B73D2">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26.0</w:t>
            </w:r>
          </w:p>
        </w:tc>
        <w:tc>
          <w:tcPr>
            <w:tcW w:w="548" w:type="pct"/>
            <w:noWrap/>
            <w:hideMark/>
          </w:tcPr>
          <w:p w:rsidR="005B73D2" w:rsidRPr="00267C7F" w:rsidRDefault="005B73D2" w:rsidP="005B73D2">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245</w:t>
            </w:r>
          </w:p>
        </w:tc>
        <w:tc>
          <w:tcPr>
            <w:tcW w:w="337" w:type="pct"/>
            <w:noWrap/>
            <w:hideMark/>
          </w:tcPr>
          <w:p w:rsidR="005B73D2" w:rsidRPr="00267C7F" w:rsidRDefault="005B73D2" w:rsidP="005B73D2">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22.3</w:t>
            </w:r>
          </w:p>
        </w:tc>
        <w:tc>
          <w:tcPr>
            <w:tcW w:w="536" w:type="pct"/>
            <w:noWrap/>
            <w:hideMark/>
          </w:tcPr>
          <w:p w:rsidR="005B73D2" w:rsidRPr="00267C7F" w:rsidRDefault="005B73D2" w:rsidP="005B73D2">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45</w:t>
            </w:r>
          </w:p>
        </w:tc>
        <w:tc>
          <w:tcPr>
            <w:tcW w:w="465" w:type="pct"/>
            <w:noWrap/>
            <w:hideMark/>
          </w:tcPr>
          <w:p w:rsidR="005B73D2" w:rsidRPr="00267C7F" w:rsidRDefault="005B73D2" w:rsidP="005B73D2">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4.1</w:t>
            </w:r>
          </w:p>
        </w:tc>
      </w:tr>
      <w:tr w:rsidR="00BB2B3D" w:rsidRPr="00267C7F" w:rsidTr="009D1EA9">
        <w:trPr>
          <w:trHeight w:val="300"/>
        </w:trPr>
        <w:tc>
          <w:tcPr>
            <w:cnfStyle w:val="001000000000" w:firstRow="0" w:lastRow="0" w:firstColumn="1" w:lastColumn="0" w:oddVBand="0" w:evenVBand="0" w:oddHBand="0" w:evenHBand="0" w:firstRowFirstColumn="0" w:firstRowLastColumn="0" w:lastRowFirstColumn="0" w:lastRowLastColumn="0"/>
            <w:tcW w:w="1360" w:type="pct"/>
            <w:noWrap/>
          </w:tcPr>
          <w:p w:rsidR="00BB2B3D" w:rsidRPr="00267C7F" w:rsidRDefault="00BB2B3D" w:rsidP="005B73D2">
            <w:pPr>
              <w:rPr>
                <w:rFonts w:eastAsia="Times New Roman" w:cs="Arial"/>
                <w:sz w:val="20"/>
                <w:lang w:eastAsia="en-GB"/>
              </w:rPr>
            </w:pPr>
            <w:r w:rsidRPr="00267C7F">
              <w:rPr>
                <w:rFonts w:eastAsia="Times New Roman" w:cs="Arial"/>
                <w:color w:val="000000"/>
                <w:sz w:val="20"/>
                <w:szCs w:val="18"/>
                <w:lang w:eastAsia="en-GB"/>
              </w:rPr>
              <w:t>Statistical neighbour mean</w:t>
            </w:r>
          </w:p>
        </w:tc>
        <w:tc>
          <w:tcPr>
            <w:tcW w:w="543" w:type="pct"/>
            <w:noWrap/>
          </w:tcPr>
          <w:p w:rsidR="00BB2B3D" w:rsidRPr="00267C7F" w:rsidRDefault="00BB2B3D" w:rsidP="005B73D2">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GB"/>
              </w:rPr>
            </w:pPr>
          </w:p>
        </w:tc>
        <w:tc>
          <w:tcPr>
            <w:tcW w:w="334" w:type="pct"/>
            <w:noWrap/>
          </w:tcPr>
          <w:p w:rsidR="00BB2B3D" w:rsidRPr="00267C7F" w:rsidRDefault="00BB2B3D" w:rsidP="005B73D2">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19.3</w:t>
            </w:r>
          </w:p>
        </w:tc>
        <w:tc>
          <w:tcPr>
            <w:tcW w:w="543" w:type="pct"/>
            <w:noWrap/>
          </w:tcPr>
          <w:p w:rsidR="00BB2B3D" w:rsidRPr="00267C7F" w:rsidRDefault="00BB2B3D" w:rsidP="005B73D2">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GB"/>
              </w:rPr>
            </w:pPr>
          </w:p>
        </w:tc>
        <w:tc>
          <w:tcPr>
            <w:tcW w:w="334" w:type="pct"/>
            <w:noWrap/>
          </w:tcPr>
          <w:p w:rsidR="00BB2B3D" w:rsidRPr="00267C7F" w:rsidRDefault="00BB2B3D" w:rsidP="005B73D2">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26</w:t>
            </w:r>
          </w:p>
        </w:tc>
        <w:tc>
          <w:tcPr>
            <w:tcW w:w="548" w:type="pct"/>
            <w:noWrap/>
          </w:tcPr>
          <w:p w:rsidR="00BB2B3D" w:rsidRPr="00267C7F" w:rsidRDefault="00BB2B3D" w:rsidP="005B73D2">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GB"/>
              </w:rPr>
            </w:pPr>
          </w:p>
        </w:tc>
        <w:tc>
          <w:tcPr>
            <w:tcW w:w="337" w:type="pct"/>
            <w:noWrap/>
          </w:tcPr>
          <w:p w:rsidR="00BB2B3D" w:rsidRPr="00267C7F" w:rsidRDefault="00EF7898" w:rsidP="005B73D2">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18.3</w:t>
            </w:r>
          </w:p>
        </w:tc>
        <w:tc>
          <w:tcPr>
            <w:tcW w:w="536" w:type="pct"/>
            <w:noWrap/>
          </w:tcPr>
          <w:p w:rsidR="00BB2B3D" w:rsidRPr="00267C7F" w:rsidRDefault="00BB2B3D" w:rsidP="005B73D2">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GB"/>
              </w:rPr>
            </w:pPr>
          </w:p>
        </w:tc>
        <w:tc>
          <w:tcPr>
            <w:tcW w:w="465" w:type="pct"/>
            <w:noWrap/>
          </w:tcPr>
          <w:p w:rsidR="00BB2B3D" w:rsidRPr="00267C7F" w:rsidRDefault="00EF7898" w:rsidP="005B73D2">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GB"/>
              </w:rPr>
            </w:pPr>
            <w:r w:rsidRPr="00267C7F">
              <w:rPr>
                <w:rFonts w:eastAsia="Times New Roman" w:cs="Arial"/>
                <w:sz w:val="20"/>
                <w:lang w:eastAsia="en-GB"/>
              </w:rPr>
              <w:t>7.8</w:t>
            </w:r>
          </w:p>
        </w:tc>
      </w:tr>
    </w:tbl>
    <w:p w:rsidR="00C15AC6" w:rsidRDefault="00C15AC6" w:rsidP="00C15AC6">
      <w:pPr>
        <w:pStyle w:val="Caption"/>
      </w:pPr>
      <w:r>
        <w:t xml:space="preserve">Figure </w:t>
      </w:r>
      <w:r w:rsidR="00156E8B">
        <w:fldChar w:fldCharType="begin"/>
      </w:r>
      <w:r w:rsidR="00156E8B">
        <w:instrText xml:space="preserve"> SEQ Figure \* ARABIC </w:instrText>
      </w:r>
      <w:r w:rsidR="00156E8B">
        <w:fldChar w:fldCharType="separate"/>
      </w:r>
      <w:r w:rsidR="005C553C">
        <w:rPr>
          <w:noProof/>
        </w:rPr>
        <w:t>9</w:t>
      </w:r>
      <w:r w:rsidR="00156E8B">
        <w:rPr>
          <w:noProof/>
        </w:rPr>
        <w:fldChar w:fldCharType="end"/>
      </w:r>
      <w:r>
        <w:t xml:space="preserve"> Seconda</w:t>
      </w:r>
      <w:r w:rsidR="00CD01D3">
        <w:t>r</w:t>
      </w:r>
      <w:r>
        <w:t>y school pupils most common educational needs</w:t>
      </w:r>
    </w:p>
    <w:p w:rsidR="00081D29" w:rsidRDefault="009D1EA9" w:rsidP="00A6127B">
      <w:r>
        <w:rPr>
          <w:rFonts w:cs="HelveticaNeueLT Std Lt"/>
          <w:color w:val="000000"/>
          <w:szCs w:val="24"/>
        </w:rPr>
        <w:t>**</w:t>
      </w:r>
      <w:r w:rsidRPr="009D1EA9">
        <w:t xml:space="preserve"> </w:t>
      </w:r>
      <w:r>
        <w:t>Expressed as a percentage of all pupils with a type of need</w:t>
      </w:r>
    </w:p>
    <w:p w:rsidR="00903ABC" w:rsidRDefault="00903ABC" w:rsidP="00A6127B"/>
    <w:p w:rsidR="00903ABC" w:rsidRDefault="00903ABC" w:rsidP="00A6127B">
      <w:pPr>
        <w:rPr>
          <w:rFonts w:cs="HelveticaNeueLT Std Lt"/>
          <w:color w:val="000000"/>
          <w:szCs w:val="24"/>
        </w:rPr>
      </w:pPr>
      <w:r>
        <w:t>In terms of children with autism known to schools, 9.1%</w:t>
      </w:r>
      <w:r w:rsidR="00425B4B">
        <w:t xml:space="preserve"> of the SEN population</w:t>
      </w:r>
      <w:r>
        <w:t xml:space="preserve"> is the England average, compared to 18.1% in Medway.</w:t>
      </w:r>
      <w:r>
        <w:rPr>
          <w:rStyle w:val="FootnoteReference"/>
        </w:rPr>
        <w:footnoteReference w:id="23"/>
      </w:r>
      <w:r>
        <w:t xml:space="preserve"> </w:t>
      </w:r>
    </w:p>
    <w:p w:rsidR="00DB66C0" w:rsidRPr="009725FB" w:rsidRDefault="00412B2E" w:rsidP="00A2065F">
      <w:pPr>
        <w:pStyle w:val="Heading1"/>
        <w:numPr>
          <w:ilvl w:val="0"/>
          <w:numId w:val="47"/>
        </w:numPr>
      </w:pPr>
      <w:bookmarkStart w:id="8" w:name="_Toc434938019"/>
      <w:r>
        <w:t xml:space="preserve">NHS At Home: </w:t>
      </w:r>
      <w:r w:rsidR="00DB66C0" w:rsidRPr="009725FB">
        <w:t>Acute and short term conditions</w:t>
      </w:r>
      <w:bookmarkEnd w:id="8"/>
    </w:p>
    <w:p w:rsidR="00D139BE" w:rsidRDefault="00995F3C" w:rsidP="00D139BE">
      <w:r>
        <w:t>Nationally, u</w:t>
      </w:r>
      <w:r w:rsidR="00D139BE">
        <w:t xml:space="preserve">nder 20s account for over 4.9 million (26.5%) </w:t>
      </w:r>
      <w:r>
        <w:t xml:space="preserve">Accident and Emergency </w:t>
      </w:r>
      <w:r w:rsidR="00814E24">
        <w:t xml:space="preserve">department </w:t>
      </w:r>
      <w:r w:rsidR="00D139BE">
        <w:t xml:space="preserve">attendances each year. </w:t>
      </w:r>
      <w:r w:rsidR="003814D0">
        <w:t xml:space="preserve"> </w:t>
      </w:r>
      <w:r w:rsidR="00D139BE">
        <w:t>This compares to 3.6 million (19.4%) A&amp;E attendances by those aged over 65</w:t>
      </w:r>
      <w:r w:rsidR="00D139BE">
        <w:rPr>
          <w:rStyle w:val="FootnoteReference"/>
        </w:rPr>
        <w:footnoteReference w:id="24"/>
      </w:r>
      <w:r w:rsidR="00D139BE">
        <w:t>.</w:t>
      </w:r>
    </w:p>
    <w:p w:rsidR="00D139BE" w:rsidRDefault="00D139BE" w:rsidP="009324A6"/>
    <w:p w:rsidR="00D40D29" w:rsidRDefault="00EC227A" w:rsidP="009324A6">
      <w:pPr>
        <w:rPr>
          <w:rFonts w:cs="Arial"/>
          <w:szCs w:val="24"/>
        </w:rPr>
      </w:pPr>
      <w:r>
        <w:t>In the general population, a</w:t>
      </w:r>
      <w:r w:rsidR="00DF1EE5" w:rsidRPr="009324A6">
        <w:t>cute illness in children with breathing difficulty, fever or diarrhoea and vomiting can</w:t>
      </w:r>
      <w:r w:rsidR="00844533">
        <w:t xml:space="preserve"> usually</w:t>
      </w:r>
      <w:r w:rsidR="00DF1EE5" w:rsidRPr="009324A6">
        <w:t xml:space="preserve"> be managed with nursing observation at home when hospital admission would n</w:t>
      </w:r>
      <w:r w:rsidR="00DF1EE5">
        <w:t>ormally be considered necessary</w:t>
      </w:r>
      <w:r w:rsidR="00DF1EE5">
        <w:rPr>
          <w:rStyle w:val="FootnoteReference"/>
        </w:rPr>
        <w:footnoteReference w:id="25"/>
      </w:r>
      <w:r w:rsidR="00DF1EE5">
        <w:t>: i</w:t>
      </w:r>
      <w:r w:rsidR="003D0879">
        <w:t xml:space="preserve">n 2013/14, over 40% of under-five attendances at </w:t>
      </w:r>
      <w:r w:rsidR="00B9632D">
        <w:t>Medway Foundation Trust Emergency Department</w:t>
      </w:r>
      <w:r w:rsidR="009324A6">
        <w:t xml:space="preserve"> </w:t>
      </w:r>
      <w:r w:rsidR="003D0879">
        <w:t>did not result in</w:t>
      </w:r>
      <w:r w:rsidR="009324A6">
        <w:t xml:space="preserve"> investigati</w:t>
      </w:r>
      <w:r w:rsidR="00311395">
        <w:t>on or treatment, cost</w:t>
      </w:r>
      <w:r w:rsidR="00803FBC">
        <w:t>ing an average of £50 per child</w:t>
      </w:r>
      <w:r w:rsidR="00183282">
        <w:t xml:space="preserve">, </w:t>
      </w:r>
      <w:r w:rsidR="00311395">
        <w:t xml:space="preserve">according to the </w:t>
      </w:r>
      <w:hyperlink w:anchor="secscn" w:history="1">
        <w:r w:rsidR="00311395" w:rsidRPr="00AB527D">
          <w:rPr>
            <w:rStyle w:val="Hyperlink"/>
            <w:rFonts w:cs="Arial"/>
            <w:szCs w:val="24"/>
          </w:rPr>
          <w:t>South East Coast Strategic Clinical Network (SECSCN).</w:t>
        </w:r>
      </w:hyperlink>
      <w:r w:rsidR="00AB36C9">
        <w:rPr>
          <w:rFonts w:cs="Arial"/>
          <w:szCs w:val="24"/>
        </w:rPr>
        <w:t xml:space="preserve">  </w:t>
      </w:r>
      <w:r w:rsidR="00183282">
        <w:rPr>
          <w:rFonts w:cs="Arial"/>
          <w:szCs w:val="24"/>
        </w:rPr>
        <w:t xml:space="preserve">7,317 </w:t>
      </w:r>
      <w:r w:rsidR="00AB527D">
        <w:rPr>
          <w:rFonts w:cs="Arial"/>
          <w:szCs w:val="24"/>
        </w:rPr>
        <w:t xml:space="preserve">children aged under </w:t>
      </w:r>
      <w:r>
        <w:rPr>
          <w:rFonts w:cs="Arial"/>
          <w:szCs w:val="24"/>
        </w:rPr>
        <w:t xml:space="preserve">five </w:t>
      </w:r>
      <w:r w:rsidR="00183282">
        <w:rPr>
          <w:rFonts w:cs="Arial"/>
          <w:szCs w:val="24"/>
        </w:rPr>
        <w:t xml:space="preserve">attended in 2013/14; </w:t>
      </w:r>
      <w:r>
        <w:rPr>
          <w:rFonts w:cs="Arial"/>
          <w:szCs w:val="24"/>
        </w:rPr>
        <w:t xml:space="preserve">this could </w:t>
      </w:r>
      <w:r w:rsidR="00183282">
        <w:rPr>
          <w:rFonts w:cs="Arial"/>
          <w:szCs w:val="24"/>
        </w:rPr>
        <w:t xml:space="preserve">potentially </w:t>
      </w:r>
      <w:r>
        <w:rPr>
          <w:rFonts w:cs="Arial"/>
          <w:szCs w:val="24"/>
        </w:rPr>
        <w:t>mean nearly £150,000 spent</w:t>
      </w:r>
      <w:r w:rsidR="0044151C">
        <w:rPr>
          <w:rFonts w:cs="Arial"/>
          <w:szCs w:val="24"/>
        </w:rPr>
        <w:t xml:space="preserve"> on unnecessary attendances.  </w:t>
      </w:r>
      <w:r w:rsidR="00AB36C9">
        <w:rPr>
          <w:rFonts w:cs="Arial"/>
          <w:szCs w:val="24"/>
        </w:rPr>
        <w:t>An under-fives admission to hospital with zero length of stay costs an average of £1,198.49 per child.</w:t>
      </w:r>
      <w:r w:rsidR="0044151C">
        <w:rPr>
          <w:rFonts w:cs="Arial"/>
          <w:szCs w:val="24"/>
        </w:rPr>
        <w:t xml:space="preserve"> </w:t>
      </w:r>
    </w:p>
    <w:p w:rsidR="00DB66C0" w:rsidRPr="009324A6" w:rsidRDefault="00DB66C0" w:rsidP="00C80125">
      <w:pPr>
        <w:contextualSpacing/>
      </w:pPr>
    </w:p>
    <w:p w:rsidR="003A7492" w:rsidRDefault="00C2796A" w:rsidP="003A7492">
      <w:pPr>
        <w:rPr>
          <w:rFonts w:cs="Arial"/>
          <w:szCs w:val="24"/>
        </w:rPr>
      </w:pPr>
      <w:r w:rsidRPr="00C2796A">
        <w:rPr>
          <w:rFonts w:cs="Arial"/>
          <w:szCs w:val="24"/>
        </w:rPr>
        <w:t>Those</w:t>
      </w:r>
      <w:r w:rsidR="00D40D29" w:rsidRPr="00C2796A">
        <w:rPr>
          <w:rFonts w:cs="Arial"/>
          <w:szCs w:val="24"/>
        </w:rPr>
        <w:t xml:space="preserve"> children with an existing illness or disability may</w:t>
      </w:r>
      <w:r w:rsidRPr="00C2796A">
        <w:rPr>
          <w:rFonts w:cs="Arial"/>
          <w:szCs w:val="24"/>
        </w:rPr>
        <w:t xml:space="preserve"> </w:t>
      </w:r>
      <w:r w:rsidR="00B95D01">
        <w:rPr>
          <w:rFonts w:cs="Arial"/>
          <w:szCs w:val="24"/>
        </w:rPr>
        <w:t xml:space="preserve">also </w:t>
      </w:r>
      <w:r w:rsidRPr="00C2796A">
        <w:rPr>
          <w:rFonts w:cs="Arial"/>
          <w:szCs w:val="24"/>
        </w:rPr>
        <w:t xml:space="preserve">of course </w:t>
      </w:r>
      <w:r w:rsidR="00D40D29" w:rsidRPr="00C2796A">
        <w:rPr>
          <w:rFonts w:cs="Arial"/>
          <w:szCs w:val="24"/>
        </w:rPr>
        <w:t>experience an acute episode or ne</w:t>
      </w:r>
      <w:r w:rsidR="00CD01D3">
        <w:rPr>
          <w:rFonts w:cs="Arial"/>
          <w:szCs w:val="24"/>
        </w:rPr>
        <w:t>ed short term care.</w:t>
      </w:r>
      <w:r w:rsidR="00D40D29" w:rsidRPr="00C2796A">
        <w:rPr>
          <w:rFonts w:cs="Arial"/>
          <w:szCs w:val="24"/>
        </w:rPr>
        <w:t xml:space="preserve"> </w:t>
      </w:r>
      <w:r w:rsidR="003A7492">
        <w:rPr>
          <w:rFonts w:cs="Arial"/>
          <w:szCs w:val="24"/>
        </w:rPr>
        <w:t xml:space="preserve">Figure </w:t>
      </w:r>
      <w:r w:rsidR="00CD01D3">
        <w:rPr>
          <w:rFonts w:cs="Arial"/>
          <w:szCs w:val="24"/>
        </w:rPr>
        <w:t>10</w:t>
      </w:r>
      <w:r w:rsidR="003A7492">
        <w:rPr>
          <w:rFonts w:cs="Arial"/>
          <w:szCs w:val="24"/>
        </w:rPr>
        <w:t xml:space="preserve"> below shows the length of hospital stay following admission for Medway children with complex health conditions, compared to the four most similar CCGs (as defined by NHS RightCare Commissioning for Value) and the Southern Region</w:t>
      </w:r>
      <w:r w:rsidR="003A7492">
        <w:rPr>
          <w:rStyle w:val="FootnoteReference"/>
          <w:rFonts w:cs="Arial"/>
          <w:szCs w:val="24"/>
        </w:rPr>
        <w:footnoteReference w:id="26"/>
      </w:r>
      <w:r w:rsidR="003A7492">
        <w:rPr>
          <w:rFonts w:cs="Arial"/>
          <w:szCs w:val="24"/>
        </w:rPr>
        <w:t xml:space="preserve">.  Medway children spend approximately one third longer in hospital than </w:t>
      </w:r>
      <w:r w:rsidR="00B35DA2">
        <w:rPr>
          <w:rFonts w:cs="Arial"/>
          <w:szCs w:val="24"/>
        </w:rPr>
        <w:t>the</w:t>
      </w:r>
      <w:r w:rsidR="003A7492">
        <w:rPr>
          <w:rFonts w:cs="Arial"/>
          <w:szCs w:val="24"/>
        </w:rPr>
        <w:t xml:space="preserve"> comparators.</w:t>
      </w:r>
    </w:p>
    <w:p w:rsidR="003A7492" w:rsidRDefault="003A7492" w:rsidP="003A7492">
      <w:pPr>
        <w:rPr>
          <w:rFonts w:cs="Arial"/>
          <w:szCs w:val="24"/>
        </w:rPr>
      </w:pPr>
    </w:p>
    <w:tbl>
      <w:tblPr>
        <w:tblStyle w:val="LightList-Accent1"/>
        <w:tblW w:w="5000" w:type="pct"/>
        <w:tblLook w:val="04A0" w:firstRow="1" w:lastRow="0" w:firstColumn="1" w:lastColumn="0" w:noHBand="0" w:noVBand="1"/>
      </w:tblPr>
      <w:tblGrid>
        <w:gridCol w:w="5351"/>
        <w:gridCol w:w="3891"/>
      </w:tblGrid>
      <w:tr w:rsidR="003A7492" w:rsidRPr="002F3EBF" w:rsidTr="00091FB9">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2895" w:type="pct"/>
            <w:shd w:val="clear" w:color="auto" w:fill="auto"/>
            <w:noWrap/>
            <w:hideMark/>
          </w:tcPr>
          <w:p w:rsidR="003A7492" w:rsidRPr="002F3EBF" w:rsidRDefault="003A7492" w:rsidP="00EB6C67">
            <w:pPr>
              <w:jc w:val="center"/>
              <w:rPr>
                <w:rFonts w:eastAsia="Times New Roman" w:cs="Arial"/>
                <w:b w:val="0"/>
                <w:bCs w:val="0"/>
                <w:sz w:val="20"/>
                <w:szCs w:val="20"/>
                <w:lang w:eastAsia="en-GB"/>
              </w:rPr>
            </w:pPr>
            <w:r w:rsidRPr="002F3EBF">
              <w:rPr>
                <w:rFonts w:eastAsia="Times New Roman" w:cs="Arial"/>
                <w:b w:val="0"/>
                <w:bCs w:val="0"/>
                <w:sz w:val="20"/>
                <w:szCs w:val="20"/>
                <w:lang w:eastAsia="en-GB"/>
              </w:rPr>
              <w:t> </w:t>
            </w:r>
          </w:p>
        </w:tc>
        <w:tc>
          <w:tcPr>
            <w:tcW w:w="2105" w:type="pct"/>
            <w:hideMark/>
          </w:tcPr>
          <w:p w:rsidR="003A7492" w:rsidRPr="002F3EBF" w:rsidRDefault="003A7492" w:rsidP="00EB6C6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lang w:eastAsia="en-GB"/>
              </w:rPr>
            </w:pPr>
            <w:r w:rsidRPr="002F3EBF">
              <w:rPr>
                <w:rFonts w:eastAsia="Times New Roman" w:cs="Arial"/>
                <w:b w:val="0"/>
                <w:bCs w:val="0"/>
                <w:sz w:val="20"/>
                <w:szCs w:val="20"/>
                <w:lang w:eastAsia="en-GB"/>
              </w:rPr>
              <w:t>Bed days</w:t>
            </w:r>
          </w:p>
        </w:tc>
      </w:tr>
      <w:tr w:rsidR="003A7492" w:rsidRPr="002F3EBF" w:rsidTr="00091FB9">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895" w:type="pct"/>
            <w:hideMark/>
          </w:tcPr>
          <w:p w:rsidR="003A7492" w:rsidRPr="002F3EBF" w:rsidRDefault="003A7492" w:rsidP="00EB6C67">
            <w:pPr>
              <w:rPr>
                <w:rFonts w:eastAsia="Times New Roman" w:cs="Arial"/>
                <w:sz w:val="20"/>
                <w:szCs w:val="20"/>
                <w:lang w:eastAsia="en-GB"/>
              </w:rPr>
            </w:pPr>
            <w:r w:rsidRPr="002F3EBF">
              <w:rPr>
                <w:rFonts w:eastAsia="Times New Roman" w:cs="Arial"/>
                <w:sz w:val="20"/>
                <w:szCs w:val="20"/>
                <w:lang w:eastAsia="en-GB"/>
              </w:rPr>
              <w:t>NHS Medway (number)</w:t>
            </w:r>
          </w:p>
        </w:tc>
        <w:tc>
          <w:tcPr>
            <w:tcW w:w="2105" w:type="pct"/>
            <w:noWrap/>
            <w:hideMark/>
          </w:tcPr>
          <w:p w:rsidR="003A7492" w:rsidRPr="002F3EBF" w:rsidRDefault="003A7492" w:rsidP="00EB6C67">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sidRPr="002F3EBF">
              <w:rPr>
                <w:rFonts w:eastAsia="Times New Roman" w:cs="Arial"/>
                <w:sz w:val="20"/>
                <w:szCs w:val="20"/>
                <w:lang w:eastAsia="en-GB"/>
              </w:rPr>
              <w:t>3,808</w:t>
            </w:r>
          </w:p>
        </w:tc>
      </w:tr>
      <w:tr w:rsidR="003A7492" w:rsidRPr="002F3EBF" w:rsidTr="00091FB9">
        <w:trPr>
          <w:trHeight w:val="391"/>
        </w:trPr>
        <w:tc>
          <w:tcPr>
            <w:cnfStyle w:val="001000000000" w:firstRow="0" w:lastRow="0" w:firstColumn="1" w:lastColumn="0" w:oddVBand="0" w:evenVBand="0" w:oddHBand="0" w:evenHBand="0" w:firstRowFirstColumn="0" w:firstRowLastColumn="0" w:lastRowFirstColumn="0" w:lastRowLastColumn="0"/>
            <w:tcW w:w="2895" w:type="pct"/>
            <w:hideMark/>
          </w:tcPr>
          <w:p w:rsidR="003A7492" w:rsidRPr="002F3EBF" w:rsidRDefault="003A7492" w:rsidP="00EB6C67">
            <w:pPr>
              <w:rPr>
                <w:rFonts w:eastAsia="Times New Roman" w:cs="Arial"/>
                <w:sz w:val="20"/>
                <w:szCs w:val="20"/>
                <w:lang w:eastAsia="en-GB"/>
              </w:rPr>
            </w:pPr>
            <w:r w:rsidRPr="002F3EBF">
              <w:rPr>
                <w:rFonts w:eastAsia="Times New Roman" w:cs="Arial"/>
                <w:sz w:val="20"/>
                <w:szCs w:val="20"/>
                <w:lang w:eastAsia="en-GB"/>
              </w:rPr>
              <w:t>NHS Medway (rate per 100,000)</w:t>
            </w:r>
          </w:p>
        </w:tc>
        <w:tc>
          <w:tcPr>
            <w:tcW w:w="2105" w:type="pct"/>
            <w:noWrap/>
            <w:hideMark/>
          </w:tcPr>
          <w:p w:rsidR="003A7492" w:rsidRPr="002F3EBF" w:rsidRDefault="003A7492" w:rsidP="00EB6C67">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2F3EBF">
              <w:rPr>
                <w:rFonts w:eastAsia="Times New Roman" w:cs="Arial"/>
                <w:sz w:val="20"/>
                <w:szCs w:val="20"/>
                <w:lang w:eastAsia="en-GB"/>
              </w:rPr>
              <w:t>6,607.7</w:t>
            </w:r>
          </w:p>
        </w:tc>
      </w:tr>
      <w:tr w:rsidR="003A7492" w:rsidRPr="002F3EBF" w:rsidTr="00091FB9">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2895" w:type="pct"/>
            <w:hideMark/>
          </w:tcPr>
          <w:p w:rsidR="003A7492" w:rsidRPr="002F3EBF" w:rsidRDefault="003A7492" w:rsidP="00EB6C67">
            <w:pPr>
              <w:rPr>
                <w:rFonts w:eastAsia="Times New Roman" w:cs="Arial"/>
                <w:sz w:val="20"/>
                <w:szCs w:val="20"/>
                <w:lang w:eastAsia="en-GB"/>
              </w:rPr>
            </w:pPr>
            <w:r w:rsidRPr="002F3EBF">
              <w:rPr>
                <w:rFonts w:eastAsia="Times New Roman" w:cs="Arial"/>
                <w:sz w:val="20"/>
                <w:szCs w:val="20"/>
                <w:lang w:eastAsia="en-GB"/>
              </w:rPr>
              <w:t>4 'most similar' CCGs</w:t>
            </w:r>
          </w:p>
        </w:tc>
        <w:tc>
          <w:tcPr>
            <w:tcW w:w="2105" w:type="pct"/>
            <w:noWrap/>
            <w:hideMark/>
          </w:tcPr>
          <w:p w:rsidR="003A7492" w:rsidRPr="002F3EBF" w:rsidRDefault="003A7492" w:rsidP="00EB6C67">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sidRPr="002F3EBF">
              <w:rPr>
                <w:rFonts w:eastAsia="Times New Roman" w:cs="Arial"/>
                <w:sz w:val="20"/>
                <w:szCs w:val="20"/>
                <w:lang w:eastAsia="en-GB"/>
              </w:rPr>
              <w:t>3,944.3</w:t>
            </w:r>
          </w:p>
        </w:tc>
      </w:tr>
      <w:tr w:rsidR="003A7492" w:rsidRPr="002F3EBF" w:rsidTr="00091FB9">
        <w:trPr>
          <w:trHeight w:val="403"/>
        </w:trPr>
        <w:tc>
          <w:tcPr>
            <w:cnfStyle w:val="001000000000" w:firstRow="0" w:lastRow="0" w:firstColumn="1" w:lastColumn="0" w:oddVBand="0" w:evenVBand="0" w:oddHBand="0" w:evenHBand="0" w:firstRowFirstColumn="0" w:firstRowLastColumn="0" w:lastRowFirstColumn="0" w:lastRowLastColumn="0"/>
            <w:tcW w:w="2895" w:type="pct"/>
          </w:tcPr>
          <w:p w:rsidR="003A7492" w:rsidRPr="002F3EBF" w:rsidRDefault="003A7492" w:rsidP="00EB6C67">
            <w:pPr>
              <w:rPr>
                <w:rFonts w:eastAsia="Times New Roman" w:cs="Arial"/>
                <w:sz w:val="20"/>
                <w:szCs w:val="20"/>
                <w:lang w:eastAsia="en-GB"/>
              </w:rPr>
            </w:pPr>
            <w:r>
              <w:rPr>
                <w:rFonts w:eastAsia="Times New Roman" w:cs="Arial"/>
                <w:sz w:val="20"/>
                <w:szCs w:val="20"/>
                <w:lang w:eastAsia="en-GB"/>
              </w:rPr>
              <w:t>Southern Region</w:t>
            </w:r>
          </w:p>
        </w:tc>
        <w:tc>
          <w:tcPr>
            <w:tcW w:w="2105" w:type="pct"/>
            <w:noWrap/>
          </w:tcPr>
          <w:p w:rsidR="003A7492" w:rsidRPr="0072777A" w:rsidRDefault="003A7492" w:rsidP="00EB6C67">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Pr>
                <w:rFonts w:eastAsia="Times New Roman" w:cs="Arial"/>
                <w:sz w:val="20"/>
                <w:szCs w:val="20"/>
                <w:lang w:eastAsia="en-GB"/>
              </w:rPr>
              <w:t>3,693.8</w:t>
            </w:r>
          </w:p>
        </w:tc>
      </w:tr>
      <w:tr w:rsidR="003A7492" w:rsidRPr="002F3EBF" w:rsidTr="00814E24">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895" w:type="pct"/>
          </w:tcPr>
          <w:p w:rsidR="003A7492" w:rsidRPr="002F3EBF" w:rsidRDefault="003A7492" w:rsidP="00EB6C67">
            <w:pPr>
              <w:rPr>
                <w:rFonts w:eastAsia="Times New Roman" w:cs="Arial"/>
                <w:sz w:val="20"/>
                <w:szCs w:val="20"/>
                <w:lang w:eastAsia="en-GB"/>
              </w:rPr>
            </w:pPr>
            <w:r>
              <w:rPr>
                <w:rFonts w:eastAsia="Times New Roman" w:cs="Arial"/>
                <w:sz w:val="20"/>
                <w:szCs w:val="20"/>
                <w:lang w:eastAsia="en-GB"/>
              </w:rPr>
              <w:t>Significance</w:t>
            </w:r>
          </w:p>
        </w:tc>
        <w:tc>
          <w:tcPr>
            <w:tcW w:w="2105" w:type="pct"/>
            <w:shd w:val="clear" w:color="auto" w:fill="FF0000"/>
            <w:noWrap/>
          </w:tcPr>
          <w:p w:rsidR="003A7492" w:rsidRPr="003A7492" w:rsidRDefault="003A7492" w:rsidP="00EB6C67">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sidRPr="00814E24">
              <w:rPr>
                <w:rFonts w:eastAsia="Times New Roman" w:cs="Arial"/>
                <w:color w:val="FFFFFF" w:themeColor="background1"/>
                <w:sz w:val="20"/>
                <w:szCs w:val="20"/>
                <w:shd w:val="clear" w:color="auto" w:fill="FF0000"/>
                <w:lang w:eastAsia="en-GB"/>
              </w:rPr>
              <w:t>Worse</w:t>
            </w:r>
            <w:r w:rsidRPr="00091FB9">
              <w:rPr>
                <w:rFonts w:eastAsia="Times New Roman" w:cs="Arial"/>
                <w:color w:val="FFFFFF" w:themeColor="background1"/>
                <w:sz w:val="20"/>
                <w:szCs w:val="20"/>
                <w:lang w:eastAsia="en-GB"/>
              </w:rPr>
              <w:t xml:space="preserve"> than similar CCGs and the region</w:t>
            </w:r>
          </w:p>
        </w:tc>
      </w:tr>
      <w:tr w:rsidR="003A7492" w:rsidRPr="002F3EBF" w:rsidTr="00091FB9">
        <w:trPr>
          <w:trHeight w:val="618"/>
        </w:trPr>
        <w:tc>
          <w:tcPr>
            <w:cnfStyle w:val="001000000000" w:firstRow="0" w:lastRow="0" w:firstColumn="1" w:lastColumn="0" w:oddVBand="0" w:evenVBand="0" w:oddHBand="0" w:evenHBand="0" w:firstRowFirstColumn="0" w:firstRowLastColumn="0" w:lastRowFirstColumn="0" w:lastRowLastColumn="0"/>
            <w:tcW w:w="2895" w:type="pct"/>
          </w:tcPr>
          <w:p w:rsidR="003A7492" w:rsidRPr="002F3EBF" w:rsidRDefault="003A7492" w:rsidP="00EB6C67">
            <w:pPr>
              <w:rPr>
                <w:rFonts w:eastAsia="Times New Roman" w:cs="Arial"/>
                <w:sz w:val="20"/>
                <w:szCs w:val="20"/>
                <w:lang w:eastAsia="en-GB"/>
              </w:rPr>
            </w:pPr>
            <w:r w:rsidRPr="002F3EBF">
              <w:rPr>
                <w:rFonts w:eastAsia="Times New Roman" w:cs="Arial"/>
                <w:sz w:val="20"/>
                <w:szCs w:val="20"/>
                <w:lang w:eastAsia="en-GB"/>
              </w:rPr>
              <w:t xml:space="preserve">Rank (of 221 CCGs) </w:t>
            </w:r>
            <w:r w:rsidRPr="002F3EBF">
              <w:rPr>
                <w:rFonts w:eastAsia="Times New Roman" w:cs="Arial"/>
                <w:sz w:val="20"/>
                <w:szCs w:val="20"/>
                <w:lang w:eastAsia="en-GB"/>
              </w:rPr>
              <w:br/>
              <w:t>1 indicates 'best'</w:t>
            </w:r>
          </w:p>
        </w:tc>
        <w:tc>
          <w:tcPr>
            <w:tcW w:w="2105" w:type="pct"/>
            <w:noWrap/>
          </w:tcPr>
          <w:p w:rsidR="003A7492" w:rsidRPr="002F3EBF" w:rsidRDefault="003A7492" w:rsidP="00EB6C67">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2F3EBF">
              <w:rPr>
                <w:rFonts w:eastAsia="Times New Roman" w:cs="Arial"/>
                <w:sz w:val="20"/>
                <w:szCs w:val="20"/>
                <w:lang w:eastAsia="en-GB"/>
              </w:rPr>
              <w:t>196</w:t>
            </w:r>
          </w:p>
        </w:tc>
      </w:tr>
    </w:tbl>
    <w:p w:rsidR="00CD01D3" w:rsidRDefault="00CD01D3" w:rsidP="00CD01D3">
      <w:pPr>
        <w:pStyle w:val="Caption"/>
      </w:pPr>
      <w:bookmarkStart w:id="9" w:name="_Toc434938020"/>
      <w:r>
        <w:t xml:space="preserve">Figure </w:t>
      </w:r>
      <w:r w:rsidR="00156E8B">
        <w:fldChar w:fldCharType="begin"/>
      </w:r>
      <w:r w:rsidR="00156E8B">
        <w:instrText xml:space="preserve"> SEQ Figure \* ARABIC </w:instrText>
      </w:r>
      <w:r w:rsidR="00156E8B">
        <w:fldChar w:fldCharType="separate"/>
      </w:r>
      <w:r w:rsidR="005C553C">
        <w:rPr>
          <w:noProof/>
        </w:rPr>
        <w:t>10</w:t>
      </w:r>
      <w:r w:rsidR="00156E8B">
        <w:rPr>
          <w:noProof/>
        </w:rPr>
        <w:fldChar w:fldCharType="end"/>
      </w:r>
      <w:r>
        <w:t xml:space="preserve"> Length of Stay, children with complex needs</w:t>
      </w:r>
    </w:p>
    <w:p w:rsidR="00582E06" w:rsidRDefault="00582E06" w:rsidP="00582E06">
      <w:pPr>
        <w:pStyle w:val="Heading2"/>
      </w:pPr>
      <w:r>
        <w:t>MFT caseload and resources</w:t>
      </w:r>
      <w:bookmarkEnd w:id="9"/>
    </w:p>
    <w:p w:rsidR="00655AA8" w:rsidRPr="00F4595D" w:rsidRDefault="00655AA8" w:rsidP="00655AA8">
      <w:pPr>
        <w:contextualSpacing/>
        <w:rPr>
          <w:rFonts w:cs="Arial"/>
          <w:szCs w:val="24"/>
        </w:rPr>
      </w:pPr>
      <w:r w:rsidRPr="00C2796A">
        <w:rPr>
          <w:rFonts w:cs="Arial"/>
          <w:szCs w:val="24"/>
        </w:rPr>
        <w:t>The Children’s Outreach &amp; Specialist Team (COaST)</w:t>
      </w:r>
      <w:r>
        <w:rPr>
          <w:rFonts w:cs="Arial"/>
          <w:szCs w:val="24"/>
        </w:rPr>
        <w:t xml:space="preserve"> caseload holds a </w:t>
      </w:r>
      <w:r w:rsidRPr="00C2796A">
        <w:rPr>
          <w:rFonts w:cs="Arial"/>
          <w:szCs w:val="24"/>
        </w:rPr>
        <w:t xml:space="preserve">small number of children with acute conditions such as </w:t>
      </w:r>
      <w:hyperlink w:anchor="henoch" w:history="1">
        <w:r w:rsidRPr="00A17448">
          <w:rPr>
            <w:rStyle w:val="Hyperlink"/>
            <w:rFonts w:cs="Arial"/>
            <w:szCs w:val="24"/>
          </w:rPr>
          <w:t>Henoch-Schonlein Purpura (HPS)</w:t>
        </w:r>
      </w:hyperlink>
      <w:r w:rsidRPr="00C2796A">
        <w:rPr>
          <w:rFonts w:cs="Arial"/>
          <w:szCs w:val="24"/>
        </w:rPr>
        <w:t xml:space="preserve">, children requiring short term </w:t>
      </w:r>
      <w:hyperlink w:anchor="heparin" w:history="1">
        <w:r w:rsidRPr="00F94428">
          <w:rPr>
            <w:rStyle w:val="Hyperlink"/>
            <w:rFonts w:cs="Arial"/>
            <w:szCs w:val="24"/>
          </w:rPr>
          <w:t>heparin</w:t>
        </w:r>
      </w:hyperlink>
      <w:r w:rsidRPr="00C2796A">
        <w:rPr>
          <w:rFonts w:cs="Arial"/>
          <w:szCs w:val="24"/>
        </w:rPr>
        <w:t xml:space="preserve"> injections and </w:t>
      </w:r>
      <w:r>
        <w:rPr>
          <w:rFonts w:cs="Arial"/>
          <w:szCs w:val="24"/>
        </w:rPr>
        <w:t>children with special needs who</w:t>
      </w:r>
      <w:r w:rsidRPr="00C2796A">
        <w:rPr>
          <w:rFonts w:cs="Arial"/>
          <w:szCs w:val="24"/>
        </w:rPr>
        <w:t xml:space="preserve"> </w:t>
      </w:r>
      <w:r>
        <w:rPr>
          <w:rFonts w:cs="Arial"/>
          <w:szCs w:val="24"/>
        </w:rPr>
        <w:t>(</w:t>
      </w:r>
      <w:r w:rsidRPr="00C2796A">
        <w:rPr>
          <w:rFonts w:cs="Arial"/>
          <w:szCs w:val="24"/>
        </w:rPr>
        <w:t>following orthopaedic surgery or road traffic accidents</w:t>
      </w:r>
      <w:r>
        <w:rPr>
          <w:rFonts w:cs="Arial"/>
          <w:szCs w:val="24"/>
        </w:rPr>
        <w:t>)</w:t>
      </w:r>
      <w:r w:rsidRPr="00C2796A">
        <w:rPr>
          <w:rFonts w:cs="Arial"/>
          <w:szCs w:val="24"/>
        </w:rPr>
        <w:t xml:space="preserve"> need dressings changed, and cannot get to community wound clinics</w:t>
      </w:r>
      <w:r>
        <w:rPr>
          <w:rFonts w:cs="Arial"/>
          <w:szCs w:val="24"/>
        </w:rPr>
        <w:t>.</w:t>
      </w:r>
    </w:p>
    <w:p w:rsidR="00655AA8" w:rsidRDefault="00655AA8" w:rsidP="00070352">
      <w:pPr>
        <w:rPr>
          <w:rFonts w:cs="Arial"/>
          <w:szCs w:val="24"/>
        </w:rPr>
      </w:pPr>
    </w:p>
    <w:p w:rsidR="00CD0161" w:rsidRDefault="00CD0161" w:rsidP="00070352">
      <w:pPr>
        <w:rPr>
          <w:szCs w:val="24"/>
        </w:rPr>
      </w:pPr>
      <w:r>
        <w:rPr>
          <w:szCs w:val="24"/>
        </w:rPr>
        <w:t>As part of the scoping for a North Kent C</w:t>
      </w:r>
      <w:r w:rsidR="00070352">
        <w:rPr>
          <w:szCs w:val="24"/>
        </w:rPr>
        <w:t xml:space="preserve">ommunity Nursing Team </w:t>
      </w:r>
      <w:r>
        <w:rPr>
          <w:szCs w:val="24"/>
        </w:rPr>
        <w:t>business case</w:t>
      </w:r>
      <w:r w:rsidR="00070352">
        <w:rPr>
          <w:rStyle w:val="FootnoteReference"/>
          <w:szCs w:val="24"/>
        </w:rPr>
        <w:footnoteReference w:id="27"/>
      </w:r>
      <w:r>
        <w:rPr>
          <w:szCs w:val="24"/>
        </w:rPr>
        <w:t xml:space="preserve"> an audit was undertaken by COaST to understand in more detail the economic benefits that a “hospital at home” element of a community children’s nursing service could bring through undertaking activity in the community that would have previously been </w:t>
      </w:r>
      <w:r w:rsidR="003814D0">
        <w:rPr>
          <w:szCs w:val="24"/>
        </w:rPr>
        <w:t>undertaken</w:t>
      </w:r>
      <w:r>
        <w:rPr>
          <w:szCs w:val="24"/>
        </w:rPr>
        <w:t xml:space="preserve"> in a hospital setting (short stay paediatric assessment unit or children’s ward). </w:t>
      </w:r>
      <w:r w:rsidR="003814D0">
        <w:rPr>
          <w:szCs w:val="24"/>
        </w:rPr>
        <w:t xml:space="preserve"> </w:t>
      </w:r>
      <w:r>
        <w:rPr>
          <w:szCs w:val="24"/>
        </w:rPr>
        <w:t>The audit was then validated by K</w:t>
      </w:r>
      <w:r w:rsidR="00070352">
        <w:rPr>
          <w:szCs w:val="24"/>
        </w:rPr>
        <w:t xml:space="preserve">ent and </w:t>
      </w:r>
      <w:r>
        <w:rPr>
          <w:szCs w:val="24"/>
        </w:rPr>
        <w:t>M</w:t>
      </w:r>
      <w:r w:rsidR="00070352">
        <w:rPr>
          <w:szCs w:val="24"/>
        </w:rPr>
        <w:t xml:space="preserve">edway </w:t>
      </w:r>
      <w:r>
        <w:rPr>
          <w:szCs w:val="24"/>
        </w:rPr>
        <w:t>C</w:t>
      </w:r>
      <w:r w:rsidR="00070352">
        <w:rPr>
          <w:szCs w:val="24"/>
        </w:rPr>
        <w:t>ommissioning Support Service.</w:t>
      </w:r>
      <w:r>
        <w:rPr>
          <w:szCs w:val="24"/>
        </w:rPr>
        <w:t xml:space="preserve"> </w:t>
      </w:r>
      <w:r w:rsidR="00AD638F">
        <w:rPr>
          <w:szCs w:val="24"/>
        </w:rPr>
        <w:t xml:space="preserve"> </w:t>
      </w:r>
      <w:r>
        <w:rPr>
          <w:szCs w:val="24"/>
        </w:rPr>
        <w:t xml:space="preserve">The </w:t>
      </w:r>
      <w:r w:rsidR="00844533">
        <w:rPr>
          <w:szCs w:val="24"/>
        </w:rPr>
        <w:t xml:space="preserve">results of the audit and </w:t>
      </w:r>
      <w:r w:rsidR="009A0D95">
        <w:rPr>
          <w:szCs w:val="24"/>
        </w:rPr>
        <w:t>its</w:t>
      </w:r>
      <w:r w:rsidR="00844533">
        <w:rPr>
          <w:szCs w:val="24"/>
        </w:rPr>
        <w:t xml:space="preserve"> financial implications </w:t>
      </w:r>
      <w:r>
        <w:rPr>
          <w:szCs w:val="24"/>
        </w:rPr>
        <w:t xml:space="preserve">are </w:t>
      </w:r>
      <w:r w:rsidR="00844533">
        <w:rPr>
          <w:szCs w:val="24"/>
        </w:rPr>
        <w:t xml:space="preserve">presented </w:t>
      </w:r>
      <w:r>
        <w:rPr>
          <w:szCs w:val="24"/>
        </w:rPr>
        <w:t xml:space="preserve">in </w:t>
      </w:r>
      <w:r w:rsidR="00655AA8">
        <w:rPr>
          <w:szCs w:val="24"/>
        </w:rPr>
        <w:t xml:space="preserve">Figures </w:t>
      </w:r>
      <w:r w:rsidR="00CD01D3">
        <w:rPr>
          <w:szCs w:val="24"/>
        </w:rPr>
        <w:t>11</w:t>
      </w:r>
      <w:r w:rsidR="00655AA8" w:rsidRPr="00CD01D3">
        <w:rPr>
          <w:szCs w:val="24"/>
        </w:rPr>
        <w:t xml:space="preserve"> and </w:t>
      </w:r>
      <w:r w:rsidR="00CD01D3">
        <w:rPr>
          <w:szCs w:val="24"/>
        </w:rPr>
        <w:t>12</w:t>
      </w:r>
      <w:r w:rsidR="00467D8D">
        <w:rPr>
          <w:szCs w:val="24"/>
        </w:rPr>
        <w:t xml:space="preserve"> below</w:t>
      </w:r>
      <w:r>
        <w:rPr>
          <w:szCs w:val="24"/>
        </w:rPr>
        <w:t xml:space="preserve">. </w:t>
      </w:r>
    </w:p>
    <w:p w:rsidR="00BD7E6D" w:rsidRDefault="00BD7E6D" w:rsidP="00BD7E6D">
      <w:pPr>
        <w:rPr>
          <w:rFonts w:cs="Arial"/>
          <w:sz w:val="24"/>
          <w:szCs w:val="24"/>
        </w:rPr>
      </w:pPr>
    </w:p>
    <w:tbl>
      <w:tblPr>
        <w:tblStyle w:val="LightList-Accent1"/>
        <w:tblW w:w="0" w:type="auto"/>
        <w:tblLook w:val="04A0" w:firstRow="1" w:lastRow="0" w:firstColumn="1" w:lastColumn="0" w:noHBand="0" w:noVBand="1"/>
      </w:tblPr>
      <w:tblGrid>
        <w:gridCol w:w="2514"/>
        <w:gridCol w:w="843"/>
        <w:gridCol w:w="843"/>
        <w:gridCol w:w="848"/>
        <w:gridCol w:w="1500"/>
        <w:gridCol w:w="1268"/>
        <w:gridCol w:w="1426"/>
      </w:tblGrid>
      <w:tr w:rsidR="00467D8D" w:rsidRPr="00467D8D" w:rsidTr="00091F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7"/>
          </w:tcPr>
          <w:p w:rsidR="00467D8D" w:rsidRPr="002C4E34" w:rsidRDefault="00467D8D" w:rsidP="00467D8D">
            <w:r w:rsidRPr="002C4E34">
              <w:t>Ward attendances</w:t>
            </w:r>
          </w:p>
        </w:tc>
      </w:tr>
      <w:tr w:rsidR="00467D8D" w:rsidRPr="00467D8D" w:rsidTr="00091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rsidR="00467D8D" w:rsidRPr="00091FB9" w:rsidRDefault="00467D8D" w:rsidP="00467D8D">
            <w:r w:rsidRPr="00091FB9">
              <w:t>Reason</w:t>
            </w:r>
          </w:p>
        </w:tc>
        <w:tc>
          <w:tcPr>
            <w:tcW w:w="896" w:type="dxa"/>
          </w:tcPr>
          <w:p w:rsidR="00467D8D" w:rsidRPr="00467D8D" w:rsidRDefault="00467D8D" w:rsidP="00467D8D">
            <w:pPr>
              <w:cnfStyle w:val="000000100000" w:firstRow="0" w:lastRow="0" w:firstColumn="0" w:lastColumn="0" w:oddVBand="0" w:evenVBand="0" w:oddHBand="1" w:evenHBand="0" w:firstRowFirstColumn="0" w:firstRowLastColumn="0" w:lastRowFirstColumn="0" w:lastRowLastColumn="0"/>
              <w:rPr>
                <w:b/>
              </w:rPr>
            </w:pPr>
            <w:r w:rsidRPr="00467D8D">
              <w:rPr>
                <w:b/>
              </w:rPr>
              <w:t>Jan. 2014</w:t>
            </w:r>
          </w:p>
        </w:tc>
        <w:tc>
          <w:tcPr>
            <w:tcW w:w="896" w:type="dxa"/>
          </w:tcPr>
          <w:p w:rsidR="00467D8D" w:rsidRPr="00467D8D" w:rsidRDefault="00467D8D" w:rsidP="00467D8D">
            <w:pPr>
              <w:cnfStyle w:val="000000100000" w:firstRow="0" w:lastRow="0" w:firstColumn="0" w:lastColumn="0" w:oddVBand="0" w:evenVBand="0" w:oddHBand="1" w:evenHBand="0" w:firstRowFirstColumn="0" w:firstRowLastColumn="0" w:lastRowFirstColumn="0" w:lastRowLastColumn="0"/>
              <w:rPr>
                <w:b/>
              </w:rPr>
            </w:pPr>
            <w:r w:rsidRPr="00467D8D">
              <w:rPr>
                <w:b/>
              </w:rPr>
              <w:t>Feb. 2014</w:t>
            </w:r>
          </w:p>
        </w:tc>
        <w:tc>
          <w:tcPr>
            <w:tcW w:w="899" w:type="dxa"/>
          </w:tcPr>
          <w:p w:rsidR="00467D8D" w:rsidRPr="00467D8D" w:rsidRDefault="00467D8D" w:rsidP="00467D8D">
            <w:pPr>
              <w:cnfStyle w:val="000000100000" w:firstRow="0" w:lastRow="0" w:firstColumn="0" w:lastColumn="0" w:oddVBand="0" w:evenVBand="0" w:oddHBand="1" w:evenHBand="0" w:firstRowFirstColumn="0" w:firstRowLastColumn="0" w:lastRowFirstColumn="0" w:lastRowLastColumn="0"/>
              <w:rPr>
                <w:b/>
              </w:rPr>
            </w:pPr>
            <w:r w:rsidRPr="00467D8D">
              <w:rPr>
                <w:b/>
              </w:rPr>
              <w:t>9 April – 7 May 2014</w:t>
            </w:r>
          </w:p>
        </w:tc>
        <w:tc>
          <w:tcPr>
            <w:tcW w:w="1500" w:type="dxa"/>
          </w:tcPr>
          <w:p w:rsidR="00467D8D" w:rsidRPr="00467D8D" w:rsidRDefault="00467D8D" w:rsidP="00467D8D">
            <w:pPr>
              <w:cnfStyle w:val="000000100000" w:firstRow="0" w:lastRow="0" w:firstColumn="0" w:lastColumn="0" w:oddVBand="0" w:evenVBand="0" w:oddHBand="1" w:evenHBand="0" w:firstRowFirstColumn="0" w:firstRowLastColumn="0" w:lastRowFirstColumn="0" w:lastRowLastColumn="0"/>
              <w:rPr>
                <w:b/>
              </w:rPr>
            </w:pPr>
            <w:r w:rsidRPr="00467D8D">
              <w:rPr>
                <w:b/>
              </w:rPr>
              <w:t>Total attendances</w:t>
            </w:r>
          </w:p>
        </w:tc>
        <w:tc>
          <w:tcPr>
            <w:tcW w:w="1268" w:type="dxa"/>
          </w:tcPr>
          <w:p w:rsidR="00467D8D" w:rsidRPr="00467D8D" w:rsidRDefault="00467D8D" w:rsidP="00467D8D">
            <w:pPr>
              <w:cnfStyle w:val="000000100000" w:firstRow="0" w:lastRow="0" w:firstColumn="0" w:lastColumn="0" w:oddVBand="0" w:evenVBand="0" w:oddHBand="1" w:evenHBand="0" w:firstRowFirstColumn="0" w:firstRowLastColumn="0" w:lastRowFirstColumn="0" w:lastRowLastColumn="0"/>
              <w:rPr>
                <w:b/>
              </w:rPr>
            </w:pPr>
            <w:r w:rsidRPr="00467D8D">
              <w:rPr>
                <w:b/>
              </w:rPr>
              <w:t>14/15 Paediatric Ward Attender Tariff £135</w:t>
            </w:r>
          </w:p>
        </w:tc>
        <w:tc>
          <w:tcPr>
            <w:tcW w:w="1426" w:type="dxa"/>
          </w:tcPr>
          <w:p w:rsidR="00467D8D" w:rsidRPr="00467D8D" w:rsidRDefault="00467D8D" w:rsidP="00467D8D">
            <w:pPr>
              <w:cnfStyle w:val="000000100000" w:firstRow="0" w:lastRow="0" w:firstColumn="0" w:lastColumn="0" w:oddVBand="0" w:evenVBand="0" w:oddHBand="1" w:evenHBand="0" w:firstRowFirstColumn="0" w:firstRowLastColumn="0" w:lastRowFirstColumn="0" w:lastRowLastColumn="0"/>
              <w:rPr>
                <w:b/>
              </w:rPr>
            </w:pPr>
            <w:r w:rsidRPr="00467D8D">
              <w:rPr>
                <w:b/>
              </w:rPr>
              <w:t>14/15 Community Attendance  Tariff £101.38</w:t>
            </w:r>
          </w:p>
        </w:tc>
      </w:tr>
      <w:tr w:rsidR="00467D8D" w:rsidTr="00091FB9">
        <w:tc>
          <w:tcPr>
            <w:cnfStyle w:val="001000000000" w:firstRow="0" w:lastRow="0" w:firstColumn="1" w:lastColumn="0" w:oddVBand="0" w:evenVBand="0" w:oddHBand="0" w:evenHBand="0" w:firstRowFirstColumn="0" w:firstRowLastColumn="0" w:lastRowFirstColumn="0" w:lastRowLastColumn="0"/>
            <w:tcW w:w="2357" w:type="dxa"/>
          </w:tcPr>
          <w:p w:rsidR="00467D8D" w:rsidRDefault="00467D8D" w:rsidP="00467D8D">
            <w:r>
              <w:t>Blood Tests</w:t>
            </w:r>
          </w:p>
        </w:tc>
        <w:tc>
          <w:tcPr>
            <w:tcW w:w="896"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30</w:t>
            </w:r>
          </w:p>
        </w:tc>
        <w:tc>
          <w:tcPr>
            <w:tcW w:w="896"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39</w:t>
            </w:r>
          </w:p>
        </w:tc>
        <w:tc>
          <w:tcPr>
            <w:tcW w:w="899"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37</w:t>
            </w:r>
          </w:p>
        </w:tc>
        <w:tc>
          <w:tcPr>
            <w:tcW w:w="1500"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106</w:t>
            </w:r>
          </w:p>
        </w:tc>
        <w:tc>
          <w:tcPr>
            <w:tcW w:w="1268"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£14,310</w:t>
            </w:r>
          </w:p>
        </w:tc>
        <w:tc>
          <w:tcPr>
            <w:tcW w:w="1426"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£10,746</w:t>
            </w:r>
          </w:p>
        </w:tc>
      </w:tr>
      <w:tr w:rsidR="00467D8D" w:rsidTr="00091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rsidR="00467D8D" w:rsidRDefault="00467D8D" w:rsidP="00467D8D">
            <w:r>
              <w:t>BP &amp; urine check</w:t>
            </w:r>
          </w:p>
        </w:tc>
        <w:tc>
          <w:tcPr>
            <w:tcW w:w="896" w:type="dxa"/>
          </w:tcPr>
          <w:p w:rsidR="00467D8D" w:rsidRDefault="00467D8D" w:rsidP="00467D8D">
            <w:pPr>
              <w:cnfStyle w:val="000000100000" w:firstRow="0" w:lastRow="0" w:firstColumn="0" w:lastColumn="0" w:oddVBand="0" w:evenVBand="0" w:oddHBand="1" w:evenHBand="0" w:firstRowFirstColumn="0" w:firstRowLastColumn="0" w:lastRowFirstColumn="0" w:lastRowLastColumn="0"/>
            </w:pPr>
            <w:r>
              <w:t>0</w:t>
            </w:r>
          </w:p>
        </w:tc>
        <w:tc>
          <w:tcPr>
            <w:tcW w:w="896" w:type="dxa"/>
          </w:tcPr>
          <w:p w:rsidR="00467D8D" w:rsidRDefault="00467D8D" w:rsidP="00467D8D">
            <w:pPr>
              <w:cnfStyle w:val="000000100000" w:firstRow="0" w:lastRow="0" w:firstColumn="0" w:lastColumn="0" w:oddVBand="0" w:evenVBand="0" w:oddHBand="1" w:evenHBand="0" w:firstRowFirstColumn="0" w:firstRowLastColumn="0" w:lastRowFirstColumn="0" w:lastRowLastColumn="0"/>
            </w:pPr>
            <w:r>
              <w:t>0</w:t>
            </w:r>
          </w:p>
        </w:tc>
        <w:tc>
          <w:tcPr>
            <w:tcW w:w="899" w:type="dxa"/>
          </w:tcPr>
          <w:p w:rsidR="00467D8D" w:rsidRDefault="00467D8D" w:rsidP="00467D8D">
            <w:pPr>
              <w:cnfStyle w:val="000000100000" w:firstRow="0" w:lastRow="0" w:firstColumn="0" w:lastColumn="0" w:oddVBand="0" w:evenVBand="0" w:oddHBand="1" w:evenHBand="0" w:firstRowFirstColumn="0" w:firstRowLastColumn="0" w:lastRowFirstColumn="0" w:lastRowLastColumn="0"/>
            </w:pPr>
            <w:r>
              <w:t>2</w:t>
            </w:r>
          </w:p>
        </w:tc>
        <w:tc>
          <w:tcPr>
            <w:tcW w:w="1500" w:type="dxa"/>
          </w:tcPr>
          <w:p w:rsidR="00467D8D" w:rsidRDefault="00467D8D" w:rsidP="00467D8D">
            <w:pPr>
              <w:cnfStyle w:val="000000100000" w:firstRow="0" w:lastRow="0" w:firstColumn="0" w:lastColumn="0" w:oddVBand="0" w:evenVBand="0" w:oddHBand="1" w:evenHBand="0" w:firstRowFirstColumn="0" w:firstRowLastColumn="0" w:lastRowFirstColumn="0" w:lastRowLastColumn="0"/>
            </w:pPr>
            <w:r>
              <w:t>2</w:t>
            </w:r>
          </w:p>
        </w:tc>
        <w:tc>
          <w:tcPr>
            <w:tcW w:w="1268" w:type="dxa"/>
          </w:tcPr>
          <w:p w:rsidR="00467D8D" w:rsidRDefault="00467D8D" w:rsidP="00467D8D">
            <w:pPr>
              <w:cnfStyle w:val="000000100000" w:firstRow="0" w:lastRow="0" w:firstColumn="0" w:lastColumn="0" w:oddVBand="0" w:evenVBand="0" w:oddHBand="1" w:evenHBand="0" w:firstRowFirstColumn="0" w:firstRowLastColumn="0" w:lastRowFirstColumn="0" w:lastRowLastColumn="0"/>
            </w:pPr>
            <w:r>
              <w:t>£270</w:t>
            </w:r>
          </w:p>
        </w:tc>
        <w:tc>
          <w:tcPr>
            <w:tcW w:w="1426" w:type="dxa"/>
          </w:tcPr>
          <w:p w:rsidR="00467D8D" w:rsidRDefault="00467D8D" w:rsidP="00467D8D">
            <w:pPr>
              <w:cnfStyle w:val="000000100000" w:firstRow="0" w:lastRow="0" w:firstColumn="0" w:lastColumn="0" w:oddVBand="0" w:evenVBand="0" w:oddHBand="1" w:evenHBand="0" w:firstRowFirstColumn="0" w:firstRowLastColumn="0" w:lastRowFirstColumn="0" w:lastRowLastColumn="0"/>
            </w:pPr>
            <w:r>
              <w:t>£203</w:t>
            </w:r>
          </w:p>
        </w:tc>
      </w:tr>
      <w:tr w:rsidR="00467D8D" w:rsidTr="00091FB9">
        <w:tc>
          <w:tcPr>
            <w:cnfStyle w:val="001000000000" w:firstRow="0" w:lastRow="0" w:firstColumn="1" w:lastColumn="0" w:oddVBand="0" w:evenVBand="0" w:oddHBand="0" w:evenHBand="0" w:firstRowFirstColumn="0" w:firstRowLastColumn="0" w:lastRowFirstColumn="0" w:lastRowLastColumn="0"/>
            <w:tcW w:w="2357" w:type="dxa"/>
          </w:tcPr>
          <w:p w:rsidR="00467D8D" w:rsidRDefault="00467D8D" w:rsidP="00467D8D">
            <w:r>
              <w:t>Central line access</w:t>
            </w:r>
          </w:p>
        </w:tc>
        <w:tc>
          <w:tcPr>
            <w:tcW w:w="896"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8</w:t>
            </w:r>
          </w:p>
        </w:tc>
        <w:tc>
          <w:tcPr>
            <w:tcW w:w="896"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1</w:t>
            </w:r>
          </w:p>
        </w:tc>
        <w:tc>
          <w:tcPr>
            <w:tcW w:w="899"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2</w:t>
            </w:r>
          </w:p>
        </w:tc>
        <w:tc>
          <w:tcPr>
            <w:tcW w:w="1500"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2</w:t>
            </w:r>
          </w:p>
        </w:tc>
        <w:tc>
          <w:tcPr>
            <w:tcW w:w="1268"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£1,485</w:t>
            </w:r>
          </w:p>
        </w:tc>
        <w:tc>
          <w:tcPr>
            <w:tcW w:w="1426"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£1,115</w:t>
            </w:r>
          </w:p>
        </w:tc>
      </w:tr>
      <w:tr w:rsidR="00467D8D" w:rsidTr="00091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rsidR="00467D8D" w:rsidRDefault="00467D8D" w:rsidP="00467D8D">
            <w:r>
              <w:t>Dressing change</w:t>
            </w:r>
          </w:p>
        </w:tc>
        <w:tc>
          <w:tcPr>
            <w:tcW w:w="896" w:type="dxa"/>
          </w:tcPr>
          <w:p w:rsidR="00467D8D" w:rsidRDefault="00467D8D" w:rsidP="00467D8D">
            <w:pPr>
              <w:cnfStyle w:val="000000100000" w:firstRow="0" w:lastRow="0" w:firstColumn="0" w:lastColumn="0" w:oddVBand="0" w:evenVBand="0" w:oddHBand="1" w:evenHBand="0" w:firstRowFirstColumn="0" w:firstRowLastColumn="0" w:lastRowFirstColumn="0" w:lastRowLastColumn="0"/>
            </w:pPr>
            <w:r>
              <w:t>6</w:t>
            </w:r>
          </w:p>
        </w:tc>
        <w:tc>
          <w:tcPr>
            <w:tcW w:w="896" w:type="dxa"/>
          </w:tcPr>
          <w:p w:rsidR="00467D8D" w:rsidRDefault="00467D8D" w:rsidP="00467D8D">
            <w:pPr>
              <w:cnfStyle w:val="000000100000" w:firstRow="0" w:lastRow="0" w:firstColumn="0" w:lastColumn="0" w:oddVBand="0" w:evenVBand="0" w:oddHBand="1" w:evenHBand="0" w:firstRowFirstColumn="0" w:firstRowLastColumn="0" w:lastRowFirstColumn="0" w:lastRowLastColumn="0"/>
            </w:pPr>
            <w:r>
              <w:t>5</w:t>
            </w:r>
          </w:p>
        </w:tc>
        <w:tc>
          <w:tcPr>
            <w:tcW w:w="899" w:type="dxa"/>
          </w:tcPr>
          <w:p w:rsidR="00467D8D" w:rsidRDefault="00467D8D" w:rsidP="00467D8D">
            <w:pPr>
              <w:cnfStyle w:val="000000100000" w:firstRow="0" w:lastRow="0" w:firstColumn="0" w:lastColumn="0" w:oddVBand="0" w:evenVBand="0" w:oddHBand="1" w:evenHBand="0" w:firstRowFirstColumn="0" w:firstRowLastColumn="0" w:lastRowFirstColumn="0" w:lastRowLastColumn="0"/>
            </w:pPr>
            <w:r>
              <w:t>7</w:t>
            </w:r>
          </w:p>
        </w:tc>
        <w:tc>
          <w:tcPr>
            <w:tcW w:w="1500" w:type="dxa"/>
          </w:tcPr>
          <w:p w:rsidR="00467D8D" w:rsidRDefault="00467D8D" w:rsidP="00467D8D">
            <w:pPr>
              <w:cnfStyle w:val="000000100000" w:firstRow="0" w:lastRow="0" w:firstColumn="0" w:lastColumn="0" w:oddVBand="0" w:evenVBand="0" w:oddHBand="1" w:evenHBand="0" w:firstRowFirstColumn="0" w:firstRowLastColumn="0" w:lastRowFirstColumn="0" w:lastRowLastColumn="0"/>
            </w:pPr>
            <w:r>
              <w:t>18</w:t>
            </w:r>
          </w:p>
        </w:tc>
        <w:tc>
          <w:tcPr>
            <w:tcW w:w="1268" w:type="dxa"/>
          </w:tcPr>
          <w:p w:rsidR="00467D8D" w:rsidRDefault="00467D8D" w:rsidP="00467D8D">
            <w:pPr>
              <w:cnfStyle w:val="000000100000" w:firstRow="0" w:lastRow="0" w:firstColumn="0" w:lastColumn="0" w:oddVBand="0" w:evenVBand="0" w:oddHBand="1" w:evenHBand="0" w:firstRowFirstColumn="0" w:firstRowLastColumn="0" w:lastRowFirstColumn="0" w:lastRowLastColumn="0"/>
            </w:pPr>
            <w:r>
              <w:t>£2,430</w:t>
            </w:r>
          </w:p>
        </w:tc>
        <w:tc>
          <w:tcPr>
            <w:tcW w:w="1426" w:type="dxa"/>
          </w:tcPr>
          <w:p w:rsidR="00467D8D" w:rsidRDefault="00467D8D" w:rsidP="00467D8D">
            <w:pPr>
              <w:cnfStyle w:val="000000100000" w:firstRow="0" w:lastRow="0" w:firstColumn="0" w:lastColumn="0" w:oddVBand="0" w:evenVBand="0" w:oddHBand="1" w:evenHBand="0" w:firstRowFirstColumn="0" w:firstRowLastColumn="0" w:lastRowFirstColumn="0" w:lastRowLastColumn="0"/>
            </w:pPr>
            <w:r>
              <w:t>£1,825</w:t>
            </w:r>
          </w:p>
        </w:tc>
      </w:tr>
      <w:tr w:rsidR="00467D8D" w:rsidTr="00091FB9">
        <w:tc>
          <w:tcPr>
            <w:cnfStyle w:val="001000000000" w:firstRow="0" w:lastRow="0" w:firstColumn="1" w:lastColumn="0" w:oddVBand="0" w:evenVBand="0" w:oddHBand="0" w:evenHBand="0" w:firstRowFirstColumn="0" w:firstRowLastColumn="0" w:lastRowFirstColumn="0" w:lastRowLastColumn="0"/>
            <w:tcW w:w="2357" w:type="dxa"/>
          </w:tcPr>
          <w:p w:rsidR="00467D8D" w:rsidRDefault="00467D8D" w:rsidP="00467D8D">
            <w:r>
              <w:t>Enema/constipation</w:t>
            </w:r>
          </w:p>
        </w:tc>
        <w:tc>
          <w:tcPr>
            <w:tcW w:w="896"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8</w:t>
            </w:r>
          </w:p>
        </w:tc>
        <w:tc>
          <w:tcPr>
            <w:tcW w:w="896"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5</w:t>
            </w:r>
          </w:p>
        </w:tc>
        <w:tc>
          <w:tcPr>
            <w:tcW w:w="899"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0</w:t>
            </w:r>
          </w:p>
        </w:tc>
        <w:tc>
          <w:tcPr>
            <w:tcW w:w="1500"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13</w:t>
            </w:r>
          </w:p>
        </w:tc>
        <w:tc>
          <w:tcPr>
            <w:tcW w:w="1268"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£1,755</w:t>
            </w:r>
          </w:p>
        </w:tc>
        <w:tc>
          <w:tcPr>
            <w:tcW w:w="1426"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£1,318</w:t>
            </w:r>
          </w:p>
        </w:tc>
      </w:tr>
      <w:tr w:rsidR="00467D8D" w:rsidTr="00091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rsidR="00467D8D" w:rsidRDefault="00467D8D" w:rsidP="00467D8D">
            <w:r>
              <w:t>Enteral feeding tube re-insertion</w:t>
            </w:r>
          </w:p>
        </w:tc>
        <w:tc>
          <w:tcPr>
            <w:tcW w:w="896" w:type="dxa"/>
          </w:tcPr>
          <w:p w:rsidR="00467D8D" w:rsidRDefault="00467D8D" w:rsidP="00467D8D">
            <w:pPr>
              <w:cnfStyle w:val="000000100000" w:firstRow="0" w:lastRow="0" w:firstColumn="0" w:lastColumn="0" w:oddVBand="0" w:evenVBand="0" w:oddHBand="1" w:evenHBand="0" w:firstRowFirstColumn="0" w:firstRowLastColumn="0" w:lastRowFirstColumn="0" w:lastRowLastColumn="0"/>
            </w:pPr>
            <w:r>
              <w:t>0</w:t>
            </w:r>
          </w:p>
        </w:tc>
        <w:tc>
          <w:tcPr>
            <w:tcW w:w="896" w:type="dxa"/>
          </w:tcPr>
          <w:p w:rsidR="00467D8D" w:rsidRDefault="00467D8D" w:rsidP="00467D8D">
            <w:pPr>
              <w:cnfStyle w:val="000000100000" w:firstRow="0" w:lastRow="0" w:firstColumn="0" w:lastColumn="0" w:oddVBand="0" w:evenVBand="0" w:oddHBand="1" w:evenHBand="0" w:firstRowFirstColumn="0" w:firstRowLastColumn="0" w:lastRowFirstColumn="0" w:lastRowLastColumn="0"/>
            </w:pPr>
            <w:r>
              <w:t>0</w:t>
            </w:r>
          </w:p>
        </w:tc>
        <w:tc>
          <w:tcPr>
            <w:tcW w:w="899" w:type="dxa"/>
          </w:tcPr>
          <w:p w:rsidR="00467D8D" w:rsidRDefault="00467D8D" w:rsidP="00467D8D">
            <w:pPr>
              <w:cnfStyle w:val="000000100000" w:firstRow="0" w:lastRow="0" w:firstColumn="0" w:lastColumn="0" w:oddVBand="0" w:evenVBand="0" w:oddHBand="1" w:evenHBand="0" w:firstRowFirstColumn="0" w:firstRowLastColumn="0" w:lastRowFirstColumn="0" w:lastRowLastColumn="0"/>
            </w:pPr>
            <w:r>
              <w:t>9</w:t>
            </w:r>
          </w:p>
        </w:tc>
        <w:tc>
          <w:tcPr>
            <w:tcW w:w="1500" w:type="dxa"/>
          </w:tcPr>
          <w:p w:rsidR="00467D8D" w:rsidRDefault="00467D8D" w:rsidP="00467D8D">
            <w:pPr>
              <w:cnfStyle w:val="000000100000" w:firstRow="0" w:lastRow="0" w:firstColumn="0" w:lastColumn="0" w:oddVBand="0" w:evenVBand="0" w:oddHBand="1" w:evenHBand="0" w:firstRowFirstColumn="0" w:firstRowLastColumn="0" w:lastRowFirstColumn="0" w:lastRowLastColumn="0"/>
            </w:pPr>
            <w:r>
              <w:t>9</w:t>
            </w:r>
          </w:p>
        </w:tc>
        <w:tc>
          <w:tcPr>
            <w:tcW w:w="1268" w:type="dxa"/>
          </w:tcPr>
          <w:p w:rsidR="00467D8D" w:rsidRDefault="00467D8D" w:rsidP="00467D8D">
            <w:pPr>
              <w:cnfStyle w:val="000000100000" w:firstRow="0" w:lastRow="0" w:firstColumn="0" w:lastColumn="0" w:oddVBand="0" w:evenVBand="0" w:oddHBand="1" w:evenHBand="0" w:firstRowFirstColumn="0" w:firstRowLastColumn="0" w:lastRowFirstColumn="0" w:lastRowLastColumn="0"/>
            </w:pPr>
            <w:r>
              <w:t>£1,215</w:t>
            </w:r>
          </w:p>
        </w:tc>
        <w:tc>
          <w:tcPr>
            <w:tcW w:w="1426" w:type="dxa"/>
          </w:tcPr>
          <w:p w:rsidR="00467D8D" w:rsidRDefault="00467D8D" w:rsidP="00467D8D">
            <w:pPr>
              <w:cnfStyle w:val="000000100000" w:firstRow="0" w:lastRow="0" w:firstColumn="0" w:lastColumn="0" w:oddVBand="0" w:evenVBand="0" w:oddHBand="1" w:evenHBand="0" w:firstRowFirstColumn="0" w:firstRowLastColumn="0" w:lastRowFirstColumn="0" w:lastRowLastColumn="0"/>
            </w:pPr>
            <w:r>
              <w:t>£912</w:t>
            </w:r>
          </w:p>
        </w:tc>
      </w:tr>
      <w:tr w:rsidR="00467D8D" w:rsidTr="00091FB9">
        <w:tc>
          <w:tcPr>
            <w:cnfStyle w:val="001000000000" w:firstRow="0" w:lastRow="0" w:firstColumn="1" w:lastColumn="0" w:oddVBand="0" w:evenVBand="0" w:oddHBand="0" w:evenHBand="0" w:firstRowFirstColumn="0" w:firstRowLastColumn="0" w:lastRowFirstColumn="0" w:lastRowLastColumn="0"/>
            <w:tcW w:w="2357" w:type="dxa"/>
          </w:tcPr>
          <w:p w:rsidR="00467D8D" w:rsidRDefault="00467D8D" w:rsidP="00467D8D">
            <w:r>
              <w:t>Head measurement</w:t>
            </w:r>
          </w:p>
        </w:tc>
        <w:tc>
          <w:tcPr>
            <w:tcW w:w="896"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0</w:t>
            </w:r>
          </w:p>
        </w:tc>
        <w:tc>
          <w:tcPr>
            <w:tcW w:w="896"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0</w:t>
            </w:r>
          </w:p>
        </w:tc>
        <w:tc>
          <w:tcPr>
            <w:tcW w:w="899"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1</w:t>
            </w:r>
          </w:p>
        </w:tc>
        <w:tc>
          <w:tcPr>
            <w:tcW w:w="1500"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1</w:t>
            </w:r>
          </w:p>
        </w:tc>
        <w:tc>
          <w:tcPr>
            <w:tcW w:w="1268"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£135</w:t>
            </w:r>
          </w:p>
        </w:tc>
        <w:tc>
          <w:tcPr>
            <w:tcW w:w="1426"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£101</w:t>
            </w:r>
          </w:p>
        </w:tc>
      </w:tr>
      <w:tr w:rsidR="00467D8D" w:rsidTr="00091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rsidR="00467D8D" w:rsidRDefault="00467D8D" w:rsidP="00467D8D">
            <w:r>
              <w:t>Intramuscular injections</w:t>
            </w:r>
          </w:p>
        </w:tc>
        <w:tc>
          <w:tcPr>
            <w:tcW w:w="896" w:type="dxa"/>
          </w:tcPr>
          <w:p w:rsidR="00467D8D" w:rsidRDefault="00467D8D" w:rsidP="00467D8D">
            <w:pPr>
              <w:cnfStyle w:val="000000100000" w:firstRow="0" w:lastRow="0" w:firstColumn="0" w:lastColumn="0" w:oddVBand="0" w:evenVBand="0" w:oddHBand="1" w:evenHBand="0" w:firstRowFirstColumn="0" w:firstRowLastColumn="0" w:lastRowFirstColumn="0" w:lastRowLastColumn="0"/>
            </w:pPr>
            <w:r>
              <w:t>1</w:t>
            </w:r>
          </w:p>
        </w:tc>
        <w:tc>
          <w:tcPr>
            <w:tcW w:w="896" w:type="dxa"/>
          </w:tcPr>
          <w:p w:rsidR="00467D8D" w:rsidRDefault="00467D8D" w:rsidP="00467D8D">
            <w:pPr>
              <w:cnfStyle w:val="000000100000" w:firstRow="0" w:lastRow="0" w:firstColumn="0" w:lastColumn="0" w:oddVBand="0" w:evenVBand="0" w:oddHBand="1" w:evenHBand="0" w:firstRowFirstColumn="0" w:firstRowLastColumn="0" w:lastRowFirstColumn="0" w:lastRowLastColumn="0"/>
            </w:pPr>
            <w:r>
              <w:t>3</w:t>
            </w:r>
          </w:p>
        </w:tc>
        <w:tc>
          <w:tcPr>
            <w:tcW w:w="899" w:type="dxa"/>
          </w:tcPr>
          <w:p w:rsidR="00467D8D" w:rsidRDefault="00467D8D" w:rsidP="00467D8D">
            <w:pPr>
              <w:cnfStyle w:val="000000100000" w:firstRow="0" w:lastRow="0" w:firstColumn="0" w:lastColumn="0" w:oddVBand="0" w:evenVBand="0" w:oddHBand="1" w:evenHBand="0" w:firstRowFirstColumn="0" w:firstRowLastColumn="0" w:lastRowFirstColumn="0" w:lastRowLastColumn="0"/>
            </w:pPr>
            <w:r>
              <w:t>0</w:t>
            </w:r>
          </w:p>
        </w:tc>
        <w:tc>
          <w:tcPr>
            <w:tcW w:w="1500" w:type="dxa"/>
          </w:tcPr>
          <w:p w:rsidR="00467D8D" w:rsidRDefault="00467D8D" w:rsidP="00467D8D">
            <w:pPr>
              <w:cnfStyle w:val="000000100000" w:firstRow="0" w:lastRow="0" w:firstColumn="0" w:lastColumn="0" w:oddVBand="0" w:evenVBand="0" w:oddHBand="1" w:evenHBand="0" w:firstRowFirstColumn="0" w:firstRowLastColumn="0" w:lastRowFirstColumn="0" w:lastRowLastColumn="0"/>
            </w:pPr>
            <w:r>
              <w:t>4</w:t>
            </w:r>
          </w:p>
        </w:tc>
        <w:tc>
          <w:tcPr>
            <w:tcW w:w="1268" w:type="dxa"/>
          </w:tcPr>
          <w:p w:rsidR="00467D8D" w:rsidRDefault="00467D8D" w:rsidP="00467D8D">
            <w:pPr>
              <w:cnfStyle w:val="000000100000" w:firstRow="0" w:lastRow="0" w:firstColumn="0" w:lastColumn="0" w:oddVBand="0" w:evenVBand="0" w:oddHBand="1" w:evenHBand="0" w:firstRowFirstColumn="0" w:firstRowLastColumn="0" w:lastRowFirstColumn="0" w:lastRowLastColumn="0"/>
            </w:pPr>
            <w:r>
              <w:t>£540</w:t>
            </w:r>
          </w:p>
        </w:tc>
        <w:tc>
          <w:tcPr>
            <w:tcW w:w="1426" w:type="dxa"/>
          </w:tcPr>
          <w:p w:rsidR="00467D8D" w:rsidRDefault="00467D8D" w:rsidP="00467D8D">
            <w:pPr>
              <w:cnfStyle w:val="000000100000" w:firstRow="0" w:lastRow="0" w:firstColumn="0" w:lastColumn="0" w:oddVBand="0" w:evenVBand="0" w:oddHBand="1" w:evenHBand="0" w:firstRowFirstColumn="0" w:firstRowLastColumn="0" w:lastRowFirstColumn="0" w:lastRowLastColumn="0"/>
            </w:pPr>
            <w:r>
              <w:t>£408</w:t>
            </w:r>
          </w:p>
        </w:tc>
      </w:tr>
      <w:tr w:rsidR="00467D8D" w:rsidTr="00091FB9">
        <w:tc>
          <w:tcPr>
            <w:cnfStyle w:val="001000000000" w:firstRow="0" w:lastRow="0" w:firstColumn="1" w:lastColumn="0" w:oddVBand="0" w:evenVBand="0" w:oddHBand="0" w:evenHBand="0" w:firstRowFirstColumn="0" w:firstRowLastColumn="0" w:lastRowFirstColumn="0" w:lastRowLastColumn="0"/>
            <w:tcW w:w="2357" w:type="dxa"/>
          </w:tcPr>
          <w:p w:rsidR="00467D8D" w:rsidRDefault="00467D8D" w:rsidP="00467D8D">
            <w:r>
              <w:t>Insulin injections</w:t>
            </w:r>
          </w:p>
        </w:tc>
        <w:tc>
          <w:tcPr>
            <w:tcW w:w="896"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0</w:t>
            </w:r>
          </w:p>
        </w:tc>
        <w:tc>
          <w:tcPr>
            <w:tcW w:w="896"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0</w:t>
            </w:r>
          </w:p>
        </w:tc>
        <w:tc>
          <w:tcPr>
            <w:tcW w:w="899"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2</w:t>
            </w:r>
          </w:p>
        </w:tc>
        <w:tc>
          <w:tcPr>
            <w:tcW w:w="1500"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2</w:t>
            </w:r>
          </w:p>
        </w:tc>
        <w:tc>
          <w:tcPr>
            <w:tcW w:w="1268"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£270</w:t>
            </w:r>
          </w:p>
        </w:tc>
        <w:tc>
          <w:tcPr>
            <w:tcW w:w="1426"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£203</w:t>
            </w:r>
          </w:p>
        </w:tc>
      </w:tr>
      <w:tr w:rsidR="00467D8D" w:rsidTr="00091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rsidR="00467D8D" w:rsidRDefault="00467D8D" w:rsidP="00467D8D">
            <w:r>
              <w:lastRenderedPageBreak/>
              <w:t>New diabetic</w:t>
            </w:r>
          </w:p>
        </w:tc>
        <w:tc>
          <w:tcPr>
            <w:tcW w:w="896" w:type="dxa"/>
          </w:tcPr>
          <w:p w:rsidR="00467D8D" w:rsidRDefault="00467D8D" w:rsidP="00467D8D">
            <w:pPr>
              <w:cnfStyle w:val="000000100000" w:firstRow="0" w:lastRow="0" w:firstColumn="0" w:lastColumn="0" w:oddVBand="0" w:evenVBand="0" w:oddHBand="1" w:evenHBand="0" w:firstRowFirstColumn="0" w:firstRowLastColumn="0" w:lastRowFirstColumn="0" w:lastRowLastColumn="0"/>
            </w:pPr>
            <w:r>
              <w:t>1</w:t>
            </w:r>
          </w:p>
        </w:tc>
        <w:tc>
          <w:tcPr>
            <w:tcW w:w="896" w:type="dxa"/>
          </w:tcPr>
          <w:p w:rsidR="00467D8D" w:rsidRDefault="00467D8D" w:rsidP="00467D8D">
            <w:pPr>
              <w:cnfStyle w:val="000000100000" w:firstRow="0" w:lastRow="0" w:firstColumn="0" w:lastColumn="0" w:oddVBand="0" w:evenVBand="0" w:oddHBand="1" w:evenHBand="0" w:firstRowFirstColumn="0" w:firstRowLastColumn="0" w:lastRowFirstColumn="0" w:lastRowLastColumn="0"/>
            </w:pPr>
            <w:r>
              <w:t>4</w:t>
            </w:r>
          </w:p>
        </w:tc>
        <w:tc>
          <w:tcPr>
            <w:tcW w:w="899" w:type="dxa"/>
          </w:tcPr>
          <w:p w:rsidR="00467D8D" w:rsidRDefault="00467D8D" w:rsidP="00467D8D">
            <w:pPr>
              <w:cnfStyle w:val="000000100000" w:firstRow="0" w:lastRow="0" w:firstColumn="0" w:lastColumn="0" w:oddVBand="0" w:evenVBand="0" w:oddHBand="1" w:evenHBand="0" w:firstRowFirstColumn="0" w:firstRowLastColumn="0" w:lastRowFirstColumn="0" w:lastRowLastColumn="0"/>
            </w:pPr>
            <w:r>
              <w:t>0</w:t>
            </w:r>
          </w:p>
        </w:tc>
        <w:tc>
          <w:tcPr>
            <w:tcW w:w="1500" w:type="dxa"/>
          </w:tcPr>
          <w:p w:rsidR="00467D8D" w:rsidRDefault="00467D8D" w:rsidP="00467D8D">
            <w:pPr>
              <w:cnfStyle w:val="000000100000" w:firstRow="0" w:lastRow="0" w:firstColumn="0" w:lastColumn="0" w:oddVBand="0" w:evenVBand="0" w:oddHBand="1" w:evenHBand="0" w:firstRowFirstColumn="0" w:firstRowLastColumn="0" w:lastRowFirstColumn="0" w:lastRowLastColumn="0"/>
            </w:pPr>
            <w:r>
              <w:t>5</w:t>
            </w:r>
          </w:p>
        </w:tc>
        <w:tc>
          <w:tcPr>
            <w:tcW w:w="1268" w:type="dxa"/>
          </w:tcPr>
          <w:p w:rsidR="00467D8D" w:rsidRDefault="00467D8D" w:rsidP="00467D8D">
            <w:pPr>
              <w:cnfStyle w:val="000000100000" w:firstRow="0" w:lastRow="0" w:firstColumn="0" w:lastColumn="0" w:oddVBand="0" w:evenVBand="0" w:oddHBand="1" w:evenHBand="0" w:firstRowFirstColumn="0" w:firstRowLastColumn="0" w:lastRowFirstColumn="0" w:lastRowLastColumn="0"/>
            </w:pPr>
            <w:r>
              <w:t>£675</w:t>
            </w:r>
          </w:p>
        </w:tc>
        <w:tc>
          <w:tcPr>
            <w:tcW w:w="1426" w:type="dxa"/>
          </w:tcPr>
          <w:p w:rsidR="00467D8D" w:rsidRDefault="00467D8D" w:rsidP="00467D8D">
            <w:pPr>
              <w:cnfStyle w:val="000000100000" w:firstRow="0" w:lastRow="0" w:firstColumn="0" w:lastColumn="0" w:oddVBand="0" w:evenVBand="0" w:oddHBand="1" w:evenHBand="0" w:firstRowFirstColumn="0" w:firstRowLastColumn="0" w:lastRowFirstColumn="0" w:lastRowLastColumn="0"/>
            </w:pPr>
            <w:r>
              <w:t>£507</w:t>
            </w:r>
          </w:p>
        </w:tc>
      </w:tr>
      <w:tr w:rsidR="00467D8D" w:rsidTr="00091FB9">
        <w:tc>
          <w:tcPr>
            <w:cnfStyle w:val="001000000000" w:firstRow="0" w:lastRow="0" w:firstColumn="1" w:lastColumn="0" w:oddVBand="0" w:evenVBand="0" w:oddHBand="0" w:evenHBand="0" w:firstRowFirstColumn="0" w:firstRowLastColumn="0" w:lastRowFirstColumn="0" w:lastRowLastColumn="0"/>
            <w:tcW w:w="2357" w:type="dxa"/>
          </w:tcPr>
          <w:p w:rsidR="00467D8D" w:rsidRDefault="00467D8D" w:rsidP="00467D8D">
            <w:r>
              <w:t>Nasogastric tube</w:t>
            </w:r>
          </w:p>
        </w:tc>
        <w:tc>
          <w:tcPr>
            <w:tcW w:w="896"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18</w:t>
            </w:r>
          </w:p>
        </w:tc>
        <w:tc>
          <w:tcPr>
            <w:tcW w:w="896"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22</w:t>
            </w:r>
          </w:p>
        </w:tc>
        <w:tc>
          <w:tcPr>
            <w:tcW w:w="899"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0</w:t>
            </w:r>
          </w:p>
        </w:tc>
        <w:tc>
          <w:tcPr>
            <w:tcW w:w="1500"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40</w:t>
            </w:r>
          </w:p>
        </w:tc>
        <w:tc>
          <w:tcPr>
            <w:tcW w:w="1268"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£5,400</w:t>
            </w:r>
          </w:p>
        </w:tc>
        <w:tc>
          <w:tcPr>
            <w:tcW w:w="1426"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£4,055</w:t>
            </w:r>
          </w:p>
        </w:tc>
      </w:tr>
      <w:tr w:rsidR="00467D8D" w:rsidTr="00091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rsidR="00467D8D" w:rsidRDefault="00467D8D" w:rsidP="00467D8D">
            <w:r>
              <w:t>Oral medication administration</w:t>
            </w:r>
          </w:p>
        </w:tc>
        <w:tc>
          <w:tcPr>
            <w:tcW w:w="896" w:type="dxa"/>
          </w:tcPr>
          <w:p w:rsidR="00467D8D" w:rsidRDefault="00467D8D" w:rsidP="00467D8D">
            <w:pPr>
              <w:cnfStyle w:val="000000100000" w:firstRow="0" w:lastRow="0" w:firstColumn="0" w:lastColumn="0" w:oddVBand="0" w:evenVBand="0" w:oddHBand="1" w:evenHBand="0" w:firstRowFirstColumn="0" w:firstRowLastColumn="0" w:lastRowFirstColumn="0" w:lastRowLastColumn="0"/>
            </w:pPr>
            <w:r>
              <w:t>1</w:t>
            </w:r>
          </w:p>
        </w:tc>
        <w:tc>
          <w:tcPr>
            <w:tcW w:w="896" w:type="dxa"/>
          </w:tcPr>
          <w:p w:rsidR="00467D8D" w:rsidRDefault="00467D8D" w:rsidP="00467D8D">
            <w:pPr>
              <w:cnfStyle w:val="000000100000" w:firstRow="0" w:lastRow="0" w:firstColumn="0" w:lastColumn="0" w:oddVBand="0" w:evenVBand="0" w:oddHBand="1" w:evenHBand="0" w:firstRowFirstColumn="0" w:firstRowLastColumn="0" w:lastRowFirstColumn="0" w:lastRowLastColumn="0"/>
            </w:pPr>
            <w:r>
              <w:t>0</w:t>
            </w:r>
          </w:p>
        </w:tc>
        <w:tc>
          <w:tcPr>
            <w:tcW w:w="899" w:type="dxa"/>
          </w:tcPr>
          <w:p w:rsidR="00467D8D" w:rsidRDefault="00467D8D" w:rsidP="00467D8D">
            <w:pPr>
              <w:cnfStyle w:val="000000100000" w:firstRow="0" w:lastRow="0" w:firstColumn="0" w:lastColumn="0" w:oddVBand="0" w:evenVBand="0" w:oddHBand="1" w:evenHBand="0" w:firstRowFirstColumn="0" w:firstRowLastColumn="0" w:lastRowFirstColumn="0" w:lastRowLastColumn="0"/>
            </w:pPr>
            <w:r>
              <w:t>1</w:t>
            </w:r>
          </w:p>
        </w:tc>
        <w:tc>
          <w:tcPr>
            <w:tcW w:w="1500" w:type="dxa"/>
          </w:tcPr>
          <w:p w:rsidR="00467D8D" w:rsidRDefault="00467D8D" w:rsidP="00467D8D">
            <w:pPr>
              <w:cnfStyle w:val="000000100000" w:firstRow="0" w:lastRow="0" w:firstColumn="0" w:lastColumn="0" w:oddVBand="0" w:evenVBand="0" w:oddHBand="1" w:evenHBand="0" w:firstRowFirstColumn="0" w:firstRowLastColumn="0" w:lastRowFirstColumn="0" w:lastRowLastColumn="0"/>
            </w:pPr>
            <w:r>
              <w:t>2</w:t>
            </w:r>
          </w:p>
        </w:tc>
        <w:tc>
          <w:tcPr>
            <w:tcW w:w="1268" w:type="dxa"/>
          </w:tcPr>
          <w:p w:rsidR="00467D8D" w:rsidRDefault="00467D8D" w:rsidP="00467D8D">
            <w:pPr>
              <w:cnfStyle w:val="000000100000" w:firstRow="0" w:lastRow="0" w:firstColumn="0" w:lastColumn="0" w:oddVBand="0" w:evenVBand="0" w:oddHBand="1" w:evenHBand="0" w:firstRowFirstColumn="0" w:firstRowLastColumn="0" w:lastRowFirstColumn="0" w:lastRowLastColumn="0"/>
            </w:pPr>
            <w:r>
              <w:t>£270</w:t>
            </w:r>
          </w:p>
        </w:tc>
        <w:tc>
          <w:tcPr>
            <w:tcW w:w="1426" w:type="dxa"/>
          </w:tcPr>
          <w:p w:rsidR="00467D8D" w:rsidRDefault="00467D8D" w:rsidP="00467D8D">
            <w:pPr>
              <w:cnfStyle w:val="000000100000" w:firstRow="0" w:lastRow="0" w:firstColumn="0" w:lastColumn="0" w:oddVBand="0" w:evenVBand="0" w:oddHBand="1" w:evenHBand="0" w:firstRowFirstColumn="0" w:firstRowLastColumn="0" w:lastRowFirstColumn="0" w:lastRowLastColumn="0"/>
            </w:pPr>
            <w:r>
              <w:t>£202</w:t>
            </w:r>
          </w:p>
        </w:tc>
      </w:tr>
      <w:tr w:rsidR="00467D8D" w:rsidTr="00091FB9">
        <w:tc>
          <w:tcPr>
            <w:cnfStyle w:val="001000000000" w:firstRow="0" w:lastRow="0" w:firstColumn="1" w:lastColumn="0" w:oddVBand="0" w:evenVBand="0" w:oddHBand="0" w:evenHBand="0" w:firstRowFirstColumn="0" w:firstRowLastColumn="0" w:lastRowFirstColumn="0" w:lastRowLastColumn="0"/>
            <w:tcW w:w="2357" w:type="dxa"/>
          </w:tcPr>
          <w:p w:rsidR="00467D8D" w:rsidRDefault="00467D8D" w:rsidP="00467D8D">
            <w:r>
              <w:t>PEG tube</w:t>
            </w:r>
          </w:p>
        </w:tc>
        <w:tc>
          <w:tcPr>
            <w:tcW w:w="896"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2</w:t>
            </w:r>
          </w:p>
        </w:tc>
        <w:tc>
          <w:tcPr>
            <w:tcW w:w="896"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1</w:t>
            </w:r>
          </w:p>
        </w:tc>
        <w:tc>
          <w:tcPr>
            <w:tcW w:w="899"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0</w:t>
            </w:r>
          </w:p>
        </w:tc>
        <w:tc>
          <w:tcPr>
            <w:tcW w:w="1500"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3</w:t>
            </w:r>
          </w:p>
        </w:tc>
        <w:tc>
          <w:tcPr>
            <w:tcW w:w="1268"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£405</w:t>
            </w:r>
          </w:p>
        </w:tc>
        <w:tc>
          <w:tcPr>
            <w:tcW w:w="1426"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£304</w:t>
            </w:r>
          </w:p>
        </w:tc>
      </w:tr>
      <w:tr w:rsidR="00467D8D" w:rsidTr="00091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rsidR="00467D8D" w:rsidRDefault="00467D8D" w:rsidP="00467D8D">
            <w:r>
              <w:t>Removal staples/sutures</w:t>
            </w:r>
          </w:p>
        </w:tc>
        <w:tc>
          <w:tcPr>
            <w:tcW w:w="896" w:type="dxa"/>
          </w:tcPr>
          <w:p w:rsidR="00467D8D" w:rsidRDefault="00467D8D" w:rsidP="00467D8D">
            <w:pPr>
              <w:cnfStyle w:val="000000100000" w:firstRow="0" w:lastRow="0" w:firstColumn="0" w:lastColumn="0" w:oddVBand="0" w:evenVBand="0" w:oddHBand="1" w:evenHBand="0" w:firstRowFirstColumn="0" w:firstRowLastColumn="0" w:lastRowFirstColumn="0" w:lastRowLastColumn="0"/>
            </w:pPr>
            <w:r>
              <w:t>2</w:t>
            </w:r>
          </w:p>
        </w:tc>
        <w:tc>
          <w:tcPr>
            <w:tcW w:w="896" w:type="dxa"/>
          </w:tcPr>
          <w:p w:rsidR="00467D8D" w:rsidRDefault="00467D8D" w:rsidP="00467D8D">
            <w:pPr>
              <w:cnfStyle w:val="000000100000" w:firstRow="0" w:lastRow="0" w:firstColumn="0" w:lastColumn="0" w:oddVBand="0" w:evenVBand="0" w:oddHBand="1" w:evenHBand="0" w:firstRowFirstColumn="0" w:firstRowLastColumn="0" w:lastRowFirstColumn="0" w:lastRowLastColumn="0"/>
            </w:pPr>
            <w:r>
              <w:t>0</w:t>
            </w:r>
          </w:p>
        </w:tc>
        <w:tc>
          <w:tcPr>
            <w:tcW w:w="899" w:type="dxa"/>
          </w:tcPr>
          <w:p w:rsidR="00467D8D" w:rsidRDefault="00467D8D" w:rsidP="00467D8D">
            <w:pPr>
              <w:cnfStyle w:val="000000100000" w:firstRow="0" w:lastRow="0" w:firstColumn="0" w:lastColumn="0" w:oddVBand="0" w:evenVBand="0" w:oddHBand="1" w:evenHBand="0" w:firstRowFirstColumn="0" w:firstRowLastColumn="0" w:lastRowFirstColumn="0" w:lastRowLastColumn="0"/>
            </w:pPr>
            <w:r>
              <w:t>0</w:t>
            </w:r>
          </w:p>
        </w:tc>
        <w:tc>
          <w:tcPr>
            <w:tcW w:w="1500" w:type="dxa"/>
          </w:tcPr>
          <w:p w:rsidR="00467D8D" w:rsidRDefault="00467D8D" w:rsidP="00467D8D">
            <w:pPr>
              <w:cnfStyle w:val="000000100000" w:firstRow="0" w:lastRow="0" w:firstColumn="0" w:lastColumn="0" w:oddVBand="0" w:evenVBand="0" w:oddHBand="1" w:evenHBand="0" w:firstRowFirstColumn="0" w:firstRowLastColumn="0" w:lastRowFirstColumn="0" w:lastRowLastColumn="0"/>
            </w:pPr>
            <w:r>
              <w:t>2</w:t>
            </w:r>
          </w:p>
        </w:tc>
        <w:tc>
          <w:tcPr>
            <w:tcW w:w="1268" w:type="dxa"/>
          </w:tcPr>
          <w:p w:rsidR="00467D8D" w:rsidRDefault="00467D8D" w:rsidP="00467D8D">
            <w:pPr>
              <w:cnfStyle w:val="000000100000" w:firstRow="0" w:lastRow="0" w:firstColumn="0" w:lastColumn="0" w:oddVBand="0" w:evenVBand="0" w:oddHBand="1" w:evenHBand="0" w:firstRowFirstColumn="0" w:firstRowLastColumn="0" w:lastRowFirstColumn="0" w:lastRowLastColumn="0"/>
            </w:pPr>
            <w:r>
              <w:t>£270</w:t>
            </w:r>
          </w:p>
        </w:tc>
        <w:tc>
          <w:tcPr>
            <w:tcW w:w="1426" w:type="dxa"/>
          </w:tcPr>
          <w:p w:rsidR="00467D8D" w:rsidRDefault="00467D8D" w:rsidP="00467D8D">
            <w:pPr>
              <w:cnfStyle w:val="000000100000" w:firstRow="0" w:lastRow="0" w:firstColumn="0" w:lastColumn="0" w:oddVBand="0" w:evenVBand="0" w:oddHBand="1" w:evenHBand="0" w:firstRowFirstColumn="0" w:firstRowLastColumn="0" w:lastRowFirstColumn="0" w:lastRowLastColumn="0"/>
            </w:pPr>
            <w:r>
              <w:t>£203</w:t>
            </w:r>
          </w:p>
        </w:tc>
      </w:tr>
      <w:tr w:rsidR="00467D8D" w:rsidTr="00091FB9">
        <w:tc>
          <w:tcPr>
            <w:cnfStyle w:val="001000000000" w:firstRow="0" w:lastRow="0" w:firstColumn="1" w:lastColumn="0" w:oddVBand="0" w:evenVBand="0" w:oddHBand="0" w:evenHBand="0" w:firstRowFirstColumn="0" w:firstRowLastColumn="0" w:lastRowFirstColumn="0" w:lastRowLastColumn="0"/>
            <w:tcW w:w="2357" w:type="dxa"/>
          </w:tcPr>
          <w:p w:rsidR="00467D8D" w:rsidRDefault="00467D8D" w:rsidP="00467D8D">
            <w:r>
              <w:t>Stool sample</w:t>
            </w:r>
          </w:p>
        </w:tc>
        <w:tc>
          <w:tcPr>
            <w:tcW w:w="896"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0</w:t>
            </w:r>
          </w:p>
        </w:tc>
        <w:tc>
          <w:tcPr>
            <w:tcW w:w="896"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0</w:t>
            </w:r>
          </w:p>
        </w:tc>
        <w:tc>
          <w:tcPr>
            <w:tcW w:w="899"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1</w:t>
            </w:r>
          </w:p>
        </w:tc>
        <w:tc>
          <w:tcPr>
            <w:tcW w:w="1500"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1</w:t>
            </w:r>
          </w:p>
        </w:tc>
        <w:tc>
          <w:tcPr>
            <w:tcW w:w="1268"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£135</w:t>
            </w:r>
          </w:p>
        </w:tc>
        <w:tc>
          <w:tcPr>
            <w:tcW w:w="1426"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£101</w:t>
            </w:r>
          </w:p>
        </w:tc>
      </w:tr>
      <w:tr w:rsidR="00467D8D" w:rsidTr="00091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rsidR="00467D8D" w:rsidRDefault="00467D8D" w:rsidP="00467D8D">
            <w:r>
              <w:t>Urine/weight/BP/other observations</w:t>
            </w:r>
          </w:p>
        </w:tc>
        <w:tc>
          <w:tcPr>
            <w:tcW w:w="896" w:type="dxa"/>
          </w:tcPr>
          <w:p w:rsidR="00467D8D" w:rsidRDefault="00467D8D" w:rsidP="00467D8D">
            <w:pPr>
              <w:cnfStyle w:val="000000100000" w:firstRow="0" w:lastRow="0" w:firstColumn="0" w:lastColumn="0" w:oddVBand="0" w:evenVBand="0" w:oddHBand="1" w:evenHBand="0" w:firstRowFirstColumn="0" w:firstRowLastColumn="0" w:lastRowFirstColumn="0" w:lastRowLastColumn="0"/>
            </w:pPr>
            <w:r>
              <w:t>2</w:t>
            </w:r>
          </w:p>
        </w:tc>
        <w:tc>
          <w:tcPr>
            <w:tcW w:w="896" w:type="dxa"/>
          </w:tcPr>
          <w:p w:rsidR="00467D8D" w:rsidRDefault="00467D8D" w:rsidP="00467D8D">
            <w:pPr>
              <w:cnfStyle w:val="000000100000" w:firstRow="0" w:lastRow="0" w:firstColumn="0" w:lastColumn="0" w:oddVBand="0" w:evenVBand="0" w:oddHBand="1" w:evenHBand="0" w:firstRowFirstColumn="0" w:firstRowLastColumn="0" w:lastRowFirstColumn="0" w:lastRowLastColumn="0"/>
            </w:pPr>
            <w:r>
              <w:t>4</w:t>
            </w:r>
          </w:p>
        </w:tc>
        <w:tc>
          <w:tcPr>
            <w:tcW w:w="899" w:type="dxa"/>
          </w:tcPr>
          <w:p w:rsidR="00467D8D" w:rsidRDefault="00467D8D" w:rsidP="00467D8D">
            <w:pPr>
              <w:cnfStyle w:val="000000100000" w:firstRow="0" w:lastRow="0" w:firstColumn="0" w:lastColumn="0" w:oddVBand="0" w:evenVBand="0" w:oddHBand="1" w:evenHBand="0" w:firstRowFirstColumn="0" w:firstRowLastColumn="0" w:lastRowFirstColumn="0" w:lastRowLastColumn="0"/>
            </w:pPr>
            <w:r>
              <w:t>0</w:t>
            </w:r>
          </w:p>
        </w:tc>
        <w:tc>
          <w:tcPr>
            <w:tcW w:w="1500" w:type="dxa"/>
          </w:tcPr>
          <w:p w:rsidR="00467D8D" w:rsidRDefault="00467D8D" w:rsidP="00467D8D">
            <w:pPr>
              <w:cnfStyle w:val="000000100000" w:firstRow="0" w:lastRow="0" w:firstColumn="0" w:lastColumn="0" w:oddVBand="0" w:evenVBand="0" w:oddHBand="1" w:evenHBand="0" w:firstRowFirstColumn="0" w:firstRowLastColumn="0" w:lastRowFirstColumn="0" w:lastRowLastColumn="0"/>
            </w:pPr>
            <w:r>
              <w:t>6</w:t>
            </w:r>
          </w:p>
        </w:tc>
        <w:tc>
          <w:tcPr>
            <w:tcW w:w="1268" w:type="dxa"/>
          </w:tcPr>
          <w:p w:rsidR="00467D8D" w:rsidRDefault="00467D8D" w:rsidP="00467D8D">
            <w:pPr>
              <w:cnfStyle w:val="000000100000" w:firstRow="0" w:lastRow="0" w:firstColumn="0" w:lastColumn="0" w:oddVBand="0" w:evenVBand="0" w:oddHBand="1" w:evenHBand="0" w:firstRowFirstColumn="0" w:firstRowLastColumn="0" w:lastRowFirstColumn="0" w:lastRowLastColumn="0"/>
            </w:pPr>
            <w:r>
              <w:t>£810</w:t>
            </w:r>
          </w:p>
        </w:tc>
        <w:tc>
          <w:tcPr>
            <w:tcW w:w="1426" w:type="dxa"/>
          </w:tcPr>
          <w:p w:rsidR="00467D8D" w:rsidRDefault="00467D8D" w:rsidP="00467D8D">
            <w:pPr>
              <w:cnfStyle w:val="000000100000" w:firstRow="0" w:lastRow="0" w:firstColumn="0" w:lastColumn="0" w:oddVBand="0" w:evenVBand="0" w:oddHBand="1" w:evenHBand="0" w:firstRowFirstColumn="0" w:firstRowLastColumn="0" w:lastRowFirstColumn="0" w:lastRowLastColumn="0"/>
            </w:pPr>
            <w:r>
              <w:t>£608</w:t>
            </w:r>
          </w:p>
        </w:tc>
      </w:tr>
      <w:tr w:rsidR="00467D8D" w:rsidTr="00091FB9">
        <w:tc>
          <w:tcPr>
            <w:cnfStyle w:val="001000000000" w:firstRow="0" w:lastRow="0" w:firstColumn="1" w:lastColumn="0" w:oddVBand="0" w:evenVBand="0" w:oddHBand="0" w:evenHBand="0" w:firstRowFirstColumn="0" w:firstRowLastColumn="0" w:lastRowFirstColumn="0" w:lastRowLastColumn="0"/>
            <w:tcW w:w="2357" w:type="dxa"/>
          </w:tcPr>
          <w:p w:rsidR="00467D8D" w:rsidRDefault="00467D8D" w:rsidP="00467D8D">
            <w:r>
              <w:t>Total</w:t>
            </w:r>
          </w:p>
        </w:tc>
        <w:tc>
          <w:tcPr>
            <w:tcW w:w="896"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96</w:t>
            </w:r>
          </w:p>
        </w:tc>
        <w:tc>
          <w:tcPr>
            <w:tcW w:w="896"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116</w:t>
            </w:r>
          </w:p>
        </w:tc>
        <w:tc>
          <w:tcPr>
            <w:tcW w:w="899"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86</w:t>
            </w:r>
          </w:p>
        </w:tc>
        <w:tc>
          <w:tcPr>
            <w:tcW w:w="1500"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298</w:t>
            </w:r>
          </w:p>
        </w:tc>
        <w:tc>
          <w:tcPr>
            <w:tcW w:w="1268"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£39,420</w:t>
            </w:r>
          </w:p>
        </w:tc>
        <w:tc>
          <w:tcPr>
            <w:tcW w:w="1426" w:type="dxa"/>
          </w:tcPr>
          <w:p w:rsidR="00467D8D" w:rsidRDefault="00467D8D" w:rsidP="00467D8D">
            <w:pPr>
              <w:cnfStyle w:val="000000000000" w:firstRow="0" w:lastRow="0" w:firstColumn="0" w:lastColumn="0" w:oddVBand="0" w:evenVBand="0" w:oddHBand="0" w:evenHBand="0" w:firstRowFirstColumn="0" w:firstRowLastColumn="0" w:lastRowFirstColumn="0" w:lastRowLastColumn="0"/>
            </w:pPr>
            <w:r>
              <w:t>£29,360</w:t>
            </w:r>
          </w:p>
        </w:tc>
      </w:tr>
    </w:tbl>
    <w:p w:rsidR="00CD01D3" w:rsidRDefault="00CD01D3" w:rsidP="00CD01D3">
      <w:pPr>
        <w:pStyle w:val="Caption"/>
      </w:pPr>
      <w:r>
        <w:t xml:space="preserve">Figure </w:t>
      </w:r>
      <w:r w:rsidR="00156E8B">
        <w:fldChar w:fldCharType="begin"/>
      </w:r>
      <w:r w:rsidR="00156E8B">
        <w:instrText xml:space="preserve"> SEQ Figure \* ARABIC </w:instrText>
      </w:r>
      <w:r w:rsidR="00156E8B">
        <w:fldChar w:fldCharType="separate"/>
      </w:r>
      <w:r w:rsidR="005C553C">
        <w:rPr>
          <w:noProof/>
        </w:rPr>
        <w:t>11</w:t>
      </w:r>
      <w:r w:rsidR="00156E8B">
        <w:rPr>
          <w:noProof/>
        </w:rPr>
        <w:fldChar w:fldCharType="end"/>
      </w:r>
      <w:r>
        <w:t xml:space="preserve"> COaST Audit, interventions</w:t>
      </w:r>
    </w:p>
    <w:p w:rsidR="00070352" w:rsidRPr="005459FC" w:rsidRDefault="00B06AC2" w:rsidP="00BD7E6D">
      <w:pPr>
        <w:rPr>
          <w:rFonts w:cs="Arial"/>
          <w:szCs w:val="24"/>
        </w:rPr>
      </w:pPr>
      <w:r w:rsidRPr="005459FC">
        <w:rPr>
          <w:rFonts w:cs="Arial"/>
          <w:szCs w:val="24"/>
        </w:rPr>
        <w:t>NB a</w:t>
      </w:r>
      <w:r w:rsidR="00EE3555" w:rsidRPr="005459FC">
        <w:rPr>
          <w:rFonts w:cs="Arial"/>
          <w:szCs w:val="24"/>
        </w:rPr>
        <w:t>ttendances attract two tariff payments.</w:t>
      </w:r>
    </w:p>
    <w:p w:rsidR="00070352" w:rsidRDefault="00070352" w:rsidP="00BD7E6D">
      <w:pPr>
        <w:rPr>
          <w:rFonts w:cs="Arial"/>
          <w:sz w:val="24"/>
          <w:szCs w:val="24"/>
        </w:rPr>
      </w:pPr>
    </w:p>
    <w:p w:rsidR="00467D8D" w:rsidRDefault="00467D8D" w:rsidP="00BD7E6D">
      <w:pPr>
        <w:rPr>
          <w:rFonts w:cs="Arial"/>
          <w:sz w:val="24"/>
          <w:szCs w:val="24"/>
        </w:rPr>
      </w:pPr>
    </w:p>
    <w:tbl>
      <w:tblPr>
        <w:tblStyle w:val="LightList-Accent1"/>
        <w:tblW w:w="5000" w:type="pct"/>
        <w:tblLook w:val="04A0" w:firstRow="1" w:lastRow="0" w:firstColumn="1" w:lastColumn="0" w:noHBand="0" w:noVBand="1"/>
      </w:tblPr>
      <w:tblGrid>
        <w:gridCol w:w="3370"/>
        <w:gridCol w:w="3569"/>
        <w:gridCol w:w="2303"/>
      </w:tblGrid>
      <w:tr w:rsidR="00467D8D" w:rsidRPr="008C5CA7" w:rsidTr="00091FB9">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5000" w:type="pct"/>
            <w:gridSpan w:val="3"/>
            <w:noWrap/>
          </w:tcPr>
          <w:p w:rsidR="00467D8D" w:rsidRPr="002C4E34" w:rsidRDefault="00467D8D" w:rsidP="00467D8D">
            <w:pPr>
              <w:rPr>
                <w:rFonts w:eastAsia="Times New Roman" w:cs="Arial"/>
                <w:bCs w:val="0"/>
                <w:lang w:eastAsia="en-GB"/>
              </w:rPr>
            </w:pPr>
            <w:r w:rsidRPr="002C4E34">
              <w:rPr>
                <w:rFonts w:eastAsia="Times New Roman" w:cs="Arial"/>
                <w:bCs w:val="0"/>
                <w:lang w:eastAsia="en-GB"/>
              </w:rPr>
              <w:t>In patient</w:t>
            </w:r>
          </w:p>
        </w:tc>
      </w:tr>
      <w:tr w:rsidR="00467D8D" w:rsidRPr="008C5CA7" w:rsidTr="00091FB9">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1823" w:type="pct"/>
            <w:noWrap/>
            <w:hideMark/>
          </w:tcPr>
          <w:p w:rsidR="00467D8D" w:rsidRPr="005F0F90" w:rsidRDefault="00467D8D" w:rsidP="00467D8D">
            <w:pPr>
              <w:rPr>
                <w:rFonts w:eastAsia="Times New Roman" w:cs="Arial"/>
                <w:bCs w:val="0"/>
                <w:lang w:eastAsia="en-GB"/>
              </w:rPr>
            </w:pPr>
            <w:r w:rsidRPr="008C5CA7">
              <w:t xml:space="preserve">   </w:t>
            </w:r>
            <w:r w:rsidRPr="005F0F90">
              <w:rPr>
                <w:rFonts w:eastAsia="Times New Roman" w:cs="Arial"/>
                <w:bCs w:val="0"/>
                <w:lang w:eastAsia="en-GB"/>
              </w:rPr>
              <w:t>Dolphin Ward - In Patients</w:t>
            </w:r>
          </w:p>
        </w:tc>
        <w:tc>
          <w:tcPr>
            <w:tcW w:w="1931" w:type="pct"/>
            <w:hideMark/>
          </w:tcPr>
          <w:p w:rsidR="00467D8D" w:rsidRPr="008C5CA7" w:rsidRDefault="00467D8D" w:rsidP="00467D8D">
            <w:pPr>
              <w:cnfStyle w:val="000000100000" w:firstRow="0" w:lastRow="0" w:firstColumn="0" w:lastColumn="0" w:oddVBand="0" w:evenVBand="0" w:oddHBand="1" w:evenHBand="0" w:firstRowFirstColumn="0" w:firstRowLastColumn="0" w:lastRowFirstColumn="0" w:lastRowLastColumn="0"/>
              <w:rPr>
                <w:rFonts w:eastAsia="Times New Roman" w:cs="Arial"/>
                <w:b/>
                <w:bCs/>
                <w:lang w:eastAsia="en-GB"/>
              </w:rPr>
            </w:pPr>
            <w:r w:rsidRPr="008C5CA7">
              <w:rPr>
                <w:rFonts w:eastAsia="Times New Roman" w:cs="Arial"/>
                <w:b/>
                <w:bCs/>
                <w:lang w:eastAsia="en-GB"/>
              </w:rPr>
              <w:t>No. of days    (9th April to 7th May 2014)</w:t>
            </w:r>
          </w:p>
        </w:tc>
        <w:tc>
          <w:tcPr>
            <w:tcW w:w="1246" w:type="pct"/>
            <w:noWrap/>
            <w:hideMark/>
          </w:tcPr>
          <w:p w:rsidR="00467D8D" w:rsidRPr="008C5CA7" w:rsidRDefault="00467D8D" w:rsidP="00467D8D">
            <w:pPr>
              <w:cnfStyle w:val="000000100000" w:firstRow="0" w:lastRow="0" w:firstColumn="0" w:lastColumn="0" w:oddVBand="0" w:evenVBand="0" w:oddHBand="1" w:evenHBand="0" w:firstRowFirstColumn="0" w:firstRowLastColumn="0" w:lastRowFirstColumn="0" w:lastRowLastColumn="0"/>
              <w:rPr>
                <w:rFonts w:eastAsia="Times New Roman" w:cs="Arial"/>
                <w:b/>
                <w:bCs/>
                <w:lang w:eastAsia="en-GB"/>
              </w:rPr>
            </w:pPr>
            <w:r w:rsidRPr="008C5CA7">
              <w:rPr>
                <w:rFonts w:eastAsia="Times New Roman" w:cs="Arial"/>
                <w:b/>
                <w:bCs/>
                <w:lang w:eastAsia="en-GB"/>
              </w:rPr>
              <w:t>2014/15 Tariff</w:t>
            </w:r>
          </w:p>
        </w:tc>
      </w:tr>
      <w:tr w:rsidR="00467D8D" w:rsidRPr="008C5CA7" w:rsidTr="00091FB9">
        <w:trPr>
          <w:trHeight w:val="300"/>
        </w:trPr>
        <w:tc>
          <w:tcPr>
            <w:cnfStyle w:val="001000000000" w:firstRow="0" w:lastRow="0" w:firstColumn="1" w:lastColumn="0" w:oddVBand="0" w:evenVBand="0" w:oddHBand="0" w:evenHBand="0" w:firstRowFirstColumn="0" w:firstRowLastColumn="0" w:lastRowFirstColumn="0" w:lastRowLastColumn="0"/>
            <w:tcW w:w="1823" w:type="pct"/>
            <w:noWrap/>
            <w:hideMark/>
          </w:tcPr>
          <w:p w:rsidR="00467D8D" w:rsidRPr="008C5CA7" w:rsidRDefault="00467D8D" w:rsidP="00467D8D">
            <w:pPr>
              <w:rPr>
                <w:rFonts w:eastAsia="Times New Roman" w:cs="Arial"/>
                <w:lang w:eastAsia="en-GB"/>
              </w:rPr>
            </w:pPr>
            <w:r w:rsidRPr="008C5CA7">
              <w:rPr>
                <w:rFonts w:eastAsia="Times New Roman" w:cs="Arial"/>
                <w:lang w:eastAsia="en-GB"/>
              </w:rPr>
              <w:t>Non Elective</w:t>
            </w:r>
          </w:p>
        </w:tc>
        <w:tc>
          <w:tcPr>
            <w:tcW w:w="1931" w:type="pct"/>
            <w:noWrap/>
            <w:hideMark/>
          </w:tcPr>
          <w:p w:rsidR="00467D8D" w:rsidRPr="008C5CA7" w:rsidRDefault="00467D8D" w:rsidP="00467D8D">
            <w:pPr>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sidRPr="008C5CA7">
              <w:rPr>
                <w:rFonts w:eastAsia="Times New Roman" w:cs="Arial"/>
                <w:lang w:eastAsia="en-GB"/>
              </w:rPr>
              <w:t>5</w:t>
            </w:r>
          </w:p>
        </w:tc>
        <w:tc>
          <w:tcPr>
            <w:tcW w:w="1246" w:type="pct"/>
            <w:noWrap/>
            <w:hideMark/>
          </w:tcPr>
          <w:p w:rsidR="00467D8D" w:rsidRPr="008C5CA7" w:rsidRDefault="00467D8D" w:rsidP="00467D8D">
            <w:pPr>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sidRPr="008C5CA7">
              <w:rPr>
                <w:rFonts w:eastAsia="Times New Roman" w:cs="Arial"/>
                <w:lang w:eastAsia="en-GB"/>
              </w:rPr>
              <w:t>£1,258</w:t>
            </w:r>
          </w:p>
        </w:tc>
      </w:tr>
      <w:tr w:rsidR="00467D8D" w:rsidRPr="008C5CA7" w:rsidTr="00091FB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823" w:type="pct"/>
            <w:hideMark/>
          </w:tcPr>
          <w:p w:rsidR="00467D8D" w:rsidRPr="008C5CA7" w:rsidRDefault="00467D8D" w:rsidP="00467D8D">
            <w:pPr>
              <w:rPr>
                <w:rFonts w:eastAsia="Times New Roman" w:cs="Arial"/>
                <w:lang w:eastAsia="en-GB"/>
              </w:rPr>
            </w:pPr>
            <w:r w:rsidRPr="008C5CA7">
              <w:rPr>
                <w:rFonts w:eastAsia="Times New Roman" w:cs="Arial"/>
                <w:lang w:eastAsia="en-GB"/>
              </w:rPr>
              <w:t>Non Elective Short Stay</w:t>
            </w:r>
          </w:p>
        </w:tc>
        <w:tc>
          <w:tcPr>
            <w:tcW w:w="1931" w:type="pct"/>
            <w:noWrap/>
            <w:hideMark/>
          </w:tcPr>
          <w:p w:rsidR="00467D8D" w:rsidRPr="008C5CA7" w:rsidRDefault="00467D8D" w:rsidP="00467D8D">
            <w:pPr>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sidRPr="008C5CA7">
              <w:rPr>
                <w:rFonts w:eastAsia="Times New Roman" w:cs="Arial"/>
                <w:lang w:eastAsia="en-GB"/>
              </w:rPr>
              <w:t>1</w:t>
            </w:r>
          </w:p>
        </w:tc>
        <w:tc>
          <w:tcPr>
            <w:tcW w:w="1246" w:type="pct"/>
            <w:noWrap/>
            <w:hideMark/>
          </w:tcPr>
          <w:p w:rsidR="00467D8D" w:rsidRPr="008C5CA7" w:rsidRDefault="00467D8D" w:rsidP="00467D8D">
            <w:pPr>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sidRPr="008C5CA7">
              <w:rPr>
                <w:rFonts w:eastAsia="Times New Roman" w:cs="Arial"/>
                <w:lang w:eastAsia="en-GB"/>
              </w:rPr>
              <w:t>£765</w:t>
            </w:r>
          </w:p>
        </w:tc>
      </w:tr>
      <w:tr w:rsidR="00467D8D" w:rsidRPr="0071353B" w:rsidTr="00091FB9">
        <w:trPr>
          <w:trHeight w:val="300"/>
        </w:trPr>
        <w:tc>
          <w:tcPr>
            <w:cnfStyle w:val="001000000000" w:firstRow="0" w:lastRow="0" w:firstColumn="1" w:lastColumn="0" w:oddVBand="0" w:evenVBand="0" w:oddHBand="0" w:evenHBand="0" w:firstRowFirstColumn="0" w:firstRowLastColumn="0" w:lastRowFirstColumn="0" w:lastRowLastColumn="0"/>
            <w:tcW w:w="1823" w:type="pct"/>
            <w:noWrap/>
            <w:hideMark/>
          </w:tcPr>
          <w:p w:rsidR="00467D8D" w:rsidRPr="005F0F90" w:rsidRDefault="00467D8D" w:rsidP="00467D8D">
            <w:pPr>
              <w:rPr>
                <w:rFonts w:eastAsia="Times New Roman" w:cs="Arial"/>
                <w:bCs w:val="0"/>
                <w:color w:val="000000"/>
                <w:lang w:eastAsia="en-GB"/>
              </w:rPr>
            </w:pPr>
            <w:r w:rsidRPr="005F0F90">
              <w:rPr>
                <w:rFonts w:eastAsia="Times New Roman" w:cs="Arial"/>
                <w:bCs w:val="0"/>
                <w:color w:val="000000"/>
                <w:lang w:eastAsia="en-GB"/>
              </w:rPr>
              <w:t>Total</w:t>
            </w:r>
          </w:p>
        </w:tc>
        <w:tc>
          <w:tcPr>
            <w:tcW w:w="1931" w:type="pct"/>
            <w:noWrap/>
            <w:hideMark/>
          </w:tcPr>
          <w:p w:rsidR="00467D8D" w:rsidRPr="0071353B" w:rsidRDefault="00467D8D" w:rsidP="00467D8D">
            <w:pP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lang w:eastAsia="en-GB"/>
              </w:rPr>
            </w:pPr>
            <w:r w:rsidRPr="0071353B">
              <w:rPr>
                <w:rFonts w:eastAsia="Times New Roman" w:cs="Arial"/>
                <w:b/>
                <w:bCs/>
                <w:color w:val="000000"/>
                <w:lang w:eastAsia="en-GB"/>
              </w:rPr>
              <w:t>6</w:t>
            </w:r>
          </w:p>
        </w:tc>
        <w:tc>
          <w:tcPr>
            <w:tcW w:w="1246" w:type="pct"/>
            <w:noWrap/>
            <w:hideMark/>
          </w:tcPr>
          <w:p w:rsidR="00467D8D" w:rsidRPr="0071353B" w:rsidRDefault="00467D8D" w:rsidP="00467D8D">
            <w:pP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lang w:eastAsia="en-GB"/>
              </w:rPr>
            </w:pPr>
            <w:r w:rsidRPr="0071353B">
              <w:rPr>
                <w:rFonts w:eastAsia="Times New Roman" w:cs="Arial"/>
                <w:b/>
                <w:bCs/>
                <w:color w:val="000000"/>
                <w:lang w:eastAsia="en-GB"/>
              </w:rPr>
              <w:t>£2,023</w:t>
            </w:r>
          </w:p>
        </w:tc>
      </w:tr>
    </w:tbl>
    <w:p w:rsidR="00EE3555" w:rsidRDefault="00CD01D3" w:rsidP="00CD01D3">
      <w:pPr>
        <w:pStyle w:val="Caption"/>
        <w:rPr>
          <w:rFonts w:cs="Arial"/>
          <w:sz w:val="24"/>
          <w:szCs w:val="24"/>
        </w:rPr>
      </w:pPr>
      <w:r>
        <w:t xml:space="preserve">Figure </w:t>
      </w:r>
      <w:r w:rsidR="00156E8B">
        <w:fldChar w:fldCharType="begin"/>
      </w:r>
      <w:r w:rsidR="00156E8B">
        <w:instrText xml:space="preserve"> SEQ Figure \* ARABIC </w:instrText>
      </w:r>
      <w:r w:rsidR="00156E8B">
        <w:fldChar w:fldCharType="separate"/>
      </w:r>
      <w:r w:rsidR="005C553C">
        <w:rPr>
          <w:noProof/>
        </w:rPr>
        <w:t>12</w:t>
      </w:r>
      <w:r w:rsidR="00156E8B">
        <w:rPr>
          <w:noProof/>
        </w:rPr>
        <w:fldChar w:fldCharType="end"/>
      </w:r>
      <w:r>
        <w:t xml:space="preserve"> COaST Audit, LoS</w:t>
      </w:r>
    </w:p>
    <w:p w:rsidR="00B06AC2" w:rsidRPr="005459FC" w:rsidRDefault="00B06AC2" w:rsidP="00BD7E6D">
      <w:pPr>
        <w:rPr>
          <w:rFonts w:cs="Arial"/>
          <w:szCs w:val="24"/>
        </w:rPr>
      </w:pPr>
      <w:r w:rsidRPr="005459FC">
        <w:rPr>
          <w:rFonts w:cs="Arial"/>
          <w:szCs w:val="24"/>
        </w:rPr>
        <w:t>The</w:t>
      </w:r>
      <w:r w:rsidR="00995F3C">
        <w:rPr>
          <w:rFonts w:cs="Arial"/>
          <w:szCs w:val="24"/>
        </w:rPr>
        <w:t xml:space="preserve"> consequent</w:t>
      </w:r>
      <w:r w:rsidRPr="005459FC">
        <w:rPr>
          <w:rFonts w:cs="Arial"/>
          <w:szCs w:val="24"/>
        </w:rPr>
        <w:t xml:space="preserve"> business case</w:t>
      </w:r>
      <w:r w:rsidR="004B36D3">
        <w:rPr>
          <w:rStyle w:val="FootnoteReference"/>
          <w:rFonts w:cs="Arial"/>
          <w:szCs w:val="24"/>
        </w:rPr>
        <w:footnoteReference w:id="28"/>
      </w:r>
      <w:r w:rsidRPr="005459FC">
        <w:rPr>
          <w:rFonts w:cs="Arial"/>
          <w:szCs w:val="24"/>
        </w:rPr>
        <w:t xml:space="preserve"> states that</w:t>
      </w:r>
      <w:r w:rsidR="00844533">
        <w:rPr>
          <w:rFonts w:cs="Arial"/>
          <w:szCs w:val="24"/>
        </w:rPr>
        <w:t>:</w:t>
      </w:r>
    </w:p>
    <w:p w:rsidR="00EE3555" w:rsidRDefault="00B06AC2" w:rsidP="00BD7E6D">
      <w:pPr>
        <w:rPr>
          <w:rFonts w:cs="Arial"/>
          <w:sz w:val="24"/>
          <w:szCs w:val="24"/>
        </w:rPr>
      </w:pPr>
      <w:r>
        <w:rPr>
          <w:szCs w:val="24"/>
        </w:rPr>
        <w:t xml:space="preserve">“If the activity was aggregated over a 12 month period (recognising that there may well be seasonal fluctuations and children with more complex conditions e.g. a child with a bone infection that would require more frequent attendances) </w:t>
      </w:r>
      <w:r w:rsidRPr="005459FC">
        <w:rPr>
          <w:szCs w:val="24"/>
        </w:rPr>
        <w:t xml:space="preserve">the approximate income stream that could be reinvested in a community children’s nursing service model would be </w:t>
      </w:r>
      <w:r w:rsidR="005459FC" w:rsidRPr="005459FC">
        <w:rPr>
          <w:szCs w:val="24"/>
        </w:rPr>
        <w:t>…</w:t>
      </w:r>
      <w:r w:rsidRPr="005459FC">
        <w:rPr>
          <w:szCs w:val="24"/>
        </w:rPr>
        <w:t xml:space="preserve"> £181,956</w:t>
      </w:r>
      <w:r w:rsidRPr="00696321">
        <w:rPr>
          <w:b/>
          <w:szCs w:val="24"/>
        </w:rPr>
        <w:t xml:space="preserve"> </w:t>
      </w:r>
      <w:r w:rsidR="005459FC">
        <w:rPr>
          <w:szCs w:val="24"/>
        </w:rPr>
        <w:t>..</w:t>
      </w:r>
      <w:r w:rsidRPr="00696321">
        <w:rPr>
          <w:szCs w:val="24"/>
        </w:rPr>
        <w:t>apportioned across Medway / Swale based on population split of 73% / 27%, savings</w:t>
      </w:r>
      <w:r w:rsidR="005459FC">
        <w:rPr>
          <w:szCs w:val="24"/>
        </w:rPr>
        <w:t xml:space="preserve"> (for Medway)</w:t>
      </w:r>
      <w:r w:rsidRPr="00696321">
        <w:rPr>
          <w:szCs w:val="24"/>
        </w:rPr>
        <w:t xml:space="preserve"> would be</w:t>
      </w:r>
      <w:r w:rsidR="005459FC">
        <w:rPr>
          <w:szCs w:val="24"/>
        </w:rPr>
        <w:t xml:space="preserve"> £132,827.88”</w:t>
      </w:r>
      <w:r w:rsidR="009A0D95">
        <w:rPr>
          <w:szCs w:val="24"/>
        </w:rPr>
        <w:t>.</w:t>
      </w:r>
    </w:p>
    <w:p w:rsidR="00B95D01" w:rsidRDefault="00B95D01" w:rsidP="00BA3044">
      <w:pPr>
        <w:contextualSpacing/>
        <w:rPr>
          <w:rFonts w:ascii="Tahoma" w:hAnsi="Tahoma" w:cs="Tahoma"/>
          <w:sz w:val="24"/>
          <w:szCs w:val="24"/>
          <w:highlight w:val="yellow"/>
        </w:rPr>
      </w:pPr>
    </w:p>
    <w:p w:rsidR="00F45CBB" w:rsidRDefault="00F45CBB" w:rsidP="00F45CBB">
      <w:pPr>
        <w:rPr>
          <w:rFonts w:cs="HelveticaNeueLT Std Lt"/>
          <w:color w:val="000000"/>
        </w:rPr>
      </w:pPr>
      <w:r w:rsidRPr="007500E2">
        <w:rPr>
          <w:rFonts w:cs="HelveticaNeueLT Std Lt"/>
          <w:color w:val="000000"/>
        </w:rPr>
        <w:t xml:space="preserve">Teams across </w:t>
      </w:r>
      <w:r>
        <w:rPr>
          <w:rFonts w:cs="HelveticaNeueLT Std Lt"/>
          <w:color w:val="000000"/>
        </w:rPr>
        <w:t>the South East Coast region,</w:t>
      </w:r>
      <w:r w:rsidRPr="007500E2">
        <w:rPr>
          <w:rFonts w:cs="HelveticaNeueLT Std Lt"/>
          <w:color w:val="000000"/>
        </w:rPr>
        <w:t xml:space="preserve"> with others across the UK</w:t>
      </w:r>
      <w:r>
        <w:rPr>
          <w:rFonts w:cs="HelveticaNeueLT Std Lt"/>
          <w:color w:val="000000"/>
        </w:rPr>
        <w:t>,</w:t>
      </w:r>
      <w:r w:rsidRPr="007500E2">
        <w:rPr>
          <w:rFonts w:cs="HelveticaNeueLT Std Lt"/>
          <w:color w:val="000000"/>
        </w:rPr>
        <w:t xml:space="preserve"> completed a Royal College of Paediatrics and Child Health</w:t>
      </w:r>
      <w:r>
        <w:rPr>
          <w:rFonts w:cs="HelveticaNeueLT Std Lt"/>
          <w:color w:val="000000"/>
        </w:rPr>
        <w:t xml:space="preserve"> (RCPCH) s</w:t>
      </w:r>
      <w:r w:rsidRPr="007500E2">
        <w:rPr>
          <w:rFonts w:cs="HelveticaNeueLT Std Lt"/>
          <w:color w:val="000000"/>
        </w:rPr>
        <w:t>urvey on Community Children’s Nursing Teams during May 2014; there</w:t>
      </w:r>
      <w:r>
        <w:rPr>
          <w:rFonts w:cs="HelveticaNeueLT Std Lt"/>
          <w:color w:val="000000"/>
        </w:rPr>
        <w:t xml:space="preserve"> were</w:t>
      </w:r>
      <w:r w:rsidRPr="007500E2">
        <w:rPr>
          <w:rFonts w:cs="HelveticaNeueLT Std Lt"/>
          <w:color w:val="000000"/>
        </w:rPr>
        <w:t xml:space="preserve"> 70 responses</w:t>
      </w:r>
      <w:r>
        <w:rPr>
          <w:rFonts w:cs="HelveticaNeueLT Std Lt"/>
          <w:color w:val="000000"/>
        </w:rPr>
        <w:t>.</w:t>
      </w:r>
    </w:p>
    <w:p w:rsidR="00F45CBB" w:rsidRPr="007500E2" w:rsidRDefault="00F45CBB" w:rsidP="00F45CBB">
      <w:pPr>
        <w:rPr>
          <w:rFonts w:cs="HelveticaNeueLT Std Lt"/>
          <w:color w:val="000000"/>
        </w:rPr>
      </w:pPr>
    </w:p>
    <w:p w:rsidR="00F45CBB" w:rsidRDefault="00F45CBB" w:rsidP="00F45CBB">
      <w:pPr>
        <w:rPr>
          <w:rFonts w:cs="HelveticaNeueLT Std Lt"/>
          <w:color w:val="000000"/>
        </w:rPr>
      </w:pPr>
      <w:r w:rsidRPr="007500E2">
        <w:rPr>
          <w:rFonts w:cs="HelveticaNeueLT Std Lt"/>
          <w:color w:val="000000"/>
        </w:rPr>
        <w:t xml:space="preserve">All respondents stated that they provide services for all categories listed; acute, long-term conditions, disabilities and complex conditions but the highest majority (87.5%) was </w:t>
      </w:r>
      <w:r>
        <w:rPr>
          <w:rFonts w:cs="HelveticaNeueLT Std Lt"/>
          <w:color w:val="000000"/>
        </w:rPr>
        <w:t xml:space="preserve">in relation to </w:t>
      </w:r>
      <w:r w:rsidRPr="007500E2">
        <w:rPr>
          <w:rFonts w:cs="HelveticaNeueLT Std Lt"/>
          <w:color w:val="000000"/>
        </w:rPr>
        <w:t>children with life-limiting and life-threatening illness, while 46.9% of respondents said that they spent 25% of their time on care for children with acute and short-term conditions.</w:t>
      </w:r>
      <w:r>
        <w:rPr>
          <w:rFonts w:cs="HelveticaNeueLT Std Lt"/>
          <w:color w:val="000000"/>
        </w:rPr>
        <w:t xml:space="preserve"> </w:t>
      </w:r>
      <w:r w:rsidR="009434FB">
        <w:rPr>
          <w:rFonts w:cs="HelveticaNeueLT Std Lt"/>
          <w:color w:val="000000"/>
        </w:rPr>
        <w:t xml:space="preserve"> </w:t>
      </w:r>
      <w:r>
        <w:rPr>
          <w:rFonts w:cs="HelveticaNeueLT Std Lt"/>
          <w:color w:val="000000"/>
        </w:rPr>
        <w:t xml:space="preserve">It was the RCPCH view that </w:t>
      </w:r>
      <w:r w:rsidRPr="007500E2">
        <w:rPr>
          <w:rFonts w:cs="HelveticaNeueLT Std Lt"/>
          <w:color w:val="000000"/>
        </w:rPr>
        <w:t>CCGs need to ensure all 4 categories have equitable access</w:t>
      </w:r>
      <w:r>
        <w:rPr>
          <w:rFonts w:cs="HelveticaNeueLT Std Lt"/>
          <w:color w:val="000000"/>
        </w:rPr>
        <w:t>.</w:t>
      </w:r>
    </w:p>
    <w:p w:rsidR="00993175" w:rsidRPr="00355F7B" w:rsidRDefault="00412B2E" w:rsidP="00A2065F">
      <w:pPr>
        <w:pStyle w:val="Heading1"/>
        <w:numPr>
          <w:ilvl w:val="0"/>
          <w:numId w:val="47"/>
        </w:numPr>
        <w:rPr>
          <w:u w:val="single"/>
        </w:rPr>
      </w:pPr>
      <w:bookmarkStart w:id="10" w:name="_Toc434938021"/>
      <w:r>
        <w:lastRenderedPageBreak/>
        <w:t xml:space="preserve">NHS At Home: </w:t>
      </w:r>
      <w:hyperlink w:anchor="longterm" w:history="1">
        <w:r w:rsidR="002B4617" w:rsidRPr="00355F7B">
          <w:rPr>
            <w:rStyle w:val="Hyperlink"/>
            <w:u w:val="single"/>
          </w:rPr>
          <w:t>Long term conditions</w:t>
        </w:r>
        <w:bookmarkEnd w:id="10"/>
      </w:hyperlink>
    </w:p>
    <w:p w:rsidR="00096C7F" w:rsidRDefault="00037894" w:rsidP="00C80125">
      <w:pPr>
        <w:contextualSpacing/>
        <w:rPr>
          <w:rFonts w:cs="Arial"/>
          <w:szCs w:val="24"/>
        </w:rPr>
      </w:pPr>
      <w:r>
        <w:rPr>
          <w:rFonts w:cs="Arial"/>
          <w:szCs w:val="24"/>
        </w:rPr>
        <w:t>In 2011 it was estimated that 15% of children aged 0 to 15 had a long standing illness</w:t>
      </w:r>
      <w:r w:rsidR="00CD7B87">
        <w:rPr>
          <w:rStyle w:val="FootnoteReference"/>
          <w:rFonts w:cs="Arial"/>
          <w:szCs w:val="24"/>
        </w:rPr>
        <w:footnoteReference w:id="29"/>
      </w:r>
      <w:r>
        <w:rPr>
          <w:rFonts w:cs="Arial"/>
          <w:szCs w:val="24"/>
        </w:rPr>
        <w:t xml:space="preserve">.  In Medway, </w:t>
      </w:r>
      <w:r w:rsidR="00CD7B87">
        <w:rPr>
          <w:rFonts w:cs="Arial"/>
          <w:szCs w:val="24"/>
        </w:rPr>
        <w:t xml:space="preserve">using 2013 ONS population estimates, </w:t>
      </w:r>
      <w:r>
        <w:rPr>
          <w:rFonts w:cs="Arial"/>
          <w:szCs w:val="24"/>
        </w:rPr>
        <w:t xml:space="preserve">this would equate to </w:t>
      </w:r>
      <w:r w:rsidR="00CD7B87">
        <w:rPr>
          <w:rFonts w:cs="Arial"/>
          <w:szCs w:val="24"/>
        </w:rPr>
        <w:t>8,198</w:t>
      </w:r>
      <w:r>
        <w:rPr>
          <w:rFonts w:cs="Arial"/>
          <w:szCs w:val="24"/>
        </w:rPr>
        <w:t xml:space="preserve"> children and young people. </w:t>
      </w:r>
      <w:r w:rsidR="009434FB">
        <w:rPr>
          <w:rFonts w:cs="Arial"/>
          <w:szCs w:val="24"/>
        </w:rPr>
        <w:t xml:space="preserve"> </w:t>
      </w:r>
      <w:r w:rsidR="00096C7F" w:rsidRPr="009324A6">
        <w:rPr>
          <w:rFonts w:cs="Arial"/>
          <w:szCs w:val="24"/>
        </w:rPr>
        <w:t xml:space="preserve">Among the most common of </w:t>
      </w:r>
      <w:r w:rsidR="00CD7B87">
        <w:rPr>
          <w:rFonts w:cs="Arial"/>
          <w:szCs w:val="24"/>
        </w:rPr>
        <w:t xml:space="preserve">long term </w:t>
      </w:r>
      <w:r w:rsidR="00096C7F" w:rsidRPr="009324A6">
        <w:rPr>
          <w:rFonts w:cs="Arial"/>
          <w:szCs w:val="24"/>
        </w:rPr>
        <w:t>c</w:t>
      </w:r>
      <w:r w:rsidR="00E7686B">
        <w:rPr>
          <w:rFonts w:cs="Arial"/>
          <w:szCs w:val="24"/>
        </w:rPr>
        <w:t xml:space="preserve">onditions are asthma, </w:t>
      </w:r>
      <w:r w:rsidR="00E7686B" w:rsidRPr="009324A6">
        <w:rPr>
          <w:rFonts w:cs="Arial"/>
          <w:szCs w:val="24"/>
        </w:rPr>
        <w:t xml:space="preserve">epilepsy </w:t>
      </w:r>
      <w:r w:rsidR="00096C7F" w:rsidRPr="009324A6">
        <w:rPr>
          <w:rFonts w:cs="Arial"/>
          <w:szCs w:val="24"/>
        </w:rPr>
        <w:t xml:space="preserve">and </w:t>
      </w:r>
      <w:r w:rsidR="00E7686B">
        <w:rPr>
          <w:rFonts w:cs="Arial"/>
          <w:szCs w:val="24"/>
        </w:rPr>
        <w:t>diabetes</w:t>
      </w:r>
      <w:r w:rsidR="00096C7F" w:rsidRPr="009324A6">
        <w:rPr>
          <w:rFonts w:cs="Arial"/>
          <w:szCs w:val="24"/>
        </w:rPr>
        <w:t>.</w:t>
      </w:r>
      <w:r w:rsidR="00E77170">
        <w:rPr>
          <w:rFonts w:cs="Arial"/>
          <w:szCs w:val="24"/>
        </w:rPr>
        <w:t xml:space="preserve">  Medway is an outlie</w:t>
      </w:r>
      <w:r w:rsidR="002E67B4">
        <w:rPr>
          <w:rFonts w:cs="Arial"/>
          <w:szCs w:val="24"/>
        </w:rPr>
        <w:t xml:space="preserve">r for unplanned hospitalisation </w:t>
      </w:r>
      <w:r w:rsidR="00E77170">
        <w:rPr>
          <w:rFonts w:cs="Arial"/>
          <w:szCs w:val="24"/>
        </w:rPr>
        <w:t>for asthma,</w:t>
      </w:r>
      <w:r w:rsidR="002E67B4">
        <w:rPr>
          <w:rFonts w:cs="Arial"/>
          <w:szCs w:val="24"/>
        </w:rPr>
        <w:t xml:space="preserve"> </w:t>
      </w:r>
      <w:r w:rsidR="00E77170">
        <w:rPr>
          <w:rFonts w:cs="Arial"/>
          <w:szCs w:val="24"/>
        </w:rPr>
        <w:t>dia</w:t>
      </w:r>
      <w:r w:rsidR="002E67B4">
        <w:rPr>
          <w:rFonts w:cs="Arial"/>
          <w:szCs w:val="24"/>
        </w:rPr>
        <w:t xml:space="preserve">betes and epilepsy in under 19s, with a rate of 441 per 100,000 population compared to the England </w:t>
      </w:r>
      <w:r w:rsidR="00844533">
        <w:rPr>
          <w:rFonts w:cs="Arial"/>
          <w:szCs w:val="24"/>
        </w:rPr>
        <w:t xml:space="preserve">rate </w:t>
      </w:r>
      <w:r w:rsidR="002E67B4">
        <w:rPr>
          <w:rFonts w:cs="Arial"/>
          <w:szCs w:val="24"/>
        </w:rPr>
        <w:t>of 311 per 100,000</w:t>
      </w:r>
      <w:r w:rsidR="00E44135">
        <w:rPr>
          <w:rFonts w:cs="Arial"/>
          <w:szCs w:val="24"/>
        </w:rPr>
        <w:t>.</w:t>
      </w:r>
      <w:r w:rsidR="00E44135">
        <w:rPr>
          <w:rStyle w:val="FootnoteReference"/>
          <w:rFonts w:cs="Arial"/>
          <w:szCs w:val="24"/>
        </w:rPr>
        <w:footnoteReference w:id="30"/>
      </w:r>
    </w:p>
    <w:p w:rsidR="005B7B2F" w:rsidRDefault="00B95D01" w:rsidP="00E7686B">
      <w:pPr>
        <w:pStyle w:val="Heading2"/>
        <w:numPr>
          <w:ilvl w:val="0"/>
          <w:numId w:val="9"/>
        </w:numPr>
      </w:pPr>
      <w:bookmarkStart w:id="11" w:name="_Toc434938022"/>
      <w:r>
        <w:t xml:space="preserve">Paediatric </w:t>
      </w:r>
      <w:r w:rsidR="002B4617" w:rsidRPr="00113F54">
        <w:t>Asthma</w:t>
      </w:r>
      <w:bookmarkEnd w:id="11"/>
    </w:p>
    <w:p w:rsidR="00113F54" w:rsidRDefault="005D29BC" w:rsidP="005D29BC">
      <w:r>
        <w:t xml:space="preserve">Asthma is a chronic inflammatory disorder of the airways affecting many children and young people.  It is a complex and episodic disorder.  Drawing on data from the 2010 Health Survey for England (which focused on respiratory disease), Figure </w:t>
      </w:r>
      <w:r w:rsidR="009A0D95">
        <w:t>13</w:t>
      </w:r>
      <w:r>
        <w:t xml:space="preserve"> shows how the prevalence of lifetime asthma increases with gender and age, with four times as many young people aged 13-15 with the condition compared to those aged 0-3. </w:t>
      </w:r>
      <w:r w:rsidR="009434FB">
        <w:t xml:space="preserve"> </w:t>
      </w:r>
      <w:r>
        <w:t>This may be partly due to differences in diagnosing very young children, as asthma cannot be formally diagnosed in children under 5.</w:t>
      </w:r>
    </w:p>
    <w:p w:rsidR="005D29BC" w:rsidRDefault="005D29BC" w:rsidP="005D29BC"/>
    <w:tbl>
      <w:tblPr>
        <w:tblStyle w:val="LightList-Accent1"/>
        <w:tblW w:w="9606" w:type="dxa"/>
        <w:tblLook w:val="04A0" w:firstRow="1" w:lastRow="0" w:firstColumn="1" w:lastColumn="0" w:noHBand="0" w:noVBand="1"/>
      </w:tblPr>
      <w:tblGrid>
        <w:gridCol w:w="2271"/>
        <w:gridCol w:w="2350"/>
        <w:gridCol w:w="35"/>
        <w:gridCol w:w="4950"/>
      </w:tblGrid>
      <w:tr w:rsidR="005D29BC" w:rsidRPr="005D29BC" w:rsidTr="00EA648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21" w:type="dxa"/>
            <w:gridSpan w:val="2"/>
            <w:noWrap/>
            <w:hideMark/>
          </w:tcPr>
          <w:p w:rsidR="005D29BC" w:rsidRPr="005D29BC" w:rsidRDefault="005D29BC" w:rsidP="005D29BC">
            <w:pPr>
              <w:rPr>
                <w:rFonts w:eastAsia="Times New Roman" w:cs="Arial"/>
                <w:b w:val="0"/>
                <w:bCs w:val="0"/>
                <w:sz w:val="20"/>
                <w:szCs w:val="20"/>
                <w:lang w:eastAsia="en-GB"/>
              </w:rPr>
            </w:pPr>
            <w:r w:rsidRPr="005D29BC">
              <w:rPr>
                <w:rFonts w:eastAsia="Times New Roman" w:cs="Arial"/>
                <w:sz w:val="20"/>
                <w:szCs w:val="20"/>
                <w:lang w:eastAsia="en-GB"/>
              </w:rPr>
              <w:t>Prevalence of lifetime doctor-diagnosed asthma in England, by age and gender, 2010</w:t>
            </w:r>
          </w:p>
        </w:tc>
        <w:tc>
          <w:tcPr>
            <w:tcW w:w="4985" w:type="dxa"/>
            <w:gridSpan w:val="2"/>
          </w:tcPr>
          <w:p w:rsidR="005D29BC" w:rsidRPr="005D29BC" w:rsidRDefault="005D29BC" w:rsidP="005D29BC">
            <w:pP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n-GB"/>
              </w:rPr>
            </w:pPr>
          </w:p>
        </w:tc>
      </w:tr>
      <w:tr w:rsidR="005D29BC" w:rsidRPr="005D29BC" w:rsidTr="00EA64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1" w:type="dxa"/>
            <w:noWrap/>
            <w:hideMark/>
          </w:tcPr>
          <w:p w:rsidR="005D29BC" w:rsidRPr="005D29BC" w:rsidRDefault="005D29BC" w:rsidP="005D29BC">
            <w:pPr>
              <w:rPr>
                <w:rFonts w:eastAsia="Times New Roman" w:cs="Arial"/>
                <w:color w:val="000000"/>
                <w:sz w:val="20"/>
                <w:szCs w:val="20"/>
                <w:lang w:eastAsia="en-GB"/>
              </w:rPr>
            </w:pPr>
          </w:p>
        </w:tc>
        <w:tc>
          <w:tcPr>
            <w:tcW w:w="2385" w:type="dxa"/>
            <w:gridSpan w:val="2"/>
            <w:noWrap/>
            <w:hideMark/>
          </w:tcPr>
          <w:p w:rsidR="005D29BC" w:rsidRPr="005D29BC" w:rsidRDefault="005D29BC" w:rsidP="005D29B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GB"/>
              </w:rPr>
            </w:pPr>
            <w:r w:rsidRPr="005D29BC">
              <w:rPr>
                <w:rFonts w:eastAsia="Times New Roman" w:cs="Arial"/>
                <w:color w:val="000000"/>
                <w:sz w:val="20"/>
                <w:szCs w:val="20"/>
                <w:lang w:eastAsia="en-GB"/>
              </w:rPr>
              <w:t>Males</w:t>
            </w:r>
          </w:p>
        </w:tc>
        <w:tc>
          <w:tcPr>
            <w:tcW w:w="4950" w:type="dxa"/>
            <w:noWrap/>
            <w:hideMark/>
          </w:tcPr>
          <w:p w:rsidR="005D29BC" w:rsidRPr="005D29BC" w:rsidRDefault="005D29BC" w:rsidP="005D29B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GB"/>
              </w:rPr>
            </w:pPr>
            <w:r w:rsidRPr="005D29BC">
              <w:rPr>
                <w:rFonts w:eastAsia="Times New Roman" w:cs="Arial"/>
                <w:color w:val="000000"/>
                <w:sz w:val="20"/>
                <w:szCs w:val="20"/>
                <w:lang w:eastAsia="en-GB"/>
              </w:rPr>
              <w:t>Females</w:t>
            </w:r>
          </w:p>
        </w:tc>
      </w:tr>
      <w:tr w:rsidR="005D29BC" w:rsidRPr="005D29BC" w:rsidTr="00EA648F">
        <w:trPr>
          <w:trHeight w:val="300"/>
        </w:trPr>
        <w:tc>
          <w:tcPr>
            <w:cnfStyle w:val="001000000000" w:firstRow="0" w:lastRow="0" w:firstColumn="1" w:lastColumn="0" w:oddVBand="0" w:evenVBand="0" w:oddHBand="0" w:evenHBand="0" w:firstRowFirstColumn="0" w:firstRowLastColumn="0" w:lastRowFirstColumn="0" w:lastRowLastColumn="0"/>
            <w:tcW w:w="2271" w:type="dxa"/>
            <w:noWrap/>
            <w:hideMark/>
          </w:tcPr>
          <w:p w:rsidR="005D29BC" w:rsidRPr="005D29BC" w:rsidRDefault="005D29BC" w:rsidP="005D29BC">
            <w:pPr>
              <w:jc w:val="right"/>
              <w:rPr>
                <w:rFonts w:eastAsia="Times New Roman" w:cs="Arial"/>
                <w:i/>
                <w:iCs/>
                <w:color w:val="000000"/>
                <w:sz w:val="20"/>
                <w:szCs w:val="20"/>
                <w:lang w:eastAsia="en-GB"/>
              </w:rPr>
            </w:pPr>
          </w:p>
        </w:tc>
        <w:tc>
          <w:tcPr>
            <w:tcW w:w="2385" w:type="dxa"/>
            <w:gridSpan w:val="2"/>
            <w:noWrap/>
            <w:hideMark/>
          </w:tcPr>
          <w:p w:rsidR="005D29BC" w:rsidRPr="005D29BC" w:rsidRDefault="005D29BC" w:rsidP="005D29BC">
            <w:pPr>
              <w:jc w:val="right"/>
              <w:cnfStyle w:val="000000000000" w:firstRow="0" w:lastRow="0" w:firstColumn="0" w:lastColumn="0" w:oddVBand="0" w:evenVBand="0" w:oddHBand="0" w:evenHBand="0" w:firstRowFirstColumn="0" w:firstRowLastColumn="0" w:lastRowFirstColumn="0" w:lastRowLastColumn="0"/>
              <w:rPr>
                <w:rFonts w:eastAsia="Times New Roman" w:cs="Arial"/>
                <w:i/>
                <w:iCs/>
                <w:color w:val="000000"/>
                <w:sz w:val="20"/>
                <w:szCs w:val="20"/>
                <w:lang w:eastAsia="en-GB"/>
              </w:rPr>
            </w:pPr>
            <w:r w:rsidRPr="005D29BC">
              <w:rPr>
                <w:rFonts w:eastAsia="Times New Roman" w:cs="Arial"/>
                <w:i/>
                <w:iCs/>
                <w:color w:val="000000"/>
                <w:sz w:val="20"/>
                <w:szCs w:val="20"/>
                <w:lang w:eastAsia="en-GB"/>
              </w:rPr>
              <w:t>%</w:t>
            </w:r>
          </w:p>
        </w:tc>
        <w:tc>
          <w:tcPr>
            <w:tcW w:w="4950" w:type="dxa"/>
            <w:noWrap/>
            <w:hideMark/>
          </w:tcPr>
          <w:p w:rsidR="005D29BC" w:rsidRPr="005D29BC" w:rsidRDefault="005D29BC" w:rsidP="005D29BC">
            <w:pPr>
              <w:jc w:val="right"/>
              <w:cnfStyle w:val="000000000000" w:firstRow="0" w:lastRow="0" w:firstColumn="0" w:lastColumn="0" w:oddVBand="0" w:evenVBand="0" w:oddHBand="0" w:evenHBand="0" w:firstRowFirstColumn="0" w:firstRowLastColumn="0" w:lastRowFirstColumn="0" w:lastRowLastColumn="0"/>
              <w:rPr>
                <w:rFonts w:eastAsia="Times New Roman" w:cs="Arial"/>
                <w:i/>
                <w:iCs/>
                <w:color w:val="000000"/>
                <w:sz w:val="20"/>
                <w:szCs w:val="20"/>
                <w:lang w:eastAsia="en-GB"/>
              </w:rPr>
            </w:pPr>
            <w:r w:rsidRPr="005D29BC">
              <w:rPr>
                <w:rFonts w:eastAsia="Times New Roman" w:cs="Arial"/>
                <w:i/>
                <w:iCs/>
                <w:color w:val="000000"/>
                <w:sz w:val="20"/>
                <w:szCs w:val="20"/>
                <w:lang w:eastAsia="en-GB"/>
              </w:rPr>
              <w:t>%</w:t>
            </w:r>
          </w:p>
        </w:tc>
      </w:tr>
      <w:tr w:rsidR="005D29BC" w:rsidRPr="005D29BC" w:rsidTr="00EA64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1" w:type="dxa"/>
            <w:noWrap/>
            <w:hideMark/>
          </w:tcPr>
          <w:p w:rsidR="005D29BC" w:rsidRPr="005D29BC" w:rsidRDefault="005D29BC" w:rsidP="005D29BC">
            <w:pPr>
              <w:rPr>
                <w:rFonts w:eastAsia="Times New Roman" w:cs="Arial"/>
                <w:color w:val="000000"/>
                <w:sz w:val="20"/>
                <w:szCs w:val="20"/>
                <w:lang w:eastAsia="en-GB"/>
              </w:rPr>
            </w:pPr>
            <w:r w:rsidRPr="005D29BC">
              <w:rPr>
                <w:rFonts w:eastAsia="Times New Roman" w:cs="Arial"/>
                <w:color w:val="000000"/>
                <w:sz w:val="20"/>
                <w:szCs w:val="20"/>
                <w:lang w:eastAsia="en-GB"/>
              </w:rPr>
              <w:t>0-3</w:t>
            </w:r>
          </w:p>
        </w:tc>
        <w:tc>
          <w:tcPr>
            <w:tcW w:w="2385" w:type="dxa"/>
            <w:gridSpan w:val="2"/>
            <w:noWrap/>
            <w:hideMark/>
          </w:tcPr>
          <w:p w:rsidR="005D29BC" w:rsidRPr="005D29BC" w:rsidRDefault="005D29BC" w:rsidP="005D29BC">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GB"/>
              </w:rPr>
            </w:pPr>
            <w:r w:rsidRPr="005D29BC">
              <w:rPr>
                <w:rFonts w:eastAsia="Times New Roman" w:cs="Arial"/>
                <w:color w:val="000000"/>
                <w:sz w:val="20"/>
                <w:szCs w:val="20"/>
                <w:lang w:eastAsia="en-GB"/>
              </w:rPr>
              <w:t>7</w:t>
            </w:r>
          </w:p>
        </w:tc>
        <w:tc>
          <w:tcPr>
            <w:tcW w:w="4950" w:type="dxa"/>
            <w:noWrap/>
            <w:hideMark/>
          </w:tcPr>
          <w:p w:rsidR="005D29BC" w:rsidRPr="005D29BC" w:rsidRDefault="005D29BC" w:rsidP="005D29B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GB"/>
              </w:rPr>
            </w:pPr>
            <w:r w:rsidRPr="005D29BC">
              <w:rPr>
                <w:rFonts w:eastAsia="Times New Roman" w:cs="Arial"/>
                <w:color w:val="000000"/>
                <w:sz w:val="20"/>
                <w:szCs w:val="20"/>
                <w:lang w:eastAsia="en-GB"/>
              </w:rPr>
              <w:t>5</w:t>
            </w:r>
          </w:p>
        </w:tc>
      </w:tr>
      <w:tr w:rsidR="00EA648F" w:rsidRPr="005D29BC" w:rsidTr="00EA648F">
        <w:trPr>
          <w:trHeight w:val="300"/>
        </w:trPr>
        <w:tc>
          <w:tcPr>
            <w:cnfStyle w:val="001000000000" w:firstRow="0" w:lastRow="0" w:firstColumn="1" w:lastColumn="0" w:oddVBand="0" w:evenVBand="0" w:oddHBand="0" w:evenHBand="0" w:firstRowFirstColumn="0" w:firstRowLastColumn="0" w:lastRowFirstColumn="0" w:lastRowLastColumn="0"/>
            <w:tcW w:w="2271" w:type="dxa"/>
            <w:noWrap/>
            <w:hideMark/>
          </w:tcPr>
          <w:p w:rsidR="00EA648F" w:rsidRPr="005D29BC" w:rsidRDefault="00EA648F" w:rsidP="005D29BC">
            <w:pPr>
              <w:rPr>
                <w:rFonts w:eastAsia="Times New Roman" w:cs="Arial"/>
                <w:color w:val="000000"/>
                <w:sz w:val="20"/>
                <w:szCs w:val="20"/>
                <w:lang w:eastAsia="en-GB"/>
              </w:rPr>
            </w:pPr>
            <w:r w:rsidRPr="005D29BC">
              <w:rPr>
                <w:rFonts w:eastAsia="Times New Roman" w:cs="Arial"/>
                <w:color w:val="000000"/>
                <w:sz w:val="20"/>
                <w:szCs w:val="20"/>
                <w:lang w:eastAsia="en-GB"/>
              </w:rPr>
              <w:t>4-6</w:t>
            </w:r>
          </w:p>
        </w:tc>
        <w:tc>
          <w:tcPr>
            <w:tcW w:w="2385" w:type="dxa"/>
            <w:gridSpan w:val="2"/>
            <w:noWrap/>
            <w:hideMark/>
          </w:tcPr>
          <w:p w:rsidR="00EA648F" w:rsidRPr="005D29BC" w:rsidRDefault="00EA648F" w:rsidP="005D29BC">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GB"/>
              </w:rPr>
            </w:pPr>
            <w:r w:rsidRPr="005D29BC">
              <w:rPr>
                <w:rFonts w:eastAsia="Times New Roman" w:cs="Arial"/>
                <w:color w:val="000000"/>
                <w:sz w:val="20"/>
                <w:szCs w:val="20"/>
                <w:lang w:eastAsia="en-GB"/>
              </w:rPr>
              <w:t>15</w:t>
            </w:r>
          </w:p>
        </w:tc>
        <w:tc>
          <w:tcPr>
            <w:tcW w:w="4950" w:type="dxa"/>
            <w:noWrap/>
            <w:hideMark/>
          </w:tcPr>
          <w:p w:rsidR="00EA648F" w:rsidRPr="005D29BC" w:rsidRDefault="00EA648F" w:rsidP="005D29B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GB"/>
              </w:rPr>
            </w:pPr>
            <w:r w:rsidRPr="005D29BC">
              <w:rPr>
                <w:rFonts w:eastAsia="Times New Roman" w:cs="Arial"/>
                <w:color w:val="000000"/>
                <w:sz w:val="20"/>
                <w:szCs w:val="20"/>
                <w:lang w:eastAsia="en-GB"/>
              </w:rPr>
              <w:t>10</w:t>
            </w:r>
          </w:p>
        </w:tc>
      </w:tr>
      <w:tr w:rsidR="00EA648F" w:rsidRPr="005D29BC" w:rsidTr="00EA64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1" w:type="dxa"/>
            <w:noWrap/>
            <w:hideMark/>
          </w:tcPr>
          <w:p w:rsidR="00EA648F" w:rsidRPr="005D29BC" w:rsidRDefault="00EA648F" w:rsidP="005D29BC">
            <w:pPr>
              <w:rPr>
                <w:rFonts w:eastAsia="Times New Roman" w:cs="Arial"/>
                <w:color w:val="000000"/>
                <w:sz w:val="20"/>
                <w:szCs w:val="20"/>
                <w:lang w:eastAsia="en-GB"/>
              </w:rPr>
            </w:pPr>
            <w:r w:rsidRPr="005D29BC">
              <w:rPr>
                <w:rFonts w:eastAsia="Times New Roman" w:cs="Arial"/>
                <w:color w:val="000000"/>
                <w:sz w:val="20"/>
                <w:szCs w:val="20"/>
                <w:lang w:eastAsia="en-GB"/>
              </w:rPr>
              <w:t>7-9</w:t>
            </w:r>
          </w:p>
        </w:tc>
        <w:tc>
          <w:tcPr>
            <w:tcW w:w="2385" w:type="dxa"/>
            <w:gridSpan w:val="2"/>
            <w:noWrap/>
            <w:hideMark/>
          </w:tcPr>
          <w:p w:rsidR="00EA648F" w:rsidRPr="005D29BC" w:rsidRDefault="00EA648F" w:rsidP="005D29BC">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GB"/>
              </w:rPr>
            </w:pPr>
            <w:r w:rsidRPr="005D29BC">
              <w:rPr>
                <w:rFonts w:eastAsia="Times New Roman" w:cs="Arial"/>
                <w:color w:val="000000"/>
                <w:sz w:val="20"/>
                <w:szCs w:val="20"/>
                <w:lang w:eastAsia="en-GB"/>
              </w:rPr>
              <w:t>20</w:t>
            </w:r>
          </w:p>
        </w:tc>
        <w:tc>
          <w:tcPr>
            <w:tcW w:w="4950" w:type="dxa"/>
            <w:noWrap/>
            <w:hideMark/>
          </w:tcPr>
          <w:p w:rsidR="00EA648F" w:rsidRPr="005D29BC" w:rsidRDefault="00EA648F" w:rsidP="005D29B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GB"/>
              </w:rPr>
            </w:pPr>
            <w:r w:rsidRPr="005D29BC">
              <w:rPr>
                <w:rFonts w:eastAsia="Times New Roman" w:cs="Arial"/>
                <w:color w:val="000000"/>
                <w:sz w:val="20"/>
                <w:szCs w:val="20"/>
                <w:lang w:eastAsia="en-GB"/>
              </w:rPr>
              <w:t>12</w:t>
            </w:r>
          </w:p>
        </w:tc>
      </w:tr>
      <w:tr w:rsidR="00EA648F" w:rsidRPr="005D29BC" w:rsidTr="00EA648F">
        <w:trPr>
          <w:trHeight w:val="300"/>
        </w:trPr>
        <w:tc>
          <w:tcPr>
            <w:cnfStyle w:val="001000000000" w:firstRow="0" w:lastRow="0" w:firstColumn="1" w:lastColumn="0" w:oddVBand="0" w:evenVBand="0" w:oddHBand="0" w:evenHBand="0" w:firstRowFirstColumn="0" w:firstRowLastColumn="0" w:lastRowFirstColumn="0" w:lastRowLastColumn="0"/>
            <w:tcW w:w="2271" w:type="dxa"/>
            <w:noWrap/>
            <w:hideMark/>
          </w:tcPr>
          <w:p w:rsidR="00EA648F" w:rsidRPr="005D29BC" w:rsidRDefault="00EA648F" w:rsidP="005D29BC">
            <w:pPr>
              <w:rPr>
                <w:rFonts w:eastAsia="Times New Roman" w:cs="Arial"/>
                <w:color w:val="000000"/>
                <w:sz w:val="20"/>
                <w:szCs w:val="20"/>
                <w:lang w:eastAsia="en-GB"/>
              </w:rPr>
            </w:pPr>
            <w:r w:rsidRPr="005D29BC">
              <w:rPr>
                <w:rFonts w:eastAsia="Times New Roman" w:cs="Arial"/>
                <w:color w:val="000000"/>
                <w:sz w:val="20"/>
                <w:szCs w:val="20"/>
                <w:lang w:eastAsia="en-GB"/>
              </w:rPr>
              <w:t>10-12</w:t>
            </w:r>
          </w:p>
        </w:tc>
        <w:tc>
          <w:tcPr>
            <w:tcW w:w="2385" w:type="dxa"/>
            <w:gridSpan w:val="2"/>
            <w:noWrap/>
            <w:hideMark/>
          </w:tcPr>
          <w:p w:rsidR="00EA648F" w:rsidRPr="005D29BC" w:rsidRDefault="00EA648F" w:rsidP="005D29BC">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GB"/>
              </w:rPr>
            </w:pPr>
            <w:r w:rsidRPr="005D29BC">
              <w:rPr>
                <w:rFonts w:eastAsia="Times New Roman" w:cs="Arial"/>
                <w:color w:val="000000"/>
                <w:sz w:val="20"/>
                <w:szCs w:val="20"/>
                <w:lang w:eastAsia="en-GB"/>
              </w:rPr>
              <w:t>22</w:t>
            </w:r>
          </w:p>
        </w:tc>
        <w:tc>
          <w:tcPr>
            <w:tcW w:w="4950" w:type="dxa"/>
            <w:noWrap/>
            <w:hideMark/>
          </w:tcPr>
          <w:p w:rsidR="00EA648F" w:rsidRPr="005D29BC" w:rsidRDefault="00EA648F" w:rsidP="005D29B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GB"/>
              </w:rPr>
            </w:pPr>
            <w:r w:rsidRPr="005D29BC">
              <w:rPr>
                <w:rFonts w:eastAsia="Times New Roman" w:cs="Arial"/>
                <w:color w:val="000000"/>
                <w:sz w:val="20"/>
                <w:szCs w:val="20"/>
                <w:lang w:eastAsia="en-GB"/>
              </w:rPr>
              <w:t>17</w:t>
            </w:r>
          </w:p>
        </w:tc>
      </w:tr>
      <w:tr w:rsidR="00EA648F" w:rsidRPr="005D29BC" w:rsidTr="00EA64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1" w:type="dxa"/>
            <w:noWrap/>
            <w:hideMark/>
          </w:tcPr>
          <w:p w:rsidR="00EA648F" w:rsidRPr="005D29BC" w:rsidRDefault="00EA648F" w:rsidP="005D29BC">
            <w:pPr>
              <w:rPr>
                <w:rFonts w:eastAsia="Times New Roman" w:cs="Arial"/>
                <w:color w:val="000000"/>
                <w:sz w:val="20"/>
                <w:szCs w:val="20"/>
                <w:lang w:eastAsia="en-GB"/>
              </w:rPr>
            </w:pPr>
            <w:r w:rsidRPr="005D29BC">
              <w:rPr>
                <w:rFonts w:eastAsia="Times New Roman" w:cs="Arial"/>
                <w:color w:val="000000"/>
                <w:sz w:val="20"/>
                <w:szCs w:val="20"/>
                <w:lang w:eastAsia="en-GB"/>
              </w:rPr>
              <w:t>13-15</w:t>
            </w:r>
          </w:p>
        </w:tc>
        <w:tc>
          <w:tcPr>
            <w:tcW w:w="2385" w:type="dxa"/>
            <w:gridSpan w:val="2"/>
            <w:noWrap/>
            <w:hideMark/>
          </w:tcPr>
          <w:p w:rsidR="00EA648F" w:rsidRPr="005D29BC" w:rsidRDefault="00EA648F" w:rsidP="005D29BC">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GB"/>
              </w:rPr>
            </w:pPr>
            <w:r w:rsidRPr="005D29BC">
              <w:rPr>
                <w:rFonts w:eastAsia="Times New Roman" w:cs="Arial"/>
                <w:color w:val="000000"/>
                <w:sz w:val="20"/>
                <w:szCs w:val="20"/>
                <w:lang w:eastAsia="en-GB"/>
              </w:rPr>
              <w:t>28</w:t>
            </w:r>
          </w:p>
        </w:tc>
        <w:tc>
          <w:tcPr>
            <w:tcW w:w="4950" w:type="dxa"/>
            <w:noWrap/>
            <w:hideMark/>
          </w:tcPr>
          <w:p w:rsidR="00EA648F" w:rsidRPr="005D29BC" w:rsidRDefault="00EA648F" w:rsidP="005D29B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GB"/>
              </w:rPr>
            </w:pPr>
            <w:r w:rsidRPr="005D29BC">
              <w:rPr>
                <w:rFonts w:eastAsia="Times New Roman" w:cs="Arial"/>
                <w:color w:val="000000"/>
                <w:sz w:val="20"/>
                <w:szCs w:val="20"/>
                <w:lang w:eastAsia="en-GB"/>
              </w:rPr>
              <w:t>21</w:t>
            </w:r>
          </w:p>
        </w:tc>
      </w:tr>
      <w:tr w:rsidR="00EA648F" w:rsidRPr="005D29BC" w:rsidTr="00EA648F">
        <w:trPr>
          <w:trHeight w:val="300"/>
        </w:trPr>
        <w:tc>
          <w:tcPr>
            <w:cnfStyle w:val="001000000000" w:firstRow="0" w:lastRow="0" w:firstColumn="1" w:lastColumn="0" w:oddVBand="0" w:evenVBand="0" w:oddHBand="0" w:evenHBand="0" w:firstRowFirstColumn="0" w:firstRowLastColumn="0" w:lastRowFirstColumn="0" w:lastRowLastColumn="0"/>
            <w:tcW w:w="2271" w:type="dxa"/>
            <w:noWrap/>
            <w:hideMark/>
          </w:tcPr>
          <w:p w:rsidR="00EA648F" w:rsidRPr="005D29BC" w:rsidRDefault="00EA648F" w:rsidP="005D29BC">
            <w:pPr>
              <w:rPr>
                <w:rFonts w:eastAsia="Times New Roman" w:cs="Arial"/>
                <w:color w:val="000000"/>
                <w:sz w:val="20"/>
                <w:szCs w:val="20"/>
                <w:lang w:eastAsia="en-GB"/>
              </w:rPr>
            </w:pPr>
          </w:p>
        </w:tc>
        <w:tc>
          <w:tcPr>
            <w:tcW w:w="2385" w:type="dxa"/>
            <w:gridSpan w:val="2"/>
            <w:noWrap/>
            <w:hideMark/>
          </w:tcPr>
          <w:p w:rsidR="00EA648F" w:rsidRPr="005D29BC" w:rsidRDefault="00EA648F" w:rsidP="005D29B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GB"/>
              </w:rPr>
            </w:pPr>
          </w:p>
        </w:tc>
        <w:tc>
          <w:tcPr>
            <w:tcW w:w="4950" w:type="dxa"/>
            <w:noWrap/>
            <w:hideMark/>
          </w:tcPr>
          <w:p w:rsidR="00EA648F" w:rsidRPr="005D29BC" w:rsidRDefault="00EA648F" w:rsidP="005D29B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GB"/>
              </w:rPr>
            </w:pPr>
          </w:p>
        </w:tc>
      </w:tr>
      <w:tr w:rsidR="00EA648F" w:rsidRPr="005D29BC" w:rsidTr="00EA64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6" w:type="dxa"/>
            <w:gridSpan w:val="4"/>
            <w:noWrap/>
            <w:hideMark/>
          </w:tcPr>
          <w:p w:rsidR="00EA648F" w:rsidRPr="005D29BC" w:rsidRDefault="00EA648F" w:rsidP="005D29BC">
            <w:pPr>
              <w:rPr>
                <w:rFonts w:eastAsia="Times New Roman" w:cs="Arial"/>
                <w:i/>
                <w:iCs/>
                <w:color w:val="000000"/>
                <w:sz w:val="20"/>
                <w:szCs w:val="20"/>
                <w:lang w:eastAsia="en-GB"/>
              </w:rPr>
            </w:pPr>
            <w:r w:rsidRPr="005D29BC">
              <w:rPr>
                <w:rFonts w:eastAsia="Times New Roman" w:cs="Arial"/>
                <w:i/>
                <w:iCs/>
                <w:color w:val="000000"/>
                <w:sz w:val="20"/>
                <w:szCs w:val="20"/>
                <w:lang w:eastAsia="en-GB"/>
              </w:rPr>
              <w:t>Source:  HSCIC (2011) Health Survey for England 2010: Respiratory Health</w:t>
            </w:r>
          </w:p>
        </w:tc>
      </w:tr>
    </w:tbl>
    <w:p w:rsidR="005D29BC" w:rsidRDefault="009A0D95" w:rsidP="009A0D95">
      <w:pPr>
        <w:pStyle w:val="Caption"/>
      </w:pPr>
      <w:r>
        <w:t xml:space="preserve">Figure </w:t>
      </w:r>
      <w:r w:rsidR="00156E8B">
        <w:fldChar w:fldCharType="begin"/>
      </w:r>
      <w:r w:rsidR="00156E8B">
        <w:instrText xml:space="preserve"> SEQ Figure \* ARABIC </w:instrText>
      </w:r>
      <w:r w:rsidR="00156E8B">
        <w:fldChar w:fldCharType="separate"/>
      </w:r>
      <w:r w:rsidR="005C553C">
        <w:rPr>
          <w:noProof/>
        </w:rPr>
        <w:t>13</w:t>
      </w:r>
      <w:r w:rsidR="00156E8B">
        <w:rPr>
          <w:noProof/>
        </w:rPr>
        <w:fldChar w:fldCharType="end"/>
      </w:r>
      <w:r>
        <w:t xml:space="preserve"> Asthma prevalence in children</w:t>
      </w:r>
    </w:p>
    <w:p w:rsidR="005D29BC" w:rsidRPr="00113F54" w:rsidRDefault="005D29BC" w:rsidP="005D29BC"/>
    <w:tbl>
      <w:tblPr>
        <w:tblStyle w:val="LightList-Accent1"/>
        <w:tblW w:w="0" w:type="auto"/>
        <w:tblLook w:val="04A0" w:firstRow="1" w:lastRow="0" w:firstColumn="1" w:lastColumn="0" w:noHBand="0" w:noVBand="1"/>
      </w:tblPr>
      <w:tblGrid>
        <w:gridCol w:w="2310"/>
        <w:gridCol w:w="2311"/>
        <w:gridCol w:w="4621"/>
      </w:tblGrid>
      <w:tr w:rsidR="00A303C2" w:rsidRPr="002C4E34" w:rsidTr="009F7A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rsidR="00A303C2" w:rsidRPr="002C4E34" w:rsidRDefault="00A303C2" w:rsidP="00C80125">
            <w:pPr>
              <w:contextualSpacing/>
              <w:rPr>
                <w:rFonts w:cs="Arial"/>
                <w:b w:val="0"/>
                <w:bCs w:val="0"/>
                <w:szCs w:val="24"/>
              </w:rPr>
            </w:pPr>
            <w:r w:rsidRPr="002C4E34">
              <w:rPr>
                <w:szCs w:val="24"/>
              </w:rPr>
              <w:t>National data</w:t>
            </w:r>
          </w:p>
        </w:tc>
        <w:tc>
          <w:tcPr>
            <w:tcW w:w="2311" w:type="dxa"/>
          </w:tcPr>
          <w:p w:rsidR="00A303C2" w:rsidRPr="002C4E34" w:rsidRDefault="00A303C2" w:rsidP="00C80125">
            <w:pPr>
              <w:contextualSpacing/>
              <w:cnfStyle w:val="100000000000" w:firstRow="1" w:lastRow="0" w:firstColumn="0" w:lastColumn="0" w:oddVBand="0" w:evenVBand="0" w:oddHBand="0" w:evenHBand="0" w:firstRowFirstColumn="0" w:firstRowLastColumn="0" w:lastRowFirstColumn="0" w:lastRowLastColumn="0"/>
              <w:rPr>
                <w:rFonts w:cs="Arial"/>
                <w:szCs w:val="24"/>
              </w:rPr>
            </w:pPr>
          </w:p>
        </w:tc>
        <w:tc>
          <w:tcPr>
            <w:tcW w:w="4621" w:type="dxa"/>
          </w:tcPr>
          <w:p w:rsidR="00A303C2" w:rsidRPr="002C4E34" w:rsidRDefault="00A303C2" w:rsidP="00113F54">
            <w:pPr>
              <w:contextualSpacing/>
              <w:cnfStyle w:val="100000000000" w:firstRow="1" w:lastRow="0" w:firstColumn="0" w:lastColumn="0" w:oddVBand="0" w:evenVBand="0" w:oddHBand="0" w:evenHBand="0" w:firstRowFirstColumn="0" w:firstRowLastColumn="0" w:lastRowFirstColumn="0" w:lastRowLastColumn="0"/>
              <w:rPr>
                <w:rFonts w:cs="Arial"/>
                <w:szCs w:val="24"/>
              </w:rPr>
            </w:pPr>
            <w:r w:rsidRPr="002C4E34">
              <w:rPr>
                <w:rFonts w:cs="Arial"/>
                <w:szCs w:val="24"/>
              </w:rPr>
              <w:t xml:space="preserve">Medway </w:t>
            </w:r>
          </w:p>
        </w:tc>
      </w:tr>
      <w:tr w:rsidR="005B7B2F" w:rsidRPr="00993175" w:rsidTr="00582F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gridSpan w:val="2"/>
          </w:tcPr>
          <w:p w:rsidR="005B7B2F" w:rsidRPr="00582F7C" w:rsidRDefault="005B7B2F" w:rsidP="00643F19">
            <w:pPr>
              <w:spacing w:line="276" w:lineRule="auto"/>
              <w:rPr>
                <w:b w:val="0"/>
                <w:szCs w:val="24"/>
              </w:rPr>
            </w:pPr>
          </w:p>
          <w:p w:rsidR="007251D7" w:rsidRPr="00582F7C" w:rsidRDefault="00911028" w:rsidP="00643F19">
            <w:pPr>
              <w:spacing w:line="276" w:lineRule="auto"/>
              <w:rPr>
                <w:b w:val="0"/>
                <w:szCs w:val="24"/>
              </w:rPr>
            </w:pPr>
            <w:r w:rsidRPr="00582F7C">
              <w:rPr>
                <w:b w:val="0"/>
                <w:szCs w:val="24"/>
              </w:rPr>
              <w:t>Estimates</w:t>
            </w:r>
            <w:r>
              <w:rPr>
                <w:b w:val="0"/>
                <w:szCs w:val="24"/>
              </w:rPr>
              <w:t xml:space="preserve"> of asthma prevalence vary considerably.</w:t>
            </w:r>
            <w:r w:rsidR="007251D7" w:rsidRPr="00582F7C">
              <w:rPr>
                <w:b w:val="0"/>
                <w:szCs w:val="24"/>
              </w:rPr>
              <w:t xml:space="preserve"> </w:t>
            </w:r>
          </w:p>
          <w:p w:rsidR="00C447C6" w:rsidRPr="00582F7C" w:rsidRDefault="00C447C6" w:rsidP="00643F19">
            <w:pPr>
              <w:spacing w:line="276" w:lineRule="auto"/>
              <w:rPr>
                <w:b w:val="0"/>
                <w:sz w:val="16"/>
                <w:szCs w:val="24"/>
              </w:rPr>
            </w:pPr>
          </w:p>
          <w:p w:rsidR="005B7B2F" w:rsidRPr="00582F7C" w:rsidRDefault="005B7B2F" w:rsidP="00643F19">
            <w:pPr>
              <w:spacing w:line="276" w:lineRule="auto"/>
              <w:rPr>
                <w:b w:val="0"/>
                <w:szCs w:val="24"/>
              </w:rPr>
            </w:pPr>
            <w:r w:rsidRPr="00582F7C">
              <w:rPr>
                <w:b w:val="0"/>
                <w:szCs w:val="24"/>
              </w:rPr>
              <w:t>Asthma is the most common long-term medical condition</w:t>
            </w:r>
            <w:r w:rsidRPr="00582F7C">
              <w:rPr>
                <w:rStyle w:val="FootnoteReference"/>
                <w:b w:val="0"/>
                <w:szCs w:val="24"/>
              </w:rPr>
              <w:footnoteReference w:id="31"/>
            </w:r>
            <w:r w:rsidRPr="00582F7C">
              <w:rPr>
                <w:b w:val="0"/>
                <w:szCs w:val="24"/>
              </w:rPr>
              <w:t xml:space="preserve">: </w:t>
            </w:r>
            <w:r w:rsidR="007251D7" w:rsidRPr="00582F7C">
              <w:rPr>
                <w:b w:val="0"/>
                <w:szCs w:val="24"/>
              </w:rPr>
              <w:t xml:space="preserve">according to the British Thoracic Society </w:t>
            </w:r>
            <w:r w:rsidRPr="00582F7C">
              <w:rPr>
                <w:b w:val="0"/>
                <w:szCs w:val="24"/>
              </w:rPr>
              <w:t>about a fifth of children (21%) have a diagnosis of asthma</w:t>
            </w:r>
            <w:r w:rsidR="007251D7" w:rsidRPr="00582F7C">
              <w:rPr>
                <w:b w:val="0"/>
                <w:szCs w:val="24"/>
              </w:rPr>
              <w:t>.</w:t>
            </w:r>
          </w:p>
          <w:p w:rsidR="005B7B2F" w:rsidRPr="00582F7C" w:rsidRDefault="005B7B2F" w:rsidP="00C80125">
            <w:pPr>
              <w:rPr>
                <w:b w:val="0"/>
              </w:rPr>
            </w:pPr>
          </w:p>
          <w:p w:rsidR="00103F95" w:rsidRPr="00582F7C" w:rsidRDefault="00FF627F" w:rsidP="00C05EB1">
            <w:pPr>
              <w:spacing w:line="276" w:lineRule="auto"/>
              <w:rPr>
                <w:b w:val="0"/>
              </w:rPr>
            </w:pPr>
            <w:r w:rsidRPr="00582F7C">
              <w:rPr>
                <w:rFonts w:eastAsia="Times New Roman" w:cs="Arial"/>
                <w:b w:val="0"/>
                <w:color w:val="1D1D1B"/>
              </w:rPr>
              <w:t xml:space="preserve">In 2010/11 the all age prevalence of asthma in England, based on </w:t>
            </w:r>
            <w:r w:rsidR="00643F19" w:rsidRPr="00582F7C">
              <w:rPr>
                <w:rFonts w:eastAsia="Times New Roman" w:cs="Arial"/>
                <w:b w:val="0"/>
                <w:color w:val="1D1D1B"/>
              </w:rPr>
              <w:t>GP register</w:t>
            </w:r>
            <w:r w:rsidRPr="00582F7C">
              <w:rPr>
                <w:rFonts w:eastAsia="Times New Roman" w:cs="Arial"/>
                <w:b w:val="0"/>
                <w:color w:val="1D1D1B"/>
              </w:rPr>
              <w:t xml:space="preserve"> data was 5.9%, whereas in the Health Survey for England in 2010, 9.5% of adults and children </w:t>
            </w:r>
            <w:r w:rsidRPr="00582F7C">
              <w:rPr>
                <w:rFonts w:eastAsia="Times New Roman" w:cs="Arial"/>
                <w:b w:val="0"/>
                <w:color w:val="1D1D1B"/>
              </w:rPr>
              <w:lastRenderedPageBreak/>
              <w:t xml:space="preserve">reported having asthma, using the same definition of receiving asthma treatment in the last year. </w:t>
            </w:r>
            <w:r w:rsidR="009434FB">
              <w:rPr>
                <w:rFonts w:eastAsia="Times New Roman" w:cs="Arial"/>
                <w:b w:val="0"/>
                <w:color w:val="1D1D1B"/>
              </w:rPr>
              <w:t xml:space="preserve"> </w:t>
            </w:r>
            <w:r w:rsidR="00103F95" w:rsidRPr="00582F7C">
              <w:rPr>
                <w:rFonts w:eastAsia="Times New Roman" w:cs="Arial"/>
                <w:b w:val="0"/>
                <w:color w:val="1D1D1B"/>
              </w:rPr>
              <w:t>(</w:t>
            </w:r>
            <w:r w:rsidRPr="00582F7C">
              <w:rPr>
                <w:rFonts w:eastAsia="Times New Roman" w:cs="Arial"/>
                <w:b w:val="0"/>
                <w:color w:val="1D1D1B"/>
              </w:rPr>
              <w:t>This is of importance as those not on registers are at high risk of not receiving regular reviews of their asthma management and therefore are at increased risk of A&amp;E attendance and hospital admission</w:t>
            </w:r>
            <w:r w:rsidR="00103F95" w:rsidRPr="00582F7C">
              <w:rPr>
                <w:rFonts w:eastAsia="Times New Roman" w:cs="Arial"/>
                <w:b w:val="0"/>
                <w:color w:val="1D1D1B"/>
              </w:rPr>
              <w:t>).</w:t>
            </w:r>
          </w:p>
        </w:tc>
        <w:tc>
          <w:tcPr>
            <w:tcW w:w="4621" w:type="dxa"/>
          </w:tcPr>
          <w:p w:rsidR="005B7B2F" w:rsidRPr="00993175" w:rsidRDefault="005B7B2F" w:rsidP="00C80125">
            <w:pPr>
              <w:contextualSpacing/>
              <w:cnfStyle w:val="000000100000" w:firstRow="0" w:lastRow="0" w:firstColumn="0" w:lastColumn="0" w:oddVBand="0" w:evenVBand="0" w:oddHBand="1" w:evenHBand="0" w:firstRowFirstColumn="0" w:firstRowLastColumn="0" w:lastRowFirstColumn="0" w:lastRowLastColumn="0"/>
              <w:rPr>
                <w:rFonts w:cs="Arial"/>
                <w:szCs w:val="24"/>
              </w:rPr>
            </w:pPr>
          </w:p>
          <w:p w:rsidR="00103F95" w:rsidRDefault="00103F95" w:rsidP="00C80125">
            <w:pPr>
              <w:contextualSpacing/>
              <w:cnfStyle w:val="000000100000" w:firstRow="0" w:lastRow="0" w:firstColumn="0" w:lastColumn="0" w:oddVBand="0" w:evenVBand="0" w:oddHBand="1" w:evenHBand="0" w:firstRowFirstColumn="0" w:firstRowLastColumn="0" w:lastRowFirstColumn="0" w:lastRowLastColumn="0"/>
              <w:rPr>
                <w:rFonts w:cs="Arial"/>
                <w:szCs w:val="24"/>
              </w:rPr>
            </w:pPr>
          </w:p>
          <w:p w:rsidR="00C447C6" w:rsidRDefault="00C447C6" w:rsidP="00C80125">
            <w:pPr>
              <w:contextualSpacing/>
              <w:cnfStyle w:val="000000100000" w:firstRow="0" w:lastRow="0" w:firstColumn="0" w:lastColumn="0" w:oddVBand="0" w:evenVBand="0" w:oddHBand="1" w:evenHBand="0" w:firstRowFirstColumn="0" w:firstRowLastColumn="0" w:lastRowFirstColumn="0" w:lastRowLastColumn="0"/>
              <w:rPr>
                <w:rFonts w:cs="Arial"/>
                <w:szCs w:val="24"/>
              </w:rPr>
            </w:pPr>
          </w:p>
          <w:p w:rsidR="00C447C6" w:rsidRDefault="00C447C6" w:rsidP="00C80125">
            <w:pPr>
              <w:contextualSpacing/>
              <w:cnfStyle w:val="000000100000" w:firstRow="0" w:lastRow="0" w:firstColumn="0" w:lastColumn="0" w:oddVBand="0" w:evenVBand="0" w:oddHBand="1" w:evenHBand="0" w:firstRowFirstColumn="0" w:firstRowLastColumn="0" w:lastRowFirstColumn="0" w:lastRowLastColumn="0"/>
              <w:rPr>
                <w:rFonts w:cs="Arial"/>
                <w:szCs w:val="24"/>
              </w:rPr>
            </w:pPr>
          </w:p>
          <w:p w:rsidR="005B7B2F" w:rsidRPr="00993175" w:rsidRDefault="004B36D3" w:rsidP="00C80125">
            <w:pPr>
              <w:contextualSpacing/>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15,437</w:t>
            </w:r>
            <w:r w:rsidR="005B7B2F" w:rsidRPr="00993175">
              <w:rPr>
                <w:rFonts w:cs="Arial"/>
                <w:szCs w:val="24"/>
              </w:rPr>
              <w:t xml:space="preserve"> </w:t>
            </w:r>
            <w:r w:rsidR="00A303C2">
              <w:rPr>
                <w:rFonts w:cs="Arial"/>
                <w:szCs w:val="24"/>
              </w:rPr>
              <w:t xml:space="preserve"> Medway </w:t>
            </w:r>
            <w:r w:rsidR="005B7B2F" w:rsidRPr="00993175">
              <w:rPr>
                <w:rFonts w:cs="Arial"/>
                <w:szCs w:val="24"/>
              </w:rPr>
              <w:t xml:space="preserve">children </w:t>
            </w:r>
            <w:r w:rsidR="00C447C6">
              <w:rPr>
                <w:rFonts w:cs="Arial"/>
                <w:szCs w:val="24"/>
              </w:rPr>
              <w:t>could have a diagnosis of</w:t>
            </w:r>
            <w:r w:rsidR="005B7B2F" w:rsidRPr="00993175">
              <w:rPr>
                <w:rFonts w:cs="Arial"/>
                <w:szCs w:val="24"/>
              </w:rPr>
              <w:t xml:space="preserve"> asthma</w:t>
            </w:r>
            <w:r>
              <w:rPr>
                <w:rFonts w:cs="Arial"/>
                <w:szCs w:val="24"/>
              </w:rPr>
              <w:t xml:space="preserve"> (</w:t>
            </w:r>
            <w:r w:rsidR="00911028">
              <w:rPr>
                <w:rFonts w:cs="Arial"/>
                <w:szCs w:val="24"/>
              </w:rPr>
              <w:t xml:space="preserve">based on </w:t>
            </w:r>
            <w:r>
              <w:rPr>
                <w:rFonts w:cs="Arial"/>
                <w:szCs w:val="24"/>
              </w:rPr>
              <w:t>GP registration</w:t>
            </w:r>
            <w:r w:rsidR="00911028">
              <w:rPr>
                <w:rFonts w:cs="Arial"/>
                <w:szCs w:val="24"/>
              </w:rPr>
              <w:t>s 0-19)</w:t>
            </w:r>
          </w:p>
          <w:p w:rsidR="00643F19" w:rsidRPr="00993175" w:rsidRDefault="00643F19" w:rsidP="00C80125">
            <w:pPr>
              <w:contextualSpacing/>
              <w:cnfStyle w:val="000000100000" w:firstRow="0" w:lastRow="0" w:firstColumn="0" w:lastColumn="0" w:oddVBand="0" w:evenVBand="0" w:oddHBand="1" w:evenHBand="0" w:firstRowFirstColumn="0" w:firstRowLastColumn="0" w:lastRowFirstColumn="0" w:lastRowLastColumn="0"/>
              <w:rPr>
                <w:rFonts w:cs="Arial"/>
                <w:szCs w:val="24"/>
              </w:rPr>
            </w:pPr>
          </w:p>
          <w:p w:rsidR="00643F19" w:rsidRPr="00993175" w:rsidRDefault="00643F19" w:rsidP="00C80125">
            <w:pPr>
              <w:contextualSpacing/>
              <w:cnfStyle w:val="000000100000" w:firstRow="0" w:lastRow="0" w:firstColumn="0" w:lastColumn="0" w:oddVBand="0" w:evenVBand="0" w:oddHBand="1" w:evenHBand="0" w:firstRowFirstColumn="0" w:firstRowLastColumn="0" w:lastRowFirstColumn="0" w:lastRowLastColumn="0"/>
              <w:rPr>
                <w:rFonts w:cs="Arial"/>
                <w:szCs w:val="24"/>
              </w:rPr>
            </w:pPr>
          </w:p>
          <w:p w:rsidR="00643F19" w:rsidRPr="00993175" w:rsidRDefault="00643F19" w:rsidP="00C80125">
            <w:pPr>
              <w:contextualSpacing/>
              <w:cnfStyle w:val="000000100000" w:firstRow="0" w:lastRow="0" w:firstColumn="0" w:lastColumn="0" w:oddVBand="0" w:evenVBand="0" w:oddHBand="1" w:evenHBand="0" w:firstRowFirstColumn="0" w:firstRowLastColumn="0" w:lastRowFirstColumn="0" w:lastRowLastColumn="0"/>
              <w:rPr>
                <w:rFonts w:cs="Arial"/>
                <w:szCs w:val="24"/>
              </w:rPr>
            </w:pPr>
          </w:p>
          <w:p w:rsidR="00643F19" w:rsidRPr="00993175" w:rsidRDefault="00643F19" w:rsidP="00C80125">
            <w:pPr>
              <w:contextualSpacing/>
              <w:cnfStyle w:val="000000100000" w:firstRow="0" w:lastRow="0" w:firstColumn="0" w:lastColumn="0" w:oddVBand="0" w:evenVBand="0" w:oddHBand="1" w:evenHBand="0" w:firstRowFirstColumn="0" w:firstRowLastColumn="0" w:lastRowFirstColumn="0" w:lastRowLastColumn="0"/>
              <w:rPr>
                <w:rFonts w:cs="Arial"/>
                <w:szCs w:val="24"/>
              </w:rPr>
            </w:pPr>
          </w:p>
          <w:p w:rsidR="00643F19" w:rsidRPr="00993175" w:rsidRDefault="00643F19" w:rsidP="00C80125">
            <w:pPr>
              <w:contextualSpacing/>
              <w:cnfStyle w:val="000000100000" w:firstRow="0" w:lastRow="0" w:firstColumn="0" w:lastColumn="0" w:oddVBand="0" w:evenVBand="0" w:oddHBand="1" w:evenHBand="0" w:firstRowFirstColumn="0" w:firstRowLastColumn="0" w:lastRowFirstColumn="0" w:lastRowLastColumn="0"/>
              <w:rPr>
                <w:rFonts w:cs="Arial"/>
                <w:szCs w:val="24"/>
              </w:rPr>
            </w:pPr>
          </w:p>
          <w:p w:rsidR="007251D7" w:rsidRDefault="007251D7" w:rsidP="00C80125">
            <w:pPr>
              <w:contextualSpacing/>
              <w:cnfStyle w:val="000000100000" w:firstRow="0" w:lastRow="0" w:firstColumn="0" w:lastColumn="0" w:oddVBand="0" w:evenVBand="0" w:oddHBand="1" w:evenHBand="0" w:firstRowFirstColumn="0" w:firstRowLastColumn="0" w:lastRowFirstColumn="0" w:lastRowLastColumn="0"/>
              <w:rPr>
                <w:rFonts w:cs="Arial"/>
                <w:szCs w:val="24"/>
              </w:rPr>
            </w:pPr>
          </w:p>
          <w:p w:rsidR="00113F54" w:rsidRDefault="00113F54" w:rsidP="00C80125">
            <w:pPr>
              <w:contextualSpacing/>
              <w:cnfStyle w:val="000000100000" w:firstRow="0" w:lastRow="0" w:firstColumn="0" w:lastColumn="0" w:oddVBand="0" w:evenVBand="0" w:oddHBand="1" w:evenHBand="0" w:firstRowFirstColumn="0" w:firstRowLastColumn="0" w:lastRowFirstColumn="0" w:lastRowLastColumn="0"/>
              <w:rPr>
                <w:rFonts w:cs="Arial"/>
                <w:szCs w:val="24"/>
              </w:rPr>
            </w:pPr>
          </w:p>
          <w:p w:rsidR="00911028" w:rsidRPr="00993175" w:rsidRDefault="00911028" w:rsidP="00911028">
            <w:pPr>
              <w:contextualSpacing/>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lastRenderedPageBreak/>
              <w:t>4,337</w:t>
            </w:r>
            <w:r w:rsidR="00643F19" w:rsidRPr="00993175">
              <w:rPr>
                <w:rFonts w:cs="Arial"/>
                <w:szCs w:val="24"/>
              </w:rPr>
              <w:t xml:space="preserve"> to </w:t>
            </w:r>
            <w:r>
              <w:rPr>
                <w:rFonts w:cs="Arial"/>
                <w:szCs w:val="24"/>
              </w:rPr>
              <w:t xml:space="preserve">6,983 </w:t>
            </w:r>
            <w:r w:rsidR="00A303C2">
              <w:rPr>
                <w:rFonts w:cs="Arial"/>
                <w:szCs w:val="24"/>
              </w:rPr>
              <w:t xml:space="preserve">Medway </w:t>
            </w:r>
            <w:r w:rsidR="00643F19" w:rsidRPr="00993175">
              <w:rPr>
                <w:rFonts w:cs="Arial"/>
                <w:szCs w:val="24"/>
              </w:rPr>
              <w:t xml:space="preserve">children </w:t>
            </w:r>
            <w:r w:rsidR="00C447C6">
              <w:rPr>
                <w:rFonts w:cs="Arial"/>
                <w:szCs w:val="24"/>
              </w:rPr>
              <w:t xml:space="preserve">could have a diagnosis </w:t>
            </w:r>
            <w:r w:rsidR="00113997">
              <w:rPr>
                <w:rFonts w:cs="Arial"/>
                <w:szCs w:val="24"/>
              </w:rPr>
              <w:t>of</w:t>
            </w:r>
            <w:r w:rsidR="00643F19" w:rsidRPr="00993175">
              <w:rPr>
                <w:rFonts w:cs="Arial"/>
                <w:szCs w:val="24"/>
              </w:rPr>
              <w:t xml:space="preserve"> asthma</w:t>
            </w:r>
            <w:r>
              <w:rPr>
                <w:rFonts w:cs="Arial"/>
                <w:szCs w:val="24"/>
              </w:rPr>
              <w:t xml:space="preserve"> (based on GP registrations 0-19)</w:t>
            </w:r>
          </w:p>
          <w:p w:rsidR="00643F19" w:rsidRPr="00993175" w:rsidRDefault="00643F19" w:rsidP="00911028">
            <w:pPr>
              <w:contextualSpacing/>
              <w:cnfStyle w:val="000000100000" w:firstRow="0" w:lastRow="0" w:firstColumn="0" w:lastColumn="0" w:oddVBand="0" w:evenVBand="0" w:oddHBand="1" w:evenHBand="0" w:firstRowFirstColumn="0" w:firstRowLastColumn="0" w:lastRowFirstColumn="0" w:lastRowLastColumn="0"/>
              <w:rPr>
                <w:rFonts w:cs="Arial"/>
                <w:szCs w:val="24"/>
              </w:rPr>
            </w:pPr>
          </w:p>
        </w:tc>
      </w:tr>
      <w:tr w:rsidR="005B7B2F" w:rsidRPr="00993175" w:rsidTr="00582F7C">
        <w:tc>
          <w:tcPr>
            <w:cnfStyle w:val="001000000000" w:firstRow="0" w:lastRow="0" w:firstColumn="1" w:lastColumn="0" w:oddVBand="0" w:evenVBand="0" w:oddHBand="0" w:evenHBand="0" w:firstRowFirstColumn="0" w:firstRowLastColumn="0" w:lastRowFirstColumn="0" w:lastRowLastColumn="0"/>
            <w:tcW w:w="4621" w:type="dxa"/>
            <w:gridSpan w:val="2"/>
          </w:tcPr>
          <w:p w:rsidR="005B7B2F" w:rsidRPr="00582F7C" w:rsidRDefault="005B7B2F" w:rsidP="00C80125">
            <w:pPr>
              <w:contextualSpacing/>
              <w:rPr>
                <w:rFonts w:cs="Arial"/>
                <w:b w:val="0"/>
                <w:szCs w:val="24"/>
              </w:rPr>
            </w:pPr>
          </w:p>
          <w:p w:rsidR="005B7B2F" w:rsidRPr="00582F7C" w:rsidRDefault="005B7B2F" w:rsidP="00C80125">
            <w:pPr>
              <w:rPr>
                <w:rFonts w:cs="Arial"/>
                <w:b w:val="0"/>
                <w:szCs w:val="24"/>
              </w:rPr>
            </w:pPr>
            <w:r w:rsidRPr="00582F7C">
              <w:rPr>
                <w:b w:val="0"/>
                <w:szCs w:val="24"/>
              </w:rPr>
              <w:t>Severe problematic asthma that is poorly responsive to the common asthma treatments has been reported in approximately 4.5% of children with current asthma</w:t>
            </w:r>
            <w:r w:rsidRPr="00582F7C">
              <w:rPr>
                <w:rStyle w:val="FootnoteReference"/>
                <w:b w:val="0"/>
                <w:szCs w:val="24"/>
              </w:rPr>
              <w:footnoteReference w:id="32"/>
            </w:r>
          </w:p>
          <w:p w:rsidR="005B7B2F" w:rsidRPr="00582F7C" w:rsidRDefault="005B7B2F" w:rsidP="00C80125">
            <w:pPr>
              <w:contextualSpacing/>
              <w:rPr>
                <w:rFonts w:cs="Arial"/>
                <w:b w:val="0"/>
                <w:szCs w:val="24"/>
              </w:rPr>
            </w:pPr>
          </w:p>
        </w:tc>
        <w:tc>
          <w:tcPr>
            <w:tcW w:w="4621" w:type="dxa"/>
          </w:tcPr>
          <w:p w:rsidR="005B7B2F" w:rsidRPr="00993175" w:rsidRDefault="005B7B2F" w:rsidP="00C80125">
            <w:pPr>
              <w:contextualSpacing/>
              <w:cnfStyle w:val="000000000000" w:firstRow="0" w:lastRow="0" w:firstColumn="0" w:lastColumn="0" w:oddVBand="0" w:evenVBand="0" w:oddHBand="0" w:evenHBand="0" w:firstRowFirstColumn="0" w:firstRowLastColumn="0" w:lastRowFirstColumn="0" w:lastRowLastColumn="0"/>
              <w:rPr>
                <w:rFonts w:cs="Arial"/>
                <w:szCs w:val="24"/>
              </w:rPr>
            </w:pPr>
          </w:p>
          <w:p w:rsidR="005B7B2F" w:rsidRPr="00993175" w:rsidRDefault="00911028" w:rsidP="00A303C2">
            <w:pPr>
              <w:contextualSpacing/>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195</w:t>
            </w:r>
            <w:r w:rsidR="00A82406" w:rsidRPr="00993175">
              <w:rPr>
                <w:rFonts w:cs="Arial"/>
                <w:szCs w:val="24"/>
              </w:rPr>
              <w:t xml:space="preserve"> to </w:t>
            </w:r>
            <w:r>
              <w:rPr>
                <w:rFonts w:cs="Arial"/>
                <w:szCs w:val="24"/>
              </w:rPr>
              <w:t>694</w:t>
            </w:r>
            <w:r w:rsidR="0034480A" w:rsidRPr="00993175">
              <w:rPr>
                <w:rFonts w:cs="Arial"/>
                <w:szCs w:val="24"/>
              </w:rPr>
              <w:t xml:space="preserve"> </w:t>
            </w:r>
            <w:r w:rsidR="00A303C2">
              <w:rPr>
                <w:rFonts w:cs="Arial"/>
                <w:szCs w:val="24"/>
              </w:rPr>
              <w:t xml:space="preserve">Medway </w:t>
            </w:r>
            <w:r w:rsidR="0034480A" w:rsidRPr="00993175">
              <w:rPr>
                <w:rFonts w:cs="Arial"/>
                <w:szCs w:val="24"/>
              </w:rPr>
              <w:t>children</w:t>
            </w:r>
            <w:r w:rsidR="00A303C2">
              <w:rPr>
                <w:rFonts w:cs="Arial"/>
                <w:szCs w:val="24"/>
              </w:rPr>
              <w:t xml:space="preserve"> may have</w:t>
            </w:r>
            <w:r w:rsidR="0034480A" w:rsidRPr="00993175">
              <w:rPr>
                <w:rFonts w:cs="Arial"/>
                <w:szCs w:val="24"/>
              </w:rPr>
              <w:t xml:space="preserve"> severe problematic asthma</w:t>
            </w:r>
          </w:p>
        </w:tc>
      </w:tr>
    </w:tbl>
    <w:p w:rsidR="00D42A0B" w:rsidRDefault="00D42A0B" w:rsidP="00C80125">
      <w:pPr>
        <w:contextualSpacing/>
        <w:rPr>
          <w:rFonts w:cs="Arial"/>
          <w:szCs w:val="20"/>
        </w:rPr>
      </w:pPr>
    </w:p>
    <w:p w:rsidR="00E44135" w:rsidRDefault="00E44135" w:rsidP="00C80125">
      <w:pPr>
        <w:contextualSpacing/>
        <w:rPr>
          <w:rFonts w:cs="Arial"/>
          <w:szCs w:val="20"/>
        </w:rPr>
      </w:pPr>
      <w:r>
        <w:rPr>
          <w:rFonts w:cs="Arial"/>
          <w:szCs w:val="20"/>
        </w:rPr>
        <w:t xml:space="preserve">Emergency </w:t>
      </w:r>
      <w:r w:rsidR="002F3B0B">
        <w:rPr>
          <w:rFonts w:cs="Arial"/>
          <w:szCs w:val="20"/>
        </w:rPr>
        <w:t xml:space="preserve">paediatric </w:t>
      </w:r>
      <w:r>
        <w:rPr>
          <w:rFonts w:cs="Arial"/>
          <w:szCs w:val="20"/>
        </w:rPr>
        <w:t>asthma admissions</w:t>
      </w:r>
      <w:r w:rsidR="00911028">
        <w:rPr>
          <w:rFonts w:cs="Arial"/>
          <w:szCs w:val="20"/>
        </w:rPr>
        <w:t xml:space="preserve"> in Medway</w:t>
      </w:r>
      <w:r>
        <w:rPr>
          <w:rFonts w:cs="Arial"/>
          <w:szCs w:val="20"/>
        </w:rPr>
        <w:t xml:space="preserve"> are significantly worse than the rates for the region and the four most similar CCGs (Fig </w:t>
      </w:r>
      <w:r w:rsidR="009A0D95">
        <w:rPr>
          <w:rFonts w:cs="Arial"/>
          <w:szCs w:val="20"/>
        </w:rPr>
        <w:t>14</w:t>
      </w:r>
      <w:r>
        <w:rPr>
          <w:rFonts w:cs="Arial"/>
          <w:szCs w:val="20"/>
        </w:rPr>
        <w:t>):</w:t>
      </w:r>
    </w:p>
    <w:p w:rsidR="00E44135" w:rsidRDefault="00E44135" w:rsidP="00C80125">
      <w:pPr>
        <w:contextualSpacing/>
        <w:rPr>
          <w:rFonts w:cs="Arial"/>
          <w:szCs w:val="20"/>
        </w:rPr>
      </w:pPr>
    </w:p>
    <w:tbl>
      <w:tblPr>
        <w:tblStyle w:val="LightList-Accent1"/>
        <w:tblW w:w="5000" w:type="pct"/>
        <w:tblLook w:val="04A0" w:firstRow="1" w:lastRow="0" w:firstColumn="1" w:lastColumn="0" w:noHBand="0" w:noVBand="1"/>
      </w:tblPr>
      <w:tblGrid>
        <w:gridCol w:w="5063"/>
        <w:gridCol w:w="2119"/>
        <w:gridCol w:w="2060"/>
      </w:tblGrid>
      <w:tr w:rsidR="00C05EB1" w:rsidRPr="002C4E34" w:rsidTr="00582F7C">
        <w:trPr>
          <w:cnfStyle w:val="100000000000" w:firstRow="1" w:lastRow="0" w:firstColumn="0" w:lastColumn="0" w:oddVBand="0" w:evenVBand="0" w:oddHBand="0"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2438" w:type="pct"/>
            <w:noWrap/>
            <w:hideMark/>
          </w:tcPr>
          <w:p w:rsidR="00C05EB1" w:rsidRPr="002C4E34" w:rsidRDefault="00C05EB1" w:rsidP="00B35DA2">
            <w:pPr>
              <w:jc w:val="center"/>
              <w:rPr>
                <w:rFonts w:eastAsia="Times New Roman" w:cs="Arial"/>
                <w:sz w:val="20"/>
                <w:szCs w:val="20"/>
                <w:lang w:eastAsia="en-GB"/>
              </w:rPr>
            </w:pPr>
            <w:r w:rsidRPr="002C4E34">
              <w:rPr>
                <w:rFonts w:eastAsia="Times New Roman" w:cs="Arial"/>
                <w:sz w:val="20"/>
                <w:szCs w:val="20"/>
                <w:lang w:eastAsia="en-GB"/>
              </w:rPr>
              <w:t>Paediatric Asthma Emergency Admissions 2013/14</w:t>
            </w:r>
          </w:p>
          <w:p w:rsidR="00512857" w:rsidRPr="002C4E34" w:rsidRDefault="00512857" w:rsidP="00B35DA2">
            <w:pPr>
              <w:jc w:val="center"/>
              <w:rPr>
                <w:rFonts w:eastAsia="Times New Roman" w:cs="Arial"/>
                <w:sz w:val="20"/>
                <w:szCs w:val="20"/>
                <w:lang w:eastAsia="en-GB"/>
              </w:rPr>
            </w:pPr>
            <w:r w:rsidRPr="002C4E34">
              <w:rPr>
                <w:rFonts w:eastAsia="Times New Roman" w:cs="Arial"/>
                <w:sz w:val="20"/>
                <w:szCs w:val="20"/>
                <w:lang w:eastAsia="en-GB"/>
              </w:rPr>
              <w:t>CHIMAT DMT</w:t>
            </w:r>
          </w:p>
        </w:tc>
        <w:tc>
          <w:tcPr>
            <w:tcW w:w="1297" w:type="pct"/>
            <w:hideMark/>
          </w:tcPr>
          <w:p w:rsidR="00C05EB1" w:rsidRPr="002C4E34" w:rsidRDefault="00C05EB1" w:rsidP="00B35DA2">
            <w:pPr>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z w:val="20"/>
                <w:szCs w:val="20"/>
                <w:lang w:eastAsia="en-GB"/>
              </w:rPr>
            </w:pPr>
            <w:r w:rsidRPr="002C4E34">
              <w:rPr>
                <w:rFonts w:eastAsia="Times New Roman" w:cs="Arial"/>
                <w:bCs w:val="0"/>
                <w:sz w:val="20"/>
                <w:szCs w:val="20"/>
                <w:lang w:eastAsia="en-GB"/>
              </w:rPr>
              <w:t>Admissions</w:t>
            </w:r>
          </w:p>
        </w:tc>
        <w:tc>
          <w:tcPr>
            <w:tcW w:w="1265" w:type="pct"/>
            <w:hideMark/>
          </w:tcPr>
          <w:p w:rsidR="00C05EB1" w:rsidRPr="002C4E34" w:rsidRDefault="00C05EB1" w:rsidP="00B35DA2">
            <w:pPr>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z w:val="20"/>
                <w:szCs w:val="20"/>
                <w:lang w:eastAsia="en-GB"/>
              </w:rPr>
            </w:pPr>
            <w:r w:rsidRPr="002C4E34">
              <w:rPr>
                <w:rFonts w:eastAsia="Times New Roman" w:cs="Arial"/>
                <w:bCs w:val="0"/>
                <w:sz w:val="20"/>
                <w:szCs w:val="20"/>
                <w:lang w:eastAsia="en-GB"/>
              </w:rPr>
              <w:t>Bed days</w:t>
            </w:r>
          </w:p>
        </w:tc>
      </w:tr>
      <w:tr w:rsidR="00C05EB1" w:rsidRPr="004557A8" w:rsidTr="00582F7C">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2438" w:type="pct"/>
            <w:hideMark/>
          </w:tcPr>
          <w:p w:rsidR="00C05EB1" w:rsidRPr="004557A8" w:rsidRDefault="00C05EB1" w:rsidP="00B35DA2">
            <w:pPr>
              <w:rPr>
                <w:rFonts w:eastAsia="Times New Roman" w:cs="Arial"/>
                <w:sz w:val="20"/>
                <w:szCs w:val="20"/>
                <w:lang w:eastAsia="en-GB"/>
              </w:rPr>
            </w:pPr>
            <w:r w:rsidRPr="004557A8">
              <w:rPr>
                <w:rFonts w:eastAsia="Times New Roman" w:cs="Arial"/>
                <w:sz w:val="20"/>
                <w:szCs w:val="20"/>
                <w:lang w:eastAsia="en-GB"/>
              </w:rPr>
              <w:t>NHS Medway (number)</w:t>
            </w:r>
          </w:p>
        </w:tc>
        <w:tc>
          <w:tcPr>
            <w:tcW w:w="1297" w:type="pct"/>
            <w:noWrap/>
            <w:vAlign w:val="center"/>
            <w:hideMark/>
          </w:tcPr>
          <w:p w:rsidR="00C05EB1" w:rsidRPr="004557A8" w:rsidRDefault="00C05EB1" w:rsidP="00582F7C">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Pr>
                <w:rFonts w:eastAsia="Times New Roman" w:cs="Arial"/>
                <w:sz w:val="20"/>
                <w:szCs w:val="20"/>
                <w:lang w:eastAsia="en-GB"/>
              </w:rPr>
              <w:t>178</w:t>
            </w:r>
          </w:p>
        </w:tc>
        <w:tc>
          <w:tcPr>
            <w:tcW w:w="1265" w:type="pct"/>
            <w:noWrap/>
            <w:vAlign w:val="center"/>
            <w:hideMark/>
          </w:tcPr>
          <w:p w:rsidR="00C05EB1" w:rsidRPr="004557A8" w:rsidRDefault="00C05EB1" w:rsidP="00582F7C">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Pr>
                <w:rFonts w:eastAsia="Times New Roman" w:cs="Arial"/>
                <w:sz w:val="20"/>
                <w:szCs w:val="20"/>
                <w:lang w:eastAsia="en-GB"/>
              </w:rPr>
              <w:t>201</w:t>
            </w:r>
          </w:p>
        </w:tc>
      </w:tr>
      <w:tr w:rsidR="00C05EB1" w:rsidRPr="004557A8" w:rsidTr="00582F7C">
        <w:trPr>
          <w:trHeight w:val="589"/>
        </w:trPr>
        <w:tc>
          <w:tcPr>
            <w:cnfStyle w:val="001000000000" w:firstRow="0" w:lastRow="0" w:firstColumn="1" w:lastColumn="0" w:oddVBand="0" w:evenVBand="0" w:oddHBand="0" w:evenHBand="0" w:firstRowFirstColumn="0" w:firstRowLastColumn="0" w:lastRowFirstColumn="0" w:lastRowLastColumn="0"/>
            <w:tcW w:w="2438" w:type="pct"/>
            <w:hideMark/>
          </w:tcPr>
          <w:p w:rsidR="00C05EB1" w:rsidRPr="004557A8" w:rsidRDefault="00C05EB1" w:rsidP="00B35DA2">
            <w:pPr>
              <w:rPr>
                <w:rFonts w:eastAsia="Times New Roman" w:cs="Arial"/>
                <w:sz w:val="20"/>
                <w:szCs w:val="20"/>
                <w:lang w:eastAsia="en-GB"/>
              </w:rPr>
            </w:pPr>
            <w:r w:rsidRPr="004557A8">
              <w:rPr>
                <w:rFonts w:eastAsia="Times New Roman" w:cs="Arial"/>
                <w:sz w:val="20"/>
                <w:szCs w:val="20"/>
                <w:lang w:eastAsia="en-GB"/>
              </w:rPr>
              <w:t>Rate per 100,000 population</w:t>
            </w:r>
          </w:p>
        </w:tc>
        <w:tc>
          <w:tcPr>
            <w:tcW w:w="1297" w:type="pct"/>
            <w:noWrap/>
            <w:vAlign w:val="center"/>
            <w:hideMark/>
          </w:tcPr>
          <w:p w:rsidR="00C05EB1" w:rsidRPr="004557A8" w:rsidRDefault="00C05EB1" w:rsidP="00582F7C">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Pr>
                <w:rFonts w:eastAsia="Times New Roman" w:cs="Arial"/>
                <w:sz w:val="20"/>
                <w:szCs w:val="20"/>
                <w:lang w:eastAsia="en-GB"/>
              </w:rPr>
              <w:t>258.4</w:t>
            </w:r>
          </w:p>
        </w:tc>
        <w:tc>
          <w:tcPr>
            <w:tcW w:w="1265" w:type="pct"/>
            <w:noWrap/>
            <w:vAlign w:val="center"/>
            <w:hideMark/>
          </w:tcPr>
          <w:p w:rsidR="00C05EB1" w:rsidRPr="004557A8" w:rsidRDefault="00C05EB1" w:rsidP="00582F7C">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Pr>
                <w:rFonts w:eastAsia="Times New Roman" w:cs="Arial"/>
                <w:sz w:val="20"/>
                <w:szCs w:val="20"/>
                <w:lang w:eastAsia="en-GB"/>
              </w:rPr>
              <w:t>291.7</w:t>
            </w:r>
          </w:p>
        </w:tc>
      </w:tr>
      <w:tr w:rsidR="00C05EB1" w:rsidRPr="004557A8" w:rsidTr="00582F7C">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2438" w:type="pct"/>
            <w:hideMark/>
          </w:tcPr>
          <w:p w:rsidR="00C05EB1" w:rsidRPr="004557A8" w:rsidRDefault="00C05EB1" w:rsidP="00B35DA2">
            <w:pPr>
              <w:rPr>
                <w:rFonts w:eastAsia="Times New Roman" w:cs="Arial"/>
                <w:sz w:val="20"/>
                <w:szCs w:val="20"/>
                <w:lang w:eastAsia="en-GB"/>
              </w:rPr>
            </w:pPr>
            <w:r w:rsidRPr="004557A8">
              <w:rPr>
                <w:rFonts w:eastAsia="Times New Roman" w:cs="Arial"/>
                <w:sz w:val="20"/>
                <w:szCs w:val="20"/>
                <w:lang w:eastAsia="en-GB"/>
              </w:rPr>
              <w:t>South (rate)</w:t>
            </w:r>
          </w:p>
        </w:tc>
        <w:tc>
          <w:tcPr>
            <w:tcW w:w="1297" w:type="pct"/>
            <w:noWrap/>
            <w:vAlign w:val="center"/>
            <w:hideMark/>
          </w:tcPr>
          <w:p w:rsidR="00C05EB1" w:rsidRPr="004557A8" w:rsidRDefault="00C05EB1" w:rsidP="00582F7C">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Pr>
                <w:rFonts w:eastAsia="Times New Roman" w:cs="Arial"/>
                <w:sz w:val="20"/>
                <w:szCs w:val="20"/>
                <w:lang w:eastAsia="en-GB"/>
              </w:rPr>
              <w:t>156.7</w:t>
            </w:r>
          </w:p>
        </w:tc>
        <w:tc>
          <w:tcPr>
            <w:tcW w:w="1265" w:type="pct"/>
            <w:noWrap/>
            <w:vAlign w:val="center"/>
            <w:hideMark/>
          </w:tcPr>
          <w:p w:rsidR="00C05EB1" w:rsidRPr="004557A8" w:rsidRDefault="00C05EB1" w:rsidP="00582F7C">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Pr>
                <w:rFonts w:eastAsia="Times New Roman" w:cs="Arial"/>
                <w:sz w:val="20"/>
                <w:szCs w:val="20"/>
                <w:lang w:eastAsia="en-GB"/>
              </w:rPr>
              <w:t>185.3</w:t>
            </w:r>
          </w:p>
        </w:tc>
      </w:tr>
      <w:tr w:rsidR="00C05EB1" w:rsidRPr="004557A8" w:rsidTr="00814E24">
        <w:trPr>
          <w:trHeight w:val="589"/>
        </w:trPr>
        <w:tc>
          <w:tcPr>
            <w:cnfStyle w:val="001000000000" w:firstRow="0" w:lastRow="0" w:firstColumn="1" w:lastColumn="0" w:oddVBand="0" w:evenVBand="0" w:oddHBand="0" w:evenHBand="0" w:firstRowFirstColumn="0" w:firstRowLastColumn="0" w:lastRowFirstColumn="0" w:lastRowLastColumn="0"/>
            <w:tcW w:w="2438" w:type="pct"/>
            <w:hideMark/>
          </w:tcPr>
          <w:p w:rsidR="00C05EB1" w:rsidRPr="004557A8" w:rsidRDefault="00C05EB1" w:rsidP="00B35DA2">
            <w:pPr>
              <w:rPr>
                <w:rFonts w:eastAsia="Times New Roman" w:cs="Arial"/>
                <w:sz w:val="20"/>
                <w:szCs w:val="20"/>
                <w:lang w:eastAsia="en-GB"/>
              </w:rPr>
            </w:pPr>
            <w:r w:rsidRPr="004557A8">
              <w:rPr>
                <w:rFonts w:eastAsia="Times New Roman" w:cs="Arial"/>
                <w:sz w:val="20"/>
                <w:szCs w:val="20"/>
                <w:lang w:eastAsia="en-GB"/>
              </w:rPr>
              <w:t>Significance*</w:t>
            </w:r>
          </w:p>
        </w:tc>
        <w:tc>
          <w:tcPr>
            <w:tcW w:w="1297" w:type="pct"/>
            <w:shd w:val="clear" w:color="auto" w:fill="FF0000"/>
            <w:noWrap/>
            <w:vAlign w:val="center"/>
            <w:hideMark/>
          </w:tcPr>
          <w:p w:rsidR="00C05EB1" w:rsidRPr="00582F7C" w:rsidRDefault="00C05EB1" w:rsidP="00582F7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FFFF" w:themeColor="background1"/>
                <w:sz w:val="20"/>
                <w:szCs w:val="20"/>
                <w:lang w:eastAsia="en-GB"/>
              </w:rPr>
            </w:pPr>
            <w:r w:rsidRPr="00582F7C">
              <w:rPr>
                <w:rFonts w:eastAsia="Times New Roman" w:cs="Arial"/>
                <w:color w:val="FFFFFF" w:themeColor="background1"/>
                <w:sz w:val="20"/>
                <w:szCs w:val="20"/>
                <w:lang w:eastAsia="en-GB"/>
              </w:rPr>
              <w:t>Worse</w:t>
            </w:r>
          </w:p>
        </w:tc>
        <w:tc>
          <w:tcPr>
            <w:tcW w:w="1265" w:type="pct"/>
            <w:shd w:val="clear" w:color="auto" w:fill="FF0000"/>
            <w:noWrap/>
            <w:vAlign w:val="center"/>
            <w:hideMark/>
          </w:tcPr>
          <w:p w:rsidR="00C05EB1" w:rsidRPr="00582F7C" w:rsidRDefault="00C05EB1" w:rsidP="00582F7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FFFF" w:themeColor="background1"/>
                <w:sz w:val="20"/>
                <w:szCs w:val="20"/>
                <w:lang w:eastAsia="en-GB"/>
              </w:rPr>
            </w:pPr>
            <w:r w:rsidRPr="00582F7C">
              <w:rPr>
                <w:rFonts w:eastAsia="Times New Roman" w:cs="Arial"/>
                <w:color w:val="FFFFFF" w:themeColor="background1"/>
                <w:sz w:val="20"/>
                <w:szCs w:val="20"/>
                <w:lang w:eastAsia="en-GB"/>
              </w:rPr>
              <w:t>Worse</w:t>
            </w:r>
          </w:p>
        </w:tc>
      </w:tr>
      <w:tr w:rsidR="00C05EB1" w:rsidRPr="004557A8" w:rsidTr="00582F7C">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2438" w:type="pct"/>
          </w:tcPr>
          <w:p w:rsidR="00C05EB1" w:rsidRPr="004557A8" w:rsidRDefault="00C05EB1" w:rsidP="00B35DA2">
            <w:pPr>
              <w:rPr>
                <w:rFonts w:eastAsia="Times New Roman" w:cs="Arial"/>
                <w:sz w:val="20"/>
                <w:szCs w:val="20"/>
                <w:lang w:eastAsia="en-GB"/>
              </w:rPr>
            </w:pPr>
            <w:r>
              <w:rPr>
                <w:rFonts w:eastAsia="Times New Roman" w:cs="Arial"/>
                <w:sz w:val="20"/>
                <w:szCs w:val="20"/>
                <w:lang w:eastAsia="en-GB"/>
              </w:rPr>
              <w:t>4 most similar CCGs</w:t>
            </w:r>
          </w:p>
        </w:tc>
        <w:tc>
          <w:tcPr>
            <w:tcW w:w="1297" w:type="pct"/>
            <w:noWrap/>
            <w:vAlign w:val="center"/>
          </w:tcPr>
          <w:p w:rsidR="00C05EB1" w:rsidRPr="004557A8" w:rsidRDefault="00C05EB1" w:rsidP="00582F7C">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Pr>
                <w:rFonts w:eastAsia="Times New Roman" w:cs="Arial"/>
                <w:sz w:val="20"/>
                <w:szCs w:val="20"/>
                <w:lang w:eastAsia="en-GB"/>
              </w:rPr>
              <w:t>110.2</w:t>
            </w:r>
          </w:p>
        </w:tc>
        <w:tc>
          <w:tcPr>
            <w:tcW w:w="1265" w:type="pct"/>
            <w:noWrap/>
            <w:vAlign w:val="center"/>
          </w:tcPr>
          <w:p w:rsidR="00C05EB1" w:rsidRPr="004557A8" w:rsidRDefault="00C05EB1" w:rsidP="00582F7C">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Pr>
                <w:rFonts w:eastAsia="Times New Roman" w:cs="Arial"/>
                <w:sz w:val="20"/>
                <w:szCs w:val="20"/>
                <w:lang w:eastAsia="en-GB"/>
              </w:rPr>
              <w:t>216.5</w:t>
            </w:r>
          </w:p>
        </w:tc>
      </w:tr>
      <w:tr w:rsidR="00C05EB1" w:rsidRPr="004557A8" w:rsidTr="00814E24">
        <w:trPr>
          <w:trHeight w:val="589"/>
        </w:trPr>
        <w:tc>
          <w:tcPr>
            <w:cnfStyle w:val="001000000000" w:firstRow="0" w:lastRow="0" w:firstColumn="1" w:lastColumn="0" w:oddVBand="0" w:evenVBand="0" w:oddHBand="0" w:evenHBand="0" w:firstRowFirstColumn="0" w:firstRowLastColumn="0" w:lastRowFirstColumn="0" w:lastRowLastColumn="0"/>
            <w:tcW w:w="2438" w:type="pct"/>
          </w:tcPr>
          <w:p w:rsidR="00C05EB1" w:rsidRPr="004557A8" w:rsidRDefault="00C05EB1" w:rsidP="00B35DA2">
            <w:pPr>
              <w:rPr>
                <w:rFonts w:eastAsia="Times New Roman" w:cs="Arial"/>
                <w:sz w:val="20"/>
                <w:szCs w:val="20"/>
                <w:lang w:eastAsia="en-GB"/>
              </w:rPr>
            </w:pPr>
            <w:r>
              <w:rPr>
                <w:rFonts w:eastAsia="Times New Roman" w:cs="Arial"/>
                <w:sz w:val="20"/>
                <w:szCs w:val="20"/>
                <w:lang w:eastAsia="en-GB"/>
              </w:rPr>
              <w:t>Significance**</w:t>
            </w:r>
          </w:p>
        </w:tc>
        <w:tc>
          <w:tcPr>
            <w:tcW w:w="1297" w:type="pct"/>
            <w:shd w:val="clear" w:color="auto" w:fill="FF0000"/>
            <w:noWrap/>
            <w:vAlign w:val="center"/>
          </w:tcPr>
          <w:p w:rsidR="00C05EB1" w:rsidRPr="00582F7C" w:rsidRDefault="00C05EB1" w:rsidP="00582F7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FFFF" w:themeColor="background1"/>
                <w:sz w:val="20"/>
                <w:szCs w:val="20"/>
                <w:lang w:eastAsia="en-GB"/>
              </w:rPr>
            </w:pPr>
            <w:r w:rsidRPr="00582F7C">
              <w:rPr>
                <w:rFonts w:eastAsia="Times New Roman" w:cs="Arial"/>
                <w:color w:val="FFFFFF" w:themeColor="background1"/>
                <w:sz w:val="20"/>
                <w:szCs w:val="20"/>
                <w:lang w:eastAsia="en-GB"/>
              </w:rPr>
              <w:t>Worse</w:t>
            </w:r>
          </w:p>
        </w:tc>
        <w:tc>
          <w:tcPr>
            <w:tcW w:w="1265" w:type="pct"/>
            <w:shd w:val="clear" w:color="auto" w:fill="FF0000"/>
            <w:noWrap/>
            <w:vAlign w:val="center"/>
          </w:tcPr>
          <w:p w:rsidR="00C05EB1" w:rsidRPr="00582F7C" w:rsidRDefault="00C05EB1" w:rsidP="00582F7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FFFF" w:themeColor="background1"/>
                <w:sz w:val="20"/>
                <w:szCs w:val="20"/>
                <w:lang w:eastAsia="en-GB"/>
              </w:rPr>
            </w:pPr>
            <w:r w:rsidRPr="00582F7C">
              <w:rPr>
                <w:rFonts w:eastAsia="Times New Roman" w:cs="Arial"/>
                <w:color w:val="FFFFFF" w:themeColor="background1"/>
                <w:sz w:val="20"/>
                <w:szCs w:val="20"/>
                <w:lang w:eastAsia="en-GB"/>
              </w:rPr>
              <w:t>Worse</w:t>
            </w:r>
          </w:p>
        </w:tc>
      </w:tr>
      <w:tr w:rsidR="00C05EB1" w:rsidRPr="004557A8" w:rsidTr="00582F7C">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2438" w:type="pct"/>
            <w:hideMark/>
          </w:tcPr>
          <w:p w:rsidR="00C05EB1" w:rsidRPr="004557A8" w:rsidRDefault="00C05EB1" w:rsidP="00B35DA2">
            <w:pPr>
              <w:rPr>
                <w:rFonts w:eastAsia="Times New Roman" w:cs="Arial"/>
                <w:sz w:val="20"/>
                <w:szCs w:val="20"/>
                <w:lang w:eastAsia="en-GB"/>
              </w:rPr>
            </w:pPr>
            <w:r w:rsidRPr="004557A8">
              <w:rPr>
                <w:rFonts w:eastAsia="Times New Roman" w:cs="Arial"/>
                <w:sz w:val="20"/>
                <w:szCs w:val="20"/>
                <w:lang w:eastAsia="en-GB"/>
              </w:rPr>
              <w:t xml:space="preserve">Rank (of 221 CCGs) </w:t>
            </w:r>
            <w:r w:rsidRPr="004557A8">
              <w:rPr>
                <w:rFonts w:eastAsia="Times New Roman" w:cs="Arial"/>
                <w:sz w:val="20"/>
                <w:szCs w:val="20"/>
                <w:lang w:eastAsia="en-GB"/>
              </w:rPr>
              <w:br/>
              <w:t>1 indicates 'best'</w:t>
            </w:r>
          </w:p>
        </w:tc>
        <w:tc>
          <w:tcPr>
            <w:tcW w:w="1297" w:type="pct"/>
            <w:noWrap/>
            <w:vAlign w:val="center"/>
            <w:hideMark/>
          </w:tcPr>
          <w:p w:rsidR="00C05EB1" w:rsidRPr="004557A8" w:rsidRDefault="00C05EB1" w:rsidP="00582F7C">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Pr>
                <w:rFonts w:eastAsia="Times New Roman" w:cs="Arial"/>
                <w:sz w:val="20"/>
                <w:szCs w:val="20"/>
                <w:lang w:eastAsia="en-GB"/>
              </w:rPr>
              <w:t>169</w:t>
            </w:r>
          </w:p>
        </w:tc>
        <w:tc>
          <w:tcPr>
            <w:tcW w:w="1265" w:type="pct"/>
            <w:noWrap/>
            <w:vAlign w:val="center"/>
            <w:hideMark/>
          </w:tcPr>
          <w:p w:rsidR="00C05EB1" w:rsidRPr="004557A8" w:rsidRDefault="00582F7C" w:rsidP="00582F7C">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Pr>
                <w:rFonts w:eastAsia="Times New Roman" w:cs="Arial"/>
                <w:sz w:val="20"/>
                <w:szCs w:val="20"/>
                <w:lang w:eastAsia="en-GB"/>
              </w:rPr>
              <w:t>-</w:t>
            </w:r>
          </w:p>
        </w:tc>
      </w:tr>
    </w:tbl>
    <w:p w:rsidR="00E44135" w:rsidRDefault="009A0D95" w:rsidP="009A0D95">
      <w:pPr>
        <w:pStyle w:val="Caption"/>
        <w:rPr>
          <w:rFonts w:cs="Arial"/>
          <w:szCs w:val="20"/>
        </w:rPr>
      </w:pPr>
      <w:r>
        <w:t xml:space="preserve">Figure </w:t>
      </w:r>
      <w:r w:rsidR="00156E8B">
        <w:fldChar w:fldCharType="begin"/>
      </w:r>
      <w:r w:rsidR="00156E8B">
        <w:instrText xml:space="preserve"> SEQ Figure \* ARABIC </w:instrText>
      </w:r>
      <w:r w:rsidR="00156E8B">
        <w:fldChar w:fldCharType="separate"/>
      </w:r>
      <w:r w:rsidR="005C553C">
        <w:rPr>
          <w:noProof/>
        </w:rPr>
        <w:t>14</w:t>
      </w:r>
      <w:r w:rsidR="00156E8B">
        <w:rPr>
          <w:noProof/>
        </w:rPr>
        <w:fldChar w:fldCharType="end"/>
      </w:r>
      <w:r>
        <w:t xml:space="preserve"> Emergency paediatric admissions</w:t>
      </w:r>
    </w:p>
    <w:p w:rsidR="00BB69A9" w:rsidRPr="004A436D" w:rsidRDefault="00824002" w:rsidP="00824002">
      <w:pPr>
        <w:rPr>
          <w:rFonts w:eastAsia="Times New Roman" w:cs="Arial"/>
          <w:szCs w:val="20"/>
          <w:lang w:eastAsia="en-GB"/>
        </w:rPr>
      </w:pPr>
      <w:r w:rsidRPr="00993175">
        <w:rPr>
          <w:szCs w:val="24"/>
        </w:rPr>
        <w:t>Asthma UK estimates that 75% of hospital admissions for children with asthma are preventable</w:t>
      </w:r>
      <w:r>
        <w:rPr>
          <w:szCs w:val="24"/>
        </w:rPr>
        <w:t xml:space="preserve">: </w:t>
      </w:r>
      <w:r w:rsidR="00BB69A9">
        <w:rPr>
          <w:rFonts w:eastAsia="Times New Roman" w:cs="Arial"/>
          <w:szCs w:val="20"/>
          <w:lang w:eastAsia="en-GB"/>
        </w:rPr>
        <w:t xml:space="preserve">Figure </w:t>
      </w:r>
      <w:r w:rsidR="009A0D95">
        <w:rPr>
          <w:rFonts w:eastAsia="Times New Roman" w:cs="Arial"/>
          <w:szCs w:val="20"/>
          <w:lang w:eastAsia="en-GB"/>
        </w:rPr>
        <w:t>15</w:t>
      </w:r>
      <w:r>
        <w:rPr>
          <w:rFonts w:eastAsia="Times New Roman" w:cs="Arial"/>
          <w:szCs w:val="20"/>
          <w:lang w:eastAsia="en-GB"/>
        </w:rPr>
        <w:t xml:space="preserve"> shows projected p</w:t>
      </w:r>
      <w:r w:rsidR="00BB69A9" w:rsidRPr="00714739">
        <w:rPr>
          <w:rFonts w:eastAsia="Times New Roman" w:cs="Arial"/>
          <w:szCs w:val="20"/>
          <w:lang w:eastAsia="en-GB"/>
        </w:rPr>
        <w:t xml:space="preserve">otential cost savings </w:t>
      </w:r>
      <w:r>
        <w:rPr>
          <w:rFonts w:eastAsia="Times New Roman" w:cs="Arial"/>
          <w:szCs w:val="20"/>
          <w:lang w:eastAsia="en-GB"/>
        </w:rPr>
        <w:t>which could be achieved through reduced admissions,</w:t>
      </w:r>
      <w:r w:rsidR="00BB69A9" w:rsidRPr="00714739">
        <w:rPr>
          <w:rFonts w:eastAsia="Times New Roman" w:cs="Arial"/>
          <w:szCs w:val="20"/>
          <w:lang w:eastAsia="en-GB"/>
        </w:rPr>
        <w:t xml:space="preserve"> based on </w:t>
      </w:r>
      <w:r w:rsidR="00BB69A9">
        <w:rPr>
          <w:rFonts w:eastAsia="Times New Roman" w:cs="Arial"/>
          <w:szCs w:val="20"/>
          <w:lang w:eastAsia="en-GB"/>
        </w:rPr>
        <w:t>2013/14</w:t>
      </w:r>
      <w:r w:rsidR="00BB69A9" w:rsidRPr="00714739">
        <w:rPr>
          <w:rFonts w:eastAsia="Times New Roman" w:cs="Arial"/>
          <w:szCs w:val="20"/>
          <w:lang w:eastAsia="en-GB"/>
        </w:rPr>
        <w:t xml:space="preserve"> data and costs</w:t>
      </w:r>
      <w:r>
        <w:rPr>
          <w:rStyle w:val="FootnoteReference"/>
          <w:rFonts w:eastAsia="Times New Roman" w:cs="Arial"/>
          <w:szCs w:val="20"/>
          <w:lang w:eastAsia="en-GB"/>
        </w:rPr>
        <w:footnoteReference w:id="33"/>
      </w:r>
      <w:r>
        <w:rPr>
          <w:rFonts w:eastAsia="Times New Roman" w:cs="Arial"/>
          <w:szCs w:val="20"/>
          <w:lang w:eastAsia="en-GB"/>
        </w:rPr>
        <w:t xml:space="preserve">.  </w:t>
      </w:r>
      <w:r w:rsidR="00BB69A9" w:rsidRPr="004A436D">
        <w:rPr>
          <w:rFonts w:eastAsia="Times New Roman" w:cs="Arial"/>
          <w:szCs w:val="20"/>
          <w:lang w:eastAsia="en-GB"/>
        </w:rPr>
        <w:t xml:space="preserve">The cost per admission is the tariff for non-elective spells. </w:t>
      </w:r>
      <w:r>
        <w:rPr>
          <w:rFonts w:eastAsia="Times New Roman" w:cs="Arial"/>
          <w:szCs w:val="20"/>
          <w:lang w:eastAsia="en-GB"/>
        </w:rPr>
        <w:t>(</w:t>
      </w:r>
      <w:r w:rsidR="00BB69A9" w:rsidRPr="004A436D">
        <w:rPr>
          <w:rFonts w:eastAsia="Times New Roman" w:cs="Arial"/>
          <w:szCs w:val="20"/>
          <w:lang w:eastAsia="en-GB"/>
        </w:rPr>
        <w:t>Cost savings should be considered an approximate guide rather than a specific amount</w:t>
      </w:r>
      <w:r>
        <w:rPr>
          <w:rFonts w:eastAsia="Times New Roman" w:cs="Arial"/>
          <w:szCs w:val="20"/>
          <w:lang w:eastAsia="en-GB"/>
        </w:rPr>
        <w:t>)</w:t>
      </w:r>
      <w:r w:rsidR="00BB69A9" w:rsidRPr="004A436D">
        <w:rPr>
          <w:rFonts w:eastAsia="Times New Roman" w:cs="Arial"/>
          <w:szCs w:val="20"/>
          <w:lang w:eastAsia="en-GB"/>
        </w:rPr>
        <w:t>.</w:t>
      </w:r>
    </w:p>
    <w:p w:rsidR="00BB69A9" w:rsidRDefault="00BB69A9" w:rsidP="00C80125">
      <w:pPr>
        <w:contextualSpacing/>
        <w:rPr>
          <w:rFonts w:cs="Arial"/>
          <w:szCs w:val="20"/>
        </w:rPr>
      </w:pPr>
    </w:p>
    <w:p w:rsidR="00C05EB1" w:rsidRDefault="00C05EB1" w:rsidP="00C80125">
      <w:pPr>
        <w:contextualSpacing/>
        <w:rPr>
          <w:rFonts w:cs="Arial"/>
          <w:szCs w:val="20"/>
        </w:rPr>
      </w:pPr>
    </w:p>
    <w:tbl>
      <w:tblPr>
        <w:tblStyle w:val="LightList-Accent1"/>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942"/>
        <w:gridCol w:w="1701"/>
        <w:gridCol w:w="1562"/>
        <w:gridCol w:w="1558"/>
        <w:gridCol w:w="1479"/>
      </w:tblGrid>
      <w:tr w:rsidR="00527520" w:rsidRPr="002C4E34" w:rsidTr="002C4E34">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92" w:type="pct"/>
            <w:tcBorders>
              <w:bottom w:val="single" w:sz="8" w:space="0" w:color="4F81BD" w:themeColor="accent1"/>
              <w:right w:val="single" w:sz="8" w:space="0" w:color="4F81BD" w:themeColor="accent1"/>
            </w:tcBorders>
            <w:shd w:val="clear" w:color="auto" w:fill="auto"/>
            <w:noWrap/>
            <w:hideMark/>
          </w:tcPr>
          <w:p w:rsidR="00BB69A9" w:rsidRPr="002C4E34" w:rsidRDefault="00BB69A9" w:rsidP="00BB69A9">
            <w:pPr>
              <w:jc w:val="center"/>
              <w:rPr>
                <w:rFonts w:eastAsia="Times New Roman" w:cs="Arial"/>
                <w:sz w:val="20"/>
                <w:szCs w:val="20"/>
                <w:lang w:eastAsia="en-GB"/>
              </w:rPr>
            </w:pPr>
          </w:p>
        </w:tc>
        <w:tc>
          <w:tcPr>
            <w:tcW w:w="920"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hideMark/>
          </w:tcPr>
          <w:p w:rsidR="00BB69A9" w:rsidRPr="002C4E34" w:rsidRDefault="00BB69A9" w:rsidP="00B35DA2">
            <w:pPr>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z w:val="20"/>
                <w:szCs w:val="20"/>
                <w:lang w:eastAsia="en-GB"/>
              </w:rPr>
            </w:pPr>
            <w:r w:rsidRPr="002C4E34">
              <w:rPr>
                <w:rFonts w:eastAsia="Times New Roman" w:cs="Arial"/>
                <w:bCs w:val="0"/>
                <w:sz w:val="20"/>
                <w:szCs w:val="20"/>
                <w:lang w:eastAsia="en-GB"/>
              </w:rPr>
              <w:t>Medway</w:t>
            </w:r>
          </w:p>
        </w:tc>
        <w:tc>
          <w:tcPr>
            <w:tcW w:w="845"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hideMark/>
          </w:tcPr>
          <w:p w:rsidR="00BB69A9" w:rsidRPr="002C4E34" w:rsidRDefault="00BB69A9" w:rsidP="00B35DA2">
            <w:pPr>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z w:val="20"/>
                <w:szCs w:val="20"/>
                <w:lang w:eastAsia="en-GB"/>
              </w:rPr>
            </w:pPr>
            <w:r w:rsidRPr="002C4E34">
              <w:rPr>
                <w:rFonts w:eastAsia="Times New Roman" w:cs="Arial"/>
                <w:bCs w:val="0"/>
                <w:sz w:val="20"/>
                <w:szCs w:val="20"/>
                <w:lang w:eastAsia="en-GB"/>
              </w:rPr>
              <w:t>England</w:t>
            </w:r>
          </w:p>
        </w:tc>
        <w:tc>
          <w:tcPr>
            <w:tcW w:w="84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hideMark/>
          </w:tcPr>
          <w:p w:rsidR="00BB69A9" w:rsidRPr="002C4E34" w:rsidRDefault="00BB69A9" w:rsidP="00B35DA2">
            <w:pPr>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z w:val="20"/>
                <w:szCs w:val="20"/>
                <w:lang w:eastAsia="en-GB"/>
              </w:rPr>
            </w:pPr>
            <w:r w:rsidRPr="002C4E34">
              <w:rPr>
                <w:rFonts w:eastAsia="Times New Roman" w:cs="Arial"/>
                <w:bCs w:val="0"/>
                <w:sz w:val="20"/>
                <w:szCs w:val="20"/>
                <w:lang w:eastAsia="en-GB"/>
              </w:rPr>
              <w:t xml:space="preserve">The best </w:t>
            </w:r>
            <w:r w:rsidRPr="002C4E34">
              <w:rPr>
                <w:rFonts w:eastAsia="Times New Roman" w:cs="Arial"/>
                <w:bCs w:val="0"/>
                <w:sz w:val="20"/>
                <w:szCs w:val="20"/>
                <w:lang w:eastAsia="en-GB"/>
              </w:rPr>
              <w:lastRenderedPageBreak/>
              <w:t>performing 25%</w:t>
            </w:r>
          </w:p>
        </w:tc>
        <w:tc>
          <w:tcPr>
            <w:tcW w:w="800"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hideMark/>
          </w:tcPr>
          <w:p w:rsidR="00BB69A9" w:rsidRPr="002C4E34" w:rsidRDefault="00BB69A9" w:rsidP="00B35DA2">
            <w:pPr>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z w:val="20"/>
                <w:szCs w:val="20"/>
                <w:lang w:eastAsia="en-GB"/>
              </w:rPr>
            </w:pPr>
            <w:r w:rsidRPr="002C4E34">
              <w:rPr>
                <w:rFonts w:eastAsia="Times New Roman" w:cs="Arial"/>
                <w:bCs w:val="0"/>
                <w:sz w:val="20"/>
                <w:szCs w:val="20"/>
                <w:lang w:eastAsia="en-GB"/>
              </w:rPr>
              <w:lastRenderedPageBreak/>
              <w:t xml:space="preserve">The best </w:t>
            </w:r>
            <w:r w:rsidRPr="002C4E34">
              <w:rPr>
                <w:rFonts w:eastAsia="Times New Roman" w:cs="Arial"/>
                <w:bCs w:val="0"/>
                <w:sz w:val="20"/>
                <w:szCs w:val="20"/>
                <w:lang w:eastAsia="en-GB"/>
              </w:rPr>
              <w:lastRenderedPageBreak/>
              <w:t>performing 5%</w:t>
            </w:r>
          </w:p>
        </w:tc>
      </w:tr>
      <w:tr w:rsidR="00BB69A9" w:rsidRPr="00DB639D" w:rsidTr="002C4E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2" w:type="pct"/>
            <w:tcBorders>
              <w:right w:val="single" w:sz="8" w:space="0" w:color="4F81BD" w:themeColor="accent1"/>
            </w:tcBorders>
            <w:noWrap/>
            <w:hideMark/>
          </w:tcPr>
          <w:p w:rsidR="00BB69A9" w:rsidRPr="00DB639D" w:rsidRDefault="00737D7A" w:rsidP="00737D7A">
            <w:pPr>
              <w:rPr>
                <w:rFonts w:eastAsia="Times New Roman" w:cs="Arial"/>
                <w:sz w:val="20"/>
                <w:szCs w:val="20"/>
                <w:lang w:eastAsia="en-GB"/>
              </w:rPr>
            </w:pPr>
            <w:r>
              <w:rPr>
                <w:rFonts w:eastAsia="Times New Roman" w:cs="Arial"/>
                <w:sz w:val="20"/>
                <w:szCs w:val="20"/>
                <w:lang w:eastAsia="en-GB"/>
              </w:rPr>
              <w:lastRenderedPageBreak/>
              <w:t>Asthma a</w:t>
            </w:r>
            <w:r w:rsidR="00BB69A9" w:rsidRPr="00DB639D">
              <w:rPr>
                <w:rFonts w:eastAsia="Times New Roman" w:cs="Arial"/>
                <w:sz w:val="20"/>
                <w:szCs w:val="20"/>
                <w:lang w:eastAsia="en-GB"/>
              </w:rPr>
              <w:t>dmissions per 100,000 population aged 0-18</w:t>
            </w:r>
          </w:p>
        </w:tc>
        <w:tc>
          <w:tcPr>
            <w:tcW w:w="920" w:type="pct"/>
            <w:tcBorders>
              <w:left w:val="single" w:sz="8" w:space="0" w:color="4F81BD" w:themeColor="accent1"/>
              <w:right w:val="single" w:sz="8" w:space="0" w:color="4F81BD" w:themeColor="accent1"/>
            </w:tcBorders>
            <w:noWrap/>
            <w:hideMark/>
          </w:tcPr>
          <w:p w:rsidR="00BB69A9" w:rsidRPr="00DB639D" w:rsidRDefault="00BB69A9" w:rsidP="00B35DA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sidRPr="00DB639D">
              <w:rPr>
                <w:rFonts w:eastAsia="Times New Roman" w:cs="Arial"/>
                <w:sz w:val="20"/>
                <w:szCs w:val="20"/>
                <w:lang w:eastAsia="en-GB"/>
              </w:rPr>
              <w:t>258.4</w:t>
            </w:r>
          </w:p>
        </w:tc>
        <w:tc>
          <w:tcPr>
            <w:tcW w:w="845" w:type="pct"/>
            <w:tcBorders>
              <w:left w:val="single" w:sz="8" w:space="0" w:color="4F81BD" w:themeColor="accent1"/>
              <w:right w:val="single" w:sz="8" w:space="0" w:color="4F81BD" w:themeColor="accent1"/>
            </w:tcBorders>
            <w:noWrap/>
            <w:hideMark/>
          </w:tcPr>
          <w:p w:rsidR="00BB69A9" w:rsidRPr="00DB639D" w:rsidRDefault="00BB69A9" w:rsidP="00B35DA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sidRPr="00DB639D">
              <w:rPr>
                <w:rFonts w:eastAsia="Times New Roman" w:cs="Arial"/>
                <w:sz w:val="20"/>
                <w:szCs w:val="20"/>
                <w:lang w:eastAsia="en-GB"/>
              </w:rPr>
              <w:t>197.5</w:t>
            </w:r>
          </w:p>
        </w:tc>
        <w:tc>
          <w:tcPr>
            <w:tcW w:w="843" w:type="pct"/>
            <w:tcBorders>
              <w:left w:val="single" w:sz="8" w:space="0" w:color="4F81BD" w:themeColor="accent1"/>
              <w:right w:val="single" w:sz="8" w:space="0" w:color="4F81BD" w:themeColor="accent1"/>
            </w:tcBorders>
            <w:noWrap/>
            <w:hideMark/>
          </w:tcPr>
          <w:p w:rsidR="00BB69A9" w:rsidRPr="00DB639D" w:rsidRDefault="00BB69A9" w:rsidP="00B35DA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sidRPr="00DB639D">
              <w:rPr>
                <w:rFonts w:eastAsia="Times New Roman" w:cs="Arial"/>
                <w:sz w:val="20"/>
                <w:szCs w:val="20"/>
                <w:lang w:eastAsia="en-GB"/>
              </w:rPr>
              <w:t>108.5</w:t>
            </w:r>
          </w:p>
        </w:tc>
        <w:tc>
          <w:tcPr>
            <w:tcW w:w="800" w:type="pct"/>
            <w:tcBorders>
              <w:left w:val="single" w:sz="8" w:space="0" w:color="4F81BD" w:themeColor="accent1"/>
            </w:tcBorders>
            <w:noWrap/>
            <w:hideMark/>
          </w:tcPr>
          <w:p w:rsidR="00BB69A9" w:rsidRPr="00DB639D" w:rsidRDefault="00BB69A9" w:rsidP="00B35DA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sidRPr="00DB639D">
              <w:rPr>
                <w:rFonts w:eastAsia="Times New Roman" w:cs="Arial"/>
                <w:sz w:val="20"/>
                <w:szCs w:val="20"/>
                <w:lang w:eastAsia="en-GB"/>
              </w:rPr>
              <w:t>75.0</w:t>
            </w:r>
          </w:p>
        </w:tc>
      </w:tr>
      <w:tr w:rsidR="00BB69A9" w:rsidRPr="00DB639D" w:rsidTr="002C4E34">
        <w:trPr>
          <w:trHeight w:val="300"/>
        </w:trPr>
        <w:tc>
          <w:tcPr>
            <w:cnfStyle w:val="001000000000" w:firstRow="0" w:lastRow="0" w:firstColumn="1" w:lastColumn="0" w:oddVBand="0" w:evenVBand="0" w:oddHBand="0" w:evenHBand="0" w:firstRowFirstColumn="0" w:firstRowLastColumn="0" w:lastRowFirstColumn="0" w:lastRowLastColumn="0"/>
            <w:tcW w:w="159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noWrap/>
            <w:hideMark/>
          </w:tcPr>
          <w:p w:rsidR="00BB69A9" w:rsidRPr="00DB639D" w:rsidRDefault="00BB69A9" w:rsidP="00B35DA2">
            <w:pPr>
              <w:rPr>
                <w:rFonts w:eastAsia="Times New Roman" w:cs="Arial"/>
                <w:sz w:val="20"/>
                <w:szCs w:val="20"/>
                <w:lang w:eastAsia="en-GB"/>
              </w:rPr>
            </w:pPr>
            <w:r w:rsidRPr="00DB639D">
              <w:rPr>
                <w:rFonts w:eastAsia="Times New Roman" w:cs="Arial"/>
                <w:sz w:val="20"/>
                <w:szCs w:val="20"/>
                <w:lang w:eastAsia="en-GB"/>
              </w:rPr>
              <w:t>Cost per admission</w:t>
            </w:r>
          </w:p>
        </w:tc>
        <w:tc>
          <w:tcPr>
            <w:tcW w:w="920"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noWrap/>
            <w:hideMark/>
          </w:tcPr>
          <w:p w:rsidR="00BB69A9" w:rsidRPr="00DB639D" w:rsidRDefault="00BB69A9" w:rsidP="00B35DA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DB639D">
              <w:rPr>
                <w:rFonts w:eastAsia="Times New Roman" w:cs="Arial"/>
                <w:sz w:val="20"/>
                <w:szCs w:val="20"/>
                <w:lang w:eastAsia="en-GB"/>
              </w:rPr>
              <w:t>£661</w:t>
            </w:r>
          </w:p>
        </w:tc>
        <w:tc>
          <w:tcPr>
            <w:tcW w:w="845"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noWrap/>
            <w:hideMark/>
          </w:tcPr>
          <w:p w:rsidR="00BB69A9" w:rsidRPr="00DB639D" w:rsidRDefault="00BB69A9" w:rsidP="00B35DA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DB639D">
              <w:rPr>
                <w:rFonts w:eastAsia="Times New Roman" w:cs="Arial"/>
                <w:sz w:val="20"/>
                <w:szCs w:val="20"/>
                <w:lang w:eastAsia="en-GB"/>
              </w:rPr>
              <w:t>£661</w:t>
            </w:r>
          </w:p>
        </w:tc>
        <w:tc>
          <w:tcPr>
            <w:tcW w:w="84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noWrap/>
            <w:hideMark/>
          </w:tcPr>
          <w:p w:rsidR="00BB69A9" w:rsidRPr="00DB639D" w:rsidRDefault="00BB69A9" w:rsidP="00B35DA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DB639D">
              <w:rPr>
                <w:rFonts w:eastAsia="Times New Roman" w:cs="Arial"/>
                <w:sz w:val="20"/>
                <w:szCs w:val="20"/>
                <w:lang w:eastAsia="en-GB"/>
              </w:rPr>
              <w:t>£661</w:t>
            </w:r>
          </w:p>
        </w:tc>
        <w:tc>
          <w:tcPr>
            <w:tcW w:w="800"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noWrap/>
            <w:hideMark/>
          </w:tcPr>
          <w:p w:rsidR="00BB69A9" w:rsidRPr="00DB639D" w:rsidRDefault="00BB69A9" w:rsidP="00B35DA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DB639D">
              <w:rPr>
                <w:rFonts w:eastAsia="Times New Roman" w:cs="Arial"/>
                <w:sz w:val="20"/>
                <w:szCs w:val="20"/>
                <w:lang w:eastAsia="en-GB"/>
              </w:rPr>
              <w:t>£661</w:t>
            </w:r>
          </w:p>
        </w:tc>
      </w:tr>
      <w:tr w:rsidR="00BB69A9" w:rsidRPr="00DB639D" w:rsidTr="002C4E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2" w:type="pct"/>
            <w:tcBorders>
              <w:right w:val="single" w:sz="8" w:space="0" w:color="4F81BD" w:themeColor="accent1"/>
            </w:tcBorders>
            <w:noWrap/>
            <w:hideMark/>
          </w:tcPr>
          <w:p w:rsidR="00BB69A9" w:rsidRPr="00DB639D" w:rsidRDefault="00BB69A9" w:rsidP="00B35DA2">
            <w:pPr>
              <w:rPr>
                <w:rFonts w:eastAsia="Times New Roman" w:cs="Arial"/>
                <w:sz w:val="20"/>
                <w:szCs w:val="20"/>
                <w:lang w:eastAsia="en-GB"/>
              </w:rPr>
            </w:pPr>
            <w:r w:rsidRPr="00DB639D">
              <w:rPr>
                <w:rFonts w:eastAsia="Times New Roman" w:cs="Arial"/>
                <w:sz w:val="20"/>
                <w:szCs w:val="20"/>
                <w:lang w:eastAsia="en-GB"/>
              </w:rPr>
              <w:t>Total cost per 100,000 population aged 0-18</w:t>
            </w:r>
          </w:p>
        </w:tc>
        <w:tc>
          <w:tcPr>
            <w:tcW w:w="920" w:type="pct"/>
            <w:tcBorders>
              <w:left w:val="single" w:sz="8" w:space="0" w:color="4F81BD" w:themeColor="accent1"/>
              <w:right w:val="single" w:sz="8" w:space="0" w:color="4F81BD" w:themeColor="accent1"/>
            </w:tcBorders>
            <w:noWrap/>
            <w:hideMark/>
          </w:tcPr>
          <w:p w:rsidR="00BB69A9" w:rsidRPr="00DB639D" w:rsidRDefault="00BB69A9" w:rsidP="00B35DA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sidRPr="00DB639D">
              <w:rPr>
                <w:rFonts w:eastAsia="Times New Roman" w:cs="Arial"/>
                <w:sz w:val="20"/>
                <w:szCs w:val="20"/>
                <w:lang w:eastAsia="en-GB"/>
              </w:rPr>
              <w:t>£170,779</w:t>
            </w:r>
          </w:p>
        </w:tc>
        <w:tc>
          <w:tcPr>
            <w:tcW w:w="845" w:type="pct"/>
            <w:tcBorders>
              <w:left w:val="single" w:sz="8" w:space="0" w:color="4F81BD" w:themeColor="accent1"/>
              <w:right w:val="single" w:sz="8" w:space="0" w:color="4F81BD" w:themeColor="accent1"/>
            </w:tcBorders>
            <w:noWrap/>
            <w:hideMark/>
          </w:tcPr>
          <w:p w:rsidR="00BB69A9" w:rsidRPr="00DB639D" w:rsidRDefault="00BB69A9" w:rsidP="00B35DA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sidRPr="00DB639D">
              <w:rPr>
                <w:rFonts w:eastAsia="Times New Roman" w:cs="Arial"/>
                <w:sz w:val="20"/>
                <w:szCs w:val="20"/>
                <w:lang w:eastAsia="en-GB"/>
              </w:rPr>
              <w:t>£130,556</w:t>
            </w:r>
          </w:p>
        </w:tc>
        <w:tc>
          <w:tcPr>
            <w:tcW w:w="843" w:type="pct"/>
            <w:tcBorders>
              <w:left w:val="single" w:sz="8" w:space="0" w:color="4F81BD" w:themeColor="accent1"/>
              <w:right w:val="single" w:sz="8" w:space="0" w:color="4F81BD" w:themeColor="accent1"/>
            </w:tcBorders>
            <w:noWrap/>
            <w:hideMark/>
          </w:tcPr>
          <w:p w:rsidR="00BB69A9" w:rsidRPr="00DB639D" w:rsidRDefault="00BB69A9" w:rsidP="00B35DA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sidRPr="00DB639D">
              <w:rPr>
                <w:rFonts w:eastAsia="Times New Roman" w:cs="Arial"/>
                <w:sz w:val="20"/>
                <w:szCs w:val="20"/>
                <w:lang w:eastAsia="en-GB"/>
              </w:rPr>
              <w:t>£71,728</w:t>
            </w:r>
          </w:p>
        </w:tc>
        <w:tc>
          <w:tcPr>
            <w:tcW w:w="800" w:type="pct"/>
            <w:tcBorders>
              <w:left w:val="single" w:sz="8" w:space="0" w:color="4F81BD" w:themeColor="accent1"/>
            </w:tcBorders>
            <w:noWrap/>
            <w:hideMark/>
          </w:tcPr>
          <w:p w:rsidR="00BB69A9" w:rsidRPr="00DB639D" w:rsidRDefault="00BB69A9" w:rsidP="00B35DA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sidRPr="00DB639D">
              <w:rPr>
                <w:rFonts w:eastAsia="Times New Roman" w:cs="Arial"/>
                <w:sz w:val="20"/>
                <w:szCs w:val="20"/>
                <w:lang w:eastAsia="en-GB"/>
              </w:rPr>
              <w:t>£49,582</w:t>
            </w:r>
          </w:p>
        </w:tc>
      </w:tr>
      <w:tr w:rsidR="00BB69A9" w:rsidRPr="00DB639D" w:rsidTr="002C4E34">
        <w:trPr>
          <w:trHeight w:val="300"/>
        </w:trPr>
        <w:tc>
          <w:tcPr>
            <w:cnfStyle w:val="001000000000" w:firstRow="0" w:lastRow="0" w:firstColumn="1" w:lastColumn="0" w:oddVBand="0" w:evenVBand="0" w:oddHBand="0" w:evenHBand="0" w:firstRowFirstColumn="0" w:firstRowLastColumn="0" w:lastRowFirstColumn="0" w:lastRowLastColumn="0"/>
            <w:tcW w:w="159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noWrap/>
            <w:hideMark/>
          </w:tcPr>
          <w:p w:rsidR="00BB69A9" w:rsidRPr="00DB639D" w:rsidRDefault="00BB69A9" w:rsidP="00B35DA2">
            <w:pPr>
              <w:rPr>
                <w:rFonts w:eastAsia="Times New Roman" w:cs="Arial"/>
                <w:sz w:val="20"/>
                <w:szCs w:val="20"/>
                <w:lang w:eastAsia="en-GB"/>
              </w:rPr>
            </w:pPr>
          </w:p>
        </w:tc>
        <w:tc>
          <w:tcPr>
            <w:tcW w:w="920"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noWrap/>
            <w:hideMark/>
          </w:tcPr>
          <w:p w:rsidR="00BB69A9" w:rsidRPr="00DB639D" w:rsidRDefault="00BB69A9" w:rsidP="00B35DA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p>
        </w:tc>
        <w:tc>
          <w:tcPr>
            <w:tcW w:w="845"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noWrap/>
            <w:hideMark/>
          </w:tcPr>
          <w:p w:rsidR="00BB69A9" w:rsidRPr="00DB639D" w:rsidRDefault="00BB69A9" w:rsidP="00B35DA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p>
        </w:tc>
        <w:tc>
          <w:tcPr>
            <w:tcW w:w="84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noWrap/>
            <w:hideMark/>
          </w:tcPr>
          <w:p w:rsidR="00BB69A9" w:rsidRPr="00DB639D" w:rsidRDefault="00BB69A9" w:rsidP="00B35DA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p>
        </w:tc>
        <w:tc>
          <w:tcPr>
            <w:tcW w:w="800"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noWrap/>
            <w:hideMark/>
          </w:tcPr>
          <w:p w:rsidR="00BB69A9" w:rsidRPr="00DB639D" w:rsidRDefault="00BB69A9" w:rsidP="00B35DA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p>
        </w:tc>
      </w:tr>
      <w:tr w:rsidR="00BB69A9" w:rsidRPr="00DB639D" w:rsidTr="002C4E34">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1592" w:type="pct"/>
            <w:tcBorders>
              <w:right w:val="single" w:sz="8" w:space="0" w:color="4F81BD" w:themeColor="accent1"/>
            </w:tcBorders>
            <w:noWrap/>
            <w:hideMark/>
          </w:tcPr>
          <w:p w:rsidR="00BB69A9" w:rsidRPr="00DB639D" w:rsidRDefault="00BB69A9" w:rsidP="00B35DA2">
            <w:pPr>
              <w:rPr>
                <w:rFonts w:eastAsia="Times New Roman" w:cs="Arial"/>
                <w:b w:val="0"/>
                <w:bCs w:val="0"/>
                <w:sz w:val="20"/>
                <w:szCs w:val="20"/>
                <w:lang w:eastAsia="en-GB"/>
              </w:rPr>
            </w:pPr>
          </w:p>
        </w:tc>
        <w:tc>
          <w:tcPr>
            <w:tcW w:w="920" w:type="pct"/>
            <w:tcBorders>
              <w:left w:val="single" w:sz="8" w:space="0" w:color="4F81BD" w:themeColor="accent1"/>
              <w:right w:val="single" w:sz="8" w:space="0" w:color="4F81BD" w:themeColor="accent1"/>
            </w:tcBorders>
            <w:hideMark/>
          </w:tcPr>
          <w:p w:rsidR="00BB69A9" w:rsidRPr="00DB639D" w:rsidRDefault="00BB69A9" w:rsidP="00B35DA2">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n-GB"/>
              </w:rPr>
            </w:pPr>
          </w:p>
        </w:tc>
        <w:tc>
          <w:tcPr>
            <w:tcW w:w="845" w:type="pct"/>
            <w:tcBorders>
              <w:left w:val="single" w:sz="8" w:space="0" w:color="4F81BD" w:themeColor="accent1"/>
              <w:right w:val="single" w:sz="8" w:space="0" w:color="4F81BD" w:themeColor="accent1"/>
            </w:tcBorders>
            <w:shd w:val="clear" w:color="auto" w:fill="4F81BD"/>
            <w:hideMark/>
          </w:tcPr>
          <w:p w:rsidR="00BB69A9" w:rsidRPr="00582F7C" w:rsidRDefault="00BB69A9" w:rsidP="00527520">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FFFFFF" w:themeColor="background1"/>
                <w:sz w:val="20"/>
                <w:szCs w:val="20"/>
                <w:lang w:eastAsia="en-GB"/>
              </w:rPr>
            </w:pPr>
            <w:r w:rsidRPr="00582F7C">
              <w:rPr>
                <w:rFonts w:eastAsia="Times New Roman" w:cs="Arial"/>
                <w:b/>
                <w:bCs/>
                <w:color w:val="FFFFFF" w:themeColor="background1"/>
                <w:sz w:val="20"/>
                <w:szCs w:val="20"/>
                <w:lang w:eastAsia="en-GB"/>
              </w:rPr>
              <w:t>If Medway’s performance matched England</w:t>
            </w:r>
          </w:p>
        </w:tc>
        <w:tc>
          <w:tcPr>
            <w:tcW w:w="843" w:type="pct"/>
            <w:tcBorders>
              <w:left w:val="single" w:sz="8" w:space="0" w:color="4F81BD" w:themeColor="accent1"/>
              <w:right w:val="single" w:sz="8" w:space="0" w:color="4F81BD" w:themeColor="accent1"/>
            </w:tcBorders>
            <w:shd w:val="clear" w:color="auto" w:fill="4F81BD"/>
            <w:hideMark/>
          </w:tcPr>
          <w:p w:rsidR="00BB69A9" w:rsidRPr="00582F7C" w:rsidRDefault="00BB69A9" w:rsidP="00527520">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FFFFFF" w:themeColor="background1"/>
                <w:sz w:val="20"/>
                <w:szCs w:val="20"/>
                <w:lang w:eastAsia="en-GB"/>
              </w:rPr>
            </w:pPr>
            <w:r w:rsidRPr="00582F7C">
              <w:rPr>
                <w:rFonts w:eastAsia="Times New Roman" w:cs="Arial"/>
                <w:b/>
                <w:bCs/>
                <w:color w:val="FFFFFF" w:themeColor="background1"/>
                <w:sz w:val="20"/>
                <w:szCs w:val="20"/>
                <w:lang w:eastAsia="en-GB"/>
              </w:rPr>
              <w:t>If Medway’s performance matched the best performing 25%</w:t>
            </w:r>
            <w:r w:rsidR="00527520" w:rsidRPr="00582F7C">
              <w:rPr>
                <w:rFonts w:eastAsia="Times New Roman" w:cs="Arial"/>
                <w:b/>
                <w:bCs/>
                <w:color w:val="FFFFFF" w:themeColor="background1"/>
                <w:sz w:val="20"/>
                <w:szCs w:val="20"/>
                <w:lang w:eastAsia="en-GB"/>
              </w:rPr>
              <w:t xml:space="preserve"> of CCGs</w:t>
            </w:r>
          </w:p>
        </w:tc>
        <w:tc>
          <w:tcPr>
            <w:tcW w:w="800" w:type="pct"/>
            <w:tcBorders>
              <w:left w:val="single" w:sz="8" w:space="0" w:color="4F81BD" w:themeColor="accent1"/>
            </w:tcBorders>
            <w:shd w:val="clear" w:color="auto" w:fill="4F81BD"/>
            <w:hideMark/>
          </w:tcPr>
          <w:p w:rsidR="00BB69A9" w:rsidRPr="00582F7C" w:rsidRDefault="00BB69A9" w:rsidP="00527520">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FFFFFF" w:themeColor="background1"/>
                <w:sz w:val="20"/>
                <w:szCs w:val="20"/>
                <w:lang w:eastAsia="en-GB"/>
              </w:rPr>
            </w:pPr>
            <w:r w:rsidRPr="00582F7C">
              <w:rPr>
                <w:rFonts w:eastAsia="Times New Roman" w:cs="Arial"/>
                <w:b/>
                <w:bCs/>
                <w:color w:val="FFFFFF" w:themeColor="background1"/>
                <w:sz w:val="20"/>
                <w:szCs w:val="20"/>
                <w:lang w:eastAsia="en-GB"/>
              </w:rPr>
              <w:t>If Medway’s performance matched the best performing 5%</w:t>
            </w:r>
            <w:r w:rsidR="00527520" w:rsidRPr="00582F7C">
              <w:rPr>
                <w:rFonts w:eastAsia="Times New Roman" w:cs="Arial"/>
                <w:b/>
                <w:bCs/>
                <w:color w:val="FFFFFF" w:themeColor="background1"/>
                <w:sz w:val="20"/>
                <w:szCs w:val="20"/>
                <w:lang w:eastAsia="en-GB"/>
              </w:rPr>
              <w:t xml:space="preserve"> of CCGs</w:t>
            </w:r>
          </w:p>
        </w:tc>
      </w:tr>
      <w:tr w:rsidR="00BB69A9" w:rsidRPr="00DB639D" w:rsidTr="002C4E34">
        <w:trPr>
          <w:trHeight w:val="525"/>
        </w:trPr>
        <w:tc>
          <w:tcPr>
            <w:cnfStyle w:val="001000000000" w:firstRow="0" w:lastRow="0" w:firstColumn="1" w:lastColumn="0" w:oddVBand="0" w:evenVBand="0" w:oddHBand="0" w:evenHBand="0" w:firstRowFirstColumn="0" w:firstRowLastColumn="0" w:lastRowFirstColumn="0" w:lastRowLastColumn="0"/>
            <w:tcW w:w="2512"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noWrap/>
            <w:hideMark/>
          </w:tcPr>
          <w:p w:rsidR="00BB69A9" w:rsidRPr="00F238A7" w:rsidRDefault="00BB69A9" w:rsidP="00B35DA2">
            <w:pPr>
              <w:jc w:val="right"/>
              <w:rPr>
                <w:rFonts w:eastAsia="Times New Roman" w:cs="Arial"/>
                <w:bCs w:val="0"/>
                <w:sz w:val="20"/>
                <w:szCs w:val="20"/>
                <w:lang w:eastAsia="en-GB"/>
              </w:rPr>
            </w:pPr>
            <w:r w:rsidRPr="00F238A7">
              <w:rPr>
                <w:rFonts w:eastAsia="Times New Roman" w:cs="Arial"/>
                <w:bCs w:val="0"/>
                <w:sz w:val="20"/>
                <w:szCs w:val="20"/>
                <w:lang w:eastAsia="en-GB"/>
              </w:rPr>
              <w:t>Potential cost savings per 100,000 population aged 0-18</w:t>
            </w:r>
          </w:p>
        </w:tc>
        <w:tc>
          <w:tcPr>
            <w:tcW w:w="845"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hideMark/>
          </w:tcPr>
          <w:p w:rsidR="00BB69A9" w:rsidRPr="00DB639D" w:rsidRDefault="00BB69A9" w:rsidP="00B35DA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DB639D">
              <w:rPr>
                <w:rFonts w:eastAsia="Times New Roman" w:cs="Arial"/>
                <w:sz w:val="20"/>
                <w:szCs w:val="20"/>
                <w:lang w:eastAsia="en-GB"/>
              </w:rPr>
              <w:t>£40,222</w:t>
            </w:r>
          </w:p>
        </w:tc>
        <w:tc>
          <w:tcPr>
            <w:tcW w:w="84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hideMark/>
          </w:tcPr>
          <w:p w:rsidR="00BB69A9" w:rsidRPr="00DB639D" w:rsidRDefault="00BB69A9" w:rsidP="00B35DA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DB639D">
              <w:rPr>
                <w:rFonts w:eastAsia="Times New Roman" w:cs="Arial"/>
                <w:sz w:val="20"/>
                <w:szCs w:val="20"/>
                <w:lang w:eastAsia="en-GB"/>
              </w:rPr>
              <w:t>£99,050</w:t>
            </w:r>
          </w:p>
        </w:tc>
        <w:tc>
          <w:tcPr>
            <w:tcW w:w="800"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hideMark/>
          </w:tcPr>
          <w:p w:rsidR="00BB69A9" w:rsidRPr="00DB639D" w:rsidRDefault="00BB69A9" w:rsidP="00B35DA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DB639D">
              <w:rPr>
                <w:rFonts w:eastAsia="Times New Roman" w:cs="Arial"/>
                <w:sz w:val="20"/>
                <w:szCs w:val="20"/>
                <w:lang w:eastAsia="en-GB"/>
              </w:rPr>
              <w:t>£121,197</w:t>
            </w:r>
          </w:p>
        </w:tc>
      </w:tr>
      <w:tr w:rsidR="00BB69A9" w:rsidRPr="00DB639D" w:rsidTr="002C4E34">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512" w:type="pct"/>
            <w:gridSpan w:val="2"/>
            <w:tcBorders>
              <w:right w:val="single" w:sz="8" w:space="0" w:color="4F81BD" w:themeColor="accent1"/>
            </w:tcBorders>
            <w:noWrap/>
            <w:hideMark/>
          </w:tcPr>
          <w:p w:rsidR="00BB69A9" w:rsidRPr="00F238A7" w:rsidRDefault="00BB69A9" w:rsidP="00B35DA2">
            <w:pPr>
              <w:jc w:val="right"/>
              <w:rPr>
                <w:rFonts w:eastAsia="Times New Roman" w:cs="Arial"/>
                <w:bCs w:val="0"/>
                <w:sz w:val="20"/>
                <w:szCs w:val="20"/>
                <w:lang w:eastAsia="en-GB"/>
              </w:rPr>
            </w:pPr>
            <w:r w:rsidRPr="00F238A7">
              <w:rPr>
                <w:rFonts w:eastAsia="Times New Roman" w:cs="Arial"/>
                <w:bCs w:val="0"/>
                <w:sz w:val="20"/>
                <w:szCs w:val="20"/>
                <w:lang w:eastAsia="en-GB"/>
              </w:rPr>
              <w:t>Potential total cost savings - total approximate figure</w:t>
            </w:r>
          </w:p>
        </w:tc>
        <w:tc>
          <w:tcPr>
            <w:tcW w:w="845" w:type="pct"/>
            <w:tcBorders>
              <w:left w:val="single" w:sz="8" w:space="0" w:color="4F81BD" w:themeColor="accent1"/>
              <w:right w:val="single" w:sz="8" w:space="0" w:color="4F81BD" w:themeColor="accent1"/>
            </w:tcBorders>
            <w:hideMark/>
          </w:tcPr>
          <w:p w:rsidR="00BB69A9" w:rsidRPr="00DB639D" w:rsidRDefault="00BB69A9" w:rsidP="00B35DA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sidRPr="00DB639D">
              <w:rPr>
                <w:rFonts w:eastAsia="Times New Roman" w:cs="Arial"/>
                <w:sz w:val="20"/>
                <w:szCs w:val="20"/>
                <w:lang w:eastAsia="en-GB"/>
              </w:rPr>
              <w:t>£27,700</w:t>
            </w:r>
          </w:p>
        </w:tc>
        <w:tc>
          <w:tcPr>
            <w:tcW w:w="843" w:type="pct"/>
            <w:tcBorders>
              <w:left w:val="single" w:sz="8" w:space="0" w:color="4F81BD" w:themeColor="accent1"/>
              <w:right w:val="single" w:sz="8" w:space="0" w:color="4F81BD" w:themeColor="accent1"/>
            </w:tcBorders>
            <w:hideMark/>
          </w:tcPr>
          <w:p w:rsidR="00BB69A9" w:rsidRPr="00DB639D" w:rsidRDefault="00BB69A9" w:rsidP="00B35DA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sidRPr="00DB639D">
              <w:rPr>
                <w:rFonts w:eastAsia="Times New Roman" w:cs="Arial"/>
                <w:sz w:val="20"/>
                <w:szCs w:val="20"/>
                <w:lang w:eastAsia="en-GB"/>
              </w:rPr>
              <w:t>£68,200</w:t>
            </w:r>
          </w:p>
        </w:tc>
        <w:tc>
          <w:tcPr>
            <w:tcW w:w="800" w:type="pct"/>
            <w:tcBorders>
              <w:left w:val="single" w:sz="8" w:space="0" w:color="4F81BD" w:themeColor="accent1"/>
            </w:tcBorders>
            <w:hideMark/>
          </w:tcPr>
          <w:p w:rsidR="00BB69A9" w:rsidRPr="00DB639D" w:rsidRDefault="00BB69A9" w:rsidP="00B35DA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sidRPr="00DB639D">
              <w:rPr>
                <w:rFonts w:eastAsia="Times New Roman" w:cs="Arial"/>
                <w:sz w:val="20"/>
                <w:szCs w:val="20"/>
                <w:lang w:eastAsia="en-GB"/>
              </w:rPr>
              <w:t>£83,400</w:t>
            </w:r>
          </w:p>
        </w:tc>
      </w:tr>
    </w:tbl>
    <w:p w:rsidR="003409F3" w:rsidRDefault="009A0D95" w:rsidP="009A0D95">
      <w:pPr>
        <w:pStyle w:val="Caption"/>
        <w:rPr>
          <w:rFonts w:cs="Arial"/>
          <w:szCs w:val="20"/>
        </w:rPr>
      </w:pPr>
      <w:r>
        <w:t xml:space="preserve">Figure </w:t>
      </w:r>
      <w:r w:rsidR="00156E8B">
        <w:fldChar w:fldCharType="begin"/>
      </w:r>
      <w:r w:rsidR="00156E8B">
        <w:instrText xml:space="preserve"> SEQ Figure \* ARABIC </w:instrText>
      </w:r>
      <w:r w:rsidR="00156E8B">
        <w:fldChar w:fldCharType="separate"/>
      </w:r>
      <w:r w:rsidR="005C553C">
        <w:rPr>
          <w:noProof/>
        </w:rPr>
        <w:t>15</w:t>
      </w:r>
      <w:r w:rsidR="00156E8B">
        <w:rPr>
          <w:noProof/>
        </w:rPr>
        <w:fldChar w:fldCharType="end"/>
      </w:r>
      <w:r>
        <w:t xml:space="preserve"> Cost of asthma admissions</w:t>
      </w:r>
    </w:p>
    <w:p w:rsidR="00B3667A" w:rsidRDefault="00D42A0B" w:rsidP="00C80125">
      <w:pPr>
        <w:contextualSpacing/>
        <w:rPr>
          <w:rFonts w:cs="Arial"/>
          <w:szCs w:val="20"/>
        </w:rPr>
      </w:pPr>
      <w:r w:rsidRPr="00113F54">
        <w:rPr>
          <w:rFonts w:cs="Arial"/>
          <w:szCs w:val="20"/>
        </w:rPr>
        <w:t>Detailed r</w:t>
      </w:r>
      <w:r w:rsidR="00DB158A" w:rsidRPr="00113F54">
        <w:rPr>
          <w:rFonts w:cs="Arial"/>
          <w:szCs w:val="20"/>
        </w:rPr>
        <w:t xml:space="preserve">esearch carried out by </w:t>
      </w:r>
      <w:r w:rsidR="002F3B0B">
        <w:rPr>
          <w:rFonts w:cs="Arial"/>
          <w:szCs w:val="20"/>
        </w:rPr>
        <w:t>Medway Council’s Public Health Directorate</w:t>
      </w:r>
      <w:r w:rsidR="002744E6" w:rsidRPr="00113F54">
        <w:rPr>
          <w:rStyle w:val="FootnoteReference"/>
          <w:rFonts w:cs="Arial"/>
          <w:szCs w:val="20"/>
        </w:rPr>
        <w:footnoteReference w:id="34"/>
      </w:r>
      <w:r w:rsidR="00CF2A3A" w:rsidRPr="00113F54">
        <w:rPr>
          <w:rFonts w:cs="Arial"/>
          <w:szCs w:val="20"/>
        </w:rPr>
        <w:t xml:space="preserve"> </w:t>
      </w:r>
      <w:r w:rsidR="00DB158A" w:rsidRPr="00113F54">
        <w:rPr>
          <w:rFonts w:cs="Arial"/>
          <w:szCs w:val="20"/>
        </w:rPr>
        <w:t>found</w:t>
      </w:r>
      <w:r w:rsidR="00CF2A3A" w:rsidRPr="00113F54">
        <w:rPr>
          <w:rFonts w:cs="Arial"/>
          <w:szCs w:val="20"/>
        </w:rPr>
        <w:t xml:space="preserve"> rates </w:t>
      </w:r>
      <w:r w:rsidR="00DB158A" w:rsidRPr="00113F54">
        <w:rPr>
          <w:rFonts w:cs="Arial"/>
          <w:szCs w:val="20"/>
        </w:rPr>
        <w:t>of admission</w:t>
      </w:r>
      <w:r w:rsidR="00113F54" w:rsidRPr="00113F54">
        <w:rPr>
          <w:rFonts w:cs="Arial"/>
          <w:szCs w:val="20"/>
        </w:rPr>
        <w:t xml:space="preserve"> have increased in recent </w:t>
      </w:r>
      <w:r w:rsidR="00C447C6" w:rsidRPr="00113F54">
        <w:rPr>
          <w:rFonts w:cs="Arial"/>
          <w:szCs w:val="20"/>
        </w:rPr>
        <w:t>years;</w:t>
      </w:r>
      <w:r w:rsidR="00113F54" w:rsidRPr="00113F54">
        <w:rPr>
          <w:rFonts w:cs="Arial"/>
          <w:szCs w:val="20"/>
        </w:rPr>
        <w:t xml:space="preserve"> however the </w:t>
      </w:r>
      <w:r w:rsidR="00CF2A3A" w:rsidRPr="00113F54">
        <w:rPr>
          <w:rFonts w:cs="Arial"/>
          <w:szCs w:val="20"/>
        </w:rPr>
        <w:t>recorded prevalence of asthma in Medway</w:t>
      </w:r>
      <w:r w:rsidR="00DB158A" w:rsidRPr="00113F54">
        <w:rPr>
          <w:rFonts w:cs="Arial"/>
          <w:szCs w:val="20"/>
        </w:rPr>
        <w:t xml:space="preserve"> by GP practice</w:t>
      </w:r>
      <w:r w:rsidR="00CF2A3A" w:rsidRPr="00113F54">
        <w:rPr>
          <w:rFonts w:cs="Arial"/>
          <w:szCs w:val="20"/>
        </w:rPr>
        <w:t xml:space="preserve"> is below the England average</w:t>
      </w:r>
      <w:r w:rsidR="00A56188">
        <w:rPr>
          <w:rFonts w:cs="Arial"/>
          <w:szCs w:val="20"/>
        </w:rPr>
        <w:t xml:space="preserve"> of 5.9% (b</w:t>
      </w:r>
      <w:r w:rsidR="000D0B28">
        <w:rPr>
          <w:rFonts w:cs="Arial"/>
          <w:szCs w:val="20"/>
        </w:rPr>
        <w:t xml:space="preserve">ased on 2012/13 </w:t>
      </w:r>
      <w:hyperlink w:anchor="quality" w:history="1">
        <w:r w:rsidR="000D0B28" w:rsidRPr="00A2506E">
          <w:rPr>
            <w:rStyle w:val="Hyperlink"/>
            <w:rFonts w:cs="Arial"/>
            <w:szCs w:val="20"/>
          </w:rPr>
          <w:t>Q</w:t>
        </w:r>
        <w:r w:rsidR="00A56188" w:rsidRPr="00A2506E">
          <w:rPr>
            <w:rStyle w:val="Hyperlink"/>
            <w:rFonts w:cs="Arial"/>
            <w:szCs w:val="20"/>
          </w:rPr>
          <w:t>uality and Outcome Framework</w:t>
        </w:r>
      </w:hyperlink>
      <w:r w:rsidR="00A56188">
        <w:rPr>
          <w:rFonts w:cs="Arial"/>
          <w:szCs w:val="20"/>
        </w:rPr>
        <w:t xml:space="preserve"> </w:t>
      </w:r>
      <w:r w:rsidR="000D0B28">
        <w:rPr>
          <w:rFonts w:cs="Arial"/>
          <w:szCs w:val="20"/>
        </w:rPr>
        <w:t>data</w:t>
      </w:r>
      <w:r w:rsidR="00A56188">
        <w:rPr>
          <w:rFonts w:cs="Arial"/>
          <w:szCs w:val="20"/>
        </w:rPr>
        <w:t xml:space="preserve">). </w:t>
      </w:r>
      <w:r w:rsidR="009434FB">
        <w:rPr>
          <w:rFonts w:cs="Arial"/>
          <w:szCs w:val="20"/>
        </w:rPr>
        <w:t xml:space="preserve"> </w:t>
      </w:r>
      <w:r w:rsidR="00A56188">
        <w:rPr>
          <w:rFonts w:cs="Arial"/>
          <w:szCs w:val="20"/>
        </w:rPr>
        <w:t>In Medway,</w:t>
      </w:r>
      <w:r w:rsidR="000D0B28">
        <w:rPr>
          <w:rFonts w:cs="Arial"/>
          <w:szCs w:val="20"/>
        </w:rPr>
        <w:t xml:space="preserve"> the overall prevalence</w:t>
      </w:r>
      <w:r w:rsidR="00B3667A">
        <w:rPr>
          <w:rStyle w:val="FootnoteReference"/>
          <w:rFonts w:cs="Arial"/>
          <w:szCs w:val="20"/>
        </w:rPr>
        <w:footnoteReference w:id="35"/>
      </w:r>
      <w:r w:rsidR="000D0B28">
        <w:rPr>
          <w:rFonts w:cs="Arial"/>
          <w:szCs w:val="20"/>
        </w:rPr>
        <w:t xml:space="preserve"> of diagnosed asthma was 5.6%</w:t>
      </w:r>
      <w:r w:rsidR="00B3667A">
        <w:rPr>
          <w:rFonts w:cs="Arial"/>
          <w:szCs w:val="20"/>
        </w:rPr>
        <w:t xml:space="preserve">, with </w:t>
      </w:r>
      <w:r w:rsidR="00B3667A" w:rsidRPr="00316D4B">
        <w:rPr>
          <w:rFonts w:cs="Arial"/>
        </w:rPr>
        <w:t xml:space="preserve">considerable variation by practice, </w:t>
      </w:r>
      <w:r w:rsidR="00B3667A">
        <w:rPr>
          <w:rFonts w:cs="Arial"/>
        </w:rPr>
        <w:t>where prevalence ranged</w:t>
      </w:r>
      <w:r w:rsidR="00B3667A" w:rsidRPr="00316D4B">
        <w:rPr>
          <w:rFonts w:cs="Arial"/>
        </w:rPr>
        <w:t xml:space="preserve"> from 3.5% to 7.1%.</w:t>
      </w:r>
      <w:r w:rsidR="00B3667A">
        <w:rPr>
          <w:rFonts w:cs="Arial"/>
          <w:szCs w:val="20"/>
        </w:rPr>
        <w:t xml:space="preserve"> </w:t>
      </w:r>
      <w:r w:rsidR="009434FB">
        <w:rPr>
          <w:rFonts w:cs="Arial"/>
          <w:szCs w:val="20"/>
        </w:rPr>
        <w:t xml:space="preserve"> </w:t>
      </w:r>
      <w:r w:rsidR="00B3667A">
        <w:rPr>
          <w:rFonts w:cs="Arial"/>
          <w:szCs w:val="20"/>
        </w:rPr>
        <w:t xml:space="preserve">Public Health concluded that </w:t>
      </w:r>
      <w:r w:rsidR="00B3667A">
        <w:rPr>
          <w:rFonts w:cs="Arial"/>
        </w:rPr>
        <w:t>seemed</w:t>
      </w:r>
      <w:r w:rsidR="00B3667A" w:rsidRPr="00316D4B">
        <w:rPr>
          <w:rFonts w:cs="Arial"/>
        </w:rPr>
        <w:t xml:space="preserve"> unlikely that t</w:t>
      </w:r>
      <w:r w:rsidR="00B3667A">
        <w:rPr>
          <w:rFonts w:cs="Arial"/>
        </w:rPr>
        <w:t xml:space="preserve">his degree of variation reflected </w:t>
      </w:r>
      <w:r w:rsidR="00B3667A" w:rsidRPr="00316D4B">
        <w:rPr>
          <w:rFonts w:cs="Arial"/>
        </w:rPr>
        <w:t>genuine differences in asthma prevalenc</w:t>
      </w:r>
      <w:r w:rsidR="00B3667A">
        <w:rPr>
          <w:rFonts w:cs="Arial"/>
        </w:rPr>
        <w:t>e between practices, and suggested</w:t>
      </w:r>
      <w:r w:rsidR="00B3667A" w:rsidRPr="00316D4B">
        <w:rPr>
          <w:rFonts w:cs="Arial"/>
        </w:rPr>
        <w:t xml:space="preserve"> that </w:t>
      </w:r>
      <w:r w:rsidR="002F3B0B">
        <w:rPr>
          <w:rFonts w:cs="Arial"/>
        </w:rPr>
        <w:t>it is likely that there is a considerable level of underdetection</w:t>
      </w:r>
      <w:r w:rsidR="00B3667A" w:rsidRPr="00316D4B">
        <w:rPr>
          <w:rFonts w:cs="Arial"/>
        </w:rPr>
        <w:t>.</w:t>
      </w:r>
    </w:p>
    <w:p w:rsidR="00B3667A" w:rsidRDefault="00B3667A" w:rsidP="00C80125">
      <w:pPr>
        <w:contextualSpacing/>
        <w:rPr>
          <w:rFonts w:cs="Arial"/>
          <w:szCs w:val="20"/>
        </w:rPr>
      </w:pPr>
    </w:p>
    <w:p w:rsidR="00CF2A3A" w:rsidRDefault="00B3667A" w:rsidP="00C80125">
      <w:pPr>
        <w:contextualSpacing/>
        <w:rPr>
          <w:rFonts w:cs="Arial"/>
          <w:szCs w:val="20"/>
        </w:rPr>
      </w:pPr>
      <w:r>
        <w:rPr>
          <w:rFonts w:cs="Arial"/>
          <w:szCs w:val="20"/>
        </w:rPr>
        <w:t>It was also suggested that there was</w:t>
      </w:r>
      <w:r w:rsidR="00DB158A" w:rsidRPr="00113F54">
        <w:rPr>
          <w:rFonts w:cs="Arial"/>
          <w:szCs w:val="20"/>
        </w:rPr>
        <w:t xml:space="preserve"> </w:t>
      </w:r>
      <w:r w:rsidR="00CF2A3A" w:rsidRPr="00113F54">
        <w:rPr>
          <w:rFonts w:cs="Arial"/>
          <w:szCs w:val="20"/>
        </w:rPr>
        <w:t xml:space="preserve">room for improvement in the management of </w:t>
      </w:r>
      <w:r w:rsidR="00DB158A" w:rsidRPr="00113F54">
        <w:rPr>
          <w:rFonts w:cs="Arial"/>
          <w:szCs w:val="20"/>
        </w:rPr>
        <w:t>pa</w:t>
      </w:r>
      <w:r>
        <w:rPr>
          <w:rFonts w:cs="Arial"/>
          <w:szCs w:val="20"/>
        </w:rPr>
        <w:t>ediatric asthma in primary care as</w:t>
      </w:r>
      <w:r w:rsidR="00DB158A" w:rsidRPr="00113F54">
        <w:rPr>
          <w:rFonts w:cs="Arial"/>
          <w:szCs w:val="20"/>
        </w:rPr>
        <w:t xml:space="preserve"> a </w:t>
      </w:r>
      <w:r w:rsidR="00CF2A3A" w:rsidRPr="00113F54">
        <w:rPr>
          <w:rFonts w:cs="Arial"/>
          <w:szCs w:val="20"/>
        </w:rPr>
        <w:t xml:space="preserve">significant number of children in </w:t>
      </w:r>
      <w:r>
        <w:rPr>
          <w:rFonts w:cs="Arial"/>
          <w:szCs w:val="20"/>
        </w:rPr>
        <w:t>a</w:t>
      </w:r>
      <w:r w:rsidR="00CF2A3A" w:rsidRPr="00113F54">
        <w:rPr>
          <w:rFonts w:cs="Arial"/>
          <w:szCs w:val="20"/>
        </w:rPr>
        <w:t xml:space="preserve"> hospital admissions audit were found to have symptoms for two or more days before admission.</w:t>
      </w:r>
      <w:r w:rsidR="00A81F11">
        <w:rPr>
          <w:rFonts w:cs="Arial"/>
          <w:szCs w:val="20"/>
        </w:rPr>
        <w:t xml:space="preserve">  The latest data fro</w:t>
      </w:r>
      <w:r w:rsidR="00B35DA2">
        <w:rPr>
          <w:rFonts w:cs="Arial"/>
          <w:szCs w:val="20"/>
        </w:rPr>
        <w:t xml:space="preserve">m CHIMAT </w:t>
      </w:r>
      <w:r>
        <w:rPr>
          <w:rFonts w:cs="Arial"/>
          <w:szCs w:val="20"/>
        </w:rPr>
        <w:t xml:space="preserve">for hospital admissions </w:t>
      </w:r>
      <w:r w:rsidR="00B35DA2">
        <w:rPr>
          <w:rFonts w:cs="Arial"/>
          <w:szCs w:val="20"/>
        </w:rPr>
        <w:t>shows a downward trend</w:t>
      </w:r>
      <w:r w:rsidR="00A81F11">
        <w:rPr>
          <w:rFonts w:cs="Arial"/>
          <w:szCs w:val="20"/>
        </w:rPr>
        <w:t xml:space="preserve">, although </w:t>
      </w:r>
      <w:r>
        <w:rPr>
          <w:rFonts w:cs="Arial"/>
          <w:szCs w:val="20"/>
        </w:rPr>
        <w:t xml:space="preserve">the Medway rate is </w:t>
      </w:r>
      <w:r w:rsidR="00A81F11">
        <w:rPr>
          <w:rFonts w:cs="Arial"/>
          <w:szCs w:val="20"/>
        </w:rPr>
        <w:t>st</w:t>
      </w:r>
      <w:r w:rsidR="00A2506E">
        <w:rPr>
          <w:rFonts w:cs="Arial"/>
          <w:szCs w:val="20"/>
        </w:rPr>
        <w:t>ill higher</w:t>
      </w:r>
      <w:r w:rsidR="00CB2130">
        <w:rPr>
          <w:rFonts w:cs="Arial"/>
          <w:szCs w:val="20"/>
        </w:rPr>
        <w:t xml:space="preserve"> than comparable CCGs (see Fig 16</w:t>
      </w:r>
      <w:r w:rsidR="00A2506E">
        <w:rPr>
          <w:rFonts w:cs="Arial"/>
          <w:szCs w:val="20"/>
        </w:rPr>
        <w:t>)</w:t>
      </w:r>
    </w:p>
    <w:p w:rsidR="00582F7C" w:rsidRDefault="00582F7C" w:rsidP="00C80125">
      <w:pPr>
        <w:contextualSpacing/>
        <w:rPr>
          <w:rFonts w:cs="Arial"/>
          <w:szCs w:val="20"/>
        </w:rPr>
      </w:pPr>
    </w:p>
    <w:p w:rsidR="00A81F11" w:rsidRDefault="007A5BEF" w:rsidP="00C80125">
      <w:pPr>
        <w:contextualSpacing/>
        <w:rPr>
          <w:rFonts w:cs="Arial"/>
          <w:szCs w:val="20"/>
        </w:rPr>
      </w:pPr>
      <w:r>
        <w:rPr>
          <w:noProof/>
          <w:lang w:eastAsia="en-GB"/>
        </w:rPr>
        <w:lastRenderedPageBreak/>
        <w:drawing>
          <wp:inline distT="0" distB="0" distL="0" distR="0" wp14:anchorId="3A4ED758" wp14:editId="7DA814EB">
            <wp:extent cx="5180400" cy="2534400"/>
            <wp:effectExtent l="0" t="0" r="20320" b="1841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F2908" w:rsidRDefault="00EB0C77" w:rsidP="00EB0C77">
      <w:pPr>
        <w:pStyle w:val="Caption"/>
        <w:rPr>
          <w:rFonts w:cs="Arial"/>
          <w:szCs w:val="20"/>
        </w:rPr>
      </w:pPr>
      <w:r>
        <w:t xml:space="preserve">Figure </w:t>
      </w:r>
      <w:r w:rsidR="00156E8B">
        <w:fldChar w:fldCharType="begin"/>
      </w:r>
      <w:r w:rsidR="00156E8B">
        <w:instrText xml:space="preserve"> SEQ Figure \* ARABIC </w:instrText>
      </w:r>
      <w:r w:rsidR="00156E8B">
        <w:fldChar w:fldCharType="separate"/>
      </w:r>
      <w:r w:rsidR="005C553C">
        <w:rPr>
          <w:noProof/>
        </w:rPr>
        <w:t>16</w:t>
      </w:r>
      <w:r w:rsidR="00156E8B">
        <w:rPr>
          <w:noProof/>
        </w:rPr>
        <w:fldChar w:fldCharType="end"/>
      </w:r>
      <w:r>
        <w:t xml:space="preserve"> Asthma admissions per 100,000 population</w:t>
      </w:r>
    </w:p>
    <w:p w:rsidR="00234934" w:rsidRPr="00234934" w:rsidRDefault="00AB527D" w:rsidP="00234934">
      <w:pPr>
        <w:contextualSpacing/>
        <w:rPr>
          <w:rFonts w:cs="Arial"/>
          <w:szCs w:val="20"/>
        </w:rPr>
      </w:pPr>
      <w:r>
        <w:rPr>
          <w:rFonts w:cs="Arial"/>
          <w:szCs w:val="20"/>
        </w:rPr>
        <w:t>SEC</w:t>
      </w:r>
      <w:r w:rsidR="00234934" w:rsidRPr="00234934">
        <w:rPr>
          <w:rFonts w:cs="Arial"/>
          <w:szCs w:val="20"/>
        </w:rPr>
        <w:t>SCN</w:t>
      </w:r>
      <w:r w:rsidR="00EB0C77">
        <w:rPr>
          <w:rStyle w:val="FootnoteReference"/>
          <w:rFonts w:cs="Arial"/>
          <w:szCs w:val="20"/>
        </w:rPr>
        <w:footnoteReference w:id="36"/>
      </w:r>
      <w:r w:rsidR="00234934" w:rsidRPr="00234934">
        <w:rPr>
          <w:rFonts w:cs="Arial"/>
          <w:szCs w:val="20"/>
        </w:rPr>
        <w:t xml:space="preserve"> recommendations for asthma are in the process of being produced with the East of England </w:t>
      </w:r>
      <w:r w:rsidR="00A05693">
        <w:rPr>
          <w:rFonts w:cs="Arial"/>
          <w:szCs w:val="20"/>
        </w:rPr>
        <w:t xml:space="preserve">region </w:t>
      </w:r>
      <w:r w:rsidR="00234934" w:rsidRPr="00234934">
        <w:rPr>
          <w:rFonts w:cs="Arial"/>
          <w:szCs w:val="20"/>
        </w:rPr>
        <w:t xml:space="preserve">which is leading the national work. </w:t>
      </w:r>
      <w:r w:rsidR="009434FB">
        <w:rPr>
          <w:rFonts w:cs="Arial"/>
          <w:szCs w:val="20"/>
        </w:rPr>
        <w:t xml:space="preserve"> </w:t>
      </w:r>
      <w:r>
        <w:rPr>
          <w:rFonts w:cs="Arial"/>
          <w:szCs w:val="20"/>
        </w:rPr>
        <w:t>Locally the work will focus on s</w:t>
      </w:r>
      <w:r w:rsidR="00234934" w:rsidRPr="00234934">
        <w:rPr>
          <w:rFonts w:cs="Arial"/>
          <w:szCs w:val="20"/>
        </w:rPr>
        <w:t>upporting the Programme to p</w:t>
      </w:r>
      <w:r w:rsidR="00B35DA2">
        <w:rPr>
          <w:rFonts w:cs="Arial"/>
          <w:szCs w:val="20"/>
        </w:rPr>
        <w:t>rovide a proposed model of care, including</w:t>
      </w:r>
    </w:p>
    <w:p w:rsidR="00234934" w:rsidRPr="00A05693" w:rsidRDefault="00234934" w:rsidP="00A05693">
      <w:pPr>
        <w:pStyle w:val="ListParagraph"/>
        <w:numPr>
          <w:ilvl w:val="0"/>
          <w:numId w:val="27"/>
        </w:numPr>
        <w:spacing w:line="276" w:lineRule="auto"/>
        <w:contextualSpacing/>
        <w:rPr>
          <w:rFonts w:ascii="Arial" w:hAnsi="Arial" w:cs="Arial"/>
          <w:sz w:val="22"/>
          <w:szCs w:val="20"/>
        </w:rPr>
      </w:pPr>
      <w:r w:rsidRPr="00A05693">
        <w:rPr>
          <w:rFonts w:ascii="Arial" w:hAnsi="Arial" w:cs="Arial"/>
          <w:sz w:val="22"/>
          <w:szCs w:val="20"/>
        </w:rPr>
        <w:t xml:space="preserve">CCN </w:t>
      </w:r>
      <w:r w:rsidR="00AB527D" w:rsidRPr="00A05693">
        <w:rPr>
          <w:rFonts w:ascii="Arial" w:hAnsi="Arial" w:cs="Arial"/>
          <w:sz w:val="22"/>
          <w:szCs w:val="20"/>
        </w:rPr>
        <w:t>and Clinical Nurse Specialists i</w:t>
      </w:r>
      <w:r w:rsidRPr="00A05693">
        <w:rPr>
          <w:rFonts w:ascii="Arial" w:hAnsi="Arial" w:cs="Arial"/>
          <w:sz w:val="22"/>
          <w:szCs w:val="20"/>
        </w:rPr>
        <w:t>ntegrated community working models link</w:t>
      </w:r>
      <w:r w:rsidR="00A05693" w:rsidRPr="00A05693">
        <w:rPr>
          <w:rFonts w:ascii="Arial" w:hAnsi="Arial" w:cs="Arial"/>
          <w:sz w:val="22"/>
          <w:szCs w:val="20"/>
        </w:rPr>
        <w:t>ed</w:t>
      </w:r>
      <w:r w:rsidRPr="00A05693">
        <w:rPr>
          <w:rFonts w:ascii="Arial" w:hAnsi="Arial" w:cs="Arial"/>
          <w:sz w:val="22"/>
          <w:szCs w:val="20"/>
        </w:rPr>
        <w:t xml:space="preserve"> with School Nursing </w:t>
      </w:r>
    </w:p>
    <w:p w:rsidR="00AB527D" w:rsidRPr="00A05693" w:rsidRDefault="00A05693" w:rsidP="00A05693">
      <w:pPr>
        <w:pStyle w:val="ListParagraph"/>
        <w:numPr>
          <w:ilvl w:val="0"/>
          <w:numId w:val="27"/>
        </w:numPr>
        <w:spacing w:line="276" w:lineRule="auto"/>
        <w:contextualSpacing/>
        <w:rPr>
          <w:rFonts w:ascii="Arial" w:hAnsi="Arial" w:cs="Arial"/>
          <w:sz w:val="22"/>
          <w:szCs w:val="20"/>
        </w:rPr>
      </w:pPr>
      <w:r w:rsidRPr="00A05693">
        <w:rPr>
          <w:rFonts w:ascii="Arial" w:hAnsi="Arial" w:cs="Arial"/>
          <w:sz w:val="22"/>
          <w:szCs w:val="20"/>
        </w:rPr>
        <w:t>Primary Care e</w:t>
      </w:r>
      <w:r w:rsidR="00234934" w:rsidRPr="00A05693">
        <w:rPr>
          <w:rFonts w:ascii="Arial" w:hAnsi="Arial" w:cs="Arial"/>
          <w:sz w:val="22"/>
          <w:szCs w:val="20"/>
        </w:rPr>
        <w:t xml:space="preserve">ducation for </w:t>
      </w:r>
      <w:r w:rsidR="00AB527D" w:rsidRPr="00A05693">
        <w:rPr>
          <w:rFonts w:ascii="Arial" w:hAnsi="Arial" w:cs="Arial"/>
          <w:sz w:val="22"/>
          <w:szCs w:val="20"/>
        </w:rPr>
        <w:t>d</w:t>
      </w:r>
      <w:r w:rsidR="00234934" w:rsidRPr="00A05693">
        <w:rPr>
          <w:rFonts w:ascii="Arial" w:hAnsi="Arial" w:cs="Arial"/>
          <w:sz w:val="22"/>
          <w:szCs w:val="20"/>
        </w:rPr>
        <w:t xml:space="preserve">iagnosed </w:t>
      </w:r>
      <w:r w:rsidR="00AB527D" w:rsidRPr="00A05693">
        <w:rPr>
          <w:rFonts w:ascii="Arial" w:hAnsi="Arial" w:cs="Arial"/>
          <w:sz w:val="22"/>
          <w:szCs w:val="20"/>
        </w:rPr>
        <w:t>a</w:t>
      </w:r>
      <w:r w:rsidR="00234934" w:rsidRPr="00A05693">
        <w:rPr>
          <w:rFonts w:ascii="Arial" w:hAnsi="Arial" w:cs="Arial"/>
          <w:sz w:val="22"/>
          <w:szCs w:val="20"/>
        </w:rPr>
        <w:t>sthma</w:t>
      </w:r>
      <w:r w:rsidRPr="00A05693">
        <w:rPr>
          <w:rFonts w:ascii="Arial" w:hAnsi="Arial" w:cs="Arial"/>
          <w:sz w:val="22"/>
          <w:szCs w:val="20"/>
        </w:rPr>
        <w:t xml:space="preserve"> – Health Education England are producing a GP self-assessment tool for asthma</w:t>
      </w:r>
      <w:r w:rsidR="00234934" w:rsidRPr="00A05693">
        <w:rPr>
          <w:rFonts w:ascii="Arial" w:hAnsi="Arial" w:cs="Arial"/>
          <w:sz w:val="22"/>
          <w:szCs w:val="20"/>
        </w:rPr>
        <w:t xml:space="preserve"> </w:t>
      </w:r>
    </w:p>
    <w:p w:rsidR="00234934" w:rsidRPr="00A05693" w:rsidRDefault="00AB527D" w:rsidP="00A05693">
      <w:pPr>
        <w:pStyle w:val="ListParagraph"/>
        <w:numPr>
          <w:ilvl w:val="0"/>
          <w:numId w:val="27"/>
        </w:numPr>
        <w:spacing w:line="276" w:lineRule="auto"/>
        <w:contextualSpacing/>
        <w:rPr>
          <w:rFonts w:ascii="Arial" w:hAnsi="Arial" w:cs="Arial"/>
          <w:sz w:val="22"/>
          <w:szCs w:val="20"/>
        </w:rPr>
      </w:pPr>
      <w:r w:rsidRPr="00A05693">
        <w:rPr>
          <w:rFonts w:ascii="Arial" w:hAnsi="Arial" w:cs="Arial"/>
          <w:sz w:val="22"/>
          <w:szCs w:val="20"/>
        </w:rPr>
        <w:t>Medicines in s</w:t>
      </w:r>
      <w:r w:rsidR="00234934" w:rsidRPr="00A05693">
        <w:rPr>
          <w:rFonts w:ascii="Arial" w:hAnsi="Arial" w:cs="Arial"/>
          <w:sz w:val="22"/>
          <w:szCs w:val="20"/>
        </w:rPr>
        <w:t>chools</w:t>
      </w:r>
      <w:r w:rsidR="00A05693" w:rsidRPr="00A05693">
        <w:rPr>
          <w:rFonts w:ascii="Arial" w:hAnsi="Arial" w:cs="Arial"/>
          <w:sz w:val="22"/>
          <w:szCs w:val="20"/>
        </w:rPr>
        <w:t xml:space="preserve"> </w:t>
      </w:r>
      <w:r w:rsidR="00234934" w:rsidRPr="00A05693">
        <w:rPr>
          <w:rFonts w:ascii="Arial" w:hAnsi="Arial" w:cs="Arial"/>
          <w:sz w:val="22"/>
          <w:szCs w:val="20"/>
        </w:rPr>
        <w:t xml:space="preserve">- </w:t>
      </w:r>
      <w:r w:rsidRPr="00A05693">
        <w:rPr>
          <w:rFonts w:ascii="Arial" w:hAnsi="Arial" w:cs="Arial"/>
          <w:sz w:val="22"/>
          <w:szCs w:val="20"/>
        </w:rPr>
        <w:t>clarify</w:t>
      </w:r>
      <w:r w:rsidR="00A05693" w:rsidRPr="00A05693">
        <w:rPr>
          <w:rFonts w:ascii="Arial" w:hAnsi="Arial" w:cs="Arial"/>
          <w:sz w:val="22"/>
          <w:szCs w:val="20"/>
        </w:rPr>
        <w:t>ing the</w:t>
      </w:r>
      <w:r w:rsidRPr="00A05693">
        <w:rPr>
          <w:rFonts w:ascii="Arial" w:hAnsi="Arial" w:cs="Arial"/>
          <w:sz w:val="22"/>
          <w:szCs w:val="20"/>
        </w:rPr>
        <w:t xml:space="preserve"> role of school nurse</w:t>
      </w:r>
    </w:p>
    <w:p w:rsidR="00234934" w:rsidRPr="00A05693" w:rsidRDefault="00A05693" w:rsidP="00A05693">
      <w:pPr>
        <w:pStyle w:val="ListParagraph"/>
        <w:numPr>
          <w:ilvl w:val="0"/>
          <w:numId w:val="27"/>
        </w:numPr>
        <w:spacing w:line="276" w:lineRule="auto"/>
        <w:contextualSpacing/>
        <w:rPr>
          <w:rFonts w:ascii="Arial" w:hAnsi="Arial" w:cs="Arial"/>
          <w:sz w:val="22"/>
          <w:szCs w:val="20"/>
        </w:rPr>
      </w:pPr>
      <w:r w:rsidRPr="00A05693">
        <w:rPr>
          <w:rFonts w:ascii="Arial" w:hAnsi="Arial" w:cs="Arial"/>
          <w:sz w:val="22"/>
          <w:szCs w:val="20"/>
        </w:rPr>
        <w:t xml:space="preserve">Reviewing the recommendations </w:t>
      </w:r>
      <w:r w:rsidR="00DE48D0">
        <w:rPr>
          <w:rFonts w:ascii="Arial" w:hAnsi="Arial" w:cs="Arial"/>
          <w:sz w:val="22"/>
          <w:szCs w:val="20"/>
        </w:rPr>
        <w:t xml:space="preserve">relating </w:t>
      </w:r>
      <w:r w:rsidRPr="00A05693">
        <w:rPr>
          <w:rFonts w:ascii="Arial" w:hAnsi="Arial" w:cs="Arial"/>
          <w:sz w:val="22"/>
          <w:szCs w:val="20"/>
        </w:rPr>
        <w:t xml:space="preserve">to children and young people within the </w:t>
      </w:r>
      <w:r w:rsidR="00234934" w:rsidRPr="00A05693">
        <w:rPr>
          <w:rFonts w:ascii="Arial" w:hAnsi="Arial" w:cs="Arial"/>
          <w:sz w:val="22"/>
          <w:szCs w:val="20"/>
        </w:rPr>
        <w:t>N</w:t>
      </w:r>
      <w:r w:rsidRPr="00A05693">
        <w:rPr>
          <w:rFonts w:ascii="Arial" w:hAnsi="Arial" w:cs="Arial"/>
          <w:sz w:val="22"/>
          <w:szCs w:val="20"/>
        </w:rPr>
        <w:t>ational Review of Asthma Deaths</w:t>
      </w:r>
      <w:r w:rsidR="00DE48D0">
        <w:rPr>
          <w:rStyle w:val="FootnoteReference"/>
          <w:rFonts w:ascii="Arial" w:hAnsi="Arial" w:cs="Arial"/>
          <w:sz w:val="22"/>
          <w:szCs w:val="20"/>
        </w:rPr>
        <w:footnoteReference w:id="37"/>
      </w:r>
    </w:p>
    <w:p w:rsidR="00A25B5D" w:rsidRDefault="00A25B5D" w:rsidP="00A25B5D">
      <w:pPr>
        <w:pStyle w:val="Heading2"/>
      </w:pPr>
      <w:bookmarkStart w:id="12" w:name="_Toc434938023"/>
      <w:r>
        <w:t>MFT Children’s Services caseload and resources</w:t>
      </w:r>
      <w:bookmarkEnd w:id="12"/>
    </w:p>
    <w:p w:rsidR="00D42A0B" w:rsidRPr="00113F54" w:rsidRDefault="00D42A0B" w:rsidP="00D42A0B">
      <w:r w:rsidRPr="00113F54">
        <w:rPr>
          <w:rFonts w:cs="Arial"/>
          <w:szCs w:val="24"/>
        </w:rPr>
        <w:t>COaST</w:t>
      </w:r>
      <w:r w:rsidR="00C447C6">
        <w:rPr>
          <w:rFonts w:cs="Arial"/>
          <w:szCs w:val="24"/>
        </w:rPr>
        <w:t xml:space="preserve"> has a caseload of</w:t>
      </w:r>
      <w:r w:rsidRPr="00113F54">
        <w:rPr>
          <w:rFonts w:cs="Arial"/>
          <w:szCs w:val="24"/>
        </w:rPr>
        <w:t xml:space="preserve"> 28 children with c</w:t>
      </w:r>
      <w:r w:rsidRPr="00113F54">
        <w:t xml:space="preserve">hronic respiratory, asthma and bronchiectasis.  The staff team </w:t>
      </w:r>
      <w:r w:rsidR="00B35DA2">
        <w:t>includes</w:t>
      </w:r>
      <w:r w:rsidRPr="00113F54">
        <w:t xml:space="preserve"> 3 </w:t>
      </w:r>
      <w:r w:rsidR="00C447C6">
        <w:t>whole time equivalent</w:t>
      </w:r>
      <w:r w:rsidRPr="00113F54">
        <w:t xml:space="preserve"> specialist </w:t>
      </w:r>
      <w:r w:rsidR="00C447C6" w:rsidRPr="00113F54">
        <w:t xml:space="preserve">respiratory </w:t>
      </w:r>
      <w:r w:rsidRPr="00113F54">
        <w:t>nurses (one at Band 7, two at Band 6).</w:t>
      </w:r>
    </w:p>
    <w:p w:rsidR="00113997" w:rsidRPr="00113F54" w:rsidRDefault="009434FB" w:rsidP="00113997">
      <w:pPr>
        <w:pStyle w:val="Heading2"/>
      </w:pPr>
      <w:bookmarkStart w:id="13" w:name="_Toc434938024"/>
      <w:r>
        <w:t>Medway Asthma Self Help</w:t>
      </w:r>
      <w:bookmarkEnd w:id="13"/>
    </w:p>
    <w:p w:rsidR="00DF15C2" w:rsidRPr="009434FB" w:rsidRDefault="00D42A0B" w:rsidP="009434FB">
      <w:pPr>
        <w:rPr>
          <w:rFonts w:cs="Arial"/>
        </w:rPr>
      </w:pPr>
      <w:r w:rsidRPr="009434FB">
        <w:rPr>
          <w:rFonts w:cs="Arial"/>
        </w:rPr>
        <w:t xml:space="preserve">Medway Asthma Self Help (MASH) is a small voluntary organisation in Medway which </w:t>
      </w:r>
      <w:r w:rsidR="00DF15C2" w:rsidRPr="009434FB">
        <w:rPr>
          <w:rFonts w:cs="Arial"/>
        </w:rPr>
        <w:t>o</w:t>
      </w:r>
      <w:r w:rsidR="00C447C6" w:rsidRPr="009434FB">
        <w:rPr>
          <w:rFonts w:cs="Arial"/>
        </w:rPr>
        <w:t>ffers</w:t>
      </w:r>
      <w:r w:rsidR="00DF15C2" w:rsidRPr="009434FB">
        <w:rPr>
          <w:rFonts w:cs="Arial"/>
        </w:rPr>
        <w:t xml:space="preserve"> </w:t>
      </w:r>
      <w:r w:rsidRPr="009434FB">
        <w:rPr>
          <w:rFonts w:cs="Arial"/>
        </w:rPr>
        <w:t>access to a specialist asthma nurse, asthma allergy testing, lung function testing and advice.</w:t>
      </w:r>
      <w:r w:rsidR="00DF15C2" w:rsidRPr="009434FB">
        <w:rPr>
          <w:rFonts w:cs="Arial"/>
        </w:rPr>
        <w:t xml:space="preserve"> It receives £11,000 p.a. funding from Medway CCG. </w:t>
      </w:r>
      <w:r w:rsidRPr="009434FB">
        <w:rPr>
          <w:rFonts w:cs="Arial"/>
        </w:rPr>
        <w:t xml:space="preserve"> </w:t>
      </w:r>
    </w:p>
    <w:p w:rsidR="00DF15C2" w:rsidRPr="00113F54" w:rsidRDefault="00DF15C2" w:rsidP="00DF15C2">
      <w:pPr>
        <w:rPr>
          <w:szCs w:val="24"/>
        </w:rPr>
      </w:pPr>
    </w:p>
    <w:p w:rsidR="00DF15C2" w:rsidRDefault="00D42A0B" w:rsidP="009434FB">
      <w:r w:rsidRPr="00113F54">
        <w:rPr>
          <w:szCs w:val="24"/>
        </w:rPr>
        <w:t xml:space="preserve">In 2013-2014 </w:t>
      </w:r>
      <w:r w:rsidR="00DF15C2" w:rsidRPr="00113F54">
        <w:rPr>
          <w:szCs w:val="24"/>
        </w:rPr>
        <w:t>MASH</w:t>
      </w:r>
      <w:r w:rsidRPr="00113F54">
        <w:rPr>
          <w:szCs w:val="24"/>
        </w:rPr>
        <w:t xml:space="preserve"> provided 151 clinic appointments. Of these, 59% were for children aged 0-16, and of those 43% of children were under the age of five. </w:t>
      </w:r>
      <w:r w:rsidR="009434FB">
        <w:rPr>
          <w:szCs w:val="24"/>
        </w:rPr>
        <w:t xml:space="preserve"> </w:t>
      </w:r>
      <w:r w:rsidRPr="00113F54">
        <w:rPr>
          <w:szCs w:val="24"/>
        </w:rPr>
        <w:t xml:space="preserve">There were also 123 telephone consultations, of which 54% concerned a child. </w:t>
      </w:r>
      <w:r w:rsidR="007251D7" w:rsidRPr="00113F54">
        <w:rPr>
          <w:szCs w:val="24"/>
        </w:rPr>
        <w:t xml:space="preserve"> </w:t>
      </w:r>
      <w:r w:rsidR="00DF15C2">
        <w:t>The following assessment was received from Dr Alaisdair Stewart, Respiratory Consultant at Medway Maritime Hospital;</w:t>
      </w:r>
    </w:p>
    <w:p w:rsidR="00DF15C2" w:rsidRDefault="00DF15C2" w:rsidP="00DF15C2"/>
    <w:p w:rsidR="00DF15C2" w:rsidRDefault="00DF15C2" w:rsidP="009434FB">
      <w:pPr>
        <w:rPr>
          <w:i/>
        </w:rPr>
      </w:pPr>
      <w:r w:rsidRPr="00FB62A7">
        <w:rPr>
          <w:i/>
        </w:rPr>
        <w:t xml:space="preserve">MASH plays and ever increasing role in the management of asthma across the Medway Towns.  It seems increasingly patients find it difficult to see their GP or asthma </w:t>
      </w:r>
      <w:r w:rsidR="00982D30" w:rsidRPr="00FB62A7">
        <w:rPr>
          <w:i/>
        </w:rPr>
        <w:t>nurses particularly at times that suit</w:t>
      </w:r>
      <w:r w:rsidRPr="00FB62A7">
        <w:rPr>
          <w:i/>
        </w:rPr>
        <w:t xml:space="preserve"> them.  Many are not getting written asthma management plans nor </w:t>
      </w:r>
      <w:r>
        <w:rPr>
          <w:i/>
        </w:rPr>
        <w:t>do</w:t>
      </w:r>
      <w:r w:rsidRPr="00FB62A7">
        <w:rPr>
          <w:i/>
        </w:rPr>
        <w:t xml:space="preserve"> the practice health care professionals have time to go over things and explain about </w:t>
      </w:r>
      <w:r w:rsidRPr="00FB62A7">
        <w:rPr>
          <w:i/>
        </w:rPr>
        <w:lastRenderedPageBreak/>
        <w:t>t</w:t>
      </w:r>
      <w:r>
        <w:rPr>
          <w:i/>
        </w:rPr>
        <w:t>he disease and its management…</w:t>
      </w:r>
      <w:r w:rsidRPr="00FB62A7">
        <w:rPr>
          <w:i/>
        </w:rPr>
        <w:t xml:space="preserve">The service is equivalent to that provided by most average district general hospitals at a fraction of the cost.  </w:t>
      </w:r>
    </w:p>
    <w:p w:rsidR="00817193" w:rsidRDefault="00817193" w:rsidP="00E7686B">
      <w:pPr>
        <w:pStyle w:val="Heading2"/>
        <w:numPr>
          <w:ilvl w:val="0"/>
          <w:numId w:val="9"/>
        </w:numPr>
      </w:pPr>
      <w:bookmarkStart w:id="14" w:name="_Toc434938025"/>
      <w:r w:rsidRPr="00DF15C2">
        <w:t>Epilepsy</w:t>
      </w:r>
      <w:bookmarkEnd w:id="14"/>
      <w:r w:rsidRPr="00DF15C2">
        <w:t xml:space="preserve"> </w:t>
      </w:r>
    </w:p>
    <w:p w:rsidR="00113F54" w:rsidRPr="00113F54" w:rsidRDefault="00113F54" w:rsidP="00113F54"/>
    <w:tbl>
      <w:tblPr>
        <w:tblStyle w:val="LightList-Accent1"/>
        <w:tblW w:w="0" w:type="auto"/>
        <w:tblLook w:val="04A0" w:firstRow="1" w:lastRow="0" w:firstColumn="1" w:lastColumn="0" w:noHBand="0" w:noVBand="1"/>
      </w:tblPr>
      <w:tblGrid>
        <w:gridCol w:w="4621"/>
        <w:gridCol w:w="4621"/>
      </w:tblGrid>
      <w:tr w:rsidR="00AA0F0A" w:rsidRPr="002C4E34" w:rsidTr="00582F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AA0F0A" w:rsidRPr="002C4E34" w:rsidRDefault="003645DF" w:rsidP="00487C74">
            <w:r w:rsidRPr="002C4E34">
              <w:t>National data</w:t>
            </w:r>
          </w:p>
        </w:tc>
        <w:tc>
          <w:tcPr>
            <w:tcW w:w="4621" w:type="dxa"/>
          </w:tcPr>
          <w:p w:rsidR="00AA0F0A" w:rsidRPr="002C4E34" w:rsidRDefault="000202E7" w:rsidP="00113F54">
            <w:pPr>
              <w:cnfStyle w:val="100000000000" w:firstRow="1" w:lastRow="0" w:firstColumn="0" w:lastColumn="0" w:oddVBand="0" w:evenVBand="0" w:oddHBand="0" w:evenHBand="0" w:firstRowFirstColumn="0" w:firstRowLastColumn="0" w:lastRowFirstColumn="0" w:lastRowLastColumn="0"/>
            </w:pPr>
            <w:r w:rsidRPr="002C4E34">
              <w:t xml:space="preserve">Medway </w:t>
            </w:r>
          </w:p>
        </w:tc>
      </w:tr>
      <w:tr w:rsidR="00AA0F0A" w:rsidRPr="00113F54" w:rsidTr="00582F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817193" w:rsidRPr="00113F54" w:rsidRDefault="00817193" w:rsidP="00817193">
            <w:pPr>
              <w:rPr>
                <w:rFonts w:ascii="Helvetica" w:hAnsi="Helvetica"/>
                <w:color w:val="181818"/>
              </w:rPr>
            </w:pPr>
          </w:p>
          <w:p w:rsidR="00817193" w:rsidRPr="00113F54" w:rsidRDefault="00817193" w:rsidP="00817193">
            <w:pPr>
              <w:rPr>
                <w:rFonts w:ascii="Helvetica" w:hAnsi="Helvetica"/>
                <w:color w:val="181818"/>
              </w:rPr>
            </w:pPr>
            <w:r w:rsidRPr="00582F7C">
              <w:rPr>
                <w:rFonts w:ascii="Helvetica" w:hAnsi="Helvetica"/>
                <w:b w:val="0"/>
                <w:color w:val="181818"/>
              </w:rPr>
              <w:t>Epilepsy is one of the most common serious neurological disorders seen in primary care. Around 600,000 people in the UK have a diagnosis of epilepsy and are prescribed anti-epileptic drugs (AEDs) – the eq</w:t>
            </w:r>
            <w:r w:rsidR="000202E7" w:rsidRPr="00582F7C">
              <w:rPr>
                <w:rFonts w:ascii="Helvetica" w:hAnsi="Helvetica"/>
                <w:b w:val="0"/>
                <w:color w:val="181818"/>
              </w:rPr>
              <w:t>uivalent of 10 per 1,000 people</w:t>
            </w:r>
            <w:r w:rsidR="000202E7" w:rsidRPr="00113F54">
              <w:rPr>
                <w:rStyle w:val="FootnoteReference"/>
                <w:rFonts w:ascii="Helvetica" w:hAnsi="Helvetica"/>
                <w:color w:val="181818"/>
              </w:rPr>
              <w:footnoteReference w:id="38"/>
            </w:r>
          </w:p>
          <w:p w:rsidR="000202E7" w:rsidRPr="00113F54" w:rsidRDefault="000202E7" w:rsidP="00BA3044"/>
        </w:tc>
        <w:tc>
          <w:tcPr>
            <w:tcW w:w="4621" w:type="dxa"/>
          </w:tcPr>
          <w:p w:rsidR="00AA0F0A" w:rsidRPr="00113F54" w:rsidRDefault="00AA0F0A" w:rsidP="00487C74">
            <w:pPr>
              <w:cnfStyle w:val="000000100000" w:firstRow="0" w:lastRow="0" w:firstColumn="0" w:lastColumn="0" w:oddVBand="0" w:evenVBand="0" w:oddHBand="1" w:evenHBand="0" w:firstRowFirstColumn="0" w:firstRowLastColumn="0" w:lastRowFirstColumn="0" w:lastRowLastColumn="0"/>
            </w:pPr>
          </w:p>
          <w:p w:rsidR="00817193" w:rsidRPr="00113F54" w:rsidRDefault="00817193" w:rsidP="00487C74">
            <w:pPr>
              <w:cnfStyle w:val="000000100000" w:firstRow="0" w:lastRow="0" w:firstColumn="0" w:lastColumn="0" w:oddVBand="0" w:evenVBand="0" w:oddHBand="1" w:evenHBand="0" w:firstRowFirstColumn="0" w:firstRowLastColumn="0" w:lastRowFirstColumn="0" w:lastRowLastColumn="0"/>
            </w:pPr>
            <w:r w:rsidRPr="00113F54">
              <w:t xml:space="preserve">2,710 people (all ages) </w:t>
            </w:r>
            <w:r w:rsidR="00846046" w:rsidRPr="00113F54">
              <w:t>could have</w:t>
            </w:r>
            <w:r w:rsidRPr="00113F54">
              <w:t xml:space="preserve">  a diagnosis of epilepsy</w:t>
            </w:r>
          </w:p>
          <w:p w:rsidR="000202E7" w:rsidRPr="00113F54" w:rsidRDefault="000202E7" w:rsidP="00487C74">
            <w:pPr>
              <w:cnfStyle w:val="000000100000" w:firstRow="0" w:lastRow="0" w:firstColumn="0" w:lastColumn="0" w:oddVBand="0" w:evenVBand="0" w:oddHBand="1" w:evenHBand="0" w:firstRowFirstColumn="0" w:firstRowLastColumn="0" w:lastRowFirstColumn="0" w:lastRowLastColumn="0"/>
            </w:pPr>
          </w:p>
          <w:p w:rsidR="000202E7" w:rsidRPr="00113F54" w:rsidRDefault="000202E7" w:rsidP="00487C74">
            <w:pPr>
              <w:cnfStyle w:val="000000100000" w:firstRow="0" w:lastRow="0" w:firstColumn="0" w:lastColumn="0" w:oddVBand="0" w:evenVBand="0" w:oddHBand="1" w:evenHBand="0" w:firstRowFirstColumn="0" w:firstRowLastColumn="0" w:lastRowFirstColumn="0" w:lastRowLastColumn="0"/>
            </w:pPr>
          </w:p>
          <w:p w:rsidR="000202E7" w:rsidRPr="00113F54" w:rsidRDefault="000202E7" w:rsidP="00487C74">
            <w:pPr>
              <w:cnfStyle w:val="000000100000" w:firstRow="0" w:lastRow="0" w:firstColumn="0" w:lastColumn="0" w:oddVBand="0" w:evenVBand="0" w:oddHBand="1" w:evenHBand="0" w:firstRowFirstColumn="0" w:firstRowLastColumn="0" w:lastRowFirstColumn="0" w:lastRowLastColumn="0"/>
            </w:pPr>
          </w:p>
          <w:p w:rsidR="000202E7" w:rsidRPr="00113F54" w:rsidRDefault="000202E7" w:rsidP="00487C74">
            <w:pPr>
              <w:cnfStyle w:val="000000100000" w:firstRow="0" w:lastRow="0" w:firstColumn="0" w:lastColumn="0" w:oddVBand="0" w:evenVBand="0" w:oddHBand="1" w:evenHBand="0" w:firstRowFirstColumn="0" w:firstRowLastColumn="0" w:lastRowFirstColumn="0" w:lastRowLastColumn="0"/>
            </w:pPr>
          </w:p>
          <w:p w:rsidR="00BA3044" w:rsidRPr="00113F54" w:rsidRDefault="00BA3044" w:rsidP="00BA3044">
            <w:pPr>
              <w:cnfStyle w:val="000000100000" w:firstRow="0" w:lastRow="0" w:firstColumn="0" w:lastColumn="0" w:oddVBand="0" w:evenVBand="0" w:oddHBand="1" w:evenHBand="0" w:firstRowFirstColumn="0" w:firstRowLastColumn="0" w:lastRowFirstColumn="0" w:lastRowLastColumn="0"/>
            </w:pPr>
          </w:p>
        </w:tc>
      </w:tr>
      <w:tr w:rsidR="00AA0F0A" w:rsidRPr="00113F54" w:rsidTr="00582F7C">
        <w:tc>
          <w:tcPr>
            <w:cnfStyle w:val="001000000000" w:firstRow="0" w:lastRow="0" w:firstColumn="1" w:lastColumn="0" w:oddVBand="0" w:evenVBand="0" w:oddHBand="0" w:evenHBand="0" w:firstRowFirstColumn="0" w:firstRowLastColumn="0" w:lastRowFirstColumn="0" w:lastRowLastColumn="0"/>
            <w:tcW w:w="4621" w:type="dxa"/>
          </w:tcPr>
          <w:p w:rsidR="00BA3044" w:rsidRPr="00113F54" w:rsidRDefault="00BA3044" w:rsidP="00BA3044">
            <w:pPr>
              <w:rPr>
                <w:rFonts w:ascii="Helvetica" w:hAnsi="Helvetica"/>
                <w:color w:val="181818"/>
              </w:rPr>
            </w:pPr>
          </w:p>
          <w:p w:rsidR="00BA3044" w:rsidRPr="00582F7C" w:rsidRDefault="00BA3044" w:rsidP="00BA3044">
            <w:pPr>
              <w:rPr>
                <w:rFonts w:ascii="Helvetica" w:hAnsi="Helvetica"/>
                <w:b w:val="0"/>
                <w:color w:val="181818"/>
              </w:rPr>
            </w:pPr>
            <w:r w:rsidRPr="00582F7C">
              <w:rPr>
                <w:rFonts w:ascii="Helvetica" w:hAnsi="Helvetica"/>
                <w:b w:val="0"/>
                <w:color w:val="181818"/>
              </w:rPr>
              <w:t>The number of children and young people aged 18 years and under with epilepsy is near 1 in 220</w:t>
            </w:r>
            <w:r w:rsidRPr="00582F7C">
              <w:rPr>
                <w:rStyle w:val="FootnoteReference"/>
                <w:rFonts w:ascii="Helvetica" w:hAnsi="Helvetica"/>
                <w:b w:val="0"/>
                <w:color w:val="181818"/>
              </w:rPr>
              <w:footnoteReference w:id="39"/>
            </w:r>
          </w:p>
          <w:p w:rsidR="00AA0F0A" w:rsidRPr="00113F54" w:rsidRDefault="00AA0F0A" w:rsidP="00487C74"/>
        </w:tc>
        <w:tc>
          <w:tcPr>
            <w:tcW w:w="4621" w:type="dxa"/>
          </w:tcPr>
          <w:p w:rsidR="00BA3044" w:rsidRPr="00113F54" w:rsidRDefault="00BA3044" w:rsidP="00BA3044">
            <w:pPr>
              <w:cnfStyle w:val="000000000000" w:firstRow="0" w:lastRow="0" w:firstColumn="0" w:lastColumn="0" w:oddVBand="0" w:evenVBand="0" w:oddHBand="0" w:evenHBand="0" w:firstRowFirstColumn="0" w:firstRowLastColumn="0" w:lastRowFirstColumn="0" w:lastRowLastColumn="0"/>
            </w:pPr>
          </w:p>
          <w:p w:rsidR="00BA3044" w:rsidRPr="00113F54" w:rsidRDefault="00BA3044" w:rsidP="00FF627F">
            <w:pPr>
              <w:spacing w:line="276" w:lineRule="auto"/>
              <w:cnfStyle w:val="000000000000" w:firstRow="0" w:lastRow="0" w:firstColumn="0" w:lastColumn="0" w:oddVBand="0" w:evenVBand="0" w:oddHBand="0" w:evenHBand="0" w:firstRowFirstColumn="0" w:firstRowLastColumn="0" w:lastRowFirstColumn="0" w:lastRowLastColumn="0"/>
            </w:pPr>
            <w:r w:rsidRPr="00113F54">
              <w:t xml:space="preserve">Approximately </w:t>
            </w:r>
            <w:r w:rsidR="00885DCE">
              <w:t>330</w:t>
            </w:r>
            <w:r w:rsidRPr="00113F54">
              <w:t xml:space="preserve"> young people </w:t>
            </w:r>
            <w:r w:rsidR="00846046" w:rsidRPr="00113F54">
              <w:t xml:space="preserve">could have </w:t>
            </w:r>
            <w:r w:rsidRPr="00113F54">
              <w:t xml:space="preserve"> a diagnosis of epilepsy</w:t>
            </w:r>
            <w:r w:rsidR="00885DCE">
              <w:t xml:space="preserve"> (based on GP registrations 0 -19)</w:t>
            </w:r>
          </w:p>
          <w:p w:rsidR="00AA0F0A" w:rsidRPr="00113F54" w:rsidRDefault="00AA0F0A" w:rsidP="00487C74">
            <w:pPr>
              <w:cnfStyle w:val="000000000000" w:firstRow="0" w:lastRow="0" w:firstColumn="0" w:lastColumn="0" w:oddVBand="0" w:evenVBand="0" w:oddHBand="0" w:evenHBand="0" w:firstRowFirstColumn="0" w:firstRowLastColumn="0" w:lastRowFirstColumn="0" w:lastRowLastColumn="0"/>
            </w:pPr>
          </w:p>
        </w:tc>
      </w:tr>
      <w:tr w:rsidR="00AA0F0A" w:rsidRPr="00113F54" w:rsidTr="00582F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BA3044" w:rsidRPr="00113F54" w:rsidRDefault="00BA3044" w:rsidP="00BA3044">
            <w:pPr>
              <w:rPr>
                <w:rFonts w:ascii="Helvetica" w:hAnsi="Helvetica"/>
                <w:color w:val="181818"/>
              </w:rPr>
            </w:pPr>
          </w:p>
          <w:p w:rsidR="00BA3044" w:rsidRPr="00582F7C" w:rsidRDefault="00BA3044" w:rsidP="00BA3044">
            <w:pPr>
              <w:rPr>
                <w:rFonts w:ascii="Helvetica" w:hAnsi="Helvetica"/>
                <w:b w:val="0"/>
                <w:color w:val="181818"/>
              </w:rPr>
            </w:pPr>
            <w:r w:rsidRPr="00582F7C">
              <w:rPr>
                <w:rFonts w:ascii="Helvetica" w:hAnsi="Helvetica"/>
                <w:b w:val="0"/>
                <w:color w:val="181818"/>
              </w:rPr>
              <w:t>More than one in five people with epilepsy have learning or intellectual disabilities</w:t>
            </w:r>
          </w:p>
          <w:p w:rsidR="00AA0F0A" w:rsidRPr="00113F54" w:rsidRDefault="00AA0F0A" w:rsidP="00487C74"/>
        </w:tc>
        <w:tc>
          <w:tcPr>
            <w:tcW w:w="4621" w:type="dxa"/>
          </w:tcPr>
          <w:p w:rsidR="00BA3044" w:rsidRPr="00113F54" w:rsidRDefault="00BA3044" w:rsidP="00487C74">
            <w:pPr>
              <w:cnfStyle w:val="000000100000" w:firstRow="0" w:lastRow="0" w:firstColumn="0" w:lastColumn="0" w:oddVBand="0" w:evenVBand="0" w:oddHBand="1" w:evenHBand="0" w:firstRowFirstColumn="0" w:firstRowLastColumn="0" w:lastRowFirstColumn="0" w:lastRowLastColumn="0"/>
            </w:pPr>
          </w:p>
          <w:p w:rsidR="00AA0F0A" w:rsidRDefault="00885DCE" w:rsidP="00846046">
            <w:pPr>
              <w:cnfStyle w:val="000000100000" w:firstRow="0" w:lastRow="0" w:firstColumn="0" w:lastColumn="0" w:oddVBand="0" w:evenVBand="0" w:oddHBand="1" w:evenHBand="0" w:firstRowFirstColumn="0" w:firstRowLastColumn="0" w:lastRowFirstColumn="0" w:lastRowLastColumn="0"/>
            </w:pPr>
            <w:r>
              <w:t>Approximately 66</w:t>
            </w:r>
            <w:r w:rsidR="00BA3044" w:rsidRPr="00113F54">
              <w:t xml:space="preserve"> of </w:t>
            </w:r>
            <w:r w:rsidR="00392024" w:rsidRPr="00113F54">
              <w:t>Medway</w:t>
            </w:r>
            <w:r w:rsidR="00BA3044" w:rsidRPr="00113F54">
              <w:t xml:space="preserve"> young people </w:t>
            </w:r>
            <w:r w:rsidR="00392024" w:rsidRPr="00113F54">
              <w:t xml:space="preserve">with epilepsy </w:t>
            </w:r>
            <w:r w:rsidR="00846046" w:rsidRPr="00113F54">
              <w:t xml:space="preserve">could </w:t>
            </w:r>
            <w:r w:rsidR="00BA3044" w:rsidRPr="00113F54">
              <w:t xml:space="preserve"> also have learni</w:t>
            </w:r>
            <w:r w:rsidR="00392024" w:rsidRPr="00113F54">
              <w:t>ng or intellectual disabilities</w:t>
            </w:r>
          </w:p>
          <w:p w:rsidR="00C447C6" w:rsidRPr="00113F54" w:rsidRDefault="00C447C6" w:rsidP="00846046">
            <w:pPr>
              <w:cnfStyle w:val="000000100000" w:firstRow="0" w:lastRow="0" w:firstColumn="0" w:lastColumn="0" w:oddVBand="0" w:evenVBand="0" w:oddHBand="1" w:evenHBand="0" w:firstRowFirstColumn="0" w:firstRowLastColumn="0" w:lastRowFirstColumn="0" w:lastRowLastColumn="0"/>
            </w:pPr>
          </w:p>
        </w:tc>
      </w:tr>
    </w:tbl>
    <w:p w:rsidR="00B9587A" w:rsidRDefault="00B9587A" w:rsidP="00487C74">
      <w:pPr>
        <w:rPr>
          <w:sz w:val="24"/>
          <w:szCs w:val="24"/>
        </w:rPr>
      </w:pPr>
    </w:p>
    <w:p w:rsidR="007259FA" w:rsidRPr="00937300" w:rsidRDefault="00B35DA2" w:rsidP="00487C74">
      <w:pPr>
        <w:rPr>
          <w:szCs w:val="24"/>
        </w:rPr>
      </w:pPr>
      <w:r w:rsidRPr="00937300">
        <w:rPr>
          <w:szCs w:val="24"/>
        </w:rPr>
        <w:t xml:space="preserve">2013/14 data taken from CHIMAT’s Disease Management Tool shows that </w:t>
      </w:r>
      <w:r w:rsidR="00937300" w:rsidRPr="00937300">
        <w:rPr>
          <w:szCs w:val="24"/>
        </w:rPr>
        <w:t xml:space="preserve">the </w:t>
      </w:r>
      <w:r w:rsidRPr="00937300">
        <w:rPr>
          <w:szCs w:val="24"/>
        </w:rPr>
        <w:t xml:space="preserve">Medway </w:t>
      </w:r>
      <w:r w:rsidR="00937300" w:rsidRPr="00937300">
        <w:rPr>
          <w:szCs w:val="24"/>
        </w:rPr>
        <w:t>rate of 0 -19 admissions for Epilepsy is significantly higher the national rate and that of similar CCGs (see Fig</w:t>
      </w:r>
      <w:r w:rsidR="00F931BA">
        <w:rPr>
          <w:szCs w:val="24"/>
        </w:rPr>
        <w:t>ure</w:t>
      </w:r>
      <w:r w:rsidR="00937300" w:rsidRPr="00937300">
        <w:rPr>
          <w:szCs w:val="24"/>
        </w:rPr>
        <w:t xml:space="preserve"> </w:t>
      </w:r>
      <w:r w:rsidR="00F931BA">
        <w:rPr>
          <w:szCs w:val="24"/>
        </w:rPr>
        <w:t>17</w:t>
      </w:r>
      <w:r w:rsidR="00937300" w:rsidRPr="00937300">
        <w:rPr>
          <w:szCs w:val="24"/>
        </w:rPr>
        <w:t>)</w:t>
      </w:r>
    </w:p>
    <w:p w:rsidR="00937300" w:rsidRDefault="00937300" w:rsidP="00487C74">
      <w:pPr>
        <w:rPr>
          <w:sz w:val="24"/>
          <w:szCs w:val="24"/>
        </w:rPr>
      </w:pPr>
    </w:p>
    <w:tbl>
      <w:tblPr>
        <w:tblStyle w:val="LightList-Accent1"/>
        <w:tblW w:w="5000" w:type="pct"/>
        <w:tblLook w:val="04A0" w:firstRow="1" w:lastRow="0" w:firstColumn="1" w:lastColumn="0" w:noHBand="0" w:noVBand="1"/>
      </w:tblPr>
      <w:tblGrid>
        <w:gridCol w:w="4505"/>
        <w:gridCol w:w="2397"/>
        <w:gridCol w:w="2340"/>
      </w:tblGrid>
      <w:tr w:rsidR="007259FA" w:rsidRPr="002C4E34" w:rsidTr="005F0F90">
        <w:trPr>
          <w:cnfStyle w:val="100000000000" w:firstRow="1" w:lastRow="0" w:firstColumn="0" w:lastColumn="0" w:oddVBand="0" w:evenVBand="0" w:oddHBand="0"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2437" w:type="pct"/>
            <w:noWrap/>
            <w:hideMark/>
          </w:tcPr>
          <w:p w:rsidR="007259FA" w:rsidRPr="002C4E34" w:rsidRDefault="007259FA" w:rsidP="00B35DA2">
            <w:pPr>
              <w:jc w:val="center"/>
              <w:rPr>
                <w:rFonts w:eastAsia="Times New Roman" w:cs="Arial"/>
                <w:sz w:val="20"/>
                <w:szCs w:val="20"/>
                <w:lang w:eastAsia="en-GB"/>
              </w:rPr>
            </w:pPr>
            <w:r w:rsidRPr="002C4E34">
              <w:rPr>
                <w:rFonts w:eastAsia="Times New Roman" w:cs="Arial"/>
                <w:sz w:val="20"/>
                <w:szCs w:val="20"/>
                <w:lang w:eastAsia="en-GB"/>
              </w:rPr>
              <w:t> Epilepsy 13/14</w:t>
            </w:r>
            <w:r w:rsidR="00512857" w:rsidRPr="002C4E34">
              <w:rPr>
                <w:rFonts w:eastAsia="Times New Roman" w:cs="Arial"/>
                <w:sz w:val="20"/>
                <w:szCs w:val="20"/>
                <w:lang w:eastAsia="en-GB"/>
              </w:rPr>
              <w:t xml:space="preserve"> CHIMAT DMT</w:t>
            </w:r>
          </w:p>
        </w:tc>
        <w:tc>
          <w:tcPr>
            <w:tcW w:w="1297" w:type="pct"/>
            <w:hideMark/>
          </w:tcPr>
          <w:p w:rsidR="007259FA" w:rsidRPr="002C4E34" w:rsidRDefault="007259FA" w:rsidP="00B35DA2">
            <w:pPr>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z w:val="20"/>
                <w:szCs w:val="20"/>
                <w:lang w:eastAsia="en-GB"/>
              </w:rPr>
            </w:pPr>
            <w:r w:rsidRPr="002C4E34">
              <w:rPr>
                <w:rFonts w:eastAsia="Times New Roman" w:cs="Arial"/>
                <w:bCs w:val="0"/>
                <w:sz w:val="20"/>
                <w:szCs w:val="20"/>
                <w:lang w:eastAsia="en-GB"/>
              </w:rPr>
              <w:t>Admissions</w:t>
            </w:r>
          </w:p>
        </w:tc>
        <w:tc>
          <w:tcPr>
            <w:tcW w:w="1266" w:type="pct"/>
            <w:hideMark/>
          </w:tcPr>
          <w:p w:rsidR="007259FA" w:rsidRPr="002C4E34" w:rsidRDefault="007259FA" w:rsidP="00B35DA2">
            <w:pPr>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z w:val="20"/>
                <w:szCs w:val="20"/>
                <w:lang w:eastAsia="en-GB"/>
              </w:rPr>
            </w:pPr>
            <w:r w:rsidRPr="002C4E34">
              <w:rPr>
                <w:rFonts w:eastAsia="Times New Roman" w:cs="Arial"/>
                <w:bCs w:val="0"/>
                <w:sz w:val="20"/>
                <w:szCs w:val="20"/>
                <w:lang w:eastAsia="en-GB"/>
              </w:rPr>
              <w:t>Bed days</w:t>
            </w:r>
          </w:p>
        </w:tc>
      </w:tr>
      <w:tr w:rsidR="007259FA" w:rsidRPr="00E92AB9" w:rsidTr="005F0F90">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2437" w:type="pct"/>
            <w:hideMark/>
          </w:tcPr>
          <w:p w:rsidR="007259FA" w:rsidRPr="00E92AB9" w:rsidRDefault="007259FA" w:rsidP="00B35DA2">
            <w:pPr>
              <w:rPr>
                <w:rFonts w:eastAsia="Times New Roman" w:cs="Arial"/>
                <w:sz w:val="20"/>
                <w:szCs w:val="20"/>
                <w:lang w:eastAsia="en-GB"/>
              </w:rPr>
            </w:pPr>
            <w:r w:rsidRPr="00E92AB9">
              <w:rPr>
                <w:rFonts w:eastAsia="Times New Roman" w:cs="Arial"/>
                <w:sz w:val="20"/>
                <w:szCs w:val="20"/>
                <w:lang w:eastAsia="en-GB"/>
              </w:rPr>
              <w:t>NHS Medway (number)</w:t>
            </w:r>
          </w:p>
        </w:tc>
        <w:tc>
          <w:tcPr>
            <w:tcW w:w="1297" w:type="pct"/>
            <w:noWrap/>
            <w:vAlign w:val="center"/>
            <w:hideMark/>
          </w:tcPr>
          <w:p w:rsidR="007259FA" w:rsidRPr="00E92AB9" w:rsidRDefault="007259FA" w:rsidP="005F0F90">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sidRPr="00E92AB9">
              <w:rPr>
                <w:rFonts w:eastAsia="Times New Roman" w:cs="Arial"/>
                <w:sz w:val="20"/>
                <w:szCs w:val="20"/>
                <w:lang w:eastAsia="en-GB"/>
              </w:rPr>
              <w:t>79</w:t>
            </w:r>
          </w:p>
        </w:tc>
        <w:tc>
          <w:tcPr>
            <w:tcW w:w="1266" w:type="pct"/>
            <w:noWrap/>
            <w:vAlign w:val="center"/>
            <w:hideMark/>
          </w:tcPr>
          <w:p w:rsidR="007259FA" w:rsidRPr="00E92AB9" w:rsidRDefault="007259FA" w:rsidP="005F0F90">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sidRPr="00E92AB9">
              <w:rPr>
                <w:rFonts w:eastAsia="Times New Roman" w:cs="Arial"/>
                <w:sz w:val="20"/>
                <w:szCs w:val="20"/>
                <w:lang w:eastAsia="en-GB"/>
              </w:rPr>
              <w:t>71</w:t>
            </w:r>
          </w:p>
        </w:tc>
      </w:tr>
      <w:tr w:rsidR="007259FA" w:rsidRPr="00E92AB9" w:rsidTr="005F0F90">
        <w:trPr>
          <w:trHeight w:val="589"/>
        </w:trPr>
        <w:tc>
          <w:tcPr>
            <w:cnfStyle w:val="001000000000" w:firstRow="0" w:lastRow="0" w:firstColumn="1" w:lastColumn="0" w:oddVBand="0" w:evenVBand="0" w:oddHBand="0" w:evenHBand="0" w:firstRowFirstColumn="0" w:firstRowLastColumn="0" w:lastRowFirstColumn="0" w:lastRowLastColumn="0"/>
            <w:tcW w:w="2437" w:type="pct"/>
            <w:hideMark/>
          </w:tcPr>
          <w:p w:rsidR="007259FA" w:rsidRPr="00E92AB9" w:rsidRDefault="007259FA" w:rsidP="00B35DA2">
            <w:pPr>
              <w:rPr>
                <w:rFonts w:eastAsia="Times New Roman" w:cs="Arial"/>
                <w:sz w:val="20"/>
                <w:szCs w:val="20"/>
                <w:lang w:eastAsia="en-GB"/>
              </w:rPr>
            </w:pPr>
            <w:r w:rsidRPr="00E92AB9">
              <w:rPr>
                <w:rFonts w:eastAsia="Times New Roman" w:cs="Arial"/>
                <w:sz w:val="20"/>
                <w:szCs w:val="20"/>
                <w:lang w:eastAsia="en-GB"/>
              </w:rPr>
              <w:t>Rate per 100,000 population</w:t>
            </w:r>
          </w:p>
        </w:tc>
        <w:tc>
          <w:tcPr>
            <w:tcW w:w="1297" w:type="pct"/>
            <w:noWrap/>
            <w:vAlign w:val="center"/>
            <w:hideMark/>
          </w:tcPr>
          <w:p w:rsidR="007259FA" w:rsidRPr="00E92AB9" w:rsidRDefault="007259FA" w:rsidP="005F0F90">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E92AB9">
              <w:rPr>
                <w:rFonts w:eastAsia="Times New Roman" w:cs="Arial"/>
                <w:sz w:val="20"/>
                <w:szCs w:val="20"/>
                <w:lang w:eastAsia="en-GB"/>
              </w:rPr>
              <w:t>114.7</w:t>
            </w:r>
          </w:p>
        </w:tc>
        <w:tc>
          <w:tcPr>
            <w:tcW w:w="1266" w:type="pct"/>
            <w:noWrap/>
            <w:vAlign w:val="center"/>
            <w:hideMark/>
          </w:tcPr>
          <w:p w:rsidR="007259FA" w:rsidRPr="00E92AB9" w:rsidRDefault="007259FA" w:rsidP="005F0F90">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E92AB9">
              <w:rPr>
                <w:rFonts w:eastAsia="Times New Roman" w:cs="Arial"/>
                <w:sz w:val="20"/>
                <w:szCs w:val="20"/>
                <w:lang w:eastAsia="en-GB"/>
              </w:rPr>
              <w:t>103.1</w:t>
            </w:r>
          </w:p>
        </w:tc>
      </w:tr>
      <w:tr w:rsidR="007259FA" w:rsidRPr="00E92AB9" w:rsidTr="005F0F90">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2437" w:type="pct"/>
            <w:hideMark/>
          </w:tcPr>
          <w:p w:rsidR="007259FA" w:rsidRPr="00E92AB9" w:rsidRDefault="007259FA" w:rsidP="00B35DA2">
            <w:pPr>
              <w:rPr>
                <w:rFonts w:eastAsia="Times New Roman" w:cs="Arial"/>
                <w:sz w:val="20"/>
                <w:szCs w:val="20"/>
                <w:lang w:eastAsia="en-GB"/>
              </w:rPr>
            </w:pPr>
            <w:r w:rsidRPr="00E92AB9">
              <w:rPr>
                <w:rFonts w:eastAsia="Times New Roman" w:cs="Arial"/>
                <w:sz w:val="20"/>
                <w:szCs w:val="20"/>
                <w:lang w:eastAsia="en-GB"/>
              </w:rPr>
              <w:t>England (rate)</w:t>
            </w:r>
          </w:p>
        </w:tc>
        <w:tc>
          <w:tcPr>
            <w:tcW w:w="1297" w:type="pct"/>
            <w:noWrap/>
            <w:vAlign w:val="center"/>
            <w:hideMark/>
          </w:tcPr>
          <w:p w:rsidR="007259FA" w:rsidRPr="00E92AB9" w:rsidRDefault="007259FA" w:rsidP="005F0F90">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sidRPr="00E92AB9">
              <w:rPr>
                <w:rFonts w:eastAsia="Times New Roman" w:cs="Arial"/>
                <w:sz w:val="20"/>
                <w:szCs w:val="20"/>
                <w:lang w:eastAsia="en-GB"/>
              </w:rPr>
              <w:t>77.8</w:t>
            </w:r>
          </w:p>
        </w:tc>
        <w:tc>
          <w:tcPr>
            <w:tcW w:w="1266" w:type="pct"/>
            <w:noWrap/>
            <w:vAlign w:val="center"/>
            <w:hideMark/>
          </w:tcPr>
          <w:p w:rsidR="007259FA" w:rsidRPr="00E92AB9" w:rsidRDefault="007259FA" w:rsidP="005F0F90">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sidRPr="00E92AB9">
              <w:rPr>
                <w:rFonts w:eastAsia="Times New Roman" w:cs="Arial"/>
                <w:sz w:val="20"/>
                <w:szCs w:val="20"/>
                <w:lang w:eastAsia="en-GB"/>
              </w:rPr>
              <w:t>153.9</w:t>
            </w:r>
          </w:p>
        </w:tc>
      </w:tr>
      <w:tr w:rsidR="007259FA" w:rsidRPr="00E92AB9" w:rsidTr="00814E24">
        <w:trPr>
          <w:trHeight w:val="589"/>
        </w:trPr>
        <w:tc>
          <w:tcPr>
            <w:cnfStyle w:val="001000000000" w:firstRow="0" w:lastRow="0" w:firstColumn="1" w:lastColumn="0" w:oddVBand="0" w:evenVBand="0" w:oddHBand="0" w:evenHBand="0" w:firstRowFirstColumn="0" w:firstRowLastColumn="0" w:lastRowFirstColumn="0" w:lastRowLastColumn="0"/>
            <w:tcW w:w="2437" w:type="pct"/>
            <w:hideMark/>
          </w:tcPr>
          <w:p w:rsidR="007259FA" w:rsidRPr="00E92AB9" w:rsidRDefault="007259FA" w:rsidP="00B35DA2">
            <w:pPr>
              <w:rPr>
                <w:rFonts w:eastAsia="Times New Roman" w:cs="Arial"/>
                <w:sz w:val="20"/>
                <w:szCs w:val="20"/>
                <w:lang w:eastAsia="en-GB"/>
              </w:rPr>
            </w:pPr>
            <w:r w:rsidRPr="00E92AB9">
              <w:rPr>
                <w:rFonts w:eastAsia="Times New Roman" w:cs="Arial"/>
                <w:sz w:val="20"/>
                <w:szCs w:val="20"/>
                <w:lang w:eastAsia="en-GB"/>
              </w:rPr>
              <w:t>Significance*</w:t>
            </w:r>
          </w:p>
        </w:tc>
        <w:tc>
          <w:tcPr>
            <w:tcW w:w="1297" w:type="pct"/>
            <w:shd w:val="clear" w:color="auto" w:fill="FF0000"/>
            <w:noWrap/>
            <w:vAlign w:val="center"/>
            <w:hideMark/>
          </w:tcPr>
          <w:p w:rsidR="007259FA" w:rsidRPr="00E92AB9" w:rsidRDefault="007259FA" w:rsidP="005F0F9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FFFF"/>
                <w:sz w:val="20"/>
                <w:szCs w:val="20"/>
                <w:lang w:eastAsia="en-GB"/>
              </w:rPr>
            </w:pPr>
            <w:r w:rsidRPr="00E92AB9">
              <w:rPr>
                <w:rFonts w:eastAsia="Times New Roman" w:cs="Arial"/>
                <w:color w:val="FFFFFF"/>
                <w:sz w:val="20"/>
                <w:szCs w:val="20"/>
                <w:lang w:eastAsia="en-GB"/>
              </w:rPr>
              <w:t>Worse</w:t>
            </w:r>
          </w:p>
        </w:tc>
        <w:tc>
          <w:tcPr>
            <w:tcW w:w="1266" w:type="pct"/>
            <w:shd w:val="clear" w:color="auto" w:fill="4F81BD"/>
            <w:noWrap/>
            <w:vAlign w:val="center"/>
            <w:hideMark/>
          </w:tcPr>
          <w:p w:rsidR="007259FA" w:rsidRPr="00E92AB9" w:rsidRDefault="007259FA" w:rsidP="005F0F9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FFFF"/>
                <w:sz w:val="20"/>
                <w:szCs w:val="20"/>
                <w:lang w:eastAsia="en-GB"/>
              </w:rPr>
            </w:pPr>
            <w:r w:rsidRPr="00E92AB9">
              <w:rPr>
                <w:rFonts w:eastAsia="Times New Roman" w:cs="Arial"/>
                <w:color w:val="FFFFFF"/>
                <w:sz w:val="20"/>
                <w:szCs w:val="20"/>
                <w:lang w:eastAsia="en-GB"/>
              </w:rPr>
              <w:t>Better</w:t>
            </w:r>
          </w:p>
        </w:tc>
      </w:tr>
      <w:tr w:rsidR="007259FA" w:rsidRPr="00E92AB9" w:rsidTr="005F0F90">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2437" w:type="pct"/>
          </w:tcPr>
          <w:p w:rsidR="007259FA" w:rsidRPr="00E92AB9" w:rsidRDefault="007259FA" w:rsidP="00B35DA2">
            <w:pPr>
              <w:rPr>
                <w:rFonts w:eastAsia="Times New Roman" w:cs="Arial"/>
                <w:sz w:val="20"/>
                <w:szCs w:val="20"/>
                <w:lang w:eastAsia="en-GB"/>
              </w:rPr>
            </w:pPr>
            <w:r>
              <w:rPr>
                <w:rFonts w:eastAsia="Times New Roman" w:cs="Arial"/>
                <w:sz w:val="20"/>
                <w:szCs w:val="20"/>
                <w:lang w:eastAsia="en-GB"/>
              </w:rPr>
              <w:t>4 Most similar CCGs (rate)</w:t>
            </w:r>
          </w:p>
        </w:tc>
        <w:tc>
          <w:tcPr>
            <w:tcW w:w="1297" w:type="pct"/>
            <w:noWrap/>
            <w:vAlign w:val="center"/>
          </w:tcPr>
          <w:p w:rsidR="007259FA" w:rsidRPr="00E92AB9" w:rsidRDefault="007259FA" w:rsidP="005F0F90">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Pr>
                <w:rFonts w:eastAsia="Times New Roman" w:cs="Arial"/>
                <w:sz w:val="20"/>
                <w:szCs w:val="20"/>
                <w:lang w:eastAsia="en-GB"/>
              </w:rPr>
              <w:t>65.5</w:t>
            </w:r>
          </w:p>
        </w:tc>
        <w:tc>
          <w:tcPr>
            <w:tcW w:w="1266" w:type="pct"/>
            <w:noWrap/>
            <w:vAlign w:val="center"/>
          </w:tcPr>
          <w:p w:rsidR="007259FA" w:rsidRPr="00E92AB9" w:rsidRDefault="007259FA" w:rsidP="005F0F90">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Pr>
                <w:rFonts w:eastAsia="Times New Roman" w:cs="Arial"/>
                <w:sz w:val="20"/>
                <w:szCs w:val="20"/>
                <w:lang w:eastAsia="en-GB"/>
              </w:rPr>
              <w:t>114.6</w:t>
            </w:r>
          </w:p>
        </w:tc>
      </w:tr>
      <w:tr w:rsidR="007259FA" w:rsidRPr="00E92AB9" w:rsidTr="00814E24">
        <w:trPr>
          <w:trHeight w:val="589"/>
        </w:trPr>
        <w:tc>
          <w:tcPr>
            <w:cnfStyle w:val="001000000000" w:firstRow="0" w:lastRow="0" w:firstColumn="1" w:lastColumn="0" w:oddVBand="0" w:evenVBand="0" w:oddHBand="0" w:evenHBand="0" w:firstRowFirstColumn="0" w:firstRowLastColumn="0" w:lastRowFirstColumn="0" w:lastRowLastColumn="0"/>
            <w:tcW w:w="2437" w:type="pct"/>
          </w:tcPr>
          <w:p w:rsidR="007259FA" w:rsidRPr="00E92AB9" w:rsidRDefault="007259FA" w:rsidP="00B35DA2">
            <w:pPr>
              <w:rPr>
                <w:rFonts w:eastAsia="Times New Roman" w:cs="Arial"/>
                <w:sz w:val="20"/>
                <w:szCs w:val="20"/>
                <w:lang w:eastAsia="en-GB"/>
              </w:rPr>
            </w:pPr>
            <w:r>
              <w:rPr>
                <w:rFonts w:eastAsia="Times New Roman" w:cs="Arial"/>
                <w:sz w:val="20"/>
                <w:szCs w:val="20"/>
                <w:lang w:eastAsia="en-GB"/>
              </w:rPr>
              <w:t>Significance**</w:t>
            </w:r>
          </w:p>
        </w:tc>
        <w:tc>
          <w:tcPr>
            <w:tcW w:w="1297" w:type="pct"/>
            <w:shd w:val="clear" w:color="auto" w:fill="FF0000"/>
            <w:noWrap/>
            <w:vAlign w:val="center"/>
          </w:tcPr>
          <w:p w:rsidR="007259FA" w:rsidRPr="00E92AB9" w:rsidRDefault="007259FA" w:rsidP="005F0F90">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E92AB9">
              <w:rPr>
                <w:rFonts w:eastAsia="Times New Roman" w:cs="Arial"/>
                <w:color w:val="FFFFFF"/>
                <w:sz w:val="20"/>
                <w:szCs w:val="20"/>
                <w:lang w:eastAsia="en-GB"/>
              </w:rPr>
              <w:t>Worse</w:t>
            </w:r>
          </w:p>
        </w:tc>
        <w:tc>
          <w:tcPr>
            <w:tcW w:w="1266" w:type="pct"/>
            <w:shd w:val="clear" w:color="auto" w:fill="4F81BD"/>
            <w:noWrap/>
            <w:vAlign w:val="center"/>
          </w:tcPr>
          <w:p w:rsidR="007259FA" w:rsidRPr="00E92AB9" w:rsidRDefault="007259FA" w:rsidP="005F0F90">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C11597">
              <w:rPr>
                <w:rFonts w:eastAsia="Times New Roman" w:cs="Arial"/>
                <w:color w:val="FFFFFF" w:themeColor="background1"/>
                <w:sz w:val="20"/>
                <w:szCs w:val="20"/>
                <w:lang w:eastAsia="en-GB"/>
              </w:rPr>
              <w:t>Same</w:t>
            </w:r>
          </w:p>
        </w:tc>
      </w:tr>
      <w:tr w:rsidR="007259FA" w:rsidRPr="00E92AB9" w:rsidTr="005F0F90">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2437" w:type="pct"/>
            <w:hideMark/>
          </w:tcPr>
          <w:p w:rsidR="007259FA" w:rsidRPr="00E92AB9" w:rsidRDefault="007259FA" w:rsidP="00B35DA2">
            <w:pPr>
              <w:rPr>
                <w:rFonts w:eastAsia="Times New Roman" w:cs="Arial"/>
                <w:sz w:val="20"/>
                <w:szCs w:val="20"/>
                <w:lang w:eastAsia="en-GB"/>
              </w:rPr>
            </w:pPr>
            <w:r w:rsidRPr="00E92AB9">
              <w:rPr>
                <w:rFonts w:eastAsia="Times New Roman" w:cs="Arial"/>
                <w:sz w:val="20"/>
                <w:szCs w:val="20"/>
                <w:lang w:eastAsia="en-GB"/>
              </w:rPr>
              <w:t xml:space="preserve">Rank (of 221 CCGs) </w:t>
            </w:r>
            <w:r w:rsidRPr="00E92AB9">
              <w:rPr>
                <w:rFonts w:eastAsia="Times New Roman" w:cs="Arial"/>
                <w:sz w:val="20"/>
                <w:szCs w:val="20"/>
                <w:lang w:eastAsia="en-GB"/>
              </w:rPr>
              <w:br/>
              <w:t>1 indicates 'best'</w:t>
            </w:r>
          </w:p>
        </w:tc>
        <w:tc>
          <w:tcPr>
            <w:tcW w:w="1297" w:type="pct"/>
            <w:noWrap/>
            <w:vAlign w:val="center"/>
            <w:hideMark/>
          </w:tcPr>
          <w:p w:rsidR="007259FA" w:rsidRPr="00E92AB9" w:rsidRDefault="007259FA" w:rsidP="005F0F90">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sidRPr="00E92AB9">
              <w:rPr>
                <w:rFonts w:eastAsia="Times New Roman" w:cs="Arial"/>
                <w:sz w:val="20"/>
                <w:szCs w:val="20"/>
                <w:lang w:eastAsia="en-GB"/>
              </w:rPr>
              <w:t>185</w:t>
            </w:r>
          </w:p>
        </w:tc>
        <w:tc>
          <w:tcPr>
            <w:tcW w:w="1266" w:type="pct"/>
            <w:noWrap/>
            <w:vAlign w:val="center"/>
            <w:hideMark/>
          </w:tcPr>
          <w:p w:rsidR="007259FA" w:rsidRPr="00E92AB9" w:rsidRDefault="007259FA" w:rsidP="005F0F90">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sidRPr="00E92AB9">
              <w:rPr>
                <w:rFonts w:eastAsia="Times New Roman" w:cs="Arial"/>
                <w:sz w:val="20"/>
                <w:szCs w:val="20"/>
                <w:lang w:eastAsia="en-GB"/>
              </w:rPr>
              <w:t>76</w:t>
            </w:r>
          </w:p>
        </w:tc>
      </w:tr>
    </w:tbl>
    <w:p w:rsidR="00EB0C77" w:rsidRDefault="00EB0C77" w:rsidP="00EB0C77">
      <w:pPr>
        <w:pStyle w:val="Caption"/>
      </w:pPr>
      <w:r>
        <w:t xml:space="preserve">Figure </w:t>
      </w:r>
      <w:r w:rsidR="00156E8B">
        <w:fldChar w:fldCharType="begin"/>
      </w:r>
      <w:r w:rsidR="00156E8B">
        <w:instrText xml:space="preserve"> SEQ Figure \* ARABIC </w:instrText>
      </w:r>
      <w:r w:rsidR="00156E8B">
        <w:fldChar w:fldCharType="separate"/>
      </w:r>
      <w:r w:rsidR="005C553C">
        <w:rPr>
          <w:noProof/>
        </w:rPr>
        <w:t>17</w:t>
      </w:r>
      <w:r w:rsidR="00156E8B">
        <w:rPr>
          <w:noProof/>
        </w:rPr>
        <w:fldChar w:fldCharType="end"/>
      </w:r>
      <w:r>
        <w:t xml:space="preserve"> Epilepsy admissions</w:t>
      </w:r>
    </w:p>
    <w:p w:rsidR="007259FA" w:rsidRDefault="007259FA" w:rsidP="00487C74">
      <w:pPr>
        <w:rPr>
          <w:sz w:val="20"/>
          <w:szCs w:val="24"/>
        </w:rPr>
      </w:pPr>
      <w:r w:rsidRPr="007259FA">
        <w:rPr>
          <w:sz w:val="20"/>
          <w:szCs w:val="24"/>
        </w:rPr>
        <w:lastRenderedPageBreak/>
        <w:t>*When compared to England</w:t>
      </w:r>
    </w:p>
    <w:p w:rsidR="007259FA" w:rsidRDefault="007259FA" w:rsidP="00487C74">
      <w:pPr>
        <w:rPr>
          <w:sz w:val="20"/>
          <w:szCs w:val="24"/>
        </w:rPr>
      </w:pPr>
      <w:r>
        <w:rPr>
          <w:sz w:val="20"/>
          <w:szCs w:val="24"/>
        </w:rPr>
        <w:t>** When compared to the average of the four most similar CCGs</w:t>
      </w:r>
    </w:p>
    <w:p w:rsidR="00201ABF" w:rsidRDefault="00201ABF" w:rsidP="00487C74">
      <w:pPr>
        <w:rPr>
          <w:sz w:val="20"/>
          <w:szCs w:val="24"/>
        </w:rPr>
      </w:pPr>
    </w:p>
    <w:p w:rsidR="00201ABF" w:rsidRDefault="009A2968" w:rsidP="00487C74">
      <w:pPr>
        <w:rPr>
          <w:szCs w:val="24"/>
        </w:rPr>
      </w:pPr>
      <w:r>
        <w:rPr>
          <w:szCs w:val="24"/>
        </w:rPr>
        <w:t xml:space="preserve"> Data for 2013/14 demonstrates a rising trend in admissions </w:t>
      </w:r>
      <w:r w:rsidR="00201ABF">
        <w:rPr>
          <w:szCs w:val="24"/>
        </w:rPr>
        <w:t>(see Fig</w:t>
      </w:r>
      <w:r w:rsidR="00F931BA">
        <w:rPr>
          <w:szCs w:val="24"/>
        </w:rPr>
        <w:t>ure 18</w:t>
      </w:r>
      <w:r w:rsidR="00201ABF">
        <w:rPr>
          <w:szCs w:val="24"/>
        </w:rPr>
        <w:t>)</w:t>
      </w:r>
    </w:p>
    <w:p w:rsidR="00201ABF" w:rsidRDefault="009A2968" w:rsidP="00487C74">
      <w:pPr>
        <w:rPr>
          <w:szCs w:val="24"/>
        </w:rPr>
      </w:pPr>
      <w:r>
        <w:rPr>
          <w:noProof/>
          <w:lang w:eastAsia="en-GB"/>
        </w:rPr>
        <w:drawing>
          <wp:inline distT="0" distB="0" distL="0" distR="0" wp14:anchorId="3437864A" wp14:editId="51279594">
            <wp:extent cx="5180400" cy="2534400"/>
            <wp:effectExtent l="0" t="0" r="20320" b="184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01ABF" w:rsidRDefault="00F931BA" w:rsidP="00F931BA">
      <w:pPr>
        <w:pStyle w:val="Caption"/>
        <w:rPr>
          <w:szCs w:val="24"/>
        </w:rPr>
      </w:pPr>
      <w:r>
        <w:t xml:space="preserve">Figure </w:t>
      </w:r>
      <w:r w:rsidR="00156E8B">
        <w:fldChar w:fldCharType="begin"/>
      </w:r>
      <w:r w:rsidR="00156E8B">
        <w:instrText xml:space="preserve"> SEQ Figure \* ARABIC </w:instrText>
      </w:r>
      <w:r w:rsidR="00156E8B">
        <w:fldChar w:fldCharType="separate"/>
      </w:r>
      <w:r w:rsidR="005C553C">
        <w:rPr>
          <w:noProof/>
        </w:rPr>
        <w:t>18</w:t>
      </w:r>
      <w:r w:rsidR="00156E8B">
        <w:rPr>
          <w:noProof/>
        </w:rPr>
        <w:fldChar w:fldCharType="end"/>
      </w:r>
      <w:r>
        <w:t xml:space="preserve"> Epilepsy admissions per 100,000 population</w:t>
      </w:r>
    </w:p>
    <w:p w:rsidR="00E00809" w:rsidRPr="00937300" w:rsidRDefault="00AF2908" w:rsidP="00487C74">
      <w:pPr>
        <w:rPr>
          <w:szCs w:val="24"/>
        </w:rPr>
      </w:pPr>
      <w:r>
        <w:rPr>
          <w:szCs w:val="24"/>
        </w:rPr>
        <w:t>CHIMAT’s p</w:t>
      </w:r>
      <w:r w:rsidR="00937300" w:rsidRPr="00937300">
        <w:rPr>
          <w:szCs w:val="24"/>
        </w:rPr>
        <w:t>rojected savings</w:t>
      </w:r>
      <w:r w:rsidR="00937300">
        <w:rPr>
          <w:szCs w:val="24"/>
        </w:rPr>
        <w:t xml:space="preserve"> </w:t>
      </w:r>
      <w:r w:rsidR="00201ABF">
        <w:rPr>
          <w:szCs w:val="24"/>
        </w:rPr>
        <w:t xml:space="preserve">from improved performance are shown in Fig </w:t>
      </w:r>
      <w:r w:rsidR="00F931BA">
        <w:rPr>
          <w:szCs w:val="24"/>
        </w:rPr>
        <w:t>19</w:t>
      </w:r>
      <w:r w:rsidR="00201ABF">
        <w:rPr>
          <w:szCs w:val="24"/>
        </w:rPr>
        <w:t>:</w:t>
      </w:r>
    </w:p>
    <w:p w:rsidR="00E00809" w:rsidRDefault="00E00809" w:rsidP="00487C74">
      <w:pPr>
        <w:rPr>
          <w:sz w:val="24"/>
          <w:szCs w:val="24"/>
        </w:rPr>
      </w:pPr>
    </w:p>
    <w:tbl>
      <w:tblPr>
        <w:tblStyle w:val="LightList-Accent1"/>
        <w:tblW w:w="5000" w:type="pct"/>
        <w:tblLayout w:type="fixed"/>
        <w:tblLook w:val="04A0" w:firstRow="1" w:lastRow="0" w:firstColumn="1" w:lastColumn="0" w:noHBand="0" w:noVBand="1"/>
      </w:tblPr>
      <w:tblGrid>
        <w:gridCol w:w="3083"/>
        <w:gridCol w:w="1279"/>
        <w:gridCol w:w="1843"/>
        <w:gridCol w:w="1558"/>
        <w:gridCol w:w="1479"/>
      </w:tblGrid>
      <w:tr w:rsidR="007259FA" w:rsidRPr="002C4E34" w:rsidTr="005F0F90">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68" w:type="pct"/>
            <w:shd w:val="clear" w:color="auto" w:fill="auto"/>
            <w:noWrap/>
            <w:hideMark/>
          </w:tcPr>
          <w:p w:rsidR="007259FA" w:rsidRPr="002C4E34" w:rsidRDefault="007259FA" w:rsidP="00B35DA2">
            <w:pPr>
              <w:rPr>
                <w:rFonts w:eastAsia="Times New Roman" w:cs="Arial"/>
                <w:sz w:val="20"/>
                <w:szCs w:val="20"/>
                <w:lang w:eastAsia="en-GB"/>
              </w:rPr>
            </w:pPr>
            <w:r w:rsidRPr="002C4E34">
              <w:rPr>
                <w:rFonts w:eastAsia="Times New Roman" w:cs="Arial"/>
                <w:b w:val="0"/>
                <w:color w:val="auto"/>
                <w:sz w:val="20"/>
                <w:szCs w:val="20"/>
                <w:lang w:eastAsia="en-GB"/>
              </w:rPr>
              <w:t> </w:t>
            </w:r>
            <w:r w:rsidRPr="002C4E34">
              <w:rPr>
                <w:rFonts w:eastAsia="Times New Roman" w:cs="Arial"/>
                <w:color w:val="auto"/>
                <w:sz w:val="20"/>
                <w:szCs w:val="20"/>
                <w:lang w:eastAsia="en-GB"/>
              </w:rPr>
              <w:t>Epilepsy</w:t>
            </w:r>
          </w:p>
        </w:tc>
        <w:tc>
          <w:tcPr>
            <w:tcW w:w="692" w:type="pct"/>
            <w:hideMark/>
          </w:tcPr>
          <w:p w:rsidR="007259FA" w:rsidRPr="002C4E34" w:rsidRDefault="007259FA" w:rsidP="00B35DA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lang w:eastAsia="en-GB"/>
              </w:rPr>
            </w:pPr>
            <w:r w:rsidRPr="002C4E34">
              <w:rPr>
                <w:rFonts w:eastAsia="Times New Roman" w:cs="Arial"/>
                <w:b w:val="0"/>
                <w:bCs w:val="0"/>
                <w:sz w:val="20"/>
                <w:szCs w:val="20"/>
                <w:lang w:eastAsia="en-GB"/>
              </w:rPr>
              <w:t>Medway</w:t>
            </w:r>
          </w:p>
        </w:tc>
        <w:tc>
          <w:tcPr>
            <w:tcW w:w="997" w:type="pct"/>
            <w:hideMark/>
          </w:tcPr>
          <w:p w:rsidR="007259FA" w:rsidRPr="002C4E34" w:rsidRDefault="007259FA" w:rsidP="00B35DA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lang w:eastAsia="en-GB"/>
              </w:rPr>
            </w:pPr>
            <w:r w:rsidRPr="002C4E34">
              <w:rPr>
                <w:rFonts w:eastAsia="Times New Roman" w:cs="Arial"/>
                <w:b w:val="0"/>
                <w:bCs w:val="0"/>
                <w:sz w:val="20"/>
                <w:szCs w:val="20"/>
                <w:lang w:eastAsia="en-GB"/>
              </w:rPr>
              <w:t>England</w:t>
            </w:r>
          </w:p>
        </w:tc>
        <w:tc>
          <w:tcPr>
            <w:tcW w:w="843" w:type="pct"/>
            <w:hideMark/>
          </w:tcPr>
          <w:p w:rsidR="007259FA" w:rsidRPr="002C4E34" w:rsidRDefault="007259FA" w:rsidP="00B35DA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lang w:eastAsia="en-GB"/>
              </w:rPr>
            </w:pPr>
            <w:r w:rsidRPr="002C4E34">
              <w:rPr>
                <w:rFonts w:eastAsia="Times New Roman" w:cs="Arial"/>
                <w:b w:val="0"/>
                <w:bCs w:val="0"/>
                <w:sz w:val="20"/>
                <w:szCs w:val="20"/>
                <w:lang w:eastAsia="en-GB"/>
              </w:rPr>
              <w:t>The best performing 25%</w:t>
            </w:r>
            <w:r w:rsidR="007133F1" w:rsidRPr="002C4E34">
              <w:rPr>
                <w:rFonts w:eastAsia="Times New Roman" w:cs="Arial"/>
                <w:b w:val="0"/>
                <w:bCs w:val="0"/>
                <w:sz w:val="20"/>
                <w:szCs w:val="20"/>
                <w:lang w:eastAsia="en-GB"/>
              </w:rPr>
              <w:t xml:space="preserve"> CCGs</w:t>
            </w:r>
          </w:p>
        </w:tc>
        <w:tc>
          <w:tcPr>
            <w:tcW w:w="800" w:type="pct"/>
            <w:hideMark/>
          </w:tcPr>
          <w:p w:rsidR="007259FA" w:rsidRPr="002C4E34" w:rsidRDefault="007259FA" w:rsidP="00B35DA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lang w:eastAsia="en-GB"/>
              </w:rPr>
            </w:pPr>
            <w:r w:rsidRPr="002C4E34">
              <w:rPr>
                <w:rFonts w:eastAsia="Times New Roman" w:cs="Arial"/>
                <w:b w:val="0"/>
                <w:bCs w:val="0"/>
                <w:sz w:val="20"/>
                <w:szCs w:val="20"/>
                <w:lang w:eastAsia="en-GB"/>
              </w:rPr>
              <w:t>The best performing 5%</w:t>
            </w:r>
            <w:r w:rsidR="007133F1" w:rsidRPr="002C4E34">
              <w:rPr>
                <w:rFonts w:eastAsia="Times New Roman" w:cs="Arial"/>
                <w:b w:val="0"/>
                <w:bCs w:val="0"/>
                <w:sz w:val="20"/>
                <w:szCs w:val="20"/>
                <w:lang w:eastAsia="en-GB"/>
              </w:rPr>
              <w:t xml:space="preserve"> CCGs</w:t>
            </w:r>
          </w:p>
        </w:tc>
      </w:tr>
      <w:tr w:rsidR="007133F1" w:rsidRPr="00E4603F" w:rsidTr="005F0F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8" w:type="pct"/>
            <w:noWrap/>
            <w:hideMark/>
          </w:tcPr>
          <w:p w:rsidR="007259FA" w:rsidRPr="00F238A7" w:rsidRDefault="007259FA" w:rsidP="00B35DA2">
            <w:pPr>
              <w:rPr>
                <w:rFonts w:eastAsia="Times New Roman" w:cs="Arial"/>
                <w:sz w:val="20"/>
                <w:szCs w:val="20"/>
                <w:lang w:eastAsia="en-GB"/>
              </w:rPr>
            </w:pPr>
            <w:r w:rsidRPr="00F238A7">
              <w:rPr>
                <w:rFonts w:eastAsia="Times New Roman" w:cs="Arial"/>
                <w:sz w:val="20"/>
                <w:szCs w:val="20"/>
                <w:lang w:eastAsia="en-GB"/>
              </w:rPr>
              <w:t>Admissions per 100,000 population aged 0-18</w:t>
            </w:r>
          </w:p>
        </w:tc>
        <w:tc>
          <w:tcPr>
            <w:tcW w:w="692" w:type="pct"/>
            <w:noWrap/>
            <w:hideMark/>
          </w:tcPr>
          <w:p w:rsidR="007259FA" w:rsidRPr="00E4603F" w:rsidRDefault="007259FA" w:rsidP="00B35DA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sidRPr="00E4603F">
              <w:rPr>
                <w:rFonts w:eastAsia="Times New Roman" w:cs="Arial"/>
                <w:sz w:val="20"/>
                <w:szCs w:val="20"/>
                <w:lang w:eastAsia="en-GB"/>
              </w:rPr>
              <w:t>114.7</w:t>
            </w:r>
          </w:p>
        </w:tc>
        <w:tc>
          <w:tcPr>
            <w:tcW w:w="997" w:type="pct"/>
            <w:noWrap/>
            <w:hideMark/>
          </w:tcPr>
          <w:p w:rsidR="007259FA" w:rsidRPr="00E4603F" w:rsidRDefault="007259FA" w:rsidP="00B35DA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sidRPr="00E4603F">
              <w:rPr>
                <w:rFonts w:eastAsia="Times New Roman" w:cs="Arial"/>
                <w:sz w:val="20"/>
                <w:szCs w:val="20"/>
                <w:lang w:eastAsia="en-GB"/>
              </w:rPr>
              <w:t>77.8</w:t>
            </w:r>
          </w:p>
        </w:tc>
        <w:tc>
          <w:tcPr>
            <w:tcW w:w="843" w:type="pct"/>
            <w:noWrap/>
            <w:hideMark/>
          </w:tcPr>
          <w:p w:rsidR="007259FA" w:rsidRPr="00E4603F" w:rsidRDefault="007259FA" w:rsidP="00B35DA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sidRPr="00E4603F">
              <w:rPr>
                <w:rFonts w:eastAsia="Times New Roman" w:cs="Arial"/>
                <w:sz w:val="20"/>
                <w:szCs w:val="20"/>
                <w:lang w:eastAsia="en-GB"/>
              </w:rPr>
              <w:t>44.4</w:t>
            </w:r>
          </w:p>
        </w:tc>
        <w:tc>
          <w:tcPr>
            <w:tcW w:w="800" w:type="pct"/>
            <w:noWrap/>
            <w:hideMark/>
          </w:tcPr>
          <w:p w:rsidR="007259FA" w:rsidRPr="00E4603F" w:rsidRDefault="007259FA" w:rsidP="00B35DA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sidRPr="00E4603F">
              <w:rPr>
                <w:rFonts w:eastAsia="Times New Roman" w:cs="Arial"/>
                <w:sz w:val="20"/>
                <w:szCs w:val="20"/>
                <w:lang w:eastAsia="en-GB"/>
              </w:rPr>
              <w:t>29.3</w:t>
            </w:r>
          </w:p>
        </w:tc>
      </w:tr>
      <w:tr w:rsidR="007133F1" w:rsidRPr="00E4603F" w:rsidTr="005F0F90">
        <w:trPr>
          <w:trHeight w:val="300"/>
        </w:trPr>
        <w:tc>
          <w:tcPr>
            <w:cnfStyle w:val="001000000000" w:firstRow="0" w:lastRow="0" w:firstColumn="1" w:lastColumn="0" w:oddVBand="0" w:evenVBand="0" w:oddHBand="0" w:evenHBand="0" w:firstRowFirstColumn="0" w:firstRowLastColumn="0" w:lastRowFirstColumn="0" w:lastRowLastColumn="0"/>
            <w:tcW w:w="1668" w:type="pct"/>
            <w:noWrap/>
            <w:hideMark/>
          </w:tcPr>
          <w:p w:rsidR="007259FA" w:rsidRPr="00F238A7" w:rsidRDefault="007259FA" w:rsidP="00B35DA2">
            <w:pPr>
              <w:rPr>
                <w:rFonts w:eastAsia="Times New Roman" w:cs="Arial"/>
                <w:sz w:val="20"/>
                <w:szCs w:val="20"/>
                <w:lang w:eastAsia="en-GB"/>
              </w:rPr>
            </w:pPr>
            <w:r w:rsidRPr="00F238A7">
              <w:rPr>
                <w:rFonts w:eastAsia="Times New Roman" w:cs="Arial"/>
                <w:sz w:val="20"/>
                <w:szCs w:val="20"/>
                <w:lang w:eastAsia="en-GB"/>
              </w:rPr>
              <w:t>Cost per admission</w:t>
            </w:r>
          </w:p>
        </w:tc>
        <w:tc>
          <w:tcPr>
            <w:tcW w:w="692" w:type="pct"/>
            <w:noWrap/>
            <w:hideMark/>
          </w:tcPr>
          <w:p w:rsidR="007259FA" w:rsidRPr="00E4603F" w:rsidRDefault="007259FA" w:rsidP="00B35DA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E4603F">
              <w:rPr>
                <w:rFonts w:eastAsia="Times New Roman" w:cs="Arial"/>
                <w:sz w:val="20"/>
                <w:szCs w:val="20"/>
                <w:lang w:eastAsia="en-GB"/>
              </w:rPr>
              <w:t>£702</w:t>
            </w:r>
          </w:p>
        </w:tc>
        <w:tc>
          <w:tcPr>
            <w:tcW w:w="997" w:type="pct"/>
            <w:noWrap/>
            <w:hideMark/>
          </w:tcPr>
          <w:p w:rsidR="007259FA" w:rsidRPr="00E4603F" w:rsidRDefault="007259FA" w:rsidP="00B35DA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E4603F">
              <w:rPr>
                <w:rFonts w:eastAsia="Times New Roman" w:cs="Arial"/>
                <w:sz w:val="20"/>
                <w:szCs w:val="20"/>
                <w:lang w:eastAsia="en-GB"/>
              </w:rPr>
              <w:t>£702</w:t>
            </w:r>
          </w:p>
        </w:tc>
        <w:tc>
          <w:tcPr>
            <w:tcW w:w="843" w:type="pct"/>
            <w:noWrap/>
            <w:hideMark/>
          </w:tcPr>
          <w:p w:rsidR="007259FA" w:rsidRPr="00E4603F" w:rsidRDefault="007259FA" w:rsidP="00B35DA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E4603F">
              <w:rPr>
                <w:rFonts w:eastAsia="Times New Roman" w:cs="Arial"/>
                <w:sz w:val="20"/>
                <w:szCs w:val="20"/>
                <w:lang w:eastAsia="en-GB"/>
              </w:rPr>
              <w:t>£702</w:t>
            </w:r>
          </w:p>
        </w:tc>
        <w:tc>
          <w:tcPr>
            <w:tcW w:w="800" w:type="pct"/>
            <w:noWrap/>
            <w:hideMark/>
          </w:tcPr>
          <w:p w:rsidR="007259FA" w:rsidRPr="00E4603F" w:rsidRDefault="007259FA" w:rsidP="00B35DA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E4603F">
              <w:rPr>
                <w:rFonts w:eastAsia="Times New Roman" w:cs="Arial"/>
                <w:sz w:val="20"/>
                <w:szCs w:val="20"/>
                <w:lang w:eastAsia="en-GB"/>
              </w:rPr>
              <w:t>£702</w:t>
            </w:r>
          </w:p>
        </w:tc>
      </w:tr>
      <w:tr w:rsidR="007133F1" w:rsidRPr="00E4603F" w:rsidTr="005F0F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8" w:type="pct"/>
            <w:noWrap/>
            <w:hideMark/>
          </w:tcPr>
          <w:p w:rsidR="007259FA" w:rsidRPr="00F238A7" w:rsidRDefault="007259FA" w:rsidP="00B35DA2">
            <w:pPr>
              <w:rPr>
                <w:rFonts w:eastAsia="Times New Roman" w:cs="Arial"/>
                <w:sz w:val="20"/>
                <w:szCs w:val="20"/>
                <w:lang w:eastAsia="en-GB"/>
              </w:rPr>
            </w:pPr>
            <w:r w:rsidRPr="00F238A7">
              <w:rPr>
                <w:rFonts w:eastAsia="Times New Roman" w:cs="Arial"/>
                <w:sz w:val="20"/>
                <w:szCs w:val="20"/>
                <w:lang w:eastAsia="en-GB"/>
              </w:rPr>
              <w:t>Total cost per 100,000 population aged 0-18</w:t>
            </w:r>
          </w:p>
        </w:tc>
        <w:tc>
          <w:tcPr>
            <w:tcW w:w="692" w:type="pct"/>
            <w:noWrap/>
            <w:hideMark/>
          </w:tcPr>
          <w:p w:rsidR="007259FA" w:rsidRPr="00E4603F" w:rsidRDefault="007259FA" w:rsidP="00B35DA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sidRPr="00E4603F">
              <w:rPr>
                <w:rFonts w:eastAsia="Times New Roman" w:cs="Arial"/>
                <w:sz w:val="20"/>
                <w:szCs w:val="20"/>
                <w:lang w:eastAsia="en-GB"/>
              </w:rPr>
              <w:t>£80,496</w:t>
            </w:r>
          </w:p>
        </w:tc>
        <w:tc>
          <w:tcPr>
            <w:tcW w:w="997" w:type="pct"/>
            <w:noWrap/>
            <w:hideMark/>
          </w:tcPr>
          <w:p w:rsidR="007259FA" w:rsidRPr="00E4603F" w:rsidRDefault="007259FA" w:rsidP="00B35DA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sidRPr="00E4603F">
              <w:rPr>
                <w:rFonts w:eastAsia="Times New Roman" w:cs="Arial"/>
                <w:sz w:val="20"/>
                <w:szCs w:val="20"/>
                <w:lang w:eastAsia="en-GB"/>
              </w:rPr>
              <w:t>£54,610</w:t>
            </w:r>
          </w:p>
        </w:tc>
        <w:tc>
          <w:tcPr>
            <w:tcW w:w="843" w:type="pct"/>
            <w:noWrap/>
            <w:hideMark/>
          </w:tcPr>
          <w:p w:rsidR="007259FA" w:rsidRPr="00E4603F" w:rsidRDefault="007259FA" w:rsidP="00B35DA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sidRPr="00E4603F">
              <w:rPr>
                <w:rFonts w:eastAsia="Times New Roman" w:cs="Arial"/>
                <w:sz w:val="20"/>
                <w:szCs w:val="20"/>
                <w:lang w:eastAsia="en-GB"/>
              </w:rPr>
              <w:t>£31,195</w:t>
            </w:r>
          </w:p>
        </w:tc>
        <w:tc>
          <w:tcPr>
            <w:tcW w:w="800" w:type="pct"/>
            <w:noWrap/>
            <w:hideMark/>
          </w:tcPr>
          <w:p w:rsidR="007259FA" w:rsidRPr="00E4603F" w:rsidRDefault="007259FA" w:rsidP="00B35DA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sidRPr="00E4603F">
              <w:rPr>
                <w:rFonts w:eastAsia="Times New Roman" w:cs="Arial"/>
                <w:sz w:val="20"/>
                <w:szCs w:val="20"/>
                <w:lang w:eastAsia="en-GB"/>
              </w:rPr>
              <w:t>£20,534</w:t>
            </w:r>
          </w:p>
        </w:tc>
      </w:tr>
      <w:tr w:rsidR="007133F1" w:rsidRPr="00E4603F" w:rsidTr="005F0F90">
        <w:trPr>
          <w:trHeight w:val="300"/>
        </w:trPr>
        <w:tc>
          <w:tcPr>
            <w:cnfStyle w:val="001000000000" w:firstRow="0" w:lastRow="0" w:firstColumn="1" w:lastColumn="0" w:oddVBand="0" w:evenVBand="0" w:oddHBand="0" w:evenHBand="0" w:firstRowFirstColumn="0" w:firstRowLastColumn="0" w:lastRowFirstColumn="0" w:lastRowLastColumn="0"/>
            <w:tcW w:w="1668" w:type="pct"/>
            <w:noWrap/>
            <w:hideMark/>
          </w:tcPr>
          <w:p w:rsidR="007259FA" w:rsidRPr="00E4603F" w:rsidRDefault="007259FA" w:rsidP="00B35DA2">
            <w:pPr>
              <w:rPr>
                <w:rFonts w:eastAsia="Times New Roman" w:cs="Arial"/>
                <w:sz w:val="20"/>
                <w:szCs w:val="20"/>
                <w:lang w:eastAsia="en-GB"/>
              </w:rPr>
            </w:pPr>
          </w:p>
        </w:tc>
        <w:tc>
          <w:tcPr>
            <w:tcW w:w="692" w:type="pct"/>
            <w:noWrap/>
            <w:hideMark/>
          </w:tcPr>
          <w:p w:rsidR="007259FA" w:rsidRPr="00E4603F" w:rsidRDefault="007259FA" w:rsidP="00B35DA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p>
        </w:tc>
        <w:tc>
          <w:tcPr>
            <w:tcW w:w="997" w:type="pct"/>
            <w:noWrap/>
            <w:hideMark/>
          </w:tcPr>
          <w:p w:rsidR="007259FA" w:rsidRPr="00E4603F" w:rsidRDefault="007259FA" w:rsidP="00B35DA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p>
        </w:tc>
        <w:tc>
          <w:tcPr>
            <w:tcW w:w="843" w:type="pct"/>
            <w:noWrap/>
            <w:hideMark/>
          </w:tcPr>
          <w:p w:rsidR="007259FA" w:rsidRPr="00E4603F" w:rsidRDefault="007259FA" w:rsidP="00B35DA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p>
        </w:tc>
        <w:tc>
          <w:tcPr>
            <w:tcW w:w="800" w:type="pct"/>
            <w:noWrap/>
            <w:hideMark/>
          </w:tcPr>
          <w:p w:rsidR="007259FA" w:rsidRPr="00E4603F" w:rsidRDefault="007259FA" w:rsidP="00B35DA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p>
        </w:tc>
      </w:tr>
      <w:tr w:rsidR="007259FA" w:rsidRPr="00E4603F" w:rsidTr="005F0F90">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1668" w:type="pct"/>
            <w:noWrap/>
            <w:hideMark/>
          </w:tcPr>
          <w:p w:rsidR="007259FA" w:rsidRPr="00E4603F" w:rsidRDefault="007259FA" w:rsidP="00B35DA2">
            <w:pPr>
              <w:rPr>
                <w:rFonts w:eastAsia="Times New Roman" w:cs="Arial"/>
                <w:b w:val="0"/>
                <w:bCs w:val="0"/>
                <w:sz w:val="20"/>
                <w:szCs w:val="20"/>
                <w:lang w:eastAsia="en-GB"/>
              </w:rPr>
            </w:pPr>
          </w:p>
        </w:tc>
        <w:tc>
          <w:tcPr>
            <w:tcW w:w="692" w:type="pct"/>
            <w:hideMark/>
          </w:tcPr>
          <w:p w:rsidR="007259FA" w:rsidRPr="00E4603F" w:rsidRDefault="007259FA" w:rsidP="00B35DA2">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n-GB"/>
              </w:rPr>
            </w:pPr>
          </w:p>
        </w:tc>
        <w:tc>
          <w:tcPr>
            <w:tcW w:w="997" w:type="pct"/>
            <w:shd w:val="clear" w:color="auto" w:fill="4F81BD"/>
            <w:hideMark/>
          </w:tcPr>
          <w:p w:rsidR="007259FA" w:rsidRPr="005F0F90" w:rsidRDefault="007259FA" w:rsidP="007133F1">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FFFFFF" w:themeColor="background1"/>
                <w:sz w:val="20"/>
                <w:szCs w:val="20"/>
                <w:lang w:eastAsia="en-GB"/>
              </w:rPr>
            </w:pPr>
            <w:r w:rsidRPr="005F0F90">
              <w:rPr>
                <w:rFonts w:eastAsia="Times New Roman" w:cs="Arial"/>
                <w:b/>
                <w:bCs/>
                <w:color w:val="FFFFFF" w:themeColor="background1"/>
                <w:sz w:val="20"/>
                <w:szCs w:val="20"/>
                <w:lang w:eastAsia="en-GB"/>
              </w:rPr>
              <w:t>If Medway’s performance matched England</w:t>
            </w:r>
          </w:p>
        </w:tc>
        <w:tc>
          <w:tcPr>
            <w:tcW w:w="843" w:type="pct"/>
            <w:shd w:val="clear" w:color="auto" w:fill="4F81BD"/>
            <w:hideMark/>
          </w:tcPr>
          <w:p w:rsidR="007259FA" w:rsidRPr="005F0F90" w:rsidRDefault="007259FA" w:rsidP="00B35DA2">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FFFFFF" w:themeColor="background1"/>
                <w:sz w:val="20"/>
                <w:szCs w:val="20"/>
                <w:lang w:eastAsia="en-GB"/>
              </w:rPr>
            </w:pPr>
            <w:r w:rsidRPr="005F0F90">
              <w:rPr>
                <w:rFonts w:eastAsia="Times New Roman" w:cs="Arial"/>
                <w:b/>
                <w:bCs/>
                <w:color w:val="FFFFFF" w:themeColor="background1"/>
                <w:sz w:val="20"/>
                <w:szCs w:val="20"/>
                <w:lang w:eastAsia="en-GB"/>
              </w:rPr>
              <w:t>If Medway’s performance matched the best performing 25%</w:t>
            </w:r>
            <w:r w:rsidR="007133F1" w:rsidRPr="005F0F90">
              <w:rPr>
                <w:rFonts w:eastAsia="Times New Roman" w:cs="Arial"/>
                <w:b/>
                <w:bCs/>
                <w:color w:val="FFFFFF" w:themeColor="background1"/>
                <w:sz w:val="20"/>
                <w:szCs w:val="20"/>
                <w:lang w:eastAsia="en-GB"/>
              </w:rPr>
              <w:t xml:space="preserve"> CCGs</w:t>
            </w:r>
          </w:p>
        </w:tc>
        <w:tc>
          <w:tcPr>
            <w:tcW w:w="800" w:type="pct"/>
            <w:shd w:val="clear" w:color="auto" w:fill="4F81BD"/>
            <w:hideMark/>
          </w:tcPr>
          <w:p w:rsidR="007259FA" w:rsidRPr="005F0F90" w:rsidRDefault="007259FA" w:rsidP="00B35DA2">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FFFFFF" w:themeColor="background1"/>
                <w:sz w:val="20"/>
                <w:szCs w:val="20"/>
                <w:lang w:eastAsia="en-GB"/>
              </w:rPr>
            </w:pPr>
            <w:r w:rsidRPr="005F0F90">
              <w:rPr>
                <w:rFonts w:eastAsia="Times New Roman" w:cs="Arial"/>
                <w:b/>
                <w:bCs/>
                <w:color w:val="FFFFFF" w:themeColor="background1"/>
                <w:sz w:val="20"/>
                <w:szCs w:val="20"/>
                <w:lang w:eastAsia="en-GB"/>
              </w:rPr>
              <w:t>If Medway’s performance matched the best performing 5%</w:t>
            </w:r>
            <w:r w:rsidR="007133F1" w:rsidRPr="005F0F90">
              <w:rPr>
                <w:rFonts w:eastAsia="Times New Roman" w:cs="Arial"/>
                <w:b/>
                <w:bCs/>
                <w:color w:val="FFFFFF" w:themeColor="background1"/>
                <w:sz w:val="20"/>
                <w:szCs w:val="20"/>
                <w:lang w:eastAsia="en-GB"/>
              </w:rPr>
              <w:t xml:space="preserve"> CCGs</w:t>
            </w:r>
          </w:p>
        </w:tc>
      </w:tr>
      <w:tr w:rsidR="007133F1" w:rsidRPr="00E4603F" w:rsidTr="005F0F90">
        <w:trPr>
          <w:trHeight w:val="525"/>
        </w:trPr>
        <w:tc>
          <w:tcPr>
            <w:cnfStyle w:val="001000000000" w:firstRow="0" w:lastRow="0" w:firstColumn="1" w:lastColumn="0" w:oddVBand="0" w:evenVBand="0" w:oddHBand="0" w:evenHBand="0" w:firstRowFirstColumn="0" w:firstRowLastColumn="0" w:lastRowFirstColumn="0" w:lastRowLastColumn="0"/>
            <w:tcW w:w="2360" w:type="pct"/>
            <w:gridSpan w:val="2"/>
            <w:noWrap/>
            <w:hideMark/>
          </w:tcPr>
          <w:p w:rsidR="007259FA" w:rsidRPr="00F238A7" w:rsidRDefault="007259FA" w:rsidP="00B35DA2">
            <w:pPr>
              <w:jc w:val="right"/>
              <w:rPr>
                <w:rFonts w:eastAsia="Times New Roman" w:cs="Arial"/>
                <w:bCs w:val="0"/>
                <w:sz w:val="20"/>
                <w:szCs w:val="20"/>
                <w:lang w:eastAsia="en-GB"/>
              </w:rPr>
            </w:pPr>
            <w:r w:rsidRPr="00F238A7">
              <w:rPr>
                <w:rFonts w:eastAsia="Times New Roman" w:cs="Arial"/>
                <w:bCs w:val="0"/>
                <w:sz w:val="20"/>
                <w:szCs w:val="20"/>
                <w:lang w:eastAsia="en-GB"/>
              </w:rPr>
              <w:t>Potential cost savings per 100,000 population aged 0-18</w:t>
            </w:r>
          </w:p>
        </w:tc>
        <w:tc>
          <w:tcPr>
            <w:tcW w:w="997" w:type="pct"/>
            <w:hideMark/>
          </w:tcPr>
          <w:p w:rsidR="007259FA" w:rsidRPr="00E4603F" w:rsidRDefault="007259FA" w:rsidP="00B35DA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E4603F">
              <w:rPr>
                <w:rFonts w:eastAsia="Times New Roman" w:cs="Arial"/>
                <w:sz w:val="20"/>
                <w:szCs w:val="20"/>
                <w:lang w:eastAsia="en-GB"/>
              </w:rPr>
              <w:t>£25,887</w:t>
            </w:r>
          </w:p>
        </w:tc>
        <w:tc>
          <w:tcPr>
            <w:tcW w:w="843" w:type="pct"/>
            <w:hideMark/>
          </w:tcPr>
          <w:p w:rsidR="007259FA" w:rsidRPr="00E4603F" w:rsidRDefault="007259FA" w:rsidP="00B35DA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E4603F">
              <w:rPr>
                <w:rFonts w:eastAsia="Times New Roman" w:cs="Arial"/>
                <w:sz w:val="20"/>
                <w:szCs w:val="20"/>
                <w:lang w:eastAsia="en-GB"/>
              </w:rPr>
              <w:t>£49,302</w:t>
            </w:r>
          </w:p>
        </w:tc>
        <w:tc>
          <w:tcPr>
            <w:tcW w:w="800" w:type="pct"/>
            <w:hideMark/>
          </w:tcPr>
          <w:p w:rsidR="007259FA" w:rsidRPr="00E4603F" w:rsidRDefault="007259FA" w:rsidP="00B35DA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E4603F">
              <w:rPr>
                <w:rFonts w:eastAsia="Times New Roman" w:cs="Arial"/>
                <w:sz w:val="20"/>
                <w:szCs w:val="20"/>
                <w:lang w:eastAsia="en-GB"/>
              </w:rPr>
              <w:t>£59,962</w:t>
            </w:r>
          </w:p>
        </w:tc>
      </w:tr>
      <w:tr w:rsidR="007133F1" w:rsidRPr="00E4603F" w:rsidTr="005F0F90">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360" w:type="pct"/>
            <w:gridSpan w:val="2"/>
            <w:noWrap/>
            <w:hideMark/>
          </w:tcPr>
          <w:p w:rsidR="007259FA" w:rsidRPr="00F238A7" w:rsidRDefault="007259FA" w:rsidP="00B35DA2">
            <w:pPr>
              <w:jc w:val="right"/>
              <w:rPr>
                <w:rFonts w:eastAsia="Times New Roman" w:cs="Arial"/>
                <w:bCs w:val="0"/>
                <w:sz w:val="20"/>
                <w:szCs w:val="20"/>
                <w:lang w:eastAsia="en-GB"/>
              </w:rPr>
            </w:pPr>
            <w:r w:rsidRPr="00F238A7">
              <w:rPr>
                <w:rFonts w:eastAsia="Times New Roman" w:cs="Arial"/>
                <w:bCs w:val="0"/>
                <w:sz w:val="20"/>
                <w:szCs w:val="20"/>
                <w:lang w:eastAsia="en-GB"/>
              </w:rPr>
              <w:t>Potential total cost savings - total approximate figure</w:t>
            </w:r>
          </w:p>
        </w:tc>
        <w:tc>
          <w:tcPr>
            <w:tcW w:w="997" w:type="pct"/>
            <w:hideMark/>
          </w:tcPr>
          <w:p w:rsidR="007259FA" w:rsidRPr="00E4603F" w:rsidRDefault="007259FA" w:rsidP="00B35DA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sidRPr="00E4603F">
              <w:rPr>
                <w:rFonts w:eastAsia="Times New Roman" w:cs="Arial"/>
                <w:sz w:val="20"/>
                <w:szCs w:val="20"/>
                <w:lang w:eastAsia="en-GB"/>
              </w:rPr>
              <w:t>£17,800</w:t>
            </w:r>
          </w:p>
        </w:tc>
        <w:tc>
          <w:tcPr>
            <w:tcW w:w="843" w:type="pct"/>
            <w:hideMark/>
          </w:tcPr>
          <w:p w:rsidR="007259FA" w:rsidRPr="00E4603F" w:rsidRDefault="007259FA" w:rsidP="00B35DA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sidRPr="00E4603F">
              <w:rPr>
                <w:rFonts w:eastAsia="Times New Roman" w:cs="Arial"/>
                <w:sz w:val="20"/>
                <w:szCs w:val="20"/>
                <w:lang w:eastAsia="en-GB"/>
              </w:rPr>
              <w:t>£33,900</w:t>
            </w:r>
          </w:p>
        </w:tc>
        <w:tc>
          <w:tcPr>
            <w:tcW w:w="800" w:type="pct"/>
            <w:hideMark/>
          </w:tcPr>
          <w:p w:rsidR="007259FA" w:rsidRPr="00E4603F" w:rsidRDefault="007259FA" w:rsidP="00B35DA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sidRPr="00E4603F">
              <w:rPr>
                <w:rFonts w:eastAsia="Times New Roman" w:cs="Arial"/>
                <w:sz w:val="20"/>
                <w:szCs w:val="20"/>
                <w:lang w:eastAsia="en-GB"/>
              </w:rPr>
              <w:t>£41,300</w:t>
            </w:r>
          </w:p>
        </w:tc>
      </w:tr>
    </w:tbl>
    <w:p w:rsidR="00F931BA" w:rsidRDefault="00F931BA" w:rsidP="00F931BA">
      <w:pPr>
        <w:pStyle w:val="Caption"/>
      </w:pPr>
      <w:bookmarkStart w:id="15" w:name="_Toc434938026"/>
      <w:r>
        <w:t xml:space="preserve">Figure </w:t>
      </w:r>
      <w:r w:rsidR="00156E8B">
        <w:fldChar w:fldCharType="begin"/>
      </w:r>
      <w:r w:rsidR="00156E8B">
        <w:instrText xml:space="preserve"> SEQ Figure \* ARABIC </w:instrText>
      </w:r>
      <w:r w:rsidR="00156E8B">
        <w:fldChar w:fldCharType="separate"/>
      </w:r>
      <w:r w:rsidR="005C553C">
        <w:rPr>
          <w:noProof/>
        </w:rPr>
        <w:t>19</w:t>
      </w:r>
      <w:r w:rsidR="00156E8B">
        <w:rPr>
          <w:noProof/>
        </w:rPr>
        <w:fldChar w:fldCharType="end"/>
      </w:r>
      <w:r>
        <w:t xml:space="preserve"> Projected savings from improved performance</w:t>
      </w:r>
    </w:p>
    <w:p w:rsidR="00CC3B06" w:rsidRDefault="00CC3B06" w:rsidP="00CC3B06">
      <w:pPr>
        <w:pStyle w:val="Heading2"/>
      </w:pPr>
      <w:r>
        <w:t>MFT Children’s Services caseload and resources</w:t>
      </w:r>
      <w:bookmarkEnd w:id="15"/>
    </w:p>
    <w:p w:rsidR="003645DF" w:rsidRDefault="00C57080" w:rsidP="00487C74">
      <w:pPr>
        <w:rPr>
          <w:szCs w:val="24"/>
        </w:rPr>
      </w:pPr>
      <w:r w:rsidRPr="00351DC0">
        <w:rPr>
          <w:szCs w:val="24"/>
        </w:rPr>
        <w:t>Of 167 referrals to the Community Learning Disability Nursing service, 4 were identified as having epil</w:t>
      </w:r>
      <w:r w:rsidR="00795C32">
        <w:rPr>
          <w:szCs w:val="24"/>
        </w:rPr>
        <w:t xml:space="preserve">epsy alongside other conditions, and one child out of 19 attending </w:t>
      </w:r>
      <w:r w:rsidR="00814E24">
        <w:rPr>
          <w:szCs w:val="24"/>
        </w:rPr>
        <w:t>Woodlands Special Needs Nursery is diagnosed with epilepsy.</w:t>
      </w:r>
    </w:p>
    <w:p w:rsidR="00582E06" w:rsidRPr="00351DC0" w:rsidRDefault="00582E06" w:rsidP="00487C74">
      <w:pPr>
        <w:rPr>
          <w:szCs w:val="24"/>
        </w:rPr>
      </w:pPr>
    </w:p>
    <w:p w:rsidR="00351DC0" w:rsidRPr="00351DC0" w:rsidRDefault="00351DC0" w:rsidP="00351DC0">
      <w:pPr>
        <w:rPr>
          <w:szCs w:val="24"/>
        </w:rPr>
      </w:pPr>
      <w:r>
        <w:rPr>
          <w:szCs w:val="24"/>
        </w:rPr>
        <w:t>The figure</w:t>
      </w:r>
      <w:r w:rsidRPr="00351DC0">
        <w:rPr>
          <w:szCs w:val="24"/>
        </w:rPr>
        <w:t xml:space="preserve"> for the number of children with epilepsy on the</w:t>
      </w:r>
      <w:r>
        <w:rPr>
          <w:szCs w:val="24"/>
        </w:rPr>
        <w:t xml:space="preserve"> Community Paediatric caseload is not </w:t>
      </w:r>
      <w:r w:rsidR="00943E4F">
        <w:rPr>
          <w:szCs w:val="24"/>
        </w:rPr>
        <w:t>available;</w:t>
      </w:r>
      <w:r>
        <w:rPr>
          <w:szCs w:val="24"/>
        </w:rPr>
        <w:t xml:space="preserve"> however a </w:t>
      </w:r>
      <w:r w:rsidRPr="00351DC0">
        <w:rPr>
          <w:szCs w:val="24"/>
        </w:rPr>
        <w:t>neurologist will</w:t>
      </w:r>
      <w:r w:rsidR="00943E4F">
        <w:rPr>
          <w:szCs w:val="24"/>
        </w:rPr>
        <w:t xml:space="preserve"> also </w:t>
      </w:r>
      <w:r w:rsidRPr="00351DC0">
        <w:rPr>
          <w:szCs w:val="24"/>
        </w:rPr>
        <w:t>see patie</w:t>
      </w:r>
      <w:r w:rsidR="00943E4F">
        <w:rPr>
          <w:szCs w:val="24"/>
        </w:rPr>
        <w:t xml:space="preserve">nts who have co-morbid epilepsy and data may be obtained </w:t>
      </w:r>
      <w:r w:rsidR="00737D7A">
        <w:rPr>
          <w:szCs w:val="24"/>
        </w:rPr>
        <w:t>as part of the review.</w:t>
      </w:r>
    </w:p>
    <w:p w:rsidR="006F4FC4" w:rsidRDefault="006F4FC4" w:rsidP="006F4FC4">
      <w:pPr>
        <w:pStyle w:val="Heading2"/>
      </w:pPr>
      <w:bookmarkStart w:id="16" w:name="_Toc434938027"/>
      <w:r>
        <w:lastRenderedPageBreak/>
        <w:t>Children’s Social Care</w:t>
      </w:r>
      <w:bookmarkEnd w:id="16"/>
    </w:p>
    <w:p w:rsidR="00A303C2" w:rsidRPr="00943E4F" w:rsidRDefault="00A303C2" w:rsidP="00487C74">
      <w:pPr>
        <w:rPr>
          <w:szCs w:val="24"/>
        </w:rPr>
      </w:pPr>
      <w:r>
        <w:rPr>
          <w:szCs w:val="24"/>
        </w:rPr>
        <w:t xml:space="preserve">A snapshot analysis of children and young people designated as disabled on Medway Council’s social care recording system, Frameworki, found that </w:t>
      </w:r>
      <w:r w:rsidR="00FD6E13">
        <w:rPr>
          <w:szCs w:val="24"/>
        </w:rPr>
        <w:t>46 out of 580 children were recorded as having epilepsy (8%).</w:t>
      </w:r>
    </w:p>
    <w:p w:rsidR="00C447C6" w:rsidRPr="00C447C6" w:rsidRDefault="00C447C6" w:rsidP="00E7686B">
      <w:pPr>
        <w:pStyle w:val="Heading2"/>
        <w:numPr>
          <w:ilvl w:val="0"/>
          <w:numId w:val="9"/>
        </w:numPr>
      </w:pPr>
      <w:bookmarkStart w:id="17" w:name="_Toc434938028"/>
      <w:r w:rsidRPr="00C447C6">
        <w:t>Diabetes</w:t>
      </w:r>
      <w:bookmarkEnd w:id="17"/>
    </w:p>
    <w:p w:rsidR="003645DF" w:rsidRDefault="003645DF" w:rsidP="00487C74">
      <w:pPr>
        <w:rPr>
          <w:sz w:val="24"/>
          <w:szCs w:val="24"/>
        </w:rPr>
      </w:pPr>
    </w:p>
    <w:tbl>
      <w:tblPr>
        <w:tblStyle w:val="LightList-Accent1"/>
        <w:tblW w:w="0" w:type="auto"/>
        <w:tblLook w:val="04A0" w:firstRow="1" w:lastRow="0" w:firstColumn="1" w:lastColumn="0" w:noHBand="0" w:noVBand="1"/>
      </w:tblPr>
      <w:tblGrid>
        <w:gridCol w:w="4621"/>
        <w:gridCol w:w="4621"/>
      </w:tblGrid>
      <w:tr w:rsidR="003645DF" w:rsidRPr="00323777" w:rsidTr="00F238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3645DF" w:rsidRPr="00323777" w:rsidRDefault="003645DF" w:rsidP="00487C74">
            <w:r w:rsidRPr="00323777">
              <w:t>National data</w:t>
            </w:r>
          </w:p>
        </w:tc>
        <w:tc>
          <w:tcPr>
            <w:tcW w:w="4621" w:type="dxa"/>
          </w:tcPr>
          <w:p w:rsidR="003645DF" w:rsidRPr="00323777" w:rsidRDefault="00D42A0B" w:rsidP="005F5222">
            <w:pPr>
              <w:cnfStyle w:val="100000000000" w:firstRow="1" w:lastRow="0" w:firstColumn="0" w:lastColumn="0" w:oddVBand="0" w:evenVBand="0" w:oddHBand="0" w:evenHBand="0" w:firstRowFirstColumn="0" w:firstRowLastColumn="0" w:lastRowFirstColumn="0" w:lastRowLastColumn="0"/>
            </w:pPr>
            <w:r w:rsidRPr="00323777">
              <w:t xml:space="preserve">Medway </w:t>
            </w:r>
          </w:p>
        </w:tc>
      </w:tr>
      <w:tr w:rsidR="003645DF" w:rsidRPr="00C447C6" w:rsidTr="00F23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3645DF" w:rsidRPr="00F238A7" w:rsidRDefault="003645DF" w:rsidP="00487C74">
            <w:pPr>
              <w:rPr>
                <w:rFonts w:cs="Arial"/>
                <w:b w:val="0"/>
              </w:rPr>
            </w:pPr>
          </w:p>
          <w:p w:rsidR="00F93427" w:rsidRPr="00F238A7" w:rsidRDefault="003645DF" w:rsidP="007C5E02">
            <w:pPr>
              <w:rPr>
                <w:rFonts w:cs="Arial"/>
                <w:b w:val="0"/>
              </w:rPr>
            </w:pPr>
            <w:r w:rsidRPr="00F238A7">
              <w:rPr>
                <w:rFonts w:cs="Arial"/>
                <w:b w:val="0"/>
              </w:rPr>
              <w:t>The current estimate of prevalence of Type 1 diabetes in children and young people under the age of 15 in England and Wales is 187.7 per 100,000</w:t>
            </w:r>
            <w:r w:rsidRPr="00F238A7">
              <w:rPr>
                <w:rStyle w:val="FootnoteReference"/>
                <w:rFonts w:cs="Arial"/>
                <w:b w:val="0"/>
              </w:rPr>
              <w:footnoteReference w:id="40"/>
            </w:r>
            <w:r w:rsidR="004D76F2" w:rsidRPr="00F238A7">
              <w:rPr>
                <w:rFonts w:cs="Arial"/>
                <w:b w:val="0"/>
              </w:rPr>
              <w:t xml:space="preserve">. </w:t>
            </w:r>
          </w:p>
          <w:p w:rsidR="00C706F0" w:rsidRPr="00F238A7" w:rsidRDefault="00C706F0" w:rsidP="007C5E02">
            <w:pPr>
              <w:rPr>
                <w:b w:val="0"/>
              </w:rPr>
            </w:pPr>
          </w:p>
        </w:tc>
        <w:tc>
          <w:tcPr>
            <w:tcW w:w="4621" w:type="dxa"/>
          </w:tcPr>
          <w:p w:rsidR="0003633F" w:rsidRPr="00C447C6" w:rsidRDefault="0003633F" w:rsidP="00487C74">
            <w:pPr>
              <w:cnfStyle w:val="000000100000" w:firstRow="0" w:lastRow="0" w:firstColumn="0" w:lastColumn="0" w:oddVBand="0" w:evenVBand="0" w:oddHBand="1" w:evenHBand="0" w:firstRowFirstColumn="0" w:firstRowLastColumn="0" w:lastRowFirstColumn="0" w:lastRowLastColumn="0"/>
            </w:pPr>
          </w:p>
          <w:p w:rsidR="003645DF" w:rsidRPr="00C447C6" w:rsidRDefault="005F5222" w:rsidP="005F5222">
            <w:pPr>
              <w:cnfStyle w:val="000000100000" w:firstRow="0" w:lastRow="0" w:firstColumn="0" w:lastColumn="0" w:oddVBand="0" w:evenVBand="0" w:oddHBand="1" w:evenHBand="0" w:firstRowFirstColumn="0" w:firstRowLastColumn="0" w:lastRowFirstColumn="0" w:lastRowLastColumn="0"/>
            </w:pPr>
            <w:r w:rsidRPr="00C447C6">
              <w:t xml:space="preserve">This is the equivalent of </w:t>
            </w:r>
            <w:r w:rsidR="0003633F" w:rsidRPr="00C447C6">
              <w:t>109</w:t>
            </w:r>
            <w:r w:rsidR="000B05C1" w:rsidRPr="00C447C6">
              <w:t xml:space="preserve"> </w:t>
            </w:r>
            <w:r w:rsidR="00145277" w:rsidRPr="00C447C6">
              <w:t>of our 58,000</w:t>
            </w:r>
            <w:r w:rsidR="00994D1D">
              <w:rPr>
                <w:rStyle w:val="FootnoteReference"/>
              </w:rPr>
              <w:footnoteReference w:id="41"/>
            </w:r>
            <w:r w:rsidR="00145277" w:rsidRPr="00C447C6">
              <w:t xml:space="preserve"> under 15s </w:t>
            </w:r>
            <w:r w:rsidRPr="00C447C6">
              <w:t>being</w:t>
            </w:r>
            <w:r w:rsidR="00145277" w:rsidRPr="00C447C6">
              <w:t xml:space="preserve"> </w:t>
            </w:r>
            <w:r w:rsidR="000B05C1" w:rsidRPr="00C447C6">
              <w:t>diagnosed with Type 1 diabetes</w:t>
            </w:r>
          </w:p>
        </w:tc>
      </w:tr>
      <w:tr w:rsidR="003645DF" w:rsidRPr="00C447C6" w:rsidTr="00F238A7">
        <w:tc>
          <w:tcPr>
            <w:cnfStyle w:val="001000000000" w:firstRow="0" w:lastRow="0" w:firstColumn="1" w:lastColumn="0" w:oddVBand="0" w:evenVBand="0" w:oddHBand="0" w:evenHBand="0" w:firstRowFirstColumn="0" w:firstRowLastColumn="0" w:lastRowFirstColumn="0" w:lastRowLastColumn="0"/>
            <w:tcW w:w="4621" w:type="dxa"/>
          </w:tcPr>
          <w:p w:rsidR="00F93427" w:rsidRPr="00F238A7" w:rsidRDefault="00F93427" w:rsidP="00F93427">
            <w:pPr>
              <w:autoSpaceDE w:val="0"/>
              <w:autoSpaceDN w:val="0"/>
              <w:adjustRightInd w:val="0"/>
              <w:rPr>
                <w:rFonts w:cs="Arial"/>
                <w:b w:val="0"/>
              </w:rPr>
            </w:pPr>
          </w:p>
          <w:p w:rsidR="00F93427" w:rsidRPr="00F238A7" w:rsidRDefault="007503AA" w:rsidP="00F93427">
            <w:pPr>
              <w:autoSpaceDE w:val="0"/>
              <w:autoSpaceDN w:val="0"/>
              <w:adjustRightInd w:val="0"/>
              <w:rPr>
                <w:rFonts w:cs="Arial"/>
                <w:b w:val="0"/>
              </w:rPr>
            </w:pPr>
            <w:r w:rsidRPr="00F238A7">
              <w:rPr>
                <w:rFonts w:cs="Arial"/>
                <w:b w:val="0"/>
              </w:rPr>
              <w:t>T</w:t>
            </w:r>
            <w:r w:rsidR="00F93427" w:rsidRPr="00F238A7">
              <w:rPr>
                <w:rFonts w:cs="Arial"/>
                <w:b w:val="0"/>
              </w:rPr>
              <w:t>he</w:t>
            </w:r>
            <w:r w:rsidRPr="00F238A7">
              <w:rPr>
                <w:rFonts w:cs="Arial"/>
                <w:b w:val="0"/>
              </w:rPr>
              <w:t xml:space="preserve"> national </w:t>
            </w:r>
            <w:r w:rsidR="00F93427" w:rsidRPr="00F238A7">
              <w:rPr>
                <w:rFonts w:cs="Arial"/>
                <w:b w:val="0"/>
              </w:rPr>
              <w:t xml:space="preserve">target </w:t>
            </w:r>
            <w:r w:rsidRPr="00F238A7">
              <w:rPr>
                <w:rFonts w:cs="Arial"/>
                <w:b w:val="0"/>
              </w:rPr>
              <w:t>is an</w:t>
            </w:r>
            <w:r w:rsidR="00F93427" w:rsidRPr="00F238A7">
              <w:rPr>
                <w:rFonts w:cs="Arial"/>
                <w:b w:val="0"/>
              </w:rPr>
              <w:t xml:space="preserve"> HbA1c </w:t>
            </w:r>
            <w:r w:rsidR="00D42A0B" w:rsidRPr="00F238A7">
              <w:rPr>
                <w:rFonts w:cs="Arial"/>
                <w:b w:val="0"/>
              </w:rPr>
              <w:t xml:space="preserve">level </w:t>
            </w:r>
            <w:r w:rsidR="00F93427" w:rsidRPr="00F238A7">
              <w:rPr>
                <w:rFonts w:cs="Arial"/>
                <w:b w:val="0"/>
              </w:rPr>
              <w:t>of less than 7.5%</w:t>
            </w:r>
            <w:r w:rsidRPr="00F238A7">
              <w:rPr>
                <w:rFonts w:cs="Arial"/>
                <w:b w:val="0"/>
              </w:rPr>
              <w:t xml:space="preserve">. The national average of patients achieving this target is </w:t>
            </w:r>
            <w:r w:rsidR="00F93427" w:rsidRPr="00F238A7">
              <w:rPr>
                <w:rFonts w:cs="Arial"/>
                <w:b w:val="0"/>
              </w:rPr>
              <w:t>17.4%</w:t>
            </w:r>
            <w:r w:rsidR="004D76F2" w:rsidRPr="00F238A7">
              <w:rPr>
                <w:rStyle w:val="FootnoteReference"/>
                <w:rFonts w:cs="Arial"/>
                <w:b w:val="0"/>
              </w:rPr>
              <w:footnoteReference w:id="42"/>
            </w:r>
            <w:r w:rsidR="00F93427" w:rsidRPr="00F238A7">
              <w:rPr>
                <w:rFonts w:cs="Arial"/>
                <w:b w:val="0"/>
              </w:rPr>
              <w:t>.</w:t>
            </w:r>
          </w:p>
          <w:p w:rsidR="00F93427" w:rsidRPr="00F238A7" w:rsidRDefault="00F93427" w:rsidP="00F93427">
            <w:pPr>
              <w:autoSpaceDE w:val="0"/>
              <w:autoSpaceDN w:val="0"/>
              <w:adjustRightInd w:val="0"/>
              <w:rPr>
                <w:rFonts w:cs="Arial"/>
                <w:b w:val="0"/>
              </w:rPr>
            </w:pPr>
          </w:p>
          <w:p w:rsidR="00F93427" w:rsidRPr="00F238A7" w:rsidRDefault="00F93427" w:rsidP="00F93427">
            <w:pPr>
              <w:autoSpaceDE w:val="0"/>
              <w:autoSpaceDN w:val="0"/>
              <w:adjustRightInd w:val="0"/>
              <w:rPr>
                <w:b w:val="0"/>
              </w:rPr>
            </w:pPr>
            <w:r w:rsidRPr="00F238A7">
              <w:rPr>
                <w:rFonts w:cs="Arial"/>
                <w:b w:val="0"/>
              </w:rPr>
              <w:t xml:space="preserve"> </w:t>
            </w:r>
          </w:p>
          <w:p w:rsidR="003645DF" w:rsidRPr="00F238A7" w:rsidRDefault="003645DF" w:rsidP="00487C74">
            <w:pPr>
              <w:rPr>
                <w:b w:val="0"/>
              </w:rPr>
            </w:pPr>
          </w:p>
        </w:tc>
        <w:tc>
          <w:tcPr>
            <w:tcW w:w="4621" w:type="dxa"/>
          </w:tcPr>
          <w:p w:rsidR="003645DF" w:rsidRPr="00C447C6" w:rsidRDefault="003645DF" w:rsidP="00487C74">
            <w:pPr>
              <w:cnfStyle w:val="000000000000" w:firstRow="0" w:lastRow="0" w:firstColumn="0" w:lastColumn="0" w:oddVBand="0" w:evenVBand="0" w:oddHBand="0" w:evenHBand="0" w:firstRowFirstColumn="0" w:firstRowLastColumn="0" w:lastRowFirstColumn="0" w:lastRowLastColumn="0"/>
            </w:pPr>
          </w:p>
          <w:p w:rsidR="00F93427" w:rsidRPr="00C447C6" w:rsidRDefault="005F5222" w:rsidP="00487C74">
            <w:pPr>
              <w:cnfStyle w:val="000000000000" w:firstRow="0" w:lastRow="0" w:firstColumn="0" w:lastColumn="0" w:oddVBand="0" w:evenVBand="0" w:oddHBand="0" w:evenHBand="0" w:firstRowFirstColumn="0" w:firstRowLastColumn="0" w:lastRowFirstColumn="0" w:lastRowLastColumn="0"/>
              <w:rPr>
                <w:rFonts w:cs="Arial"/>
              </w:rPr>
            </w:pPr>
            <w:r w:rsidRPr="00C447C6">
              <w:rPr>
                <w:rFonts w:cs="Arial"/>
              </w:rPr>
              <w:t>F</w:t>
            </w:r>
            <w:r w:rsidR="00D42A0B" w:rsidRPr="00C447C6">
              <w:rPr>
                <w:rFonts w:cs="Arial"/>
              </w:rPr>
              <w:t>ewer young people</w:t>
            </w:r>
            <w:r w:rsidRPr="00C447C6">
              <w:rPr>
                <w:rFonts w:cs="Arial"/>
              </w:rPr>
              <w:t xml:space="preserve"> are</w:t>
            </w:r>
            <w:r w:rsidR="00D42A0B" w:rsidRPr="00C447C6">
              <w:rPr>
                <w:rFonts w:cs="Arial"/>
              </w:rPr>
              <w:t xml:space="preserve"> at risk of diabetic complications as </w:t>
            </w:r>
            <w:r w:rsidR="007503AA" w:rsidRPr="00C447C6">
              <w:rPr>
                <w:rFonts w:cs="Arial"/>
              </w:rPr>
              <w:t>the Medway Diabetes team reported that 18.1% of their patients reached the national target level</w:t>
            </w:r>
            <w:r w:rsidR="00145277" w:rsidRPr="00C447C6">
              <w:rPr>
                <w:rStyle w:val="FootnoteReference"/>
                <w:rFonts w:cs="Arial"/>
              </w:rPr>
              <w:footnoteReference w:id="43"/>
            </w:r>
            <w:r w:rsidR="007503AA" w:rsidRPr="00C447C6">
              <w:rPr>
                <w:rFonts w:cs="Arial"/>
              </w:rPr>
              <w:t xml:space="preserve">.  </w:t>
            </w:r>
          </w:p>
          <w:p w:rsidR="007503AA" w:rsidRPr="00C447C6" w:rsidRDefault="007503AA" w:rsidP="00487C74">
            <w:pPr>
              <w:cnfStyle w:val="000000000000" w:firstRow="0" w:lastRow="0" w:firstColumn="0" w:lastColumn="0" w:oddVBand="0" w:evenVBand="0" w:oddHBand="0" w:evenHBand="0" w:firstRowFirstColumn="0" w:firstRowLastColumn="0" w:lastRowFirstColumn="0" w:lastRowLastColumn="0"/>
            </w:pPr>
          </w:p>
        </w:tc>
      </w:tr>
      <w:tr w:rsidR="003645DF" w:rsidRPr="00C447C6" w:rsidTr="00F23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5F5222" w:rsidRPr="00F238A7" w:rsidRDefault="005F5222" w:rsidP="007C5E02">
            <w:pPr>
              <w:autoSpaceDE w:val="0"/>
              <w:autoSpaceDN w:val="0"/>
              <w:adjustRightInd w:val="0"/>
              <w:rPr>
                <w:rFonts w:cs="Arial"/>
                <w:b w:val="0"/>
              </w:rPr>
            </w:pPr>
          </w:p>
          <w:p w:rsidR="007C5E02" w:rsidRPr="00F238A7" w:rsidRDefault="008447C0" w:rsidP="007C5E02">
            <w:pPr>
              <w:autoSpaceDE w:val="0"/>
              <w:autoSpaceDN w:val="0"/>
              <w:adjustRightInd w:val="0"/>
              <w:rPr>
                <w:rFonts w:cs="Arial"/>
                <w:b w:val="0"/>
              </w:rPr>
            </w:pPr>
            <w:r w:rsidRPr="00F238A7">
              <w:rPr>
                <w:rFonts w:cs="Arial"/>
                <w:b w:val="0"/>
              </w:rPr>
              <w:t>Diabetes emergency admissions for under 19s is 60/100,000</w:t>
            </w:r>
          </w:p>
          <w:p w:rsidR="007C5E02" w:rsidRPr="00F238A7" w:rsidRDefault="007C5E02" w:rsidP="008447C0">
            <w:pPr>
              <w:autoSpaceDE w:val="0"/>
              <w:autoSpaceDN w:val="0"/>
              <w:adjustRightInd w:val="0"/>
              <w:rPr>
                <w:b w:val="0"/>
              </w:rPr>
            </w:pPr>
          </w:p>
        </w:tc>
        <w:tc>
          <w:tcPr>
            <w:tcW w:w="4621" w:type="dxa"/>
          </w:tcPr>
          <w:p w:rsidR="005F5222" w:rsidRPr="00C447C6" w:rsidRDefault="005F5222" w:rsidP="00487C74">
            <w:pPr>
              <w:cnfStyle w:val="000000100000" w:firstRow="0" w:lastRow="0" w:firstColumn="0" w:lastColumn="0" w:oddVBand="0" w:evenVBand="0" w:oddHBand="1" w:evenHBand="0" w:firstRowFirstColumn="0" w:firstRowLastColumn="0" w:lastRowFirstColumn="0" w:lastRowLastColumn="0"/>
            </w:pPr>
          </w:p>
          <w:p w:rsidR="003645DF" w:rsidRPr="00C447C6" w:rsidRDefault="005F5222" w:rsidP="00487C74">
            <w:pPr>
              <w:cnfStyle w:val="000000100000" w:firstRow="0" w:lastRow="0" w:firstColumn="0" w:lastColumn="0" w:oddVBand="0" w:evenVBand="0" w:oddHBand="1" w:evenHBand="0" w:firstRowFirstColumn="0" w:firstRowLastColumn="0" w:lastRowFirstColumn="0" w:lastRowLastColumn="0"/>
            </w:pPr>
            <w:r w:rsidRPr="00C447C6">
              <w:t xml:space="preserve">The emergency admission </w:t>
            </w:r>
            <w:r w:rsidR="00A8605A" w:rsidRPr="00C447C6">
              <w:t xml:space="preserve">rate is 91/100,000 considerably worse than the national rate. </w:t>
            </w:r>
            <w:r w:rsidR="00145277" w:rsidRPr="00C447C6">
              <w:t xml:space="preserve"> </w:t>
            </w:r>
            <w:r w:rsidR="00A8605A" w:rsidRPr="00C447C6">
              <w:t>Medway ranks as 196</w:t>
            </w:r>
            <w:r w:rsidR="00A8605A" w:rsidRPr="00C447C6">
              <w:rPr>
                <w:vertAlign w:val="superscript"/>
              </w:rPr>
              <w:t>th</w:t>
            </w:r>
            <w:r w:rsidR="00A8605A" w:rsidRPr="00C447C6">
              <w:t xml:space="preserve"> out of 221 CCGs, where 1 indicates ‘best’</w:t>
            </w:r>
            <w:r w:rsidR="00145277" w:rsidRPr="00C447C6">
              <w:rPr>
                <w:rStyle w:val="FootnoteReference"/>
              </w:rPr>
              <w:footnoteReference w:id="44"/>
            </w:r>
            <w:r w:rsidR="00A8605A" w:rsidRPr="00C447C6">
              <w:t>.</w:t>
            </w:r>
          </w:p>
          <w:p w:rsidR="001C0392" w:rsidRPr="00C447C6" w:rsidRDefault="001C0392" w:rsidP="00C706F0">
            <w:pPr>
              <w:cnfStyle w:val="000000100000" w:firstRow="0" w:lastRow="0" w:firstColumn="0" w:lastColumn="0" w:oddVBand="0" w:evenVBand="0" w:oddHBand="1" w:evenHBand="0" w:firstRowFirstColumn="0" w:firstRowLastColumn="0" w:lastRowFirstColumn="0" w:lastRowLastColumn="0"/>
            </w:pPr>
          </w:p>
          <w:p w:rsidR="001C32CE" w:rsidRPr="00C447C6" w:rsidRDefault="001C32CE" w:rsidP="00C706F0">
            <w:pPr>
              <w:cnfStyle w:val="000000100000" w:firstRow="0" w:lastRow="0" w:firstColumn="0" w:lastColumn="0" w:oddVBand="0" w:evenVBand="0" w:oddHBand="1" w:evenHBand="0" w:firstRowFirstColumn="0" w:firstRowLastColumn="0" w:lastRowFirstColumn="0" w:lastRowLastColumn="0"/>
            </w:pPr>
            <w:r w:rsidRPr="00C447C6">
              <w:t>Bed days per 100,000: Medway is ranked 211 out of 221</w:t>
            </w:r>
            <w:r w:rsidR="00145277" w:rsidRPr="00C447C6">
              <w:rPr>
                <w:rStyle w:val="FootnoteReference"/>
              </w:rPr>
              <w:footnoteReference w:id="45"/>
            </w:r>
            <w:r w:rsidRPr="00C447C6">
              <w:t>.</w:t>
            </w:r>
          </w:p>
          <w:p w:rsidR="005F5222" w:rsidRPr="00C447C6" w:rsidRDefault="005F5222" w:rsidP="00C706F0">
            <w:pPr>
              <w:cnfStyle w:val="000000100000" w:firstRow="0" w:lastRow="0" w:firstColumn="0" w:lastColumn="0" w:oddVBand="0" w:evenVBand="0" w:oddHBand="1" w:evenHBand="0" w:firstRowFirstColumn="0" w:firstRowLastColumn="0" w:lastRowFirstColumn="0" w:lastRowLastColumn="0"/>
            </w:pPr>
          </w:p>
        </w:tc>
      </w:tr>
    </w:tbl>
    <w:p w:rsidR="00F93427" w:rsidRDefault="00F93427" w:rsidP="003E46EB">
      <w:pPr>
        <w:contextualSpacing/>
        <w:rPr>
          <w:rFonts w:cs="Arial"/>
          <w:b/>
          <w:sz w:val="24"/>
          <w:szCs w:val="24"/>
        </w:rPr>
      </w:pPr>
    </w:p>
    <w:p w:rsidR="00FF656C" w:rsidRDefault="00FF656C" w:rsidP="003E46EB">
      <w:pPr>
        <w:contextualSpacing/>
        <w:rPr>
          <w:rFonts w:cs="Arial"/>
          <w:szCs w:val="24"/>
        </w:rPr>
      </w:pPr>
      <w:r w:rsidRPr="00FF656C">
        <w:rPr>
          <w:rFonts w:cs="Arial"/>
          <w:szCs w:val="24"/>
        </w:rPr>
        <w:t>In</w:t>
      </w:r>
      <w:r>
        <w:rPr>
          <w:rFonts w:cs="Arial"/>
          <w:szCs w:val="24"/>
        </w:rPr>
        <w:t xml:space="preserve"> Medway, children and young people aged 0 – 19 are admitted to hospital at the same rate as nationally and in similar CCGs, but spend more</w:t>
      </w:r>
      <w:r w:rsidR="00244D87">
        <w:rPr>
          <w:rFonts w:cs="Arial"/>
          <w:szCs w:val="24"/>
        </w:rPr>
        <w:t xml:space="preserve"> days in hospital when admitted</w:t>
      </w:r>
      <w:r>
        <w:rPr>
          <w:rFonts w:cs="Arial"/>
          <w:szCs w:val="24"/>
        </w:rPr>
        <w:t xml:space="preserve"> (See Fig</w:t>
      </w:r>
      <w:r w:rsidR="00F931BA">
        <w:rPr>
          <w:rFonts w:cs="Arial"/>
          <w:szCs w:val="24"/>
        </w:rPr>
        <w:t>ure 20</w:t>
      </w:r>
      <w:r>
        <w:rPr>
          <w:rFonts w:cs="Arial"/>
          <w:szCs w:val="24"/>
        </w:rPr>
        <w:t xml:space="preserve">), however </w:t>
      </w:r>
      <w:r w:rsidR="00D84410">
        <w:rPr>
          <w:rFonts w:cs="Arial"/>
          <w:szCs w:val="24"/>
        </w:rPr>
        <w:t>the most recent</w:t>
      </w:r>
      <w:r w:rsidR="009A2968">
        <w:rPr>
          <w:rFonts w:cs="Arial"/>
          <w:szCs w:val="24"/>
        </w:rPr>
        <w:t xml:space="preserve"> data shows a </w:t>
      </w:r>
      <w:r>
        <w:rPr>
          <w:rFonts w:cs="Arial"/>
          <w:szCs w:val="24"/>
        </w:rPr>
        <w:t xml:space="preserve">downward </w:t>
      </w:r>
      <w:r w:rsidR="009A2968">
        <w:rPr>
          <w:rFonts w:cs="Arial"/>
          <w:szCs w:val="24"/>
        </w:rPr>
        <w:t>trend</w:t>
      </w:r>
      <w:r w:rsidR="00D84410">
        <w:rPr>
          <w:rFonts w:cs="Arial"/>
          <w:szCs w:val="24"/>
        </w:rPr>
        <w:t>.</w:t>
      </w:r>
      <w:r w:rsidR="009A2968">
        <w:rPr>
          <w:rFonts w:cs="Arial"/>
          <w:szCs w:val="24"/>
        </w:rPr>
        <w:t xml:space="preserve"> </w:t>
      </w:r>
      <w:r>
        <w:rPr>
          <w:rFonts w:cs="Arial"/>
          <w:szCs w:val="24"/>
        </w:rPr>
        <w:t>(see Fig</w:t>
      </w:r>
      <w:r w:rsidR="00F931BA">
        <w:rPr>
          <w:rFonts w:cs="Arial"/>
          <w:szCs w:val="24"/>
        </w:rPr>
        <w:t>ure 21</w:t>
      </w:r>
      <w:r w:rsidR="00512857">
        <w:rPr>
          <w:rStyle w:val="FootnoteReference"/>
          <w:rFonts w:cs="Arial"/>
          <w:szCs w:val="24"/>
        </w:rPr>
        <w:footnoteReference w:id="46"/>
      </w:r>
      <w:r>
        <w:rPr>
          <w:rFonts w:cs="Arial"/>
          <w:szCs w:val="24"/>
        </w:rPr>
        <w:t>)</w:t>
      </w:r>
    </w:p>
    <w:p w:rsidR="00FF656C" w:rsidRPr="00FF656C" w:rsidRDefault="00FF656C" w:rsidP="003E46EB">
      <w:pPr>
        <w:contextualSpacing/>
        <w:rPr>
          <w:rFonts w:cs="Arial"/>
          <w:szCs w:val="24"/>
        </w:rPr>
      </w:pPr>
    </w:p>
    <w:tbl>
      <w:tblPr>
        <w:tblStyle w:val="LightList-Accent1"/>
        <w:tblW w:w="5000" w:type="pct"/>
        <w:tblLook w:val="04A0" w:firstRow="1" w:lastRow="0" w:firstColumn="1" w:lastColumn="0" w:noHBand="0" w:noVBand="1"/>
      </w:tblPr>
      <w:tblGrid>
        <w:gridCol w:w="4505"/>
        <w:gridCol w:w="2397"/>
        <w:gridCol w:w="2340"/>
      </w:tblGrid>
      <w:tr w:rsidR="00621A60" w:rsidRPr="00323777" w:rsidTr="00F238A7">
        <w:trPr>
          <w:cnfStyle w:val="100000000000" w:firstRow="1" w:lastRow="0" w:firstColumn="0" w:lastColumn="0" w:oddVBand="0" w:evenVBand="0" w:oddHBand="0"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2437" w:type="pct"/>
            <w:noWrap/>
            <w:hideMark/>
          </w:tcPr>
          <w:p w:rsidR="00621A60" w:rsidRPr="00816EB3" w:rsidRDefault="00621A60" w:rsidP="00FF656C">
            <w:pPr>
              <w:jc w:val="center"/>
              <w:rPr>
                <w:rFonts w:eastAsia="Times New Roman" w:cs="Arial"/>
                <w:sz w:val="20"/>
                <w:szCs w:val="20"/>
                <w:lang w:eastAsia="en-GB"/>
              </w:rPr>
            </w:pPr>
            <w:r w:rsidRPr="00816EB3">
              <w:rPr>
                <w:rFonts w:eastAsia="Times New Roman" w:cs="Arial"/>
                <w:sz w:val="20"/>
                <w:szCs w:val="20"/>
                <w:lang w:eastAsia="en-GB"/>
              </w:rPr>
              <w:t> </w:t>
            </w:r>
            <w:r>
              <w:rPr>
                <w:rFonts w:eastAsia="Times New Roman" w:cs="Arial"/>
                <w:sz w:val="20"/>
                <w:szCs w:val="20"/>
                <w:lang w:eastAsia="en-GB"/>
              </w:rPr>
              <w:t>Diabetes</w:t>
            </w:r>
            <w:r w:rsidR="00FF656C">
              <w:rPr>
                <w:rFonts w:eastAsia="Times New Roman" w:cs="Arial"/>
                <w:sz w:val="20"/>
                <w:szCs w:val="20"/>
                <w:lang w:eastAsia="en-GB"/>
              </w:rPr>
              <w:t xml:space="preserve"> admissions 20</w:t>
            </w:r>
            <w:r>
              <w:rPr>
                <w:rFonts w:eastAsia="Times New Roman" w:cs="Arial"/>
                <w:sz w:val="20"/>
                <w:szCs w:val="20"/>
                <w:lang w:eastAsia="en-GB"/>
              </w:rPr>
              <w:t>13/</w:t>
            </w:r>
            <w:r w:rsidR="00FF656C">
              <w:rPr>
                <w:rFonts w:eastAsia="Times New Roman" w:cs="Arial"/>
                <w:sz w:val="20"/>
                <w:szCs w:val="20"/>
                <w:lang w:eastAsia="en-GB"/>
              </w:rPr>
              <w:t>1</w:t>
            </w:r>
            <w:r>
              <w:rPr>
                <w:rFonts w:eastAsia="Times New Roman" w:cs="Arial"/>
                <w:sz w:val="20"/>
                <w:szCs w:val="20"/>
                <w:lang w:eastAsia="en-GB"/>
              </w:rPr>
              <w:t>4</w:t>
            </w:r>
            <w:r w:rsidR="00512857">
              <w:rPr>
                <w:rFonts w:eastAsia="Times New Roman" w:cs="Arial"/>
                <w:sz w:val="20"/>
                <w:szCs w:val="20"/>
                <w:lang w:eastAsia="en-GB"/>
              </w:rPr>
              <w:t xml:space="preserve"> (CHIMAT DMT)</w:t>
            </w:r>
          </w:p>
        </w:tc>
        <w:tc>
          <w:tcPr>
            <w:tcW w:w="1297" w:type="pct"/>
            <w:hideMark/>
          </w:tcPr>
          <w:p w:rsidR="00621A60" w:rsidRPr="00323777" w:rsidRDefault="00621A60" w:rsidP="00B35DA2">
            <w:pPr>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z w:val="20"/>
                <w:szCs w:val="20"/>
                <w:lang w:eastAsia="en-GB"/>
              </w:rPr>
            </w:pPr>
            <w:r w:rsidRPr="00323777">
              <w:rPr>
                <w:rFonts w:eastAsia="Times New Roman" w:cs="Arial"/>
                <w:bCs w:val="0"/>
                <w:sz w:val="20"/>
                <w:szCs w:val="20"/>
                <w:lang w:eastAsia="en-GB"/>
              </w:rPr>
              <w:t>Admissions</w:t>
            </w:r>
          </w:p>
        </w:tc>
        <w:tc>
          <w:tcPr>
            <w:tcW w:w="1266" w:type="pct"/>
            <w:hideMark/>
          </w:tcPr>
          <w:p w:rsidR="00621A60" w:rsidRPr="00323777" w:rsidRDefault="00621A60" w:rsidP="00B35DA2">
            <w:pPr>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z w:val="20"/>
                <w:szCs w:val="20"/>
                <w:lang w:eastAsia="en-GB"/>
              </w:rPr>
            </w:pPr>
            <w:r w:rsidRPr="00323777">
              <w:rPr>
                <w:rFonts w:eastAsia="Times New Roman" w:cs="Arial"/>
                <w:bCs w:val="0"/>
                <w:sz w:val="20"/>
                <w:szCs w:val="20"/>
                <w:lang w:eastAsia="en-GB"/>
              </w:rPr>
              <w:t>Bed days</w:t>
            </w:r>
          </w:p>
        </w:tc>
      </w:tr>
      <w:tr w:rsidR="00621A60" w:rsidRPr="00816EB3" w:rsidTr="00F238A7">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2437" w:type="pct"/>
            <w:hideMark/>
          </w:tcPr>
          <w:p w:rsidR="00621A60" w:rsidRPr="00816EB3" w:rsidRDefault="00621A60" w:rsidP="00B35DA2">
            <w:pPr>
              <w:rPr>
                <w:rFonts w:eastAsia="Times New Roman" w:cs="Arial"/>
                <w:sz w:val="20"/>
                <w:szCs w:val="20"/>
                <w:lang w:eastAsia="en-GB"/>
              </w:rPr>
            </w:pPr>
            <w:r w:rsidRPr="00816EB3">
              <w:rPr>
                <w:rFonts w:eastAsia="Times New Roman" w:cs="Arial"/>
                <w:sz w:val="20"/>
                <w:szCs w:val="20"/>
                <w:lang w:eastAsia="en-GB"/>
              </w:rPr>
              <w:t>NHS Medway (number)</w:t>
            </w:r>
          </w:p>
        </w:tc>
        <w:tc>
          <w:tcPr>
            <w:tcW w:w="1297" w:type="pct"/>
            <w:noWrap/>
            <w:vAlign w:val="center"/>
            <w:hideMark/>
          </w:tcPr>
          <w:p w:rsidR="00621A60" w:rsidRPr="00816EB3" w:rsidRDefault="00621A60" w:rsidP="00F238A7">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sidRPr="00816EB3">
              <w:rPr>
                <w:rFonts w:eastAsia="Times New Roman" w:cs="Arial"/>
                <w:sz w:val="20"/>
                <w:szCs w:val="20"/>
                <w:lang w:eastAsia="en-GB"/>
              </w:rPr>
              <w:t>51</w:t>
            </w:r>
          </w:p>
        </w:tc>
        <w:tc>
          <w:tcPr>
            <w:tcW w:w="1266" w:type="pct"/>
            <w:noWrap/>
            <w:vAlign w:val="center"/>
            <w:hideMark/>
          </w:tcPr>
          <w:p w:rsidR="00621A60" w:rsidRPr="00816EB3" w:rsidRDefault="00621A60" w:rsidP="00F238A7">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sidRPr="00816EB3">
              <w:rPr>
                <w:rFonts w:eastAsia="Times New Roman" w:cs="Arial"/>
                <w:sz w:val="20"/>
                <w:szCs w:val="20"/>
                <w:lang w:eastAsia="en-GB"/>
              </w:rPr>
              <w:t>173</w:t>
            </w:r>
          </w:p>
        </w:tc>
      </w:tr>
      <w:tr w:rsidR="00621A60" w:rsidRPr="00816EB3" w:rsidTr="00F238A7">
        <w:trPr>
          <w:trHeight w:val="589"/>
        </w:trPr>
        <w:tc>
          <w:tcPr>
            <w:cnfStyle w:val="001000000000" w:firstRow="0" w:lastRow="0" w:firstColumn="1" w:lastColumn="0" w:oddVBand="0" w:evenVBand="0" w:oddHBand="0" w:evenHBand="0" w:firstRowFirstColumn="0" w:firstRowLastColumn="0" w:lastRowFirstColumn="0" w:lastRowLastColumn="0"/>
            <w:tcW w:w="2437" w:type="pct"/>
            <w:hideMark/>
          </w:tcPr>
          <w:p w:rsidR="00621A60" w:rsidRPr="00816EB3" w:rsidRDefault="00621A60" w:rsidP="00B35DA2">
            <w:pPr>
              <w:rPr>
                <w:rFonts w:eastAsia="Times New Roman" w:cs="Arial"/>
                <w:sz w:val="20"/>
                <w:szCs w:val="20"/>
                <w:lang w:eastAsia="en-GB"/>
              </w:rPr>
            </w:pPr>
            <w:r w:rsidRPr="00816EB3">
              <w:rPr>
                <w:rFonts w:eastAsia="Times New Roman" w:cs="Arial"/>
                <w:sz w:val="20"/>
                <w:szCs w:val="20"/>
                <w:lang w:eastAsia="en-GB"/>
              </w:rPr>
              <w:t>Rate per 100,000 population</w:t>
            </w:r>
          </w:p>
        </w:tc>
        <w:tc>
          <w:tcPr>
            <w:tcW w:w="1297" w:type="pct"/>
            <w:noWrap/>
            <w:vAlign w:val="center"/>
            <w:hideMark/>
          </w:tcPr>
          <w:p w:rsidR="00621A60" w:rsidRPr="00816EB3" w:rsidRDefault="00621A60" w:rsidP="00F238A7">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816EB3">
              <w:rPr>
                <w:rFonts w:eastAsia="Times New Roman" w:cs="Arial"/>
                <w:sz w:val="20"/>
                <w:szCs w:val="20"/>
                <w:lang w:eastAsia="en-GB"/>
              </w:rPr>
              <w:t>74.0</w:t>
            </w:r>
          </w:p>
        </w:tc>
        <w:tc>
          <w:tcPr>
            <w:tcW w:w="1266" w:type="pct"/>
            <w:noWrap/>
            <w:vAlign w:val="center"/>
            <w:hideMark/>
          </w:tcPr>
          <w:p w:rsidR="00621A60" w:rsidRPr="00816EB3" w:rsidRDefault="00621A60" w:rsidP="00F238A7">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816EB3">
              <w:rPr>
                <w:rFonts w:eastAsia="Times New Roman" w:cs="Arial"/>
                <w:sz w:val="20"/>
                <w:szCs w:val="20"/>
                <w:lang w:eastAsia="en-GB"/>
              </w:rPr>
              <w:t>251.1</w:t>
            </w:r>
          </w:p>
        </w:tc>
      </w:tr>
      <w:tr w:rsidR="00621A60" w:rsidRPr="00816EB3" w:rsidTr="00F238A7">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2437" w:type="pct"/>
            <w:hideMark/>
          </w:tcPr>
          <w:p w:rsidR="00621A60" w:rsidRPr="00816EB3" w:rsidRDefault="00621A60" w:rsidP="00B35DA2">
            <w:pPr>
              <w:rPr>
                <w:rFonts w:eastAsia="Times New Roman" w:cs="Arial"/>
                <w:sz w:val="20"/>
                <w:szCs w:val="20"/>
                <w:lang w:eastAsia="en-GB"/>
              </w:rPr>
            </w:pPr>
            <w:r w:rsidRPr="00816EB3">
              <w:rPr>
                <w:rFonts w:eastAsia="Times New Roman" w:cs="Arial"/>
                <w:sz w:val="20"/>
                <w:szCs w:val="20"/>
                <w:lang w:eastAsia="en-GB"/>
              </w:rPr>
              <w:lastRenderedPageBreak/>
              <w:t>England (rate)</w:t>
            </w:r>
          </w:p>
        </w:tc>
        <w:tc>
          <w:tcPr>
            <w:tcW w:w="1297" w:type="pct"/>
            <w:noWrap/>
            <w:vAlign w:val="center"/>
            <w:hideMark/>
          </w:tcPr>
          <w:p w:rsidR="00621A60" w:rsidRPr="00816EB3" w:rsidRDefault="00621A60" w:rsidP="00F238A7">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sidRPr="00816EB3">
              <w:rPr>
                <w:rFonts w:eastAsia="Times New Roman" w:cs="Arial"/>
                <w:sz w:val="20"/>
                <w:szCs w:val="20"/>
                <w:lang w:eastAsia="en-GB"/>
              </w:rPr>
              <w:t>57.1</w:t>
            </w:r>
          </w:p>
        </w:tc>
        <w:tc>
          <w:tcPr>
            <w:tcW w:w="1266" w:type="pct"/>
            <w:noWrap/>
            <w:vAlign w:val="center"/>
            <w:hideMark/>
          </w:tcPr>
          <w:p w:rsidR="00621A60" w:rsidRPr="00816EB3" w:rsidRDefault="00621A60" w:rsidP="00F238A7">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sidRPr="00816EB3">
              <w:rPr>
                <w:rFonts w:eastAsia="Times New Roman" w:cs="Arial"/>
                <w:sz w:val="20"/>
                <w:szCs w:val="20"/>
                <w:lang w:eastAsia="en-GB"/>
              </w:rPr>
              <w:t>129.7</w:t>
            </w:r>
          </w:p>
        </w:tc>
      </w:tr>
      <w:tr w:rsidR="00621A60" w:rsidRPr="00816EB3" w:rsidTr="00CC4EDF">
        <w:trPr>
          <w:trHeight w:val="589"/>
        </w:trPr>
        <w:tc>
          <w:tcPr>
            <w:cnfStyle w:val="001000000000" w:firstRow="0" w:lastRow="0" w:firstColumn="1" w:lastColumn="0" w:oddVBand="0" w:evenVBand="0" w:oddHBand="0" w:evenHBand="0" w:firstRowFirstColumn="0" w:firstRowLastColumn="0" w:lastRowFirstColumn="0" w:lastRowLastColumn="0"/>
            <w:tcW w:w="2437" w:type="pct"/>
            <w:hideMark/>
          </w:tcPr>
          <w:p w:rsidR="00621A60" w:rsidRPr="00816EB3" w:rsidRDefault="00621A60" w:rsidP="00B35DA2">
            <w:pPr>
              <w:rPr>
                <w:rFonts w:eastAsia="Times New Roman" w:cs="Arial"/>
                <w:sz w:val="20"/>
                <w:szCs w:val="20"/>
                <w:lang w:eastAsia="en-GB"/>
              </w:rPr>
            </w:pPr>
            <w:r w:rsidRPr="00816EB3">
              <w:rPr>
                <w:rFonts w:eastAsia="Times New Roman" w:cs="Arial"/>
                <w:sz w:val="20"/>
                <w:szCs w:val="20"/>
                <w:lang w:eastAsia="en-GB"/>
              </w:rPr>
              <w:t>Significance*</w:t>
            </w:r>
          </w:p>
        </w:tc>
        <w:tc>
          <w:tcPr>
            <w:tcW w:w="1297" w:type="pct"/>
            <w:shd w:val="clear" w:color="auto" w:fill="4F81BD"/>
            <w:noWrap/>
            <w:vAlign w:val="center"/>
            <w:hideMark/>
          </w:tcPr>
          <w:p w:rsidR="00621A60" w:rsidRPr="00816EB3" w:rsidRDefault="00621A60" w:rsidP="00F238A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FFFF"/>
                <w:sz w:val="20"/>
                <w:szCs w:val="20"/>
                <w:lang w:eastAsia="en-GB"/>
              </w:rPr>
            </w:pPr>
            <w:r w:rsidRPr="00816EB3">
              <w:rPr>
                <w:rFonts w:eastAsia="Times New Roman" w:cs="Arial"/>
                <w:color w:val="FFFFFF"/>
                <w:sz w:val="20"/>
                <w:szCs w:val="20"/>
                <w:lang w:eastAsia="en-GB"/>
              </w:rPr>
              <w:t>Same</w:t>
            </w:r>
          </w:p>
        </w:tc>
        <w:tc>
          <w:tcPr>
            <w:tcW w:w="1266" w:type="pct"/>
            <w:shd w:val="clear" w:color="auto" w:fill="FF0000"/>
            <w:noWrap/>
            <w:vAlign w:val="center"/>
            <w:hideMark/>
          </w:tcPr>
          <w:p w:rsidR="00621A60" w:rsidRPr="00816EB3" w:rsidRDefault="00621A60" w:rsidP="00F238A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FFFF"/>
                <w:sz w:val="20"/>
                <w:szCs w:val="20"/>
                <w:lang w:eastAsia="en-GB"/>
              </w:rPr>
            </w:pPr>
            <w:r w:rsidRPr="00816EB3">
              <w:rPr>
                <w:rFonts w:eastAsia="Times New Roman" w:cs="Arial"/>
                <w:color w:val="FFFFFF"/>
                <w:sz w:val="20"/>
                <w:szCs w:val="20"/>
                <w:lang w:eastAsia="en-GB"/>
              </w:rPr>
              <w:t>Worse</w:t>
            </w:r>
          </w:p>
        </w:tc>
      </w:tr>
      <w:tr w:rsidR="00621A60" w:rsidRPr="00816EB3" w:rsidTr="00F238A7">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2437" w:type="pct"/>
          </w:tcPr>
          <w:p w:rsidR="00621A60" w:rsidRPr="00816EB3" w:rsidRDefault="00621A60" w:rsidP="00B35DA2">
            <w:pPr>
              <w:rPr>
                <w:rFonts w:eastAsia="Times New Roman" w:cs="Arial"/>
                <w:sz w:val="20"/>
                <w:szCs w:val="20"/>
                <w:lang w:eastAsia="en-GB"/>
              </w:rPr>
            </w:pPr>
            <w:r>
              <w:rPr>
                <w:rFonts w:eastAsia="Times New Roman" w:cs="Arial"/>
                <w:sz w:val="20"/>
                <w:szCs w:val="20"/>
                <w:lang w:eastAsia="en-GB"/>
              </w:rPr>
              <w:t>4 most similar CCGs (rate)</w:t>
            </w:r>
          </w:p>
        </w:tc>
        <w:tc>
          <w:tcPr>
            <w:tcW w:w="1297" w:type="pct"/>
            <w:noWrap/>
            <w:vAlign w:val="center"/>
          </w:tcPr>
          <w:p w:rsidR="00621A60" w:rsidRPr="00816EB3" w:rsidRDefault="00621A60" w:rsidP="00F238A7">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sidRPr="00816EB3">
              <w:rPr>
                <w:rFonts w:eastAsia="Times New Roman" w:cs="Arial"/>
                <w:sz w:val="20"/>
                <w:szCs w:val="20"/>
                <w:lang w:eastAsia="en-GB"/>
              </w:rPr>
              <w:t>63.1</w:t>
            </w:r>
          </w:p>
        </w:tc>
        <w:tc>
          <w:tcPr>
            <w:tcW w:w="1266" w:type="pct"/>
            <w:noWrap/>
            <w:vAlign w:val="center"/>
          </w:tcPr>
          <w:p w:rsidR="00621A60" w:rsidRPr="00816EB3" w:rsidRDefault="00621A60" w:rsidP="00F238A7">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Pr>
                <w:rFonts w:eastAsia="Times New Roman" w:cs="Arial"/>
                <w:sz w:val="20"/>
                <w:szCs w:val="20"/>
                <w:lang w:eastAsia="en-GB"/>
              </w:rPr>
              <w:t>110.2</w:t>
            </w:r>
          </w:p>
        </w:tc>
      </w:tr>
      <w:tr w:rsidR="00621A60" w:rsidRPr="00816EB3" w:rsidTr="00CC4EDF">
        <w:trPr>
          <w:trHeight w:val="589"/>
        </w:trPr>
        <w:tc>
          <w:tcPr>
            <w:cnfStyle w:val="001000000000" w:firstRow="0" w:lastRow="0" w:firstColumn="1" w:lastColumn="0" w:oddVBand="0" w:evenVBand="0" w:oddHBand="0" w:evenHBand="0" w:firstRowFirstColumn="0" w:firstRowLastColumn="0" w:lastRowFirstColumn="0" w:lastRowLastColumn="0"/>
            <w:tcW w:w="2437" w:type="pct"/>
          </w:tcPr>
          <w:p w:rsidR="00621A60" w:rsidRDefault="00621A60" w:rsidP="00B35DA2">
            <w:pPr>
              <w:rPr>
                <w:rFonts w:eastAsia="Times New Roman" w:cs="Arial"/>
                <w:sz w:val="20"/>
                <w:szCs w:val="20"/>
                <w:lang w:eastAsia="en-GB"/>
              </w:rPr>
            </w:pPr>
            <w:r>
              <w:rPr>
                <w:rFonts w:eastAsia="Times New Roman" w:cs="Arial"/>
                <w:sz w:val="20"/>
                <w:szCs w:val="20"/>
                <w:lang w:eastAsia="en-GB"/>
              </w:rPr>
              <w:t>Significance**</w:t>
            </w:r>
          </w:p>
        </w:tc>
        <w:tc>
          <w:tcPr>
            <w:tcW w:w="1297" w:type="pct"/>
            <w:shd w:val="clear" w:color="auto" w:fill="4F81BD"/>
            <w:noWrap/>
            <w:vAlign w:val="center"/>
          </w:tcPr>
          <w:p w:rsidR="00621A60" w:rsidRPr="00816EB3" w:rsidRDefault="00621A60" w:rsidP="00F238A7">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312C2B">
              <w:rPr>
                <w:rFonts w:eastAsia="Times New Roman" w:cs="Arial"/>
                <w:color w:val="FFFFFF" w:themeColor="background1"/>
                <w:sz w:val="20"/>
                <w:szCs w:val="20"/>
                <w:lang w:eastAsia="en-GB"/>
              </w:rPr>
              <w:t>Same</w:t>
            </w:r>
          </w:p>
        </w:tc>
        <w:tc>
          <w:tcPr>
            <w:tcW w:w="1266" w:type="pct"/>
            <w:shd w:val="clear" w:color="auto" w:fill="FF0000"/>
            <w:noWrap/>
            <w:vAlign w:val="center"/>
          </w:tcPr>
          <w:p w:rsidR="00621A60" w:rsidRDefault="00621A60" w:rsidP="00F238A7">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312C2B">
              <w:rPr>
                <w:rFonts w:eastAsia="Times New Roman" w:cs="Arial"/>
                <w:color w:val="FFFFFF" w:themeColor="background1"/>
                <w:sz w:val="20"/>
                <w:szCs w:val="20"/>
                <w:lang w:eastAsia="en-GB"/>
              </w:rPr>
              <w:t>Worse</w:t>
            </w:r>
          </w:p>
        </w:tc>
      </w:tr>
      <w:tr w:rsidR="00621A60" w:rsidRPr="00816EB3" w:rsidTr="00F238A7">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2437" w:type="pct"/>
            <w:hideMark/>
          </w:tcPr>
          <w:p w:rsidR="00621A60" w:rsidRPr="00816EB3" w:rsidRDefault="00621A60" w:rsidP="00B35DA2">
            <w:pPr>
              <w:rPr>
                <w:rFonts w:eastAsia="Times New Roman" w:cs="Arial"/>
                <w:sz w:val="20"/>
                <w:szCs w:val="20"/>
                <w:lang w:eastAsia="en-GB"/>
              </w:rPr>
            </w:pPr>
            <w:r w:rsidRPr="00816EB3">
              <w:rPr>
                <w:rFonts w:eastAsia="Times New Roman" w:cs="Arial"/>
                <w:sz w:val="20"/>
                <w:szCs w:val="20"/>
                <w:lang w:eastAsia="en-GB"/>
              </w:rPr>
              <w:t xml:space="preserve">Rank (of 221 CCGs) </w:t>
            </w:r>
            <w:r w:rsidRPr="00816EB3">
              <w:rPr>
                <w:rFonts w:eastAsia="Times New Roman" w:cs="Arial"/>
                <w:sz w:val="20"/>
                <w:szCs w:val="20"/>
                <w:lang w:eastAsia="en-GB"/>
              </w:rPr>
              <w:br/>
              <w:t>1 indicates 'best'</w:t>
            </w:r>
          </w:p>
        </w:tc>
        <w:tc>
          <w:tcPr>
            <w:tcW w:w="1297" w:type="pct"/>
            <w:noWrap/>
            <w:vAlign w:val="center"/>
            <w:hideMark/>
          </w:tcPr>
          <w:p w:rsidR="00621A60" w:rsidRPr="00816EB3" w:rsidRDefault="00621A60" w:rsidP="00F238A7">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sidRPr="00816EB3">
              <w:rPr>
                <w:rFonts w:eastAsia="Times New Roman" w:cs="Arial"/>
                <w:sz w:val="20"/>
                <w:szCs w:val="20"/>
                <w:lang w:eastAsia="en-GB"/>
              </w:rPr>
              <w:t>176</w:t>
            </w:r>
          </w:p>
        </w:tc>
        <w:tc>
          <w:tcPr>
            <w:tcW w:w="1266" w:type="pct"/>
            <w:noWrap/>
            <w:vAlign w:val="center"/>
            <w:hideMark/>
          </w:tcPr>
          <w:p w:rsidR="00621A60" w:rsidRPr="00816EB3" w:rsidRDefault="00621A60" w:rsidP="00F238A7">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sidRPr="00816EB3">
              <w:rPr>
                <w:rFonts w:eastAsia="Times New Roman" w:cs="Arial"/>
                <w:sz w:val="20"/>
                <w:szCs w:val="20"/>
                <w:lang w:eastAsia="en-GB"/>
              </w:rPr>
              <w:t>202</w:t>
            </w:r>
          </w:p>
        </w:tc>
      </w:tr>
    </w:tbl>
    <w:p w:rsidR="00621A60" w:rsidRDefault="00F931BA" w:rsidP="00F931BA">
      <w:pPr>
        <w:pStyle w:val="Caption"/>
        <w:rPr>
          <w:rFonts w:cs="Arial"/>
          <w:b w:val="0"/>
          <w:sz w:val="24"/>
          <w:szCs w:val="24"/>
        </w:rPr>
      </w:pPr>
      <w:r>
        <w:t xml:space="preserve">Figure </w:t>
      </w:r>
      <w:r w:rsidR="00156E8B">
        <w:fldChar w:fldCharType="begin"/>
      </w:r>
      <w:r w:rsidR="00156E8B">
        <w:instrText xml:space="preserve"> SEQ Figure \* ARABIC </w:instrText>
      </w:r>
      <w:r w:rsidR="00156E8B">
        <w:fldChar w:fldCharType="separate"/>
      </w:r>
      <w:r w:rsidR="005C553C">
        <w:rPr>
          <w:noProof/>
        </w:rPr>
        <w:t>20</w:t>
      </w:r>
      <w:r w:rsidR="00156E8B">
        <w:rPr>
          <w:noProof/>
        </w:rPr>
        <w:fldChar w:fldCharType="end"/>
      </w:r>
      <w:r>
        <w:t xml:space="preserve"> Diabetes admissions and bed days</w:t>
      </w:r>
    </w:p>
    <w:p w:rsidR="00621A60" w:rsidRDefault="00621A60" w:rsidP="00621A60">
      <w:pPr>
        <w:rPr>
          <w:sz w:val="20"/>
          <w:szCs w:val="24"/>
        </w:rPr>
      </w:pPr>
      <w:r w:rsidRPr="007259FA">
        <w:rPr>
          <w:sz w:val="20"/>
          <w:szCs w:val="24"/>
        </w:rPr>
        <w:t>*When compared to England</w:t>
      </w:r>
    </w:p>
    <w:p w:rsidR="00CC2DAA" w:rsidRDefault="00621A60" w:rsidP="003E46EB">
      <w:pPr>
        <w:rPr>
          <w:sz w:val="20"/>
          <w:szCs w:val="24"/>
        </w:rPr>
      </w:pPr>
      <w:r>
        <w:rPr>
          <w:sz w:val="20"/>
          <w:szCs w:val="24"/>
        </w:rPr>
        <w:t>** When compared to the average of the four most similar CCGs</w:t>
      </w:r>
    </w:p>
    <w:p w:rsidR="00CC2DAA" w:rsidRDefault="00CC2DAA" w:rsidP="003E46EB">
      <w:pPr>
        <w:rPr>
          <w:sz w:val="20"/>
          <w:szCs w:val="24"/>
        </w:rPr>
      </w:pPr>
    </w:p>
    <w:p w:rsidR="00621A60" w:rsidRDefault="00CC2DAA" w:rsidP="003E46EB">
      <w:pPr>
        <w:rPr>
          <w:rFonts w:cs="Arial"/>
          <w:b/>
          <w:sz w:val="24"/>
          <w:szCs w:val="24"/>
        </w:rPr>
      </w:pPr>
      <w:r>
        <w:rPr>
          <w:noProof/>
          <w:lang w:eastAsia="en-GB"/>
        </w:rPr>
        <w:drawing>
          <wp:inline distT="0" distB="0" distL="0" distR="0" wp14:anchorId="76A240A7" wp14:editId="49974A77">
            <wp:extent cx="4676400" cy="2066400"/>
            <wp:effectExtent l="0" t="0" r="10160" b="1016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931BA" w:rsidRDefault="00F931BA" w:rsidP="00F931BA">
      <w:pPr>
        <w:pStyle w:val="Caption"/>
      </w:pPr>
      <w:r>
        <w:t xml:space="preserve">Figure </w:t>
      </w:r>
      <w:r w:rsidR="00156E8B">
        <w:fldChar w:fldCharType="begin"/>
      </w:r>
      <w:r w:rsidR="00156E8B">
        <w:instrText xml:space="preserve"> SEQ Figure \* ARABIC </w:instrText>
      </w:r>
      <w:r w:rsidR="00156E8B">
        <w:fldChar w:fldCharType="separate"/>
      </w:r>
      <w:r w:rsidR="005C553C">
        <w:rPr>
          <w:noProof/>
        </w:rPr>
        <w:t>21</w:t>
      </w:r>
      <w:r w:rsidR="00156E8B">
        <w:rPr>
          <w:noProof/>
        </w:rPr>
        <w:fldChar w:fldCharType="end"/>
      </w:r>
      <w:r>
        <w:t xml:space="preserve"> Diabetes admissions per 100,000 population</w:t>
      </w:r>
    </w:p>
    <w:p w:rsidR="00FF656C" w:rsidRDefault="00F931BA" w:rsidP="003E46EB">
      <w:pPr>
        <w:contextualSpacing/>
        <w:rPr>
          <w:rFonts w:cs="Arial"/>
          <w:szCs w:val="24"/>
        </w:rPr>
      </w:pPr>
      <w:r>
        <w:rPr>
          <w:rFonts w:cs="Arial"/>
          <w:szCs w:val="24"/>
        </w:rPr>
        <w:t xml:space="preserve">Figure 22 </w:t>
      </w:r>
      <w:r w:rsidR="00994D1D">
        <w:rPr>
          <w:rFonts w:cs="Arial"/>
          <w:szCs w:val="24"/>
        </w:rPr>
        <w:t>illustrates</w:t>
      </w:r>
      <w:r w:rsidR="00512857" w:rsidRPr="00512857">
        <w:rPr>
          <w:rFonts w:cs="Arial"/>
          <w:szCs w:val="24"/>
        </w:rPr>
        <w:t xml:space="preserve"> CHIMAT estimate of </w:t>
      </w:r>
      <w:r w:rsidR="00994D1D">
        <w:rPr>
          <w:rFonts w:cs="Arial"/>
          <w:szCs w:val="24"/>
        </w:rPr>
        <w:t xml:space="preserve">the </w:t>
      </w:r>
      <w:r w:rsidR="00512857" w:rsidRPr="00512857">
        <w:rPr>
          <w:rFonts w:cs="Arial"/>
          <w:szCs w:val="24"/>
        </w:rPr>
        <w:t>savings that could be made if performance improved:</w:t>
      </w:r>
    </w:p>
    <w:p w:rsidR="00512857" w:rsidRPr="00512857" w:rsidRDefault="00512857" w:rsidP="003E46EB">
      <w:pPr>
        <w:contextualSpacing/>
        <w:rPr>
          <w:rFonts w:cs="Arial"/>
          <w:szCs w:val="24"/>
        </w:rPr>
      </w:pPr>
    </w:p>
    <w:tbl>
      <w:tblPr>
        <w:tblStyle w:val="LightList-Accent1"/>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083"/>
        <w:gridCol w:w="1277"/>
        <w:gridCol w:w="1701"/>
        <w:gridCol w:w="1564"/>
        <w:gridCol w:w="1617"/>
      </w:tblGrid>
      <w:tr w:rsidR="00EF6E6E" w:rsidRPr="00A86D91" w:rsidTr="00323777">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68" w:type="pct"/>
            <w:tcBorders>
              <w:bottom w:val="single" w:sz="8" w:space="0" w:color="4F81BD" w:themeColor="accent1"/>
              <w:right w:val="single" w:sz="8" w:space="0" w:color="4F81BD" w:themeColor="accent1"/>
            </w:tcBorders>
            <w:shd w:val="clear" w:color="auto" w:fill="auto"/>
            <w:noWrap/>
            <w:hideMark/>
          </w:tcPr>
          <w:p w:rsidR="00EF6E6E" w:rsidRPr="00A86D91" w:rsidRDefault="00EF6E6E" w:rsidP="00B35DA2">
            <w:pPr>
              <w:rPr>
                <w:rFonts w:eastAsia="Times New Roman" w:cs="Arial"/>
                <w:sz w:val="20"/>
                <w:szCs w:val="20"/>
                <w:lang w:eastAsia="en-GB"/>
              </w:rPr>
            </w:pPr>
            <w:r w:rsidRPr="00A86D91">
              <w:rPr>
                <w:rFonts w:eastAsia="Times New Roman" w:cs="Arial"/>
                <w:sz w:val="20"/>
                <w:szCs w:val="20"/>
                <w:lang w:eastAsia="en-GB"/>
              </w:rPr>
              <w:t> </w:t>
            </w:r>
          </w:p>
        </w:tc>
        <w:tc>
          <w:tcPr>
            <w:tcW w:w="69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hideMark/>
          </w:tcPr>
          <w:p w:rsidR="00EF6E6E" w:rsidRPr="00323777" w:rsidRDefault="00EF6E6E" w:rsidP="00B35DA2">
            <w:pPr>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z w:val="20"/>
                <w:szCs w:val="20"/>
                <w:lang w:eastAsia="en-GB"/>
              </w:rPr>
            </w:pPr>
            <w:r w:rsidRPr="00323777">
              <w:rPr>
                <w:rFonts w:eastAsia="Times New Roman" w:cs="Arial"/>
                <w:bCs w:val="0"/>
                <w:sz w:val="20"/>
                <w:szCs w:val="20"/>
                <w:lang w:eastAsia="en-GB"/>
              </w:rPr>
              <w:t>Medway</w:t>
            </w:r>
          </w:p>
        </w:tc>
        <w:tc>
          <w:tcPr>
            <w:tcW w:w="920"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hideMark/>
          </w:tcPr>
          <w:p w:rsidR="00EF6E6E" w:rsidRPr="00323777" w:rsidRDefault="00EF6E6E" w:rsidP="00B35DA2">
            <w:pPr>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z w:val="20"/>
                <w:szCs w:val="20"/>
                <w:lang w:eastAsia="en-GB"/>
              </w:rPr>
            </w:pPr>
            <w:r w:rsidRPr="00323777">
              <w:rPr>
                <w:rFonts w:eastAsia="Times New Roman" w:cs="Arial"/>
                <w:bCs w:val="0"/>
                <w:sz w:val="20"/>
                <w:szCs w:val="20"/>
                <w:lang w:eastAsia="en-GB"/>
              </w:rPr>
              <w:t>England</w:t>
            </w:r>
          </w:p>
        </w:tc>
        <w:tc>
          <w:tcPr>
            <w:tcW w:w="84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hideMark/>
          </w:tcPr>
          <w:p w:rsidR="00EF6E6E" w:rsidRPr="00323777" w:rsidRDefault="00EF6E6E" w:rsidP="00B35DA2">
            <w:pPr>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z w:val="20"/>
                <w:szCs w:val="20"/>
                <w:lang w:eastAsia="en-GB"/>
              </w:rPr>
            </w:pPr>
            <w:r w:rsidRPr="00323777">
              <w:rPr>
                <w:rFonts w:eastAsia="Times New Roman" w:cs="Arial"/>
                <w:bCs w:val="0"/>
                <w:sz w:val="20"/>
                <w:szCs w:val="20"/>
                <w:lang w:eastAsia="en-GB"/>
              </w:rPr>
              <w:t>The best performing 25%</w:t>
            </w:r>
          </w:p>
        </w:tc>
        <w:tc>
          <w:tcPr>
            <w:tcW w:w="875"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hideMark/>
          </w:tcPr>
          <w:p w:rsidR="00EF6E6E" w:rsidRPr="00323777" w:rsidRDefault="00EF6E6E" w:rsidP="00B35DA2">
            <w:pPr>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z w:val="20"/>
                <w:szCs w:val="20"/>
                <w:lang w:eastAsia="en-GB"/>
              </w:rPr>
            </w:pPr>
            <w:r w:rsidRPr="00323777">
              <w:rPr>
                <w:rFonts w:eastAsia="Times New Roman" w:cs="Arial"/>
                <w:bCs w:val="0"/>
                <w:sz w:val="20"/>
                <w:szCs w:val="20"/>
                <w:lang w:eastAsia="en-GB"/>
              </w:rPr>
              <w:t>The best performing 5%</w:t>
            </w:r>
          </w:p>
        </w:tc>
      </w:tr>
      <w:tr w:rsidR="00EF6E6E" w:rsidRPr="00A86D91" w:rsidTr="00323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8" w:type="pct"/>
            <w:tcBorders>
              <w:right w:val="single" w:sz="8" w:space="0" w:color="4F81BD" w:themeColor="accent1"/>
            </w:tcBorders>
            <w:noWrap/>
            <w:hideMark/>
          </w:tcPr>
          <w:p w:rsidR="00EF6E6E" w:rsidRPr="00A86D91" w:rsidRDefault="00EF6E6E" w:rsidP="00B35DA2">
            <w:pPr>
              <w:rPr>
                <w:rFonts w:eastAsia="Times New Roman" w:cs="Arial"/>
                <w:sz w:val="20"/>
                <w:szCs w:val="20"/>
                <w:lang w:eastAsia="en-GB"/>
              </w:rPr>
            </w:pPr>
            <w:r w:rsidRPr="00A86D91">
              <w:rPr>
                <w:rFonts w:eastAsia="Times New Roman" w:cs="Arial"/>
                <w:sz w:val="20"/>
                <w:szCs w:val="20"/>
                <w:lang w:eastAsia="en-GB"/>
              </w:rPr>
              <w:t>Admissions per 100,000 population aged 0-18</w:t>
            </w:r>
          </w:p>
        </w:tc>
        <w:tc>
          <w:tcPr>
            <w:tcW w:w="691" w:type="pct"/>
            <w:tcBorders>
              <w:left w:val="single" w:sz="8" w:space="0" w:color="4F81BD" w:themeColor="accent1"/>
              <w:right w:val="single" w:sz="8" w:space="0" w:color="4F81BD" w:themeColor="accent1"/>
            </w:tcBorders>
            <w:noWrap/>
            <w:hideMark/>
          </w:tcPr>
          <w:p w:rsidR="00EF6E6E" w:rsidRPr="00A86D91" w:rsidRDefault="00EF6E6E" w:rsidP="00B35DA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sidRPr="00A86D91">
              <w:rPr>
                <w:rFonts w:eastAsia="Times New Roman" w:cs="Arial"/>
                <w:sz w:val="20"/>
                <w:szCs w:val="20"/>
                <w:lang w:eastAsia="en-GB"/>
              </w:rPr>
              <w:t>74.0</w:t>
            </w:r>
          </w:p>
        </w:tc>
        <w:tc>
          <w:tcPr>
            <w:tcW w:w="920" w:type="pct"/>
            <w:tcBorders>
              <w:left w:val="single" w:sz="8" w:space="0" w:color="4F81BD" w:themeColor="accent1"/>
              <w:right w:val="single" w:sz="8" w:space="0" w:color="4F81BD" w:themeColor="accent1"/>
            </w:tcBorders>
            <w:noWrap/>
            <w:hideMark/>
          </w:tcPr>
          <w:p w:rsidR="00EF6E6E" w:rsidRPr="00A86D91" w:rsidRDefault="00EF6E6E" w:rsidP="00B35DA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sidRPr="00A86D91">
              <w:rPr>
                <w:rFonts w:eastAsia="Times New Roman" w:cs="Arial"/>
                <w:sz w:val="20"/>
                <w:szCs w:val="20"/>
                <w:lang w:eastAsia="en-GB"/>
              </w:rPr>
              <w:t>57.1</w:t>
            </w:r>
          </w:p>
        </w:tc>
        <w:tc>
          <w:tcPr>
            <w:tcW w:w="846" w:type="pct"/>
            <w:tcBorders>
              <w:left w:val="single" w:sz="8" w:space="0" w:color="4F81BD" w:themeColor="accent1"/>
              <w:right w:val="single" w:sz="8" w:space="0" w:color="4F81BD" w:themeColor="accent1"/>
            </w:tcBorders>
            <w:noWrap/>
            <w:hideMark/>
          </w:tcPr>
          <w:p w:rsidR="00EF6E6E" w:rsidRPr="00A86D91" w:rsidRDefault="00EF6E6E" w:rsidP="00B35DA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sidRPr="00A86D91">
              <w:rPr>
                <w:rFonts w:eastAsia="Times New Roman" w:cs="Arial"/>
                <w:sz w:val="20"/>
                <w:szCs w:val="20"/>
                <w:lang w:eastAsia="en-GB"/>
              </w:rPr>
              <w:t>36.2</w:t>
            </w:r>
          </w:p>
        </w:tc>
        <w:tc>
          <w:tcPr>
            <w:tcW w:w="875" w:type="pct"/>
            <w:tcBorders>
              <w:left w:val="single" w:sz="8" w:space="0" w:color="4F81BD" w:themeColor="accent1"/>
            </w:tcBorders>
            <w:noWrap/>
            <w:hideMark/>
          </w:tcPr>
          <w:p w:rsidR="00EF6E6E" w:rsidRPr="00A86D91" w:rsidRDefault="00EF6E6E" w:rsidP="00B35DA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sidRPr="00A86D91">
              <w:rPr>
                <w:rFonts w:eastAsia="Times New Roman" w:cs="Arial"/>
                <w:sz w:val="20"/>
                <w:szCs w:val="20"/>
                <w:lang w:eastAsia="en-GB"/>
              </w:rPr>
              <w:t>26.1</w:t>
            </w:r>
          </w:p>
        </w:tc>
      </w:tr>
      <w:tr w:rsidR="00EF6E6E" w:rsidRPr="00A86D91" w:rsidTr="00323777">
        <w:trPr>
          <w:trHeight w:val="300"/>
        </w:trPr>
        <w:tc>
          <w:tcPr>
            <w:cnfStyle w:val="001000000000" w:firstRow="0" w:lastRow="0" w:firstColumn="1" w:lastColumn="0" w:oddVBand="0" w:evenVBand="0" w:oddHBand="0" w:evenHBand="0" w:firstRowFirstColumn="0" w:firstRowLastColumn="0" w:lastRowFirstColumn="0" w:lastRowLastColumn="0"/>
            <w:tcW w:w="166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noWrap/>
            <w:hideMark/>
          </w:tcPr>
          <w:p w:rsidR="00EF6E6E" w:rsidRPr="00A86D91" w:rsidRDefault="00EF6E6E" w:rsidP="00B35DA2">
            <w:pPr>
              <w:rPr>
                <w:rFonts w:eastAsia="Times New Roman" w:cs="Arial"/>
                <w:sz w:val="20"/>
                <w:szCs w:val="20"/>
                <w:lang w:eastAsia="en-GB"/>
              </w:rPr>
            </w:pPr>
            <w:r w:rsidRPr="00A86D91">
              <w:rPr>
                <w:rFonts w:eastAsia="Times New Roman" w:cs="Arial"/>
                <w:sz w:val="20"/>
                <w:szCs w:val="20"/>
                <w:lang w:eastAsia="en-GB"/>
              </w:rPr>
              <w:t>Cost per admission</w:t>
            </w:r>
          </w:p>
        </w:tc>
        <w:tc>
          <w:tcPr>
            <w:tcW w:w="69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noWrap/>
            <w:hideMark/>
          </w:tcPr>
          <w:p w:rsidR="00EF6E6E" w:rsidRPr="00A86D91" w:rsidRDefault="00EF6E6E" w:rsidP="00B35DA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A86D91">
              <w:rPr>
                <w:rFonts w:eastAsia="Times New Roman" w:cs="Arial"/>
                <w:sz w:val="20"/>
                <w:szCs w:val="20"/>
                <w:lang w:eastAsia="en-GB"/>
              </w:rPr>
              <w:t>£918</w:t>
            </w:r>
          </w:p>
        </w:tc>
        <w:tc>
          <w:tcPr>
            <w:tcW w:w="920"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noWrap/>
            <w:hideMark/>
          </w:tcPr>
          <w:p w:rsidR="00EF6E6E" w:rsidRPr="00A86D91" w:rsidRDefault="00EF6E6E" w:rsidP="00B35DA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A86D91">
              <w:rPr>
                <w:rFonts w:eastAsia="Times New Roman" w:cs="Arial"/>
                <w:sz w:val="20"/>
                <w:szCs w:val="20"/>
                <w:lang w:eastAsia="en-GB"/>
              </w:rPr>
              <w:t>£918</w:t>
            </w:r>
          </w:p>
        </w:tc>
        <w:tc>
          <w:tcPr>
            <w:tcW w:w="84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noWrap/>
            <w:hideMark/>
          </w:tcPr>
          <w:p w:rsidR="00EF6E6E" w:rsidRPr="00A86D91" w:rsidRDefault="00EF6E6E" w:rsidP="00B35DA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A86D91">
              <w:rPr>
                <w:rFonts w:eastAsia="Times New Roman" w:cs="Arial"/>
                <w:sz w:val="20"/>
                <w:szCs w:val="20"/>
                <w:lang w:eastAsia="en-GB"/>
              </w:rPr>
              <w:t>£918</w:t>
            </w:r>
          </w:p>
        </w:tc>
        <w:tc>
          <w:tcPr>
            <w:tcW w:w="875"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noWrap/>
            <w:hideMark/>
          </w:tcPr>
          <w:p w:rsidR="00EF6E6E" w:rsidRPr="00A86D91" w:rsidRDefault="00EF6E6E" w:rsidP="00B35DA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A86D91">
              <w:rPr>
                <w:rFonts w:eastAsia="Times New Roman" w:cs="Arial"/>
                <w:sz w:val="20"/>
                <w:szCs w:val="20"/>
                <w:lang w:eastAsia="en-GB"/>
              </w:rPr>
              <w:t>£918</w:t>
            </w:r>
          </w:p>
        </w:tc>
      </w:tr>
      <w:tr w:rsidR="00EF6E6E" w:rsidRPr="00A86D91" w:rsidTr="00323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8" w:type="pct"/>
            <w:tcBorders>
              <w:right w:val="single" w:sz="8" w:space="0" w:color="4F81BD" w:themeColor="accent1"/>
            </w:tcBorders>
            <w:noWrap/>
            <w:hideMark/>
          </w:tcPr>
          <w:p w:rsidR="00EF6E6E" w:rsidRPr="00A86D91" w:rsidRDefault="00EF6E6E" w:rsidP="00B35DA2">
            <w:pPr>
              <w:rPr>
                <w:rFonts w:eastAsia="Times New Roman" w:cs="Arial"/>
                <w:sz w:val="20"/>
                <w:szCs w:val="20"/>
                <w:lang w:eastAsia="en-GB"/>
              </w:rPr>
            </w:pPr>
            <w:r w:rsidRPr="00A86D91">
              <w:rPr>
                <w:rFonts w:eastAsia="Times New Roman" w:cs="Arial"/>
                <w:sz w:val="20"/>
                <w:szCs w:val="20"/>
                <w:lang w:eastAsia="en-GB"/>
              </w:rPr>
              <w:t>Total cost per 100,000 population aged 0-18</w:t>
            </w:r>
          </w:p>
        </w:tc>
        <w:tc>
          <w:tcPr>
            <w:tcW w:w="691" w:type="pct"/>
            <w:tcBorders>
              <w:left w:val="single" w:sz="8" w:space="0" w:color="4F81BD" w:themeColor="accent1"/>
              <w:right w:val="single" w:sz="8" w:space="0" w:color="4F81BD" w:themeColor="accent1"/>
            </w:tcBorders>
            <w:noWrap/>
            <w:hideMark/>
          </w:tcPr>
          <w:p w:rsidR="00EF6E6E" w:rsidRPr="00A86D91" w:rsidRDefault="00EF6E6E" w:rsidP="00B35DA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sidRPr="00A86D91">
              <w:rPr>
                <w:rFonts w:eastAsia="Times New Roman" w:cs="Arial"/>
                <w:sz w:val="20"/>
                <w:szCs w:val="20"/>
                <w:lang w:eastAsia="en-GB"/>
              </w:rPr>
              <w:t>£67,956</w:t>
            </w:r>
          </w:p>
        </w:tc>
        <w:tc>
          <w:tcPr>
            <w:tcW w:w="920" w:type="pct"/>
            <w:tcBorders>
              <w:left w:val="single" w:sz="8" w:space="0" w:color="4F81BD" w:themeColor="accent1"/>
              <w:right w:val="single" w:sz="8" w:space="0" w:color="4F81BD" w:themeColor="accent1"/>
            </w:tcBorders>
            <w:noWrap/>
            <w:hideMark/>
          </w:tcPr>
          <w:p w:rsidR="00EF6E6E" w:rsidRPr="00A86D91" w:rsidRDefault="00EF6E6E" w:rsidP="00B35DA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sidRPr="00A86D91">
              <w:rPr>
                <w:rFonts w:eastAsia="Times New Roman" w:cs="Arial"/>
                <w:sz w:val="20"/>
                <w:szCs w:val="20"/>
                <w:lang w:eastAsia="en-GB"/>
              </w:rPr>
              <w:t>£52,461</w:t>
            </w:r>
          </w:p>
        </w:tc>
        <w:tc>
          <w:tcPr>
            <w:tcW w:w="846" w:type="pct"/>
            <w:tcBorders>
              <w:left w:val="single" w:sz="8" w:space="0" w:color="4F81BD" w:themeColor="accent1"/>
              <w:right w:val="single" w:sz="8" w:space="0" w:color="4F81BD" w:themeColor="accent1"/>
            </w:tcBorders>
            <w:noWrap/>
            <w:hideMark/>
          </w:tcPr>
          <w:p w:rsidR="00EF6E6E" w:rsidRPr="00A86D91" w:rsidRDefault="00EF6E6E" w:rsidP="00B35DA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sidRPr="00A86D91">
              <w:rPr>
                <w:rFonts w:eastAsia="Times New Roman" w:cs="Arial"/>
                <w:sz w:val="20"/>
                <w:szCs w:val="20"/>
                <w:lang w:eastAsia="en-GB"/>
              </w:rPr>
              <w:t>£33,197</w:t>
            </w:r>
          </w:p>
        </w:tc>
        <w:tc>
          <w:tcPr>
            <w:tcW w:w="875" w:type="pct"/>
            <w:tcBorders>
              <w:left w:val="single" w:sz="8" w:space="0" w:color="4F81BD" w:themeColor="accent1"/>
            </w:tcBorders>
            <w:noWrap/>
            <w:hideMark/>
          </w:tcPr>
          <w:p w:rsidR="00EF6E6E" w:rsidRPr="00A86D91" w:rsidRDefault="00EF6E6E" w:rsidP="00B35DA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sidRPr="00A86D91">
              <w:rPr>
                <w:rFonts w:eastAsia="Times New Roman" w:cs="Arial"/>
                <w:sz w:val="20"/>
                <w:szCs w:val="20"/>
                <w:lang w:eastAsia="en-GB"/>
              </w:rPr>
              <w:t>£23,975</w:t>
            </w:r>
          </w:p>
        </w:tc>
      </w:tr>
      <w:tr w:rsidR="00EF6E6E" w:rsidRPr="00A86D91" w:rsidTr="00323777">
        <w:trPr>
          <w:trHeight w:val="300"/>
        </w:trPr>
        <w:tc>
          <w:tcPr>
            <w:cnfStyle w:val="001000000000" w:firstRow="0" w:lastRow="0" w:firstColumn="1" w:lastColumn="0" w:oddVBand="0" w:evenVBand="0" w:oddHBand="0" w:evenHBand="0" w:firstRowFirstColumn="0" w:firstRowLastColumn="0" w:lastRowFirstColumn="0" w:lastRowLastColumn="0"/>
            <w:tcW w:w="166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noWrap/>
            <w:hideMark/>
          </w:tcPr>
          <w:p w:rsidR="00EF6E6E" w:rsidRPr="00A86D91" w:rsidRDefault="00EF6E6E" w:rsidP="00B35DA2">
            <w:pPr>
              <w:rPr>
                <w:rFonts w:eastAsia="Times New Roman" w:cs="Arial"/>
                <w:sz w:val="20"/>
                <w:szCs w:val="20"/>
                <w:lang w:eastAsia="en-GB"/>
              </w:rPr>
            </w:pPr>
          </w:p>
        </w:tc>
        <w:tc>
          <w:tcPr>
            <w:tcW w:w="69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noWrap/>
            <w:hideMark/>
          </w:tcPr>
          <w:p w:rsidR="00EF6E6E" w:rsidRPr="00A86D91" w:rsidRDefault="00EF6E6E" w:rsidP="00B35DA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p>
        </w:tc>
        <w:tc>
          <w:tcPr>
            <w:tcW w:w="920"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noWrap/>
            <w:hideMark/>
          </w:tcPr>
          <w:p w:rsidR="00EF6E6E" w:rsidRPr="00A86D91" w:rsidRDefault="00EF6E6E" w:rsidP="00B35DA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p>
        </w:tc>
        <w:tc>
          <w:tcPr>
            <w:tcW w:w="84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noWrap/>
            <w:hideMark/>
          </w:tcPr>
          <w:p w:rsidR="00EF6E6E" w:rsidRPr="00A86D91" w:rsidRDefault="00EF6E6E" w:rsidP="00B35DA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p>
        </w:tc>
        <w:tc>
          <w:tcPr>
            <w:tcW w:w="875"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noWrap/>
            <w:hideMark/>
          </w:tcPr>
          <w:p w:rsidR="00EF6E6E" w:rsidRPr="00A86D91" w:rsidRDefault="00EF6E6E" w:rsidP="00B35DA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p>
        </w:tc>
      </w:tr>
      <w:tr w:rsidR="00EF6E6E" w:rsidRPr="00A86D91" w:rsidTr="00323777">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1668" w:type="pct"/>
            <w:tcBorders>
              <w:right w:val="single" w:sz="8" w:space="0" w:color="4F81BD" w:themeColor="accent1"/>
            </w:tcBorders>
            <w:noWrap/>
            <w:hideMark/>
          </w:tcPr>
          <w:p w:rsidR="00EF6E6E" w:rsidRPr="00A86D91" w:rsidRDefault="00EF6E6E" w:rsidP="00B35DA2">
            <w:pPr>
              <w:rPr>
                <w:rFonts w:eastAsia="Times New Roman" w:cs="Arial"/>
                <w:b w:val="0"/>
                <w:bCs w:val="0"/>
                <w:sz w:val="20"/>
                <w:szCs w:val="20"/>
                <w:lang w:eastAsia="en-GB"/>
              </w:rPr>
            </w:pPr>
          </w:p>
        </w:tc>
        <w:tc>
          <w:tcPr>
            <w:tcW w:w="691" w:type="pct"/>
            <w:tcBorders>
              <w:left w:val="single" w:sz="8" w:space="0" w:color="4F81BD" w:themeColor="accent1"/>
              <w:right w:val="single" w:sz="8" w:space="0" w:color="4F81BD" w:themeColor="accent1"/>
            </w:tcBorders>
            <w:hideMark/>
          </w:tcPr>
          <w:p w:rsidR="00EF6E6E" w:rsidRPr="00A86D91" w:rsidRDefault="00EF6E6E" w:rsidP="00B35DA2">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n-GB"/>
              </w:rPr>
            </w:pPr>
          </w:p>
        </w:tc>
        <w:tc>
          <w:tcPr>
            <w:tcW w:w="920" w:type="pct"/>
            <w:tcBorders>
              <w:left w:val="single" w:sz="8" w:space="0" w:color="4F81BD" w:themeColor="accent1"/>
              <w:right w:val="single" w:sz="8" w:space="0" w:color="4F81BD" w:themeColor="accent1"/>
            </w:tcBorders>
            <w:shd w:val="clear" w:color="auto" w:fill="4F81BD"/>
            <w:vAlign w:val="center"/>
            <w:hideMark/>
          </w:tcPr>
          <w:p w:rsidR="00EF6E6E" w:rsidRPr="00F238A7" w:rsidRDefault="00323777" w:rsidP="00323777">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FFFFFF" w:themeColor="background1"/>
                <w:sz w:val="20"/>
                <w:szCs w:val="20"/>
                <w:lang w:eastAsia="en-GB"/>
              </w:rPr>
            </w:pPr>
            <w:r>
              <w:rPr>
                <w:rFonts w:eastAsia="Times New Roman" w:cs="Arial"/>
                <w:b/>
                <w:bCs/>
                <w:color w:val="FFFFFF" w:themeColor="background1"/>
                <w:sz w:val="20"/>
                <w:szCs w:val="20"/>
                <w:lang w:eastAsia="en-GB"/>
              </w:rPr>
              <w:t xml:space="preserve">If </w:t>
            </w:r>
            <w:r w:rsidR="00EF6E6E" w:rsidRPr="00F238A7">
              <w:rPr>
                <w:rFonts w:eastAsia="Times New Roman" w:cs="Arial"/>
                <w:b/>
                <w:bCs/>
                <w:color w:val="FFFFFF" w:themeColor="background1"/>
                <w:sz w:val="20"/>
                <w:szCs w:val="20"/>
                <w:lang w:eastAsia="en-GB"/>
              </w:rPr>
              <w:t>Medway’s performance matched England</w:t>
            </w:r>
            <w:r>
              <w:rPr>
                <w:rFonts w:eastAsia="Times New Roman" w:cs="Arial"/>
                <w:b/>
                <w:bCs/>
                <w:color w:val="FFFFFF" w:themeColor="background1"/>
                <w:sz w:val="20"/>
                <w:szCs w:val="20"/>
                <w:lang w:eastAsia="en-GB"/>
              </w:rPr>
              <w:t>’s</w:t>
            </w:r>
          </w:p>
        </w:tc>
        <w:tc>
          <w:tcPr>
            <w:tcW w:w="846" w:type="pct"/>
            <w:tcBorders>
              <w:left w:val="single" w:sz="8" w:space="0" w:color="4F81BD" w:themeColor="accent1"/>
              <w:right w:val="single" w:sz="8" w:space="0" w:color="4F81BD" w:themeColor="accent1"/>
            </w:tcBorders>
            <w:shd w:val="clear" w:color="auto" w:fill="4F81BD"/>
            <w:hideMark/>
          </w:tcPr>
          <w:p w:rsidR="00EF6E6E" w:rsidRPr="00F238A7" w:rsidRDefault="00EF6E6E" w:rsidP="00B35DA2">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FFFFFF" w:themeColor="background1"/>
                <w:sz w:val="20"/>
                <w:szCs w:val="20"/>
                <w:lang w:eastAsia="en-GB"/>
              </w:rPr>
            </w:pPr>
            <w:r w:rsidRPr="00F238A7">
              <w:rPr>
                <w:rFonts w:eastAsia="Times New Roman" w:cs="Arial"/>
                <w:b/>
                <w:bCs/>
                <w:color w:val="FFFFFF" w:themeColor="background1"/>
                <w:sz w:val="20"/>
                <w:szCs w:val="20"/>
                <w:lang w:eastAsia="en-GB"/>
              </w:rPr>
              <w:t>If Medway’s performance matched the best performing 25% of CCGs</w:t>
            </w:r>
          </w:p>
        </w:tc>
        <w:tc>
          <w:tcPr>
            <w:tcW w:w="875" w:type="pct"/>
            <w:tcBorders>
              <w:left w:val="single" w:sz="8" w:space="0" w:color="4F81BD" w:themeColor="accent1"/>
            </w:tcBorders>
            <w:shd w:val="clear" w:color="auto" w:fill="4F81BD"/>
            <w:hideMark/>
          </w:tcPr>
          <w:p w:rsidR="00EF6E6E" w:rsidRPr="00F238A7" w:rsidRDefault="00EF6E6E" w:rsidP="00B35DA2">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FFFFFF" w:themeColor="background1"/>
                <w:sz w:val="20"/>
                <w:szCs w:val="20"/>
                <w:lang w:eastAsia="en-GB"/>
              </w:rPr>
            </w:pPr>
            <w:r w:rsidRPr="00F238A7">
              <w:rPr>
                <w:rFonts w:eastAsia="Times New Roman" w:cs="Arial"/>
                <w:b/>
                <w:bCs/>
                <w:color w:val="FFFFFF" w:themeColor="background1"/>
                <w:sz w:val="20"/>
                <w:szCs w:val="20"/>
                <w:lang w:eastAsia="en-GB"/>
              </w:rPr>
              <w:t>If Medway’s performance matched the best performing 5% of CCGs</w:t>
            </w:r>
          </w:p>
        </w:tc>
      </w:tr>
      <w:tr w:rsidR="00EF6E6E" w:rsidRPr="00A86D91" w:rsidTr="00323777">
        <w:trPr>
          <w:trHeight w:val="525"/>
        </w:trPr>
        <w:tc>
          <w:tcPr>
            <w:cnfStyle w:val="001000000000" w:firstRow="0" w:lastRow="0" w:firstColumn="1" w:lastColumn="0" w:oddVBand="0" w:evenVBand="0" w:oddHBand="0" w:evenHBand="0" w:firstRowFirstColumn="0" w:firstRowLastColumn="0" w:lastRowFirstColumn="0" w:lastRowLastColumn="0"/>
            <w:tcW w:w="2359"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noWrap/>
            <w:hideMark/>
          </w:tcPr>
          <w:p w:rsidR="00EF6E6E" w:rsidRPr="00F238A7" w:rsidRDefault="00EF6E6E" w:rsidP="00B35DA2">
            <w:pPr>
              <w:jc w:val="right"/>
              <w:rPr>
                <w:rFonts w:eastAsia="Times New Roman" w:cs="Arial"/>
                <w:bCs w:val="0"/>
                <w:sz w:val="20"/>
                <w:szCs w:val="20"/>
                <w:lang w:eastAsia="en-GB"/>
              </w:rPr>
            </w:pPr>
            <w:r w:rsidRPr="00F238A7">
              <w:rPr>
                <w:rFonts w:eastAsia="Times New Roman" w:cs="Arial"/>
                <w:bCs w:val="0"/>
                <w:sz w:val="20"/>
                <w:szCs w:val="20"/>
                <w:lang w:eastAsia="en-GB"/>
              </w:rPr>
              <w:t>Potential cost savings per 100,000 population aged 0-18</w:t>
            </w:r>
          </w:p>
        </w:tc>
        <w:tc>
          <w:tcPr>
            <w:tcW w:w="920"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hideMark/>
          </w:tcPr>
          <w:p w:rsidR="00EF6E6E" w:rsidRPr="00A86D91" w:rsidRDefault="00EF6E6E" w:rsidP="00B35DA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A86D91">
              <w:rPr>
                <w:rFonts w:eastAsia="Times New Roman" w:cs="Arial"/>
                <w:sz w:val="20"/>
                <w:szCs w:val="20"/>
                <w:lang w:eastAsia="en-GB"/>
              </w:rPr>
              <w:t>£15,495</w:t>
            </w:r>
          </w:p>
        </w:tc>
        <w:tc>
          <w:tcPr>
            <w:tcW w:w="84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hideMark/>
          </w:tcPr>
          <w:p w:rsidR="00EF6E6E" w:rsidRPr="00A86D91" w:rsidRDefault="00EF6E6E" w:rsidP="00B35DA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A86D91">
              <w:rPr>
                <w:rFonts w:eastAsia="Times New Roman" w:cs="Arial"/>
                <w:sz w:val="20"/>
                <w:szCs w:val="20"/>
                <w:lang w:eastAsia="en-GB"/>
              </w:rPr>
              <w:t>£34,759</w:t>
            </w:r>
          </w:p>
        </w:tc>
        <w:tc>
          <w:tcPr>
            <w:tcW w:w="875"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hideMark/>
          </w:tcPr>
          <w:p w:rsidR="00EF6E6E" w:rsidRPr="00A86D91" w:rsidRDefault="00EF6E6E" w:rsidP="00B35DA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A86D91">
              <w:rPr>
                <w:rFonts w:eastAsia="Times New Roman" w:cs="Arial"/>
                <w:sz w:val="20"/>
                <w:szCs w:val="20"/>
                <w:lang w:eastAsia="en-GB"/>
              </w:rPr>
              <w:t>£43,981</w:t>
            </w:r>
          </w:p>
        </w:tc>
      </w:tr>
      <w:tr w:rsidR="00EF6E6E" w:rsidRPr="00A86D91" w:rsidTr="00323777">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359" w:type="pct"/>
            <w:gridSpan w:val="2"/>
            <w:tcBorders>
              <w:right w:val="single" w:sz="8" w:space="0" w:color="4F81BD" w:themeColor="accent1"/>
            </w:tcBorders>
            <w:noWrap/>
            <w:hideMark/>
          </w:tcPr>
          <w:p w:rsidR="00EF6E6E" w:rsidRPr="00F238A7" w:rsidRDefault="00EF6E6E" w:rsidP="00B35DA2">
            <w:pPr>
              <w:jc w:val="right"/>
              <w:rPr>
                <w:rFonts w:eastAsia="Times New Roman" w:cs="Arial"/>
                <w:bCs w:val="0"/>
                <w:sz w:val="20"/>
                <w:szCs w:val="20"/>
                <w:lang w:eastAsia="en-GB"/>
              </w:rPr>
            </w:pPr>
            <w:r w:rsidRPr="00F238A7">
              <w:rPr>
                <w:rFonts w:eastAsia="Times New Roman" w:cs="Arial"/>
                <w:bCs w:val="0"/>
                <w:sz w:val="20"/>
                <w:szCs w:val="20"/>
                <w:lang w:eastAsia="en-GB"/>
              </w:rPr>
              <w:t>Potential total cost savings - total approximate figure</w:t>
            </w:r>
          </w:p>
        </w:tc>
        <w:tc>
          <w:tcPr>
            <w:tcW w:w="920" w:type="pct"/>
            <w:tcBorders>
              <w:left w:val="single" w:sz="8" w:space="0" w:color="4F81BD" w:themeColor="accent1"/>
              <w:right w:val="single" w:sz="8" w:space="0" w:color="4F81BD" w:themeColor="accent1"/>
            </w:tcBorders>
            <w:hideMark/>
          </w:tcPr>
          <w:p w:rsidR="00EF6E6E" w:rsidRPr="00A86D91" w:rsidRDefault="00EF6E6E" w:rsidP="00B35DA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sidRPr="00A86D91">
              <w:rPr>
                <w:rFonts w:eastAsia="Times New Roman" w:cs="Arial"/>
                <w:sz w:val="20"/>
                <w:szCs w:val="20"/>
                <w:lang w:eastAsia="en-GB"/>
              </w:rPr>
              <w:t>£10,600</w:t>
            </w:r>
          </w:p>
        </w:tc>
        <w:tc>
          <w:tcPr>
            <w:tcW w:w="846" w:type="pct"/>
            <w:tcBorders>
              <w:left w:val="single" w:sz="8" w:space="0" w:color="4F81BD" w:themeColor="accent1"/>
              <w:right w:val="single" w:sz="8" w:space="0" w:color="4F81BD" w:themeColor="accent1"/>
            </w:tcBorders>
            <w:hideMark/>
          </w:tcPr>
          <w:p w:rsidR="00EF6E6E" w:rsidRPr="00A86D91" w:rsidRDefault="00EF6E6E" w:rsidP="00B35DA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sidRPr="00A86D91">
              <w:rPr>
                <w:rFonts w:eastAsia="Times New Roman" w:cs="Arial"/>
                <w:sz w:val="20"/>
                <w:szCs w:val="20"/>
                <w:lang w:eastAsia="en-GB"/>
              </w:rPr>
              <w:t>£23,900</w:t>
            </w:r>
          </w:p>
        </w:tc>
        <w:tc>
          <w:tcPr>
            <w:tcW w:w="875" w:type="pct"/>
            <w:tcBorders>
              <w:left w:val="single" w:sz="8" w:space="0" w:color="4F81BD" w:themeColor="accent1"/>
            </w:tcBorders>
            <w:hideMark/>
          </w:tcPr>
          <w:p w:rsidR="00EF6E6E" w:rsidRPr="00A86D91" w:rsidRDefault="00EF6E6E" w:rsidP="00B35DA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GB"/>
              </w:rPr>
            </w:pPr>
            <w:r w:rsidRPr="00A86D91">
              <w:rPr>
                <w:rFonts w:eastAsia="Times New Roman" w:cs="Arial"/>
                <w:sz w:val="20"/>
                <w:szCs w:val="20"/>
                <w:lang w:eastAsia="en-GB"/>
              </w:rPr>
              <w:t>£30,300</w:t>
            </w:r>
          </w:p>
        </w:tc>
      </w:tr>
    </w:tbl>
    <w:p w:rsidR="00621A60" w:rsidRDefault="00F931BA" w:rsidP="00F931BA">
      <w:pPr>
        <w:pStyle w:val="Caption"/>
        <w:rPr>
          <w:rFonts w:cs="Arial"/>
          <w:b w:val="0"/>
          <w:sz w:val="24"/>
          <w:szCs w:val="24"/>
        </w:rPr>
      </w:pPr>
      <w:r>
        <w:t xml:space="preserve">Figure </w:t>
      </w:r>
      <w:r w:rsidR="00156E8B">
        <w:fldChar w:fldCharType="begin"/>
      </w:r>
      <w:r w:rsidR="00156E8B">
        <w:instrText xml:space="preserve"> SEQ Figure \* ARABIC </w:instrText>
      </w:r>
      <w:r w:rsidR="00156E8B">
        <w:fldChar w:fldCharType="separate"/>
      </w:r>
      <w:r w:rsidR="005C553C">
        <w:rPr>
          <w:noProof/>
        </w:rPr>
        <w:t>22</w:t>
      </w:r>
      <w:r w:rsidR="00156E8B">
        <w:rPr>
          <w:noProof/>
        </w:rPr>
        <w:fldChar w:fldCharType="end"/>
      </w:r>
      <w:r>
        <w:t xml:space="preserve"> Estimated savings from improved performance</w:t>
      </w:r>
    </w:p>
    <w:p w:rsidR="00F4595D" w:rsidRDefault="00F4595D" w:rsidP="00F4595D">
      <w:pPr>
        <w:pStyle w:val="Heading2"/>
      </w:pPr>
      <w:bookmarkStart w:id="18" w:name="_Toc434938029"/>
      <w:r>
        <w:lastRenderedPageBreak/>
        <w:t>MFT Children’s Services</w:t>
      </w:r>
      <w:r w:rsidR="00CC3B06">
        <w:t xml:space="preserve"> caseload and r</w:t>
      </w:r>
      <w:r>
        <w:t>esources</w:t>
      </w:r>
      <w:bookmarkEnd w:id="18"/>
    </w:p>
    <w:p w:rsidR="00DD6F30" w:rsidRPr="00DD6F30" w:rsidRDefault="00106A58" w:rsidP="00795C32">
      <w:pPr>
        <w:rPr>
          <w:rFonts w:cs="Arial"/>
          <w:szCs w:val="24"/>
        </w:rPr>
      </w:pPr>
      <w:r w:rsidRPr="00DD6F30">
        <w:rPr>
          <w:rFonts w:cs="Arial"/>
          <w:szCs w:val="24"/>
        </w:rPr>
        <w:t>COaST</w:t>
      </w:r>
      <w:r w:rsidR="00DD6F30" w:rsidRPr="00DD6F30">
        <w:rPr>
          <w:rFonts w:cs="Arial"/>
          <w:szCs w:val="24"/>
        </w:rPr>
        <w:t xml:space="preserve"> have</w:t>
      </w:r>
      <w:r w:rsidR="000E24A2">
        <w:rPr>
          <w:rFonts w:cs="Arial"/>
          <w:szCs w:val="24"/>
        </w:rPr>
        <w:t xml:space="preserve"> </w:t>
      </w:r>
      <w:r w:rsidR="00DD6F30" w:rsidRPr="00DD6F30">
        <w:rPr>
          <w:rFonts w:cs="Arial"/>
          <w:szCs w:val="24"/>
        </w:rPr>
        <w:t>a Medway</w:t>
      </w:r>
      <w:r w:rsidRPr="00DD6F30">
        <w:rPr>
          <w:rFonts w:cs="Arial"/>
          <w:szCs w:val="24"/>
        </w:rPr>
        <w:t xml:space="preserve"> caseload</w:t>
      </w:r>
      <w:r w:rsidR="00DD6F30" w:rsidRPr="00DD6F30">
        <w:rPr>
          <w:rStyle w:val="FootnoteReference"/>
          <w:rFonts w:cs="Arial"/>
          <w:szCs w:val="24"/>
        </w:rPr>
        <w:footnoteReference w:id="47"/>
      </w:r>
      <w:r w:rsidR="00DD6F30" w:rsidRPr="00DD6F30">
        <w:rPr>
          <w:rFonts w:cs="Arial"/>
          <w:szCs w:val="24"/>
        </w:rPr>
        <w:t xml:space="preserve"> of </w:t>
      </w:r>
      <w:r w:rsidR="00846046" w:rsidRPr="00DD6F30">
        <w:rPr>
          <w:rFonts w:cs="Arial"/>
          <w:szCs w:val="24"/>
        </w:rPr>
        <w:t>191</w:t>
      </w:r>
      <w:r w:rsidR="00DD6F30" w:rsidRPr="00DD6F30">
        <w:rPr>
          <w:rFonts w:cs="Arial"/>
          <w:szCs w:val="24"/>
        </w:rPr>
        <w:t xml:space="preserve"> young diabetics, 144 receiving </w:t>
      </w:r>
      <w:hyperlink w:anchor="multiple" w:history="1">
        <w:r w:rsidR="00DD6F30" w:rsidRPr="00312C2B">
          <w:rPr>
            <w:rStyle w:val="Hyperlink"/>
            <w:rFonts w:cs="Arial"/>
            <w:szCs w:val="24"/>
          </w:rPr>
          <w:t>multi dose injection</w:t>
        </w:r>
      </w:hyperlink>
      <w:r w:rsidR="00DD6F30" w:rsidRPr="00DD6F30">
        <w:rPr>
          <w:rFonts w:cs="Arial"/>
          <w:szCs w:val="24"/>
        </w:rPr>
        <w:t xml:space="preserve"> and 47 on an </w:t>
      </w:r>
      <w:hyperlink w:anchor="insulin" w:history="1">
        <w:r w:rsidR="00DD6F30" w:rsidRPr="00FF656C">
          <w:rPr>
            <w:rStyle w:val="Hyperlink"/>
            <w:rFonts w:cs="Arial"/>
            <w:szCs w:val="24"/>
          </w:rPr>
          <w:t>insulin pump.</w:t>
        </w:r>
      </w:hyperlink>
      <w:r w:rsidR="00DD6F30" w:rsidRPr="00DD6F30">
        <w:rPr>
          <w:rFonts w:cs="Arial"/>
          <w:szCs w:val="24"/>
        </w:rPr>
        <w:t xml:space="preserve"> </w:t>
      </w:r>
    </w:p>
    <w:p w:rsidR="00AE2611" w:rsidRDefault="00AE2611" w:rsidP="00795C32">
      <w:pPr>
        <w:rPr>
          <w:rFonts w:cs="Arial"/>
        </w:rPr>
      </w:pPr>
    </w:p>
    <w:p w:rsidR="00106A58" w:rsidRDefault="005F6662" w:rsidP="002025DA">
      <w:pPr>
        <w:contextualSpacing/>
        <w:rPr>
          <w:rFonts w:cs="Arial"/>
          <w:sz w:val="24"/>
          <w:szCs w:val="24"/>
        </w:rPr>
      </w:pPr>
      <w:r w:rsidRPr="00D15ED0">
        <w:rPr>
          <w:rFonts w:cs="Arial"/>
          <w:szCs w:val="24"/>
        </w:rPr>
        <w:t xml:space="preserve">The staff team in place to meet the paediatric diabetes best practice tariff consist of a </w:t>
      </w:r>
      <w:r w:rsidR="002025DA" w:rsidRPr="00D15ED0">
        <w:rPr>
          <w:rFonts w:cs="Arial"/>
          <w:szCs w:val="24"/>
        </w:rPr>
        <w:t>Diabete</w:t>
      </w:r>
      <w:r w:rsidRPr="00D15ED0">
        <w:rPr>
          <w:rFonts w:cs="Arial"/>
          <w:szCs w:val="24"/>
        </w:rPr>
        <w:t>s</w:t>
      </w:r>
      <w:r w:rsidR="002025DA" w:rsidRPr="00D15ED0">
        <w:rPr>
          <w:rFonts w:cs="Arial"/>
          <w:szCs w:val="24"/>
        </w:rPr>
        <w:t xml:space="preserve"> CNS Band 7 (0.69</w:t>
      </w:r>
      <w:r w:rsidR="00244D87">
        <w:rPr>
          <w:rFonts w:cs="Arial"/>
          <w:szCs w:val="24"/>
        </w:rPr>
        <w:t xml:space="preserve"> </w:t>
      </w:r>
      <w:r w:rsidR="002025DA" w:rsidRPr="00D15ED0">
        <w:rPr>
          <w:rFonts w:cs="Arial"/>
          <w:szCs w:val="24"/>
        </w:rPr>
        <w:t>wte</w:t>
      </w:r>
      <w:r w:rsidR="00994D1D">
        <w:rPr>
          <w:rStyle w:val="FootnoteReference"/>
          <w:rFonts w:cs="Arial"/>
          <w:szCs w:val="24"/>
        </w:rPr>
        <w:footnoteReference w:id="48"/>
      </w:r>
      <w:r w:rsidR="002025DA" w:rsidRPr="00D15ED0">
        <w:rPr>
          <w:rFonts w:cs="Arial"/>
          <w:szCs w:val="24"/>
        </w:rPr>
        <w:t>), Diabetes sisters Band 6 (2.37) Diabetes dietician Band 6 (1</w:t>
      </w:r>
      <w:r w:rsidR="00994D1D">
        <w:rPr>
          <w:rFonts w:cs="Arial"/>
          <w:szCs w:val="24"/>
        </w:rPr>
        <w:t xml:space="preserve"> wte</w:t>
      </w:r>
      <w:r w:rsidR="002025DA" w:rsidRPr="00D15ED0">
        <w:rPr>
          <w:rFonts w:cs="Arial"/>
          <w:szCs w:val="24"/>
        </w:rPr>
        <w:t>) Diabetes psyc</w:t>
      </w:r>
      <w:r w:rsidRPr="00D15ED0">
        <w:rPr>
          <w:rFonts w:cs="Arial"/>
          <w:szCs w:val="24"/>
        </w:rPr>
        <w:t>h</w:t>
      </w:r>
      <w:r w:rsidR="002025DA" w:rsidRPr="00D15ED0">
        <w:rPr>
          <w:rFonts w:cs="Arial"/>
          <w:szCs w:val="24"/>
        </w:rPr>
        <w:t>ologist</w:t>
      </w:r>
      <w:r w:rsidRPr="00D15ED0">
        <w:rPr>
          <w:rFonts w:cs="Arial"/>
          <w:szCs w:val="24"/>
        </w:rPr>
        <w:t xml:space="preserve"> </w:t>
      </w:r>
      <w:r w:rsidR="002025DA" w:rsidRPr="00D15ED0">
        <w:rPr>
          <w:rFonts w:cs="Arial"/>
          <w:szCs w:val="24"/>
        </w:rPr>
        <w:t>Band 6 (1</w:t>
      </w:r>
      <w:r w:rsidR="00994D1D">
        <w:rPr>
          <w:rFonts w:cs="Arial"/>
          <w:szCs w:val="24"/>
        </w:rPr>
        <w:t xml:space="preserve"> wte</w:t>
      </w:r>
      <w:r w:rsidR="002025DA" w:rsidRPr="00D15ED0">
        <w:rPr>
          <w:rFonts w:cs="Arial"/>
          <w:szCs w:val="24"/>
        </w:rPr>
        <w:t xml:space="preserve">) </w:t>
      </w:r>
      <w:r w:rsidRPr="00D15ED0">
        <w:rPr>
          <w:rFonts w:cs="Arial"/>
          <w:szCs w:val="24"/>
        </w:rPr>
        <w:t xml:space="preserve">and a </w:t>
      </w:r>
      <w:r w:rsidR="002025DA" w:rsidRPr="00D15ED0">
        <w:rPr>
          <w:rFonts w:cs="Arial"/>
          <w:szCs w:val="24"/>
        </w:rPr>
        <w:t>Diabetes MDT co-ordinator Band 4 (0.8</w:t>
      </w:r>
      <w:r w:rsidR="00994D1D">
        <w:rPr>
          <w:rFonts w:cs="Arial"/>
          <w:szCs w:val="24"/>
        </w:rPr>
        <w:t xml:space="preserve"> wte</w:t>
      </w:r>
      <w:r w:rsidR="002025DA" w:rsidRPr="00D15ED0">
        <w:rPr>
          <w:rFonts w:cs="Arial"/>
          <w:szCs w:val="24"/>
        </w:rPr>
        <w:t>)</w:t>
      </w:r>
      <w:r w:rsidRPr="00D15ED0">
        <w:rPr>
          <w:rFonts w:cs="Arial"/>
          <w:szCs w:val="24"/>
        </w:rPr>
        <w:t xml:space="preserve">.  </w:t>
      </w:r>
    </w:p>
    <w:p w:rsidR="00AB6966" w:rsidRDefault="00AB6966" w:rsidP="00AB6966">
      <w:pPr>
        <w:contextualSpacing/>
        <w:rPr>
          <w:rFonts w:cs="Arial"/>
        </w:rPr>
      </w:pPr>
    </w:p>
    <w:p w:rsidR="00AB6966" w:rsidRPr="00AB6966" w:rsidRDefault="00994D1D" w:rsidP="00AB6966">
      <w:pPr>
        <w:contextualSpacing/>
        <w:rPr>
          <w:rFonts w:cs="Arial"/>
        </w:rPr>
      </w:pPr>
      <w:r>
        <w:rPr>
          <w:rFonts w:cs="Arial"/>
        </w:rPr>
        <w:t xml:space="preserve">NB The </w:t>
      </w:r>
      <w:hyperlink r:id="rId13" w:history="1">
        <w:r w:rsidR="00AB6966" w:rsidRPr="0097187D">
          <w:rPr>
            <w:rStyle w:val="Hyperlink"/>
            <w:rFonts w:cs="Arial"/>
          </w:rPr>
          <w:t>SECSCN Maternity, Children and Young People Plan 2015/16</w:t>
        </w:r>
      </w:hyperlink>
      <w:r w:rsidR="00AB6966">
        <w:rPr>
          <w:rFonts w:cs="Arial"/>
        </w:rPr>
        <w:t xml:space="preserve"> includes the deliverable</w:t>
      </w:r>
      <w:r w:rsidR="00D84410">
        <w:rPr>
          <w:rFonts w:cs="Arial"/>
        </w:rPr>
        <w:t>s</w:t>
      </w:r>
      <w:r w:rsidR="00AB6966">
        <w:rPr>
          <w:rFonts w:cs="Arial"/>
        </w:rPr>
        <w:t xml:space="preserve"> of a</w:t>
      </w:r>
      <w:r w:rsidR="00AB6966" w:rsidRPr="00AB6966">
        <w:rPr>
          <w:rFonts w:cs="Arial"/>
        </w:rPr>
        <w:t xml:space="preserve">greed models of care and smooth transition pathways from childhood </w:t>
      </w:r>
      <w:r w:rsidR="009434FB">
        <w:rPr>
          <w:rFonts w:cs="Arial"/>
        </w:rPr>
        <w:t>to adult services for children and</w:t>
      </w:r>
      <w:r w:rsidR="00AB6966" w:rsidRPr="00AB6966">
        <w:rPr>
          <w:rFonts w:cs="Arial"/>
        </w:rPr>
        <w:t xml:space="preserve"> young people wit</w:t>
      </w:r>
      <w:r w:rsidR="00AB6966">
        <w:rPr>
          <w:rFonts w:cs="Arial"/>
        </w:rPr>
        <w:t>h diabetes, epilepsy and asthma.</w:t>
      </w:r>
    </w:p>
    <w:p w:rsidR="00DB66C0" w:rsidRPr="00AC356B" w:rsidRDefault="00412B2E" w:rsidP="00A2065F">
      <w:pPr>
        <w:pStyle w:val="Heading1"/>
        <w:numPr>
          <w:ilvl w:val="0"/>
          <w:numId w:val="47"/>
        </w:numPr>
      </w:pPr>
      <w:bookmarkStart w:id="19" w:name="_Toc434938030"/>
      <w:r>
        <w:t xml:space="preserve">NHS At Home: </w:t>
      </w:r>
      <w:r w:rsidR="00DB66C0" w:rsidRPr="00AC356B">
        <w:t>Disabilities and complex continuing care conditions</w:t>
      </w:r>
      <w:bookmarkEnd w:id="19"/>
      <w:r w:rsidR="00DB66C0" w:rsidRPr="00AC356B">
        <w:t xml:space="preserve"> </w:t>
      </w:r>
    </w:p>
    <w:p w:rsidR="000D75F0" w:rsidRDefault="000D75F0" w:rsidP="00F52FD9">
      <w:pPr>
        <w:contextualSpacing/>
      </w:pPr>
      <w:r w:rsidRPr="00B2430B">
        <w:t>The prevalence of severe disability is increasing</w:t>
      </w:r>
      <w:r w:rsidR="00136D8F">
        <w:rPr>
          <w:rStyle w:val="FootnoteReference"/>
        </w:rPr>
        <w:footnoteReference w:id="49"/>
      </w:r>
      <w:r w:rsidR="00AF2908">
        <w:t>.</w:t>
      </w:r>
    </w:p>
    <w:p w:rsidR="00444B86" w:rsidRDefault="00444B86" w:rsidP="00102A08">
      <w:pPr>
        <w:rPr>
          <w:rFonts w:cs="HelveticaNeueLT Std Lt"/>
          <w:color w:val="000000"/>
          <w:szCs w:val="24"/>
        </w:rPr>
      </w:pPr>
    </w:p>
    <w:p w:rsidR="00102A08" w:rsidRDefault="00356F06" w:rsidP="00102A08">
      <w:pPr>
        <w:rPr>
          <w:rFonts w:cs="HelveticaNeueLT Std Lt"/>
          <w:color w:val="000000"/>
          <w:szCs w:val="24"/>
        </w:rPr>
      </w:pPr>
      <w:r>
        <w:rPr>
          <w:rFonts w:cs="HelveticaNeueLT Std Lt"/>
          <w:color w:val="000000"/>
          <w:szCs w:val="24"/>
        </w:rPr>
        <w:t xml:space="preserve">The </w:t>
      </w:r>
      <w:r w:rsidRPr="00356F06">
        <w:rPr>
          <w:rFonts w:cs="HelveticaNeueLT Std Lt"/>
          <w:color w:val="000000"/>
          <w:szCs w:val="24"/>
        </w:rPr>
        <w:t>Family Resources Survey 2013/14</w:t>
      </w:r>
      <w:r w:rsidRPr="00356F06">
        <w:rPr>
          <w:rFonts w:cs="HelveticaNeueLT Std Lt"/>
          <w:color w:val="000000"/>
          <w:sz w:val="20"/>
          <w:szCs w:val="24"/>
        </w:rPr>
        <w:t xml:space="preserve"> </w:t>
      </w:r>
      <w:r w:rsidR="00094123">
        <w:rPr>
          <w:rFonts w:cs="HelveticaNeueLT Std Lt"/>
          <w:color w:val="000000"/>
          <w:szCs w:val="24"/>
        </w:rPr>
        <w:t>calculated</w:t>
      </w:r>
      <w:r>
        <w:rPr>
          <w:rFonts w:cs="HelveticaNeueLT Std Lt"/>
          <w:color w:val="000000"/>
          <w:szCs w:val="24"/>
        </w:rPr>
        <w:t xml:space="preserve"> the percentage of disabled children </w:t>
      </w:r>
      <w:r w:rsidR="004B4262">
        <w:rPr>
          <w:rFonts w:cs="HelveticaNeueLT Std Lt"/>
          <w:color w:val="000000"/>
          <w:szCs w:val="24"/>
        </w:rPr>
        <w:t>with</w:t>
      </w:r>
      <w:r w:rsidR="0039192E">
        <w:rPr>
          <w:rFonts w:cs="HelveticaNeueLT Std Lt"/>
          <w:color w:val="000000"/>
          <w:szCs w:val="24"/>
        </w:rPr>
        <w:t xml:space="preserve"> </w:t>
      </w:r>
      <w:r w:rsidR="009434FB">
        <w:rPr>
          <w:rFonts w:cs="HelveticaNeueLT Std Lt"/>
          <w:color w:val="000000"/>
          <w:szCs w:val="24"/>
        </w:rPr>
        <w:t>specific</w:t>
      </w:r>
      <w:r>
        <w:rPr>
          <w:rFonts w:cs="HelveticaNeueLT Std Lt"/>
          <w:color w:val="000000"/>
          <w:szCs w:val="24"/>
        </w:rPr>
        <w:t xml:space="preserve"> impairments</w:t>
      </w:r>
      <w:r w:rsidR="0039192E">
        <w:rPr>
          <w:rFonts w:cs="HelveticaNeueLT Std Lt"/>
          <w:color w:val="000000"/>
          <w:szCs w:val="24"/>
        </w:rPr>
        <w:t xml:space="preserve">, and </w:t>
      </w:r>
      <w:r w:rsidR="00EA5489">
        <w:rPr>
          <w:rFonts w:cs="HelveticaNeueLT Std Lt"/>
          <w:color w:val="000000"/>
          <w:szCs w:val="24"/>
        </w:rPr>
        <w:t xml:space="preserve">(assuming </w:t>
      </w:r>
      <w:r w:rsidR="00925C95">
        <w:rPr>
          <w:rFonts w:cs="HelveticaNeueLT Std Lt"/>
          <w:color w:val="000000"/>
          <w:szCs w:val="24"/>
        </w:rPr>
        <w:t>disability</w:t>
      </w:r>
      <w:r w:rsidR="00EA5489">
        <w:rPr>
          <w:rFonts w:cs="HelveticaNeueLT Std Lt"/>
          <w:color w:val="000000"/>
          <w:szCs w:val="24"/>
        </w:rPr>
        <w:t xml:space="preserve"> prevalence in Medway of 8% of the </w:t>
      </w:r>
      <w:r w:rsidR="00CC4EDF">
        <w:rPr>
          <w:rFonts w:cs="HelveticaNeueLT Std Lt"/>
          <w:color w:val="000000"/>
          <w:szCs w:val="24"/>
        </w:rPr>
        <w:t>0 -19 GP registered</w:t>
      </w:r>
      <w:r w:rsidR="00EA5489">
        <w:rPr>
          <w:rFonts w:cs="HelveticaNeueLT Std Lt"/>
          <w:color w:val="000000"/>
          <w:szCs w:val="24"/>
        </w:rPr>
        <w:t xml:space="preserve"> population)</w:t>
      </w:r>
      <w:r w:rsidR="00CC4EDF">
        <w:rPr>
          <w:rFonts w:cs="HelveticaNeueLT Std Lt"/>
          <w:color w:val="000000"/>
          <w:szCs w:val="24"/>
        </w:rPr>
        <w:t>,</w:t>
      </w:r>
      <w:r w:rsidR="0039192E">
        <w:rPr>
          <w:rFonts w:cs="HelveticaNeueLT Std Lt"/>
          <w:color w:val="000000"/>
          <w:szCs w:val="24"/>
        </w:rPr>
        <w:t xml:space="preserve"> </w:t>
      </w:r>
      <w:r w:rsidR="00EA5489">
        <w:rPr>
          <w:rFonts w:cs="HelveticaNeueLT Std Lt"/>
          <w:color w:val="000000"/>
          <w:szCs w:val="24"/>
        </w:rPr>
        <w:t xml:space="preserve">Fig </w:t>
      </w:r>
      <w:r w:rsidR="00B44AF3">
        <w:rPr>
          <w:rFonts w:cs="HelveticaNeueLT Std Lt"/>
          <w:color w:val="000000"/>
          <w:szCs w:val="24"/>
        </w:rPr>
        <w:t>23</w:t>
      </w:r>
      <w:r w:rsidR="00EA5489">
        <w:rPr>
          <w:rFonts w:cs="HelveticaNeueLT Std Lt"/>
          <w:color w:val="000000"/>
          <w:szCs w:val="24"/>
        </w:rPr>
        <w:t xml:space="preserve"> </w:t>
      </w:r>
      <w:r w:rsidR="00925C95">
        <w:rPr>
          <w:rFonts w:cs="HelveticaNeueLT Std Lt"/>
          <w:color w:val="000000"/>
          <w:szCs w:val="24"/>
        </w:rPr>
        <w:t>estimates</w:t>
      </w:r>
      <w:r w:rsidR="0039192E">
        <w:rPr>
          <w:rFonts w:cs="HelveticaNeueLT Std Lt"/>
          <w:color w:val="000000"/>
          <w:szCs w:val="24"/>
        </w:rPr>
        <w:t xml:space="preserve"> the</w:t>
      </w:r>
      <w:r w:rsidR="00A55B83">
        <w:rPr>
          <w:rFonts w:cs="HelveticaNeueLT Std Lt"/>
          <w:color w:val="000000"/>
          <w:szCs w:val="24"/>
        </w:rPr>
        <w:t xml:space="preserve"> </w:t>
      </w:r>
      <w:r w:rsidR="004B4262">
        <w:rPr>
          <w:rFonts w:cs="HelveticaNeueLT Std Lt"/>
          <w:color w:val="000000"/>
          <w:szCs w:val="24"/>
        </w:rPr>
        <w:t xml:space="preserve">potential number of children in Medway </w:t>
      </w:r>
      <w:r w:rsidR="009434FB">
        <w:rPr>
          <w:rFonts w:cs="HelveticaNeueLT Std Lt"/>
          <w:color w:val="000000"/>
          <w:szCs w:val="24"/>
        </w:rPr>
        <w:t>affected</w:t>
      </w:r>
      <w:r w:rsidR="004B4262">
        <w:rPr>
          <w:rFonts w:cs="HelveticaNeueLT Std Lt"/>
          <w:color w:val="000000"/>
          <w:szCs w:val="24"/>
        </w:rPr>
        <w:t>:</w:t>
      </w:r>
    </w:p>
    <w:p w:rsidR="004B4262" w:rsidRDefault="004B4262" w:rsidP="00102A08">
      <w:pPr>
        <w:rPr>
          <w:rFonts w:cs="HelveticaNeueLT Std Lt"/>
          <w:color w:val="000000"/>
          <w:szCs w:val="24"/>
        </w:rPr>
      </w:pPr>
    </w:p>
    <w:tbl>
      <w:tblPr>
        <w:tblStyle w:val="LightList-Accent1"/>
        <w:tblW w:w="5000" w:type="pct"/>
        <w:tblLook w:val="04A0" w:firstRow="1" w:lastRow="0" w:firstColumn="1" w:lastColumn="0" w:noHBand="0" w:noVBand="1"/>
      </w:tblPr>
      <w:tblGrid>
        <w:gridCol w:w="3102"/>
        <w:gridCol w:w="3070"/>
        <w:gridCol w:w="3070"/>
      </w:tblGrid>
      <w:tr w:rsidR="00F238A7" w:rsidRPr="00F238A7" w:rsidTr="00F238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pct"/>
          </w:tcPr>
          <w:p w:rsidR="00B95D21" w:rsidRPr="00F238A7" w:rsidRDefault="00B95D21" w:rsidP="003811DB">
            <w:r w:rsidRPr="00F238A7">
              <w:t>Impairment type</w:t>
            </w:r>
          </w:p>
        </w:tc>
        <w:tc>
          <w:tcPr>
            <w:tcW w:w="1661" w:type="pct"/>
          </w:tcPr>
          <w:p w:rsidR="00B95D21" w:rsidRPr="00F238A7" w:rsidRDefault="00B95D21" w:rsidP="003811DB">
            <w:pPr>
              <w:cnfStyle w:val="100000000000" w:firstRow="1" w:lastRow="0" w:firstColumn="0" w:lastColumn="0" w:oddVBand="0" w:evenVBand="0" w:oddHBand="0" w:evenHBand="0" w:firstRowFirstColumn="0" w:firstRowLastColumn="0" w:lastRowFirstColumn="0" w:lastRowLastColumn="0"/>
            </w:pPr>
            <w:r w:rsidRPr="00F238A7">
              <w:t>% of disabled children</w:t>
            </w:r>
          </w:p>
        </w:tc>
        <w:tc>
          <w:tcPr>
            <w:tcW w:w="1661" w:type="pct"/>
          </w:tcPr>
          <w:p w:rsidR="00B95D21" w:rsidRPr="00F238A7" w:rsidRDefault="00B95D21" w:rsidP="00EA5489">
            <w:pPr>
              <w:cnfStyle w:val="100000000000" w:firstRow="1" w:lastRow="0" w:firstColumn="0" w:lastColumn="0" w:oddVBand="0" w:evenVBand="0" w:oddHBand="0" w:evenHBand="0" w:firstRowFirstColumn="0" w:firstRowLastColumn="0" w:lastRowFirstColumn="0" w:lastRowLastColumn="0"/>
            </w:pPr>
            <w:r w:rsidRPr="00F238A7">
              <w:t xml:space="preserve">Medway </w:t>
            </w:r>
            <w:r w:rsidR="00EA5489" w:rsidRPr="00F238A7">
              <w:t>projection (number)</w:t>
            </w:r>
          </w:p>
        </w:tc>
      </w:tr>
      <w:tr w:rsidR="00B95D21" w:rsidTr="00F23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pct"/>
          </w:tcPr>
          <w:p w:rsidR="00B95D21" w:rsidRDefault="00B95D21" w:rsidP="003811DB">
            <w:r>
              <w:t>Vision</w:t>
            </w:r>
          </w:p>
        </w:tc>
        <w:tc>
          <w:tcPr>
            <w:tcW w:w="1661" w:type="pct"/>
          </w:tcPr>
          <w:p w:rsidR="00B95D21" w:rsidRDefault="00B95D21" w:rsidP="003811DB">
            <w:pPr>
              <w:cnfStyle w:val="000000100000" w:firstRow="0" w:lastRow="0" w:firstColumn="0" w:lastColumn="0" w:oddVBand="0" w:evenVBand="0" w:oddHBand="1" w:evenHBand="0" w:firstRowFirstColumn="0" w:firstRowLastColumn="0" w:lastRowFirstColumn="0" w:lastRowLastColumn="0"/>
            </w:pPr>
            <w:r>
              <w:t>10</w:t>
            </w:r>
          </w:p>
        </w:tc>
        <w:tc>
          <w:tcPr>
            <w:tcW w:w="1661" w:type="pct"/>
          </w:tcPr>
          <w:p w:rsidR="00B95D21" w:rsidRDefault="00EB1248" w:rsidP="003811DB">
            <w:pPr>
              <w:cnfStyle w:val="000000100000" w:firstRow="0" w:lastRow="0" w:firstColumn="0" w:lastColumn="0" w:oddVBand="0" w:evenVBand="0" w:oddHBand="1" w:evenHBand="0" w:firstRowFirstColumn="0" w:firstRowLastColumn="0" w:lastRowFirstColumn="0" w:lastRowLastColumn="0"/>
            </w:pPr>
            <w:r>
              <w:t>588</w:t>
            </w:r>
          </w:p>
        </w:tc>
      </w:tr>
      <w:tr w:rsidR="00B95D21" w:rsidTr="00F238A7">
        <w:tc>
          <w:tcPr>
            <w:cnfStyle w:val="001000000000" w:firstRow="0" w:lastRow="0" w:firstColumn="1" w:lastColumn="0" w:oddVBand="0" w:evenVBand="0" w:oddHBand="0" w:evenHBand="0" w:firstRowFirstColumn="0" w:firstRowLastColumn="0" w:lastRowFirstColumn="0" w:lastRowLastColumn="0"/>
            <w:tcW w:w="1678" w:type="pct"/>
          </w:tcPr>
          <w:p w:rsidR="00B95D21" w:rsidRDefault="00B95D21" w:rsidP="003811DB">
            <w:r>
              <w:t>Hearing</w:t>
            </w:r>
          </w:p>
        </w:tc>
        <w:tc>
          <w:tcPr>
            <w:tcW w:w="1661" w:type="pct"/>
          </w:tcPr>
          <w:p w:rsidR="00B95D21" w:rsidRDefault="00B95D21" w:rsidP="003811DB">
            <w:pPr>
              <w:cnfStyle w:val="000000000000" w:firstRow="0" w:lastRow="0" w:firstColumn="0" w:lastColumn="0" w:oddVBand="0" w:evenVBand="0" w:oddHBand="0" w:evenHBand="0" w:firstRowFirstColumn="0" w:firstRowLastColumn="0" w:lastRowFirstColumn="0" w:lastRowLastColumn="0"/>
            </w:pPr>
            <w:r>
              <w:t>9</w:t>
            </w:r>
          </w:p>
        </w:tc>
        <w:tc>
          <w:tcPr>
            <w:tcW w:w="1661" w:type="pct"/>
          </w:tcPr>
          <w:p w:rsidR="00B95D21" w:rsidRDefault="00EB1248" w:rsidP="003811DB">
            <w:pPr>
              <w:cnfStyle w:val="000000000000" w:firstRow="0" w:lastRow="0" w:firstColumn="0" w:lastColumn="0" w:oddVBand="0" w:evenVBand="0" w:oddHBand="0" w:evenHBand="0" w:firstRowFirstColumn="0" w:firstRowLastColumn="0" w:lastRowFirstColumn="0" w:lastRowLastColumn="0"/>
            </w:pPr>
            <w:r>
              <w:t>529</w:t>
            </w:r>
          </w:p>
        </w:tc>
      </w:tr>
      <w:tr w:rsidR="00B95D21" w:rsidTr="00F23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pct"/>
          </w:tcPr>
          <w:p w:rsidR="00B95D21" w:rsidRDefault="00B95D21" w:rsidP="003811DB">
            <w:r>
              <w:t>Mobility</w:t>
            </w:r>
          </w:p>
        </w:tc>
        <w:tc>
          <w:tcPr>
            <w:tcW w:w="1661" w:type="pct"/>
          </w:tcPr>
          <w:p w:rsidR="00B95D21" w:rsidRDefault="00B95D21" w:rsidP="003811DB">
            <w:pPr>
              <w:cnfStyle w:val="000000100000" w:firstRow="0" w:lastRow="0" w:firstColumn="0" w:lastColumn="0" w:oddVBand="0" w:evenVBand="0" w:oddHBand="1" w:evenHBand="0" w:firstRowFirstColumn="0" w:firstRowLastColumn="0" w:lastRowFirstColumn="0" w:lastRowLastColumn="0"/>
            </w:pPr>
            <w:r>
              <w:t>24</w:t>
            </w:r>
          </w:p>
        </w:tc>
        <w:tc>
          <w:tcPr>
            <w:tcW w:w="1661" w:type="pct"/>
          </w:tcPr>
          <w:p w:rsidR="00B95D21" w:rsidRDefault="00EB1248" w:rsidP="003811DB">
            <w:pPr>
              <w:cnfStyle w:val="000000100000" w:firstRow="0" w:lastRow="0" w:firstColumn="0" w:lastColumn="0" w:oddVBand="0" w:evenVBand="0" w:oddHBand="1" w:evenHBand="0" w:firstRowFirstColumn="0" w:firstRowLastColumn="0" w:lastRowFirstColumn="0" w:lastRowLastColumn="0"/>
            </w:pPr>
            <w:r>
              <w:t>1,411</w:t>
            </w:r>
          </w:p>
        </w:tc>
      </w:tr>
      <w:tr w:rsidR="00B95D21" w:rsidTr="00F238A7">
        <w:tc>
          <w:tcPr>
            <w:cnfStyle w:val="001000000000" w:firstRow="0" w:lastRow="0" w:firstColumn="1" w:lastColumn="0" w:oddVBand="0" w:evenVBand="0" w:oddHBand="0" w:evenHBand="0" w:firstRowFirstColumn="0" w:firstRowLastColumn="0" w:lastRowFirstColumn="0" w:lastRowLastColumn="0"/>
            <w:tcW w:w="1678" w:type="pct"/>
          </w:tcPr>
          <w:p w:rsidR="00B95D21" w:rsidRDefault="00B95D21" w:rsidP="003811DB">
            <w:r>
              <w:t>Dexterity</w:t>
            </w:r>
          </w:p>
        </w:tc>
        <w:tc>
          <w:tcPr>
            <w:tcW w:w="1661" w:type="pct"/>
          </w:tcPr>
          <w:p w:rsidR="00B95D21" w:rsidRDefault="00B95D21" w:rsidP="003811DB">
            <w:pPr>
              <w:cnfStyle w:val="000000000000" w:firstRow="0" w:lastRow="0" w:firstColumn="0" w:lastColumn="0" w:oddVBand="0" w:evenVBand="0" w:oddHBand="0" w:evenHBand="0" w:firstRowFirstColumn="0" w:firstRowLastColumn="0" w:lastRowFirstColumn="0" w:lastRowLastColumn="0"/>
            </w:pPr>
            <w:r>
              <w:t>11</w:t>
            </w:r>
          </w:p>
        </w:tc>
        <w:tc>
          <w:tcPr>
            <w:tcW w:w="1661" w:type="pct"/>
          </w:tcPr>
          <w:p w:rsidR="00B95D21" w:rsidRDefault="00EB1248" w:rsidP="003811DB">
            <w:pPr>
              <w:cnfStyle w:val="000000000000" w:firstRow="0" w:lastRow="0" w:firstColumn="0" w:lastColumn="0" w:oddVBand="0" w:evenVBand="0" w:oddHBand="0" w:evenHBand="0" w:firstRowFirstColumn="0" w:firstRowLastColumn="0" w:lastRowFirstColumn="0" w:lastRowLastColumn="0"/>
            </w:pPr>
            <w:r>
              <w:t>647</w:t>
            </w:r>
          </w:p>
        </w:tc>
      </w:tr>
      <w:tr w:rsidR="00B95D21" w:rsidTr="00F23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pct"/>
          </w:tcPr>
          <w:p w:rsidR="00B95D21" w:rsidRDefault="00B95D21" w:rsidP="003811DB">
            <w:r>
              <w:t>Learning</w:t>
            </w:r>
          </w:p>
        </w:tc>
        <w:tc>
          <w:tcPr>
            <w:tcW w:w="1661" w:type="pct"/>
          </w:tcPr>
          <w:p w:rsidR="00B95D21" w:rsidRDefault="00B95D21" w:rsidP="003811DB">
            <w:pPr>
              <w:cnfStyle w:val="000000100000" w:firstRow="0" w:lastRow="0" w:firstColumn="0" w:lastColumn="0" w:oddVBand="0" w:evenVBand="0" w:oddHBand="1" w:evenHBand="0" w:firstRowFirstColumn="0" w:firstRowLastColumn="0" w:lastRowFirstColumn="0" w:lastRowLastColumn="0"/>
            </w:pPr>
            <w:r>
              <w:t>31</w:t>
            </w:r>
          </w:p>
        </w:tc>
        <w:tc>
          <w:tcPr>
            <w:tcW w:w="1661" w:type="pct"/>
          </w:tcPr>
          <w:p w:rsidR="00B95D21" w:rsidRDefault="005F62D1" w:rsidP="003811DB">
            <w:pPr>
              <w:cnfStyle w:val="000000100000" w:firstRow="0" w:lastRow="0" w:firstColumn="0" w:lastColumn="0" w:oddVBand="0" w:evenVBand="0" w:oddHBand="1" w:evenHBand="0" w:firstRowFirstColumn="0" w:firstRowLastColumn="0" w:lastRowFirstColumn="0" w:lastRowLastColumn="0"/>
            </w:pPr>
            <w:r>
              <w:t>1,823</w:t>
            </w:r>
          </w:p>
        </w:tc>
      </w:tr>
      <w:tr w:rsidR="00B95D21" w:rsidTr="00F238A7">
        <w:tc>
          <w:tcPr>
            <w:cnfStyle w:val="001000000000" w:firstRow="0" w:lastRow="0" w:firstColumn="1" w:lastColumn="0" w:oddVBand="0" w:evenVBand="0" w:oddHBand="0" w:evenHBand="0" w:firstRowFirstColumn="0" w:firstRowLastColumn="0" w:lastRowFirstColumn="0" w:lastRowLastColumn="0"/>
            <w:tcW w:w="1678" w:type="pct"/>
          </w:tcPr>
          <w:p w:rsidR="00B95D21" w:rsidRDefault="00B95D21" w:rsidP="003811DB">
            <w:r>
              <w:t>Memory</w:t>
            </w:r>
          </w:p>
        </w:tc>
        <w:tc>
          <w:tcPr>
            <w:tcW w:w="1661" w:type="pct"/>
          </w:tcPr>
          <w:p w:rsidR="00B95D21" w:rsidRDefault="00B95D21" w:rsidP="003811DB">
            <w:pPr>
              <w:cnfStyle w:val="000000000000" w:firstRow="0" w:lastRow="0" w:firstColumn="0" w:lastColumn="0" w:oddVBand="0" w:evenVBand="0" w:oddHBand="0" w:evenHBand="0" w:firstRowFirstColumn="0" w:firstRowLastColumn="0" w:lastRowFirstColumn="0" w:lastRowLastColumn="0"/>
            </w:pPr>
            <w:r>
              <w:t>13</w:t>
            </w:r>
          </w:p>
        </w:tc>
        <w:tc>
          <w:tcPr>
            <w:tcW w:w="1661" w:type="pct"/>
          </w:tcPr>
          <w:p w:rsidR="00B95D21" w:rsidRDefault="005F62D1" w:rsidP="003811DB">
            <w:pPr>
              <w:cnfStyle w:val="000000000000" w:firstRow="0" w:lastRow="0" w:firstColumn="0" w:lastColumn="0" w:oddVBand="0" w:evenVBand="0" w:oddHBand="0" w:evenHBand="0" w:firstRowFirstColumn="0" w:firstRowLastColumn="0" w:lastRowFirstColumn="0" w:lastRowLastColumn="0"/>
            </w:pPr>
            <w:r>
              <w:t>764</w:t>
            </w:r>
          </w:p>
        </w:tc>
      </w:tr>
      <w:tr w:rsidR="00B95D21" w:rsidTr="00F23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pct"/>
          </w:tcPr>
          <w:p w:rsidR="00B95D21" w:rsidRDefault="00B95D21" w:rsidP="003811DB">
            <w:r>
              <w:t>Mental health</w:t>
            </w:r>
          </w:p>
        </w:tc>
        <w:tc>
          <w:tcPr>
            <w:tcW w:w="1661" w:type="pct"/>
          </w:tcPr>
          <w:p w:rsidR="00B95D21" w:rsidRDefault="00B95D21" w:rsidP="003811DB">
            <w:pPr>
              <w:cnfStyle w:val="000000100000" w:firstRow="0" w:lastRow="0" w:firstColumn="0" w:lastColumn="0" w:oddVBand="0" w:evenVBand="0" w:oddHBand="1" w:evenHBand="0" w:firstRowFirstColumn="0" w:firstRowLastColumn="0" w:lastRowFirstColumn="0" w:lastRowLastColumn="0"/>
            </w:pPr>
            <w:r>
              <w:t>16</w:t>
            </w:r>
          </w:p>
        </w:tc>
        <w:tc>
          <w:tcPr>
            <w:tcW w:w="1661" w:type="pct"/>
          </w:tcPr>
          <w:p w:rsidR="00B95D21" w:rsidRDefault="005F62D1" w:rsidP="003811DB">
            <w:pPr>
              <w:cnfStyle w:val="000000100000" w:firstRow="0" w:lastRow="0" w:firstColumn="0" w:lastColumn="0" w:oddVBand="0" w:evenVBand="0" w:oddHBand="1" w:evenHBand="0" w:firstRowFirstColumn="0" w:firstRowLastColumn="0" w:lastRowFirstColumn="0" w:lastRowLastColumn="0"/>
            </w:pPr>
            <w:r>
              <w:t>470</w:t>
            </w:r>
          </w:p>
        </w:tc>
      </w:tr>
      <w:tr w:rsidR="00B95D21" w:rsidTr="00F238A7">
        <w:tc>
          <w:tcPr>
            <w:cnfStyle w:val="001000000000" w:firstRow="0" w:lastRow="0" w:firstColumn="1" w:lastColumn="0" w:oddVBand="0" w:evenVBand="0" w:oddHBand="0" w:evenHBand="0" w:firstRowFirstColumn="0" w:firstRowLastColumn="0" w:lastRowFirstColumn="0" w:lastRowLastColumn="0"/>
            <w:tcW w:w="1678" w:type="pct"/>
          </w:tcPr>
          <w:p w:rsidR="00B95D21" w:rsidRDefault="00B95D21" w:rsidP="003811DB">
            <w:r>
              <w:t>Stamina/breathing/fatigue</w:t>
            </w:r>
          </w:p>
        </w:tc>
        <w:tc>
          <w:tcPr>
            <w:tcW w:w="1661" w:type="pct"/>
          </w:tcPr>
          <w:p w:rsidR="00B95D21" w:rsidRDefault="00B95D21" w:rsidP="003811DB">
            <w:pPr>
              <w:cnfStyle w:val="000000000000" w:firstRow="0" w:lastRow="0" w:firstColumn="0" w:lastColumn="0" w:oddVBand="0" w:evenVBand="0" w:oddHBand="0" w:evenHBand="0" w:firstRowFirstColumn="0" w:firstRowLastColumn="0" w:lastRowFirstColumn="0" w:lastRowLastColumn="0"/>
            </w:pPr>
            <w:r>
              <w:t>31</w:t>
            </w:r>
          </w:p>
        </w:tc>
        <w:tc>
          <w:tcPr>
            <w:tcW w:w="1661" w:type="pct"/>
          </w:tcPr>
          <w:p w:rsidR="00B95D21" w:rsidRDefault="005F62D1" w:rsidP="003811DB">
            <w:pPr>
              <w:cnfStyle w:val="000000000000" w:firstRow="0" w:lastRow="0" w:firstColumn="0" w:lastColumn="0" w:oddVBand="0" w:evenVBand="0" w:oddHBand="0" w:evenHBand="0" w:firstRowFirstColumn="0" w:firstRowLastColumn="0" w:lastRowFirstColumn="0" w:lastRowLastColumn="0"/>
            </w:pPr>
            <w:r>
              <w:t>1,823</w:t>
            </w:r>
          </w:p>
        </w:tc>
      </w:tr>
      <w:tr w:rsidR="00B95D21" w:rsidTr="00F23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pct"/>
          </w:tcPr>
          <w:p w:rsidR="00B95D21" w:rsidRDefault="00B95D21" w:rsidP="003811DB">
            <w:r>
              <w:t>Socially/behaviourally</w:t>
            </w:r>
          </w:p>
        </w:tc>
        <w:tc>
          <w:tcPr>
            <w:tcW w:w="1661" w:type="pct"/>
          </w:tcPr>
          <w:p w:rsidR="00B95D21" w:rsidRDefault="00B95D21" w:rsidP="003811DB">
            <w:pPr>
              <w:cnfStyle w:val="000000100000" w:firstRow="0" w:lastRow="0" w:firstColumn="0" w:lastColumn="0" w:oddVBand="0" w:evenVBand="0" w:oddHBand="1" w:evenHBand="0" w:firstRowFirstColumn="0" w:firstRowLastColumn="0" w:lastRowFirstColumn="0" w:lastRowLastColumn="0"/>
            </w:pPr>
            <w:r>
              <w:t>33</w:t>
            </w:r>
          </w:p>
        </w:tc>
        <w:tc>
          <w:tcPr>
            <w:tcW w:w="1661" w:type="pct"/>
          </w:tcPr>
          <w:p w:rsidR="00B95D21" w:rsidRDefault="005F62D1" w:rsidP="003811DB">
            <w:pPr>
              <w:cnfStyle w:val="000000100000" w:firstRow="0" w:lastRow="0" w:firstColumn="0" w:lastColumn="0" w:oddVBand="0" w:evenVBand="0" w:oddHBand="1" w:evenHBand="0" w:firstRowFirstColumn="0" w:firstRowLastColumn="0" w:lastRowFirstColumn="0" w:lastRowLastColumn="0"/>
            </w:pPr>
            <w:r>
              <w:t>1,940</w:t>
            </w:r>
          </w:p>
        </w:tc>
      </w:tr>
      <w:tr w:rsidR="00B95D21" w:rsidTr="00F238A7">
        <w:tc>
          <w:tcPr>
            <w:cnfStyle w:val="001000000000" w:firstRow="0" w:lastRow="0" w:firstColumn="1" w:lastColumn="0" w:oddVBand="0" w:evenVBand="0" w:oddHBand="0" w:evenHBand="0" w:firstRowFirstColumn="0" w:firstRowLastColumn="0" w:lastRowFirstColumn="0" w:lastRowLastColumn="0"/>
            <w:tcW w:w="1678" w:type="pct"/>
          </w:tcPr>
          <w:p w:rsidR="00B95D21" w:rsidRDefault="00B95D21" w:rsidP="003811DB">
            <w:r>
              <w:t>Other</w:t>
            </w:r>
          </w:p>
        </w:tc>
        <w:tc>
          <w:tcPr>
            <w:tcW w:w="1661" w:type="pct"/>
          </w:tcPr>
          <w:p w:rsidR="00B95D21" w:rsidRDefault="00B95D21" w:rsidP="003811DB">
            <w:pPr>
              <w:cnfStyle w:val="000000000000" w:firstRow="0" w:lastRow="0" w:firstColumn="0" w:lastColumn="0" w:oddVBand="0" w:evenVBand="0" w:oddHBand="0" w:evenHBand="0" w:firstRowFirstColumn="0" w:firstRowLastColumn="0" w:lastRowFirstColumn="0" w:lastRowLastColumn="0"/>
            </w:pPr>
            <w:r>
              <w:t>24</w:t>
            </w:r>
          </w:p>
        </w:tc>
        <w:tc>
          <w:tcPr>
            <w:tcW w:w="1661" w:type="pct"/>
          </w:tcPr>
          <w:p w:rsidR="00B95D21" w:rsidRDefault="005F62D1" w:rsidP="00EA5489">
            <w:pPr>
              <w:cnfStyle w:val="000000000000" w:firstRow="0" w:lastRow="0" w:firstColumn="0" w:lastColumn="0" w:oddVBand="0" w:evenVBand="0" w:oddHBand="0" w:evenHBand="0" w:firstRowFirstColumn="0" w:firstRowLastColumn="0" w:lastRowFirstColumn="0" w:lastRowLastColumn="0"/>
            </w:pPr>
            <w:r>
              <w:t>1,411</w:t>
            </w:r>
          </w:p>
        </w:tc>
      </w:tr>
    </w:tbl>
    <w:p w:rsidR="00EA5489" w:rsidRDefault="00B44AF3" w:rsidP="00B44AF3">
      <w:pPr>
        <w:pStyle w:val="Caption"/>
        <w:rPr>
          <w:rFonts w:cs="Arial"/>
        </w:rPr>
      </w:pPr>
      <w:r>
        <w:t xml:space="preserve">Figure </w:t>
      </w:r>
      <w:r w:rsidR="00156E8B">
        <w:fldChar w:fldCharType="begin"/>
      </w:r>
      <w:r w:rsidR="00156E8B">
        <w:instrText xml:space="preserve"> SEQ Figure \* ARABIC </w:instrText>
      </w:r>
      <w:r w:rsidR="00156E8B">
        <w:fldChar w:fldCharType="separate"/>
      </w:r>
      <w:r w:rsidR="005C553C">
        <w:rPr>
          <w:noProof/>
        </w:rPr>
        <w:t>23</w:t>
      </w:r>
      <w:r w:rsidR="00156E8B">
        <w:rPr>
          <w:noProof/>
        </w:rPr>
        <w:fldChar w:fldCharType="end"/>
      </w:r>
      <w:r>
        <w:t xml:space="preserve"> Number/percentage of Medway children affected by specific impairments</w:t>
      </w:r>
    </w:p>
    <w:p w:rsidR="008A747A" w:rsidRDefault="00900F7E" w:rsidP="00F52FD9">
      <w:pPr>
        <w:contextualSpacing/>
        <w:rPr>
          <w:rFonts w:cs="Arial"/>
        </w:rPr>
      </w:pPr>
      <w:r w:rsidRPr="00051865">
        <w:rPr>
          <w:rFonts w:cs="Arial"/>
        </w:rPr>
        <w:t xml:space="preserve">Figure </w:t>
      </w:r>
      <w:r w:rsidR="00B44AF3">
        <w:rPr>
          <w:rFonts w:cs="Arial"/>
        </w:rPr>
        <w:t>24</w:t>
      </w:r>
      <w:r w:rsidRPr="00051865">
        <w:rPr>
          <w:rFonts w:cs="Arial"/>
        </w:rPr>
        <w:t xml:space="preserve"> shows the Medway spend on the most complex children, as</w:t>
      </w:r>
      <w:r w:rsidR="00051865">
        <w:rPr>
          <w:rFonts w:cs="Arial"/>
        </w:rPr>
        <w:t xml:space="preserve"> </w:t>
      </w:r>
      <w:r w:rsidR="00094123">
        <w:rPr>
          <w:rFonts w:cs="Arial"/>
        </w:rPr>
        <w:t>assessed</w:t>
      </w:r>
      <w:r w:rsidR="00051865">
        <w:rPr>
          <w:rFonts w:cs="Arial"/>
        </w:rPr>
        <w:t xml:space="preserve"> </w:t>
      </w:r>
      <w:r w:rsidRPr="00051865">
        <w:rPr>
          <w:rFonts w:cs="Arial"/>
        </w:rPr>
        <w:t xml:space="preserve">by </w:t>
      </w:r>
      <w:r w:rsidR="00051865">
        <w:rPr>
          <w:rFonts w:cs="Arial"/>
        </w:rPr>
        <w:t>NHS England</w:t>
      </w:r>
      <w:r w:rsidR="00051865">
        <w:rPr>
          <w:rStyle w:val="FootnoteReference"/>
          <w:rFonts w:cs="Arial"/>
        </w:rPr>
        <w:footnoteReference w:id="50"/>
      </w:r>
      <w:r w:rsidRPr="00051865">
        <w:rPr>
          <w:rFonts w:cs="Arial"/>
        </w:rPr>
        <w:t>:</w:t>
      </w:r>
    </w:p>
    <w:p w:rsidR="00275E49" w:rsidRPr="00051865" w:rsidRDefault="00275E49" w:rsidP="00F52FD9">
      <w:pPr>
        <w:contextualSpacing/>
        <w:rPr>
          <w:rFonts w:cs="Arial"/>
        </w:rPr>
      </w:pPr>
    </w:p>
    <w:tbl>
      <w:tblPr>
        <w:tblStyle w:val="LightList-Accent1"/>
        <w:tblW w:w="0" w:type="auto"/>
        <w:tblLook w:val="04A0" w:firstRow="1" w:lastRow="0" w:firstColumn="1" w:lastColumn="0" w:noHBand="0" w:noVBand="1"/>
      </w:tblPr>
      <w:tblGrid>
        <w:gridCol w:w="1756"/>
        <w:gridCol w:w="1900"/>
        <w:gridCol w:w="1991"/>
        <w:gridCol w:w="1956"/>
        <w:gridCol w:w="1639"/>
      </w:tblGrid>
      <w:tr w:rsidR="00900F7E" w:rsidTr="00F238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5"/>
          </w:tcPr>
          <w:p w:rsidR="00900F7E" w:rsidRDefault="00900F7E" w:rsidP="00C83BC6">
            <w:r>
              <w:t>2% Most complex patients (16.2% of CCG Spend)</w:t>
            </w:r>
          </w:p>
        </w:tc>
      </w:tr>
      <w:tr w:rsidR="00900F7E" w:rsidTr="00F23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6" w:type="dxa"/>
          </w:tcPr>
          <w:p w:rsidR="00900F7E" w:rsidRDefault="00323777" w:rsidP="00C83BC6">
            <w:r>
              <w:t>A</w:t>
            </w:r>
            <w:r w:rsidR="00900F7E">
              <w:t>ge</w:t>
            </w:r>
          </w:p>
        </w:tc>
        <w:tc>
          <w:tcPr>
            <w:tcW w:w="1900" w:type="dxa"/>
          </w:tcPr>
          <w:p w:rsidR="00900F7E" w:rsidRPr="00323777" w:rsidRDefault="00900F7E" w:rsidP="00C83BC6">
            <w:pPr>
              <w:cnfStyle w:val="000000100000" w:firstRow="0" w:lastRow="0" w:firstColumn="0" w:lastColumn="0" w:oddVBand="0" w:evenVBand="0" w:oddHBand="1" w:evenHBand="0" w:firstRowFirstColumn="0" w:firstRowLastColumn="0" w:lastRowFirstColumn="0" w:lastRowLastColumn="0"/>
              <w:rPr>
                <w:b/>
              </w:rPr>
            </w:pPr>
            <w:r w:rsidRPr="00323777">
              <w:rPr>
                <w:b/>
              </w:rPr>
              <w:t>Number of complex patients</w:t>
            </w:r>
          </w:p>
        </w:tc>
        <w:tc>
          <w:tcPr>
            <w:tcW w:w="1991" w:type="dxa"/>
          </w:tcPr>
          <w:p w:rsidR="00900F7E" w:rsidRPr="00323777" w:rsidRDefault="00900F7E" w:rsidP="00C83BC6">
            <w:pPr>
              <w:cnfStyle w:val="000000100000" w:firstRow="0" w:lastRow="0" w:firstColumn="0" w:lastColumn="0" w:oddVBand="0" w:evenVBand="0" w:oddHBand="1" w:evenHBand="0" w:firstRowFirstColumn="0" w:firstRowLastColumn="0" w:lastRowFirstColumn="0" w:lastRowLastColumn="0"/>
              <w:rPr>
                <w:b/>
              </w:rPr>
            </w:pPr>
            <w:r w:rsidRPr="00323777">
              <w:rPr>
                <w:b/>
              </w:rPr>
              <w:t>Mean number of admissions</w:t>
            </w:r>
          </w:p>
        </w:tc>
        <w:tc>
          <w:tcPr>
            <w:tcW w:w="1956" w:type="dxa"/>
          </w:tcPr>
          <w:p w:rsidR="00900F7E" w:rsidRPr="00323777" w:rsidRDefault="00900F7E" w:rsidP="00C83BC6">
            <w:pPr>
              <w:cnfStyle w:val="000000100000" w:firstRow="0" w:lastRow="0" w:firstColumn="0" w:lastColumn="0" w:oddVBand="0" w:evenVBand="0" w:oddHBand="1" w:evenHBand="0" w:firstRowFirstColumn="0" w:firstRowLastColumn="0" w:lastRowFirstColumn="0" w:lastRowLastColumn="0"/>
              <w:rPr>
                <w:b/>
              </w:rPr>
            </w:pPr>
            <w:r w:rsidRPr="00323777">
              <w:rPr>
                <w:b/>
              </w:rPr>
              <w:t>Mean number of different conditions</w:t>
            </w:r>
          </w:p>
        </w:tc>
        <w:tc>
          <w:tcPr>
            <w:tcW w:w="1639" w:type="dxa"/>
          </w:tcPr>
          <w:p w:rsidR="00900F7E" w:rsidRPr="00323777" w:rsidRDefault="00900F7E" w:rsidP="00C83BC6">
            <w:pPr>
              <w:cnfStyle w:val="000000100000" w:firstRow="0" w:lastRow="0" w:firstColumn="0" w:lastColumn="0" w:oddVBand="0" w:evenVBand="0" w:oddHBand="1" w:evenHBand="0" w:firstRowFirstColumn="0" w:firstRowLastColumn="0" w:lastRowFirstColumn="0" w:lastRowLastColumn="0"/>
              <w:rPr>
                <w:b/>
              </w:rPr>
            </w:pPr>
            <w:r w:rsidRPr="00323777">
              <w:rPr>
                <w:b/>
              </w:rPr>
              <w:t>Total spend (£000s)</w:t>
            </w:r>
          </w:p>
        </w:tc>
      </w:tr>
      <w:tr w:rsidR="00900F7E" w:rsidTr="00F238A7">
        <w:tc>
          <w:tcPr>
            <w:cnfStyle w:val="001000000000" w:firstRow="0" w:lastRow="0" w:firstColumn="1" w:lastColumn="0" w:oddVBand="0" w:evenVBand="0" w:oddHBand="0" w:evenHBand="0" w:firstRowFirstColumn="0" w:firstRowLastColumn="0" w:lastRowFirstColumn="0" w:lastRowLastColumn="0"/>
            <w:tcW w:w="1756" w:type="dxa"/>
          </w:tcPr>
          <w:p w:rsidR="00900F7E" w:rsidRDefault="00900F7E" w:rsidP="00C83BC6">
            <w:r>
              <w:t>0</w:t>
            </w:r>
          </w:p>
        </w:tc>
        <w:tc>
          <w:tcPr>
            <w:tcW w:w="1900" w:type="dxa"/>
          </w:tcPr>
          <w:p w:rsidR="00900F7E" w:rsidRDefault="00900F7E" w:rsidP="00C83BC6">
            <w:pPr>
              <w:cnfStyle w:val="000000000000" w:firstRow="0" w:lastRow="0" w:firstColumn="0" w:lastColumn="0" w:oddVBand="0" w:evenVBand="0" w:oddHBand="0" w:evenHBand="0" w:firstRowFirstColumn="0" w:firstRowLastColumn="0" w:lastRowFirstColumn="0" w:lastRowLastColumn="0"/>
            </w:pPr>
            <w:r>
              <w:t>25</w:t>
            </w:r>
          </w:p>
        </w:tc>
        <w:tc>
          <w:tcPr>
            <w:tcW w:w="1991" w:type="dxa"/>
          </w:tcPr>
          <w:p w:rsidR="00900F7E" w:rsidRDefault="00900F7E" w:rsidP="00C83BC6">
            <w:pPr>
              <w:cnfStyle w:val="000000000000" w:firstRow="0" w:lastRow="0" w:firstColumn="0" w:lastColumn="0" w:oddVBand="0" w:evenVBand="0" w:oddHBand="0" w:evenHBand="0" w:firstRowFirstColumn="0" w:firstRowLastColumn="0" w:lastRowFirstColumn="0" w:lastRowLastColumn="0"/>
            </w:pPr>
            <w:r>
              <w:t>7.8</w:t>
            </w:r>
          </w:p>
        </w:tc>
        <w:tc>
          <w:tcPr>
            <w:tcW w:w="1956" w:type="dxa"/>
          </w:tcPr>
          <w:p w:rsidR="00900F7E" w:rsidRDefault="00900F7E" w:rsidP="00C83BC6">
            <w:pPr>
              <w:cnfStyle w:val="000000000000" w:firstRow="0" w:lastRow="0" w:firstColumn="0" w:lastColumn="0" w:oddVBand="0" w:evenVBand="0" w:oddHBand="0" w:evenHBand="0" w:firstRowFirstColumn="0" w:firstRowLastColumn="0" w:lastRowFirstColumn="0" w:lastRowLastColumn="0"/>
            </w:pPr>
            <w:r>
              <w:t>3.76</w:t>
            </w:r>
          </w:p>
        </w:tc>
        <w:tc>
          <w:tcPr>
            <w:tcW w:w="1639" w:type="dxa"/>
          </w:tcPr>
          <w:p w:rsidR="00900F7E" w:rsidRDefault="00900F7E" w:rsidP="00C83BC6">
            <w:pPr>
              <w:cnfStyle w:val="000000000000" w:firstRow="0" w:lastRow="0" w:firstColumn="0" w:lastColumn="0" w:oddVBand="0" w:evenVBand="0" w:oddHBand="0" w:evenHBand="0" w:firstRowFirstColumn="0" w:firstRowLastColumn="0" w:lastRowFirstColumn="0" w:lastRowLastColumn="0"/>
            </w:pPr>
            <w:r>
              <w:t>904</w:t>
            </w:r>
          </w:p>
        </w:tc>
      </w:tr>
      <w:tr w:rsidR="00900F7E" w:rsidTr="00F23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6" w:type="dxa"/>
          </w:tcPr>
          <w:p w:rsidR="00900F7E" w:rsidRDefault="00900F7E" w:rsidP="00C83BC6">
            <w:r>
              <w:t>1-4</w:t>
            </w:r>
          </w:p>
        </w:tc>
        <w:tc>
          <w:tcPr>
            <w:tcW w:w="1900" w:type="dxa"/>
          </w:tcPr>
          <w:p w:rsidR="00900F7E" w:rsidRDefault="00900F7E" w:rsidP="00C83BC6">
            <w:pPr>
              <w:cnfStyle w:val="000000100000" w:firstRow="0" w:lastRow="0" w:firstColumn="0" w:lastColumn="0" w:oddVBand="0" w:evenVBand="0" w:oddHBand="1" w:evenHBand="0" w:firstRowFirstColumn="0" w:firstRowLastColumn="0" w:lastRowFirstColumn="0" w:lastRowLastColumn="0"/>
            </w:pPr>
            <w:r>
              <w:t>15</w:t>
            </w:r>
          </w:p>
        </w:tc>
        <w:tc>
          <w:tcPr>
            <w:tcW w:w="1991" w:type="dxa"/>
          </w:tcPr>
          <w:p w:rsidR="00900F7E" w:rsidRDefault="00900F7E" w:rsidP="00C83BC6">
            <w:pPr>
              <w:cnfStyle w:val="000000100000" w:firstRow="0" w:lastRow="0" w:firstColumn="0" w:lastColumn="0" w:oddVBand="0" w:evenVBand="0" w:oddHBand="1" w:evenHBand="0" w:firstRowFirstColumn="0" w:firstRowLastColumn="0" w:lastRowFirstColumn="0" w:lastRowLastColumn="0"/>
            </w:pPr>
            <w:r>
              <w:t>9.5</w:t>
            </w:r>
          </w:p>
        </w:tc>
        <w:tc>
          <w:tcPr>
            <w:tcW w:w="1956" w:type="dxa"/>
          </w:tcPr>
          <w:p w:rsidR="00900F7E" w:rsidRDefault="00900F7E" w:rsidP="00C83BC6">
            <w:pPr>
              <w:cnfStyle w:val="000000100000" w:firstRow="0" w:lastRow="0" w:firstColumn="0" w:lastColumn="0" w:oddVBand="0" w:evenVBand="0" w:oddHBand="1" w:evenHBand="0" w:firstRowFirstColumn="0" w:firstRowLastColumn="0" w:lastRowFirstColumn="0" w:lastRowLastColumn="0"/>
            </w:pPr>
            <w:r>
              <w:t>3.53</w:t>
            </w:r>
          </w:p>
        </w:tc>
        <w:tc>
          <w:tcPr>
            <w:tcW w:w="1639" w:type="dxa"/>
          </w:tcPr>
          <w:p w:rsidR="00900F7E" w:rsidRDefault="00900F7E" w:rsidP="00C83BC6">
            <w:pPr>
              <w:cnfStyle w:val="000000100000" w:firstRow="0" w:lastRow="0" w:firstColumn="0" w:lastColumn="0" w:oddVBand="0" w:evenVBand="0" w:oddHBand="1" w:evenHBand="0" w:firstRowFirstColumn="0" w:firstRowLastColumn="0" w:lastRowFirstColumn="0" w:lastRowLastColumn="0"/>
            </w:pPr>
            <w:r>
              <w:t>331</w:t>
            </w:r>
          </w:p>
        </w:tc>
      </w:tr>
      <w:tr w:rsidR="00900F7E" w:rsidTr="00F238A7">
        <w:tc>
          <w:tcPr>
            <w:cnfStyle w:val="001000000000" w:firstRow="0" w:lastRow="0" w:firstColumn="1" w:lastColumn="0" w:oddVBand="0" w:evenVBand="0" w:oddHBand="0" w:evenHBand="0" w:firstRowFirstColumn="0" w:firstRowLastColumn="0" w:lastRowFirstColumn="0" w:lastRowLastColumn="0"/>
            <w:tcW w:w="1756" w:type="dxa"/>
          </w:tcPr>
          <w:p w:rsidR="00900F7E" w:rsidRDefault="00900F7E" w:rsidP="00C83BC6">
            <w:r>
              <w:t>5-9</w:t>
            </w:r>
          </w:p>
        </w:tc>
        <w:tc>
          <w:tcPr>
            <w:tcW w:w="1900" w:type="dxa"/>
          </w:tcPr>
          <w:p w:rsidR="00900F7E" w:rsidRDefault="00900F7E" w:rsidP="00C83BC6">
            <w:pPr>
              <w:cnfStyle w:val="000000000000" w:firstRow="0" w:lastRow="0" w:firstColumn="0" w:lastColumn="0" w:oddVBand="0" w:evenVBand="0" w:oddHBand="0" w:evenHBand="0" w:firstRowFirstColumn="0" w:firstRowLastColumn="0" w:lastRowFirstColumn="0" w:lastRowLastColumn="0"/>
            </w:pPr>
            <w:r>
              <w:t>15</w:t>
            </w:r>
          </w:p>
        </w:tc>
        <w:tc>
          <w:tcPr>
            <w:tcW w:w="1991" w:type="dxa"/>
          </w:tcPr>
          <w:p w:rsidR="00900F7E" w:rsidRDefault="00900F7E" w:rsidP="00C83BC6">
            <w:pPr>
              <w:cnfStyle w:val="000000000000" w:firstRow="0" w:lastRow="0" w:firstColumn="0" w:lastColumn="0" w:oddVBand="0" w:evenVBand="0" w:oddHBand="0" w:evenHBand="0" w:firstRowFirstColumn="0" w:firstRowLastColumn="0" w:lastRowFirstColumn="0" w:lastRowLastColumn="0"/>
            </w:pPr>
            <w:r>
              <w:t>7.4</w:t>
            </w:r>
          </w:p>
        </w:tc>
        <w:tc>
          <w:tcPr>
            <w:tcW w:w="1956" w:type="dxa"/>
          </w:tcPr>
          <w:p w:rsidR="00900F7E" w:rsidRDefault="00900F7E" w:rsidP="00C83BC6">
            <w:pPr>
              <w:cnfStyle w:val="000000000000" w:firstRow="0" w:lastRow="0" w:firstColumn="0" w:lastColumn="0" w:oddVBand="0" w:evenVBand="0" w:oddHBand="0" w:evenHBand="0" w:firstRowFirstColumn="0" w:firstRowLastColumn="0" w:lastRowFirstColumn="0" w:lastRowLastColumn="0"/>
            </w:pPr>
            <w:r>
              <w:t>3.20</w:t>
            </w:r>
          </w:p>
        </w:tc>
        <w:tc>
          <w:tcPr>
            <w:tcW w:w="1639" w:type="dxa"/>
          </w:tcPr>
          <w:p w:rsidR="00900F7E" w:rsidRDefault="00900F7E" w:rsidP="00C83BC6">
            <w:pPr>
              <w:cnfStyle w:val="000000000000" w:firstRow="0" w:lastRow="0" w:firstColumn="0" w:lastColumn="0" w:oddVBand="0" w:evenVBand="0" w:oddHBand="0" w:evenHBand="0" w:firstRowFirstColumn="0" w:firstRowLastColumn="0" w:lastRowFirstColumn="0" w:lastRowLastColumn="0"/>
            </w:pPr>
            <w:r>
              <w:t>395</w:t>
            </w:r>
          </w:p>
        </w:tc>
      </w:tr>
      <w:tr w:rsidR="00900F7E" w:rsidTr="00F23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6" w:type="dxa"/>
          </w:tcPr>
          <w:p w:rsidR="00900F7E" w:rsidRDefault="00900F7E" w:rsidP="00C83BC6">
            <w:r>
              <w:t>10-14</w:t>
            </w:r>
          </w:p>
        </w:tc>
        <w:tc>
          <w:tcPr>
            <w:tcW w:w="1900" w:type="dxa"/>
          </w:tcPr>
          <w:p w:rsidR="00900F7E" w:rsidRDefault="00900F7E" w:rsidP="00C83BC6">
            <w:pPr>
              <w:cnfStyle w:val="000000100000" w:firstRow="0" w:lastRow="0" w:firstColumn="0" w:lastColumn="0" w:oddVBand="0" w:evenVBand="0" w:oddHBand="1" w:evenHBand="0" w:firstRowFirstColumn="0" w:firstRowLastColumn="0" w:lastRowFirstColumn="0" w:lastRowLastColumn="0"/>
            </w:pPr>
            <w:r>
              <w:t>16</w:t>
            </w:r>
          </w:p>
        </w:tc>
        <w:tc>
          <w:tcPr>
            <w:tcW w:w="1991" w:type="dxa"/>
          </w:tcPr>
          <w:p w:rsidR="00900F7E" w:rsidRDefault="00900F7E" w:rsidP="00C83BC6">
            <w:pPr>
              <w:cnfStyle w:val="000000100000" w:firstRow="0" w:lastRow="0" w:firstColumn="0" w:lastColumn="0" w:oddVBand="0" w:evenVBand="0" w:oddHBand="1" w:evenHBand="0" w:firstRowFirstColumn="0" w:firstRowLastColumn="0" w:lastRowFirstColumn="0" w:lastRowLastColumn="0"/>
            </w:pPr>
            <w:r>
              <w:t>5.6</w:t>
            </w:r>
          </w:p>
        </w:tc>
        <w:tc>
          <w:tcPr>
            <w:tcW w:w="1956" w:type="dxa"/>
          </w:tcPr>
          <w:p w:rsidR="00900F7E" w:rsidRDefault="00900F7E" w:rsidP="00C83BC6">
            <w:pPr>
              <w:cnfStyle w:val="000000100000" w:firstRow="0" w:lastRow="0" w:firstColumn="0" w:lastColumn="0" w:oddVBand="0" w:evenVBand="0" w:oddHBand="1" w:evenHBand="0" w:firstRowFirstColumn="0" w:firstRowLastColumn="0" w:lastRowFirstColumn="0" w:lastRowLastColumn="0"/>
            </w:pPr>
            <w:r>
              <w:t>2.38</w:t>
            </w:r>
          </w:p>
        </w:tc>
        <w:tc>
          <w:tcPr>
            <w:tcW w:w="1639" w:type="dxa"/>
          </w:tcPr>
          <w:p w:rsidR="00900F7E" w:rsidRDefault="00900F7E" w:rsidP="00C83BC6">
            <w:pPr>
              <w:cnfStyle w:val="000000100000" w:firstRow="0" w:lastRow="0" w:firstColumn="0" w:lastColumn="0" w:oddVBand="0" w:evenVBand="0" w:oddHBand="1" w:evenHBand="0" w:firstRowFirstColumn="0" w:firstRowLastColumn="0" w:lastRowFirstColumn="0" w:lastRowLastColumn="0"/>
            </w:pPr>
            <w:r>
              <w:t>373</w:t>
            </w:r>
          </w:p>
        </w:tc>
      </w:tr>
      <w:tr w:rsidR="00900F7E" w:rsidTr="00F238A7">
        <w:tc>
          <w:tcPr>
            <w:cnfStyle w:val="001000000000" w:firstRow="0" w:lastRow="0" w:firstColumn="1" w:lastColumn="0" w:oddVBand="0" w:evenVBand="0" w:oddHBand="0" w:evenHBand="0" w:firstRowFirstColumn="0" w:firstRowLastColumn="0" w:lastRowFirstColumn="0" w:lastRowLastColumn="0"/>
            <w:tcW w:w="1756" w:type="dxa"/>
          </w:tcPr>
          <w:p w:rsidR="00900F7E" w:rsidRDefault="00900F7E" w:rsidP="00C83BC6">
            <w:r>
              <w:lastRenderedPageBreak/>
              <w:t>15-19</w:t>
            </w:r>
          </w:p>
        </w:tc>
        <w:tc>
          <w:tcPr>
            <w:tcW w:w="1900" w:type="dxa"/>
          </w:tcPr>
          <w:p w:rsidR="00900F7E" w:rsidRDefault="00900F7E" w:rsidP="00C83BC6">
            <w:pPr>
              <w:cnfStyle w:val="000000000000" w:firstRow="0" w:lastRow="0" w:firstColumn="0" w:lastColumn="0" w:oddVBand="0" w:evenVBand="0" w:oddHBand="0" w:evenHBand="0" w:firstRowFirstColumn="0" w:firstRowLastColumn="0" w:lastRowFirstColumn="0" w:lastRowLastColumn="0"/>
            </w:pPr>
            <w:r>
              <w:t>18</w:t>
            </w:r>
          </w:p>
        </w:tc>
        <w:tc>
          <w:tcPr>
            <w:tcW w:w="1991" w:type="dxa"/>
          </w:tcPr>
          <w:p w:rsidR="00900F7E" w:rsidRDefault="00900F7E" w:rsidP="00C83BC6">
            <w:pPr>
              <w:cnfStyle w:val="000000000000" w:firstRow="0" w:lastRow="0" w:firstColumn="0" w:lastColumn="0" w:oddVBand="0" w:evenVBand="0" w:oddHBand="0" w:evenHBand="0" w:firstRowFirstColumn="0" w:firstRowLastColumn="0" w:lastRowFirstColumn="0" w:lastRowLastColumn="0"/>
            </w:pPr>
            <w:r>
              <w:t>6.5</w:t>
            </w:r>
          </w:p>
        </w:tc>
        <w:tc>
          <w:tcPr>
            <w:tcW w:w="1956" w:type="dxa"/>
          </w:tcPr>
          <w:p w:rsidR="00900F7E" w:rsidRDefault="00900F7E" w:rsidP="00C83BC6">
            <w:pPr>
              <w:cnfStyle w:val="000000000000" w:firstRow="0" w:lastRow="0" w:firstColumn="0" w:lastColumn="0" w:oddVBand="0" w:evenVBand="0" w:oddHBand="0" w:evenHBand="0" w:firstRowFirstColumn="0" w:firstRowLastColumn="0" w:lastRowFirstColumn="0" w:lastRowLastColumn="0"/>
            </w:pPr>
            <w:r>
              <w:t>2.00</w:t>
            </w:r>
          </w:p>
        </w:tc>
        <w:tc>
          <w:tcPr>
            <w:tcW w:w="1639" w:type="dxa"/>
          </w:tcPr>
          <w:p w:rsidR="00900F7E" w:rsidRDefault="00900F7E" w:rsidP="00C83BC6">
            <w:pPr>
              <w:cnfStyle w:val="000000000000" w:firstRow="0" w:lastRow="0" w:firstColumn="0" w:lastColumn="0" w:oddVBand="0" w:evenVBand="0" w:oddHBand="0" w:evenHBand="0" w:firstRowFirstColumn="0" w:firstRowLastColumn="0" w:lastRowFirstColumn="0" w:lastRowLastColumn="0"/>
            </w:pPr>
            <w:r>
              <w:t>431</w:t>
            </w:r>
          </w:p>
        </w:tc>
      </w:tr>
    </w:tbl>
    <w:p w:rsidR="00B44AF3" w:rsidRDefault="00B44AF3" w:rsidP="00B44AF3">
      <w:pPr>
        <w:pStyle w:val="Caption"/>
      </w:pPr>
      <w:bookmarkStart w:id="20" w:name="_Toc434938031"/>
      <w:r>
        <w:t xml:space="preserve">Figure </w:t>
      </w:r>
      <w:r w:rsidR="00156E8B">
        <w:fldChar w:fldCharType="begin"/>
      </w:r>
      <w:r w:rsidR="00156E8B">
        <w:instrText xml:space="preserve"> SEQ Figure \* ARABIC </w:instrText>
      </w:r>
      <w:r w:rsidR="00156E8B">
        <w:fldChar w:fldCharType="separate"/>
      </w:r>
      <w:r w:rsidR="005C553C">
        <w:rPr>
          <w:noProof/>
        </w:rPr>
        <w:t>24</w:t>
      </w:r>
      <w:r w:rsidR="00156E8B">
        <w:rPr>
          <w:noProof/>
        </w:rPr>
        <w:fldChar w:fldCharType="end"/>
      </w:r>
      <w:r>
        <w:t xml:space="preserve"> Spend on complex children</w:t>
      </w:r>
    </w:p>
    <w:p w:rsidR="008A747A" w:rsidRDefault="00CC21B1" w:rsidP="008A747A">
      <w:pPr>
        <w:pStyle w:val="Heading2"/>
      </w:pPr>
      <w:r w:rsidRPr="00601AEF">
        <w:t>Learning disability</w:t>
      </w:r>
      <w:bookmarkEnd w:id="20"/>
      <w:r w:rsidR="0095498A" w:rsidRPr="00601AEF">
        <w:t xml:space="preserve"> </w:t>
      </w:r>
    </w:p>
    <w:p w:rsidR="00BF2B64" w:rsidRDefault="006B4E6B" w:rsidP="00BF2B64">
      <w:pPr>
        <w:contextualSpacing/>
        <w:rPr>
          <w:rFonts w:cs="Arial"/>
          <w:szCs w:val="24"/>
        </w:rPr>
      </w:pPr>
      <w:r w:rsidRPr="006B4E6B">
        <w:rPr>
          <w:rFonts w:cs="Arial"/>
          <w:szCs w:val="24"/>
        </w:rPr>
        <w:t xml:space="preserve">Every term </w:t>
      </w:r>
      <w:r>
        <w:rPr>
          <w:rFonts w:cs="Arial"/>
          <w:szCs w:val="24"/>
        </w:rPr>
        <w:t>schools</w:t>
      </w:r>
      <w:r w:rsidRPr="006B4E6B">
        <w:rPr>
          <w:rFonts w:cs="Arial"/>
          <w:szCs w:val="24"/>
        </w:rPr>
        <w:t xml:space="preserve"> report to the Department for Education about all children who have special educational </w:t>
      </w:r>
      <w:r w:rsidR="002D7DCD" w:rsidRPr="006B4E6B">
        <w:rPr>
          <w:rFonts w:cs="Arial"/>
          <w:szCs w:val="24"/>
        </w:rPr>
        <w:t>needs</w:t>
      </w:r>
      <w:r>
        <w:rPr>
          <w:rFonts w:cs="Arial"/>
          <w:szCs w:val="24"/>
        </w:rPr>
        <w:t xml:space="preserve"> and the type of need they have.</w:t>
      </w:r>
      <w:r w:rsidRPr="006B4E6B">
        <w:rPr>
          <w:rFonts w:cs="Arial"/>
          <w:szCs w:val="24"/>
        </w:rPr>
        <w:t xml:space="preserve"> </w:t>
      </w:r>
      <w:r w:rsidR="00A77F92">
        <w:rPr>
          <w:rFonts w:cs="Arial"/>
          <w:szCs w:val="24"/>
        </w:rPr>
        <w:t xml:space="preserve"> </w:t>
      </w:r>
      <w:r w:rsidRPr="006B4E6B">
        <w:rPr>
          <w:rFonts w:cs="Arial"/>
          <w:szCs w:val="24"/>
        </w:rPr>
        <w:t>There are four levels of learning diffi</w:t>
      </w:r>
      <w:r w:rsidR="00BF2B64">
        <w:rPr>
          <w:rFonts w:cs="Arial"/>
          <w:szCs w:val="24"/>
        </w:rPr>
        <w:t xml:space="preserve">culties: specific difficulties </w:t>
      </w:r>
      <w:r w:rsidR="00A77F92">
        <w:rPr>
          <w:rFonts w:cs="Arial"/>
          <w:szCs w:val="24"/>
        </w:rPr>
        <w:t>such as</w:t>
      </w:r>
      <w:r w:rsidR="00BF2B64">
        <w:rPr>
          <w:rFonts w:cs="Arial"/>
          <w:szCs w:val="24"/>
        </w:rPr>
        <w:t xml:space="preserve"> dyslexia (excluded from this analysis)</w:t>
      </w:r>
      <w:r w:rsidRPr="006B4E6B">
        <w:rPr>
          <w:rFonts w:cs="Arial"/>
          <w:szCs w:val="24"/>
        </w:rPr>
        <w:t xml:space="preserve">, moderate learning difficulties, severe learning difficulties and profound and multiple learning difficulties. </w:t>
      </w:r>
      <w:r w:rsidR="00BF2B64">
        <w:rPr>
          <w:rFonts w:cs="Arial"/>
          <w:szCs w:val="24"/>
        </w:rPr>
        <w:t xml:space="preserve">  </w:t>
      </w:r>
      <w:r w:rsidR="00BF2B64" w:rsidRPr="006B4E6B">
        <w:rPr>
          <w:rFonts w:cs="Arial"/>
          <w:szCs w:val="24"/>
        </w:rPr>
        <w:t xml:space="preserve">The school census covers all pupils enrolled in state-funded primary, secondary or special schools. </w:t>
      </w:r>
      <w:r w:rsidR="00A77F92">
        <w:rPr>
          <w:rFonts w:cs="Arial"/>
          <w:szCs w:val="24"/>
        </w:rPr>
        <w:t xml:space="preserve"> </w:t>
      </w:r>
      <w:r w:rsidR="00BF2B64" w:rsidRPr="006B4E6B">
        <w:rPr>
          <w:rFonts w:cs="Arial"/>
          <w:szCs w:val="24"/>
        </w:rPr>
        <w:t xml:space="preserve">A formal medical diagnosis is not </w:t>
      </w:r>
      <w:r w:rsidR="002D7DCD" w:rsidRPr="006B4E6B">
        <w:rPr>
          <w:rFonts w:cs="Arial"/>
          <w:szCs w:val="24"/>
        </w:rPr>
        <w:t>required;</w:t>
      </w:r>
      <w:r w:rsidR="00BF2B64" w:rsidRPr="006B4E6B">
        <w:rPr>
          <w:rFonts w:cs="Arial"/>
          <w:szCs w:val="24"/>
        </w:rPr>
        <w:t xml:space="preserve"> as such these numbers may not reflect those seen in data from medical sources.</w:t>
      </w:r>
    </w:p>
    <w:p w:rsidR="006B4E6B" w:rsidRDefault="006B4E6B" w:rsidP="00F52FD9">
      <w:pPr>
        <w:contextualSpacing/>
        <w:rPr>
          <w:rFonts w:cs="Arial"/>
          <w:szCs w:val="24"/>
        </w:rPr>
      </w:pPr>
    </w:p>
    <w:p w:rsidR="00BF2B64" w:rsidRPr="00BF2B64" w:rsidRDefault="00BF2B64" w:rsidP="00051865">
      <w:pPr>
        <w:pStyle w:val="ListParagraph"/>
        <w:numPr>
          <w:ilvl w:val="0"/>
          <w:numId w:val="10"/>
        </w:numPr>
        <w:spacing w:line="276" w:lineRule="auto"/>
        <w:contextualSpacing/>
        <w:rPr>
          <w:rFonts w:ascii="Arial" w:hAnsi="Arial" w:cs="Arial"/>
          <w:sz w:val="22"/>
          <w:szCs w:val="22"/>
        </w:rPr>
      </w:pPr>
      <w:r w:rsidRPr="00BF2B64">
        <w:rPr>
          <w:rFonts w:ascii="Arial" w:hAnsi="Arial" w:cs="Arial"/>
          <w:sz w:val="22"/>
          <w:szCs w:val="22"/>
        </w:rPr>
        <w:t xml:space="preserve">Children who have a </w:t>
      </w:r>
      <w:r w:rsidR="006B4E6B" w:rsidRPr="00BF2B64">
        <w:rPr>
          <w:rFonts w:ascii="Arial" w:hAnsi="Arial" w:cs="Arial"/>
          <w:sz w:val="22"/>
          <w:szCs w:val="22"/>
        </w:rPr>
        <w:t>moderat</w:t>
      </w:r>
      <w:r w:rsidRPr="00BF2B64">
        <w:rPr>
          <w:rFonts w:ascii="Arial" w:hAnsi="Arial" w:cs="Arial"/>
          <w:sz w:val="22"/>
          <w:szCs w:val="22"/>
        </w:rPr>
        <w:t xml:space="preserve">e learning difficulty </w:t>
      </w:r>
      <w:r w:rsidR="006B4E6B" w:rsidRPr="00BF2B64">
        <w:rPr>
          <w:rFonts w:ascii="Arial" w:hAnsi="Arial" w:cs="Arial"/>
          <w:sz w:val="22"/>
          <w:szCs w:val="22"/>
        </w:rPr>
        <w:t xml:space="preserve">have difficulty in all areas of learning. They may </w:t>
      </w:r>
      <w:r w:rsidRPr="00BF2B64">
        <w:rPr>
          <w:rFonts w:ascii="Arial" w:hAnsi="Arial" w:cs="Arial"/>
          <w:sz w:val="22"/>
          <w:szCs w:val="22"/>
        </w:rPr>
        <w:t>have speech and language delay</w:t>
      </w:r>
    </w:p>
    <w:p w:rsidR="00BF2B64" w:rsidRPr="00BF2B64" w:rsidRDefault="00BF2B64" w:rsidP="00051865">
      <w:pPr>
        <w:pStyle w:val="ListParagraph"/>
        <w:numPr>
          <w:ilvl w:val="0"/>
          <w:numId w:val="10"/>
        </w:numPr>
        <w:spacing w:line="276" w:lineRule="auto"/>
        <w:contextualSpacing/>
        <w:rPr>
          <w:rFonts w:ascii="Arial" w:hAnsi="Arial" w:cs="Arial"/>
          <w:sz w:val="22"/>
          <w:szCs w:val="22"/>
        </w:rPr>
      </w:pPr>
      <w:r w:rsidRPr="00BF2B64">
        <w:rPr>
          <w:rFonts w:ascii="Arial" w:hAnsi="Arial" w:cs="Arial"/>
          <w:sz w:val="22"/>
          <w:szCs w:val="22"/>
        </w:rPr>
        <w:t>Children with severe learning difficulties will have serious difficulty in participating in ordinary school programmes without support. Many have limited comm</w:t>
      </w:r>
      <w:r w:rsidR="00094123">
        <w:rPr>
          <w:rFonts w:ascii="Arial" w:hAnsi="Arial" w:cs="Arial"/>
          <w:sz w:val="22"/>
          <w:szCs w:val="22"/>
        </w:rPr>
        <w:t>unications and self-help skills</w:t>
      </w:r>
    </w:p>
    <w:p w:rsidR="00BF2B64" w:rsidRPr="00BF2B64" w:rsidRDefault="00BF2B64" w:rsidP="00BF2B64">
      <w:pPr>
        <w:pStyle w:val="ListParagraph"/>
        <w:numPr>
          <w:ilvl w:val="0"/>
          <w:numId w:val="10"/>
        </w:numPr>
        <w:contextualSpacing/>
        <w:rPr>
          <w:rFonts w:ascii="Arial" w:hAnsi="Arial" w:cs="Arial"/>
          <w:sz w:val="22"/>
          <w:szCs w:val="22"/>
        </w:rPr>
      </w:pPr>
      <w:r w:rsidRPr="00BF2B64">
        <w:rPr>
          <w:rFonts w:ascii="Arial" w:hAnsi="Arial" w:cs="Arial"/>
          <w:sz w:val="22"/>
          <w:szCs w:val="22"/>
        </w:rPr>
        <w:t>Children with profound and multiple learning difficulties have very severe difficulty in learning combined with physical or sensory disabilities. They require a high level of adult support for both l</w:t>
      </w:r>
      <w:r w:rsidR="00094123">
        <w:rPr>
          <w:rFonts w:ascii="Arial" w:hAnsi="Arial" w:cs="Arial"/>
          <w:sz w:val="22"/>
          <w:szCs w:val="22"/>
        </w:rPr>
        <w:t>earning and personal care needs</w:t>
      </w:r>
    </w:p>
    <w:p w:rsidR="00BF2B64" w:rsidRDefault="00BF2B64" w:rsidP="00F52FD9">
      <w:pPr>
        <w:contextualSpacing/>
        <w:rPr>
          <w:rFonts w:cs="Arial"/>
          <w:szCs w:val="24"/>
        </w:rPr>
      </w:pPr>
    </w:p>
    <w:p w:rsidR="00641709" w:rsidRDefault="0095498A" w:rsidP="00F52FD9">
      <w:pPr>
        <w:contextualSpacing/>
        <w:rPr>
          <w:rFonts w:cs="Arial"/>
          <w:szCs w:val="24"/>
        </w:rPr>
      </w:pPr>
      <w:r w:rsidRPr="00601AEF">
        <w:rPr>
          <w:rFonts w:cs="Arial"/>
          <w:szCs w:val="24"/>
        </w:rPr>
        <w:t>Public Health England</w:t>
      </w:r>
      <w:r w:rsidR="00A55B83">
        <w:rPr>
          <w:rFonts w:cs="Arial"/>
          <w:szCs w:val="24"/>
        </w:rPr>
        <w:t xml:space="preserve"> </w:t>
      </w:r>
      <w:r w:rsidR="001D3A4F">
        <w:rPr>
          <w:rFonts w:cs="Arial"/>
          <w:szCs w:val="24"/>
        </w:rPr>
        <w:t>has</w:t>
      </w:r>
      <w:r w:rsidR="00B95D21">
        <w:rPr>
          <w:rFonts w:cs="Arial"/>
          <w:szCs w:val="24"/>
        </w:rPr>
        <w:t xml:space="preserve"> compile</w:t>
      </w:r>
      <w:r w:rsidR="00A55B83">
        <w:rPr>
          <w:rFonts w:cs="Arial"/>
          <w:szCs w:val="24"/>
        </w:rPr>
        <w:t>d</w:t>
      </w:r>
      <w:r w:rsidR="00B95D21">
        <w:rPr>
          <w:rFonts w:cs="Arial"/>
          <w:szCs w:val="24"/>
        </w:rPr>
        <w:t xml:space="preserve"> learning disability profiles from the DfE reports</w:t>
      </w:r>
      <w:r w:rsidR="00290CC5">
        <w:rPr>
          <w:rStyle w:val="FootnoteReference"/>
          <w:rFonts w:cs="Arial"/>
          <w:szCs w:val="24"/>
        </w:rPr>
        <w:footnoteReference w:id="51"/>
      </w:r>
      <w:r w:rsidR="00B95D21">
        <w:rPr>
          <w:rFonts w:cs="Arial"/>
          <w:szCs w:val="24"/>
        </w:rPr>
        <w:t xml:space="preserve">. </w:t>
      </w:r>
    </w:p>
    <w:p w:rsidR="00641709" w:rsidRDefault="00641709" w:rsidP="00F52FD9">
      <w:pPr>
        <w:contextualSpacing/>
        <w:rPr>
          <w:rFonts w:cs="Arial"/>
          <w:szCs w:val="24"/>
          <w:highlight w:val="yellow"/>
        </w:rPr>
      </w:pPr>
    </w:p>
    <w:p w:rsidR="00CC21B1" w:rsidRPr="00601AEF" w:rsidRDefault="00B95D21" w:rsidP="00F52FD9">
      <w:pPr>
        <w:contextualSpacing/>
        <w:rPr>
          <w:rFonts w:cs="Arial"/>
          <w:szCs w:val="24"/>
        </w:rPr>
      </w:pPr>
      <w:r w:rsidRPr="00B44AF3">
        <w:rPr>
          <w:rFonts w:cs="Arial"/>
          <w:szCs w:val="24"/>
        </w:rPr>
        <w:t xml:space="preserve">Figure </w:t>
      </w:r>
      <w:r w:rsidR="00B44AF3">
        <w:rPr>
          <w:rFonts w:cs="Arial"/>
          <w:szCs w:val="24"/>
        </w:rPr>
        <w:t>25</w:t>
      </w:r>
      <w:r w:rsidR="002D7DCD">
        <w:rPr>
          <w:rFonts w:cs="Arial"/>
          <w:szCs w:val="24"/>
        </w:rPr>
        <w:t xml:space="preserve"> compares Medway rates with England and the South East region:</w:t>
      </w:r>
    </w:p>
    <w:p w:rsidR="0095498A" w:rsidRDefault="0095498A" w:rsidP="00F52FD9">
      <w:pPr>
        <w:contextualSpacing/>
        <w:rPr>
          <w:rFonts w:cs="Arial"/>
          <w:sz w:val="24"/>
          <w:szCs w:val="24"/>
        </w:rPr>
      </w:pPr>
    </w:p>
    <w:tbl>
      <w:tblPr>
        <w:tblStyle w:val="LightList-Accent1"/>
        <w:tblW w:w="0" w:type="auto"/>
        <w:tblLook w:val="04A0" w:firstRow="1" w:lastRow="0" w:firstColumn="1" w:lastColumn="0" w:noHBand="0" w:noVBand="1"/>
      </w:tblPr>
      <w:tblGrid>
        <w:gridCol w:w="2310"/>
        <w:gridCol w:w="2310"/>
        <w:gridCol w:w="2311"/>
        <w:gridCol w:w="2311"/>
      </w:tblGrid>
      <w:tr w:rsidR="00641709" w:rsidRPr="00601AEF" w:rsidTr="00F238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4"/>
          </w:tcPr>
          <w:p w:rsidR="00641709" w:rsidRPr="00641709" w:rsidRDefault="00641709" w:rsidP="00F52FD9">
            <w:pPr>
              <w:contextualSpacing/>
              <w:rPr>
                <w:rFonts w:cs="Arial"/>
                <w:szCs w:val="24"/>
              </w:rPr>
            </w:pPr>
            <w:r w:rsidRPr="00641709">
              <w:rPr>
                <w:rFonts w:cs="Arial"/>
                <w:szCs w:val="24"/>
              </w:rPr>
              <w:t>Rate per 1000 pupils</w:t>
            </w:r>
          </w:p>
        </w:tc>
      </w:tr>
      <w:tr w:rsidR="0095498A" w:rsidRPr="00601AEF" w:rsidTr="00F23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rsidR="0095498A" w:rsidRPr="00601AEF" w:rsidRDefault="0095498A" w:rsidP="00F52FD9">
            <w:pPr>
              <w:contextualSpacing/>
              <w:rPr>
                <w:rFonts w:cs="Arial"/>
                <w:b w:val="0"/>
                <w:szCs w:val="24"/>
              </w:rPr>
            </w:pPr>
          </w:p>
        </w:tc>
        <w:tc>
          <w:tcPr>
            <w:tcW w:w="2310" w:type="dxa"/>
          </w:tcPr>
          <w:p w:rsidR="0095498A" w:rsidRPr="00601AEF" w:rsidRDefault="0095498A" w:rsidP="00F52FD9">
            <w:pPr>
              <w:contextualSpacing/>
              <w:cnfStyle w:val="000000100000" w:firstRow="0" w:lastRow="0" w:firstColumn="0" w:lastColumn="0" w:oddVBand="0" w:evenVBand="0" w:oddHBand="1" w:evenHBand="0" w:firstRowFirstColumn="0" w:firstRowLastColumn="0" w:lastRowFirstColumn="0" w:lastRowLastColumn="0"/>
              <w:rPr>
                <w:rFonts w:cs="Arial"/>
                <w:b/>
                <w:szCs w:val="24"/>
              </w:rPr>
            </w:pPr>
            <w:r w:rsidRPr="00601AEF">
              <w:rPr>
                <w:rFonts w:cs="Arial"/>
                <w:b/>
                <w:szCs w:val="24"/>
              </w:rPr>
              <w:t>England</w:t>
            </w:r>
          </w:p>
        </w:tc>
        <w:tc>
          <w:tcPr>
            <w:tcW w:w="2311" w:type="dxa"/>
          </w:tcPr>
          <w:p w:rsidR="0095498A" w:rsidRPr="00601AEF" w:rsidRDefault="0095498A" w:rsidP="00F52FD9">
            <w:pPr>
              <w:contextualSpacing/>
              <w:cnfStyle w:val="000000100000" w:firstRow="0" w:lastRow="0" w:firstColumn="0" w:lastColumn="0" w:oddVBand="0" w:evenVBand="0" w:oddHBand="1" w:evenHBand="0" w:firstRowFirstColumn="0" w:firstRowLastColumn="0" w:lastRowFirstColumn="0" w:lastRowLastColumn="0"/>
              <w:rPr>
                <w:rFonts w:cs="Arial"/>
                <w:b/>
                <w:szCs w:val="24"/>
              </w:rPr>
            </w:pPr>
            <w:r w:rsidRPr="00601AEF">
              <w:rPr>
                <w:rFonts w:cs="Arial"/>
                <w:b/>
                <w:szCs w:val="24"/>
              </w:rPr>
              <w:t>South East region</w:t>
            </w:r>
          </w:p>
        </w:tc>
        <w:tc>
          <w:tcPr>
            <w:tcW w:w="2311" w:type="dxa"/>
          </w:tcPr>
          <w:p w:rsidR="0095498A" w:rsidRPr="00601AEF" w:rsidRDefault="0095498A" w:rsidP="00F52FD9">
            <w:pPr>
              <w:contextualSpacing/>
              <w:cnfStyle w:val="000000100000" w:firstRow="0" w:lastRow="0" w:firstColumn="0" w:lastColumn="0" w:oddVBand="0" w:evenVBand="0" w:oddHBand="1" w:evenHBand="0" w:firstRowFirstColumn="0" w:firstRowLastColumn="0" w:lastRowFirstColumn="0" w:lastRowLastColumn="0"/>
              <w:rPr>
                <w:rFonts w:cs="Arial"/>
                <w:b/>
                <w:szCs w:val="24"/>
              </w:rPr>
            </w:pPr>
            <w:r w:rsidRPr="00601AEF">
              <w:rPr>
                <w:rFonts w:cs="Arial"/>
                <w:b/>
                <w:szCs w:val="24"/>
              </w:rPr>
              <w:t>Medway</w:t>
            </w:r>
          </w:p>
        </w:tc>
      </w:tr>
      <w:tr w:rsidR="0095498A" w:rsidRPr="00601AEF" w:rsidTr="00F238A7">
        <w:tc>
          <w:tcPr>
            <w:cnfStyle w:val="001000000000" w:firstRow="0" w:lastRow="0" w:firstColumn="1" w:lastColumn="0" w:oddVBand="0" w:evenVBand="0" w:oddHBand="0" w:evenHBand="0" w:firstRowFirstColumn="0" w:firstRowLastColumn="0" w:lastRowFirstColumn="0" w:lastRowLastColumn="0"/>
            <w:tcW w:w="2310" w:type="dxa"/>
          </w:tcPr>
          <w:p w:rsidR="0095498A" w:rsidRPr="00601AEF" w:rsidRDefault="0095498A" w:rsidP="00F52FD9">
            <w:pPr>
              <w:contextualSpacing/>
              <w:rPr>
                <w:rFonts w:cs="Arial"/>
                <w:szCs w:val="24"/>
              </w:rPr>
            </w:pPr>
            <w:r w:rsidRPr="00601AEF">
              <w:rPr>
                <w:rFonts w:cs="Arial"/>
                <w:szCs w:val="24"/>
              </w:rPr>
              <w:t>Children with moderate learning difficulties known to schools per 1000 population</w:t>
            </w:r>
          </w:p>
        </w:tc>
        <w:tc>
          <w:tcPr>
            <w:tcW w:w="2310" w:type="dxa"/>
          </w:tcPr>
          <w:p w:rsidR="0095498A" w:rsidRPr="00601AEF" w:rsidRDefault="0095498A" w:rsidP="00F52FD9">
            <w:pPr>
              <w:contextualSpacing/>
              <w:cnfStyle w:val="000000000000" w:firstRow="0" w:lastRow="0" w:firstColumn="0" w:lastColumn="0" w:oddVBand="0" w:evenVBand="0" w:oddHBand="0" w:evenHBand="0" w:firstRowFirstColumn="0" w:firstRowLastColumn="0" w:lastRowFirstColumn="0" w:lastRowLastColumn="0"/>
              <w:rPr>
                <w:rFonts w:cs="Arial"/>
                <w:szCs w:val="24"/>
              </w:rPr>
            </w:pPr>
            <w:r w:rsidRPr="00601AEF">
              <w:rPr>
                <w:rFonts w:cs="Arial"/>
                <w:szCs w:val="24"/>
              </w:rPr>
              <w:t>15.6</w:t>
            </w:r>
          </w:p>
        </w:tc>
        <w:tc>
          <w:tcPr>
            <w:tcW w:w="2311" w:type="dxa"/>
          </w:tcPr>
          <w:p w:rsidR="0095498A" w:rsidRPr="00601AEF" w:rsidRDefault="0095498A" w:rsidP="00F52FD9">
            <w:pPr>
              <w:contextualSpacing/>
              <w:cnfStyle w:val="000000000000" w:firstRow="0" w:lastRow="0" w:firstColumn="0" w:lastColumn="0" w:oddVBand="0" w:evenVBand="0" w:oddHBand="0" w:evenHBand="0" w:firstRowFirstColumn="0" w:firstRowLastColumn="0" w:lastRowFirstColumn="0" w:lastRowLastColumn="0"/>
              <w:rPr>
                <w:rFonts w:cs="Arial"/>
                <w:szCs w:val="24"/>
              </w:rPr>
            </w:pPr>
            <w:r w:rsidRPr="00601AEF">
              <w:rPr>
                <w:rFonts w:cs="Arial"/>
                <w:szCs w:val="24"/>
              </w:rPr>
              <w:t>13.8</w:t>
            </w:r>
          </w:p>
        </w:tc>
        <w:tc>
          <w:tcPr>
            <w:tcW w:w="2311" w:type="dxa"/>
          </w:tcPr>
          <w:p w:rsidR="0095498A" w:rsidRPr="00601AEF" w:rsidRDefault="0095498A" w:rsidP="00F52FD9">
            <w:pPr>
              <w:contextualSpacing/>
              <w:cnfStyle w:val="000000000000" w:firstRow="0" w:lastRow="0" w:firstColumn="0" w:lastColumn="0" w:oddVBand="0" w:evenVBand="0" w:oddHBand="0" w:evenHBand="0" w:firstRowFirstColumn="0" w:firstRowLastColumn="0" w:lastRowFirstColumn="0" w:lastRowLastColumn="0"/>
              <w:rPr>
                <w:rFonts w:cs="Arial"/>
                <w:szCs w:val="24"/>
              </w:rPr>
            </w:pPr>
            <w:r w:rsidRPr="00601AEF">
              <w:rPr>
                <w:rFonts w:cs="Arial"/>
                <w:szCs w:val="24"/>
              </w:rPr>
              <w:t>14.9</w:t>
            </w:r>
          </w:p>
        </w:tc>
      </w:tr>
      <w:tr w:rsidR="0095498A" w:rsidRPr="00601AEF" w:rsidTr="00F23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rsidR="0095498A" w:rsidRPr="00601AEF" w:rsidRDefault="0095498A" w:rsidP="0095498A">
            <w:pPr>
              <w:contextualSpacing/>
              <w:rPr>
                <w:rFonts w:cs="Arial"/>
                <w:szCs w:val="24"/>
              </w:rPr>
            </w:pPr>
            <w:r w:rsidRPr="00601AEF">
              <w:rPr>
                <w:rFonts w:cs="Arial"/>
                <w:szCs w:val="24"/>
              </w:rPr>
              <w:t>Children with severe learning difficulties known to schools per 1000 population</w:t>
            </w:r>
          </w:p>
        </w:tc>
        <w:tc>
          <w:tcPr>
            <w:tcW w:w="2310" w:type="dxa"/>
          </w:tcPr>
          <w:p w:rsidR="0095498A" w:rsidRPr="00601AEF" w:rsidRDefault="0095498A" w:rsidP="00F52FD9">
            <w:pPr>
              <w:contextualSpacing/>
              <w:cnfStyle w:val="000000100000" w:firstRow="0" w:lastRow="0" w:firstColumn="0" w:lastColumn="0" w:oddVBand="0" w:evenVBand="0" w:oddHBand="1" w:evenHBand="0" w:firstRowFirstColumn="0" w:firstRowLastColumn="0" w:lastRowFirstColumn="0" w:lastRowLastColumn="0"/>
              <w:rPr>
                <w:rFonts w:cs="Arial"/>
                <w:szCs w:val="24"/>
              </w:rPr>
            </w:pPr>
            <w:r w:rsidRPr="00601AEF">
              <w:rPr>
                <w:rFonts w:cs="Arial"/>
                <w:szCs w:val="24"/>
              </w:rPr>
              <w:t>3.73</w:t>
            </w:r>
          </w:p>
        </w:tc>
        <w:tc>
          <w:tcPr>
            <w:tcW w:w="2311" w:type="dxa"/>
          </w:tcPr>
          <w:p w:rsidR="0095498A" w:rsidRPr="00601AEF" w:rsidRDefault="0095498A" w:rsidP="00F52FD9">
            <w:pPr>
              <w:contextualSpacing/>
              <w:cnfStyle w:val="000000100000" w:firstRow="0" w:lastRow="0" w:firstColumn="0" w:lastColumn="0" w:oddVBand="0" w:evenVBand="0" w:oddHBand="1" w:evenHBand="0" w:firstRowFirstColumn="0" w:firstRowLastColumn="0" w:lastRowFirstColumn="0" w:lastRowLastColumn="0"/>
              <w:rPr>
                <w:rFonts w:cs="Arial"/>
                <w:szCs w:val="24"/>
              </w:rPr>
            </w:pPr>
            <w:r w:rsidRPr="00601AEF">
              <w:rPr>
                <w:rFonts w:cs="Arial"/>
                <w:szCs w:val="24"/>
              </w:rPr>
              <w:t>3.34</w:t>
            </w:r>
          </w:p>
        </w:tc>
        <w:tc>
          <w:tcPr>
            <w:tcW w:w="2311" w:type="dxa"/>
          </w:tcPr>
          <w:p w:rsidR="0095498A" w:rsidRPr="00601AEF" w:rsidRDefault="0095498A" w:rsidP="00F52FD9">
            <w:pPr>
              <w:contextualSpacing/>
              <w:cnfStyle w:val="000000100000" w:firstRow="0" w:lastRow="0" w:firstColumn="0" w:lastColumn="0" w:oddVBand="0" w:evenVBand="0" w:oddHBand="1" w:evenHBand="0" w:firstRowFirstColumn="0" w:firstRowLastColumn="0" w:lastRowFirstColumn="0" w:lastRowLastColumn="0"/>
              <w:rPr>
                <w:rFonts w:cs="Arial"/>
                <w:szCs w:val="24"/>
              </w:rPr>
            </w:pPr>
            <w:r w:rsidRPr="00601AEF">
              <w:rPr>
                <w:rFonts w:cs="Arial"/>
                <w:szCs w:val="24"/>
              </w:rPr>
              <w:t>2.8</w:t>
            </w:r>
          </w:p>
        </w:tc>
      </w:tr>
      <w:tr w:rsidR="0095498A" w:rsidRPr="00601AEF" w:rsidTr="00F238A7">
        <w:tc>
          <w:tcPr>
            <w:cnfStyle w:val="001000000000" w:firstRow="0" w:lastRow="0" w:firstColumn="1" w:lastColumn="0" w:oddVBand="0" w:evenVBand="0" w:oddHBand="0" w:evenHBand="0" w:firstRowFirstColumn="0" w:firstRowLastColumn="0" w:lastRowFirstColumn="0" w:lastRowLastColumn="0"/>
            <w:tcW w:w="2310" w:type="dxa"/>
          </w:tcPr>
          <w:p w:rsidR="0095498A" w:rsidRPr="00601AEF" w:rsidRDefault="0095498A" w:rsidP="0095498A">
            <w:pPr>
              <w:contextualSpacing/>
              <w:rPr>
                <w:rFonts w:cs="Arial"/>
                <w:szCs w:val="24"/>
              </w:rPr>
            </w:pPr>
            <w:r w:rsidRPr="00601AEF">
              <w:rPr>
                <w:rFonts w:cs="Arial"/>
                <w:szCs w:val="24"/>
              </w:rPr>
              <w:t>Children with profound and multiple learning difficulties known to schools per 1000 population</w:t>
            </w:r>
          </w:p>
        </w:tc>
        <w:tc>
          <w:tcPr>
            <w:tcW w:w="2310" w:type="dxa"/>
          </w:tcPr>
          <w:p w:rsidR="0095498A" w:rsidRPr="00601AEF" w:rsidRDefault="0095498A" w:rsidP="00F52FD9">
            <w:pPr>
              <w:contextualSpacing/>
              <w:cnfStyle w:val="000000000000" w:firstRow="0" w:lastRow="0" w:firstColumn="0" w:lastColumn="0" w:oddVBand="0" w:evenVBand="0" w:oddHBand="0" w:evenHBand="0" w:firstRowFirstColumn="0" w:firstRowLastColumn="0" w:lastRowFirstColumn="0" w:lastRowLastColumn="0"/>
              <w:rPr>
                <w:rFonts w:cs="Arial"/>
                <w:szCs w:val="24"/>
              </w:rPr>
            </w:pPr>
            <w:r w:rsidRPr="00601AEF">
              <w:rPr>
                <w:rFonts w:cs="Arial"/>
                <w:szCs w:val="24"/>
              </w:rPr>
              <w:t>1.27</w:t>
            </w:r>
          </w:p>
        </w:tc>
        <w:tc>
          <w:tcPr>
            <w:tcW w:w="2311" w:type="dxa"/>
          </w:tcPr>
          <w:p w:rsidR="0095498A" w:rsidRPr="00601AEF" w:rsidRDefault="0095498A" w:rsidP="00F52FD9">
            <w:pPr>
              <w:contextualSpacing/>
              <w:cnfStyle w:val="000000000000" w:firstRow="0" w:lastRow="0" w:firstColumn="0" w:lastColumn="0" w:oddVBand="0" w:evenVBand="0" w:oddHBand="0" w:evenHBand="0" w:firstRowFirstColumn="0" w:firstRowLastColumn="0" w:lastRowFirstColumn="0" w:lastRowLastColumn="0"/>
              <w:rPr>
                <w:rFonts w:cs="Arial"/>
                <w:szCs w:val="24"/>
              </w:rPr>
            </w:pPr>
            <w:r w:rsidRPr="00601AEF">
              <w:rPr>
                <w:rFonts w:cs="Arial"/>
                <w:szCs w:val="24"/>
              </w:rPr>
              <w:t>1.04</w:t>
            </w:r>
          </w:p>
        </w:tc>
        <w:tc>
          <w:tcPr>
            <w:tcW w:w="2311" w:type="dxa"/>
          </w:tcPr>
          <w:p w:rsidR="0095498A" w:rsidRPr="00601AEF" w:rsidRDefault="00197D7C" w:rsidP="00F52FD9">
            <w:pPr>
              <w:contextualSpacing/>
              <w:cnfStyle w:val="000000000000" w:firstRow="0" w:lastRow="0" w:firstColumn="0" w:lastColumn="0" w:oddVBand="0" w:evenVBand="0" w:oddHBand="0" w:evenHBand="0" w:firstRowFirstColumn="0" w:firstRowLastColumn="0" w:lastRowFirstColumn="0" w:lastRowLastColumn="0"/>
              <w:rPr>
                <w:rFonts w:cs="Arial"/>
                <w:szCs w:val="24"/>
              </w:rPr>
            </w:pPr>
            <w:r w:rsidRPr="00601AEF">
              <w:rPr>
                <w:rFonts w:cs="Arial"/>
                <w:szCs w:val="24"/>
              </w:rPr>
              <w:t xml:space="preserve">Value </w:t>
            </w:r>
            <w:r w:rsidR="003B64C8" w:rsidRPr="00601AEF">
              <w:rPr>
                <w:rFonts w:cs="Arial"/>
                <w:szCs w:val="24"/>
              </w:rPr>
              <w:t>suppressed for disclosure control due to small count</w:t>
            </w:r>
          </w:p>
        </w:tc>
      </w:tr>
      <w:tr w:rsidR="0095498A" w:rsidRPr="00601AEF" w:rsidTr="00F23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rsidR="0095498A" w:rsidRPr="00601AEF" w:rsidRDefault="0095498A" w:rsidP="00F52FD9">
            <w:pPr>
              <w:contextualSpacing/>
              <w:rPr>
                <w:rFonts w:cs="Arial"/>
                <w:szCs w:val="24"/>
              </w:rPr>
            </w:pPr>
            <w:r w:rsidRPr="00601AEF">
              <w:rPr>
                <w:rFonts w:cs="Arial"/>
                <w:szCs w:val="24"/>
              </w:rPr>
              <w:t>Children with autism known to schools per 1000 population</w:t>
            </w:r>
          </w:p>
        </w:tc>
        <w:tc>
          <w:tcPr>
            <w:tcW w:w="2310" w:type="dxa"/>
          </w:tcPr>
          <w:p w:rsidR="0095498A" w:rsidRPr="00601AEF" w:rsidRDefault="003B64C8" w:rsidP="00F52FD9">
            <w:pPr>
              <w:contextualSpacing/>
              <w:cnfStyle w:val="000000100000" w:firstRow="0" w:lastRow="0" w:firstColumn="0" w:lastColumn="0" w:oddVBand="0" w:evenVBand="0" w:oddHBand="1" w:evenHBand="0" w:firstRowFirstColumn="0" w:firstRowLastColumn="0" w:lastRowFirstColumn="0" w:lastRowLastColumn="0"/>
              <w:rPr>
                <w:rFonts w:cs="Arial"/>
                <w:szCs w:val="24"/>
              </w:rPr>
            </w:pPr>
            <w:r w:rsidRPr="00601AEF">
              <w:rPr>
                <w:rFonts w:cs="Arial"/>
                <w:szCs w:val="24"/>
              </w:rPr>
              <w:t>9.1</w:t>
            </w:r>
          </w:p>
        </w:tc>
        <w:tc>
          <w:tcPr>
            <w:tcW w:w="2311" w:type="dxa"/>
          </w:tcPr>
          <w:p w:rsidR="0095498A" w:rsidRPr="00601AEF" w:rsidRDefault="003B64C8" w:rsidP="00F52FD9">
            <w:pPr>
              <w:contextualSpacing/>
              <w:cnfStyle w:val="000000100000" w:firstRow="0" w:lastRow="0" w:firstColumn="0" w:lastColumn="0" w:oddVBand="0" w:evenVBand="0" w:oddHBand="1" w:evenHBand="0" w:firstRowFirstColumn="0" w:firstRowLastColumn="0" w:lastRowFirstColumn="0" w:lastRowLastColumn="0"/>
              <w:rPr>
                <w:rFonts w:cs="Arial"/>
                <w:szCs w:val="24"/>
              </w:rPr>
            </w:pPr>
            <w:r w:rsidRPr="00601AEF">
              <w:rPr>
                <w:rFonts w:cs="Arial"/>
                <w:szCs w:val="24"/>
              </w:rPr>
              <w:t>10</w:t>
            </w:r>
            <w:r w:rsidR="00E570B0">
              <w:rPr>
                <w:rFonts w:cs="Arial"/>
                <w:szCs w:val="24"/>
              </w:rPr>
              <w:t>.00</w:t>
            </w:r>
          </w:p>
        </w:tc>
        <w:tc>
          <w:tcPr>
            <w:tcW w:w="2311" w:type="dxa"/>
          </w:tcPr>
          <w:p w:rsidR="0095498A" w:rsidRPr="00601AEF" w:rsidRDefault="003B64C8" w:rsidP="00F52FD9">
            <w:pPr>
              <w:contextualSpacing/>
              <w:cnfStyle w:val="000000100000" w:firstRow="0" w:lastRow="0" w:firstColumn="0" w:lastColumn="0" w:oddVBand="0" w:evenVBand="0" w:oddHBand="1" w:evenHBand="0" w:firstRowFirstColumn="0" w:firstRowLastColumn="0" w:lastRowFirstColumn="0" w:lastRowLastColumn="0"/>
              <w:rPr>
                <w:rFonts w:cs="Arial"/>
                <w:szCs w:val="24"/>
              </w:rPr>
            </w:pPr>
            <w:r w:rsidRPr="00601AEF">
              <w:rPr>
                <w:rFonts w:cs="Arial"/>
                <w:szCs w:val="24"/>
              </w:rPr>
              <w:t>18.1</w:t>
            </w:r>
          </w:p>
        </w:tc>
      </w:tr>
    </w:tbl>
    <w:p w:rsidR="00641709" w:rsidRDefault="00B44AF3" w:rsidP="00B44AF3">
      <w:pPr>
        <w:pStyle w:val="Caption"/>
        <w:rPr>
          <w:rFonts w:cs="Arial"/>
          <w:szCs w:val="24"/>
          <w:highlight w:val="yellow"/>
        </w:rPr>
      </w:pPr>
      <w:r>
        <w:t xml:space="preserve">Figure </w:t>
      </w:r>
      <w:r w:rsidR="00156E8B">
        <w:fldChar w:fldCharType="begin"/>
      </w:r>
      <w:r w:rsidR="00156E8B">
        <w:instrText xml:space="preserve"> SEQ Figure \* ARABIC </w:instrText>
      </w:r>
      <w:r w:rsidR="00156E8B">
        <w:fldChar w:fldCharType="separate"/>
      </w:r>
      <w:r w:rsidR="005C553C">
        <w:rPr>
          <w:noProof/>
        </w:rPr>
        <w:t>25</w:t>
      </w:r>
      <w:r w:rsidR="00156E8B">
        <w:rPr>
          <w:noProof/>
        </w:rPr>
        <w:fldChar w:fldCharType="end"/>
      </w:r>
      <w:r>
        <w:t xml:space="preserve"> Children with learning disabilities known to schools</w:t>
      </w:r>
    </w:p>
    <w:p w:rsidR="00601AEF" w:rsidRPr="009D1F46" w:rsidRDefault="002D7DCD" w:rsidP="002D1D93">
      <w:pPr>
        <w:contextualSpacing/>
        <w:rPr>
          <w:rFonts w:cs="Arial"/>
          <w:szCs w:val="24"/>
        </w:rPr>
      </w:pPr>
      <w:r w:rsidRPr="00B44AF3">
        <w:rPr>
          <w:rFonts w:cs="Arial"/>
          <w:szCs w:val="24"/>
        </w:rPr>
        <w:t xml:space="preserve">Figure </w:t>
      </w:r>
      <w:r w:rsidR="00B44AF3">
        <w:rPr>
          <w:rFonts w:cs="Arial"/>
          <w:szCs w:val="24"/>
        </w:rPr>
        <w:t>26</w:t>
      </w:r>
      <w:r w:rsidRPr="009D1F46">
        <w:rPr>
          <w:rFonts w:cs="Arial"/>
          <w:szCs w:val="24"/>
        </w:rPr>
        <w:t xml:space="preserve"> compares Medway with its statistical neighbours:</w:t>
      </w:r>
    </w:p>
    <w:p w:rsidR="00601AEF" w:rsidRDefault="00601AEF" w:rsidP="002D1D93">
      <w:pPr>
        <w:contextualSpacing/>
        <w:rPr>
          <w:rFonts w:cs="Arial"/>
          <w:sz w:val="24"/>
          <w:szCs w:val="24"/>
        </w:rPr>
      </w:pPr>
    </w:p>
    <w:tbl>
      <w:tblPr>
        <w:tblStyle w:val="LightList-Accent1"/>
        <w:tblW w:w="5000" w:type="pct"/>
        <w:tblLook w:val="04A0" w:firstRow="1" w:lastRow="0" w:firstColumn="1" w:lastColumn="0" w:noHBand="0" w:noVBand="1"/>
      </w:tblPr>
      <w:tblGrid>
        <w:gridCol w:w="2123"/>
        <w:gridCol w:w="1779"/>
        <w:gridCol w:w="1779"/>
        <w:gridCol w:w="1779"/>
        <w:gridCol w:w="1782"/>
      </w:tblGrid>
      <w:tr w:rsidR="00641709" w:rsidRPr="00323777" w:rsidTr="00F238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tcPr>
          <w:p w:rsidR="00641709" w:rsidRPr="00323777" w:rsidRDefault="00641709" w:rsidP="00304A9C">
            <w:pPr>
              <w:contextualSpacing/>
              <w:rPr>
                <w:rFonts w:cs="Arial"/>
              </w:rPr>
            </w:pPr>
            <w:r w:rsidRPr="00323777">
              <w:rPr>
                <w:rFonts w:cs="Arial"/>
              </w:rPr>
              <w:t>Rate per 1000 pupils</w:t>
            </w:r>
          </w:p>
        </w:tc>
      </w:tr>
      <w:tr w:rsidR="00601AEF" w:rsidRPr="006B4E6B" w:rsidTr="00F23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 w:type="pct"/>
          </w:tcPr>
          <w:p w:rsidR="00601AEF" w:rsidRPr="00F238A7" w:rsidRDefault="00304A9C" w:rsidP="00304A9C">
            <w:pPr>
              <w:contextualSpacing/>
              <w:rPr>
                <w:rFonts w:cs="Arial"/>
              </w:rPr>
            </w:pPr>
            <w:r w:rsidRPr="00F238A7">
              <w:rPr>
                <w:rFonts w:cs="Arial"/>
              </w:rPr>
              <w:t>Statistical neighbour</w:t>
            </w:r>
          </w:p>
        </w:tc>
        <w:tc>
          <w:tcPr>
            <w:tcW w:w="984" w:type="pct"/>
          </w:tcPr>
          <w:p w:rsidR="00601AEF" w:rsidRPr="006B4E6B" w:rsidRDefault="00601AEF" w:rsidP="00304A9C">
            <w:pPr>
              <w:contextualSpacing/>
              <w:cnfStyle w:val="000000100000" w:firstRow="0" w:lastRow="0" w:firstColumn="0" w:lastColumn="0" w:oddVBand="0" w:evenVBand="0" w:oddHBand="1" w:evenHBand="0" w:firstRowFirstColumn="0" w:firstRowLastColumn="0" w:lastRowFirstColumn="0" w:lastRowLastColumn="0"/>
              <w:rPr>
                <w:rFonts w:cs="Arial"/>
              </w:rPr>
            </w:pPr>
            <w:r w:rsidRPr="006B4E6B">
              <w:rPr>
                <w:rFonts w:cs="Arial"/>
              </w:rPr>
              <w:t>Children with moderate learning difficulties known to schools per 1000 population</w:t>
            </w:r>
          </w:p>
        </w:tc>
        <w:tc>
          <w:tcPr>
            <w:tcW w:w="984" w:type="pct"/>
          </w:tcPr>
          <w:p w:rsidR="00601AEF" w:rsidRPr="006B4E6B" w:rsidRDefault="00601AEF" w:rsidP="00304A9C">
            <w:pPr>
              <w:contextualSpacing/>
              <w:cnfStyle w:val="000000100000" w:firstRow="0" w:lastRow="0" w:firstColumn="0" w:lastColumn="0" w:oddVBand="0" w:evenVBand="0" w:oddHBand="1" w:evenHBand="0" w:firstRowFirstColumn="0" w:firstRowLastColumn="0" w:lastRowFirstColumn="0" w:lastRowLastColumn="0"/>
              <w:rPr>
                <w:rFonts w:cs="Arial"/>
              </w:rPr>
            </w:pPr>
            <w:r w:rsidRPr="006B4E6B">
              <w:rPr>
                <w:rFonts w:cs="Arial"/>
              </w:rPr>
              <w:t>Children with severe learning difficulties known to schools per 1000 population</w:t>
            </w:r>
          </w:p>
        </w:tc>
        <w:tc>
          <w:tcPr>
            <w:tcW w:w="984" w:type="pct"/>
          </w:tcPr>
          <w:p w:rsidR="00601AEF" w:rsidRPr="006B4E6B" w:rsidRDefault="00601AEF" w:rsidP="00304A9C">
            <w:pPr>
              <w:contextualSpacing/>
              <w:cnfStyle w:val="000000100000" w:firstRow="0" w:lastRow="0" w:firstColumn="0" w:lastColumn="0" w:oddVBand="0" w:evenVBand="0" w:oddHBand="1" w:evenHBand="0" w:firstRowFirstColumn="0" w:firstRowLastColumn="0" w:lastRowFirstColumn="0" w:lastRowLastColumn="0"/>
              <w:rPr>
                <w:rFonts w:cs="Arial"/>
              </w:rPr>
            </w:pPr>
            <w:r w:rsidRPr="006B4E6B">
              <w:rPr>
                <w:rFonts w:cs="Arial"/>
              </w:rPr>
              <w:t>Children with profound and multiple learning difficulties known to schools per 1000 population</w:t>
            </w:r>
          </w:p>
        </w:tc>
        <w:tc>
          <w:tcPr>
            <w:tcW w:w="985" w:type="pct"/>
          </w:tcPr>
          <w:p w:rsidR="00601AEF" w:rsidRPr="006B4E6B" w:rsidRDefault="00601AEF" w:rsidP="00304A9C">
            <w:pPr>
              <w:contextualSpacing/>
              <w:cnfStyle w:val="000000100000" w:firstRow="0" w:lastRow="0" w:firstColumn="0" w:lastColumn="0" w:oddVBand="0" w:evenVBand="0" w:oddHBand="1" w:evenHBand="0" w:firstRowFirstColumn="0" w:firstRowLastColumn="0" w:lastRowFirstColumn="0" w:lastRowLastColumn="0"/>
              <w:rPr>
                <w:rFonts w:cs="Arial"/>
              </w:rPr>
            </w:pPr>
            <w:r w:rsidRPr="006B4E6B">
              <w:rPr>
                <w:rFonts w:cs="Arial"/>
              </w:rPr>
              <w:t>Children with autism known to schools per 1000 population</w:t>
            </w:r>
          </w:p>
        </w:tc>
      </w:tr>
      <w:tr w:rsidR="00304A9C" w:rsidRPr="006B4E6B" w:rsidTr="00F238A7">
        <w:tc>
          <w:tcPr>
            <w:cnfStyle w:val="001000000000" w:firstRow="0" w:lastRow="0" w:firstColumn="1" w:lastColumn="0" w:oddVBand="0" w:evenVBand="0" w:oddHBand="0" w:evenHBand="0" w:firstRowFirstColumn="0" w:firstRowLastColumn="0" w:lastRowFirstColumn="0" w:lastRowLastColumn="0"/>
            <w:tcW w:w="1063" w:type="pct"/>
          </w:tcPr>
          <w:p w:rsidR="00304A9C" w:rsidRPr="006B4E6B" w:rsidRDefault="00304A9C" w:rsidP="00304A9C">
            <w:pPr>
              <w:contextualSpacing/>
              <w:rPr>
                <w:rFonts w:cs="Arial"/>
              </w:rPr>
            </w:pPr>
            <w:r w:rsidRPr="006B4E6B">
              <w:rPr>
                <w:rFonts w:cs="Arial"/>
              </w:rPr>
              <w:t xml:space="preserve">Dudley </w:t>
            </w:r>
          </w:p>
        </w:tc>
        <w:tc>
          <w:tcPr>
            <w:tcW w:w="984" w:type="pct"/>
          </w:tcPr>
          <w:p w:rsidR="00304A9C" w:rsidRPr="006B4E6B" w:rsidRDefault="00304A9C" w:rsidP="00304A9C">
            <w:pPr>
              <w:contextualSpacing/>
              <w:cnfStyle w:val="000000000000" w:firstRow="0" w:lastRow="0" w:firstColumn="0" w:lastColumn="0" w:oddVBand="0" w:evenVBand="0" w:oddHBand="0" w:evenHBand="0" w:firstRowFirstColumn="0" w:firstRowLastColumn="0" w:lastRowFirstColumn="0" w:lastRowLastColumn="0"/>
              <w:rPr>
                <w:rFonts w:cs="Arial"/>
              </w:rPr>
            </w:pPr>
            <w:r w:rsidRPr="006B4E6B">
              <w:rPr>
                <w:rFonts w:cs="Arial"/>
              </w:rPr>
              <w:t>31.1</w:t>
            </w:r>
          </w:p>
        </w:tc>
        <w:tc>
          <w:tcPr>
            <w:tcW w:w="984" w:type="pct"/>
          </w:tcPr>
          <w:p w:rsidR="00304A9C" w:rsidRPr="006B4E6B" w:rsidRDefault="00304A9C" w:rsidP="00304A9C">
            <w:pPr>
              <w:contextualSpacing/>
              <w:cnfStyle w:val="000000000000" w:firstRow="0" w:lastRow="0" w:firstColumn="0" w:lastColumn="0" w:oddVBand="0" w:evenVBand="0" w:oddHBand="0" w:evenHBand="0" w:firstRowFirstColumn="0" w:firstRowLastColumn="0" w:lastRowFirstColumn="0" w:lastRowLastColumn="0"/>
              <w:rPr>
                <w:rFonts w:cs="Arial"/>
              </w:rPr>
            </w:pPr>
            <w:r w:rsidRPr="006B4E6B">
              <w:rPr>
                <w:rFonts w:cs="Arial"/>
              </w:rPr>
              <w:t>Value suppressed</w:t>
            </w:r>
          </w:p>
        </w:tc>
        <w:tc>
          <w:tcPr>
            <w:tcW w:w="984" w:type="pct"/>
          </w:tcPr>
          <w:p w:rsidR="00304A9C" w:rsidRPr="006B4E6B" w:rsidRDefault="00304A9C" w:rsidP="00304A9C">
            <w:pPr>
              <w:contextualSpacing/>
              <w:cnfStyle w:val="000000000000" w:firstRow="0" w:lastRow="0" w:firstColumn="0" w:lastColumn="0" w:oddVBand="0" w:evenVBand="0" w:oddHBand="0" w:evenHBand="0" w:firstRowFirstColumn="0" w:firstRowLastColumn="0" w:lastRowFirstColumn="0" w:lastRowLastColumn="0"/>
              <w:rPr>
                <w:rFonts w:cs="Arial"/>
              </w:rPr>
            </w:pPr>
            <w:r w:rsidRPr="006B4E6B">
              <w:rPr>
                <w:rFonts w:cs="Arial"/>
              </w:rPr>
              <w:t>0.79</w:t>
            </w:r>
          </w:p>
        </w:tc>
        <w:tc>
          <w:tcPr>
            <w:tcW w:w="985" w:type="pct"/>
          </w:tcPr>
          <w:p w:rsidR="00304A9C" w:rsidRPr="006B4E6B" w:rsidRDefault="00304A9C" w:rsidP="00304A9C">
            <w:pPr>
              <w:contextualSpacing/>
              <w:cnfStyle w:val="000000000000" w:firstRow="0" w:lastRow="0" w:firstColumn="0" w:lastColumn="0" w:oddVBand="0" w:evenVBand="0" w:oddHBand="0" w:evenHBand="0" w:firstRowFirstColumn="0" w:firstRowLastColumn="0" w:lastRowFirstColumn="0" w:lastRowLastColumn="0"/>
              <w:rPr>
                <w:rFonts w:cs="Arial"/>
              </w:rPr>
            </w:pPr>
            <w:r w:rsidRPr="006B4E6B">
              <w:rPr>
                <w:rFonts w:cs="Arial"/>
              </w:rPr>
              <w:t>8.3</w:t>
            </w:r>
          </w:p>
        </w:tc>
      </w:tr>
      <w:tr w:rsidR="00304A9C" w:rsidRPr="006B4E6B" w:rsidTr="00F23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 w:type="pct"/>
          </w:tcPr>
          <w:p w:rsidR="00304A9C" w:rsidRPr="006B4E6B" w:rsidRDefault="00304A9C" w:rsidP="00304A9C">
            <w:pPr>
              <w:contextualSpacing/>
              <w:rPr>
                <w:rFonts w:cs="Arial"/>
              </w:rPr>
            </w:pPr>
            <w:r w:rsidRPr="006B4E6B">
              <w:rPr>
                <w:rFonts w:cs="Arial"/>
              </w:rPr>
              <w:t>Havering</w:t>
            </w:r>
          </w:p>
        </w:tc>
        <w:tc>
          <w:tcPr>
            <w:tcW w:w="984" w:type="pct"/>
          </w:tcPr>
          <w:p w:rsidR="00304A9C" w:rsidRPr="006B4E6B" w:rsidRDefault="00304A9C" w:rsidP="00304A9C">
            <w:pPr>
              <w:contextualSpacing/>
              <w:cnfStyle w:val="000000100000" w:firstRow="0" w:lastRow="0" w:firstColumn="0" w:lastColumn="0" w:oddVBand="0" w:evenVBand="0" w:oddHBand="1" w:evenHBand="0" w:firstRowFirstColumn="0" w:firstRowLastColumn="0" w:lastRowFirstColumn="0" w:lastRowLastColumn="0"/>
              <w:rPr>
                <w:rFonts w:cs="Arial"/>
              </w:rPr>
            </w:pPr>
            <w:r w:rsidRPr="006B4E6B">
              <w:rPr>
                <w:rFonts w:cs="Arial"/>
              </w:rPr>
              <w:t>14.7</w:t>
            </w:r>
          </w:p>
        </w:tc>
        <w:tc>
          <w:tcPr>
            <w:tcW w:w="984" w:type="pct"/>
          </w:tcPr>
          <w:p w:rsidR="00304A9C" w:rsidRPr="006B4E6B" w:rsidRDefault="00304A9C" w:rsidP="00304A9C">
            <w:pPr>
              <w:contextualSpacing/>
              <w:cnfStyle w:val="000000100000" w:firstRow="0" w:lastRow="0" w:firstColumn="0" w:lastColumn="0" w:oddVBand="0" w:evenVBand="0" w:oddHBand="1" w:evenHBand="0" w:firstRowFirstColumn="0" w:firstRowLastColumn="0" w:lastRowFirstColumn="0" w:lastRowLastColumn="0"/>
              <w:rPr>
                <w:rFonts w:cs="Arial"/>
              </w:rPr>
            </w:pPr>
            <w:r w:rsidRPr="006B4E6B">
              <w:rPr>
                <w:rFonts w:cs="Arial"/>
              </w:rPr>
              <w:t>3.56</w:t>
            </w:r>
          </w:p>
        </w:tc>
        <w:tc>
          <w:tcPr>
            <w:tcW w:w="984" w:type="pct"/>
          </w:tcPr>
          <w:p w:rsidR="00304A9C" w:rsidRPr="006B4E6B" w:rsidRDefault="00304A9C" w:rsidP="00304A9C">
            <w:pPr>
              <w:contextualSpacing/>
              <w:cnfStyle w:val="000000100000" w:firstRow="0" w:lastRow="0" w:firstColumn="0" w:lastColumn="0" w:oddVBand="0" w:evenVBand="0" w:oddHBand="1" w:evenHBand="0" w:firstRowFirstColumn="0" w:firstRowLastColumn="0" w:lastRowFirstColumn="0" w:lastRowLastColumn="0"/>
              <w:rPr>
                <w:rFonts w:cs="Arial"/>
              </w:rPr>
            </w:pPr>
            <w:r w:rsidRPr="006B4E6B">
              <w:rPr>
                <w:rFonts w:cs="Arial"/>
              </w:rPr>
              <w:t>Value suppressed</w:t>
            </w:r>
          </w:p>
        </w:tc>
        <w:tc>
          <w:tcPr>
            <w:tcW w:w="985" w:type="pct"/>
          </w:tcPr>
          <w:p w:rsidR="00304A9C" w:rsidRPr="006B4E6B" w:rsidRDefault="00304A9C" w:rsidP="00304A9C">
            <w:pPr>
              <w:contextualSpacing/>
              <w:cnfStyle w:val="000000100000" w:firstRow="0" w:lastRow="0" w:firstColumn="0" w:lastColumn="0" w:oddVBand="0" w:evenVBand="0" w:oddHBand="1" w:evenHBand="0" w:firstRowFirstColumn="0" w:firstRowLastColumn="0" w:lastRowFirstColumn="0" w:lastRowLastColumn="0"/>
              <w:rPr>
                <w:rFonts w:cs="Arial"/>
              </w:rPr>
            </w:pPr>
            <w:r w:rsidRPr="006B4E6B">
              <w:rPr>
                <w:rFonts w:cs="Arial"/>
              </w:rPr>
              <w:t>6.3</w:t>
            </w:r>
          </w:p>
        </w:tc>
      </w:tr>
      <w:tr w:rsidR="005F62D1" w:rsidRPr="005F62D1" w:rsidTr="005F62D1">
        <w:tc>
          <w:tcPr>
            <w:cnfStyle w:val="001000000000" w:firstRow="0" w:lastRow="0" w:firstColumn="1" w:lastColumn="0" w:oddVBand="0" w:evenVBand="0" w:oddHBand="0" w:evenHBand="0" w:firstRowFirstColumn="0" w:firstRowLastColumn="0" w:lastRowFirstColumn="0" w:lastRowLastColumn="0"/>
            <w:tcW w:w="1063" w:type="pct"/>
            <w:shd w:val="clear" w:color="auto" w:fill="4F81BD"/>
          </w:tcPr>
          <w:p w:rsidR="00304A9C" w:rsidRPr="005F62D1" w:rsidRDefault="00304A9C" w:rsidP="00304A9C">
            <w:pPr>
              <w:contextualSpacing/>
              <w:rPr>
                <w:rFonts w:cs="Arial"/>
                <w:color w:val="FFFFFF" w:themeColor="background1"/>
              </w:rPr>
            </w:pPr>
            <w:r w:rsidRPr="005F62D1">
              <w:rPr>
                <w:rFonts w:cs="Arial"/>
                <w:color w:val="FFFFFF" w:themeColor="background1"/>
              </w:rPr>
              <w:t>Medway</w:t>
            </w:r>
          </w:p>
        </w:tc>
        <w:tc>
          <w:tcPr>
            <w:tcW w:w="984" w:type="pct"/>
            <w:shd w:val="clear" w:color="auto" w:fill="4F81BD"/>
          </w:tcPr>
          <w:p w:rsidR="00304A9C" w:rsidRPr="005F62D1" w:rsidRDefault="00304A9C" w:rsidP="00304A9C">
            <w:pPr>
              <w:contextualSpacing/>
              <w:cnfStyle w:val="000000000000" w:firstRow="0" w:lastRow="0" w:firstColumn="0" w:lastColumn="0" w:oddVBand="0" w:evenVBand="0" w:oddHBand="0" w:evenHBand="0" w:firstRowFirstColumn="0" w:firstRowLastColumn="0" w:lastRowFirstColumn="0" w:lastRowLastColumn="0"/>
              <w:rPr>
                <w:rFonts w:cs="Arial"/>
                <w:color w:val="FFFFFF" w:themeColor="background1"/>
              </w:rPr>
            </w:pPr>
            <w:r w:rsidRPr="005F62D1">
              <w:rPr>
                <w:rFonts w:cs="Arial"/>
                <w:color w:val="FFFFFF" w:themeColor="background1"/>
              </w:rPr>
              <w:t>14.9</w:t>
            </w:r>
          </w:p>
        </w:tc>
        <w:tc>
          <w:tcPr>
            <w:tcW w:w="984" w:type="pct"/>
            <w:shd w:val="clear" w:color="auto" w:fill="4F81BD"/>
          </w:tcPr>
          <w:p w:rsidR="00304A9C" w:rsidRPr="005F62D1" w:rsidRDefault="00304A9C" w:rsidP="00304A9C">
            <w:pPr>
              <w:contextualSpacing/>
              <w:cnfStyle w:val="000000000000" w:firstRow="0" w:lastRow="0" w:firstColumn="0" w:lastColumn="0" w:oddVBand="0" w:evenVBand="0" w:oddHBand="0" w:evenHBand="0" w:firstRowFirstColumn="0" w:firstRowLastColumn="0" w:lastRowFirstColumn="0" w:lastRowLastColumn="0"/>
              <w:rPr>
                <w:rFonts w:cs="Arial"/>
                <w:color w:val="FFFFFF" w:themeColor="background1"/>
              </w:rPr>
            </w:pPr>
            <w:r w:rsidRPr="005F62D1">
              <w:rPr>
                <w:rFonts w:cs="Arial"/>
                <w:color w:val="FFFFFF" w:themeColor="background1"/>
              </w:rPr>
              <w:t>2.80</w:t>
            </w:r>
          </w:p>
        </w:tc>
        <w:tc>
          <w:tcPr>
            <w:tcW w:w="984" w:type="pct"/>
            <w:shd w:val="clear" w:color="auto" w:fill="4F81BD"/>
          </w:tcPr>
          <w:p w:rsidR="00304A9C" w:rsidRPr="005F62D1" w:rsidRDefault="00304A9C" w:rsidP="00304A9C">
            <w:pPr>
              <w:contextualSpacing/>
              <w:cnfStyle w:val="000000000000" w:firstRow="0" w:lastRow="0" w:firstColumn="0" w:lastColumn="0" w:oddVBand="0" w:evenVBand="0" w:oddHBand="0" w:evenHBand="0" w:firstRowFirstColumn="0" w:firstRowLastColumn="0" w:lastRowFirstColumn="0" w:lastRowLastColumn="0"/>
              <w:rPr>
                <w:rFonts w:cs="Arial"/>
                <w:color w:val="FFFFFF" w:themeColor="background1"/>
              </w:rPr>
            </w:pPr>
            <w:r w:rsidRPr="005F62D1">
              <w:rPr>
                <w:rFonts w:cs="Arial"/>
                <w:color w:val="FFFFFF" w:themeColor="background1"/>
              </w:rPr>
              <w:t>Value suppressed</w:t>
            </w:r>
          </w:p>
        </w:tc>
        <w:tc>
          <w:tcPr>
            <w:tcW w:w="985" w:type="pct"/>
            <w:shd w:val="clear" w:color="auto" w:fill="4F81BD"/>
          </w:tcPr>
          <w:p w:rsidR="00304A9C" w:rsidRPr="005F62D1" w:rsidRDefault="00304A9C" w:rsidP="00304A9C">
            <w:pPr>
              <w:contextualSpacing/>
              <w:cnfStyle w:val="000000000000" w:firstRow="0" w:lastRow="0" w:firstColumn="0" w:lastColumn="0" w:oddVBand="0" w:evenVBand="0" w:oddHBand="0" w:evenHBand="0" w:firstRowFirstColumn="0" w:firstRowLastColumn="0" w:lastRowFirstColumn="0" w:lastRowLastColumn="0"/>
              <w:rPr>
                <w:rFonts w:cs="Arial"/>
                <w:color w:val="FFFFFF" w:themeColor="background1"/>
              </w:rPr>
            </w:pPr>
            <w:r w:rsidRPr="005F62D1">
              <w:rPr>
                <w:rFonts w:cs="Arial"/>
                <w:color w:val="FFFFFF" w:themeColor="background1"/>
              </w:rPr>
              <w:t>18.1</w:t>
            </w:r>
          </w:p>
        </w:tc>
      </w:tr>
      <w:tr w:rsidR="00304A9C" w:rsidRPr="006B4E6B" w:rsidTr="00F23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 w:type="pct"/>
          </w:tcPr>
          <w:p w:rsidR="00304A9C" w:rsidRPr="006B4E6B" w:rsidRDefault="00304A9C" w:rsidP="00304A9C">
            <w:pPr>
              <w:contextualSpacing/>
              <w:rPr>
                <w:rFonts w:cs="Arial"/>
              </w:rPr>
            </w:pPr>
            <w:r w:rsidRPr="006B4E6B">
              <w:rPr>
                <w:rFonts w:cs="Arial"/>
              </w:rPr>
              <w:t>Northamptonshire</w:t>
            </w:r>
          </w:p>
        </w:tc>
        <w:tc>
          <w:tcPr>
            <w:tcW w:w="984" w:type="pct"/>
          </w:tcPr>
          <w:p w:rsidR="00304A9C" w:rsidRPr="006B4E6B" w:rsidRDefault="00304A9C" w:rsidP="00304A9C">
            <w:pPr>
              <w:contextualSpacing/>
              <w:cnfStyle w:val="000000100000" w:firstRow="0" w:lastRow="0" w:firstColumn="0" w:lastColumn="0" w:oddVBand="0" w:evenVBand="0" w:oddHBand="1" w:evenHBand="0" w:firstRowFirstColumn="0" w:firstRowLastColumn="0" w:lastRowFirstColumn="0" w:lastRowLastColumn="0"/>
              <w:rPr>
                <w:rFonts w:cs="Arial"/>
              </w:rPr>
            </w:pPr>
            <w:r w:rsidRPr="006B4E6B">
              <w:rPr>
                <w:rFonts w:cs="Arial"/>
              </w:rPr>
              <w:t>12.3</w:t>
            </w:r>
          </w:p>
        </w:tc>
        <w:tc>
          <w:tcPr>
            <w:tcW w:w="984" w:type="pct"/>
          </w:tcPr>
          <w:p w:rsidR="00304A9C" w:rsidRPr="006B4E6B" w:rsidRDefault="00304A9C" w:rsidP="00304A9C">
            <w:pPr>
              <w:contextualSpacing/>
              <w:cnfStyle w:val="000000100000" w:firstRow="0" w:lastRow="0" w:firstColumn="0" w:lastColumn="0" w:oddVBand="0" w:evenVBand="0" w:oddHBand="1" w:evenHBand="0" w:firstRowFirstColumn="0" w:firstRowLastColumn="0" w:lastRowFirstColumn="0" w:lastRowLastColumn="0"/>
              <w:rPr>
                <w:rFonts w:cs="Arial"/>
              </w:rPr>
            </w:pPr>
            <w:r w:rsidRPr="006B4E6B">
              <w:rPr>
                <w:rFonts w:cs="Arial"/>
              </w:rPr>
              <w:t>3.71</w:t>
            </w:r>
          </w:p>
        </w:tc>
        <w:tc>
          <w:tcPr>
            <w:tcW w:w="984" w:type="pct"/>
          </w:tcPr>
          <w:p w:rsidR="00304A9C" w:rsidRPr="006B4E6B" w:rsidRDefault="00304A9C" w:rsidP="00304A9C">
            <w:pPr>
              <w:contextualSpacing/>
              <w:cnfStyle w:val="000000100000" w:firstRow="0" w:lastRow="0" w:firstColumn="0" w:lastColumn="0" w:oddVBand="0" w:evenVBand="0" w:oddHBand="1" w:evenHBand="0" w:firstRowFirstColumn="0" w:firstRowLastColumn="0" w:lastRowFirstColumn="0" w:lastRowLastColumn="0"/>
              <w:rPr>
                <w:rFonts w:cs="Arial"/>
              </w:rPr>
            </w:pPr>
            <w:r w:rsidRPr="006B4E6B">
              <w:rPr>
                <w:rFonts w:cs="Arial"/>
              </w:rPr>
              <w:t>Value suppressed</w:t>
            </w:r>
          </w:p>
        </w:tc>
        <w:tc>
          <w:tcPr>
            <w:tcW w:w="985" w:type="pct"/>
          </w:tcPr>
          <w:p w:rsidR="00304A9C" w:rsidRPr="006B4E6B" w:rsidRDefault="00304A9C" w:rsidP="00304A9C">
            <w:pPr>
              <w:contextualSpacing/>
              <w:cnfStyle w:val="000000100000" w:firstRow="0" w:lastRow="0" w:firstColumn="0" w:lastColumn="0" w:oddVBand="0" w:evenVBand="0" w:oddHBand="1" w:evenHBand="0" w:firstRowFirstColumn="0" w:firstRowLastColumn="0" w:lastRowFirstColumn="0" w:lastRowLastColumn="0"/>
              <w:rPr>
                <w:rFonts w:cs="Arial"/>
              </w:rPr>
            </w:pPr>
            <w:r w:rsidRPr="006B4E6B">
              <w:rPr>
                <w:rFonts w:cs="Arial"/>
              </w:rPr>
              <w:t>9.2</w:t>
            </w:r>
          </w:p>
        </w:tc>
      </w:tr>
      <w:tr w:rsidR="00304A9C" w:rsidRPr="006B4E6B" w:rsidTr="00F238A7">
        <w:tc>
          <w:tcPr>
            <w:cnfStyle w:val="001000000000" w:firstRow="0" w:lastRow="0" w:firstColumn="1" w:lastColumn="0" w:oddVBand="0" w:evenVBand="0" w:oddHBand="0" w:evenHBand="0" w:firstRowFirstColumn="0" w:firstRowLastColumn="0" w:lastRowFirstColumn="0" w:lastRowLastColumn="0"/>
            <w:tcW w:w="1063" w:type="pct"/>
          </w:tcPr>
          <w:p w:rsidR="00304A9C" w:rsidRPr="006B4E6B" w:rsidRDefault="00304A9C" w:rsidP="00304A9C">
            <w:pPr>
              <w:contextualSpacing/>
              <w:rPr>
                <w:rFonts w:cs="Arial"/>
              </w:rPr>
            </w:pPr>
            <w:r w:rsidRPr="006B4E6B">
              <w:rPr>
                <w:rFonts w:cs="Arial"/>
              </w:rPr>
              <w:t>Rotherham</w:t>
            </w:r>
          </w:p>
        </w:tc>
        <w:tc>
          <w:tcPr>
            <w:tcW w:w="984" w:type="pct"/>
          </w:tcPr>
          <w:p w:rsidR="00304A9C" w:rsidRPr="006B4E6B" w:rsidRDefault="00304A9C" w:rsidP="00304A9C">
            <w:pPr>
              <w:contextualSpacing/>
              <w:cnfStyle w:val="000000000000" w:firstRow="0" w:lastRow="0" w:firstColumn="0" w:lastColumn="0" w:oddVBand="0" w:evenVBand="0" w:oddHBand="0" w:evenHBand="0" w:firstRowFirstColumn="0" w:firstRowLastColumn="0" w:lastRowFirstColumn="0" w:lastRowLastColumn="0"/>
              <w:rPr>
                <w:rFonts w:cs="Arial"/>
              </w:rPr>
            </w:pPr>
            <w:r w:rsidRPr="006B4E6B">
              <w:rPr>
                <w:rFonts w:cs="Arial"/>
              </w:rPr>
              <w:t>14.7</w:t>
            </w:r>
          </w:p>
        </w:tc>
        <w:tc>
          <w:tcPr>
            <w:tcW w:w="984" w:type="pct"/>
          </w:tcPr>
          <w:p w:rsidR="00304A9C" w:rsidRPr="006B4E6B" w:rsidRDefault="00304A9C" w:rsidP="00304A9C">
            <w:pPr>
              <w:contextualSpacing/>
              <w:cnfStyle w:val="000000000000" w:firstRow="0" w:lastRow="0" w:firstColumn="0" w:lastColumn="0" w:oddVBand="0" w:evenVBand="0" w:oddHBand="0" w:evenHBand="0" w:firstRowFirstColumn="0" w:firstRowLastColumn="0" w:lastRowFirstColumn="0" w:lastRowLastColumn="0"/>
              <w:rPr>
                <w:rFonts w:cs="Arial"/>
              </w:rPr>
            </w:pPr>
            <w:r w:rsidRPr="006B4E6B">
              <w:rPr>
                <w:rFonts w:cs="Arial"/>
              </w:rPr>
              <w:t>3.07</w:t>
            </w:r>
          </w:p>
        </w:tc>
        <w:tc>
          <w:tcPr>
            <w:tcW w:w="984" w:type="pct"/>
          </w:tcPr>
          <w:p w:rsidR="00304A9C" w:rsidRPr="006B4E6B" w:rsidRDefault="00304A9C" w:rsidP="00304A9C">
            <w:pPr>
              <w:contextualSpacing/>
              <w:cnfStyle w:val="000000000000" w:firstRow="0" w:lastRow="0" w:firstColumn="0" w:lastColumn="0" w:oddVBand="0" w:evenVBand="0" w:oddHBand="0" w:evenHBand="0" w:firstRowFirstColumn="0" w:firstRowLastColumn="0" w:lastRowFirstColumn="0" w:lastRowLastColumn="0"/>
              <w:rPr>
                <w:rFonts w:cs="Arial"/>
              </w:rPr>
            </w:pPr>
            <w:r w:rsidRPr="006B4E6B">
              <w:rPr>
                <w:rFonts w:cs="Arial"/>
              </w:rPr>
              <w:t>1.37</w:t>
            </w:r>
          </w:p>
        </w:tc>
        <w:tc>
          <w:tcPr>
            <w:tcW w:w="985" w:type="pct"/>
          </w:tcPr>
          <w:p w:rsidR="00304A9C" w:rsidRPr="006B4E6B" w:rsidRDefault="00304A9C" w:rsidP="00304A9C">
            <w:pPr>
              <w:contextualSpacing/>
              <w:cnfStyle w:val="000000000000" w:firstRow="0" w:lastRow="0" w:firstColumn="0" w:lastColumn="0" w:oddVBand="0" w:evenVBand="0" w:oddHBand="0" w:evenHBand="0" w:firstRowFirstColumn="0" w:firstRowLastColumn="0" w:lastRowFirstColumn="0" w:lastRowLastColumn="0"/>
              <w:rPr>
                <w:rFonts w:cs="Arial"/>
              </w:rPr>
            </w:pPr>
            <w:r w:rsidRPr="006B4E6B">
              <w:rPr>
                <w:rFonts w:cs="Arial"/>
              </w:rPr>
              <w:t>17.8</w:t>
            </w:r>
          </w:p>
        </w:tc>
      </w:tr>
      <w:tr w:rsidR="00304A9C" w:rsidRPr="006B4E6B" w:rsidTr="00F23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 w:type="pct"/>
          </w:tcPr>
          <w:p w:rsidR="00304A9C" w:rsidRPr="006B4E6B" w:rsidRDefault="00304A9C" w:rsidP="00304A9C">
            <w:pPr>
              <w:contextualSpacing/>
              <w:rPr>
                <w:rFonts w:cs="Arial"/>
              </w:rPr>
            </w:pPr>
            <w:r w:rsidRPr="006B4E6B">
              <w:rPr>
                <w:rFonts w:cs="Arial"/>
              </w:rPr>
              <w:t>Southend on Sea</w:t>
            </w:r>
          </w:p>
        </w:tc>
        <w:tc>
          <w:tcPr>
            <w:tcW w:w="984" w:type="pct"/>
          </w:tcPr>
          <w:p w:rsidR="00304A9C" w:rsidRPr="006B4E6B" w:rsidRDefault="00304A9C" w:rsidP="00304A9C">
            <w:pPr>
              <w:contextualSpacing/>
              <w:cnfStyle w:val="000000100000" w:firstRow="0" w:lastRow="0" w:firstColumn="0" w:lastColumn="0" w:oddVBand="0" w:evenVBand="0" w:oddHBand="1" w:evenHBand="0" w:firstRowFirstColumn="0" w:firstRowLastColumn="0" w:lastRowFirstColumn="0" w:lastRowLastColumn="0"/>
              <w:rPr>
                <w:rFonts w:cs="Arial"/>
              </w:rPr>
            </w:pPr>
            <w:r w:rsidRPr="006B4E6B">
              <w:rPr>
                <w:rFonts w:cs="Arial"/>
              </w:rPr>
              <w:t>26.2</w:t>
            </w:r>
          </w:p>
        </w:tc>
        <w:tc>
          <w:tcPr>
            <w:tcW w:w="984" w:type="pct"/>
          </w:tcPr>
          <w:p w:rsidR="00304A9C" w:rsidRPr="006B4E6B" w:rsidRDefault="00304A9C" w:rsidP="00304A9C">
            <w:pPr>
              <w:contextualSpacing/>
              <w:cnfStyle w:val="000000100000" w:firstRow="0" w:lastRow="0" w:firstColumn="0" w:lastColumn="0" w:oddVBand="0" w:evenVBand="0" w:oddHBand="1" w:evenHBand="0" w:firstRowFirstColumn="0" w:firstRowLastColumn="0" w:lastRowFirstColumn="0" w:lastRowLastColumn="0"/>
              <w:rPr>
                <w:rFonts w:cs="Arial"/>
              </w:rPr>
            </w:pPr>
            <w:r w:rsidRPr="006B4E6B">
              <w:rPr>
                <w:rFonts w:cs="Arial"/>
              </w:rPr>
              <w:t>4.92</w:t>
            </w:r>
          </w:p>
        </w:tc>
        <w:tc>
          <w:tcPr>
            <w:tcW w:w="984" w:type="pct"/>
          </w:tcPr>
          <w:p w:rsidR="00304A9C" w:rsidRPr="006B4E6B" w:rsidRDefault="00304A9C" w:rsidP="00304A9C">
            <w:pPr>
              <w:contextualSpacing/>
              <w:cnfStyle w:val="000000100000" w:firstRow="0" w:lastRow="0" w:firstColumn="0" w:lastColumn="0" w:oddVBand="0" w:evenVBand="0" w:oddHBand="1" w:evenHBand="0" w:firstRowFirstColumn="0" w:firstRowLastColumn="0" w:lastRowFirstColumn="0" w:lastRowLastColumn="0"/>
              <w:rPr>
                <w:rFonts w:cs="Arial"/>
              </w:rPr>
            </w:pPr>
            <w:r w:rsidRPr="006B4E6B">
              <w:rPr>
                <w:rFonts w:cs="Arial"/>
              </w:rPr>
              <w:t>1.46</w:t>
            </w:r>
          </w:p>
        </w:tc>
        <w:tc>
          <w:tcPr>
            <w:tcW w:w="985" w:type="pct"/>
          </w:tcPr>
          <w:p w:rsidR="00304A9C" w:rsidRPr="006B4E6B" w:rsidRDefault="00304A9C" w:rsidP="00304A9C">
            <w:pPr>
              <w:contextualSpacing/>
              <w:cnfStyle w:val="000000100000" w:firstRow="0" w:lastRow="0" w:firstColumn="0" w:lastColumn="0" w:oddVBand="0" w:evenVBand="0" w:oddHBand="1" w:evenHBand="0" w:firstRowFirstColumn="0" w:firstRowLastColumn="0" w:lastRowFirstColumn="0" w:lastRowLastColumn="0"/>
              <w:rPr>
                <w:rFonts w:cs="Arial"/>
              </w:rPr>
            </w:pPr>
            <w:r w:rsidRPr="006B4E6B">
              <w:rPr>
                <w:rFonts w:cs="Arial"/>
              </w:rPr>
              <w:t>8.00</w:t>
            </w:r>
          </w:p>
        </w:tc>
      </w:tr>
      <w:tr w:rsidR="00304A9C" w:rsidRPr="006B4E6B" w:rsidTr="00F238A7">
        <w:tc>
          <w:tcPr>
            <w:cnfStyle w:val="001000000000" w:firstRow="0" w:lastRow="0" w:firstColumn="1" w:lastColumn="0" w:oddVBand="0" w:evenVBand="0" w:oddHBand="0" w:evenHBand="0" w:firstRowFirstColumn="0" w:firstRowLastColumn="0" w:lastRowFirstColumn="0" w:lastRowLastColumn="0"/>
            <w:tcW w:w="1063" w:type="pct"/>
          </w:tcPr>
          <w:p w:rsidR="00304A9C" w:rsidRPr="006B4E6B" w:rsidRDefault="00304A9C" w:rsidP="00304A9C">
            <w:pPr>
              <w:contextualSpacing/>
              <w:rPr>
                <w:rFonts w:cs="Arial"/>
              </w:rPr>
            </w:pPr>
            <w:r w:rsidRPr="006B4E6B">
              <w:rPr>
                <w:rFonts w:cs="Arial"/>
              </w:rPr>
              <w:t>Swindon</w:t>
            </w:r>
          </w:p>
        </w:tc>
        <w:tc>
          <w:tcPr>
            <w:tcW w:w="984" w:type="pct"/>
          </w:tcPr>
          <w:p w:rsidR="00304A9C" w:rsidRPr="006B4E6B" w:rsidRDefault="00304A9C" w:rsidP="00304A9C">
            <w:pPr>
              <w:contextualSpacing/>
              <w:cnfStyle w:val="000000000000" w:firstRow="0" w:lastRow="0" w:firstColumn="0" w:lastColumn="0" w:oddVBand="0" w:evenVBand="0" w:oddHBand="0" w:evenHBand="0" w:firstRowFirstColumn="0" w:firstRowLastColumn="0" w:lastRowFirstColumn="0" w:lastRowLastColumn="0"/>
              <w:rPr>
                <w:rFonts w:cs="Arial"/>
              </w:rPr>
            </w:pPr>
            <w:r w:rsidRPr="006B4E6B">
              <w:rPr>
                <w:rFonts w:cs="Arial"/>
              </w:rPr>
              <w:t>17.7</w:t>
            </w:r>
          </w:p>
        </w:tc>
        <w:tc>
          <w:tcPr>
            <w:tcW w:w="984" w:type="pct"/>
          </w:tcPr>
          <w:p w:rsidR="00304A9C" w:rsidRPr="006B4E6B" w:rsidRDefault="00304A9C" w:rsidP="00304A9C">
            <w:pPr>
              <w:contextualSpacing/>
              <w:cnfStyle w:val="000000000000" w:firstRow="0" w:lastRow="0" w:firstColumn="0" w:lastColumn="0" w:oddVBand="0" w:evenVBand="0" w:oddHBand="0" w:evenHBand="0" w:firstRowFirstColumn="0" w:firstRowLastColumn="0" w:lastRowFirstColumn="0" w:lastRowLastColumn="0"/>
              <w:rPr>
                <w:rFonts w:cs="Arial"/>
              </w:rPr>
            </w:pPr>
            <w:r w:rsidRPr="006B4E6B">
              <w:rPr>
                <w:rFonts w:cs="Arial"/>
              </w:rPr>
              <w:t>3.75</w:t>
            </w:r>
          </w:p>
        </w:tc>
        <w:tc>
          <w:tcPr>
            <w:tcW w:w="984" w:type="pct"/>
          </w:tcPr>
          <w:p w:rsidR="00304A9C" w:rsidRPr="006B4E6B" w:rsidRDefault="00304A9C" w:rsidP="00304A9C">
            <w:pPr>
              <w:contextualSpacing/>
              <w:cnfStyle w:val="000000000000" w:firstRow="0" w:lastRow="0" w:firstColumn="0" w:lastColumn="0" w:oddVBand="0" w:evenVBand="0" w:oddHBand="0" w:evenHBand="0" w:firstRowFirstColumn="0" w:firstRowLastColumn="0" w:lastRowFirstColumn="0" w:lastRowLastColumn="0"/>
              <w:rPr>
                <w:rFonts w:cs="Arial"/>
              </w:rPr>
            </w:pPr>
            <w:r w:rsidRPr="006B4E6B">
              <w:rPr>
                <w:rFonts w:cs="Arial"/>
              </w:rPr>
              <w:t>1.92</w:t>
            </w:r>
          </w:p>
        </w:tc>
        <w:tc>
          <w:tcPr>
            <w:tcW w:w="985" w:type="pct"/>
          </w:tcPr>
          <w:p w:rsidR="00304A9C" w:rsidRPr="006B4E6B" w:rsidRDefault="00304A9C" w:rsidP="00304A9C">
            <w:pPr>
              <w:contextualSpacing/>
              <w:cnfStyle w:val="000000000000" w:firstRow="0" w:lastRow="0" w:firstColumn="0" w:lastColumn="0" w:oddVBand="0" w:evenVBand="0" w:oddHBand="0" w:evenHBand="0" w:firstRowFirstColumn="0" w:firstRowLastColumn="0" w:lastRowFirstColumn="0" w:lastRowLastColumn="0"/>
              <w:rPr>
                <w:rFonts w:cs="Arial"/>
              </w:rPr>
            </w:pPr>
            <w:r w:rsidRPr="006B4E6B">
              <w:rPr>
                <w:rFonts w:cs="Arial"/>
              </w:rPr>
              <w:t>9.2</w:t>
            </w:r>
          </w:p>
        </w:tc>
      </w:tr>
      <w:tr w:rsidR="00304A9C" w:rsidRPr="006B4E6B" w:rsidTr="00F23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 w:type="pct"/>
          </w:tcPr>
          <w:p w:rsidR="00304A9C" w:rsidRPr="006B4E6B" w:rsidRDefault="00304A9C" w:rsidP="00304A9C">
            <w:pPr>
              <w:contextualSpacing/>
              <w:rPr>
                <w:rFonts w:cs="Arial"/>
              </w:rPr>
            </w:pPr>
            <w:r w:rsidRPr="006B4E6B">
              <w:rPr>
                <w:rFonts w:cs="Arial"/>
              </w:rPr>
              <w:t>Telford  &amp; Wrekin</w:t>
            </w:r>
          </w:p>
        </w:tc>
        <w:tc>
          <w:tcPr>
            <w:tcW w:w="984" w:type="pct"/>
          </w:tcPr>
          <w:p w:rsidR="00304A9C" w:rsidRPr="006B4E6B" w:rsidRDefault="00304A9C" w:rsidP="00304A9C">
            <w:pPr>
              <w:contextualSpacing/>
              <w:cnfStyle w:val="000000100000" w:firstRow="0" w:lastRow="0" w:firstColumn="0" w:lastColumn="0" w:oddVBand="0" w:evenVBand="0" w:oddHBand="1" w:evenHBand="0" w:firstRowFirstColumn="0" w:firstRowLastColumn="0" w:lastRowFirstColumn="0" w:lastRowLastColumn="0"/>
              <w:rPr>
                <w:rFonts w:cs="Arial"/>
              </w:rPr>
            </w:pPr>
            <w:r w:rsidRPr="006B4E6B">
              <w:rPr>
                <w:rFonts w:cs="Arial"/>
              </w:rPr>
              <w:t>31.4</w:t>
            </w:r>
          </w:p>
        </w:tc>
        <w:tc>
          <w:tcPr>
            <w:tcW w:w="984" w:type="pct"/>
          </w:tcPr>
          <w:p w:rsidR="00304A9C" w:rsidRPr="006B4E6B" w:rsidRDefault="00304A9C" w:rsidP="00304A9C">
            <w:pPr>
              <w:contextualSpacing/>
              <w:cnfStyle w:val="000000100000" w:firstRow="0" w:lastRow="0" w:firstColumn="0" w:lastColumn="0" w:oddVBand="0" w:evenVBand="0" w:oddHBand="1" w:evenHBand="0" w:firstRowFirstColumn="0" w:firstRowLastColumn="0" w:lastRowFirstColumn="0" w:lastRowLastColumn="0"/>
              <w:rPr>
                <w:rFonts w:cs="Arial"/>
              </w:rPr>
            </w:pPr>
            <w:r w:rsidRPr="006B4E6B">
              <w:rPr>
                <w:rFonts w:cs="Arial"/>
              </w:rPr>
              <w:t>Value suppressed</w:t>
            </w:r>
          </w:p>
        </w:tc>
        <w:tc>
          <w:tcPr>
            <w:tcW w:w="984" w:type="pct"/>
          </w:tcPr>
          <w:p w:rsidR="00304A9C" w:rsidRPr="006B4E6B" w:rsidRDefault="00304A9C" w:rsidP="00304A9C">
            <w:pPr>
              <w:contextualSpacing/>
              <w:cnfStyle w:val="000000100000" w:firstRow="0" w:lastRow="0" w:firstColumn="0" w:lastColumn="0" w:oddVBand="0" w:evenVBand="0" w:oddHBand="1" w:evenHBand="0" w:firstRowFirstColumn="0" w:firstRowLastColumn="0" w:lastRowFirstColumn="0" w:lastRowLastColumn="0"/>
              <w:rPr>
                <w:rFonts w:cs="Arial"/>
              </w:rPr>
            </w:pPr>
            <w:r w:rsidRPr="006B4E6B">
              <w:rPr>
                <w:rFonts w:cs="Arial"/>
              </w:rPr>
              <w:t>3.2</w:t>
            </w:r>
          </w:p>
        </w:tc>
        <w:tc>
          <w:tcPr>
            <w:tcW w:w="985" w:type="pct"/>
          </w:tcPr>
          <w:p w:rsidR="00304A9C" w:rsidRPr="006B4E6B" w:rsidRDefault="00304A9C" w:rsidP="00304A9C">
            <w:pPr>
              <w:contextualSpacing/>
              <w:cnfStyle w:val="000000100000" w:firstRow="0" w:lastRow="0" w:firstColumn="0" w:lastColumn="0" w:oddVBand="0" w:evenVBand="0" w:oddHBand="1" w:evenHBand="0" w:firstRowFirstColumn="0" w:firstRowLastColumn="0" w:lastRowFirstColumn="0" w:lastRowLastColumn="0"/>
              <w:rPr>
                <w:rFonts w:cs="Arial"/>
              </w:rPr>
            </w:pPr>
            <w:r w:rsidRPr="006B4E6B">
              <w:rPr>
                <w:rFonts w:cs="Arial"/>
              </w:rPr>
              <w:t>6.6</w:t>
            </w:r>
          </w:p>
        </w:tc>
      </w:tr>
      <w:tr w:rsidR="00304A9C" w:rsidRPr="006B4E6B" w:rsidTr="00F238A7">
        <w:tc>
          <w:tcPr>
            <w:cnfStyle w:val="001000000000" w:firstRow="0" w:lastRow="0" w:firstColumn="1" w:lastColumn="0" w:oddVBand="0" w:evenVBand="0" w:oddHBand="0" w:evenHBand="0" w:firstRowFirstColumn="0" w:firstRowLastColumn="0" w:lastRowFirstColumn="0" w:lastRowLastColumn="0"/>
            <w:tcW w:w="1063" w:type="pct"/>
          </w:tcPr>
          <w:p w:rsidR="00304A9C" w:rsidRPr="006B4E6B" w:rsidRDefault="00304A9C" w:rsidP="00304A9C">
            <w:pPr>
              <w:contextualSpacing/>
              <w:rPr>
                <w:rFonts w:cs="Arial"/>
              </w:rPr>
            </w:pPr>
            <w:r w:rsidRPr="006B4E6B">
              <w:rPr>
                <w:rFonts w:cs="Arial"/>
              </w:rPr>
              <w:t>Thurrock</w:t>
            </w:r>
          </w:p>
        </w:tc>
        <w:tc>
          <w:tcPr>
            <w:tcW w:w="984" w:type="pct"/>
          </w:tcPr>
          <w:p w:rsidR="00304A9C" w:rsidRPr="006B4E6B" w:rsidRDefault="00304A9C" w:rsidP="00304A9C">
            <w:pPr>
              <w:contextualSpacing/>
              <w:cnfStyle w:val="000000000000" w:firstRow="0" w:lastRow="0" w:firstColumn="0" w:lastColumn="0" w:oddVBand="0" w:evenVBand="0" w:oddHBand="0" w:evenHBand="0" w:firstRowFirstColumn="0" w:firstRowLastColumn="0" w:lastRowFirstColumn="0" w:lastRowLastColumn="0"/>
              <w:rPr>
                <w:rFonts w:cs="Arial"/>
              </w:rPr>
            </w:pPr>
            <w:r w:rsidRPr="006B4E6B">
              <w:rPr>
                <w:rFonts w:cs="Arial"/>
              </w:rPr>
              <w:t>29.0</w:t>
            </w:r>
          </w:p>
        </w:tc>
        <w:tc>
          <w:tcPr>
            <w:tcW w:w="984" w:type="pct"/>
          </w:tcPr>
          <w:p w:rsidR="00304A9C" w:rsidRPr="006B4E6B" w:rsidRDefault="00304A9C" w:rsidP="00304A9C">
            <w:pPr>
              <w:contextualSpacing/>
              <w:cnfStyle w:val="000000000000" w:firstRow="0" w:lastRow="0" w:firstColumn="0" w:lastColumn="0" w:oddVBand="0" w:evenVBand="0" w:oddHBand="0" w:evenHBand="0" w:firstRowFirstColumn="0" w:firstRowLastColumn="0" w:lastRowFirstColumn="0" w:lastRowLastColumn="0"/>
              <w:rPr>
                <w:rFonts w:cs="Arial"/>
              </w:rPr>
            </w:pPr>
            <w:r w:rsidRPr="006B4E6B">
              <w:rPr>
                <w:rFonts w:cs="Arial"/>
              </w:rPr>
              <w:t>1.72</w:t>
            </w:r>
          </w:p>
        </w:tc>
        <w:tc>
          <w:tcPr>
            <w:tcW w:w="984" w:type="pct"/>
          </w:tcPr>
          <w:p w:rsidR="00304A9C" w:rsidRDefault="00304A9C" w:rsidP="00304A9C">
            <w:pPr>
              <w:contextualSpacing/>
              <w:cnfStyle w:val="000000000000" w:firstRow="0" w:lastRow="0" w:firstColumn="0" w:lastColumn="0" w:oddVBand="0" w:evenVBand="0" w:oddHBand="0" w:evenHBand="0" w:firstRowFirstColumn="0" w:firstRowLastColumn="0" w:lastRowFirstColumn="0" w:lastRowLastColumn="0"/>
              <w:rPr>
                <w:rFonts w:cs="Arial"/>
              </w:rPr>
            </w:pPr>
            <w:r w:rsidRPr="006B4E6B">
              <w:rPr>
                <w:rFonts w:cs="Arial"/>
              </w:rPr>
              <w:t>Value suppressed</w:t>
            </w:r>
          </w:p>
          <w:p w:rsidR="005414F4" w:rsidRPr="006B4E6B" w:rsidRDefault="005414F4" w:rsidP="00304A9C">
            <w:pPr>
              <w:contextualSpacing/>
              <w:cnfStyle w:val="000000000000" w:firstRow="0" w:lastRow="0" w:firstColumn="0" w:lastColumn="0" w:oddVBand="0" w:evenVBand="0" w:oddHBand="0" w:evenHBand="0" w:firstRowFirstColumn="0" w:firstRowLastColumn="0" w:lastRowFirstColumn="0" w:lastRowLastColumn="0"/>
              <w:rPr>
                <w:rFonts w:cs="Arial"/>
              </w:rPr>
            </w:pPr>
          </w:p>
        </w:tc>
        <w:tc>
          <w:tcPr>
            <w:tcW w:w="985" w:type="pct"/>
          </w:tcPr>
          <w:p w:rsidR="00304A9C" w:rsidRPr="006B4E6B" w:rsidRDefault="00304A9C" w:rsidP="00304A9C">
            <w:pPr>
              <w:contextualSpacing/>
              <w:cnfStyle w:val="000000000000" w:firstRow="0" w:lastRow="0" w:firstColumn="0" w:lastColumn="0" w:oddVBand="0" w:evenVBand="0" w:oddHBand="0" w:evenHBand="0" w:firstRowFirstColumn="0" w:firstRowLastColumn="0" w:lastRowFirstColumn="0" w:lastRowLastColumn="0"/>
              <w:rPr>
                <w:rFonts w:cs="Arial"/>
              </w:rPr>
            </w:pPr>
            <w:r w:rsidRPr="006B4E6B">
              <w:rPr>
                <w:rFonts w:cs="Arial"/>
              </w:rPr>
              <w:t>9.2</w:t>
            </w:r>
          </w:p>
        </w:tc>
      </w:tr>
    </w:tbl>
    <w:p w:rsidR="00290CC5" w:rsidRDefault="00B44AF3" w:rsidP="00B44AF3">
      <w:pPr>
        <w:pStyle w:val="Caption"/>
        <w:rPr>
          <w:rFonts w:cs="Arial"/>
        </w:rPr>
      </w:pPr>
      <w:r>
        <w:t xml:space="preserve">Figure </w:t>
      </w:r>
      <w:r w:rsidR="00156E8B">
        <w:fldChar w:fldCharType="begin"/>
      </w:r>
      <w:r w:rsidR="00156E8B">
        <w:instrText xml:space="preserve"> SEQ Figure \* ARABIC </w:instrText>
      </w:r>
      <w:r w:rsidR="00156E8B">
        <w:fldChar w:fldCharType="separate"/>
      </w:r>
      <w:r w:rsidR="005C553C">
        <w:rPr>
          <w:noProof/>
        </w:rPr>
        <w:t>26</w:t>
      </w:r>
      <w:r w:rsidR="00156E8B">
        <w:rPr>
          <w:noProof/>
        </w:rPr>
        <w:fldChar w:fldCharType="end"/>
      </w:r>
      <w:r>
        <w:t xml:space="preserve"> Children with LD known to schools - comparison with statistical neighbours</w:t>
      </w:r>
    </w:p>
    <w:p w:rsidR="00CD41D4" w:rsidRPr="005414F4" w:rsidRDefault="00304A9C" w:rsidP="00CD41D4">
      <w:pPr>
        <w:contextualSpacing/>
        <w:rPr>
          <w:rFonts w:cs="Arial"/>
        </w:rPr>
      </w:pPr>
      <w:r w:rsidRPr="005414F4">
        <w:rPr>
          <w:rFonts w:cs="Arial"/>
        </w:rPr>
        <w:t xml:space="preserve">Medway is an outlier </w:t>
      </w:r>
      <w:r w:rsidR="008A747A" w:rsidRPr="005414F4">
        <w:rPr>
          <w:rFonts w:cs="Arial"/>
        </w:rPr>
        <w:t>in relation to the high</w:t>
      </w:r>
      <w:r w:rsidRPr="005414F4">
        <w:rPr>
          <w:rFonts w:cs="Arial"/>
        </w:rPr>
        <w:t xml:space="preserve"> prevalence of children with Autism known to schools, and at the lower end of the scale for children </w:t>
      </w:r>
      <w:r w:rsidR="008A747A" w:rsidRPr="005414F4">
        <w:rPr>
          <w:rFonts w:cs="Arial"/>
        </w:rPr>
        <w:t>with learnin</w:t>
      </w:r>
      <w:r w:rsidR="00244D87">
        <w:rPr>
          <w:rFonts w:cs="Arial"/>
        </w:rPr>
        <w:t>g</w:t>
      </w:r>
      <w:r w:rsidR="00275E49">
        <w:rPr>
          <w:rFonts w:cs="Arial"/>
        </w:rPr>
        <w:t xml:space="preserve"> disabilities known to schools</w:t>
      </w:r>
      <w:r w:rsidR="005F62D1">
        <w:rPr>
          <w:rFonts w:cs="Arial"/>
        </w:rPr>
        <w:t>.</w:t>
      </w:r>
      <w:r w:rsidR="00A32E19">
        <w:rPr>
          <w:rFonts w:cs="Arial"/>
        </w:rPr>
        <w:t xml:space="preserve"> </w:t>
      </w:r>
      <w:r w:rsidR="00FE4A56">
        <w:rPr>
          <w:rFonts w:cs="Arial"/>
        </w:rPr>
        <w:t xml:space="preserve"> </w:t>
      </w:r>
      <w:r w:rsidR="00CD41D4">
        <w:rPr>
          <w:rFonts w:cs="Arial"/>
        </w:rPr>
        <w:t>It is likely that higher rate of childr</w:t>
      </w:r>
      <w:r w:rsidR="00717DE5">
        <w:rPr>
          <w:rFonts w:cs="Arial"/>
        </w:rPr>
        <w:t>en with Autism known to schools</w:t>
      </w:r>
      <w:r w:rsidR="00CD41D4">
        <w:rPr>
          <w:rFonts w:cs="Arial"/>
        </w:rPr>
        <w:t xml:space="preserve"> relates to the higher rate of ASD diagnosis in Medway comparative to the national prevalence estimate.</w:t>
      </w:r>
    </w:p>
    <w:p w:rsidR="00FE4A56" w:rsidRDefault="00FE4A56" w:rsidP="00FE4A56">
      <w:pPr>
        <w:rPr>
          <w:rFonts w:cs="Arial"/>
          <w:szCs w:val="24"/>
        </w:rPr>
      </w:pPr>
      <w:r w:rsidRPr="002503F6">
        <w:t>The latest prevalence studies of autism indicate that</w:t>
      </w:r>
      <w:r>
        <w:t xml:space="preserve"> at approximately 1</w:t>
      </w:r>
      <w:r w:rsidRPr="002503F6">
        <w:t>% of the population in the UK may have autism</w:t>
      </w:r>
      <w:r>
        <w:t>.</w:t>
      </w:r>
      <w:r>
        <w:rPr>
          <w:rStyle w:val="FootnoteReference"/>
          <w:rFonts w:cs="Arial"/>
          <w:szCs w:val="24"/>
        </w:rPr>
        <w:footnoteReference w:id="52"/>
      </w:r>
      <w:r>
        <w:rPr>
          <w:rFonts w:cs="Arial"/>
          <w:szCs w:val="24"/>
        </w:rPr>
        <w:t xml:space="preserve">  In Medway this would amount to approximately 735 of the G</w:t>
      </w:r>
      <w:r w:rsidR="00717DE5">
        <w:rPr>
          <w:rFonts w:cs="Arial"/>
          <w:szCs w:val="24"/>
        </w:rPr>
        <w:t>P registered 0 – 19 population, however diagnoses are running at approximately twice that rate.</w:t>
      </w:r>
      <w:r>
        <w:rPr>
          <w:rFonts w:cs="Arial"/>
          <w:szCs w:val="24"/>
        </w:rPr>
        <w:t xml:space="preserve"> </w:t>
      </w:r>
    </w:p>
    <w:p w:rsidR="00CC3B06" w:rsidRDefault="00156E8B" w:rsidP="00CC3B06">
      <w:pPr>
        <w:pStyle w:val="Heading2"/>
      </w:pPr>
      <w:hyperlink w:anchor="global" w:history="1">
        <w:bookmarkStart w:id="21" w:name="_Toc434938032"/>
        <w:r w:rsidR="00CC3B06" w:rsidRPr="00BB161F">
          <w:rPr>
            <w:rStyle w:val="Hyperlink"/>
          </w:rPr>
          <w:t>Global Developmental Delay</w:t>
        </w:r>
        <w:bookmarkEnd w:id="21"/>
      </w:hyperlink>
    </w:p>
    <w:p w:rsidR="00412B2E" w:rsidRDefault="00412B2E" w:rsidP="00027173">
      <w:pPr>
        <w:contextualSpacing/>
        <w:rPr>
          <w:rFonts w:cs="Arial"/>
          <w:szCs w:val="24"/>
        </w:rPr>
      </w:pPr>
      <w:r w:rsidRPr="00412B2E">
        <w:rPr>
          <w:rFonts w:cs="Arial"/>
          <w:szCs w:val="24"/>
        </w:rPr>
        <w:t>A child may be described as having global developmental delay (GDD) if they have not reached two or more milestones in all areas of development (called developmental domains). These areas are:</w:t>
      </w:r>
    </w:p>
    <w:p w:rsidR="008873D5" w:rsidRPr="00412B2E" w:rsidRDefault="008873D5" w:rsidP="00027173">
      <w:pPr>
        <w:contextualSpacing/>
        <w:rPr>
          <w:rFonts w:cs="Arial"/>
          <w:szCs w:val="24"/>
        </w:rPr>
      </w:pPr>
    </w:p>
    <w:p w:rsidR="00412B2E" w:rsidRPr="00027173" w:rsidRDefault="00027173" w:rsidP="00027173">
      <w:pPr>
        <w:pStyle w:val="ListParagraph"/>
        <w:numPr>
          <w:ilvl w:val="0"/>
          <w:numId w:val="25"/>
        </w:numPr>
        <w:spacing w:line="276" w:lineRule="auto"/>
        <w:contextualSpacing/>
        <w:rPr>
          <w:rFonts w:ascii="Arial" w:hAnsi="Arial" w:cs="Arial"/>
          <w:sz w:val="22"/>
          <w:szCs w:val="22"/>
        </w:rPr>
      </w:pPr>
      <w:r w:rsidRPr="00027173">
        <w:rPr>
          <w:rFonts w:ascii="Arial" w:hAnsi="Arial" w:cs="Arial"/>
          <w:sz w:val="22"/>
          <w:szCs w:val="22"/>
        </w:rPr>
        <w:t xml:space="preserve">Gross </w:t>
      </w:r>
      <w:r w:rsidR="00412B2E" w:rsidRPr="00027173">
        <w:rPr>
          <w:rFonts w:ascii="Arial" w:hAnsi="Arial" w:cs="Arial"/>
          <w:sz w:val="22"/>
          <w:szCs w:val="22"/>
        </w:rPr>
        <w:t xml:space="preserve">and fine motor skills </w:t>
      </w:r>
    </w:p>
    <w:p w:rsidR="00412B2E" w:rsidRPr="00027173" w:rsidRDefault="00027173" w:rsidP="00027173">
      <w:pPr>
        <w:pStyle w:val="ListParagraph"/>
        <w:numPr>
          <w:ilvl w:val="0"/>
          <w:numId w:val="25"/>
        </w:numPr>
        <w:spacing w:line="276" w:lineRule="auto"/>
        <w:contextualSpacing/>
        <w:rPr>
          <w:rFonts w:ascii="Arial" w:hAnsi="Arial" w:cs="Arial"/>
          <w:sz w:val="22"/>
          <w:szCs w:val="22"/>
        </w:rPr>
      </w:pPr>
      <w:r w:rsidRPr="00027173">
        <w:rPr>
          <w:rFonts w:ascii="Arial" w:hAnsi="Arial" w:cs="Arial"/>
          <w:sz w:val="22"/>
          <w:szCs w:val="22"/>
        </w:rPr>
        <w:t xml:space="preserve">Speech </w:t>
      </w:r>
      <w:r w:rsidR="00412B2E" w:rsidRPr="00027173">
        <w:rPr>
          <w:rFonts w:ascii="Arial" w:hAnsi="Arial" w:cs="Arial"/>
          <w:sz w:val="22"/>
          <w:szCs w:val="22"/>
        </w:rPr>
        <w:t>and language (expressive and receptive)</w:t>
      </w:r>
    </w:p>
    <w:p w:rsidR="00412B2E" w:rsidRPr="00027173" w:rsidRDefault="00027173" w:rsidP="00027173">
      <w:pPr>
        <w:pStyle w:val="ListParagraph"/>
        <w:numPr>
          <w:ilvl w:val="0"/>
          <w:numId w:val="25"/>
        </w:numPr>
        <w:spacing w:line="276" w:lineRule="auto"/>
        <w:contextualSpacing/>
        <w:rPr>
          <w:rFonts w:ascii="Arial" w:hAnsi="Arial" w:cs="Arial"/>
          <w:sz w:val="22"/>
          <w:szCs w:val="22"/>
        </w:rPr>
      </w:pPr>
      <w:r w:rsidRPr="00027173">
        <w:rPr>
          <w:rFonts w:ascii="Arial" w:hAnsi="Arial" w:cs="Arial"/>
          <w:sz w:val="22"/>
          <w:szCs w:val="22"/>
        </w:rPr>
        <w:t xml:space="preserve">Cognitive </w:t>
      </w:r>
      <w:r w:rsidR="00412B2E" w:rsidRPr="00027173">
        <w:rPr>
          <w:rFonts w:ascii="Arial" w:hAnsi="Arial" w:cs="Arial"/>
          <w:sz w:val="22"/>
          <w:szCs w:val="22"/>
        </w:rPr>
        <w:t>skills such as the ability to learn new things, process information, organise their thoughts and remember things</w:t>
      </w:r>
    </w:p>
    <w:p w:rsidR="00B8391B" w:rsidRPr="006F4FC4" w:rsidRDefault="00027173" w:rsidP="00B8391B">
      <w:pPr>
        <w:pStyle w:val="ListParagraph"/>
        <w:numPr>
          <w:ilvl w:val="0"/>
          <w:numId w:val="25"/>
        </w:numPr>
        <w:spacing w:line="276" w:lineRule="auto"/>
        <w:contextualSpacing/>
        <w:rPr>
          <w:rFonts w:ascii="Arial" w:hAnsi="Arial" w:cs="Arial"/>
          <w:sz w:val="20"/>
          <w:szCs w:val="22"/>
        </w:rPr>
      </w:pPr>
      <w:r w:rsidRPr="006F4FC4">
        <w:rPr>
          <w:rFonts w:ascii="Arial" w:hAnsi="Arial" w:cs="Arial"/>
          <w:sz w:val="22"/>
          <w:szCs w:val="22"/>
        </w:rPr>
        <w:t xml:space="preserve">Social </w:t>
      </w:r>
      <w:r w:rsidR="00412B2E" w:rsidRPr="006F4FC4">
        <w:rPr>
          <w:rFonts w:ascii="Arial" w:hAnsi="Arial" w:cs="Arial"/>
          <w:sz w:val="22"/>
          <w:szCs w:val="22"/>
        </w:rPr>
        <w:t>and emotional skills - interacting with others and development of personal traits and feelings, as well as starting to understanding and respond to t</w:t>
      </w:r>
      <w:r w:rsidRPr="006F4FC4">
        <w:rPr>
          <w:rFonts w:ascii="Arial" w:hAnsi="Arial" w:cs="Arial"/>
          <w:sz w:val="22"/>
          <w:szCs w:val="22"/>
        </w:rPr>
        <w:t xml:space="preserve">he needs and </w:t>
      </w:r>
      <w:r w:rsidRPr="006F4FC4">
        <w:rPr>
          <w:rFonts w:ascii="Arial" w:hAnsi="Arial" w:cs="Arial"/>
          <w:sz w:val="22"/>
          <w:szCs w:val="22"/>
        </w:rPr>
        <w:lastRenderedPageBreak/>
        <w:t>feelings of others</w:t>
      </w:r>
      <w:r w:rsidR="006F4FC4" w:rsidRPr="006F4FC4">
        <w:rPr>
          <w:rFonts w:ascii="Arial" w:hAnsi="Arial" w:cs="Arial"/>
          <w:sz w:val="22"/>
          <w:szCs w:val="22"/>
        </w:rPr>
        <w:t xml:space="preserve">.  </w:t>
      </w:r>
      <w:r w:rsidR="00B8391B" w:rsidRPr="006F4FC4">
        <w:rPr>
          <w:rFonts w:ascii="Arial" w:hAnsi="Arial" w:cs="Arial"/>
          <w:sz w:val="22"/>
        </w:rPr>
        <w:t>Children and young people with generalised developmental delay experience higher rates of emotional and behavioural difficulties than other children</w:t>
      </w:r>
    </w:p>
    <w:p w:rsidR="006F4FC4" w:rsidRDefault="006F4FC4" w:rsidP="006F4FC4"/>
    <w:p w:rsidR="006F4FC4" w:rsidRPr="006F4FC4" w:rsidRDefault="006F4FC4" w:rsidP="006F4FC4">
      <w:r w:rsidRPr="006F4FC4">
        <w:t xml:space="preserve">A snapshot analysis of children and young people designated as disabled on Medway Council’s social care recording system, Frameworki, found that </w:t>
      </w:r>
      <w:r>
        <w:t>66</w:t>
      </w:r>
      <w:r w:rsidRPr="006F4FC4">
        <w:t xml:space="preserve"> out of 580 children were recorded as having </w:t>
      </w:r>
      <w:r>
        <w:t>a specific diagnosis of GDD (11</w:t>
      </w:r>
      <w:r w:rsidRPr="006F4FC4">
        <w:t>%).</w:t>
      </w:r>
    </w:p>
    <w:p w:rsidR="00027173" w:rsidRDefault="00027173" w:rsidP="00027173">
      <w:pPr>
        <w:contextualSpacing/>
        <w:rPr>
          <w:rFonts w:cs="Arial"/>
        </w:rPr>
      </w:pPr>
    </w:p>
    <w:p w:rsidR="00027173" w:rsidRDefault="00027173" w:rsidP="00027173">
      <w:pPr>
        <w:contextualSpacing/>
        <w:rPr>
          <w:rFonts w:cs="Arial"/>
        </w:rPr>
      </w:pPr>
      <w:r w:rsidRPr="00027173">
        <w:rPr>
          <w:rFonts w:cs="Arial"/>
        </w:rPr>
        <w:t xml:space="preserve">The most common causes of GDD are problems with the child's genes or chromosomes, for example </w:t>
      </w:r>
      <w:hyperlink w:anchor="down" w:history="1">
        <w:r w:rsidRPr="00A26880">
          <w:rPr>
            <w:rStyle w:val="Hyperlink"/>
            <w:rFonts w:cs="Arial"/>
          </w:rPr>
          <w:t>Down syndrome</w:t>
        </w:r>
      </w:hyperlink>
      <w:r w:rsidR="00A26880">
        <w:rPr>
          <w:rFonts w:cs="Arial"/>
        </w:rPr>
        <w:t xml:space="preserve"> or </w:t>
      </w:r>
      <w:hyperlink w:anchor="fragile" w:history="1">
        <w:r w:rsidR="00A26880" w:rsidRPr="00A26880">
          <w:rPr>
            <w:rStyle w:val="Hyperlink"/>
            <w:rFonts w:cs="Arial"/>
          </w:rPr>
          <w:t>F</w:t>
        </w:r>
        <w:r w:rsidRPr="00A26880">
          <w:rPr>
            <w:rStyle w:val="Hyperlink"/>
            <w:rFonts w:cs="Arial"/>
          </w:rPr>
          <w:t>ragile X syndrome</w:t>
        </w:r>
      </w:hyperlink>
      <w:r w:rsidRPr="00027173">
        <w:rPr>
          <w:rFonts w:cs="Arial"/>
        </w:rPr>
        <w:t>. Sometimes, problems with the structure or development of the brain or spinal cord may be the reason for a child having GDD.</w:t>
      </w:r>
      <w:r w:rsidR="00A77F92">
        <w:rPr>
          <w:rFonts w:cs="Arial"/>
        </w:rPr>
        <w:t xml:space="preserve"> </w:t>
      </w:r>
      <w:r w:rsidRPr="00027173">
        <w:rPr>
          <w:rFonts w:cs="Arial"/>
        </w:rPr>
        <w:t xml:space="preserve"> Other causes can include </w:t>
      </w:r>
      <w:r>
        <w:rPr>
          <w:rFonts w:cs="Arial"/>
        </w:rPr>
        <w:t>premature birth,</w:t>
      </w:r>
      <w:r w:rsidRPr="00027173">
        <w:rPr>
          <w:rFonts w:cs="Arial"/>
        </w:rPr>
        <w:t xml:space="preserve"> childhood infection (for example meningitis) or metabolic diseases, such as having an underactive thyroid gland (hypothyroidism) or other problems affecting babies before they are born. </w:t>
      </w:r>
      <w:r w:rsidR="00A77F92">
        <w:rPr>
          <w:rFonts w:cs="Arial"/>
        </w:rPr>
        <w:t xml:space="preserve"> </w:t>
      </w:r>
      <w:r w:rsidRPr="00027173">
        <w:rPr>
          <w:rFonts w:cs="Arial"/>
        </w:rPr>
        <w:t xml:space="preserve">Toxic </w:t>
      </w:r>
      <w:r w:rsidR="00B8391B">
        <w:rPr>
          <w:rFonts w:cs="Arial"/>
        </w:rPr>
        <w:t>substances</w:t>
      </w:r>
      <w:r w:rsidRPr="00027173">
        <w:rPr>
          <w:rFonts w:cs="Arial"/>
        </w:rPr>
        <w:t xml:space="preserve"> such as alcohol in the case of </w:t>
      </w:r>
      <w:hyperlink w:anchor="foetal" w:history="1">
        <w:r w:rsidR="005D1EA6" w:rsidRPr="005D1EA6">
          <w:rPr>
            <w:rStyle w:val="Hyperlink"/>
            <w:rFonts w:cs="Arial"/>
          </w:rPr>
          <w:t>Foetal Alcohol Syndrome</w:t>
        </w:r>
      </w:hyperlink>
      <w:r w:rsidR="005D1EA6" w:rsidRPr="00027173">
        <w:rPr>
          <w:rFonts w:cs="Arial"/>
        </w:rPr>
        <w:t xml:space="preserve"> </w:t>
      </w:r>
      <w:r w:rsidRPr="00027173">
        <w:rPr>
          <w:rFonts w:cs="Arial"/>
        </w:rPr>
        <w:t>can also contribute. For some children, the cause of the GDD is never identified</w:t>
      </w:r>
      <w:r w:rsidR="008873D5">
        <w:rPr>
          <w:rStyle w:val="FootnoteReference"/>
          <w:rFonts w:cs="Arial"/>
        </w:rPr>
        <w:footnoteReference w:id="53"/>
      </w:r>
      <w:r>
        <w:rPr>
          <w:rFonts w:cs="Arial"/>
        </w:rPr>
        <w:t>.</w:t>
      </w:r>
      <w:r w:rsidR="008873D5">
        <w:rPr>
          <w:rFonts w:cs="Arial"/>
        </w:rPr>
        <w:t xml:space="preserve"> </w:t>
      </w:r>
      <w:r w:rsidR="00DB643B">
        <w:rPr>
          <w:rFonts w:cs="Arial"/>
        </w:rPr>
        <w:t xml:space="preserve"> Many of the most severe cases of childhood disability will feature GDD </w:t>
      </w:r>
      <w:r w:rsidR="00812B2D">
        <w:rPr>
          <w:rFonts w:cs="Arial"/>
        </w:rPr>
        <w:t>in addition to</w:t>
      </w:r>
      <w:r w:rsidR="00DB643B">
        <w:rPr>
          <w:rFonts w:cs="Arial"/>
        </w:rPr>
        <w:t xml:space="preserve"> other complex health needs.</w:t>
      </w:r>
    </w:p>
    <w:p w:rsidR="00A25B5D" w:rsidRDefault="00A25B5D" w:rsidP="00A25B5D">
      <w:pPr>
        <w:pStyle w:val="Heading2"/>
      </w:pPr>
      <w:bookmarkStart w:id="22" w:name="_Toc434938033"/>
      <w:r>
        <w:t>Complex health needs</w:t>
      </w:r>
      <w:bookmarkEnd w:id="22"/>
    </w:p>
    <w:p w:rsidR="00A25B5D" w:rsidRPr="0095203C" w:rsidRDefault="00A25B5D" w:rsidP="00A25B5D">
      <w:pPr>
        <w:contextualSpacing/>
      </w:pPr>
      <w:r w:rsidRPr="0095203C">
        <w:t>CHIMAT estimates 12,263 of the Medway 0 – 19 population are living with longstanding illness or ‘mild’ disability, and an additional 49 are severely disabled</w:t>
      </w:r>
      <w:r w:rsidR="005D1EA6" w:rsidRPr="0095203C">
        <w:rPr>
          <w:rStyle w:val="FootnoteReference"/>
        </w:rPr>
        <w:footnoteReference w:id="54"/>
      </w:r>
      <w:r w:rsidRPr="0095203C">
        <w:t xml:space="preserve">. </w:t>
      </w:r>
      <w:r w:rsidR="00A77F92">
        <w:t xml:space="preserve"> </w:t>
      </w:r>
      <w:r w:rsidRPr="0095203C">
        <w:t>However the relevant COaST caseload is approxim</w:t>
      </w:r>
      <w:r w:rsidR="00717DE5">
        <w:t>ately twice the latter estimate (Figure 27).</w:t>
      </w:r>
    </w:p>
    <w:p w:rsidR="00974BE1" w:rsidRDefault="00974BE1" w:rsidP="00A25B5D">
      <w:pPr>
        <w:contextualSpacing/>
      </w:pPr>
    </w:p>
    <w:tbl>
      <w:tblPr>
        <w:tblStyle w:val="LightList-Accent1"/>
        <w:tblW w:w="5000" w:type="pct"/>
        <w:tblLook w:val="04A0" w:firstRow="1" w:lastRow="0" w:firstColumn="1" w:lastColumn="0" w:noHBand="0" w:noVBand="1"/>
      </w:tblPr>
      <w:tblGrid>
        <w:gridCol w:w="3372"/>
        <w:gridCol w:w="3800"/>
        <w:gridCol w:w="2070"/>
      </w:tblGrid>
      <w:tr w:rsidR="00A25B5D" w:rsidRPr="00323777" w:rsidTr="00CC6F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pct"/>
          </w:tcPr>
          <w:p w:rsidR="00A25B5D" w:rsidRPr="00323777" w:rsidRDefault="00A25B5D" w:rsidP="00974BE1">
            <w:pPr>
              <w:rPr>
                <w:szCs w:val="24"/>
              </w:rPr>
            </w:pPr>
            <w:r w:rsidRPr="00323777">
              <w:rPr>
                <w:szCs w:val="24"/>
              </w:rPr>
              <w:t>Specialism</w:t>
            </w:r>
          </w:p>
        </w:tc>
        <w:tc>
          <w:tcPr>
            <w:tcW w:w="2056" w:type="pct"/>
          </w:tcPr>
          <w:p w:rsidR="00A25B5D" w:rsidRPr="00323777" w:rsidRDefault="00A25B5D" w:rsidP="00974BE1">
            <w:pPr>
              <w:cnfStyle w:val="100000000000" w:firstRow="1" w:lastRow="0" w:firstColumn="0" w:lastColumn="0" w:oddVBand="0" w:evenVBand="0" w:oddHBand="0" w:evenHBand="0" w:firstRowFirstColumn="0" w:firstRowLastColumn="0" w:lastRowFirstColumn="0" w:lastRowLastColumn="0"/>
              <w:rPr>
                <w:szCs w:val="24"/>
              </w:rPr>
            </w:pPr>
            <w:r w:rsidRPr="00323777">
              <w:rPr>
                <w:szCs w:val="24"/>
              </w:rPr>
              <w:t>Conditions</w:t>
            </w:r>
          </w:p>
        </w:tc>
        <w:tc>
          <w:tcPr>
            <w:tcW w:w="1120" w:type="pct"/>
          </w:tcPr>
          <w:p w:rsidR="00A25B5D" w:rsidRPr="00323777" w:rsidRDefault="00A25B5D" w:rsidP="00974BE1">
            <w:pPr>
              <w:cnfStyle w:val="100000000000" w:firstRow="1" w:lastRow="0" w:firstColumn="0" w:lastColumn="0" w:oddVBand="0" w:evenVBand="0" w:oddHBand="0" w:evenHBand="0" w:firstRowFirstColumn="0" w:firstRowLastColumn="0" w:lastRowFirstColumn="0" w:lastRowLastColumn="0"/>
              <w:rPr>
                <w:szCs w:val="24"/>
              </w:rPr>
            </w:pPr>
            <w:r w:rsidRPr="00323777">
              <w:rPr>
                <w:szCs w:val="24"/>
              </w:rPr>
              <w:t>Caseload (Medway only)</w:t>
            </w:r>
          </w:p>
        </w:tc>
      </w:tr>
      <w:tr w:rsidR="00A25B5D" w:rsidRPr="00E7686B" w:rsidTr="00CC6F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pct"/>
          </w:tcPr>
          <w:p w:rsidR="00A25B5D" w:rsidRPr="00CC6FCA" w:rsidRDefault="00A25B5D" w:rsidP="00974BE1">
            <w:pPr>
              <w:rPr>
                <w:szCs w:val="24"/>
              </w:rPr>
            </w:pPr>
            <w:r w:rsidRPr="00CC6FCA">
              <w:rPr>
                <w:szCs w:val="24"/>
              </w:rPr>
              <w:t>Complex health needs</w:t>
            </w:r>
          </w:p>
        </w:tc>
        <w:tc>
          <w:tcPr>
            <w:tcW w:w="2056" w:type="pct"/>
          </w:tcPr>
          <w:p w:rsidR="00A25B5D" w:rsidRPr="00E7686B" w:rsidRDefault="00A25B5D" w:rsidP="00974BE1">
            <w:pPr>
              <w:cnfStyle w:val="000000100000" w:firstRow="0" w:lastRow="0" w:firstColumn="0" w:lastColumn="0" w:oddVBand="0" w:evenVBand="0" w:oddHBand="1" w:evenHBand="0" w:firstRowFirstColumn="0" w:firstRowLastColumn="0" w:lastRowFirstColumn="0" w:lastRowLastColumn="0"/>
              <w:rPr>
                <w:szCs w:val="24"/>
              </w:rPr>
            </w:pPr>
            <w:r w:rsidRPr="00E7686B">
              <w:rPr>
                <w:szCs w:val="24"/>
              </w:rPr>
              <w:t>Cardiac</w:t>
            </w:r>
          </w:p>
        </w:tc>
        <w:tc>
          <w:tcPr>
            <w:tcW w:w="1120" w:type="pct"/>
          </w:tcPr>
          <w:p w:rsidR="00A25B5D" w:rsidRPr="00E7686B" w:rsidRDefault="00A25B5D" w:rsidP="00974BE1">
            <w:pPr>
              <w:cnfStyle w:val="000000100000" w:firstRow="0" w:lastRow="0" w:firstColumn="0" w:lastColumn="0" w:oddVBand="0" w:evenVBand="0" w:oddHBand="1" w:evenHBand="0" w:firstRowFirstColumn="0" w:firstRowLastColumn="0" w:lastRowFirstColumn="0" w:lastRowLastColumn="0"/>
              <w:rPr>
                <w:szCs w:val="24"/>
              </w:rPr>
            </w:pPr>
            <w:r w:rsidRPr="00E7686B">
              <w:rPr>
                <w:szCs w:val="24"/>
              </w:rPr>
              <w:t>3</w:t>
            </w:r>
          </w:p>
        </w:tc>
      </w:tr>
      <w:tr w:rsidR="00A25B5D" w:rsidRPr="00E7686B" w:rsidTr="00CC6FCA">
        <w:tc>
          <w:tcPr>
            <w:cnfStyle w:val="001000000000" w:firstRow="0" w:lastRow="0" w:firstColumn="1" w:lastColumn="0" w:oddVBand="0" w:evenVBand="0" w:oddHBand="0" w:evenHBand="0" w:firstRowFirstColumn="0" w:firstRowLastColumn="0" w:lastRowFirstColumn="0" w:lastRowLastColumn="0"/>
            <w:tcW w:w="1824" w:type="pct"/>
          </w:tcPr>
          <w:p w:rsidR="00A25B5D" w:rsidRPr="00CC6FCA" w:rsidRDefault="00A25B5D" w:rsidP="00974BE1">
            <w:pPr>
              <w:rPr>
                <w:szCs w:val="24"/>
              </w:rPr>
            </w:pPr>
          </w:p>
        </w:tc>
        <w:tc>
          <w:tcPr>
            <w:tcW w:w="2056" w:type="pct"/>
          </w:tcPr>
          <w:p w:rsidR="00A25B5D" w:rsidRPr="00E7686B" w:rsidRDefault="00A25B5D" w:rsidP="00974BE1">
            <w:pPr>
              <w:cnfStyle w:val="000000000000" w:firstRow="0" w:lastRow="0" w:firstColumn="0" w:lastColumn="0" w:oddVBand="0" w:evenVBand="0" w:oddHBand="0" w:evenHBand="0" w:firstRowFirstColumn="0" w:firstRowLastColumn="0" w:lastRowFirstColumn="0" w:lastRowLastColumn="0"/>
              <w:rPr>
                <w:szCs w:val="24"/>
              </w:rPr>
            </w:pPr>
            <w:r w:rsidRPr="00E7686B">
              <w:rPr>
                <w:szCs w:val="24"/>
              </w:rPr>
              <w:t>Hepatic</w:t>
            </w:r>
          </w:p>
        </w:tc>
        <w:tc>
          <w:tcPr>
            <w:tcW w:w="1120" w:type="pct"/>
          </w:tcPr>
          <w:p w:rsidR="00A25B5D" w:rsidRPr="00E7686B" w:rsidRDefault="00A25B5D" w:rsidP="00974BE1">
            <w:pPr>
              <w:cnfStyle w:val="000000000000" w:firstRow="0" w:lastRow="0" w:firstColumn="0" w:lastColumn="0" w:oddVBand="0" w:evenVBand="0" w:oddHBand="0" w:evenHBand="0" w:firstRowFirstColumn="0" w:firstRowLastColumn="0" w:lastRowFirstColumn="0" w:lastRowLastColumn="0"/>
              <w:rPr>
                <w:szCs w:val="24"/>
              </w:rPr>
            </w:pPr>
            <w:r w:rsidRPr="00E7686B">
              <w:rPr>
                <w:szCs w:val="24"/>
              </w:rPr>
              <w:t>0</w:t>
            </w:r>
          </w:p>
        </w:tc>
      </w:tr>
      <w:tr w:rsidR="00A25B5D" w:rsidRPr="00E7686B" w:rsidTr="00CC6F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pct"/>
          </w:tcPr>
          <w:p w:rsidR="00A25B5D" w:rsidRPr="00CC6FCA" w:rsidRDefault="00A25B5D" w:rsidP="00974BE1">
            <w:pPr>
              <w:rPr>
                <w:szCs w:val="24"/>
              </w:rPr>
            </w:pPr>
          </w:p>
        </w:tc>
        <w:tc>
          <w:tcPr>
            <w:tcW w:w="2056" w:type="pct"/>
          </w:tcPr>
          <w:p w:rsidR="00A25B5D" w:rsidRPr="00E7686B" w:rsidRDefault="00A25B5D" w:rsidP="00974BE1">
            <w:pPr>
              <w:cnfStyle w:val="000000100000" w:firstRow="0" w:lastRow="0" w:firstColumn="0" w:lastColumn="0" w:oddVBand="0" w:evenVBand="0" w:oddHBand="1" w:evenHBand="0" w:firstRowFirstColumn="0" w:firstRowLastColumn="0" w:lastRowFirstColumn="0" w:lastRowLastColumn="0"/>
              <w:rPr>
                <w:szCs w:val="24"/>
              </w:rPr>
            </w:pPr>
            <w:r w:rsidRPr="00E7686B">
              <w:rPr>
                <w:szCs w:val="24"/>
              </w:rPr>
              <w:t>Renal</w:t>
            </w:r>
          </w:p>
        </w:tc>
        <w:tc>
          <w:tcPr>
            <w:tcW w:w="1120" w:type="pct"/>
          </w:tcPr>
          <w:p w:rsidR="00A25B5D" w:rsidRPr="00E7686B" w:rsidRDefault="00A25B5D" w:rsidP="00974BE1">
            <w:pPr>
              <w:cnfStyle w:val="000000100000" w:firstRow="0" w:lastRow="0" w:firstColumn="0" w:lastColumn="0" w:oddVBand="0" w:evenVBand="0" w:oddHBand="1" w:evenHBand="0" w:firstRowFirstColumn="0" w:firstRowLastColumn="0" w:lastRowFirstColumn="0" w:lastRowLastColumn="0"/>
              <w:rPr>
                <w:szCs w:val="24"/>
              </w:rPr>
            </w:pPr>
            <w:r w:rsidRPr="00E7686B">
              <w:rPr>
                <w:szCs w:val="24"/>
              </w:rPr>
              <w:t>3</w:t>
            </w:r>
          </w:p>
        </w:tc>
      </w:tr>
      <w:tr w:rsidR="00A25B5D" w:rsidRPr="00E7686B" w:rsidTr="00CC6FCA">
        <w:tc>
          <w:tcPr>
            <w:cnfStyle w:val="001000000000" w:firstRow="0" w:lastRow="0" w:firstColumn="1" w:lastColumn="0" w:oddVBand="0" w:evenVBand="0" w:oddHBand="0" w:evenHBand="0" w:firstRowFirstColumn="0" w:firstRowLastColumn="0" w:lastRowFirstColumn="0" w:lastRowLastColumn="0"/>
            <w:tcW w:w="1824" w:type="pct"/>
          </w:tcPr>
          <w:p w:rsidR="00A25B5D" w:rsidRPr="00CC6FCA" w:rsidRDefault="00A25B5D" w:rsidP="00974BE1">
            <w:pPr>
              <w:rPr>
                <w:szCs w:val="24"/>
              </w:rPr>
            </w:pPr>
          </w:p>
        </w:tc>
        <w:tc>
          <w:tcPr>
            <w:tcW w:w="2056" w:type="pct"/>
          </w:tcPr>
          <w:p w:rsidR="00A25B5D" w:rsidRPr="00E7686B" w:rsidRDefault="00A25B5D" w:rsidP="00974BE1">
            <w:pPr>
              <w:cnfStyle w:val="000000000000" w:firstRow="0" w:lastRow="0" w:firstColumn="0" w:lastColumn="0" w:oddVBand="0" w:evenVBand="0" w:oddHBand="0" w:evenHBand="0" w:firstRowFirstColumn="0" w:firstRowLastColumn="0" w:lastRowFirstColumn="0" w:lastRowLastColumn="0"/>
              <w:rPr>
                <w:szCs w:val="24"/>
              </w:rPr>
            </w:pPr>
            <w:r w:rsidRPr="00E7686B">
              <w:rPr>
                <w:szCs w:val="24"/>
              </w:rPr>
              <w:t xml:space="preserve">Acute </w:t>
            </w:r>
          </w:p>
        </w:tc>
        <w:tc>
          <w:tcPr>
            <w:tcW w:w="1120" w:type="pct"/>
          </w:tcPr>
          <w:p w:rsidR="00A25B5D" w:rsidRPr="00E7686B" w:rsidRDefault="00A25B5D" w:rsidP="00974BE1">
            <w:pPr>
              <w:cnfStyle w:val="000000000000" w:firstRow="0" w:lastRow="0" w:firstColumn="0" w:lastColumn="0" w:oddVBand="0" w:evenVBand="0" w:oddHBand="0" w:evenHBand="0" w:firstRowFirstColumn="0" w:firstRowLastColumn="0" w:lastRowFirstColumn="0" w:lastRowLastColumn="0"/>
              <w:rPr>
                <w:szCs w:val="24"/>
              </w:rPr>
            </w:pPr>
            <w:r w:rsidRPr="00E7686B">
              <w:rPr>
                <w:szCs w:val="24"/>
              </w:rPr>
              <w:t>15</w:t>
            </w:r>
          </w:p>
        </w:tc>
      </w:tr>
      <w:tr w:rsidR="00A25B5D" w:rsidRPr="00E7686B" w:rsidTr="00CC6F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pct"/>
          </w:tcPr>
          <w:p w:rsidR="00A25B5D" w:rsidRPr="00CC6FCA" w:rsidRDefault="00A25B5D" w:rsidP="00974BE1">
            <w:pPr>
              <w:rPr>
                <w:szCs w:val="24"/>
              </w:rPr>
            </w:pPr>
          </w:p>
        </w:tc>
        <w:tc>
          <w:tcPr>
            <w:tcW w:w="2056" w:type="pct"/>
          </w:tcPr>
          <w:p w:rsidR="00A25B5D" w:rsidRPr="00E7686B" w:rsidRDefault="00A25B5D" w:rsidP="00974BE1">
            <w:pPr>
              <w:cnfStyle w:val="000000100000" w:firstRow="0" w:lastRow="0" w:firstColumn="0" w:lastColumn="0" w:oddVBand="0" w:evenVBand="0" w:oddHBand="1" w:evenHBand="0" w:firstRowFirstColumn="0" w:firstRowLastColumn="0" w:lastRowFirstColumn="0" w:lastRowLastColumn="0"/>
              <w:rPr>
                <w:szCs w:val="24"/>
              </w:rPr>
            </w:pPr>
            <w:r w:rsidRPr="00E7686B">
              <w:rPr>
                <w:szCs w:val="24"/>
              </w:rPr>
              <w:t>Metabolic</w:t>
            </w:r>
          </w:p>
        </w:tc>
        <w:tc>
          <w:tcPr>
            <w:tcW w:w="1120" w:type="pct"/>
          </w:tcPr>
          <w:p w:rsidR="00A25B5D" w:rsidRPr="00E7686B" w:rsidRDefault="00A25B5D" w:rsidP="00974BE1">
            <w:pPr>
              <w:cnfStyle w:val="000000100000" w:firstRow="0" w:lastRow="0" w:firstColumn="0" w:lastColumn="0" w:oddVBand="0" w:evenVBand="0" w:oddHBand="1" w:evenHBand="0" w:firstRowFirstColumn="0" w:firstRowLastColumn="0" w:lastRowFirstColumn="0" w:lastRowLastColumn="0"/>
              <w:rPr>
                <w:szCs w:val="24"/>
              </w:rPr>
            </w:pPr>
            <w:r w:rsidRPr="00E7686B">
              <w:rPr>
                <w:szCs w:val="24"/>
              </w:rPr>
              <w:t>3</w:t>
            </w:r>
          </w:p>
        </w:tc>
      </w:tr>
      <w:tr w:rsidR="00A25B5D" w:rsidRPr="00E7686B" w:rsidTr="00CC6FCA">
        <w:tc>
          <w:tcPr>
            <w:cnfStyle w:val="001000000000" w:firstRow="0" w:lastRow="0" w:firstColumn="1" w:lastColumn="0" w:oddVBand="0" w:evenVBand="0" w:oddHBand="0" w:evenHBand="0" w:firstRowFirstColumn="0" w:firstRowLastColumn="0" w:lastRowFirstColumn="0" w:lastRowLastColumn="0"/>
            <w:tcW w:w="1824" w:type="pct"/>
          </w:tcPr>
          <w:p w:rsidR="00A25B5D" w:rsidRPr="00CC6FCA" w:rsidRDefault="00A25B5D" w:rsidP="00974BE1">
            <w:pPr>
              <w:rPr>
                <w:szCs w:val="24"/>
              </w:rPr>
            </w:pPr>
          </w:p>
        </w:tc>
        <w:tc>
          <w:tcPr>
            <w:tcW w:w="2056" w:type="pct"/>
          </w:tcPr>
          <w:p w:rsidR="00A25B5D" w:rsidRPr="00E7686B" w:rsidRDefault="00A25B5D" w:rsidP="00974BE1">
            <w:pPr>
              <w:cnfStyle w:val="000000000000" w:firstRow="0" w:lastRow="0" w:firstColumn="0" w:lastColumn="0" w:oddVBand="0" w:evenVBand="0" w:oddHBand="0" w:evenHBand="0" w:firstRowFirstColumn="0" w:firstRowLastColumn="0" w:lastRowFirstColumn="0" w:lastRowLastColumn="0"/>
              <w:rPr>
                <w:szCs w:val="24"/>
              </w:rPr>
            </w:pPr>
            <w:r w:rsidRPr="00E7686B">
              <w:rPr>
                <w:szCs w:val="24"/>
              </w:rPr>
              <w:t>Enteral</w:t>
            </w:r>
          </w:p>
        </w:tc>
        <w:tc>
          <w:tcPr>
            <w:tcW w:w="1120" w:type="pct"/>
          </w:tcPr>
          <w:p w:rsidR="00A25B5D" w:rsidRPr="00E7686B" w:rsidRDefault="00A25B5D" w:rsidP="00974BE1">
            <w:pPr>
              <w:cnfStyle w:val="000000000000" w:firstRow="0" w:lastRow="0" w:firstColumn="0" w:lastColumn="0" w:oddVBand="0" w:evenVBand="0" w:oddHBand="0" w:evenHBand="0" w:firstRowFirstColumn="0" w:firstRowLastColumn="0" w:lastRowFirstColumn="0" w:lastRowLastColumn="0"/>
              <w:rPr>
                <w:szCs w:val="24"/>
              </w:rPr>
            </w:pPr>
            <w:r w:rsidRPr="00E7686B">
              <w:rPr>
                <w:szCs w:val="24"/>
              </w:rPr>
              <w:t>51</w:t>
            </w:r>
          </w:p>
        </w:tc>
      </w:tr>
      <w:tr w:rsidR="00A25B5D" w:rsidRPr="00E7686B" w:rsidTr="00CC6F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pct"/>
          </w:tcPr>
          <w:p w:rsidR="00A25B5D" w:rsidRPr="00CC6FCA" w:rsidRDefault="00A25B5D" w:rsidP="00974BE1">
            <w:pPr>
              <w:rPr>
                <w:szCs w:val="24"/>
              </w:rPr>
            </w:pPr>
          </w:p>
        </w:tc>
        <w:tc>
          <w:tcPr>
            <w:tcW w:w="2056" w:type="pct"/>
          </w:tcPr>
          <w:p w:rsidR="00A25B5D" w:rsidRPr="00E7686B" w:rsidRDefault="00A25B5D" w:rsidP="00974BE1">
            <w:pPr>
              <w:cnfStyle w:val="000000100000" w:firstRow="0" w:lastRow="0" w:firstColumn="0" w:lastColumn="0" w:oddVBand="0" w:evenVBand="0" w:oddHBand="1" w:evenHBand="0" w:firstRowFirstColumn="0" w:firstRowLastColumn="0" w:lastRowFirstColumn="0" w:lastRowLastColumn="0"/>
              <w:rPr>
                <w:szCs w:val="24"/>
              </w:rPr>
            </w:pPr>
            <w:r w:rsidRPr="00E7686B">
              <w:rPr>
                <w:szCs w:val="24"/>
              </w:rPr>
              <w:t>Rheumatology</w:t>
            </w:r>
          </w:p>
        </w:tc>
        <w:tc>
          <w:tcPr>
            <w:tcW w:w="1120" w:type="pct"/>
          </w:tcPr>
          <w:p w:rsidR="00A25B5D" w:rsidRPr="00E7686B" w:rsidRDefault="00A25B5D" w:rsidP="00974BE1">
            <w:pPr>
              <w:cnfStyle w:val="000000100000" w:firstRow="0" w:lastRow="0" w:firstColumn="0" w:lastColumn="0" w:oddVBand="0" w:evenVBand="0" w:oddHBand="1" w:evenHBand="0" w:firstRowFirstColumn="0" w:firstRowLastColumn="0" w:lastRowFirstColumn="0" w:lastRowLastColumn="0"/>
              <w:rPr>
                <w:szCs w:val="24"/>
              </w:rPr>
            </w:pPr>
            <w:r w:rsidRPr="00E7686B">
              <w:rPr>
                <w:szCs w:val="24"/>
              </w:rPr>
              <w:t>7</w:t>
            </w:r>
          </w:p>
        </w:tc>
      </w:tr>
      <w:tr w:rsidR="00A25B5D" w:rsidRPr="00E7686B" w:rsidTr="00CC6FCA">
        <w:tc>
          <w:tcPr>
            <w:cnfStyle w:val="001000000000" w:firstRow="0" w:lastRow="0" w:firstColumn="1" w:lastColumn="0" w:oddVBand="0" w:evenVBand="0" w:oddHBand="0" w:evenHBand="0" w:firstRowFirstColumn="0" w:firstRowLastColumn="0" w:lastRowFirstColumn="0" w:lastRowLastColumn="0"/>
            <w:tcW w:w="1824" w:type="pct"/>
          </w:tcPr>
          <w:p w:rsidR="00A25B5D" w:rsidRPr="00CC6FCA" w:rsidRDefault="00A25B5D" w:rsidP="00974BE1">
            <w:pPr>
              <w:rPr>
                <w:szCs w:val="24"/>
              </w:rPr>
            </w:pPr>
          </w:p>
        </w:tc>
        <w:tc>
          <w:tcPr>
            <w:tcW w:w="2056" w:type="pct"/>
          </w:tcPr>
          <w:p w:rsidR="00A25B5D" w:rsidRPr="00E7686B" w:rsidRDefault="00A25B5D" w:rsidP="00974BE1">
            <w:pPr>
              <w:cnfStyle w:val="000000000000" w:firstRow="0" w:lastRow="0" w:firstColumn="0" w:lastColumn="0" w:oddVBand="0" w:evenVBand="0" w:oddHBand="0" w:evenHBand="0" w:firstRowFirstColumn="0" w:firstRowLastColumn="0" w:lastRowFirstColumn="0" w:lastRowLastColumn="0"/>
              <w:rPr>
                <w:szCs w:val="24"/>
              </w:rPr>
            </w:pPr>
            <w:r w:rsidRPr="00E7686B">
              <w:rPr>
                <w:szCs w:val="24"/>
              </w:rPr>
              <w:t>Bladder/bowel</w:t>
            </w:r>
          </w:p>
        </w:tc>
        <w:tc>
          <w:tcPr>
            <w:tcW w:w="1120" w:type="pct"/>
          </w:tcPr>
          <w:p w:rsidR="00A25B5D" w:rsidRPr="00E7686B" w:rsidRDefault="00A25B5D" w:rsidP="00974BE1">
            <w:pPr>
              <w:cnfStyle w:val="000000000000" w:firstRow="0" w:lastRow="0" w:firstColumn="0" w:lastColumn="0" w:oddVBand="0" w:evenVBand="0" w:oddHBand="0" w:evenHBand="0" w:firstRowFirstColumn="0" w:firstRowLastColumn="0" w:lastRowFirstColumn="0" w:lastRowLastColumn="0"/>
              <w:rPr>
                <w:szCs w:val="24"/>
              </w:rPr>
            </w:pPr>
            <w:r w:rsidRPr="00E7686B">
              <w:rPr>
                <w:szCs w:val="24"/>
              </w:rPr>
              <w:t>6</w:t>
            </w:r>
          </w:p>
        </w:tc>
      </w:tr>
      <w:tr w:rsidR="00A25B5D" w:rsidRPr="00E7686B" w:rsidTr="00CC6F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pct"/>
          </w:tcPr>
          <w:p w:rsidR="00A25B5D" w:rsidRPr="00CC6FCA" w:rsidRDefault="00A25B5D" w:rsidP="00974BE1">
            <w:pPr>
              <w:rPr>
                <w:szCs w:val="24"/>
              </w:rPr>
            </w:pPr>
          </w:p>
        </w:tc>
        <w:tc>
          <w:tcPr>
            <w:tcW w:w="2056" w:type="pct"/>
          </w:tcPr>
          <w:p w:rsidR="00A25B5D" w:rsidRPr="00E7686B" w:rsidRDefault="00A25B5D" w:rsidP="00974BE1">
            <w:pPr>
              <w:cnfStyle w:val="000000100000" w:firstRow="0" w:lastRow="0" w:firstColumn="0" w:lastColumn="0" w:oddVBand="0" w:evenVBand="0" w:oddHBand="1" w:evenHBand="0" w:firstRowFirstColumn="0" w:firstRowLastColumn="0" w:lastRowFirstColumn="0" w:lastRowLastColumn="0"/>
              <w:rPr>
                <w:szCs w:val="24"/>
              </w:rPr>
            </w:pPr>
            <w:r w:rsidRPr="00E7686B">
              <w:rPr>
                <w:szCs w:val="24"/>
              </w:rPr>
              <w:t>Neurological/ degenerative</w:t>
            </w:r>
          </w:p>
        </w:tc>
        <w:tc>
          <w:tcPr>
            <w:tcW w:w="1120" w:type="pct"/>
          </w:tcPr>
          <w:p w:rsidR="00A25B5D" w:rsidRPr="00E7686B" w:rsidRDefault="00A25B5D" w:rsidP="00974BE1">
            <w:pPr>
              <w:cnfStyle w:val="000000100000" w:firstRow="0" w:lastRow="0" w:firstColumn="0" w:lastColumn="0" w:oddVBand="0" w:evenVBand="0" w:oddHBand="1" w:evenHBand="0" w:firstRowFirstColumn="0" w:firstRowLastColumn="0" w:lastRowFirstColumn="0" w:lastRowLastColumn="0"/>
              <w:rPr>
                <w:szCs w:val="24"/>
              </w:rPr>
            </w:pPr>
            <w:r w:rsidRPr="00E7686B">
              <w:rPr>
                <w:szCs w:val="24"/>
              </w:rPr>
              <w:t>4</w:t>
            </w:r>
          </w:p>
        </w:tc>
      </w:tr>
      <w:tr w:rsidR="00A25B5D" w:rsidRPr="00E7686B" w:rsidTr="00CC6FCA">
        <w:tc>
          <w:tcPr>
            <w:cnfStyle w:val="001000000000" w:firstRow="0" w:lastRow="0" w:firstColumn="1" w:lastColumn="0" w:oddVBand="0" w:evenVBand="0" w:oddHBand="0" w:evenHBand="0" w:firstRowFirstColumn="0" w:firstRowLastColumn="0" w:lastRowFirstColumn="0" w:lastRowLastColumn="0"/>
            <w:tcW w:w="1824" w:type="pct"/>
          </w:tcPr>
          <w:p w:rsidR="00A25B5D" w:rsidRPr="00CC6FCA" w:rsidRDefault="00A25B5D" w:rsidP="00974BE1">
            <w:pPr>
              <w:rPr>
                <w:szCs w:val="24"/>
              </w:rPr>
            </w:pPr>
          </w:p>
        </w:tc>
        <w:tc>
          <w:tcPr>
            <w:tcW w:w="2056" w:type="pct"/>
          </w:tcPr>
          <w:p w:rsidR="00A25B5D" w:rsidRPr="00E7686B" w:rsidRDefault="00A25B5D" w:rsidP="00974BE1">
            <w:pPr>
              <w:cnfStyle w:val="000000000000" w:firstRow="0" w:lastRow="0" w:firstColumn="0" w:lastColumn="0" w:oddVBand="0" w:evenVBand="0" w:oddHBand="0" w:evenHBand="0" w:firstRowFirstColumn="0" w:firstRowLastColumn="0" w:lastRowFirstColumn="0" w:lastRowLastColumn="0"/>
              <w:rPr>
                <w:szCs w:val="24"/>
              </w:rPr>
            </w:pPr>
            <w:r w:rsidRPr="00E7686B">
              <w:rPr>
                <w:szCs w:val="24"/>
              </w:rPr>
              <w:t>Other</w:t>
            </w:r>
          </w:p>
        </w:tc>
        <w:tc>
          <w:tcPr>
            <w:tcW w:w="1120" w:type="pct"/>
          </w:tcPr>
          <w:p w:rsidR="00A25B5D" w:rsidRPr="00E7686B" w:rsidRDefault="00A25B5D" w:rsidP="00974BE1">
            <w:pPr>
              <w:cnfStyle w:val="000000000000" w:firstRow="0" w:lastRow="0" w:firstColumn="0" w:lastColumn="0" w:oddVBand="0" w:evenVBand="0" w:oddHBand="0" w:evenHBand="0" w:firstRowFirstColumn="0" w:firstRowLastColumn="0" w:lastRowFirstColumn="0" w:lastRowLastColumn="0"/>
              <w:rPr>
                <w:szCs w:val="24"/>
              </w:rPr>
            </w:pPr>
            <w:r w:rsidRPr="00E7686B">
              <w:rPr>
                <w:szCs w:val="24"/>
              </w:rPr>
              <w:t>3</w:t>
            </w:r>
          </w:p>
        </w:tc>
      </w:tr>
      <w:tr w:rsidR="00A25B5D" w:rsidRPr="00E7686B" w:rsidTr="00CC6F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pct"/>
          </w:tcPr>
          <w:p w:rsidR="00A25B5D" w:rsidRPr="00CC6FCA" w:rsidRDefault="00A25B5D" w:rsidP="00974BE1">
            <w:pPr>
              <w:rPr>
                <w:szCs w:val="24"/>
              </w:rPr>
            </w:pPr>
          </w:p>
        </w:tc>
        <w:tc>
          <w:tcPr>
            <w:tcW w:w="2056" w:type="pct"/>
          </w:tcPr>
          <w:p w:rsidR="00A25B5D" w:rsidRPr="00E7686B" w:rsidRDefault="00A25B5D" w:rsidP="00974BE1">
            <w:pPr>
              <w:cnfStyle w:val="000000100000" w:firstRow="0" w:lastRow="0" w:firstColumn="0" w:lastColumn="0" w:oddVBand="0" w:evenVBand="0" w:oddHBand="1" w:evenHBand="0" w:firstRowFirstColumn="0" w:firstRowLastColumn="0" w:lastRowFirstColumn="0" w:lastRowLastColumn="0"/>
              <w:rPr>
                <w:b/>
                <w:szCs w:val="24"/>
              </w:rPr>
            </w:pPr>
            <w:r w:rsidRPr="00E7686B">
              <w:rPr>
                <w:b/>
                <w:szCs w:val="24"/>
              </w:rPr>
              <w:t>Total</w:t>
            </w:r>
          </w:p>
        </w:tc>
        <w:tc>
          <w:tcPr>
            <w:tcW w:w="1120" w:type="pct"/>
          </w:tcPr>
          <w:p w:rsidR="00A25B5D" w:rsidRPr="00E7686B" w:rsidRDefault="00A25B5D" w:rsidP="00974BE1">
            <w:pPr>
              <w:cnfStyle w:val="000000100000" w:firstRow="0" w:lastRow="0" w:firstColumn="0" w:lastColumn="0" w:oddVBand="0" w:evenVBand="0" w:oddHBand="1" w:evenHBand="0" w:firstRowFirstColumn="0" w:firstRowLastColumn="0" w:lastRowFirstColumn="0" w:lastRowLastColumn="0"/>
              <w:rPr>
                <w:b/>
                <w:szCs w:val="24"/>
              </w:rPr>
            </w:pPr>
            <w:r w:rsidRPr="00E7686B">
              <w:rPr>
                <w:b/>
                <w:szCs w:val="24"/>
              </w:rPr>
              <w:t>95</w:t>
            </w:r>
          </w:p>
        </w:tc>
      </w:tr>
      <w:tr w:rsidR="00A25B5D" w:rsidRPr="00E7686B" w:rsidTr="00CC6FCA">
        <w:tc>
          <w:tcPr>
            <w:cnfStyle w:val="001000000000" w:firstRow="0" w:lastRow="0" w:firstColumn="1" w:lastColumn="0" w:oddVBand="0" w:evenVBand="0" w:oddHBand="0" w:evenHBand="0" w:firstRowFirstColumn="0" w:firstRowLastColumn="0" w:lastRowFirstColumn="0" w:lastRowLastColumn="0"/>
            <w:tcW w:w="1824" w:type="pct"/>
          </w:tcPr>
          <w:p w:rsidR="00A25B5D" w:rsidRPr="00CC6FCA" w:rsidRDefault="00A25B5D" w:rsidP="00974BE1">
            <w:pPr>
              <w:rPr>
                <w:szCs w:val="24"/>
              </w:rPr>
            </w:pPr>
            <w:r w:rsidRPr="00CC6FCA">
              <w:rPr>
                <w:szCs w:val="24"/>
              </w:rPr>
              <w:t>Continuing care</w:t>
            </w:r>
          </w:p>
        </w:tc>
        <w:tc>
          <w:tcPr>
            <w:tcW w:w="2056" w:type="pct"/>
          </w:tcPr>
          <w:p w:rsidR="00A25B5D" w:rsidRPr="00E7686B" w:rsidRDefault="00A25B5D" w:rsidP="00974BE1">
            <w:pPr>
              <w:cnfStyle w:val="000000000000" w:firstRow="0" w:lastRow="0" w:firstColumn="0" w:lastColumn="0" w:oddVBand="0" w:evenVBand="0" w:oddHBand="0" w:evenHBand="0" w:firstRowFirstColumn="0" w:firstRowLastColumn="0" w:lastRowFirstColumn="0" w:lastRowLastColumn="0"/>
              <w:rPr>
                <w:szCs w:val="24"/>
              </w:rPr>
            </w:pPr>
            <w:r w:rsidRPr="00E7686B">
              <w:rPr>
                <w:szCs w:val="24"/>
              </w:rPr>
              <w:t>Long term ventilation</w:t>
            </w:r>
          </w:p>
        </w:tc>
        <w:tc>
          <w:tcPr>
            <w:tcW w:w="1120" w:type="pct"/>
          </w:tcPr>
          <w:p w:rsidR="00A25B5D" w:rsidRPr="00E7686B" w:rsidRDefault="00A25B5D" w:rsidP="00974BE1">
            <w:pPr>
              <w:cnfStyle w:val="000000000000" w:firstRow="0" w:lastRow="0" w:firstColumn="0" w:lastColumn="0" w:oddVBand="0" w:evenVBand="0" w:oddHBand="0" w:evenHBand="0" w:firstRowFirstColumn="0" w:firstRowLastColumn="0" w:lastRowFirstColumn="0" w:lastRowLastColumn="0"/>
              <w:rPr>
                <w:szCs w:val="24"/>
              </w:rPr>
            </w:pPr>
            <w:r w:rsidRPr="00E7686B">
              <w:rPr>
                <w:szCs w:val="24"/>
              </w:rPr>
              <w:t>10</w:t>
            </w:r>
          </w:p>
        </w:tc>
      </w:tr>
      <w:tr w:rsidR="00A25B5D" w:rsidRPr="00E7686B" w:rsidTr="00CC6F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pct"/>
          </w:tcPr>
          <w:p w:rsidR="00A25B5D" w:rsidRPr="00CC6FCA" w:rsidRDefault="00A25B5D" w:rsidP="00974BE1">
            <w:pPr>
              <w:rPr>
                <w:szCs w:val="24"/>
              </w:rPr>
            </w:pPr>
            <w:r w:rsidRPr="00CC6FCA">
              <w:rPr>
                <w:szCs w:val="24"/>
              </w:rPr>
              <w:t>Total</w:t>
            </w:r>
          </w:p>
        </w:tc>
        <w:tc>
          <w:tcPr>
            <w:tcW w:w="2056" w:type="pct"/>
          </w:tcPr>
          <w:p w:rsidR="00A25B5D" w:rsidRPr="00E7686B" w:rsidRDefault="00A25B5D" w:rsidP="00974BE1">
            <w:pPr>
              <w:cnfStyle w:val="000000100000" w:firstRow="0" w:lastRow="0" w:firstColumn="0" w:lastColumn="0" w:oddVBand="0" w:evenVBand="0" w:oddHBand="1" w:evenHBand="0" w:firstRowFirstColumn="0" w:firstRowLastColumn="0" w:lastRowFirstColumn="0" w:lastRowLastColumn="0"/>
              <w:rPr>
                <w:b/>
                <w:szCs w:val="24"/>
              </w:rPr>
            </w:pPr>
          </w:p>
        </w:tc>
        <w:tc>
          <w:tcPr>
            <w:tcW w:w="1120" w:type="pct"/>
          </w:tcPr>
          <w:p w:rsidR="00A25B5D" w:rsidRPr="00E7686B" w:rsidRDefault="00A25B5D" w:rsidP="00974BE1">
            <w:pPr>
              <w:cnfStyle w:val="000000100000" w:firstRow="0" w:lastRow="0" w:firstColumn="0" w:lastColumn="0" w:oddVBand="0" w:evenVBand="0" w:oddHBand="1" w:evenHBand="0" w:firstRowFirstColumn="0" w:firstRowLastColumn="0" w:lastRowFirstColumn="0" w:lastRowLastColumn="0"/>
              <w:rPr>
                <w:b/>
                <w:szCs w:val="24"/>
              </w:rPr>
            </w:pPr>
            <w:r w:rsidRPr="00E7686B">
              <w:rPr>
                <w:b/>
                <w:szCs w:val="24"/>
              </w:rPr>
              <w:t>105</w:t>
            </w:r>
          </w:p>
        </w:tc>
      </w:tr>
    </w:tbl>
    <w:p w:rsidR="00717DE5" w:rsidRDefault="00717DE5" w:rsidP="00717DE5">
      <w:pPr>
        <w:pStyle w:val="Caption"/>
        <w:rPr>
          <w:rFonts w:cs="Arial"/>
          <w:szCs w:val="24"/>
        </w:rPr>
      </w:pPr>
      <w:r>
        <w:t xml:space="preserve">Figure </w:t>
      </w:r>
      <w:r w:rsidR="00156E8B">
        <w:fldChar w:fldCharType="begin"/>
      </w:r>
      <w:r w:rsidR="00156E8B">
        <w:instrText xml:space="preserve"> SEQ Figure \* ARABIC </w:instrText>
      </w:r>
      <w:r w:rsidR="00156E8B">
        <w:fldChar w:fldCharType="separate"/>
      </w:r>
      <w:r w:rsidR="005C553C">
        <w:rPr>
          <w:noProof/>
        </w:rPr>
        <w:t>27</w:t>
      </w:r>
      <w:r w:rsidR="00156E8B">
        <w:rPr>
          <w:noProof/>
        </w:rPr>
        <w:fldChar w:fldCharType="end"/>
      </w:r>
      <w:r>
        <w:t xml:space="preserve"> Medway COaST caseload June 2015</w:t>
      </w:r>
    </w:p>
    <w:p w:rsidR="004F5009" w:rsidRDefault="004F5009" w:rsidP="00CC3B06">
      <w:pPr>
        <w:contextualSpacing/>
        <w:rPr>
          <w:rFonts w:cs="Arial"/>
          <w:szCs w:val="24"/>
        </w:rPr>
      </w:pPr>
    </w:p>
    <w:p w:rsidR="00F26EEB" w:rsidRDefault="004F5009" w:rsidP="00CC3B06">
      <w:pPr>
        <w:contextualSpacing/>
        <w:rPr>
          <w:rFonts w:cs="Arial"/>
          <w:szCs w:val="24"/>
        </w:rPr>
      </w:pPr>
      <w:r>
        <w:rPr>
          <w:rFonts w:cs="Arial"/>
          <w:szCs w:val="24"/>
        </w:rPr>
        <w:t>Fig</w:t>
      </w:r>
      <w:r w:rsidR="00717DE5">
        <w:rPr>
          <w:rFonts w:cs="Arial"/>
          <w:szCs w:val="24"/>
        </w:rPr>
        <w:t>ure</w:t>
      </w:r>
      <w:r w:rsidR="005A398C">
        <w:rPr>
          <w:rFonts w:cs="Arial"/>
          <w:szCs w:val="24"/>
        </w:rPr>
        <w:t xml:space="preserve"> </w:t>
      </w:r>
      <w:r w:rsidR="00717DE5">
        <w:rPr>
          <w:rFonts w:cs="Arial"/>
          <w:szCs w:val="24"/>
        </w:rPr>
        <w:t>28</w:t>
      </w:r>
      <w:r w:rsidR="005A398C">
        <w:rPr>
          <w:rFonts w:cs="Arial"/>
          <w:szCs w:val="24"/>
        </w:rPr>
        <w:t xml:space="preserve"> compares the</w:t>
      </w:r>
      <w:r w:rsidR="00F26EEB">
        <w:rPr>
          <w:rFonts w:cs="Arial"/>
          <w:szCs w:val="24"/>
        </w:rPr>
        <w:t xml:space="preserve"> length of stay following admission in </w:t>
      </w:r>
      <w:r w:rsidR="005A398C">
        <w:rPr>
          <w:rFonts w:cs="Arial"/>
          <w:szCs w:val="24"/>
        </w:rPr>
        <w:t xml:space="preserve">Medway </w:t>
      </w:r>
      <w:r w:rsidR="00F26EEB">
        <w:rPr>
          <w:rFonts w:cs="Arial"/>
          <w:szCs w:val="24"/>
        </w:rPr>
        <w:t>children</w:t>
      </w:r>
      <w:r w:rsidR="005A398C">
        <w:rPr>
          <w:rFonts w:cs="Arial"/>
          <w:szCs w:val="24"/>
        </w:rPr>
        <w:t xml:space="preserve"> with complex conditions</w:t>
      </w:r>
      <w:r w:rsidR="00F26EEB">
        <w:rPr>
          <w:rFonts w:cs="Arial"/>
          <w:szCs w:val="24"/>
        </w:rPr>
        <w:t xml:space="preserve"> aged between 14 days </w:t>
      </w:r>
      <w:r w:rsidR="005D1EA6">
        <w:rPr>
          <w:rFonts w:cs="Arial"/>
          <w:szCs w:val="24"/>
        </w:rPr>
        <w:t>and 15 years</w:t>
      </w:r>
      <w:r w:rsidR="005A398C">
        <w:rPr>
          <w:rFonts w:cs="Arial"/>
          <w:szCs w:val="24"/>
        </w:rPr>
        <w:t xml:space="preserve"> with England and similar CCGs. </w:t>
      </w:r>
      <w:r w:rsidR="005D1EA6">
        <w:rPr>
          <w:rFonts w:cs="Arial"/>
          <w:szCs w:val="24"/>
        </w:rPr>
        <w:t xml:space="preserve"> Medway </w:t>
      </w:r>
      <w:r w:rsidR="00F26EEB">
        <w:rPr>
          <w:rFonts w:cs="Arial"/>
          <w:szCs w:val="24"/>
        </w:rPr>
        <w:t>children</w:t>
      </w:r>
      <w:r w:rsidR="008D2E97">
        <w:rPr>
          <w:rFonts w:cs="Arial"/>
          <w:szCs w:val="24"/>
        </w:rPr>
        <w:t xml:space="preserve"> </w:t>
      </w:r>
      <w:r w:rsidR="00F26EEB">
        <w:rPr>
          <w:rFonts w:cs="Arial"/>
          <w:szCs w:val="24"/>
        </w:rPr>
        <w:t xml:space="preserve">experience longer </w:t>
      </w:r>
      <w:r w:rsidR="008D2E97">
        <w:rPr>
          <w:rFonts w:cs="Arial"/>
          <w:szCs w:val="24"/>
        </w:rPr>
        <w:t xml:space="preserve">hospital </w:t>
      </w:r>
      <w:r w:rsidR="00F26EEB">
        <w:rPr>
          <w:rFonts w:cs="Arial"/>
          <w:szCs w:val="24"/>
        </w:rPr>
        <w:t>stays than similar CCGs and regionally</w:t>
      </w:r>
      <w:r w:rsidR="00F26EEB">
        <w:rPr>
          <w:rStyle w:val="FootnoteReference"/>
          <w:rFonts w:cs="Arial"/>
          <w:szCs w:val="24"/>
        </w:rPr>
        <w:footnoteReference w:id="55"/>
      </w:r>
      <w:r w:rsidR="00F26EEB">
        <w:rPr>
          <w:rFonts w:cs="Arial"/>
          <w:szCs w:val="24"/>
        </w:rPr>
        <w:t xml:space="preserve">, and </w:t>
      </w:r>
      <w:r w:rsidR="005D1EA6">
        <w:rPr>
          <w:rFonts w:cs="Arial"/>
          <w:szCs w:val="24"/>
        </w:rPr>
        <w:t>is</w:t>
      </w:r>
      <w:r w:rsidR="008D2E97">
        <w:rPr>
          <w:rFonts w:cs="Arial"/>
          <w:szCs w:val="24"/>
        </w:rPr>
        <w:t xml:space="preserve"> rated 196</w:t>
      </w:r>
      <w:r w:rsidR="008D2E97" w:rsidRPr="008D2E97">
        <w:rPr>
          <w:rFonts w:cs="Arial"/>
          <w:szCs w:val="24"/>
          <w:vertAlign w:val="superscript"/>
        </w:rPr>
        <w:t>th</w:t>
      </w:r>
      <w:r w:rsidR="008D2E97">
        <w:rPr>
          <w:rFonts w:cs="Arial"/>
          <w:szCs w:val="24"/>
        </w:rPr>
        <w:t xml:space="preserve"> out of 221 CCGs.</w:t>
      </w:r>
    </w:p>
    <w:p w:rsidR="003C2F01" w:rsidRDefault="003C2F01" w:rsidP="00CC3B06">
      <w:pPr>
        <w:contextualSpacing/>
        <w:rPr>
          <w:rFonts w:cs="Arial"/>
          <w:szCs w:val="24"/>
        </w:rPr>
      </w:pPr>
    </w:p>
    <w:tbl>
      <w:tblPr>
        <w:tblStyle w:val="LightList-Accent1"/>
        <w:tblW w:w="5000" w:type="pct"/>
        <w:tblLook w:val="04A0" w:firstRow="1" w:lastRow="0" w:firstColumn="1" w:lastColumn="0" w:noHBand="0" w:noVBand="1"/>
      </w:tblPr>
      <w:tblGrid>
        <w:gridCol w:w="6915"/>
        <w:gridCol w:w="1163"/>
        <w:gridCol w:w="1164"/>
      </w:tblGrid>
      <w:tr w:rsidR="005A398C" w:rsidRPr="00323777" w:rsidTr="00CC6FCA">
        <w:trPr>
          <w:cnfStyle w:val="100000000000" w:firstRow="1" w:lastRow="0" w:firstColumn="0" w:lastColumn="0" w:oddVBand="0" w:evenVBand="0" w:oddHBand="0"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2037" w:type="pct"/>
            <w:noWrap/>
            <w:hideMark/>
          </w:tcPr>
          <w:p w:rsidR="005A398C" w:rsidRPr="00323777" w:rsidRDefault="005A398C" w:rsidP="00580985">
            <w:pPr>
              <w:jc w:val="center"/>
              <w:rPr>
                <w:rFonts w:eastAsia="Times New Roman" w:cs="Arial"/>
                <w:bCs w:val="0"/>
                <w:lang w:eastAsia="en-GB"/>
              </w:rPr>
            </w:pPr>
            <w:r w:rsidRPr="00323777">
              <w:rPr>
                <w:rFonts w:eastAsia="Times New Roman" w:cs="Arial"/>
                <w:bCs w:val="0"/>
                <w:lang w:eastAsia="en-GB"/>
              </w:rPr>
              <w:lastRenderedPageBreak/>
              <w:t>Children and young people with any complex condition 2013/14 </w:t>
            </w:r>
          </w:p>
        </w:tc>
        <w:tc>
          <w:tcPr>
            <w:tcW w:w="1481" w:type="pct"/>
            <w:hideMark/>
          </w:tcPr>
          <w:p w:rsidR="005A398C" w:rsidRPr="00323777" w:rsidRDefault="005A398C" w:rsidP="00580985">
            <w:pPr>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lang w:eastAsia="en-GB"/>
              </w:rPr>
            </w:pPr>
            <w:r w:rsidRPr="00323777">
              <w:rPr>
                <w:rFonts w:eastAsia="Times New Roman" w:cs="Arial"/>
                <w:bCs w:val="0"/>
                <w:lang w:eastAsia="en-GB"/>
              </w:rPr>
              <w:t>Bed days</w:t>
            </w:r>
          </w:p>
        </w:tc>
        <w:tc>
          <w:tcPr>
            <w:tcW w:w="1481" w:type="pct"/>
            <w:hideMark/>
          </w:tcPr>
          <w:p w:rsidR="005A398C" w:rsidRPr="00323777" w:rsidRDefault="005A398C" w:rsidP="00580985">
            <w:pPr>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lang w:eastAsia="en-GB"/>
              </w:rPr>
            </w:pPr>
            <w:r w:rsidRPr="00323777">
              <w:rPr>
                <w:rFonts w:eastAsia="Times New Roman" w:cs="Arial"/>
                <w:bCs w:val="0"/>
                <w:lang w:eastAsia="en-GB"/>
              </w:rPr>
              <w:t>Average length of stay (days)</w:t>
            </w:r>
          </w:p>
        </w:tc>
      </w:tr>
      <w:tr w:rsidR="005A398C" w:rsidRPr="008C2443" w:rsidTr="00CC6FCA">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2037" w:type="pct"/>
            <w:hideMark/>
          </w:tcPr>
          <w:p w:rsidR="005A398C" w:rsidRPr="008C2443" w:rsidRDefault="005A398C" w:rsidP="00580985">
            <w:pPr>
              <w:rPr>
                <w:rFonts w:eastAsia="Times New Roman" w:cs="Arial"/>
                <w:lang w:eastAsia="en-GB"/>
              </w:rPr>
            </w:pPr>
            <w:r w:rsidRPr="008C2443">
              <w:rPr>
                <w:rFonts w:eastAsia="Times New Roman" w:cs="Arial"/>
                <w:lang w:eastAsia="en-GB"/>
              </w:rPr>
              <w:t>NHS Medway (number)</w:t>
            </w:r>
          </w:p>
        </w:tc>
        <w:tc>
          <w:tcPr>
            <w:tcW w:w="1481" w:type="pct"/>
            <w:noWrap/>
            <w:vAlign w:val="center"/>
            <w:hideMark/>
          </w:tcPr>
          <w:p w:rsidR="005A398C" w:rsidRPr="008C2443" w:rsidRDefault="005A398C" w:rsidP="00CC6FCA">
            <w:pPr>
              <w:jc w:val="center"/>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sidRPr="008C2443">
              <w:rPr>
                <w:rFonts w:eastAsia="Times New Roman" w:cs="Arial"/>
                <w:lang w:eastAsia="en-GB"/>
              </w:rPr>
              <w:t>3,808</w:t>
            </w:r>
          </w:p>
        </w:tc>
        <w:tc>
          <w:tcPr>
            <w:tcW w:w="1481" w:type="pct"/>
            <w:noWrap/>
            <w:vAlign w:val="center"/>
            <w:hideMark/>
          </w:tcPr>
          <w:p w:rsidR="005A398C" w:rsidRPr="008C2443" w:rsidRDefault="005A398C" w:rsidP="00CC6FCA">
            <w:pPr>
              <w:jc w:val="center"/>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sidRPr="008C2443">
              <w:rPr>
                <w:rFonts w:eastAsia="Times New Roman" w:cs="Arial"/>
                <w:lang w:eastAsia="en-GB"/>
              </w:rPr>
              <w:t>4.19</w:t>
            </w:r>
          </w:p>
        </w:tc>
      </w:tr>
      <w:tr w:rsidR="005A398C" w:rsidRPr="008C2443" w:rsidTr="00CC6FCA">
        <w:trPr>
          <w:trHeight w:val="589"/>
        </w:trPr>
        <w:tc>
          <w:tcPr>
            <w:cnfStyle w:val="001000000000" w:firstRow="0" w:lastRow="0" w:firstColumn="1" w:lastColumn="0" w:oddVBand="0" w:evenVBand="0" w:oddHBand="0" w:evenHBand="0" w:firstRowFirstColumn="0" w:firstRowLastColumn="0" w:lastRowFirstColumn="0" w:lastRowLastColumn="0"/>
            <w:tcW w:w="2037" w:type="pct"/>
            <w:hideMark/>
          </w:tcPr>
          <w:p w:rsidR="005A398C" w:rsidRPr="008C2443" w:rsidRDefault="005A398C" w:rsidP="00580985">
            <w:pPr>
              <w:rPr>
                <w:rFonts w:eastAsia="Times New Roman" w:cs="Arial"/>
                <w:lang w:eastAsia="en-GB"/>
              </w:rPr>
            </w:pPr>
            <w:r w:rsidRPr="008C2443">
              <w:rPr>
                <w:rFonts w:eastAsia="Times New Roman" w:cs="Arial"/>
                <w:lang w:eastAsia="en-GB"/>
              </w:rPr>
              <w:t>NHS Medway (rate per 100,000)</w:t>
            </w:r>
          </w:p>
        </w:tc>
        <w:tc>
          <w:tcPr>
            <w:tcW w:w="1481" w:type="pct"/>
            <w:noWrap/>
            <w:vAlign w:val="center"/>
            <w:hideMark/>
          </w:tcPr>
          <w:p w:rsidR="005A398C" w:rsidRPr="008C2443" w:rsidRDefault="005A398C" w:rsidP="00CC6FCA">
            <w:pPr>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sidRPr="008C2443">
              <w:rPr>
                <w:rFonts w:eastAsia="Times New Roman" w:cs="Arial"/>
                <w:lang w:eastAsia="en-GB"/>
              </w:rPr>
              <w:t>6,607.7</w:t>
            </w:r>
          </w:p>
        </w:tc>
        <w:tc>
          <w:tcPr>
            <w:tcW w:w="1481" w:type="pct"/>
            <w:noWrap/>
            <w:vAlign w:val="center"/>
            <w:hideMark/>
          </w:tcPr>
          <w:p w:rsidR="005A398C" w:rsidRPr="008C2443" w:rsidRDefault="00CC6FCA" w:rsidP="00CC6FCA">
            <w:pPr>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Pr>
                <w:rFonts w:eastAsia="Times New Roman" w:cs="Arial"/>
                <w:lang w:eastAsia="en-GB"/>
              </w:rPr>
              <w:t>-</w:t>
            </w:r>
          </w:p>
        </w:tc>
      </w:tr>
      <w:tr w:rsidR="005A398C" w:rsidRPr="008C2443" w:rsidTr="00CC6FCA">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2037" w:type="pct"/>
            <w:hideMark/>
          </w:tcPr>
          <w:p w:rsidR="005A398C" w:rsidRPr="008C2443" w:rsidRDefault="005A398C" w:rsidP="00580985">
            <w:pPr>
              <w:rPr>
                <w:rFonts w:eastAsia="Times New Roman" w:cs="Arial"/>
                <w:lang w:eastAsia="en-GB"/>
              </w:rPr>
            </w:pPr>
            <w:r w:rsidRPr="008C2443">
              <w:rPr>
                <w:rFonts w:eastAsia="Times New Roman" w:cs="Arial"/>
                <w:lang w:eastAsia="en-GB"/>
              </w:rPr>
              <w:t>England</w:t>
            </w:r>
          </w:p>
        </w:tc>
        <w:tc>
          <w:tcPr>
            <w:tcW w:w="1481" w:type="pct"/>
            <w:noWrap/>
            <w:vAlign w:val="center"/>
            <w:hideMark/>
          </w:tcPr>
          <w:p w:rsidR="005A398C" w:rsidRPr="008C2443" w:rsidRDefault="005A398C" w:rsidP="00CC6FCA">
            <w:pPr>
              <w:jc w:val="center"/>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sidRPr="008C2443">
              <w:rPr>
                <w:rFonts w:eastAsia="Times New Roman" w:cs="Arial"/>
                <w:lang w:eastAsia="en-GB"/>
              </w:rPr>
              <w:t>4,530.1</w:t>
            </w:r>
          </w:p>
        </w:tc>
        <w:tc>
          <w:tcPr>
            <w:tcW w:w="1481" w:type="pct"/>
            <w:noWrap/>
            <w:vAlign w:val="center"/>
            <w:hideMark/>
          </w:tcPr>
          <w:p w:rsidR="005A398C" w:rsidRPr="008C2443" w:rsidRDefault="005A398C" w:rsidP="00CC6FCA">
            <w:pPr>
              <w:jc w:val="center"/>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sidRPr="008C2443">
              <w:rPr>
                <w:rFonts w:eastAsia="Times New Roman" w:cs="Arial"/>
                <w:lang w:eastAsia="en-GB"/>
              </w:rPr>
              <w:t>3.27</w:t>
            </w:r>
          </w:p>
        </w:tc>
      </w:tr>
      <w:tr w:rsidR="005A398C" w:rsidRPr="008C2443" w:rsidTr="00CC4EDF">
        <w:trPr>
          <w:trHeight w:val="589"/>
        </w:trPr>
        <w:tc>
          <w:tcPr>
            <w:cnfStyle w:val="001000000000" w:firstRow="0" w:lastRow="0" w:firstColumn="1" w:lastColumn="0" w:oddVBand="0" w:evenVBand="0" w:oddHBand="0" w:evenHBand="0" w:firstRowFirstColumn="0" w:firstRowLastColumn="0" w:lastRowFirstColumn="0" w:lastRowLastColumn="0"/>
            <w:tcW w:w="2037" w:type="pct"/>
            <w:hideMark/>
          </w:tcPr>
          <w:p w:rsidR="005A398C" w:rsidRPr="008C2443" w:rsidRDefault="005A398C" w:rsidP="00580985">
            <w:pPr>
              <w:rPr>
                <w:rFonts w:eastAsia="Times New Roman" w:cs="Arial"/>
                <w:lang w:eastAsia="en-GB"/>
              </w:rPr>
            </w:pPr>
            <w:r w:rsidRPr="008C2443">
              <w:rPr>
                <w:rFonts w:eastAsia="Times New Roman" w:cs="Arial"/>
                <w:lang w:eastAsia="en-GB"/>
              </w:rPr>
              <w:t>Significance*</w:t>
            </w:r>
          </w:p>
        </w:tc>
        <w:tc>
          <w:tcPr>
            <w:tcW w:w="1481" w:type="pct"/>
            <w:shd w:val="clear" w:color="auto" w:fill="FF0000"/>
            <w:noWrap/>
            <w:vAlign w:val="center"/>
            <w:hideMark/>
          </w:tcPr>
          <w:p w:rsidR="005A398C" w:rsidRPr="008C2443" w:rsidRDefault="005A398C" w:rsidP="00CC6FC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FFFF"/>
                <w:lang w:eastAsia="en-GB"/>
              </w:rPr>
            </w:pPr>
            <w:r w:rsidRPr="008C2443">
              <w:rPr>
                <w:rFonts w:eastAsia="Times New Roman" w:cs="Arial"/>
                <w:color w:val="FFFFFF"/>
                <w:lang w:eastAsia="en-GB"/>
              </w:rPr>
              <w:t>Worse</w:t>
            </w:r>
          </w:p>
        </w:tc>
        <w:tc>
          <w:tcPr>
            <w:tcW w:w="1481" w:type="pct"/>
            <w:shd w:val="clear" w:color="auto" w:fill="FF0000"/>
            <w:noWrap/>
            <w:vAlign w:val="center"/>
            <w:hideMark/>
          </w:tcPr>
          <w:p w:rsidR="005A398C" w:rsidRPr="008C2443" w:rsidRDefault="005A398C" w:rsidP="00CC6FCA">
            <w:pPr>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sidRPr="00CC6FCA">
              <w:rPr>
                <w:rFonts w:eastAsia="Times New Roman" w:cs="Arial"/>
                <w:color w:val="FFFFFF" w:themeColor="background1"/>
                <w:lang w:eastAsia="en-GB"/>
              </w:rPr>
              <w:t>Higher**</w:t>
            </w:r>
          </w:p>
        </w:tc>
      </w:tr>
      <w:tr w:rsidR="005A398C" w:rsidRPr="006075BD" w:rsidTr="00CC6FCA">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2037" w:type="pct"/>
          </w:tcPr>
          <w:p w:rsidR="005A398C" w:rsidRPr="006075BD" w:rsidRDefault="005A398C" w:rsidP="00580985">
            <w:pPr>
              <w:rPr>
                <w:rFonts w:eastAsia="Times New Roman" w:cs="Arial"/>
                <w:lang w:eastAsia="en-GB"/>
              </w:rPr>
            </w:pPr>
            <w:r w:rsidRPr="006075BD">
              <w:rPr>
                <w:rFonts w:eastAsia="Times New Roman" w:cs="Arial"/>
                <w:lang w:eastAsia="en-GB"/>
              </w:rPr>
              <w:t>4 ‘most similar’ CCGs</w:t>
            </w:r>
          </w:p>
        </w:tc>
        <w:tc>
          <w:tcPr>
            <w:tcW w:w="1481" w:type="pct"/>
            <w:noWrap/>
            <w:vAlign w:val="center"/>
          </w:tcPr>
          <w:p w:rsidR="005A398C" w:rsidRPr="006075BD" w:rsidRDefault="005A398C" w:rsidP="00CC6FC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FFFFFF"/>
                <w:lang w:eastAsia="en-GB"/>
              </w:rPr>
            </w:pPr>
            <w:r w:rsidRPr="006075BD">
              <w:rPr>
                <w:rFonts w:eastAsia="Times New Roman" w:cs="Arial"/>
                <w:lang w:eastAsia="en-GB"/>
              </w:rPr>
              <w:t>3,994.3</w:t>
            </w:r>
          </w:p>
        </w:tc>
        <w:tc>
          <w:tcPr>
            <w:tcW w:w="1481" w:type="pct"/>
            <w:noWrap/>
            <w:vAlign w:val="center"/>
          </w:tcPr>
          <w:p w:rsidR="005A398C" w:rsidRPr="006075BD" w:rsidRDefault="005A398C" w:rsidP="00CC6FCA">
            <w:pPr>
              <w:jc w:val="center"/>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sidRPr="006075BD">
              <w:rPr>
                <w:rFonts w:eastAsia="Times New Roman" w:cs="Arial"/>
                <w:lang w:eastAsia="en-GB"/>
              </w:rPr>
              <w:t>2.94</w:t>
            </w:r>
          </w:p>
        </w:tc>
      </w:tr>
      <w:tr w:rsidR="005A398C" w:rsidRPr="006075BD" w:rsidTr="00CC4EDF">
        <w:trPr>
          <w:trHeight w:val="589"/>
        </w:trPr>
        <w:tc>
          <w:tcPr>
            <w:cnfStyle w:val="001000000000" w:firstRow="0" w:lastRow="0" w:firstColumn="1" w:lastColumn="0" w:oddVBand="0" w:evenVBand="0" w:oddHBand="0" w:evenHBand="0" w:firstRowFirstColumn="0" w:firstRowLastColumn="0" w:lastRowFirstColumn="0" w:lastRowLastColumn="0"/>
            <w:tcW w:w="2037" w:type="pct"/>
          </w:tcPr>
          <w:p w:rsidR="005A398C" w:rsidRPr="006075BD" w:rsidRDefault="005A398C" w:rsidP="00580985">
            <w:pPr>
              <w:rPr>
                <w:rFonts w:eastAsia="Times New Roman" w:cs="Arial"/>
                <w:lang w:eastAsia="en-GB"/>
              </w:rPr>
            </w:pPr>
            <w:r w:rsidRPr="006075BD">
              <w:rPr>
                <w:rFonts w:eastAsia="Times New Roman" w:cs="Arial"/>
                <w:lang w:eastAsia="en-GB"/>
              </w:rPr>
              <w:t>Significance**</w:t>
            </w:r>
          </w:p>
        </w:tc>
        <w:tc>
          <w:tcPr>
            <w:tcW w:w="1481" w:type="pct"/>
            <w:shd w:val="clear" w:color="auto" w:fill="FF0000"/>
            <w:noWrap/>
            <w:vAlign w:val="center"/>
          </w:tcPr>
          <w:p w:rsidR="005A398C" w:rsidRPr="006075BD" w:rsidRDefault="005A398C" w:rsidP="00CC6FC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FFFF"/>
                <w:lang w:eastAsia="en-GB"/>
              </w:rPr>
            </w:pPr>
            <w:r w:rsidRPr="006075BD">
              <w:rPr>
                <w:rFonts w:eastAsia="Times New Roman" w:cs="Arial"/>
                <w:color w:val="FFFFFF"/>
                <w:lang w:eastAsia="en-GB"/>
              </w:rPr>
              <w:t>Worse</w:t>
            </w:r>
          </w:p>
        </w:tc>
        <w:tc>
          <w:tcPr>
            <w:tcW w:w="1481" w:type="pct"/>
            <w:shd w:val="clear" w:color="auto" w:fill="FF0000"/>
            <w:noWrap/>
            <w:vAlign w:val="center"/>
          </w:tcPr>
          <w:p w:rsidR="005A398C" w:rsidRPr="006075BD" w:rsidRDefault="005A398C" w:rsidP="00CC6FCA">
            <w:pPr>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sidRPr="00CC6FCA">
              <w:rPr>
                <w:rFonts w:eastAsia="Times New Roman" w:cs="Arial"/>
                <w:color w:val="FFFFFF" w:themeColor="background1"/>
                <w:lang w:eastAsia="en-GB"/>
              </w:rPr>
              <w:t>Higher***</w:t>
            </w:r>
          </w:p>
        </w:tc>
      </w:tr>
      <w:tr w:rsidR="00CC6FCA" w:rsidRPr="00CC6FCA" w:rsidTr="00CC6FC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037" w:type="pct"/>
            <w:vMerge w:val="restart"/>
            <w:hideMark/>
          </w:tcPr>
          <w:p w:rsidR="005A398C" w:rsidRPr="008C2443" w:rsidRDefault="005A398C" w:rsidP="00580985">
            <w:pPr>
              <w:rPr>
                <w:rFonts w:eastAsia="Times New Roman" w:cs="Arial"/>
                <w:lang w:eastAsia="en-GB"/>
              </w:rPr>
            </w:pPr>
            <w:r w:rsidRPr="008C2443">
              <w:rPr>
                <w:rFonts w:eastAsia="Times New Roman" w:cs="Arial"/>
                <w:lang w:eastAsia="en-GB"/>
              </w:rPr>
              <w:t xml:space="preserve">Rank (of 221 CCGs) </w:t>
            </w:r>
            <w:r w:rsidRPr="008C2443">
              <w:rPr>
                <w:rFonts w:eastAsia="Times New Roman" w:cs="Arial"/>
                <w:lang w:eastAsia="en-GB"/>
              </w:rPr>
              <w:br/>
              <w:t>1 indicates 'best'</w:t>
            </w:r>
          </w:p>
        </w:tc>
        <w:tc>
          <w:tcPr>
            <w:tcW w:w="1481" w:type="pct"/>
            <w:vMerge w:val="restart"/>
            <w:noWrap/>
            <w:vAlign w:val="center"/>
            <w:hideMark/>
          </w:tcPr>
          <w:p w:rsidR="005A398C" w:rsidRPr="008C2443" w:rsidRDefault="005A398C" w:rsidP="00CC6FCA">
            <w:pPr>
              <w:jc w:val="center"/>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sidRPr="008C2443">
              <w:rPr>
                <w:rFonts w:eastAsia="Times New Roman" w:cs="Arial"/>
                <w:lang w:eastAsia="en-GB"/>
              </w:rPr>
              <w:t>196</w:t>
            </w:r>
          </w:p>
        </w:tc>
        <w:tc>
          <w:tcPr>
            <w:tcW w:w="1481" w:type="pct"/>
            <w:vMerge w:val="restart"/>
            <w:noWrap/>
            <w:vAlign w:val="center"/>
            <w:hideMark/>
          </w:tcPr>
          <w:p w:rsidR="005A398C" w:rsidRPr="008C2443" w:rsidRDefault="005A398C" w:rsidP="00CC6FCA">
            <w:pPr>
              <w:jc w:val="center"/>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sidRPr="008C2443">
              <w:rPr>
                <w:rFonts w:eastAsia="Times New Roman" w:cs="Arial"/>
                <w:lang w:eastAsia="en-GB"/>
              </w:rPr>
              <w:t>180</w:t>
            </w:r>
          </w:p>
        </w:tc>
      </w:tr>
      <w:tr w:rsidR="005A398C" w:rsidRPr="008C2443" w:rsidTr="00CC6FCA">
        <w:trPr>
          <w:trHeight w:val="285"/>
        </w:trPr>
        <w:tc>
          <w:tcPr>
            <w:cnfStyle w:val="001000000000" w:firstRow="0" w:lastRow="0" w:firstColumn="1" w:lastColumn="0" w:oddVBand="0" w:evenVBand="0" w:oddHBand="0" w:evenHBand="0" w:firstRowFirstColumn="0" w:firstRowLastColumn="0" w:lastRowFirstColumn="0" w:lastRowLastColumn="0"/>
            <w:tcW w:w="2037" w:type="pct"/>
            <w:vMerge/>
            <w:hideMark/>
          </w:tcPr>
          <w:p w:rsidR="005A398C" w:rsidRPr="008C2443" w:rsidRDefault="005A398C" w:rsidP="00580985">
            <w:pPr>
              <w:rPr>
                <w:rFonts w:eastAsia="Times New Roman" w:cs="Arial"/>
                <w:lang w:eastAsia="en-GB"/>
              </w:rPr>
            </w:pPr>
          </w:p>
        </w:tc>
        <w:tc>
          <w:tcPr>
            <w:tcW w:w="1481" w:type="pct"/>
            <w:vMerge/>
            <w:hideMark/>
          </w:tcPr>
          <w:p w:rsidR="005A398C" w:rsidRPr="008C2443" w:rsidRDefault="005A398C" w:rsidP="00580985">
            <w:pPr>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p>
        </w:tc>
        <w:tc>
          <w:tcPr>
            <w:tcW w:w="1481" w:type="pct"/>
            <w:vMerge/>
            <w:hideMark/>
          </w:tcPr>
          <w:p w:rsidR="005A398C" w:rsidRPr="008C2443" w:rsidRDefault="005A398C" w:rsidP="00580985">
            <w:pPr>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p>
        </w:tc>
      </w:tr>
    </w:tbl>
    <w:p w:rsidR="00717DE5" w:rsidRDefault="00717DE5" w:rsidP="00717DE5">
      <w:pPr>
        <w:pStyle w:val="Caption"/>
      </w:pPr>
      <w:r>
        <w:t xml:space="preserve">Figure </w:t>
      </w:r>
      <w:r w:rsidR="00156E8B">
        <w:fldChar w:fldCharType="begin"/>
      </w:r>
      <w:r w:rsidR="00156E8B">
        <w:instrText xml:space="preserve"> SEQ Figure \* ARABIC </w:instrText>
      </w:r>
      <w:r w:rsidR="00156E8B">
        <w:fldChar w:fldCharType="separate"/>
      </w:r>
      <w:r w:rsidR="005C553C">
        <w:rPr>
          <w:noProof/>
        </w:rPr>
        <w:t>28</w:t>
      </w:r>
      <w:r w:rsidR="00156E8B">
        <w:rPr>
          <w:noProof/>
        </w:rPr>
        <w:fldChar w:fldCharType="end"/>
      </w:r>
      <w:r>
        <w:t xml:space="preserve"> Length of stay, complex conditions</w:t>
      </w:r>
    </w:p>
    <w:p w:rsidR="005A398C" w:rsidRPr="008C2443" w:rsidRDefault="005A398C" w:rsidP="005A398C">
      <w:pPr>
        <w:rPr>
          <w:sz w:val="20"/>
          <w:szCs w:val="20"/>
        </w:rPr>
      </w:pPr>
      <w:r w:rsidRPr="008C2443">
        <w:rPr>
          <w:sz w:val="20"/>
          <w:szCs w:val="20"/>
        </w:rPr>
        <w:t>*When compared to England average</w:t>
      </w:r>
      <w:r w:rsidR="0095203C">
        <w:rPr>
          <w:sz w:val="20"/>
          <w:szCs w:val="20"/>
        </w:rPr>
        <w:t xml:space="preserve"> </w:t>
      </w:r>
      <w:r w:rsidRPr="008C2443">
        <w:rPr>
          <w:sz w:val="20"/>
          <w:szCs w:val="20"/>
        </w:rPr>
        <w:t xml:space="preserve">** When compared to the average of the </w:t>
      </w:r>
      <w:r w:rsidR="0095203C">
        <w:rPr>
          <w:sz w:val="20"/>
          <w:szCs w:val="20"/>
        </w:rPr>
        <w:t>4</w:t>
      </w:r>
      <w:r w:rsidRPr="008C2443">
        <w:rPr>
          <w:sz w:val="20"/>
          <w:szCs w:val="20"/>
        </w:rPr>
        <w:t xml:space="preserve"> ‘most similar’ CCGs</w:t>
      </w:r>
    </w:p>
    <w:p w:rsidR="005A398C" w:rsidRDefault="005A398C" w:rsidP="005A398C">
      <w:pPr>
        <w:rPr>
          <w:sz w:val="20"/>
          <w:szCs w:val="20"/>
        </w:rPr>
      </w:pPr>
      <w:r w:rsidRPr="008C2443">
        <w:rPr>
          <w:sz w:val="20"/>
          <w:szCs w:val="20"/>
        </w:rPr>
        <w:t>*** Not statistically tested</w:t>
      </w:r>
    </w:p>
    <w:p w:rsidR="002B69C3" w:rsidRPr="000547D3" w:rsidRDefault="002B69C3" w:rsidP="008D2E97">
      <w:pPr>
        <w:rPr>
          <w:sz w:val="10"/>
        </w:rPr>
      </w:pPr>
    </w:p>
    <w:p w:rsidR="003C2F01" w:rsidRDefault="003C2F01" w:rsidP="008D2E97">
      <w:r>
        <w:t>A review of current research on specialist home-based</w:t>
      </w:r>
      <w:r w:rsidR="00A77F92">
        <w:t xml:space="preserve"> nursing services did not find </w:t>
      </w:r>
      <w:r>
        <w:t>supporting evidence for a reduction in access to hospital services or a reduction in hospital readmission rate for children with acute and chronic illnesses using specialist home-based nursing services; however, the only summary finding across a few studies was that there is a significant decrease in length of hospitalisation</w:t>
      </w:r>
      <w:r>
        <w:rPr>
          <w:rStyle w:val="FootnoteReference"/>
        </w:rPr>
        <w:footnoteReference w:id="56"/>
      </w:r>
      <w:r>
        <w:t xml:space="preserve">. </w:t>
      </w:r>
      <w:r w:rsidR="008C5817">
        <w:t xml:space="preserve"> This appears not to hold true for Medway.</w:t>
      </w:r>
    </w:p>
    <w:p w:rsidR="008C5817" w:rsidRPr="008C5817" w:rsidRDefault="008C5817" w:rsidP="008D2E97">
      <w:pPr>
        <w:rPr>
          <w:sz w:val="16"/>
        </w:rPr>
      </w:pPr>
    </w:p>
    <w:p w:rsidR="00974BE1" w:rsidRDefault="00AA680B" w:rsidP="008D2E97">
      <w:r>
        <w:t>Figure 29</w:t>
      </w:r>
      <w:r w:rsidR="0095203C">
        <w:t xml:space="preserve"> </w:t>
      </w:r>
      <w:r w:rsidR="008C5817">
        <w:t xml:space="preserve">also </w:t>
      </w:r>
      <w:r w:rsidR="0095203C">
        <w:t xml:space="preserve">shows an upwards trend for </w:t>
      </w:r>
      <w:r w:rsidR="00DD0146">
        <w:t>total bed days spent after admission</w:t>
      </w:r>
      <w:r w:rsidR="0095203C">
        <w:t xml:space="preserve"> for this group of c</w:t>
      </w:r>
      <w:r w:rsidR="00DD0146">
        <w:t>hildren compared to the south east region</w:t>
      </w:r>
      <w:r w:rsidR="0095203C">
        <w:rPr>
          <w:rStyle w:val="FootnoteReference"/>
        </w:rPr>
        <w:footnoteReference w:id="57"/>
      </w:r>
      <w:r w:rsidR="0095203C">
        <w:t>:</w:t>
      </w:r>
    </w:p>
    <w:p w:rsidR="000547D3" w:rsidRPr="000547D3" w:rsidRDefault="000547D3" w:rsidP="008D2E97">
      <w:pPr>
        <w:rPr>
          <w:sz w:val="12"/>
        </w:rPr>
      </w:pPr>
    </w:p>
    <w:p w:rsidR="0095203C" w:rsidRDefault="00717DE5" w:rsidP="008D2E97">
      <w:r>
        <w:rPr>
          <w:noProof/>
          <w:lang w:eastAsia="en-GB"/>
        </w:rPr>
        <w:drawing>
          <wp:inline distT="0" distB="0" distL="0" distR="0" wp14:anchorId="0C274606" wp14:editId="59B5FB97">
            <wp:extent cx="5199321" cy="2073349"/>
            <wp:effectExtent l="0" t="0" r="20955" b="222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C2F01" w:rsidRDefault="00717DE5" w:rsidP="00717DE5">
      <w:pPr>
        <w:pStyle w:val="Caption"/>
      </w:pPr>
      <w:r>
        <w:t xml:space="preserve">Figure </w:t>
      </w:r>
      <w:r w:rsidR="00156E8B">
        <w:fldChar w:fldCharType="begin"/>
      </w:r>
      <w:r w:rsidR="00156E8B">
        <w:instrText xml:space="preserve"> SEQ Figure \* ARABIC </w:instrText>
      </w:r>
      <w:r w:rsidR="00156E8B">
        <w:fldChar w:fldCharType="separate"/>
      </w:r>
      <w:r w:rsidR="005C553C">
        <w:rPr>
          <w:noProof/>
        </w:rPr>
        <w:t>29</w:t>
      </w:r>
      <w:r w:rsidR="00156E8B">
        <w:rPr>
          <w:noProof/>
        </w:rPr>
        <w:fldChar w:fldCharType="end"/>
      </w:r>
      <w:r>
        <w:t xml:space="preserve"> Paediatric complex conditions - total bed days following admission per 100,000 population</w:t>
      </w:r>
    </w:p>
    <w:p w:rsidR="002503F6" w:rsidRPr="00323777" w:rsidRDefault="00156E8B" w:rsidP="00323777">
      <w:pPr>
        <w:pStyle w:val="Heading2"/>
      </w:pPr>
      <w:hyperlink w:anchor="autism" w:history="1">
        <w:bookmarkStart w:id="23" w:name="_Toc434938034"/>
        <w:r w:rsidR="0024099A" w:rsidRPr="00323777">
          <w:rPr>
            <w:rStyle w:val="Hyperlink"/>
            <w:color w:val="4F81BD"/>
          </w:rPr>
          <w:t>Autism</w:t>
        </w:r>
      </w:hyperlink>
      <w:r w:rsidR="00DD5F76" w:rsidRPr="00323777">
        <w:rPr>
          <w:rStyle w:val="Hyperlink"/>
          <w:color w:val="4F81BD"/>
        </w:rPr>
        <w:t xml:space="preserve"> and </w:t>
      </w:r>
      <w:hyperlink w:anchor="ADHD" w:history="1">
        <w:r w:rsidR="00DD5F76" w:rsidRPr="00323777">
          <w:rPr>
            <w:rStyle w:val="Hyperlink"/>
            <w:color w:val="4F81BD"/>
          </w:rPr>
          <w:t>ADHD</w:t>
        </w:r>
        <w:bookmarkEnd w:id="23"/>
      </w:hyperlink>
    </w:p>
    <w:p w:rsidR="006C770A" w:rsidRPr="006C770A" w:rsidRDefault="006C770A" w:rsidP="002503F6">
      <w:pPr>
        <w:rPr>
          <w:b/>
        </w:rPr>
      </w:pPr>
      <w:r w:rsidRPr="006C770A">
        <w:rPr>
          <w:b/>
        </w:rPr>
        <w:t>Autism</w:t>
      </w:r>
    </w:p>
    <w:p w:rsidR="00C933B2" w:rsidRDefault="00CD41D4" w:rsidP="00C933B2">
      <w:pPr>
        <w:rPr>
          <w:rFonts w:cs="Arial"/>
        </w:rPr>
      </w:pPr>
      <w:r w:rsidRPr="00CD41D4">
        <w:rPr>
          <w:rFonts w:cs="Arial"/>
          <w:szCs w:val="24"/>
        </w:rPr>
        <w:t xml:space="preserve">As </w:t>
      </w:r>
      <w:r w:rsidR="00F00BEE">
        <w:rPr>
          <w:rFonts w:cs="Arial"/>
          <w:szCs w:val="24"/>
        </w:rPr>
        <w:t>o</w:t>
      </w:r>
      <w:r w:rsidR="00F52B07">
        <w:rPr>
          <w:rFonts w:cs="Arial"/>
          <w:szCs w:val="24"/>
        </w:rPr>
        <w:t xml:space="preserve">f </w:t>
      </w:r>
      <w:r w:rsidR="00DA65CC">
        <w:rPr>
          <w:rFonts w:cs="Arial"/>
          <w:szCs w:val="24"/>
        </w:rPr>
        <w:t>April</w:t>
      </w:r>
      <w:r w:rsidR="00F52B07">
        <w:rPr>
          <w:rFonts w:cs="Arial"/>
          <w:szCs w:val="24"/>
        </w:rPr>
        <w:t xml:space="preserve"> 2015</w:t>
      </w:r>
      <w:r w:rsidR="00A77F92">
        <w:rPr>
          <w:rFonts w:cs="Arial"/>
          <w:szCs w:val="24"/>
        </w:rPr>
        <w:t>,</w:t>
      </w:r>
      <w:r w:rsidR="00F00BEE">
        <w:rPr>
          <w:rFonts w:cs="Arial"/>
          <w:szCs w:val="24"/>
        </w:rPr>
        <w:t xml:space="preserve"> </w:t>
      </w:r>
      <w:r w:rsidR="00DA65CC">
        <w:rPr>
          <w:rFonts w:cs="Arial"/>
          <w:szCs w:val="24"/>
        </w:rPr>
        <w:t>432</w:t>
      </w:r>
      <w:r w:rsidR="00F00BEE">
        <w:rPr>
          <w:rFonts w:cs="Arial"/>
          <w:szCs w:val="24"/>
        </w:rPr>
        <w:t xml:space="preserve"> Medway children and young people had a statement of SEN or EHC plan with ASD as the primary need.  A further 422 </w:t>
      </w:r>
      <w:r w:rsidR="00BA4F24">
        <w:rPr>
          <w:rFonts w:cs="Arial"/>
          <w:szCs w:val="24"/>
        </w:rPr>
        <w:t>secondary school students</w:t>
      </w:r>
      <w:r w:rsidR="00F00BEE">
        <w:rPr>
          <w:rFonts w:cs="Arial"/>
          <w:szCs w:val="24"/>
        </w:rPr>
        <w:t xml:space="preserve"> </w:t>
      </w:r>
      <w:r w:rsidR="00F52B07">
        <w:rPr>
          <w:rFonts w:cs="Arial"/>
          <w:szCs w:val="24"/>
        </w:rPr>
        <w:t xml:space="preserve">were identified </w:t>
      </w:r>
      <w:r w:rsidR="000547D3">
        <w:rPr>
          <w:rFonts w:cs="Arial"/>
          <w:szCs w:val="24"/>
        </w:rPr>
        <w:t xml:space="preserve">as </w:t>
      </w:r>
      <w:r w:rsidR="00F52B07">
        <w:rPr>
          <w:rFonts w:cs="Arial"/>
          <w:szCs w:val="24"/>
        </w:rPr>
        <w:t>having a special educational need in relation to ASD, but were not subject to a statement or plan</w:t>
      </w:r>
      <w:r w:rsidR="00B26836">
        <w:rPr>
          <w:rFonts w:cs="Arial"/>
          <w:szCs w:val="24"/>
        </w:rPr>
        <w:t xml:space="preserve"> </w:t>
      </w:r>
      <w:r w:rsidR="00B26836">
        <w:rPr>
          <w:rFonts w:cs="Arial"/>
        </w:rPr>
        <w:t>(Figure 30).</w:t>
      </w:r>
      <w:r w:rsidR="00F52B07">
        <w:rPr>
          <w:rFonts w:cs="Arial"/>
          <w:szCs w:val="24"/>
        </w:rPr>
        <w:t xml:space="preserve">.  </w:t>
      </w:r>
      <w:r w:rsidR="001D3A4F">
        <w:rPr>
          <w:rFonts w:cs="Arial"/>
          <w:szCs w:val="24"/>
        </w:rPr>
        <w:t xml:space="preserve">As previously noted, </w:t>
      </w:r>
      <w:r w:rsidR="00F52B07">
        <w:rPr>
          <w:rFonts w:cs="Arial"/>
          <w:szCs w:val="24"/>
        </w:rPr>
        <w:t xml:space="preserve">Medway </w:t>
      </w:r>
      <w:r w:rsidR="00DA65CC">
        <w:rPr>
          <w:rFonts w:cs="Arial"/>
          <w:szCs w:val="24"/>
        </w:rPr>
        <w:t xml:space="preserve">is </w:t>
      </w:r>
      <w:r w:rsidR="00C933B2" w:rsidRPr="005414F4">
        <w:rPr>
          <w:rFonts w:cs="Arial"/>
        </w:rPr>
        <w:t xml:space="preserve">an outlier in </w:t>
      </w:r>
      <w:r w:rsidR="00F52B07">
        <w:rPr>
          <w:rFonts w:cs="Arial"/>
        </w:rPr>
        <w:t xml:space="preserve">comparison to its statistical neighbours </w:t>
      </w:r>
      <w:r w:rsidR="001D3A4F">
        <w:rPr>
          <w:rFonts w:cs="Arial"/>
        </w:rPr>
        <w:t>for</w:t>
      </w:r>
      <w:r w:rsidR="00C933B2" w:rsidRPr="005414F4">
        <w:rPr>
          <w:rFonts w:cs="Arial"/>
        </w:rPr>
        <w:t xml:space="preserve"> the </w:t>
      </w:r>
      <w:r w:rsidR="00F52B07">
        <w:rPr>
          <w:rFonts w:cs="Arial"/>
        </w:rPr>
        <w:t>number of</w:t>
      </w:r>
      <w:r w:rsidR="00C933B2" w:rsidRPr="005414F4">
        <w:rPr>
          <w:rFonts w:cs="Arial"/>
        </w:rPr>
        <w:t xml:space="preserve"> children with Autism known to schools</w:t>
      </w:r>
      <w:r w:rsidR="00BA4F24">
        <w:rPr>
          <w:rFonts w:cs="Arial"/>
        </w:rPr>
        <w:t xml:space="preserve"> and the data suggests that diagnosis rates are approximately double the national prevalence rate</w:t>
      </w:r>
      <w:r w:rsidR="00BF5EDB">
        <w:rPr>
          <w:rFonts w:cs="Arial"/>
        </w:rPr>
        <w:t xml:space="preserve"> </w:t>
      </w:r>
    </w:p>
    <w:p w:rsidR="00DF69FF" w:rsidRDefault="00DF69FF" w:rsidP="00C933B2">
      <w:pPr>
        <w:rPr>
          <w:rFonts w:cs="Arial"/>
        </w:rPr>
      </w:pPr>
    </w:p>
    <w:tbl>
      <w:tblPr>
        <w:tblStyle w:val="LightList-Accent1"/>
        <w:tblW w:w="5000" w:type="pct"/>
        <w:tblLook w:val="04A0" w:firstRow="1" w:lastRow="0" w:firstColumn="1" w:lastColumn="0" w:noHBand="0" w:noVBand="1"/>
      </w:tblPr>
      <w:tblGrid>
        <w:gridCol w:w="3080"/>
        <w:gridCol w:w="3080"/>
        <w:gridCol w:w="3082"/>
      </w:tblGrid>
      <w:tr w:rsidR="00DA65CC" w:rsidTr="00DA65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rsidR="00DA65CC" w:rsidRDefault="00DA65CC" w:rsidP="00C933B2">
            <w:pPr>
              <w:rPr>
                <w:rFonts w:cs="Arial"/>
                <w:szCs w:val="24"/>
              </w:rPr>
            </w:pPr>
          </w:p>
        </w:tc>
        <w:tc>
          <w:tcPr>
            <w:tcW w:w="1666" w:type="pct"/>
          </w:tcPr>
          <w:p w:rsidR="00DA65CC" w:rsidRDefault="00DA65CC" w:rsidP="00C933B2">
            <w:pPr>
              <w:cnfStyle w:val="100000000000" w:firstRow="1" w:lastRow="0" w:firstColumn="0" w:lastColumn="0" w:oddVBand="0" w:evenVBand="0" w:oddHBand="0" w:evenHBand="0" w:firstRowFirstColumn="0" w:firstRowLastColumn="0" w:lastRowFirstColumn="0" w:lastRowLastColumn="0"/>
              <w:rPr>
                <w:rFonts w:cs="Arial"/>
                <w:szCs w:val="24"/>
              </w:rPr>
            </w:pPr>
            <w:r>
              <w:rPr>
                <w:rFonts w:cs="Arial"/>
                <w:szCs w:val="24"/>
              </w:rPr>
              <w:t>Number</w:t>
            </w:r>
          </w:p>
        </w:tc>
        <w:tc>
          <w:tcPr>
            <w:tcW w:w="1667" w:type="pct"/>
          </w:tcPr>
          <w:p w:rsidR="00DA65CC" w:rsidRDefault="00DA65CC" w:rsidP="00C933B2">
            <w:pPr>
              <w:cnfStyle w:val="100000000000" w:firstRow="1" w:lastRow="0" w:firstColumn="0" w:lastColumn="0" w:oddVBand="0" w:evenVBand="0" w:oddHBand="0" w:evenHBand="0" w:firstRowFirstColumn="0" w:firstRowLastColumn="0" w:lastRowFirstColumn="0" w:lastRowLastColumn="0"/>
              <w:rPr>
                <w:rFonts w:cs="Arial"/>
                <w:szCs w:val="24"/>
              </w:rPr>
            </w:pPr>
            <w:r>
              <w:rPr>
                <w:rFonts w:cs="Arial"/>
                <w:szCs w:val="24"/>
              </w:rPr>
              <w:t>As a % of school population (45,510 as of January 2015)</w:t>
            </w:r>
          </w:p>
        </w:tc>
      </w:tr>
      <w:tr w:rsidR="00DA65CC" w:rsidTr="00DA65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rsidR="00DA65CC" w:rsidRDefault="00DA65CC" w:rsidP="00C933B2">
            <w:pPr>
              <w:rPr>
                <w:rFonts w:cs="Arial"/>
                <w:szCs w:val="24"/>
              </w:rPr>
            </w:pPr>
            <w:r>
              <w:rPr>
                <w:rFonts w:cs="Arial"/>
                <w:szCs w:val="24"/>
              </w:rPr>
              <w:t>Medway pupils with statements/plans where ASD is the primary need</w:t>
            </w:r>
          </w:p>
        </w:tc>
        <w:tc>
          <w:tcPr>
            <w:tcW w:w="1666" w:type="pct"/>
          </w:tcPr>
          <w:p w:rsidR="00DA65CC" w:rsidRDefault="00DA65CC" w:rsidP="00C933B2">
            <w:pP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432</w:t>
            </w:r>
          </w:p>
        </w:tc>
        <w:tc>
          <w:tcPr>
            <w:tcW w:w="1667" w:type="pct"/>
          </w:tcPr>
          <w:p w:rsidR="00DA65CC" w:rsidRDefault="00DA65CC" w:rsidP="00C933B2">
            <w:pP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0.94</w:t>
            </w:r>
          </w:p>
        </w:tc>
      </w:tr>
      <w:tr w:rsidR="00DA65CC" w:rsidTr="00DA65CC">
        <w:tc>
          <w:tcPr>
            <w:cnfStyle w:val="001000000000" w:firstRow="0" w:lastRow="0" w:firstColumn="1" w:lastColumn="0" w:oddVBand="0" w:evenVBand="0" w:oddHBand="0" w:evenHBand="0" w:firstRowFirstColumn="0" w:firstRowLastColumn="0" w:lastRowFirstColumn="0" w:lastRowLastColumn="0"/>
            <w:tcW w:w="1666" w:type="pct"/>
          </w:tcPr>
          <w:p w:rsidR="00DA65CC" w:rsidRDefault="00DA65CC" w:rsidP="00C933B2">
            <w:pPr>
              <w:rPr>
                <w:rFonts w:cs="Arial"/>
                <w:szCs w:val="24"/>
              </w:rPr>
            </w:pPr>
            <w:r>
              <w:rPr>
                <w:rFonts w:cs="Arial"/>
                <w:szCs w:val="24"/>
              </w:rPr>
              <w:t>Secondary school pupils with SEN but no statement/plan where ASD is the primary need</w:t>
            </w:r>
          </w:p>
        </w:tc>
        <w:tc>
          <w:tcPr>
            <w:tcW w:w="1666" w:type="pct"/>
          </w:tcPr>
          <w:p w:rsidR="00DA65CC" w:rsidRDefault="00DA65CC" w:rsidP="00C933B2">
            <w:pP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422</w:t>
            </w:r>
          </w:p>
        </w:tc>
        <w:tc>
          <w:tcPr>
            <w:tcW w:w="1667" w:type="pct"/>
          </w:tcPr>
          <w:p w:rsidR="00DA65CC" w:rsidRDefault="00DA65CC" w:rsidP="00C933B2">
            <w:pP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0.92</w:t>
            </w:r>
          </w:p>
        </w:tc>
      </w:tr>
    </w:tbl>
    <w:p w:rsidR="00DF69FF" w:rsidRPr="00F52B07" w:rsidRDefault="000547D3" w:rsidP="000547D3">
      <w:pPr>
        <w:pStyle w:val="Caption"/>
        <w:rPr>
          <w:rFonts w:cs="Arial"/>
          <w:szCs w:val="24"/>
        </w:rPr>
      </w:pPr>
      <w:r>
        <w:t xml:space="preserve">Figure </w:t>
      </w:r>
      <w:r w:rsidR="00156E8B">
        <w:fldChar w:fldCharType="begin"/>
      </w:r>
      <w:r w:rsidR="00156E8B">
        <w:instrText xml:space="preserve"> SEQ Figure \* ARABIC </w:instrText>
      </w:r>
      <w:r w:rsidR="00156E8B">
        <w:fldChar w:fldCharType="separate"/>
      </w:r>
      <w:r w:rsidR="005C553C">
        <w:rPr>
          <w:noProof/>
        </w:rPr>
        <w:t>30</w:t>
      </w:r>
      <w:r w:rsidR="00156E8B">
        <w:rPr>
          <w:noProof/>
        </w:rPr>
        <w:fldChar w:fldCharType="end"/>
      </w:r>
      <w:r>
        <w:t xml:space="preserve"> ASD as a primary need</w:t>
      </w:r>
    </w:p>
    <w:p w:rsidR="00A41459" w:rsidRDefault="00A41459" w:rsidP="002503F6">
      <w:pPr>
        <w:rPr>
          <w:rFonts w:cs="Arial"/>
          <w:szCs w:val="24"/>
        </w:rPr>
      </w:pPr>
      <w:r w:rsidRPr="00A41459">
        <w:rPr>
          <w:rFonts w:cs="Arial"/>
          <w:szCs w:val="24"/>
        </w:rPr>
        <w:t xml:space="preserve">Around 70% of people with autism also meet diagnostic criteria for at least one other (often unrecognised) psychiatric disorder that further impairs psychosocial functioning, for example, attention deficit hyperactivity disorder (ADHD) or anxiety disorders. </w:t>
      </w:r>
      <w:r w:rsidR="000547D3">
        <w:rPr>
          <w:rFonts w:cs="Arial"/>
          <w:szCs w:val="24"/>
        </w:rPr>
        <w:t xml:space="preserve"> </w:t>
      </w:r>
      <w:r w:rsidRPr="00A41459">
        <w:rPr>
          <w:rFonts w:cs="Arial"/>
          <w:szCs w:val="24"/>
        </w:rPr>
        <w:t>Intellectual disability (IQ below 70) coexists in approximately 50% of children and young people with autism</w:t>
      </w:r>
      <w:r w:rsidR="007D0676">
        <w:rPr>
          <w:rFonts w:cs="Arial"/>
          <w:szCs w:val="24"/>
        </w:rPr>
        <w:t>.</w:t>
      </w:r>
    </w:p>
    <w:p w:rsidR="006C770A" w:rsidRDefault="006C770A" w:rsidP="006C770A">
      <w:pPr>
        <w:rPr>
          <w:lang w:val="en"/>
        </w:rPr>
      </w:pPr>
    </w:p>
    <w:p w:rsidR="006C770A" w:rsidRPr="006C770A" w:rsidRDefault="006C770A" w:rsidP="006C770A">
      <w:pPr>
        <w:rPr>
          <w:b/>
          <w:lang w:val="en"/>
        </w:rPr>
      </w:pPr>
      <w:r w:rsidRPr="006C770A">
        <w:rPr>
          <w:b/>
          <w:lang w:val="en"/>
        </w:rPr>
        <w:t>ADHD</w:t>
      </w:r>
    </w:p>
    <w:p w:rsidR="004F6B5A" w:rsidRDefault="004F6B5A" w:rsidP="006C770A">
      <w:pPr>
        <w:rPr>
          <w:lang w:val="en"/>
        </w:rPr>
      </w:pPr>
      <w:r>
        <w:rPr>
          <w:lang w:val="en"/>
        </w:rPr>
        <w:t>According to the full NICE guideline on ADHD:</w:t>
      </w:r>
    </w:p>
    <w:p w:rsidR="004F6B5A" w:rsidRDefault="004F6B5A" w:rsidP="004F6B5A">
      <w:pPr>
        <w:spacing w:before="100" w:beforeAutospacing="1" w:after="100" w:afterAutospacing="1"/>
        <w:rPr>
          <w:lang w:val="en"/>
        </w:rPr>
      </w:pPr>
      <w:r>
        <w:rPr>
          <w:lang w:val="en"/>
        </w:rPr>
        <w:t>“</w:t>
      </w:r>
      <w:r w:rsidRPr="004F6B5A">
        <w:rPr>
          <w:lang w:val="en"/>
        </w:rPr>
        <w:t>ADHD (as defined in DSM-IV-TR) is a common disorder.</w:t>
      </w:r>
      <w:r w:rsidR="00A77F92">
        <w:rPr>
          <w:lang w:val="en"/>
        </w:rPr>
        <w:t xml:space="preserve"> </w:t>
      </w:r>
      <w:r w:rsidRPr="004F6B5A">
        <w:rPr>
          <w:lang w:val="en"/>
        </w:rPr>
        <w:t xml:space="preserve"> In the UK, a survey of</w:t>
      </w:r>
      <w:r>
        <w:rPr>
          <w:lang w:val="en"/>
        </w:rPr>
        <w:t xml:space="preserve"> </w:t>
      </w:r>
      <w:r w:rsidRPr="004F6B5A">
        <w:rPr>
          <w:lang w:val="en"/>
        </w:rPr>
        <w:t>10,438 children between the ages of 5 and 15 years found that 3.62% of boys and</w:t>
      </w:r>
      <w:r>
        <w:rPr>
          <w:lang w:val="en"/>
        </w:rPr>
        <w:t xml:space="preserve"> </w:t>
      </w:r>
      <w:r w:rsidRPr="004F6B5A">
        <w:rPr>
          <w:lang w:val="en"/>
        </w:rPr>
        <w:t xml:space="preserve">0.85% of girls had ADHD (Ford et al., 2003). </w:t>
      </w:r>
      <w:r w:rsidR="00A77F92">
        <w:rPr>
          <w:lang w:val="en"/>
        </w:rPr>
        <w:t xml:space="preserve"> </w:t>
      </w:r>
      <w:r w:rsidRPr="004F6B5A">
        <w:rPr>
          <w:lang w:val="en"/>
        </w:rPr>
        <w:t>This survey was founded on careful</w:t>
      </w:r>
      <w:r>
        <w:rPr>
          <w:lang w:val="en"/>
        </w:rPr>
        <w:t xml:space="preserve"> </w:t>
      </w:r>
      <w:r w:rsidRPr="004F6B5A">
        <w:rPr>
          <w:lang w:val="en"/>
        </w:rPr>
        <w:t>assessment and included impairment in the diagnosis</w:t>
      </w:r>
      <w:r>
        <w:rPr>
          <w:lang w:val="en"/>
        </w:rPr>
        <w:t>”</w:t>
      </w:r>
      <w:r w:rsidRPr="004F6B5A">
        <w:rPr>
          <w:lang w:val="en"/>
        </w:rPr>
        <w:t>.</w:t>
      </w:r>
      <w:r>
        <w:rPr>
          <w:rStyle w:val="FootnoteReference"/>
          <w:lang w:val="en"/>
        </w:rPr>
        <w:footnoteReference w:id="58"/>
      </w:r>
    </w:p>
    <w:p w:rsidR="00D83132" w:rsidRDefault="00C258EF" w:rsidP="00D83132">
      <w:pPr>
        <w:rPr>
          <w:rFonts w:cs="Arial"/>
          <w:szCs w:val="24"/>
        </w:rPr>
      </w:pPr>
      <w:r>
        <w:rPr>
          <w:rFonts w:cs="Arial"/>
          <w:szCs w:val="24"/>
        </w:rPr>
        <w:t>Taking</w:t>
      </w:r>
      <w:r w:rsidR="004F6B5A">
        <w:rPr>
          <w:rFonts w:cs="Arial"/>
          <w:szCs w:val="24"/>
        </w:rPr>
        <w:t xml:space="preserve"> </w:t>
      </w:r>
      <w:r w:rsidR="00613826">
        <w:rPr>
          <w:rFonts w:cs="Arial"/>
          <w:szCs w:val="24"/>
        </w:rPr>
        <w:t>th</w:t>
      </w:r>
      <w:r>
        <w:rPr>
          <w:rFonts w:cs="Arial"/>
          <w:szCs w:val="24"/>
        </w:rPr>
        <w:t xml:space="preserve">e Ford </w:t>
      </w:r>
      <w:r w:rsidR="00613826">
        <w:rPr>
          <w:rFonts w:cs="Arial"/>
          <w:szCs w:val="24"/>
        </w:rPr>
        <w:t xml:space="preserve">prevalence findings above together with Medway </w:t>
      </w:r>
      <w:r w:rsidR="00D83132">
        <w:rPr>
          <w:rFonts w:cs="Arial"/>
          <w:szCs w:val="24"/>
        </w:rPr>
        <w:t xml:space="preserve">0 – 19 population </w:t>
      </w:r>
      <w:r w:rsidR="00613826">
        <w:rPr>
          <w:rFonts w:cs="Arial"/>
          <w:szCs w:val="24"/>
        </w:rPr>
        <w:t>data taken</w:t>
      </w:r>
      <w:r w:rsidR="00D83132">
        <w:rPr>
          <w:rFonts w:cs="Arial"/>
          <w:szCs w:val="24"/>
        </w:rPr>
        <w:t xml:space="preserve"> from GP registration </w:t>
      </w:r>
      <w:r w:rsidR="00613826">
        <w:rPr>
          <w:rFonts w:cs="Arial"/>
          <w:szCs w:val="24"/>
        </w:rPr>
        <w:t>statistics</w:t>
      </w:r>
      <w:r w:rsidR="00D83132">
        <w:rPr>
          <w:rFonts w:cs="Arial"/>
          <w:szCs w:val="24"/>
        </w:rPr>
        <w:t xml:space="preserve"> </w:t>
      </w:r>
      <w:r w:rsidR="00613826">
        <w:rPr>
          <w:rFonts w:cs="Arial"/>
          <w:szCs w:val="24"/>
        </w:rPr>
        <w:t>results in an</w:t>
      </w:r>
      <w:r w:rsidR="00D83132">
        <w:rPr>
          <w:rFonts w:cs="Arial"/>
          <w:szCs w:val="24"/>
        </w:rPr>
        <w:t xml:space="preserve"> </w:t>
      </w:r>
      <w:r w:rsidR="00613826">
        <w:rPr>
          <w:rFonts w:cs="Arial"/>
          <w:szCs w:val="24"/>
        </w:rPr>
        <w:t>estimate</w:t>
      </w:r>
      <w:r w:rsidR="0069378B">
        <w:rPr>
          <w:rFonts w:cs="Arial"/>
          <w:szCs w:val="24"/>
        </w:rPr>
        <w:t>d 1,770 children and young people diagnosed with ADHD (</w:t>
      </w:r>
      <w:r w:rsidR="004F6B5A">
        <w:rPr>
          <w:rFonts w:cs="Arial"/>
          <w:szCs w:val="24"/>
        </w:rPr>
        <w:t>1,464</w:t>
      </w:r>
      <w:r w:rsidR="00D83132">
        <w:rPr>
          <w:rFonts w:cs="Arial"/>
          <w:szCs w:val="24"/>
        </w:rPr>
        <w:t xml:space="preserve"> males and 306 females</w:t>
      </w:r>
      <w:r w:rsidR="0069378B">
        <w:rPr>
          <w:rFonts w:cs="Arial"/>
          <w:szCs w:val="24"/>
        </w:rPr>
        <w:t>).  This is in line with current actual outpatient caseloads: o</w:t>
      </w:r>
      <w:r w:rsidR="00D83132" w:rsidRPr="005414F4">
        <w:rPr>
          <w:rFonts w:cs="Arial"/>
        </w:rPr>
        <w:t>f</w:t>
      </w:r>
      <w:r w:rsidR="0069378B">
        <w:rPr>
          <w:rFonts w:cs="Arial"/>
        </w:rPr>
        <w:t xml:space="preserve"> 4,768</w:t>
      </w:r>
      <w:r w:rsidR="00D83132" w:rsidRPr="005414F4">
        <w:rPr>
          <w:rFonts w:cs="Arial"/>
        </w:rPr>
        <w:t xml:space="preserve"> </w:t>
      </w:r>
      <w:r w:rsidR="0069378B">
        <w:rPr>
          <w:rFonts w:cs="Arial"/>
        </w:rPr>
        <w:t xml:space="preserve">Medway </w:t>
      </w:r>
      <w:r w:rsidR="00D83132">
        <w:rPr>
          <w:rFonts w:cs="Arial"/>
        </w:rPr>
        <w:t>outpatient</w:t>
      </w:r>
      <w:r w:rsidR="0069378B">
        <w:rPr>
          <w:rFonts w:cs="Arial"/>
        </w:rPr>
        <w:t>s</w:t>
      </w:r>
      <w:r w:rsidR="00D83132">
        <w:rPr>
          <w:rFonts w:cs="Arial"/>
        </w:rPr>
        <w:t>, 1060 (22%)</w:t>
      </w:r>
      <w:r w:rsidR="00580985">
        <w:rPr>
          <w:rFonts w:cs="Arial"/>
        </w:rPr>
        <w:t xml:space="preserve"> are</w:t>
      </w:r>
      <w:r w:rsidR="00BC4E15">
        <w:rPr>
          <w:rFonts w:cs="Arial"/>
        </w:rPr>
        <w:t xml:space="preserve"> Medway children</w:t>
      </w:r>
      <w:r w:rsidR="00D83132">
        <w:rPr>
          <w:rFonts w:cs="Arial"/>
        </w:rPr>
        <w:t xml:space="preserve"> receiving ADHD medication and reviewed on a twice yearly basis.  </w:t>
      </w:r>
      <w:r w:rsidR="00A8252E">
        <w:rPr>
          <w:rFonts w:cs="Arial"/>
        </w:rPr>
        <w:t>Of these, 130 (12%) are aged 17 years 8 months and above, but currently have no adult service to transition to.</w:t>
      </w:r>
    </w:p>
    <w:p w:rsidR="004F6B5A" w:rsidRPr="004F6B5A" w:rsidRDefault="00A8252E" w:rsidP="004F6B5A">
      <w:pPr>
        <w:spacing w:before="100" w:beforeAutospacing="1" w:after="100" w:afterAutospacing="1"/>
        <w:rPr>
          <w:lang w:val="en"/>
        </w:rPr>
      </w:pPr>
      <w:r>
        <w:rPr>
          <w:lang w:val="en"/>
        </w:rPr>
        <w:t xml:space="preserve">From the figures above, it would appear that the commonly held belief that </w:t>
      </w:r>
      <w:r w:rsidR="00C258EF">
        <w:rPr>
          <w:lang w:val="en"/>
        </w:rPr>
        <w:t xml:space="preserve">Medway is an outlier in terms of ADHD diagnoses is inaccurate.  The rate of diagnosis in Swale is skewing the figures: </w:t>
      </w:r>
      <w:r w:rsidR="00670351">
        <w:rPr>
          <w:lang w:val="en"/>
        </w:rPr>
        <w:t>overall 2.4% of the Medway 0-19 population is diagnosed with ADHD compared to 3.5% of the Swale population.  Spend on medication in Swale</w:t>
      </w:r>
      <w:r w:rsidR="00A77F92">
        <w:rPr>
          <w:lang w:val="en"/>
        </w:rPr>
        <w:t xml:space="preserve"> per capita</w:t>
      </w:r>
      <w:r w:rsidR="00C53928">
        <w:rPr>
          <w:lang w:val="en"/>
        </w:rPr>
        <w:t xml:space="preserve"> of the 0 – </w:t>
      </w:r>
      <w:r w:rsidR="00DC02CF">
        <w:rPr>
          <w:lang w:val="en"/>
        </w:rPr>
        <w:t>15</w:t>
      </w:r>
      <w:r w:rsidR="00C53928">
        <w:rPr>
          <w:lang w:val="en"/>
        </w:rPr>
        <w:t xml:space="preserve"> population</w:t>
      </w:r>
      <w:r w:rsidR="00670351">
        <w:rPr>
          <w:lang w:val="en"/>
        </w:rPr>
        <w:t xml:space="preserve"> is over 50% higher than spend in Medway (Fig </w:t>
      </w:r>
      <w:r w:rsidR="00BF5EDB">
        <w:rPr>
          <w:lang w:val="en"/>
        </w:rPr>
        <w:t>31</w:t>
      </w:r>
      <w:r w:rsidR="00670351">
        <w:rPr>
          <w:lang w:val="en"/>
        </w:rPr>
        <w:t>)</w:t>
      </w:r>
      <w:r w:rsidR="006C770A">
        <w:rPr>
          <w:lang w:val="en"/>
        </w:rPr>
        <w:t>.</w:t>
      </w:r>
    </w:p>
    <w:tbl>
      <w:tblPr>
        <w:tblStyle w:val="LightList-Accent1"/>
        <w:tblW w:w="10632" w:type="dxa"/>
        <w:tblInd w:w="-601" w:type="dxa"/>
        <w:tblLayout w:type="fixed"/>
        <w:tblLook w:val="04A0" w:firstRow="1" w:lastRow="0" w:firstColumn="1" w:lastColumn="0" w:noHBand="0" w:noVBand="1"/>
      </w:tblPr>
      <w:tblGrid>
        <w:gridCol w:w="1276"/>
        <w:gridCol w:w="851"/>
        <w:gridCol w:w="1276"/>
        <w:gridCol w:w="992"/>
        <w:gridCol w:w="993"/>
        <w:gridCol w:w="992"/>
        <w:gridCol w:w="992"/>
        <w:gridCol w:w="992"/>
        <w:gridCol w:w="1134"/>
        <w:gridCol w:w="1134"/>
      </w:tblGrid>
      <w:tr w:rsidR="007C6AD5" w:rsidRPr="007C6AD5" w:rsidTr="00DC02CF">
        <w:trPr>
          <w:cnfStyle w:val="100000000000" w:firstRow="1" w:lastRow="0" w:firstColumn="0" w:lastColumn="0" w:oddVBand="0" w:evenVBand="0" w:oddHBand="0" w:evenHBand="0" w:firstRowFirstColumn="0" w:firstRowLastColumn="0" w:lastRowFirstColumn="0" w:lastRowLastColumn="0"/>
          <w:trHeight w:val="1256"/>
        </w:trPr>
        <w:tc>
          <w:tcPr>
            <w:cnfStyle w:val="001000000000" w:firstRow="0" w:lastRow="0" w:firstColumn="1" w:lastColumn="0" w:oddVBand="0" w:evenVBand="0" w:oddHBand="0" w:evenHBand="0" w:firstRowFirstColumn="0" w:firstRowLastColumn="0" w:lastRowFirstColumn="0" w:lastRowLastColumn="0"/>
            <w:tcW w:w="1276" w:type="dxa"/>
            <w:hideMark/>
          </w:tcPr>
          <w:p w:rsidR="007C6AD5" w:rsidRPr="007C6AD5" w:rsidRDefault="007C6AD5" w:rsidP="007C6AD5">
            <w:pPr>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lastRenderedPageBreak/>
              <w:t xml:space="preserve">CCG Area </w:t>
            </w:r>
          </w:p>
        </w:tc>
        <w:tc>
          <w:tcPr>
            <w:tcW w:w="851" w:type="dxa"/>
            <w:hideMark/>
          </w:tcPr>
          <w:p w:rsidR="007C6AD5" w:rsidRPr="007C6AD5" w:rsidRDefault="007C6AD5" w:rsidP="007C6AD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 xml:space="preserve">Total Items </w:t>
            </w:r>
          </w:p>
        </w:tc>
        <w:tc>
          <w:tcPr>
            <w:tcW w:w="1276" w:type="dxa"/>
            <w:hideMark/>
          </w:tcPr>
          <w:p w:rsidR="007C6AD5" w:rsidRPr="007C6AD5" w:rsidRDefault="007C6AD5" w:rsidP="007C6AD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 xml:space="preserve">Total Act Cost </w:t>
            </w:r>
          </w:p>
        </w:tc>
        <w:tc>
          <w:tcPr>
            <w:tcW w:w="992" w:type="dxa"/>
            <w:hideMark/>
          </w:tcPr>
          <w:p w:rsidR="007C6AD5" w:rsidRPr="007C6AD5" w:rsidRDefault="007C6AD5" w:rsidP="007C6AD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 xml:space="preserve">Total Standard PUs </w:t>
            </w:r>
          </w:p>
        </w:tc>
        <w:tc>
          <w:tcPr>
            <w:tcW w:w="993" w:type="dxa"/>
            <w:hideMark/>
          </w:tcPr>
          <w:p w:rsidR="007C6AD5" w:rsidRPr="007C6AD5" w:rsidRDefault="007C6AD5" w:rsidP="007C6AD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 xml:space="preserve">Total Patients </w:t>
            </w:r>
          </w:p>
        </w:tc>
        <w:tc>
          <w:tcPr>
            <w:tcW w:w="992" w:type="dxa"/>
            <w:hideMark/>
          </w:tcPr>
          <w:p w:rsidR="007C6AD5" w:rsidRPr="007C6AD5" w:rsidRDefault="007C6AD5" w:rsidP="007C6AD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 xml:space="preserve">Total Patients aged 15+ </w:t>
            </w:r>
          </w:p>
        </w:tc>
        <w:tc>
          <w:tcPr>
            <w:tcW w:w="992" w:type="dxa"/>
            <w:hideMark/>
          </w:tcPr>
          <w:p w:rsidR="007C6AD5" w:rsidRPr="007C6AD5" w:rsidRDefault="007C6AD5" w:rsidP="007C6AD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Standard Cost per PU</w:t>
            </w:r>
          </w:p>
        </w:tc>
        <w:tc>
          <w:tcPr>
            <w:tcW w:w="992" w:type="dxa"/>
            <w:hideMark/>
          </w:tcPr>
          <w:p w:rsidR="007C6AD5" w:rsidRPr="007C6AD5" w:rsidRDefault="007C6AD5" w:rsidP="007C6AD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Number of patients under 15</w:t>
            </w:r>
          </w:p>
        </w:tc>
        <w:tc>
          <w:tcPr>
            <w:tcW w:w="1134" w:type="dxa"/>
            <w:hideMark/>
          </w:tcPr>
          <w:p w:rsidR="007C6AD5" w:rsidRPr="007C6AD5" w:rsidRDefault="007C6AD5" w:rsidP="007C6AD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Standard Cost per PU pts under 15 years</w:t>
            </w:r>
          </w:p>
        </w:tc>
        <w:tc>
          <w:tcPr>
            <w:tcW w:w="1134" w:type="dxa"/>
            <w:hideMark/>
          </w:tcPr>
          <w:p w:rsidR="007C6AD5" w:rsidRPr="007C6AD5" w:rsidRDefault="007C6AD5" w:rsidP="007C6AD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Standard Cost per PU pts over 15 years</w:t>
            </w:r>
          </w:p>
        </w:tc>
      </w:tr>
      <w:tr w:rsidR="007C6AD5" w:rsidRPr="007C6AD5" w:rsidTr="00DC02CF">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276" w:type="dxa"/>
            <w:hideMark/>
          </w:tcPr>
          <w:p w:rsidR="007C6AD5" w:rsidRPr="007C6AD5" w:rsidRDefault="007C6AD5" w:rsidP="007C6AD5">
            <w:pPr>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PCT ASHFORD CCG</w:t>
            </w:r>
          </w:p>
        </w:tc>
        <w:tc>
          <w:tcPr>
            <w:tcW w:w="851" w:type="dxa"/>
            <w:hideMark/>
          </w:tcPr>
          <w:p w:rsidR="007C6AD5" w:rsidRPr="007C6AD5" w:rsidRDefault="007C6AD5" w:rsidP="007C6A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1,193</w:t>
            </w:r>
          </w:p>
        </w:tc>
        <w:tc>
          <w:tcPr>
            <w:tcW w:w="1276" w:type="dxa"/>
            <w:hideMark/>
          </w:tcPr>
          <w:p w:rsidR="007C6AD5" w:rsidRPr="007C6AD5" w:rsidRDefault="007C6AD5" w:rsidP="007C6A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£56,224.58</w:t>
            </w:r>
          </w:p>
        </w:tc>
        <w:tc>
          <w:tcPr>
            <w:tcW w:w="992" w:type="dxa"/>
            <w:hideMark/>
          </w:tcPr>
          <w:p w:rsidR="007C6AD5" w:rsidRPr="007C6AD5" w:rsidRDefault="007C6AD5" w:rsidP="007C6A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176,372</w:t>
            </w:r>
          </w:p>
        </w:tc>
        <w:tc>
          <w:tcPr>
            <w:tcW w:w="993" w:type="dxa"/>
            <w:hideMark/>
          </w:tcPr>
          <w:p w:rsidR="007C6AD5" w:rsidRPr="007C6AD5" w:rsidRDefault="007C6AD5" w:rsidP="007C6A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128,990</w:t>
            </w:r>
          </w:p>
        </w:tc>
        <w:tc>
          <w:tcPr>
            <w:tcW w:w="992" w:type="dxa"/>
            <w:hideMark/>
          </w:tcPr>
          <w:p w:rsidR="007C6AD5" w:rsidRPr="007C6AD5" w:rsidRDefault="007C6AD5" w:rsidP="007C6A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104,892</w:t>
            </w:r>
          </w:p>
        </w:tc>
        <w:tc>
          <w:tcPr>
            <w:tcW w:w="992" w:type="dxa"/>
            <w:noWrap/>
            <w:hideMark/>
          </w:tcPr>
          <w:p w:rsidR="007C6AD5" w:rsidRPr="007C6AD5" w:rsidRDefault="007C6AD5" w:rsidP="007C6A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£0.32</w:t>
            </w:r>
          </w:p>
        </w:tc>
        <w:tc>
          <w:tcPr>
            <w:tcW w:w="992" w:type="dxa"/>
            <w:noWrap/>
            <w:hideMark/>
          </w:tcPr>
          <w:p w:rsidR="007C6AD5" w:rsidRPr="007C6AD5" w:rsidRDefault="007C6AD5" w:rsidP="007C6A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24,098</w:t>
            </w:r>
          </w:p>
        </w:tc>
        <w:tc>
          <w:tcPr>
            <w:tcW w:w="1134" w:type="dxa"/>
            <w:noWrap/>
            <w:hideMark/>
          </w:tcPr>
          <w:p w:rsidR="007C6AD5" w:rsidRPr="007C6AD5" w:rsidRDefault="007C6AD5" w:rsidP="007C6A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£2.33</w:t>
            </w:r>
          </w:p>
        </w:tc>
        <w:tc>
          <w:tcPr>
            <w:tcW w:w="1134" w:type="dxa"/>
            <w:noWrap/>
            <w:hideMark/>
          </w:tcPr>
          <w:p w:rsidR="007C6AD5" w:rsidRPr="007C6AD5" w:rsidRDefault="007C6AD5" w:rsidP="007C6A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£0.54</w:t>
            </w:r>
          </w:p>
        </w:tc>
      </w:tr>
      <w:tr w:rsidR="007C6AD5" w:rsidRPr="007C6AD5" w:rsidTr="00DC02CF">
        <w:trPr>
          <w:trHeight w:val="600"/>
        </w:trPr>
        <w:tc>
          <w:tcPr>
            <w:cnfStyle w:val="001000000000" w:firstRow="0" w:lastRow="0" w:firstColumn="1" w:lastColumn="0" w:oddVBand="0" w:evenVBand="0" w:oddHBand="0" w:evenHBand="0" w:firstRowFirstColumn="0" w:firstRowLastColumn="0" w:lastRowFirstColumn="0" w:lastRowLastColumn="0"/>
            <w:tcW w:w="1276" w:type="dxa"/>
            <w:hideMark/>
          </w:tcPr>
          <w:p w:rsidR="007C6AD5" w:rsidRPr="007C6AD5" w:rsidRDefault="007C6AD5" w:rsidP="007C6AD5">
            <w:pPr>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PCT CANTERBURY AND COASTAL CCG</w:t>
            </w:r>
          </w:p>
        </w:tc>
        <w:tc>
          <w:tcPr>
            <w:tcW w:w="851" w:type="dxa"/>
            <w:hideMark/>
          </w:tcPr>
          <w:p w:rsidR="007C6AD5" w:rsidRPr="007C6AD5" w:rsidRDefault="007C6AD5" w:rsidP="007C6A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3,004</w:t>
            </w:r>
          </w:p>
        </w:tc>
        <w:tc>
          <w:tcPr>
            <w:tcW w:w="1276" w:type="dxa"/>
            <w:hideMark/>
          </w:tcPr>
          <w:p w:rsidR="007C6AD5" w:rsidRPr="007C6AD5" w:rsidRDefault="007C6AD5" w:rsidP="007C6A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£200,997.45</w:t>
            </w:r>
          </w:p>
        </w:tc>
        <w:tc>
          <w:tcPr>
            <w:tcW w:w="992" w:type="dxa"/>
            <w:hideMark/>
          </w:tcPr>
          <w:p w:rsidR="007C6AD5" w:rsidRPr="007C6AD5" w:rsidRDefault="007C6AD5" w:rsidP="007C6A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308,564</w:t>
            </w:r>
          </w:p>
        </w:tc>
        <w:tc>
          <w:tcPr>
            <w:tcW w:w="993" w:type="dxa"/>
            <w:hideMark/>
          </w:tcPr>
          <w:p w:rsidR="007C6AD5" w:rsidRPr="007C6AD5" w:rsidRDefault="007C6AD5" w:rsidP="007C6A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220,274</w:t>
            </w:r>
          </w:p>
        </w:tc>
        <w:tc>
          <w:tcPr>
            <w:tcW w:w="992" w:type="dxa"/>
            <w:hideMark/>
          </w:tcPr>
          <w:p w:rsidR="007C6AD5" w:rsidRPr="007C6AD5" w:rsidRDefault="007C6AD5" w:rsidP="007C6A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188,170</w:t>
            </w:r>
          </w:p>
        </w:tc>
        <w:tc>
          <w:tcPr>
            <w:tcW w:w="992" w:type="dxa"/>
            <w:noWrap/>
            <w:hideMark/>
          </w:tcPr>
          <w:p w:rsidR="007C6AD5" w:rsidRPr="007C6AD5" w:rsidRDefault="007C6AD5" w:rsidP="007C6A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£0.65</w:t>
            </w:r>
          </w:p>
        </w:tc>
        <w:tc>
          <w:tcPr>
            <w:tcW w:w="992" w:type="dxa"/>
            <w:noWrap/>
            <w:hideMark/>
          </w:tcPr>
          <w:p w:rsidR="007C6AD5" w:rsidRPr="007C6AD5" w:rsidRDefault="007C6AD5" w:rsidP="007C6A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32,104</w:t>
            </w:r>
          </w:p>
        </w:tc>
        <w:tc>
          <w:tcPr>
            <w:tcW w:w="1134" w:type="dxa"/>
            <w:noWrap/>
            <w:hideMark/>
          </w:tcPr>
          <w:p w:rsidR="007C6AD5" w:rsidRPr="007C6AD5" w:rsidRDefault="007C6AD5" w:rsidP="007C6A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£6.26</w:t>
            </w:r>
          </w:p>
        </w:tc>
        <w:tc>
          <w:tcPr>
            <w:tcW w:w="1134" w:type="dxa"/>
            <w:noWrap/>
            <w:hideMark/>
          </w:tcPr>
          <w:p w:rsidR="007C6AD5" w:rsidRPr="007C6AD5" w:rsidRDefault="007C6AD5" w:rsidP="007C6A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£1.07</w:t>
            </w:r>
          </w:p>
        </w:tc>
      </w:tr>
      <w:tr w:rsidR="007C6AD5" w:rsidRPr="007C6AD5" w:rsidTr="00DC02CF">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276" w:type="dxa"/>
            <w:hideMark/>
          </w:tcPr>
          <w:p w:rsidR="007C6AD5" w:rsidRPr="007C6AD5" w:rsidRDefault="007C6AD5" w:rsidP="007C6AD5">
            <w:pPr>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PCT DARTFORD, GRAVESHAM AND SWANLEY CCG</w:t>
            </w:r>
          </w:p>
        </w:tc>
        <w:tc>
          <w:tcPr>
            <w:tcW w:w="851" w:type="dxa"/>
            <w:hideMark/>
          </w:tcPr>
          <w:p w:rsidR="007C6AD5" w:rsidRPr="007C6AD5" w:rsidRDefault="007C6AD5" w:rsidP="007C6A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12,812</w:t>
            </w:r>
          </w:p>
        </w:tc>
        <w:tc>
          <w:tcPr>
            <w:tcW w:w="1276" w:type="dxa"/>
            <w:hideMark/>
          </w:tcPr>
          <w:p w:rsidR="007C6AD5" w:rsidRPr="007C6AD5" w:rsidRDefault="007C6AD5" w:rsidP="007C6A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£482,745.10</w:t>
            </w:r>
          </w:p>
        </w:tc>
        <w:tc>
          <w:tcPr>
            <w:tcW w:w="992" w:type="dxa"/>
            <w:hideMark/>
          </w:tcPr>
          <w:p w:rsidR="007C6AD5" w:rsidRPr="007C6AD5" w:rsidRDefault="007C6AD5" w:rsidP="007C6A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349,898</w:t>
            </w:r>
          </w:p>
        </w:tc>
        <w:tc>
          <w:tcPr>
            <w:tcW w:w="993" w:type="dxa"/>
            <w:hideMark/>
          </w:tcPr>
          <w:p w:rsidR="007C6AD5" w:rsidRPr="007C6AD5" w:rsidRDefault="007C6AD5" w:rsidP="007C6A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261,012</w:t>
            </w:r>
          </w:p>
        </w:tc>
        <w:tc>
          <w:tcPr>
            <w:tcW w:w="992" w:type="dxa"/>
            <w:hideMark/>
          </w:tcPr>
          <w:p w:rsidR="007C6AD5" w:rsidRPr="007C6AD5" w:rsidRDefault="007C6AD5" w:rsidP="007C6A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211,242</w:t>
            </w:r>
          </w:p>
        </w:tc>
        <w:tc>
          <w:tcPr>
            <w:tcW w:w="992" w:type="dxa"/>
            <w:noWrap/>
            <w:hideMark/>
          </w:tcPr>
          <w:p w:rsidR="007C6AD5" w:rsidRPr="007C6AD5" w:rsidRDefault="007C6AD5" w:rsidP="007C6A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£1.38</w:t>
            </w:r>
          </w:p>
        </w:tc>
        <w:tc>
          <w:tcPr>
            <w:tcW w:w="992" w:type="dxa"/>
            <w:noWrap/>
            <w:hideMark/>
          </w:tcPr>
          <w:p w:rsidR="007C6AD5" w:rsidRPr="007C6AD5" w:rsidRDefault="007C6AD5" w:rsidP="007C6A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49,770</w:t>
            </w:r>
          </w:p>
        </w:tc>
        <w:tc>
          <w:tcPr>
            <w:tcW w:w="1134" w:type="dxa"/>
            <w:noWrap/>
            <w:hideMark/>
          </w:tcPr>
          <w:p w:rsidR="007C6AD5" w:rsidRPr="007C6AD5" w:rsidRDefault="007C6AD5" w:rsidP="007C6A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£9.70</w:t>
            </w:r>
          </w:p>
        </w:tc>
        <w:tc>
          <w:tcPr>
            <w:tcW w:w="1134" w:type="dxa"/>
            <w:noWrap/>
            <w:hideMark/>
          </w:tcPr>
          <w:p w:rsidR="007C6AD5" w:rsidRPr="007C6AD5" w:rsidRDefault="007C6AD5" w:rsidP="007C6A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£2.29</w:t>
            </w:r>
          </w:p>
        </w:tc>
      </w:tr>
      <w:tr w:rsidR="007C6AD5" w:rsidRPr="007C6AD5" w:rsidTr="00DC02CF">
        <w:trPr>
          <w:trHeight w:val="600"/>
        </w:trPr>
        <w:tc>
          <w:tcPr>
            <w:cnfStyle w:val="001000000000" w:firstRow="0" w:lastRow="0" w:firstColumn="1" w:lastColumn="0" w:oddVBand="0" w:evenVBand="0" w:oddHBand="0" w:evenHBand="0" w:firstRowFirstColumn="0" w:firstRowLastColumn="0" w:lastRowFirstColumn="0" w:lastRowLastColumn="0"/>
            <w:tcW w:w="1276" w:type="dxa"/>
            <w:hideMark/>
          </w:tcPr>
          <w:p w:rsidR="007C6AD5" w:rsidRPr="007C6AD5" w:rsidRDefault="007C6AD5" w:rsidP="007C6AD5">
            <w:pPr>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PCT MEDWAY CCG</w:t>
            </w:r>
          </w:p>
        </w:tc>
        <w:tc>
          <w:tcPr>
            <w:tcW w:w="851" w:type="dxa"/>
            <w:hideMark/>
          </w:tcPr>
          <w:p w:rsidR="007C6AD5" w:rsidRPr="007C6AD5" w:rsidRDefault="007C6AD5" w:rsidP="007C6A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19,315</w:t>
            </w:r>
          </w:p>
        </w:tc>
        <w:tc>
          <w:tcPr>
            <w:tcW w:w="1276" w:type="dxa"/>
            <w:hideMark/>
          </w:tcPr>
          <w:p w:rsidR="007C6AD5" w:rsidRPr="007C6AD5" w:rsidRDefault="007C6AD5" w:rsidP="007C6A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£822,773.18</w:t>
            </w:r>
          </w:p>
        </w:tc>
        <w:tc>
          <w:tcPr>
            <w:tcW w:w="992" w:type="dxa"/>
            <w:hideMark/>
          </w:tcPr>
          <w:p w:rsidR="007C6AD5" w:rsidRPr="007C6AD5" w:rsidRDefault="007C6AD5" w:rsidP="007C6A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393,429</w:t>
            </w:r>
          </w:p>
        </w:tc>
        <w:tc>
          <w:tcPr>
            <w:tcW w:w="993" w:type="dxa"/>
            <w:hideMark/>
          </w:tcPr>
          <w:p w:rsidR="007C6AD5" w:rsidRPr="007C6AD5" w:rsidRDefault="007C6AD5" w:rsidP="007C6A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298,487</w:t>
            </w:r>
          </w:p>
        </w:tc>
        <w:tc>
          <w:tcPr>
            <w:tcW w:w="992" w:type="dxa"/>
            <w:hideMark/>
          </w:tcPr>
          <w:p w:rsidR="007C6AD5" w:rsidRPr="007C6AD5" w:rsidRDefault="007C6AD5" w:rsidP="007C6A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241,693</w:t>
            </w:r>
          </w:p>
        </w:tc>
        <w:tc>
          <w:tcPr>
            <w:tcW w:w="992" w:type="dxa"/>
            <w:noWrap/>
            <w:hideMark/>
          </w:tcPr>
          <w:p w:rsidR="007C6AD5" w:rsidRPr="007C6AD5" w:rsidRDefault="007C6AD5" w:rsidP="007C6A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£2.09</w:t>
            </w:r>
          </w:p>
        </w:tc>
        <w:tc>
          <w:tcPr>
            <w:tcW w:w="992" w:type="dxa"/>
            <w:noWrap/>
            <w:hideMark/>
          </w:tcPr>
          <w:p w:rsidR="007C6AD5" w:rsidRPr="007C6AD5" w:rsidRDefault="007C6AD5" w:rsidP="007C6A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56,794</w:t>
            </w:r>
          </w:p>
        </w:tc>
        <w:tc>
          <w:tcPr>
            <w:tcW w:w="1134" w:type="dxa"/>
            <w:noWrap/>
            <w:hideMark/>
          </w:tcPr>
          <w:p w:rsidR="007C6AD5" w:rsidRPr="007C6AD5" w:rsidRDefault="007C6AD5" w:rsidP="007C6A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£14.49</w:t>
            </w:r>
          </w:p>
        </w:tc>
        <w:tc>
          <w:tcPr>
            <w:tcW w:w="1134" w:type="dxa"/>
            <w:noWrap/>
            <w:hideMark/>
          </w:tcPr>
          <w:p w:rsidR="007C6AD5" w:rsidRPr="007C6AD5" w:rsidRDefault="007C6AD5" w:rsidP="007C6A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£3.40</w:t>
            </w:r>
          </w:p>
        </w:tc>
      </w:tr>
      <w:tr w:rsidR="007C6AD5" w:rsidRPr="007C6AD5" w:rsidTr="00DC02CF">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276" w:type="dxa"/>
            <w:hideMark/>
          </w:tcPr>
          <w:p w:rsidR="007C6AD5" w:rsidRPr="007C6AD5" w:rsidRDefault="007C6AD5" w:rsidP="007C6AD5">
            <w:pPr>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PCT SOUTH KENT COAST CCG</w:t>
            </w:r>
          </w:p>
        </w:tc>
        <w:tc>
          <w:tcPr>
            <w:tcW w:w="851" w:type="dxa"/>
            <w:hideMark/>
          </w:tcPr>
          <w:p w:rsidR="007C6AD5" w:rsidRPr="007C6AD5" w:rsidRDefault="007C6AD5" w:rsidP="007C6A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2,269</w:t>
            </w:r>
          </w:p>
        </w:tc>
        <w:tc>
          <w:tcPr>
            <w:tcW w:w="1276" w:type="dxa"/>
            <w:hideMark/>
          </w:tcPr>
          <w:p w:rsidR="007C6AD5" w:rsidRPr="007C6AD5" w:rsidRDefault="007C6AD5" w:rsidP="007C6A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£129,849.89</w:t>
            </w:r>
          </w:p>
        </w:tc>
        <w:tc>
          <w:tcPr>
            <w:tcW w:w="992" w:type="dxa"/>
            <w:hideMark/>
          </w:tcPr>
          <w:p w:rsidR="007C6AD5" w:rsidRPr="007C6AD5" w:rsidRDefault="007C6AD5" w:rsidP="007C6A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294,084</w:t>
            </w:r>
          </w:p>
        </w:tc>
        <w:tc>
          <w:tcPr>
            <w:tcW w:w="993" w:type="dxa"/>
            <w:hideMark/>
          </w:tcPr>
          <w:p w:rsidR="007C6AD5" w:rsidRPr="007C6AD5" w:rsidRDefault="007C6AD5" w:rsidP="007C6A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201,736</w:t>
            </w:r>
          </w:p>
        </w:tc>
        <w:tc>
          <w:tcPr>
            <w:tcW w:w="992" w:type="dxa"/>
            <w:hideMark/>
          </w:tcPr>
          <w:p w:rsidR="007C6AD5" w:rsidRPr="007C6AD5" w:rsidRDefault="007C6AD5" w:rsidP="007C6A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168,397</w:t>
            </w:r>
          </w:p>
        </w:tc>
        <w:tc>
          <w:tcPr>
            <w:tcW w:w="992" w:type="dxa"/>
            <w:noWrap/>
            <w:hideMark/>
          </w:tcPr>
          <w:p w:rsidR="007C6AD5" w:rsidRPr="007C6AD5" w:rsidRDefault="007C6AD5" w:rsidP="007C6A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£0.44</w:t>
            </w:r>
          </w:p>
        </w:tc>
        <w:tc>
          <w:tcPr>
            <w:tcW w:w="992" w:type="dxa"/>
            <w:noWrap/>
            <w:hideMark/>
          </w:tcPr>
          <w:p w:rsidR="007C6AD5" w:rsidRPr="007C6AD5" w:rsidRDefault="007C6AD5" w:rsidP="007C6A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33,339</w:t>
            </w:r>
          </w:p>
        </w:tc>
        <w:tc>
          <w:tcPr>
            <w:tcW w:w="1134" w:type="dxa"/>
            <w:noWrap/>
            <w:hideMark/>
          </w:tcPr>
          <w:p w:rsidR="007C6AD5" w:rsidRPr="007C6AD5" w:rsidRDefault="007C6AD5" w:rsidP="007C6A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£3.89</w:t>
            </w:r>
          </w:p>
        </w:tc>
        <w:tc>
          <w:tcPr>
            <w:tcW w:w="1134" w:type="dxa"/>
            <w:noWrap/>
            <w:hideMark/>
          </w:tcPr>
          <w:p w:rsidR="007C6AD5" w:rsidRPr="007C6AD5" w:rsidRDefault="007C6AD5" w:rsidP="007C6A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£0.77</w:t>
            </w:r>
          </w:p>
        </w:tc>
      </w:tr>
      <w:tr w:rsidR="007C6AD5" w:rsidRPr="007C6AD5" w:rsidTr="00DC02CF">
        <w:trPr>
          <w:trHeight w:val="600"/>
        </w:trPr>
        <w:tc>
          <w:tcPr>
            <w:cnfStyle w:val="001000000000" w:firstRow="0" w:lastRow="0" w:firstColumn="1" w:lastColumn="0" w:oddVBand="0" w:evenVBand="0" w:oddHBand="0" w:evenHBand="0" w:firstRowFirstColumn="0" w:firstRowLastColumn="0" w:lastRowFirstColumn="0" w:lastRowLastColumn="0"/>
            <w:tcW w:w="1276" w:type="dxa"/>
            <w:hideMark/>
          </w:tcPr>
          <w:p w:rsidR="007C6AD5" w:rsidRPr="007C6AD5" w:rsidRDefault="007C6AD5" w:rsidP="007C6AD5">
            <w:pPr>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PCT SWALE CCG</w:t>
            </w:r>
          </w:p>
        </w:tc>
        <w:tc>
          <w:tcPr>
            <w:tcW w:w="851" w:type="dxa"/>
            <w:hideMark/>
          </w:tcPr>
          <w:p w:rsidR="007C6AD5" w:rsidRPr="007C6AD5" w:rsidRDefault="007C6AD5" w:rsidP="007C6A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12,852</w:t>
            </w:r>
          </w:p>
        </w:tc>
        <w:tc>
          <w:tcPr>
            <w:tcW w:w="1276" w:type="dxa"/>
            <w:hideMark/>
          </w:tcPr>
          <w:p w:rsidR="007C6AD5" w:rsidRPr="007C6AD5" w:rsidRDefault="007C6AD5" w:rsidP="007C6A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£568,798.99</w:t>
            </w:r>
          </w:p>
        </w:tc>
        <w:tc>
          <w:tcPr>
            <w:tcW w:w="992" w:type="dxa"/>
            <w:hideMark/>
          </w:tcPr>
          <w:p w:rsidR="007C6AD5" w:rsidRPr="007C6AD5" w:rsidRDefault="007C6AD5" w:rsidP="007C6A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150,559</w:t>
            </w:r>
          </w:p>
        </w:tc>
        <w:tc>
          <w:tcPr>
            <w:tcW w:w="993" w:type="dxa"/>
            <w:hideMark/>
          </w:tcPr>
          <w:p w:rsidR="007C6AD5" w:rsidRPr="007C6AD5" w:rsidRDefault="007C6AD5" w:rsidP="007C6A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110,553</w:t>
            </w:r>
          </w:p>
        </w:tc>
        <w:tc>
          <w:tcPr>
            <w:tcW w:w="992" w:type="dxa"/>
            <w:hideMark/>
          </w:tcPr>
          <w:p w:rsidR="007C6AD5" w:rsidRPr="007C6AD5" w:rsidRDefault="007C6AD5" w:rsidP="007C6A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89,497</w:t>
            </w:r>
          </w:p>
        </w:tc>
        <w:tc>
          <w:tcPr>
            <w:tcW w:w="992" w:type="dxa"/>
            <w:noWrap/>
            <w:hideMark/>
          </w:tcPr>
          <w:p w:rsidR="007C6AD5" w:rsidRPr="007C6AD5" w:rsidRDefault="007C6AD5" w:rsidP="007C6A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£3.78</w:t>
            </w:r>
          </w:p>
        </w:tc>
        <w:tc>
          <w:tcPr>
            <w:tcW w:w="992" w:type="dxa"/>
            <w:noWrap/>
            <w:hideMark/>
          </w:tcPr>
          <w:p w:rsidR="007C6AD5" w:rsidRPr="007C6AD5" w:rsidRDefault="007C6AD5" w:rsidP="007C6A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21,056</w:t>
            </w:r>
          </w:p>
        </w:tc>
        <w:tc>
          <w:tcPr>
            <w:tcW w:w="1134" w:type="dxa"/>
            <w:noWrap/>
            <w:hideMark/>
          </w:tcPr>
          <w:p w:rsidR="007C6AD5" w:rsidRPr="007C6AD5" w:rsidRDefault="007C6AD5" w:rsidP="007C6A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£27.01</w:t>
            </w:r>
          </w:p>
        </w:tc>
        <w:tc>
          <w:tcPr>
            <w:tcW w:w="1134" w:type="dxa"/>
            <w:noWrap/>
            <w:hideMark/>
          </w:tcPr>
          <w:p w:rsidR="007C6AD5" w:rsidRPr="007C6AD5" w:rsidRDefault="007C6AD5" w:rsidP="007C6A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£6.36</w:t>
            </w:r>
          </w:p>
        </w:tc>
      </w:tr>
      <w:tr w:rsidR="007C6AD5" w:rsidRPr="007C6AD5" w:rsidTr="00DC02CF">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276" w:type="dxa"/>
            <w:hideMark/>
          </w:tcPr>
          <w:p w:rsidR="007C6AD5" w:rsidRPr="007C6AD5" w:rsidRDefault="007C6AD5" w:rsidP="007C6AD5">
            <w:pPr>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PCT THANET CCG</w:t>
            </w:r>
          </w:p>
        </w:tc>
        <w:tc>
          <w:tcPr>
            <w:tcW w:w="851" w:type="dxa"/>
            <w:hideMark/>
          </w:tcPr>
          <w:p w:rsidR="007C6AD5" w:rsidRPr="007C6AD5" w:rsidRDefault="007C6AD5" w:rsidP="007C6A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1,779</w:t>
            </w:r>
          </w:p>
        </w:tc>
        <w:tc>
          <w:tcPr>
            <w:tcW w:w="1276" w:type="dxa"/>
            <w:hideMark/>
          </w:tcPr>
          <w:p w:rsidR="007C6AD5" w:rsidRPr="007C6AD5" w:rsidRDefault="007C6AD5" w:rsidP="007C6A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£68,643.41</w:t>
            </w:r>
          </w:p>
        </w:tc>
        <w:tc>
          <w:tcPr>
            <w:tcW w:w="992" w:type="dxa"/>
            <w:hideMark/>
          </w:tcPr>
          <w:p w:rsidR="007C6AD5" w:rsidRPr="007C6AD5" w:rsidRDefault="007C6AD5" w:rsidP="007C6A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212,104</w:t>
            </w:r>
          </w:p>
        </w:tc>
        <w:tc>
          <w:tcPr>
            <w:tcW w:w="993" w:type="dxa"/>
            <w:hideMark/>
          </w:tcPr>
          <w:p w:rsidR="007C6AD5" w:rsidRPr="007C6AD5" w:rsidRDefault="007C6AD5" w:rsidP="007C6A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146,834</w:t>
            </w:r>
          </w:p>
        </w:tc>
        <w:tc>
          <w:tcPr>
            <w:tcW w:w="992" w:type="dxa"/>
            <w:hideMark/>
          </w:tcPr>
          <w:p w:rsidR="007C6AD5" w:rsidRPr="007C6AD5" w:rsidRDefault="007C6AD5" w:rsidP="007C6A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121,344</w:t>
            </w:r>
          </w:p>
        </w:tc>
        <w:tc>
          <w:tcPr>
            <w:tcW w:w="992" w:type="dxa"/>
            <w:noWrap/>
            <w:hideMark/>
          </w:tcPr>
          <w:p w:rsidR="007C6AD5" w:rsidRPr="007C6AD5" w:rsidRDefault="007C6AD5" w:rsidP="007C6A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£0.32</w:t>
            </w:r>
          </w:p>
        </w:tc>
        <w:tc>
          <w:tcPr>
            <w:tcW w:w="992" w:type="dxa"/>
            <w:noWrap/>
            <w:hideMark/>
          </w:tcPr>
          <w:p w:rsidR="007C6AD5" w:rsidRPr="007C6AD5" w:rsidRDefault="007C6AD5" w:rsidP="007C6A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25,490</w:t>
            </w:r>
          </w:p>
        </w:tc>
        <w:tc>
          <w:tcPr>
            <w:tcW w:w="1134" w:type="dxa"/>
            <w:noWrap/>
            <w:hideMark/>
          </w:tcPr>
          <w:p w:rsidR="007C6AD5" w:rsidRPr="007C6AD5" w:rsidRDefault="007C6AD5" w:rsidP="007C6A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£2.69</w:t>
            </w:r>
          </w:p>
        </w:tc>
        <w:tc>
          <w:tcPr>
            <w:tcW w:w="1134" w:type="dxa"/>
            <w:noWrap/>
            <w:hideMark/>
          </w:tcPr>
          <w:p w:rsidR="007C6AD5" w:rsidRPr="007C6AD5" w:rsidRDefault="007C6AD5" w:rsidP="007C6A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£0.57</w:t>
            </w:r>
          </w:p>
        </w:tc>
      </w:tr>
      <w:tr w:rsidR="007C6AD5" w:rsidRPr="007C6AD5" w:rsidTr="00DC02CF">
        <w:trPr>
          <w:trHeight w:val="600"/>
        </w:trPr>
        <w:tc>
          <w:tcPr>
            <w:cnfStyle w:val="001000000000" w:firstRow="0" w:lastRow="0" w:firstColumn="1" w:lastColumn="0" w:oddVBand="0" w:evenVBand="0" w:oddHBand="0" w:evenHBand="0" w:firstRowFirstColumn="0" w:firstRowLastColumn="0" w:lastRowFirstColumn="0" w:lastRowLastColumn="0"/>
            <w:tcW w:w="1276" w:type="dxa"/>
            <w:hideMark/>
          </w:tcPr>
          <w:p w:rsidR="007C6AD5" w:rsidRPr="007C6AD5" w:rsidRDefault="007C6AD5" w:rsidP="007C6AD5">
            <w:pPr>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PCT WEST KENT CCG</w:t>
            </w:r>
          </w:p>
        </w:tc>
        <w:tc>
          <w:tcPr>
            <w:tcW w:w="851" w:type="dxa"/>
            <w:hideMark/>
          </w:tcPr>
          <w:p w:rsidR="007C6AD5" w:rsidRPr="007C6AD5" w:rsidRDefault="007C6AD5" w:rsidP="007C6A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16,693</w:t>
            </w:r>
          </w:p>
        </w:tc>
        <w:tc>
          <w:tcPr>
            <w:tcW w:w="1276" w:type="dxa"/>
            <w:hideMark/>
          </w:tcPr>
          <w:p w:rsidR="007C6AD5" w:rsidRPr="007C6AD5" w:rsidRDefault="007C6AD5" w:rsidP="007C6A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£651,687.78</w:t>
            </w:r>
          </w:p>
        </w:tc>
        <w:tc>
          <w:tcPr>
            <w:tcW w:w="992" w:type="dxa"/>
            <w:hideMark/>
          </w:tcPr>
          <w:p w:rsidR="007C6AD5" w:rsidRPr="007C6AD5" w:rsidRDefault="007C6AD5" w:rsidP="007C6A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662,249</w:t>
            </w:r>
          </w:p>
        </w:tc>
        <w:tc>
          <w:tcPr>
            <w:tcW w:w="993" w:type="dxa"/>
            <w:hideMark/>
          </w:tcPr>
          <w:p w:rsidR="007C6AD5" w:rsidRPr="007C6AD5" w:rsidRDefault="007C6AD5" w:rsidP="007C6A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479,943</w:t>
            </w:r>
          </w:p>
        </w:tc>
        <w:tc>
          <w:tcPr>
            <w:tcW w:w="992" w:type="dxa"/>
            <w:hideMark/>
          </w:tcPr>
          <w:p w:rsidR="007C6AD5" w:rsidRPr="007C6AD5" w:rsidRDefault="007C6AD5" w:rsidP="007C6A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390,810</w:t>
            </w:r>
          </w:p>
        </w:tc>
        <w:tc>
          <w:tcPr>
            <w:tcW w:w="992" w:type="dxa"/>
            <w:noWrap/>
            <w:hideMark/>
          </w:tcPr>
          <w:p w:rsidR="007C6AD5" w:rsidRPr="007C6AD5" w:rsidRDefault="007C6AD5" w:rsidP="007C6A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£0.98</w:t>
            </w:r>
          </w:p>
        </w:tc>
        <w:tc>
          <w:tcPr>
            <w:tcW w:w="992" w:type="dxa"/>
            <w:noWrap/>
            <w:hideMark/>
          </w:tcPr>
          <w:p w:rsidR="007C6AD5" w:rsidRPr="007C6AD5" w:rsidRDefault="007C6AD5" w:rsidP="007C6A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89,133</w:t>
            </w:r>
          </w:p>
        </w:tc>
        <w:tc>
          <w:tcPr>
            <w:tcW w:w="1134" w:type="dxa"/>
            <w:noWrap/>
            <w:hideMark/>
          </w:tcPr>
          <w:p w:rsidR="007C6AD5" w:rsidRPr="007C6AD5" w:rsidRDefault="007C6AD5" w:rsidP="007C6A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£7.31</w:t>
            </w:r>
          </w:p>
        </w:tc>
        <w:tc>
          <w:tcPr>
            <w:tcW w:w="1134" w:type="dxa"/>
            <w:noWrap/>
            <w:hideMark/>
          </w:tcPr>
          <w:p w:rsidR="007C6AD5" w:rsidRPr="007C6AD5" w:rsidRDefault="007C6AD5" w:rsidP="007C6A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7C6AD5">
              <w:rPr>
                <w:rFonts w:ascii="Calibri" w:eastAsia="Times New Roman" w:hAnsi="Calibri" w:cs="Times New Roman"/>
                <w:color w:val="000000"/>
                <w:sz w:val="20"/>
                <w:szCs w:val="20"/>
                <w:lang w:eastAsia="en-GB"/>
              </w:rPr>
              <w:t>£1.67</w:t>
            </w:r>
          </w:p>
        </w:tc>
      </w:tr>
    </w:tbl>
    <w:p w:rsidR="005A3F05" w:rsidRDefault="000547D3" w:rsidP="000547D3">
      <w:pPr>
        <w:pStyle w:val="Caption"/>
        <w:rPr>
          <w:rFonts w:cs="Arial"/>
          <w:szCs w:val="24"/>
        </w:rPr>
      </w:pPr>
      <w:r>
        <w:t xml:space="preserve">Figure </w:t>
      </w:r>
      <w:r w:rsidR="00156E8B">
        <w:fldChar w:fldCharType="begin"/>
      </w:r>
      <w:r w:rsidR="00156E8B">
        <w:instrText xml:space="preserve"> SEQ Figure \* ARABIC </w:instrText>
      </w:r>
      <w:r w:rsidR="00156E8B">
        <w:fldChar w:fldCharType="separate"/>
      </w:r>
      <w:r w:rsidR="005C553C">
        <w:rPr>
          <w:noProof/>
        </w:rPr>
        <w:t>31</w:t>
      </w:r>
      <w:r w:rsidR="00156E8B">
        <w:rPr>
          <w:noProof/>
        </w:rPr>
        <w:fldChar w:fldCharType="end"/>
      </w:r>
      <w:r>
        <w:t xml:space="preserve"> ADHD prescribing costs by CCG</w:t>
      </w:r>
      <w:r w:rsidR="007C6AD5">
        <w:t>, August 2015 – July 2016</w:t>
      </w:r>
    </w:p>
    <w:p w:rsidR="00486FEA" w:rsidRDefault="002E3156" w:rsidP="00486FEA">
      <w:pPr>
        <w:contextualSpacing/>
      </w:pPr>
      <w:r>
        <w:t xml:space="preserve">Options for future commissioning </w:t>
      </w:r>
      <w:r w:rsidR="00316B69">
        <w:t xml:space="preserve">in relation to neuro-developmental disorders </w:t>
      </w:r>
      <w:r>
        <w:t>are currently being considered.</w:t>
      </w:r>
    </w:p>
    <w:p w:rsidR="00A25B5D" w:rsidRPr="00825C9A" w:rsidRDefault="00A25B5D" w:rsidP="00A2065F">
      <w:pPr>
        <w:pStyle w:val="Heading2"/>
        <w:numPr>
          <w:ilvl w:val="0"/>
          <w:numId w:val="47"/>
        </w:numPr>
      </w:pPr>
      <w:bookmarkStart w:id="24" w:name="_Toc434938035"/>
      <w:r w:rsidRPr="00825C9A">
        <w:t>MFT caseload and resources</w:t>
      </w:r>
      <w:bookmarkEnd w:id="24"/>
    </w:p>
    <w:p w:rsidR="00323777" w:rsidRPr="00C613CC" w:rsidRDefault="00323777" w:rsidP="00C613CC">
      <w:pPr>
        <w:pStyle w:val="Heading3"/>
      </w:pPr>
      <w:bookmarkStart w:id="25" w:name="_Toc434938036"/>
      <w:r w:rsidRPr="00C613CC">
        <w:t>Community Paediatricians</w:t>
      </w:r>
      <w:bookmarkEnd w:id="25"/>
    </w:p>
    <w:p w:rsidR="001531EA" w:rsidRPr="001531EA" w:rsidRDefault="000F163B" w:rsidP="0033092E">
      <w:pPr>
        <w:rPr>
          <w:rFonts w:cs="Arial"/>
        </w:rPr>
      </w:pPr>
      <w:r>
        <w:rPr>
          <w:rFonts w:cs="Arial"/>
        </w:rPr>
        <w:t>Referrals are accepted to the Community Paediatric Service in respect of developmental c</w:t>
      </w:r>
      <w:r w:rsidR="001531EA" w:rsidRPr="001531EA">
        <w:rPr>
          <w:rFonts w:cs="Arial"/>
        </w:rPr>
        <w:t xml:space="preserve">oncerns </w:t>
      </w:r>
      <w:r>
        <w:rPr>
          <w:rFonts w:cs="Arial"/>
        </w:rPr>
        <w:t>(pre-school children), learning d</w:t>
      </w:r>
      <w:r w:rsidR="001531EA" w:rsidRPr="001531EA">
        <w:rPr>
          <w:rFonts w:cs="Arial"/>
        </w:rPr>
        <w:t>ifficulties (aside from specific learning difficulti</w:t>
      </w:r>
      <w:r>
        <w:rPr>
          <w:rFonts w:cs="Arial"/>
        </w:rPr>
        <w:t>es in isolation, e.g. dyslexia), behavioural d</w:t>
      </w:r>
      <w:r w:rsidR="001531EA" w:rsidRPr="001531EA">
        <w:rPr>
          <w:rFonts w:cs="Arial"/>
        </w:rPr>
        <w:t>ifficulties and suspected ADHD (primary school age only</w:t>
      </w:r>
      <w:r>
        <w:rPr>
          <w:rFonts w:cs="Arial"/>
        </w:rPr>
        <w:t xml:space="preserve">), suspected </w:t>
      </w:r>
      <w:r w:rsidR="001531EA" w:rsidRPr="001531EA">
        <w:rPr>
          <w:rFonts w:cs="Arial"/>
        </w:rPr>
        <w:t>ASD (pre school and primary age children only), movement disorders/tics</w:t>
      </w:r>
      <w:r>
        <w:rPr>
          <w:rFonts w:cs="Arial"/>
        </w:rPr>
        <w:t>,</w:t>
      </w:r>
      <w:r w:rsidR="001531EA" w:rsidRPr="001531EA">
        <w:rPr>
          <w:rFonts w:cs="Arial"/>
        </w:rPr>
        <w:t xml:space="preserve"> and anxiety in primary school children if there is evidence to suggest an underlying neurodevelopmental problem</w:t>
      </w:r>
      <w:r w:rsidR="00BF5EDB">
        <w:rPr>
          <w:rFonts w:cs="Arial"/>
        </w:rPr>
        <w:t>.</w:t>
      </w:r>
    </w:p>
    <w:p w:rsidR="000F163B" w:rsidRDefault="000F163B" w:rsidP="0033092E"/>
    <w:p w:rsidR="0033092E" w:rsidRDefault="0033092E" w:rsidP="0033092E">
      <w:r>
        <w:t xml:space="preserve">In the calendar year 2014, there were 2066 referrals.  1378 were accepted (67%) and 649 rejected (31%). 2% were on hold/awaiting further information.  </w:t>
      </w:r>
    </w:p>
    <w:p w:rsidR="0033092E" w:rsidRDefault="0033092E" w:rsidP="00020688">
      <w:pPr>
        <w:rPr>
          <w:rFonts w:cs="Arial"/>
        </w:rPr>
      </w:pPr>
    </w:p>
    <w:p w:rsidR="0033092E" w:rsidRDefault="0033092E" w:rsidP="0033092E">
      <w:r>
        <w:t xml:space="preserve">Figure </w:t>
      </w:r>
      <w:r w:rsidR="00BF5EDB">
        <w:t>32</w:t>
      </w:r>
      <w:r>
        <w:t xml:space="preserve"> shows the reason for referral (available for 1,302 of the accepted referrals - more than one reason may apply):</w:t>
      </w:r>
    </w:p>
    <w:p w:rsidR="0033092E" w:rsidRDefault="0033092E" w:rsidP="00020688">
      <w:pPr>
        <w:contextualSpacing/>
        <w:rPr>
          <w:rFonts w:cs="Arial"/>
        </w:rPr>
      </w:pPr>
    </w:p>
    <w:tbl>
      <w:tblPr>
        <w:tblStyle w:val="LightList-Accent1"/>
        <w:tblW w:w="5000" w:type="pct"/>
        <w:tblLook w:val="04A0" w:firstRow="1" w:lastRow="0" w:firstColumn="1" w:lastColumn="0" w:noHBand="0" w:noVBand="1"/>
      </w:tblPr>
      <w:tblGrid>
        <w:gridCol w:w="3080"/>
        <w:gridCol w:w="3081"/>
        <w:gridCol w:w="3081"/>
      </w:tblGrid>
      <w:tr w:rsidR="0033092E" w:rsidRPr="003F30CB" w:rsidTr="002B69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rsidR="0033092E" w:rsidRPr="003F30CB" w:rsidRDefault="0033092E" w:rsidP="00C83BC6">
            <w:pPr>
              <w:rPr>
                <w:b w:val="0"/>
              </w:rPr>
            </w:pPr>
            <w:r w:rsidRPr="003F30CB">
              <w:rPr>
                <w:b w:val="0"/>
              </w:rPr>
              <w:lastRenderedPageBreak/>
              <w:t>Reason for referral</w:t>
            </w:r>
          </w:p>
        </w:tc>
        <w:tc>
          <w:tcPr>
            <w:tcW w:w="1667" w:type="pct"/>
          </w:tcPr>
          <w:p w:rsidR="0033092E" w:rsidRPr="003F30CB" w:rsidRDefault="0033092E" w:rsidP="00C83BC6">
            <w:pPr>
              <w:cnfStyle w:val="100000000000" w:firstRow="1" w:lastRow="0" w:firstColumn="0" w:lastColumn="0" w:oddVBand="0" w:evenVBand="0" w:oddHBand="0" w:evenHBand="0" w:firstRowFirstColumn="0" w:firstRowLastColumn="0" w:lastRowFirstColumn="0" w:lastRowLastColumn="0"/>
              <w:rPr>
                <w:b w:val="0"/>
              </w:rPr>
            </w:pPr>
            <w:r w:rsidRPr="003F30CB">
              <w:rPr>
                <w:b w:val="0"/>
              </w:rPr>
              <w:t xml:space="preserve">Number </w:t>
            </w:r>
          </w:p>
        </w:tc>
        <w:tc>
          <w:tcPr>
            <w:tcW w:w="1667" w:type="pct"/>
          </w:tcPr>
          <w:p w:rsidR="0033092E" w:rsidRPr="003F30CB" w:rsidRDefault="0033092E" w:rsidP="00C83BC6">
            <w:pPr>
              <w:cnfStyle w:val="100000000000" w:firstRow="1" w:lastRow="0" w:firstColumn="0" w:lastColumn="0" w:oddVBand="0" w:evenVBand="0" w:oddHBand="0" w:evenHBand="0" w:firstRowFirstColumn="0" w:firstRowLastColumn="0" w:lastRowFirstColumn="0" w:lastRowLastColumn="0"/>
              <w:rPr>
                <w:b w:val="0"/>
              </w:rPr>
            </w:pPr>
            <w:r w:rsidRPr="003F30CB">
              <w:rPr>
                <w:b w:val="0"/>
              </w:rPr>
              <w:t>% of the number of accepted referrals</w:t>
            </w:r>
          </w:p>
        </w:tc>
      </w:tr>
      <w:tr w:rsidR="0033092E" w:rsidTr="002B6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rsidR="0033092E" w:rsidRDefault="0033092E" w:rsidP="00C83BC6">
            <w:r>
              <w:t>Behaviour</w:t>
            </w:r>
          </w:p>
        </w:tc>
        <w:tc>
          <w:tcPr>
            <w:tcW w:w="1667" w:type="pct"/>
          </w:tcPr>
          <w:p w:rsidR="0033092E" w:rsidRDefault="0033092E" w:rsidP="00C83BC6">
            <w:pPr>
              <w:cnfStyle w:val="000000100000" w:firstRow="0" w:lastRow="0" w:firstColumn="0" w:lastColumn="0" w:oddVBand="0" w:evenVBand="0" w:oddHBand="1" w:evenHBand="0" w:firstRowFirstColumn="0" w:firstRowLastColumn="0" w:lastRowFirstColumn="0" w:lastRowLastColumn="0"/>
            </w:pPr>
            <w:r>
              <w:t>278</w:t>
            </w:r>
          </w:p>
        </w:tc>
        <w:tc>
          <w:tcPr>
            <w:tcW w:w="1667" w:type="pct"/>
          </w:tcPr>
          <w:p w:rsidR="0033092E" w:rsidRDefault="0033092E" w:rsidP="00C83BC6">
            <w:pPr>
              <w:cnfStyle w:val="000000100000" w:firstRow="0" w:lastRow="0" w:firstColumn="0" w:lastColumn="0" w:oddVBand="0" w:evenVBand="0" w:oddHBand="1" w:evenHBand="0" w:firstRowFirstColumn="0" w:firstRowLastColumn="0" w:lastRowFirstColumn="0" w:lastRowLastColumn="0"/>
            </w:pPr>
            <w:r>
              <w:t>20%</w:t>
            </w:r>
          </w:p>
        </w:tc>
      </w:tr>
      <w:tr w:rsidR="0033092E" w:rsidTr="002B69C3">
        <w:tc>
          <w:tcPr>
            <w:cnfStyle w:val="001000000000" w:firstRow="0" w:lastRow="0" w:firstColumn="1" w:lastColumn="0" w:oddVBand="0" w:evenVBand="0" w:oddHBand="0" w:evenHBand="0" w:firstRowFirstColumn="0" w:firstRowLastColumn="0" w:lastRowFirstColumn="0" w:lastRowLastColumn="0"/>
            <w:tcW w:w="1666" w:type="pct"/>
          </w:tcPr>
          <w:p w:rsidR="0033092E" w:rsidRDefault="0033092E" w:rsidP="00C83BC6">
            <w:r>
              <w:t>ADHD</w:t>
            </w:r>
          </w:p>
        </w:tc>
        <w:tc>
          <w:tcPr>
            <w:tcW w:w="1667" w:type="pct"/>
          </w:tcPr>
          <w:p w:rsidR="0033092E" w:rsidRDefault="0033092E" w:rsidP="00C83BC6">
            <w:pPr>
              <w:cnfStyle w:val="000000000000" w:firstRow="0" w:lastRow="0" w:firstColumn="0" w:lastColumn="0" w:oddVBand="0" w:evenVBand="0" w:oddHBand="0" w:evenHBand="0" w:firstRowFirstColumn="0" w:firstRowLastColumn="0" w:lastRowFirstColumn="0" w:lastRowLastColumn="0"/>
            </w:pPr>
            <w:r>
              <w:t>364</w:t>
            </w:r>
          </w:p>
        </w:tc>
        <w:tc>
          <w:tcPr>
            <w:tcW w:w="1667" w:type="pct"/>
          </w:tcPr>
          <w:p w:rsidR="0033092E" w:rsidRDefault="0033092E" w:rsidP="00C83BC6">
            <w:pPr>
              <w:cnfStyle w:val="000000000000" w:firstRow="0" w:lastRow="0" w:firstColumn="0" w:lastColumn="0" w:oddVBand="0" w:evenVBand="0" w:oddHBand="0" w:evenHBand="0" w:firstRowFirstColumn="0" w:firstRowLastColumn="0" w:lastRowFirstColumn="0" w:lastRowLastColumn="0"/>
            </w:pPr>
            <w:r>
              <w:t>26%</w:t>
            </w:r>
          </w:p>
        </w:tc>
      </w:tr>
      <w:tr w:rsidR="0033092E" w:rsidTr="002B6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rsidR="0033092E" w:rsidRDefault="0033092E" w:rsidP="00C83BC6">
            <w:r>
              <w:t>Social/communication</w:t>
            </w:r>
          </w:p>
        </w:tc>
        <w:tc>
          <w:tcPr>
            <w:tcW w:w="1667" w:type="pct"/>
          </w:tcPr>
          <w:p w:rsidR="0033092E" w:rsidRDefault="0033092E" w:rsidP="00C83BC6">
            <w:pPr>
              <w:cnfStyle w:val="000000100000" w:firstRow="0" w:lastRow="0" w:firstColumn="0" w:lastColumn="0" w:oddVBand="0" w:evenVBand="0" w:oddHBand="1" w:evenHBand="0" w:firstRowFirstColumn="0" w:firstRowLastColumn="0" w:lastRowFirstColumn="0" w:lastRowLastColumn="0"/>
            </w:pPr>
            <w:r>
              <w:t>273</w:t>
            </w:r>
          </w:p>
        </w:tc>
        <w:tc>
          <w:tcPr>
            <w:tcW w:w="1667" w:type="pct"/>
          </w:tcPr>
          <w:p w:rsidR="0033092E" w:rsidRDefault="0033092E" w:rsidP="00C83BC6">
            <w:pPr>
              <w:cnfStyle w:val="000000100000" w:firstRow="0" w:lastRow="0" w:firstColumn="0" w:lastColumn="0" w:oddVBand="0" w:evenVBand="0" w:oddHBand="1" w:evenHBand="0" w:firstRowFirstColumn="0" w:firstRowLastColumn="0" w:lastRowFirstColumn="0" w:lastRowLastColumn="0"/>
            </w:pPr>
            <w:r>
              <w:t>20%</w:t>
            </w:r>
          </w:p>
        </w:tc>
      </w:tr>
      <w:tr w:rsidR="0033092E" w:rsidTr="002B69C3">
        <w:tc>
          <w:tcPr>
            <w:cnfStyle w:val="001000000000" w:firstRow="0" w:lastRow="0" w:firstColumn="1" w:lastColumn="0" w:oddVBand="0" w:evenVBand="0" w:oddHBand="0" w:evenHBand="0" w:firstRowFirstColumn="0" w:firstRowLastColumn="0" w:lastRowFirstColumn="0" w:lastRowLastColumn="0"/>
            <w:tcW w:w="1666" w:type="pct"/>
          </w:tcPr>
          <w:p w:rsidR="0033092E" w:rsidRDefault="0033092E" w:rsidP="00C83BC6">
            <w:r>
              <w:t>Developmental delay</w:t>
            </w:r>
          </w:p>
        </w:tc>
        <w:tc>
          <w:tcPr>
            <w:tcW w:w="1667" w:type="pct"/>
          </w:tcPr>
          <w:p w:rsidR="0033092E" w:rsidRDefault="0033092E" w:rsidP="00C83BC6">
            <w:pPr>
              <w:cnfStyle w:val="000000000000" w:firstRow="0" w:lastRow="0" w:firstColumn="0" w:lastColumn="0" w:oddVBand="0" w:evenVBand="0" w:oddHBand="0" w:evenHBand="0" w:firstRowFirstColumn="0" w:firstRowLastColumn="0" w:lastRowFirstColumn="0" w:lastRowLastColumn="0"/>
            </w:pPr>
            <w:r>
              <w:t>257</w:t>
            </w:r>
          </w:p>
        </w:tc>
        <w:tc>
          <w:tcPr>
            <w:tcW w:w="1667" w:type="pct"/>
          </w:tcPr>
          <w:p w:rsidR="0033092E" w:rsidRDefault="0033092E" w:rsidP="00C83BC6">
            <w:pPr>
              <w:cnfStyle w:val="000000000000" w:firstRow="0" w:lastRow="0" w:firstColumn="0" w:lastColumn="0" w:oddVBand="0" w:evenVBand="0" w:oddHBand="0" w:evenHBand="0" w:firstRowFirstColumn="0" w:firstRowLastColumn="0" w:lastRowFirstColumn="0" w:lastRowLastColumn="0"/>
            </w:pPr>
            <w:r>
              <w:t>19%</w:t>
            </w:r>
          </w:p>
        </w:tc>
      </w:tr>
      <w:tr w:rsidR="0033092E" w:rsidTr="002B6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rsidR="0033092E" w:rsidRDefault="0033092E" w:rsidP="00C83BC6">
            <w:r>
              <w:t>Dyspraxia</w:t>
            </w:r>
          </w:p>
        </w:tc>
        <w:tc>
          <w:tcPr>
            <w:tcW w:w="1667" w:type="pct"/>
          </w:tcPr>
          <w:p w:rsidR="0033092E" w:rsidRDefault="0033092E" w:rsidP="00C83BC6">
            <w:pPr>
              <w:cnfStyle w:val="000000100000" w:firstRow="0" w:lastRow="0" w:firstColumn="0" w:lastColumn="0" w:oddVBand="0" w:evenVBand="0" w:oddHBand="1" w:evenHBand="0" w:firstRowFirstColumn="0" w:firstRowLastColumn="0" w:lastRowFirstColumn="0" w:lastRowLastColumn="0"/>
            </w:pPr>
            <w:r>
              <w:t>8</w:t>
            </w:r>
          </w:p>
        </w:tc>
        <w:tc>
          <w:tcPr>
            <w:tcW w:w="1667" w:type="pct"/>
          </w:tcPr>
          <w:p w:rsidR="0033092E" w:rsidRDefault="0033092E" w:rsidP="00C83BC6">
            <w:pPr>
              <w:cnfStyle w:val="000000100000" w:firstRow="0" w:lastRow="0" w:firstColumn="0" w:lastColumn="0" w:oddVBand="0" w:evenVBand="0" w:oddHBand="1" w:evenHBand="0" w:firstRowFirstColumn="0" w:firstRowLastColumn="0" w:lastRowFirstColumn="0" w:lastRowLastColumn="0"/>
            </w:pPr>
            <w:r>
              <w:t>8%</w:t>
            </w:r>
          </w:p>
        </w:tc>
      </w:tr>
      <w:tr w:rsidR="0033092E" w:rsidTr="002B69C3">
        <w:tc>
          <w:tcPr>
            <w:cnfStyle w:val="001000000000" w:firstRow="0" w:lastRow="0" w:firstColumn="1" w:lastColumn="0" w:oddVBand="0" w:evenVBand="0" w:oddHBand="0" w:evenHBand="0" w:firstRowFirstColumn="0" w:firstRowLastColumn="0" w:lastRowFirstColumn="0" w:lastRowLastColumn="0"/>
            <w:tcW w:w="1666" w:type="pct"/>
          </w:tcPr>
          <w:p w:rsidR="0033092E" w:rsidRDefault="0033092E" w:rsidP="00C83BC6">
            <w:r>
              <w:t>Learning difficulties</w:t>
            </w:r>
          </w:p>
        </w:tc>
        <w:tc>
          <w:tcPr>
            <w:tcW w:w="1667" w:type="pct"/>
          </w:tcPr>
          <w:p w:rsidR="0033092E" w:rsidRDefault="0033092E" w:rsidP="00C83BC6">
            <w:pPr>
              <w:cnfStyle w:val="000000000000" w:firstRow="0" w:lastRow="0" w:firstColumn="0" w:lastColumn="0" w:oddVBand="0" w:evenVBand="0" w:oddHBand="0" w:evenHBand="0" w:firstRowFirstColumn="0" w:firstRowLastColumn="0" w:lastRowFirstColumn="0" w:lastRowLastColumn="0"/>
            </w:pPr>
            <w:r>
              <w:t>34</w:t>
            </w:r>
          </w:p>
        </w:tc>
        <w:tc>
          <w:tcPr>
            <w:tcW w:w="1667" w:type="pct"/>
          </w:tcPr>
          <w:p w:rsidR="0033092E" w:rsidRDefault="0033092E" w:rsidP="00C83BC6">
            <w:pPr>
              <w:cnfStyle w:val="000000000000" w:firstRow="0" w:lastRow="0" w:firstColumn="0" w:lastColumn="0" w:oddVBand="0" w:evenVBand="0" w:oddHBand="0" w:evenHBand="0" w:firstRowFirstColumn="0" w:firstRowLastColumn="0" w:lastRowFirstColumn="0" w:lastRowLastColumn="0"/>
            </w:pPr>
            <w:r>
              <w:t>2%</w:t>
            </w:r>
          </w:p>
        </w:tc>
      </w:tr>
      <w:tr w:rsidR="0033092E" w:rsidTr="002B6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rsidR="0033092E" w:rsidRDefault="0033092E" w:rsidP="00C83BC6">
            <w:r>
              <w:t>Motor disorders</w:t>
            </w:r>
          </w:p>
        </w:tc>
        <w:tc>
          <w:tcPr>
            <w:tcW w:w="1667" w:type="pct"/>
          </w:tcPr>
          <w:p w:rsidR="0033092E" w:rsidRDefault="0033092E" w:rsidP="00C83BC6">
            <w:pPr>
              <w:cnfStyle w:val="000000100000" w:firstRow="0" w:lastRow="0" w:firstColumn="0" w:lastColumn="0" w:oddVBand="0" w:evenVBand="0" w:oddHBand="1" w:evenHBand="0" w:firstRowFirstColumn="0" w:firstRowLastColumn="0" w:lastRowFirstColumn="0" w:lastRowLastColumn="0"/>
            </w:pPr>
            <w:r>
              <w:t>26</w:t>
            </w:r>
          </w:p>
        </w:tc>
        <w:tc>
          <w:tcPr>
            <w:tcW w:w="1667" w:type="pct"/>
          </w:tcPr>
          <w:p w:rsidR="0033092E" w:rsidRDefault="0033092E" w:rsidP="00C83BC6">
            <w:pPr>
              <w:cnfStyle w:val="000000100000" w:firstRow="0" w:lastRow="0" w:firstColumn="0" w:lastColumn="0" w:oddVBand="0" w:evenVBand="0" w:oddHBand="1" w:evenHBand="0" w:firstRowFirstColumn="0" w:firstRowLastColumn="0" w:lastRowFirstColumn="0" w:lastRowLastColumn="0"/>
            </w:pPr>
            <w:r>
              <w:t>2%</w:t>
            </w:r>
          </w:p>
        </w:tc>
      </w:tr>
      <w:tr w:rsidR="0033092E" w:rsidTr="002B69C3">
        <w:tc>
          <w:tcPr>
            <w:cnfStyle w:val="001000000000" w:firstRow="0" w:lastRow="0" w:firstColumn="1" w:lastColumn="0" w:oddVBand="0" w:evenVBand="0" w:oddHBand="0" w:evenHBand="0" w:firstRowFirstColumn="0" w:firstRowLastColumn="0" w:lastRowFirstColumn="0" w:lastRowLastColumn="0"/>
            <w:tcW w:w="1666" w:type="pct"/>
          </w:tcPr>
          <w:p w:rsidR="0033092E" w:rsidRDefault="0033092E" w:rsidP="00C83BC6">
            <w:r>
              <w:t>Complex neuro development</w:t>
            </w:r>
          </w:p>
        </w:tc>
        <w:tc>
          <w:tcPr>
            <w:tcW w:w="1667" w:type="pct"/>
          </w:tcPr>
          <w:p w:rsidR="0033092E" w:rsidRDefault="0033092E" w:rsidP="00C83BC6">
            <w:pPr>
              <w:cnfStyle w:val="000000000000" w:firstRow="0" w:lastRow="0" w:firstColumn="0" w:lastColumn="0" w:oddVBand="0" w:evenVBand="0" w:oddHBand="0" w:evenHBand="0" w:firstRowFirstColumn="0" w:firstRowLastColumn="0" w:lastRowFirstColumn="0" w:lastRowLastColumn="0"/>
            </w:pPr>
            <w:r>
              <w:t>11</w:t>
            </w:r>
          </w:p>
        </w:tc>
        <w:tc>
          <w:tcPr>
            <w:tcW w:w="1667" w:type="pct"/>
          </w:tcPr>
          <w:p w:rsidR="0033092E" w:rsidRDefault="0033092E" w:rsidP="00C83BC6">
            <w:pPr>
              <w:cnfStyle w:val="000000000000" w:firstRow="0" w:lastRow="0" w:firstColumn="0" w:lastColumn="0" w:oddVBand="0" w:evenVBand="0" w:oddHBand="0" w:evenHBand="0" w:firstRowFirstColumn="0" w:firstRowLastColumn="0" w:lastRowFirstColumn="0" w:lastRowLastColumn="0"/>
            </w:pPr>
            <w:r>
              <w:t>1%</w:t>
            </w:r>
          </w:p>
        </w:tc>
      </w:tr>
      <w:tr w:rsidR="0033092E" w:rsidTr="002B6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rsidR="0033092E" w:rsidRDefault="0033092E" w:rsidP="00C83BC6">
            <w:r>
              <w:t>Sleep</w:t>
            </w:r>
          </w:p>
        </w:tc>
        <w:tc>
          <w:tcPr>
            <w:tcW w:w="1667" w:type="pct"/>
          </w:tcPr>
          <w:p w:rsidR="0033092E" w:rsidRDefault="0033092E" w:rsidP="00C83BC6">
            <w:pPr>
              <w:cnfStyle w:val="000000100000" w:firstRow="0" w:lastRow="0" w:firstColumn="0" w:lastColumn="0" w:oddVBand="0" w:evenVBand="0" w:oddHBand="1" w:evenHBand="0" w:firstRowFirstColumn="0" w:firstRowLastColumn="0" w:lastRowFirstColumn="0" w:lastRowLastColumn="0"/>
            </w:pPr>
            <w:r>
              <w:t>24</w:t>
            </w:r>
          </w:p>
        </w:tc>
        <w:tc>
          <w:tcPr>
            <w:tcW w:w="1667" w:type="pct"/>
          </w:tcPr>
          <w:p w:rsidR="0033092E" w:rsidRDefault="0033092E" w:rsidP="00C83BC6">
            <w:pPr>
              <w:cnfStyle w:val="000000100000" w:firstRow="0" w:lastRow="0" w:firstColumn="0" w:lastColumn="0" w:oddVBand="0" w:evenVBand="0" w:oddHBand="1" w:evenHBand="0" w:firstRowFirstColumn="0" w:firstRowLastColumn="0" w:lastRowFirstColumn="0" w:lastRowLastColumn="0"/>
            </w:pPr>
            <w:r>
              <w:t>2%</w:t>
            </w:r>
          </w:p>
        </w:tc>
      </w:tr>
      <w:tr w:rsidR="0033092E" w:rsidTr="002B69C3">
        <w:tc>
          <w:tcPr>
            <w:cnfStyle w:val="001000000000" w:firstRow="0" w:lastRow="0" w:firstColumn="1" w:lastColumn="0" w:oddVBand="0" w:evenVBand="0" w:oddHBand="0" w:evenHBand="0" w:firstRowFirstColumn="0" w:firstRowLastColumn="0" w:lastRowFirstColumn="0" w:lastRowLastColumn="0"/>
            <w:tcW w:w="1666" w:type="pct"/>
          </w:tcPr>
          <w:p w:rsidR="0033092E" w:rsidRDefault="0033092E" w:rsidP="00C83BC6">
            <w:r>
              <w:t>Hearing</w:t>
            </w:r>
          </w:p>
        </w:tc>
        <w:tc>
          <w:tcPr>
            <w:tcW w:w="1667" w:type="pct"/>
          </w:tcPr>
          <w:p w:rsidR="0033092E" w:rsidRDefault="0033092E" w:rsidP="00C83BC6">
            <w:pPr>
              <w:cnfStyle w:val="000000000000" w:firstRow="0" w:lastRow="0" w:firstColumn="0" w:lastColumn="0" w:oddVBand="0" w:evenVBand="0" w:oddHBand="0" w:evenHBand="0" w:firstRowFirstColumn="0" w:firstRowLastColumn="0" w:lastRowFirstColumn="0" w:lastRowLastColumn="0"/>
            </w:pPr>
            <w:r>
              <w:t>52</w:t>
            </w:r>
          </w:p>
        </w:tc>
        <w:tc>
          <w:tcPr>
            <w:tcW w:w="1667" w:type="pct"/>
          </w:tcPr>
          <w:p w:rsidR="0033092E" w:rsidRDefault="0033092E" w:rsidP="00C83BC6">
            <w:pPr>
              <w:cnfStyle w:val="000000000000" w:firstRow="0" w:lastRow="0" w:firstColumn="0" w:lastColumn="0" w:oddVBand="0" w:evenVBand="0" w:oddHBand="0" w:evenHBand="0" w:firstRowFirstColumn="0" w:firstRowLastColumn="0" w:lastRowFirstColumn="0" w:lastRowLastColumn="0"/>
            </w:pPr>
            <w:r>
              <w:t>4%</w:t>
            </w:r>
          </w:p>
        </w:tc>
      </w:tr>
    </w:tbl>
    <w:p w:rsidR="0033092E" w:rsidRDefault="00BF5EDB" w:rsidP="00BF5EDB">
      <w:pPr>
        <w:pStyle w:val="Caption"/>
        <w:rPr>
          <w:rFonts w:cs="Arial"/>
          <w:sz w:val="24"/>
          <w:szCs w:val="24"/>
        </w:rPr>
      </w:pPr>
      <w:r>
        <w:t xml:space="preserve">Figure </w:t>
      </w:r>
      <w:r w:rsidR="00156E8B">
        <w:fldChar w:fldCharType="begin"/>
      </w:r>
      <w:r w:rsidR="00156E8B">
        <w:instrText xml:space="preserve"> SEQ Figure \* ARABIC </w:instrText>
      </w:r>
      <w:r w:rsidR="00156E8B">
        <w:fldChar w:fldCharType="separate"/>
      </w:r>
      <w:r w:rsidR="005C553C">
        <w:rPr>
          <w:noProof/>
        </w:rPr>
        <w:t>32</w:t>
      </w:r>
      <w:r w:rsidR="00156E8B">
        <w:rPr>
          <w:noProof/>
        </w:rPr>
        <w:fldChar w:fldCharType="end"/>
      </w:r>
      <w:r>
        <w:t xml:space="preserve"> Referrals to Community Paediatric Service 2014</w:t>
      </w:r>
    </w:p>
    <w:p w:rsidR="00B21EF0" w:rsidRPr="00B21EF0" w:rsidRDefault="00B21EF0" w:rsidP="00B21EF0">
      <w:pPr>
        <w:pStyle w:val="ListParagraph"/>
        <w:numPr>
          <w:ilvl w:val="0"/>
          <w:numId w:val="15"/>
        </w:numPr>
        <w:spacing w:line="276" w:lineRule="auto"/>
        <w:contextualSpacing/>
        <w:rPr>
          <w:rFonts w:ascii="Arial" w:hAnsi="Arial" w:cs="Arial"/>
          <w:sz w:val="22"/>
        </w:rPr>
      </w:pPr>
      <w:r w:rsidRPr="00B21EF0">
        <w:rPr>
          <w:rFonts w:ascii="Arial" w:hAnsi="Arial" w:cs="Arial"/>
          <w:sz w:val="22"/>
        </w:rPr>
        <w:t>Referrals from Chatham are significantly l</w:t>
      </w:r>
      <w:r>
        <w:rPr>
          <w:rFonts w:ascii="Arial" w:hAnsi="Arial" w:cs="Arial"/>
          <w:sz w:val="22"/>
        </w:rPr>
        <w:t>ower than other areas of Medway</w:t>
      </w:r>
    </w:p>
    <w:p w:rsidR="00B21EF0" w:rsidRPr="00B21EF0" w:rsidRDefault="00B21EF0" w:rsidP="00B21EF0">
      <w:pPr>
        <w:pStyle w:val="ListParagraph"/>
        <w:numPr>
          <w:ilvl w:val="0"/>
          <w:numId w:val="15"/>
        </w:numPr>
        <w:spacing w:line="276" w:lineRule="auto"/>
        <w:contextualSpacing/>
        <w:rPr>
          <w:rFonts w:ascii="Arial" w:hAnsi="Arial" w:cs="Arial"/>
          <w:sz w:val="22"/>
        </w:rPr>
      </w:pPr>
      <w:r w:rsidRPr="00B21EF0">
        <w:rPr>
          <w:rFonts w:ascii="Arial" w:hAnsi="Arial" w:cs="Arial"/>
          <w:sz w:val="22"/>
        </w:rPr>
        <w:t xml:space="preserve">The main reasons behind accepted referrals are the interlinked issues of behaviour, ADHD and social and communication difficulties, </w:t>
      </w:r>
      <w:r>
        <w:rPr>
          <w:rFonts w:ascii="Arial" w:hAnsi="Arial" w:cs="Arial"/>
          <w:sz w:val="22"/>
        </w:rPr>
        <w:t>followed by developmental delay</w:t>
      </w:r>
    </w:p>
    <w:p w:rsidR="00B21EF0" w:rsidRPr="00B21EF0" w:rsidRDefault="00B21EF0" w:rsidP="00B21EF0">
      <w:pPr>
        <w:pStyle w:val="ListParagraph"/>
        <w:numPr>
          <w:ilvl w:val="0"/>
          <w:numId w:val="15"/>
        </w:numPr>
        <w:spacing w:line="276" w:lineRule="auto"/>
        <w:contextualSpacing/>
        <w:rPr>
          <w:rFonts w:ascii="Arial" w:hAnsi="Arial" w:cs="Arial"/>
          <w:sz w:val="22"/>
        </w:rPr>
      </w:pPr>
      <w:r w:rsidRPr="00B21EF0">
        <w:rPr>
          <w:rFonts w:ascii="Arial" w:hAnsi="Arial" w:cs="Arial"/>
          <w:sz w:val="22"/>
        </w:rPr>
        <w:t>GPs make the most referrals, but have half their referrals rejected (other main referrers have a rejection rate of approximately 25%)</w:t>
      </w:r>
    </w:p>
    <w:p w:rsidR="00B21EF0" w:rsidRPr="00B21EF0" w:rsidRDefault="00B21EF0" w:rsidP="00B21EF0">
      <w:pPr>
        <w:pStyle w:val="ListParagraph"/>
        <w:numPr>
          <w:ilvl w:val="0"/>
          <w:numId w:val="15"/>
        </w:numPr>
        <w:spacing w:line="276" w:lineRule="auto"/>
        <w:contextualSpacing/>
        <w:rPr>
          <w:rFonts w:ascii="Arial" w:hAnsi="Arial" w:cs="Arial"/>
          <w:sz w:val="22"/>
        </w:rPr>
      </w:pPr>
      <w:r w:rsidRPr="00B21EF0">
        <w:rPr>
          <w:rFonts w:ascii="Arial" w:hAnsi="Arial" w:cs="Arial"/>
          <w:sz w:val="22"/>
        </w:rPr>
        <w:t>Chatham GPs make the fewest referrals, but have the highest number of rejections.</w:t>
      </w:r>
    </w:p>
    <w:p w:rsidR="00B21EF0" w:rsidRPr="00B21EF0" w:rsidRDefault="00B21EF0" w:rsidP="00B21EF0">
      <w:pPr>
        <w:pStyle w:val="ListParagraph"/>
        <w:numPr>
          <w:ilvl w:val="0"/>
          <w:numId w:val="15"/>
        </w:numPr>
        <w:spacing w:line="276" w:lineRule="auto"/>
        <w:contextualSpacing/>
        <w:rPr>
          <w:rFonts w:ascii="Arial" w:hAnsi="Arial" w:cs="Arial"/>
          <w:sz w:val="22"/>
        </w:rPr>
      </w:pPr>
      <w:r w:rsidRPr="00B21EF0">
        <w:rPr>
          <w:rFonts w:ascii="Arial" w:hAnsi="Arial" w:cs="Arial"/>
          <w:sz w:val="22"/>
        </w:rPr>
        <w:t>GP referrals related to hearing have a rejec</w:t>
      </w:r>
      <w:r>
        <w:rPr>
          <w:rFonts w:ascii="Arial" w:hAnsi="Arial" w:cs="Arial"/>
          <w:sz w:val="22"/>
        </w:rPr>
        <w:t>tion rate of 84%</w:t>
      </w:r>
    </w:p>
    <w:p w:rsidR="00B21EF0" w:rsidRDefault="00B21EF0" w:rsidP="00B21EF0">
      <w:pPr>
        <w:pStyle w:val="ListParagraph"/>
        <w:numPr>
          <w:ilvl w:val="0"/>
          <w:numId w:val="15"/>
        </w:numPr>
        <w:spacing w:line="276" w:lineRule="auto"/>
        <w:contextualSpacing/>
        <w:rPr>
          <w:rFonts w:ascii="Arial" w:hAnsi="Arial" w:cs="Arial"/>
          <w:sz w:val="22"/>
        </w:rPr>
      </w:pPr>
      <w:r w:rsidRPr="00B21EF0">
        <w:rPr>
          <w:rFonts w:ascii="Arial" w:hAnsi="Arial" w:cs="Arial"/>
          <w:sz w:val="22"/>
        </w:rPr>
        <w:t>Whereas referral activity looks similar for the financial years 13/14 and 14/15 (1837 referrals received in 13/14 and 1782 in 14/15), these overall figures mask a substantial decrease in Medway referrals in the first 3 months of 2015, and an i</w:t>
      </w:r>
      <w:r>
        <w:rPr>
          <w:rFonts w:ascii="Arial" w:hAnsi="Arial" w:cs="Arial"/>
          <w:sz w:val="22"/>
        </w:rPr>
        <w:t>ncrease in referrals from Swale</w:t>
      </w:r>
    </w:p>
    <w:p w:rsidR="000B2860" w:rsidRPr="000B2860" w:rsidRDefault="00841CFF" w:rsidP="000B2860">
      <w:pPr>
        <w:pStyle w:val="ListParagraph"/>
        <w:numPr>
          <w:ilvl w:val="0"/>
          <w:numId w:val="15"/>
        </w:numPr>
        <w:spacing w:line="276" w:lineRule="auto"/>
        <w:contextualSpacing/>
        <w:rPr>
          <w:rFonts w:ascii="Arial" w:hAnsi="Arial" w:cs="Arial"/>
          <w:sz w:val="22"/>
        </w:rPr>
      </w:pPr>
      <w:r w:rsidRPr="000B2860">
        <w:rPr>
          <w:rFonts w:ascii="Arial" w:hAnsi="Arial" w:cs="Arial"/>
          <w:sz w:val="22"/>
        </w:rPr>
        <w:t xml:space="preserve">A potential indicator of capacity issues is the </w:t>
      </w:r>
      <w:r w:rsidR="000B2860" w:rsidRPr="000B2860">
        <w:rPr>
          <w:rFonts w:ascii="Arial" w:hAnsi="Arial" w:cs="Arial"/>
          <w:sz w:val="22"/>
        </w:rPr>
        <w:t>percentage</w:t>
      </w:r>
      <w:r w:rsidRPr="000B2860">
        <w:rPr>
          <w:rFonts w:ascii="Arial" w:hAnsi="Arial" w:cs="Arial"/>
          <w:sz w:val="22"/>
        </w:rPr>
        <w:t xml:space="preserve"> of appointments cancelled by the hospital with between 1 and 6 </w:t>
      </w:r>
      <w:r w:rsidR="000B2860" w:rsidRPr="000B2860">
        <w:rPr>
          <w:rFonts w:ascii="Arial" w:hAnsi="Arial" w:cs="Arial"/>
          <w:sz w:val="22"/>
        </w:rPr>
        <w:t>week’s</w:t>
      </w:r>
      <w:r w:rsidRPr="000B2860">
        <w:rPr>
          <w:rFonts w:ascii="Arial" w:hAnsi="Arial" w:cs="Arial"/>
          <w:sz w:val="22"/>
        </w:rPr>
        <w:t xml:space="preserve"> notice. The Trust target is 10%, </w:t>
      </w:r>
      <w:r w:rsidR="000B2860" w:rsidRPr="000B2860">
        <w:rPr>
          <w:rFonts w:ascii="Arial" w:hAnsi="Arial" w:cs="Arial"/>
          <w:sz w:val="22"/>
        </w:rPr>
        <w:t xml:space="preserve">but </w:t>
      </w:r>
      <w:r w:rsidRPr="000B2860">
        <w:rPr>
          <w:rFonts w:ascii="Arial" w:hAnsi="Arial" w:cs="Arial"/>
          <w:sz w:val="22"/>
        </w:rPr>
        <w:t xml:space="preserve"> </w:t>
      </w:r>
      <w:r w:rsidR="002F05EF">
        <w:rPr>
          <w:rFonts w:ascii="Arial" w:hAnsi="Arial" w:cs="Arial"/>
          <w:sz w:val="22"/>
        </w:rPr>
        <w:t xml:space="preserve">the </w:t>
      </w:r>
      <w:r w:rsidRPr="000B2860">
        <w:rPr>
          <w:rFonts w:ascii="Arial" w:hAnsi="Arial" w:cs="Arial"/>
          <w:sz w:val="22"/>
        </w:rPr>
        <w:t xml:space="preserve">Community Paediatric rate is </w:t>
      </w:r>
      <w:r w:rsidR="000B2860" w:rsidRPr="000B2860">
        <w:rPr>
          <w:rFonts w:ascii="Arial" w:hAnsi="Arial" w:cs="Arial"/>
          <w:sz w:val="22"/>
        </w:rPr>
        <w:t>56.8% (8th highest out of 30 departments</w:t>
      </w:r>
      <w:r w:rsidR="000B2860">
        <w:rPr>
          <w:rStyle w:val="FootnoteReference"/>
          <w:rFonts w:ascii="Arial" w:hAnsi="Arial" w:cs="Arial"/>
          <w:sz w:val="22"/>
        </w:rPr>
        <w:footnoteReference w:id="59"/>
      </w:r>
      <w:r w:rsidR="00BF5EDB">
        <w:rPr>
          <w:rFonts w:ascii="Arial" w:hAnsi="Arial" w:cs="Arial"/>
          <w:sz w:val="22"/>
        </w:rPr>
        <w:t>)</w:t>
      </w:r>
    </w:p>
    <w:p w:rsidR="000355CD" w:rsidRDefault="000355CD" w:rsidP="00020688">
      <w:pPr>
        <w:contextualSpacing/>
        <w:rPr>
          <w:rFonts w:cs="Arial"/>
        </w:rPr>
      </w:pPr>
    </w:p>
    <w:p w:rsidR="00B21EF0" w:rsidRDefault="000355CD" w:rsidP="00020688">
      <w:pPr>
        <w:contextualSpacing/>
        <w:rPr>
          <w:rFonts w:cs="Arial"/>
        </w:rPr>
      </w:pPr>
      <w:r w:rsidRPr="00BC1869">
        <w:rPr>
          <w:rFonts w:cs="Arial"/>
        </w:rPr>
        <w:t xml:space="preserve">No detailed breakdown by </w:t>
      </w:r>
      <w:r w:rsidR="000F163B" w:rsidRPr="00BC1869">
        <w:rPr>
          <w:rFonts w:cs="Arial"/>
        </w:rPr>
        <w:t xml:space="preserve">other </w:t>
      </w:r>
      <w:r w:rsidRPr="00BC1869">
        <w:rPr>
          <w:rFonts w:cs="Arial"/>
        </w:rPr>
        <w:t>disability is available because of provider IT issues.</w:t>
      </w:r>
    </w:p>
    <w:p w:rsidR="00EB6C67" w:rsidRDefault="00323777" w:rsidP="00C613CC">
      <w:pPr>
        <w:pStyle w:val="Heading3"/>
      </w:pPr>
      <w:bookmarkStart w:id="26" w:name="_Toc434938037"/>
      <w:r>
        <w:t>Learning Disability Nursing</w:t>
      </w:r>
      <w:bookmarkEnd w:id="26"/>
    </w:p>
    <w:p w:rsidR="007F4F22" w:rsidRDefault="007F4F22" w:rsidP="00C613CC">
      <w:pPr>
        <w:rPr>
          <w:rFonts w:cs="Arial"/>
        </w:rPr>
      </w:pPr>
      <w:r w:rsidRPr="007F4F22">
        <w:rPr>
          <w:rFonts w:cs="Arial"/>
        </w:rPr>
        <w:t xml:space="preserve">The Learning Disability </w:t>
      </w:r>
      <w:r>
        <w:rPr>
          <w:rFonts w:cs="Arial"/>
        </w:rPr>
        <w:t>Nursing team comprises:</w:t>
      </w:r>
    </w:p>
    <w:p w:rsidR="007F4F22" w:rsidRPr="00A77F92" w:rsidRDefault="007F4F22" w:rsidP="00A77F92">
      <w:pPr>
        <w:pStyle w:val="ListParagraph"/>
        <w:numPr>
          <w:ilvl w:val="0"/>
          <w:numId w:val="45"/>
        </w:numPr>
        <w:spacing w:line="276" w:lineRule="auto"/>
        <w:rPr>
          <w:rFonts w:ascii="Arial" w:hAnsi="Arial" w:cs="Arial"/>
          <w:sz w:val="22"/>
        </w:rPr>
      </w:pPr>
      <w:r w:rsidRPr="00A77F92">
        <w:rPr>
          <w:rFonts w:ascii="Arial" w:hAnsi="Arial" w:cs="Arial"/>
          <w:sz w:val="22"/>
        </w:rPr>
        <w:t xml:space="preserve">Team Leader Band 7: </w:t>
      </w:r>
      <w:r w:rsidR="005956D9">
        <w:rPr>
          <w:rFonts w:ascii="Arial" w:hAnsi="Arial" w:cs="Arial"/>
          <w:sz w:val="22"/>
        </w:rPr>
        <w:t>1.0</w:t>
      </w:r>
      <w:r w:rsidRPr="00A77F92">
        <w:rPr>
          <w:rFonts w:ascii="Arial" w:hAnsi="Arial" w:cs="Arial"/>
          <w:sz w:val="22"/>
        </w:rPr>
        <w:t xml:space="preserve"> wte.  This post manages the LD nursing team and special school nursing. </w:t>
      </w:r>
    </w:p>
    <w:p w:rsidR="007F4F22" w:rsidRPr="00A77F92" w:rsidRDefault="007F4F22" w:rsidP="00A77F92">
      <w:pPr>
        <w:pStyle w:val="ListParagraph"/>
        <w:numPr>
          <w:ilvl w:val="0"/>
          <w:numId w:val="45"/>
        </w:numPr>
        <w:spacing w:line="276" w:lineRule="auto"/>
        <w:rPr>
          <w:rFonts w:ascii="Arial" w:hAnsi="Arial" w:cs="Arial"/>
          <w:sz w:val="22"/>
        </w:rPr>
      </w:pPr>
      <w:r w:rsidRPr="00A77F92">
        <w:rPr>
          <w:rFonts w:ascii="Arial" w:hAnsi="Arial" w:cs="Arial"/>
          <w:sz w:val="22"/>
        </w:rPr>
        <w:t xml:space="preserve">Community Learning Disability Sister Band 6:  0.8 wte </w:t>
      </w:r>
    </w:p>
    <w:p w:rsidR="007F4F22" w:rsidRPr="00A77F92" w:rsidRDefault="007F4F22" w:rsidP="00A77F92">
      <w:pPr>
        <w:pStyle w:val="ListParagraph"/>
        <w:numPr>
          <w:ilvl w:val="0"/>
          <w:numId w:val="45"/>
        </w:numPr>
        <w:spacing w:line="276" w:lineRule="auto"/>
        <w:rPr>
          <w:rFonts w:ascii="Arial" w:hAnsi="Arial" w:cs="Arial"/>
          <w:sz w:val="22"/>
        </w:rPr>
      </w:pPr>
      <w:r w:rsidRPr="00A77F92">
        <w:rPr>
          <w:rFonts w:ascii="Arial" w:hAnsi="Arial" w:cs="Arial"/>
          <w:sz w:val="22"/>
        </w:rPr>
        <w:t>Community Learning Disability Staff Nurse Band 5: 2 wte</w:t>
      </w:r>
    </w:p>
    <w:p w:rsidR="007F4F22" w:rsidRPr="00A77F92" w:rsidRDefault="007F4F22" w:rsidP="00A77F92">
      <w:pPr>
        <w:pStyle w:val="ListParagraph"/>
        <w:numPr>
          <w:ilvl w:val="0"/>
          <w:numId w:val="45"/>
        </w:numPr>
        <w:spacing w:line="276" w:lineRule="auto"/>
        <w:contextualSpacing/>
        <w:rPr>
          <w:rFonts w:ascii="Arial" w:hAnsi="Arial" w:cs="Arial"/>
          <w:sz w:val="22"/>
        </w:rPr>
      </w:pPr>
      <w:r w:rsidRPr="00A77F92">
        <w:rPr>
          <w:rFonts w:ascii="Arial" w:hAnsi="Arial" w:cs="Arial"/>
          <w:sz w:val="22"/>
        </w:rPr>
        <w:t>Band 6: 1.0 wte –vacant post, currently out to advert</w:t>
      </w:r>
      <w:r w:rsidR="00A0453B" w:rsidRPr="00A77F92">
        <w:rPr>
          <w:rFonts w:ascii="Arial" w:hAnsi="Arial" w:cs="Arial"/>
          <w:sz w:val="22"/>
        </w:rPr>
        <w:t>.</w:t>
      </w:r>
    </w:p>
    <w:p w:rsidR="00A0453B" w:rsidRDefault="00A0453B" w:rsidP="007F4F22">
      <w:pPr>
        <w:contextualSpacing/>
        <w:rPr>
          <w:rFonts w:cs="Arial"/>
        </w:rPr>
      </w:pPr>
    </w:p>
    <w:p w:rsidR="00323777" w:rsidRPr="007F4F22" w:rsidRDefault="00A0453B" w:rsidP="00C613CC">
      <w:pPr>
        <w:contextualSpacing/>
        <w:rPr>
          <w:rFonts w:cs="Arial"/>
        </w:rPr>
      </w:pPr>
      <w:r>
        <w:rPr>
          <w:rFonts w:cs="Arial"/>
        </w:rPr>
        <w:t>The client group is children</w:t>
      </w:r>
      <w:r w:rsidR="00C613CC" w:rsidRPr="007F4F22">
        <w:rPr>
          <w:rFonts w:cs="Arial"/>
        </w:rPr>
        <w:t xml:space="preserve"> and </w:t>
      </w:r>
      <w:r w:rsidRPr="007F4F22">
        <w:rPr>
          <w:rFonts w:cs="Arial"/>
        </w:rPr>
        <w:t>young people with moderate/severe or profound and multiple learning disabilities</w:t>
      </w:r>
      <w:r>
        <w:rPr>
          <w:rFonts w:cs="Arial"/>
        </w:rPr>
        <w:t xml:space="preserve">, excluding those with a mild learning disability or </w:t>
      </w:r>
      <w:r w:rsidRPr="007F4F22">
        <w:rPr>
          <w:rFonts w:cs="Arial"/>
        </w:rPr>
        <w:t xml:space="preserve">ADHD without </w:t>
      </w:r>
      <w:r>
        <w:rPr>
          <w:rFonts w:cs="Arial"/>
        </w:rPr>
        <w:t xml:space="preserve">a </w:t>
      </w:r>
      <w:r w:rsidRPr="007F4F22">
        <w:rPr>
          <w:rFonts w:cs="Arial"/>
        </w:rPr>
        <w:t>moderate or severe learning disability</w:t>
      </w:r>
      <w:r>
        <w:rPr>
          <w:rFonts w:cs="Arial"/>
        </w:rPr>
        <w:t>.</w:t>
      </w:r>
    </w:p>
    <w:p w:rsidR="00C613CC" w:rsidRPr="007F4F22" w:rsidRDefault="00C613CC" w:rsidP="00C613CC">
      <w:pPr>
        <w:contextualSpacing/>
        <w:rPr>
          <w:rFonts w:cs="Arial"/>
        </w:rPr>
      </w:pPr>
    </w:p>
    <w:p w:rsidR="00C613CC" w:rsidRPr="007F4F22" w:rsidRDefault="00A0453B" w:rsidP="00C613CC">
      <w:pPr>
        <w:contextualSpacing/>
        <w:rPr>
          <w:rFonts w:cs="Arial"/>
        </w:rPr>
      </w:pPr>
      <w:r>
        <w:rPr>
          <w:rFonts w:cs="Arial"/>
        </w:rPr>
        <w:t>In May 2015, the caseload was 106 children and young people aged 2 to 17, 73% male and 27% female.</w:t>
      </w:r>
      <w:r w:rsidR="00245796">
        <w:rPr>
          <w:rFonts w:cs="Arial"/>
        </w:rPr>
        <w:t xml:space="preserve">  41% of diagnoses featured autism and 37% global developmental delay.  </w:t>
      </w:r>
      <w:r w:rsidR="00385450">
        <w:rPr>
          <w:rFonts w:cs="Arial"/>
        </w:rPr>
        <w:t xml:space="preserve">23% </w:t>
      </w:r>
      <w:r w:rsidR="00385450">
        <w:rPr>
          <w:rFonts w:cs="Arial"/>
        </w:rPr>
        <w:lastRenderedPageBreak/>
        <w:t xml:space="preserve">featured severe or moderate learning disability, </w:t>
      </w:r>
      <w:r w:rsidR="009959AE">
        <w:rPr>
          <w:rFonts w:cs="Arial"/>
        </w:rPr>
        <w:t>and included</w:t>
      </w:r>
      <w:r w:rsidR="00385450">
        <w:rPr>
          <w:rFonts w:cs="Arial"/>
        </w:rPr>
        <w:t xml:space="preserve"> 8 children with Down Syndrome.</w:t>
      </w:r>
    </w:p>
    <w:p w:rsidR="00385450" w:rsidRDefault="00385450" w:rsidP="00C613CC">
      <w:pPr>
        <w:contextualSpacing/>
        <w:rPr>
          <w:rFonts w:cs="Arial"/>
        </w:rPr>
      </w:pPr>
    </w:p>
    <w:p w:rsidR="00385450" w:rsidRDefault="004066E0" w:rsidP="00C613CC">
      <w:pPr>
        <w:contextualSpacing/>
        <w:rPr>
          <w:rFonts w:cs="Arial"/>
        </w:rPr>
      </w:pPr>
      <w:r>
        <w:rPr>
          <w:rFonts w:cs="Arial"/>
        </w:rPr>
        <w:t xml:space="preserve">From April 2014 to May 2015, 150 referrals were accepted, predominantly from community paediatricians (63%). </w:t>
      </w:r>
      <w:r w:rsidR="00A77F92">
        <w:rPr>
          <w:rFonts w:cs="Arial"/>
        </w:rPr>
        <w:t xml:space="preserve"> </w:t>
      </w:r>
      <w:r w:rsidR="009959AE">
        <w:rPr>
          <w:rFonts w:cs="Arial"/>
        </w:rPr>
        <w:t>The</w:t>
      </w:r>
      <w:r>
        <w:rPr>
          <w:rFonts w:cs="Arial"/>
        </w:rPr>
        <w:t xml:space="preserve"> main reasons for referral were </w:t>
      </w:r>
      <w:r w:rsidR="00385450">
        <w:rPr>
          <w:rFonts w:cs="Arial"/>
        </w:rPr>
        <w:t>behaviour</w:t>
      </w:r>
      <w:r w:rsidR="009959AE">
        <w:rPr>
          <w:rFonts w:cs="Arial"/>
        </w:rPr>
        <w:t>al</w:t>
      </w:r>
      <w:r w:rsidR="00385450">
        <w:rPr>
          <w:rFonts w:cs="Arial"/>
        </w:rPr>
        <w:t xml:space="preserve"> issues</w:t>
      </w:r>
      <w:r w:rsidR="009959AE">
        <w:rPr>
          <w:rFonts w:cs="Arial"/>
        </w:rPr>
        <w:t xml:space="preserve"> (50%)</w:t>
      </w:r>
      <w:r w:rsidR="00385450">
        <w:rPr>
          <w:rFonts w:cs="Arial"/>
        </w:rPr>
        <w:t xml:space="preserve">, </w:t>
      </w:r>
      <w:r w:rsidR="009959AE">
        <w:rPr>
          <w:rFonts w:cs="Arial"/>
        </w:rPr>
        <w:t>sleep (38</w:t>
      </w:r>
      <w:r>
        <w:rPr>
          <w:rFonts w:cs="Arial"/>
        </w:rPr>
        <w:t>%</w:t>
      </w:r>
      <w:r w:rsidR="009959AE">
        <w:rPr>
          <w:rFonts w:cs="Arial"/>
        </w:rPr>
        <w:t>)</w:t>
      </w:r>
      <w:r w:rsidR="00385450">
        <w:rPr>
          <w:rFonts w:cs="Arial"/>
        </w:rPr>
        <w:t xml:space="preserve"> </w:t>
      </w:r>
      <w:r w:rsidR="009959AE">
        <w:rPr>
          <w:rFonts w:cs="Arial"/>
        </w:rPr>
        <w:t>and toileting/continence (13%)</w:t>
      </w:r>
      <w:r>
        <w:rPr>
          <w:rFonts w:cs="Arial"/>
        </w:rPr>
        <w:t>.  Support was also sought after diagnosis, and around diet and personal safety/sexualised behaviour.</w:t>
      </w:r>
      <w:r w:rsidR="00385450">
        <w:rPr>
          <w:rFonts w:cs="Arial"/>
        </w:rPr>
        <w:t xml:space="preserve"> </w:t>
      </w:r>
    </w:p>
    <w:p w:rsidR="00686D4A" w:rsidRDefault="00686D4A" w:rsidP="00686D4A">
      <w:pPr>
        <w:pStyle w:val="Heading3"/>
      </w:pPr>
      <w:bookmarkStart w:id="27" w:name="_Toc434938038"/>
      <w:r>
        <w:t>Special School Nursing</w:t>
      </w:r>
      <w:bookmarkEnd w:id="27"/>
    </w:p>
    <w:p w:rsidR="00686D4A" w:rsidRDefault="00686D4A" w:rsidP="00C613CC">
      <w:pPr>
        <w:contextualSpacing/>
        <w:rPr>
          <w:rFonts w:cs="Arial"/>
        </w:rPr>
      </w:pPr>
      <w:r>
        <w:rPr>
          <w:rFonts w:cs="Arial"/>
        </w:rPr>
        <w:t>Special school nurses aim to facilitate regular access to school for children and young people with learning disabilities and complex health needs.</w:t>
      </w:r>
    </w:p>
    <w:p w:rsidR="006A124C" w:rsidRDefault="006A124C" w:rsidP="006A124C">
      <w:pPr>
        <w:rPr>
          <w:rFonts w:asciiTheme="minorHAnsi" w:hAnsiTheme="minorHAnsi"/>
        </w:rPr>
      </w:pPr>
    </w:p>
    <w:p w:rsidR="006A124C" w:rsidRPr="006A124C" w:rsidRDefault="006A124C" w:rsidP="006A124C">
      <w:pPr>
        <w:contextualSpacing/>
        <w:rPr>
          <w:rFonts w:cs="Arial"/>
        </w:rPr>
      </w:pPr>
      <w:r w:rsidRPr="006A124C">
        <w:rPr>
          <w:rFonts w:cs="Arial"/>
        </w:rPr>
        <w:t xml:space="preserve">Staffing comprises a Team Leader at Band 7 (1.0 </w:t>
      </w:r>
      <w:r w:rsidR="00994D1D">
        <w:rPr>
          <w:rFonts w:cs="Arial"/>
        </w:rPr>
        <w:t>wte</w:t>
      </w:r>
      <w:r w:rsidRPr="006A124C">
        <w:rPr>
          <w:rFonts w:cs="Arial"/>
        </w:rPr>
        <w:t>) who also manages the Learning Disability Nursing Team, 1 wte School Nurse Band 6, 4.5 wte Community Staff Nurses at Band 5 and one 0.6 wte School Health Support at Band 3.</w:t>
      </w:r>
    </w:p>
    <w:p w:rsidR="00686D4A" w:rsidRDefault="00686D4A" w:rsidP="00C613CC">
      <w:pPr>
        <w:contextualSpacing/>
        <w:rPr>
          <w:rFonts w:cs="Arial"/>
        </w:rPr>
      </w:pPr>
    </w:p>
    <w:p w:rsidR="00686D4A" w:rsidRDefault="00686D4A" w:rsidP="00686D4A">
      <w:pPr>
        <w:contextualSpacing/>
        <w:rPr>
          <w:rFonts w:cs="Arial"/>
        </w:rPr>
      </w:pPr>
      <w:r>
        <w:rPr>
          <w:rFonts w:cs="Arial"/>
        </w:rPr>
        <w:t xml:space="preserve">Currently the team </w:t>
      </w:r>
      <w:r w:rsidRPr="00686D4A">
        <w:rPr>
          <w:rFonts w:cs="Arial"/>
        </w:rPr>
        <w:t xml:space="preserve">work in two </w:t>
      </w:r>
      <w:r>
        <w:rPr>
          <w:rFonts w:cs="Arial"/>
        </w:rPr>
        <w:t xml:space="preserve">Medway special </w:t>
      </w:r>
      <w:r w:rsidR="00A77F92">
        <w:rPr>
          <w:rFonts w:cs="Arial"/>
        </w:rPr>
        <w:t>schools, Abbey Court and Danec</w:t>
      </w:r>
      <w:r w:rsidRPr="00686D4A">
        <w:rPr>
          <w:rFonts w:cs="Arial"/>
        </w:rPr>
        <w:t>ourt.  Abbey Court School has 140.5 pupils with severe and profound and multiple learning disabilities, and complex health needs (the school based on two sites and includ</w:t>
      </w:r>
      <w:r w:rsidR="00A77F92">
        <w:rPr>
          <w:rFonts w:cs="Arial"/>
        </w:rPr>
        <w:t>es a nursery provision).  Danec</w:t>
      </w:r>
      <w:r w:rsidRPr="00686D4A">
        <w:rPr>
          <w:rFonts w:cs="Arial"/>
        </w:rPr>
        <w:t>ourt School</w:t>
      </w:r>
      <w:r>
        <w:rPr>
          <w:rFonts w:cs="Arial"/>
        </w:rPr>
        <w:t xml:space="preserve"> </w:t>
      </w:r>
      <w:r w:rsidRPr="00686D4A">
        <w:rPr>
          <w:rFonts w:cs="Arial"/>
        </w:rPr>
        <w:t>has 148 pupils with moderate to severe learning disabilities.</w:t>
      </w:r>
    </w:p>
    <w:p w:rsidR="00CD32C7" w:rsidRDefault="00CD32C7" w:rsidP="00CD32C7">
      <w:pPr>
        <w:pStyle w:val="Heading3"/>
      </w:pPr>
      <w:bookmarkStart w:id="28" w:name="_Toc434938039"/>
      <w:r>
        <w:t>Special Needs Nursery</w:t>
      </w:r>
      <w:bookmarkEnd w:id="28"/>
    </w:p>
    <w:p w:rsidR="00CD32C7" w:rsidRPr="00CD32C7" w:rsidRDefault="00CD32C7" w:rsidP="00CD32C7">
      <w:r>
        <w:t>The client group for this service is children with learning disabilities and associated healthcare needs aged 18 months to 5 years.</w:t>
      </w:r>
    </w:p>
    <w:p w:rsidR="00CD32C7" w:rsidRDefault="00CD32C7" w:rsidP="00686D4A">
      <w:pPr>
        <w:contextualSpacing/>
        <w:rPr>
          <w:rFonts w:cs="Arial"/>
        </w:rPr>
      </w:pPr>
    </w:p>
    <w:p w:rsidR="007B7888" w:rsidRDefault="007B7888" w:rsidP="00686D4A">
      <w:pPr>
        <w:contextualSpacing/>
        <w:rPr>
          <w:rFonts w:cs="Arial"/>
        </w:rPr>
      </w:pPr>
      <w:r>
        <w:rPr>
          <w:rFonts w:cs="Arial"/>
        </w:rPr>
        <w:t>From January 2015 to April 2015 one referral was accepted for the nursery, and one for assessment.</w:t>
      </w:r>
      <w:r w:rsidR="00CE6E1A">
        <w:rPr>
          <w:rFonts w:cs="Arial"/>
        </w:rPr>
        <w:t xml:space="preserve"> </w:t>
      </w:r>
      <w:r>
        <w:rPr>
          <w:rFonts w:cs="Arial"/>
        </w:rPr>
        <w:t xml:space="preserve"> Four referrals were rejected (two for the nursery and two for assessment).  All referrals were regarding concerns about delayed development.  </w:t>
      </w:r>
    </w:p>
    <w:p w:rsidR="007B7888" w:rsidRDefault="007B7888" w:rsidP="00686D4A">
      <w:pPr>
        <w:contextualSpacing/>
        <w:rPr>
          <w:rFonts w:cs="Arial"/>
        </w:rPr>
      </w:pPr>
    </w:p>
    <w:p w:rsidR="00C3720D" w:rsidRDefault="007B7888" w:rsidP="00686D4A">
      <w:pPr>
        <w:contextualSpacing/>
        <w:rPr>
          <w:rFonts w:cs="Arial"/>
        </w:rPr>
      </w:pPr>
      <w:r>
        <w:rPr>
          <w:rFonts w:cs="Arial"/>
        </w:rPr>
        <w:t xml:space="preserve">Sources of referral include the local authority led Information Sharing and Assessment Panel (ISAP), health visitors, paediatricians, children’s therapists and Portage. </w:t>
      </w:r>
    </w:p>
    <w:p w:rsidR="00C3720D" w:rsidRPr="00E07559" w:rsidRDefault="00C3720D" w:rsidP="00686D4A">
      <w:pPr>
        <w:contextualSpacing/>
        <w:rPr>
          <w:rFonts w:cs="Arial"/>
          <w:sz w:val="16"/>
        </w:rPr>
      </w:pPr>
    </w:p>
    <w:p w:rsidR="00CD32C7" w:rsidRDefault="00C3720D" w:rsidP="00686D4A">
      <w:pPr>
        <w:contextualSpacing/>
        <w:rPr>
          <w:rFonts w:cs="Arial"/>
        </w:rPr>
      </w:pPr>
      <w:r>
        <w:rPr>
          <w:rFonts w:cs="Arial"/>
        </w:rPr>
        <w:t>As of June 2015, 19 children attended nursery sessions (maximum of two 2.5 hour sessions) and 3 children attended the assessment nursery for 1.5 hours each Friday.</w:t>
      </w:r>
      <w:r w:rsidR="00E07559">
        <w:rPr>
          <w:rFonts w:cs="Arial"/>
        </w:rPr>
        <w:t xml:space="preserve">  Children attending the nursery have a range of severe/complex conditions and co-morbidities (see Fig</w:t>
      </w:r>
      <w:r w:rsidR="00BF5EDB">
        <w:rPr>
          <w:rFonts w:cs="Arial"/>
        </w:rPr>
        <w:t>ure</w:t>
      </w:r>
      <w:r w:rsidR="00E07559">
        <w:rPr>
          <w:rFonts w:cs="Arial"/>
        </w:rPr>
        <w:t xml:space="preserve"> </w:t>
      </w:r>
      <w:r w:rsidR="00BF5EDB">
        <w:rPr>
          <w:rFonts w:cs="Arial"/>
        </w:rPr>
        <w:t>33</w:t>
      </w:r>
      <w:r w:rsidR="00E032A0">
        <w:rPr>
          <w:rFonts w:cs="Arial"/>
        </w:rPr>
        <w:t xml:space="preserve"> – </w:t>
      </w:r>
      <w:r w:rsidR="00E032A0">
        <w:t xml:space="preserve">NB total does not equate to the number of children attending as </w:t>
      </w:r>
      <w:r w:rsidR="00E032A0" w:rsidRPr="00E032A0">
        <w:t>children m</w:t>
      </w:r>
      <w:r w:rsidR="00E032A0">
        <w:t>ay have more than one condition</w:t>
      </w:r>
      <w:r w:rsidR="00E07559">
        <w:rPr>
          <w:rFonts w:cs="Arial"/>
        </w:rPr>
        <w:t>)</w:t>
      </w:r>
    </w:p>
    <w:p w:rsidR="00E07559" w:rsidRDefault="00E07559" w:rsidP="00686D4A">
      <w:pPr>
        <w:contextualSpacing/>
        <w:rPr>
          <w:rFonts w:cs="Arial"/>
        </w:rPr>
      </w:pPr>
    </w:p>
    <w:tbl>
      <w:tblPr>
        <w:tblStyle w:val="LightList-Accent1"/>
        <w:tblW w:w="5000" w:type="pct"/>
        <w:tblLook w:val="04A0" w:firstRow="1" w:lastRow="0" w:firstColumn="1" w:lastColumn="0" w:noHBand="0" w:noVBand="1"/>
      </w:tblPr>
      <w:tblGrid>
        <w:gridCol w:w="4828"/>
        <w:gridCol w:w="4414"/>
      </w:tblGrid>
      <w:tr w:rsidR="00E07559" w:rsidRPr="00E032A0" w:rsidTr="00E075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2" w:type="pct"/>
          </w:tcPr>
          <w:p w:rsidR="00E07559" w:rsidRPr="00E032A0" w:rsidRDefault="00E07559" w:rsidP="00510DA1">
            <w:pPr>
              <w:spacing w:line="360" w:lineRule="auto"/>
            </w:pPr>
            <w:r w:rsidRPr="00E032A0">
              <w:t>Condition</w:t>
            </w:r>
          </w:p>
        </w:tc>
        <w:tc>
          <w:tcPr>
            <w:tcW w:w="2388" w:type="pct"/>
          </w:tcPr>
          <w:p w:rsidR="00E07559" w:rsidRPr="00E032A0" w:rsidRDefault="00E07559" w:rsidP="00E032A0">
            <w:pPr>
              <w:spacing w:line="360" w:lineRule="auto"/>
              <w:cnfStyle w:val="100000000000" w:firstRow="1" w:lastRow="0" w:firstColumn="0" w:lastColumn="0" w:oddVBand="0" w:evenVBand="0" w:oddHBand="0" w:evenHBand="0" w:firstRowFirstColumn="0" w:firstRowLastColumn="0" w:lastRowFirstColumn="0" w:lastRowLastColumn="0"/>
            </w:pPr>
            <w:r w:rsidRPr="00E032A0">
              <w:t xml:space="preserve">Number of children affected </w:t>
            </w:r>
          </w:p>
        </w:tc>
      </w:tr>
      <w:tr w:rsidR="00E07559" w:rsidRPr="00E032A0" w:rsidTr="00E075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2" w:type="pct"/>
          </w:tcPr>
          <w:p w:rsidR="00E07559" w:rsidRPr="00E032A0" w:rsidRDefault="00E07559" w:rsidP="00510DA1">
            <w:pPr>
              <w:spacing w:line="360" w:lineRule="auto"/>
            </w:pPr>
            <w:r w:rsidRPr="00E032A0">
              <w:t>ASD</w:t>
            </w:r>
          </w:p>
        </w:tc>
        <w:tc>
          <w:tcPr>
            <w:tcW w:w="2388" w:type="pct"/>
          </w:tcPr>
          <w:p w:rsidR="00E07559" w:rsidRPr="00E032A0" w:rsidRDefault="00E07559" w:rsidP="00510DA1">
            <w:pPr>
              <w:spacing w:line="360" w:lineRule="auto"/>
              <w:cnfStyle w:val="000000100000" w:firstRow="0" w:lastRow="0" w:firstColumn="0" w:lastColumn="0" w:oddVBand="0" w:evenVBand="0" w:oddHBand="1" w:evenHBand="0" w:firstRowFirstColumn="0" w:firstRowLastColumn="0" w:lastRowFirstColumn="0" w:lastRowLastColumn="0"/>
            </w:pPr>
            <w:r w:rsidRPr="00E032A0">
              <w:t>7</w:t>
            </w:r>
          </w:p>
        </w:tc>
      </w:tr>
      <w:tr w:rsidR="00E07559" w:rsidRPr="00E032A0" w:rsidTr="00E07559">
        <w:tc>
          <w:tcPr>
            <w:cnfStyle w:val="001000000000" w:firstRow="0" w:lastRow="0" w:firstColumn="1" w:lastColumn="0" w:oddVBand="0" w:evenVBand="0" w:oddHBand="0" w:evenHBand="0" w:firstRowFirstColumn="0" w:firstRowLastColumn="0" w:lastRowFirstColumn="0" w:lastRowLastColumn="0"/>
            <w:tcW w:w="2612" w:type="pct"/>
          </w:tcPr>
          <w:p w:rsidR="00E07559" w:rsidRPr="00E032A0" w:rsidRDefault="00E07559" w:rsidP="00510DA1">
            <w:pPr>
              <w:spacing w:line="360" w:lineRule="auto"/>
            </w:pPr>
            <w:r w:rsidRPr="00E032A0">
              <w:t>Spina bifida</w:t>
            </w:r>
          </w:p>
        </w:tc>
        <w:tc>
          <w:tcPr>
            <w:tcW w:w="2388" w:type="pct"/>
          </w:tcPr>
          <w:p w:rsidR="00E07559" w:rsidRPr="00E032A0" w:rsidRDefault="00E07559" w:rsidP="00510DA1">
            <w:pPr>
              <w:spacing w:line="360" w:lineRule="auto"/>
              <w:cnfStyle w:val="000000000000" w:firstRow="0" w:lastRow="0" w:firstColumn="0" w:lastColumn="0" w:oddVBand="0" w:evenVBand="0" w:oddHBand="0" w:evenHBand="0" w:firstRowFirstColumn="0" w:firstRowLastColumn="0" w:lastRowFirstColumn="0" w:lastRowLastColumn="0"/>
            </w:pPr>
            <w:r w:rsidRPr="00E032A0">
              <w:t>1</w:t>
            </w:r>
          </w:p>
        </w:tc>
      </w:tr>
      <w:tr w:rsidR="00E07559" w:rsidRPr="00E032A0" w:rsidTr="00E075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2" w:type="pct"/>
          </w:tcPr>
          <w:p w:rsidR="00E07559" w:rsidRPr="00E032A0" w:rsidRDefault="00E07559" w:rsidP="00510DA1">
            <w:pPr>
              <w:spacing w:line="360" w:lineRule="auto"/>
            </w:pPr>
            <w:r w:rsidRPr="00E032A0">
              <w:t>GDD</w:t>
            </w:r>
          </w:p>
        </w:tc>
        <w:tc>
          <w:tcPr>
            <w:tcW w:w="2388" w:type="pct"/>
          </w:tcPr>
          <w:p w:rsidR="00E07559" w:rsidRPr="00E032A0" w:rsidRDefault="00E07559" w:rsidP="00510DA1">
            <w:pPr>
              <w:spacing w:line="360" w:lineRule="auto"/>
              <w:cnfStyle w:val="000000100000" w:firstRow="0" w:lastRow="0" w:firstColumn="0" w:lastColumn="0" w:oddVBand="0" w:evenVBand="0" w:oddHBand="1" w:evenHBand="0" w:firstRowFirstColumn="0" w:firstRowLastColumn="0" w:lastRowFirstColumn="0" w:lastRowLastColumn="0"/>
            </w:pPr>
            <w:r w:rsidRPr="00E032A0">
              <w:t>9</w:t>
            </w:r>
          </w:p>
        </w:tc>
      </w:tr>
      <w:tr w:rsidR="00E07559" w:rsidRPr="00E032A0" w:rsidTr="00E07559">
        <w:tc>
          <w:tcPr>
            <w:cnfStyle w:val="001000000000" w:firstRow="0" w:lastRow="0" w:firstColumn="1" w:lastColumn="0" w:oddVBand="0" w:evenVBand="0" w:oddHBand="0" w:evenHBand="0" w:firstRowFirstColumn="0" w:firstRowLastColumn="0" w:lastRowFirstColumn="0" w:lastRowLastColumn="0"/>
            <w:tcW w:w="2612" w:type="pct"/>
          </w:tcPr>
          <w:p w:rsidR="00E07559" w:rsidRPr="00E032A0" w:rsidRDefault="00E07559" w:rsidP="00510DA1">
            <w:pPr>
              <w:spacing w:line="360" w:lineRule="auto"/>
            </w:pPr>
            <w:r w:rsidRPr="00E032A0">
              <w:t>Cerebral Palsy</w:t>
            </w:r>
          </w:p>
        </w:tc>
        <w:tc>
          <w:tcPr>
            <w:tcW w:w="2388" w:type="pct"/>
          </w:tcPr>
          <w:p w:rsidR="00E07559" w:rsidRPr="00E032A0" w:rsidRDefault="00E07559" w:rsidP="00510DA1">
            <w:pPr>
              <w:spacing w:line="360" w:lineRule="auto"/>
              <w:cnfStyle w:val="000000000000" w:firstRow="0" w:lastRow="0" w:firstColumn="0" w:lastColumn="0" w:oddVBand="0" w:evenVBand="0" w:oddHBand="0" w:evenHBand="0" w:firstRowFirstColumn="0" w:firstRowLastColumn="0" w:lastRowFirstColumn="0" w:lastRowLastColumn="0"/>
            </w:pPr>
            <w:r w:rsidRPr="00E032A0">
              <w:t>2</w:t>
            </w:r>
          </w:p>
        </w:tc>
      </w:tr>
      <w:tr w:rsidR="00E07559" w:rsidRPr="00E032A0" w:rsidTr="00E075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2" w:type="pct"/>
          </w:tcPr>
          <w:p w:rsidR="00E07559" w:rsidRPr="00E032A0" w:rsidRDefault="00E07559" w:rsidP="00510DA1">
            <w:pPr>
              <w:spacing w:line="360" w:lineRule="auto"/>
            </w:pPr>
            <w:r w:rsidRPr="00E032A0">
              <w:t>Genetic disorder</w:t>
            </w:r>
          </w:p>
        </w:tc>
        <w:tc>
          <w:tcPr>
            <w:tcW w:w="2388" w:type="pct"/>
          </w:tcPr>
          <w:p w:rsidR="00E07559" w:rsidRPr="00E032A0" w:rsidRDefault="00E07559" w:rsidP="00510DA1">
            <w:pPr>
              <w:spacing w:line="360" w:lineRule="auto"/>
              <w:cnfStyle w:val="000000100000" w:firstRow="0" w:lastRow="0" w:firstColumn="0" w:lastColumn="0" w:oddVBand="0" w:evenVBand="0" w:oddHBand="1" w:evenHBand="0" w:firstRowFirstColumn="0" w:firstRowLastColumn="0" w:lastRowFirstColumn="0" w:lastRowLastColumn="0"/>
            </w:pPr>
            <w:r w:rsidRPr="00E032A0">
              <w:t>5</w:t>
            </w:r>
          </w:p>
        </w:tc>
      </w:tr>
      <w:tr w:rsidR="00E07559" w:rsidRPr="00E032A0" w:rsidTr="00E07559">
        <w:tc>
          <w:tcPr>
            <w:cnfStyle w:val="001000000000" w:firstRow="0" w:lastRow="0" w:firstColumn="1" w:lastColumn="0" w:oddVBand="0" w:evenVBand="0" w:oddHBand="0" w:evenHBand="0" w:firstRowFirstColumn="0" w:firstRowLastColumn="0" w:lastRowFirstColumn="0" w:lastRowLastColumn="0"/>
            <w:tcW w:w="2612" w:type="pct"/>
          </w:tcPr>
          <w:p w:rsidR="00E07559" w:rsidRPr="00E032A0" w:rsidRDefault="00E07559" w:rsidP="00510DA1">
            <w:pPr>
              <w:spacing w:line="360" w:lineRule="auto"/>
            </w:pPr>
            <w:r w:rsidRPr="00E032A0">
              <w:t>Visual impairment</w:t>
            </w:r>
          </w:p>
        </w:tc>
        <w:tc>
          <w:tcPr>
            <w:tcW w:w="2388" w:type="pct"/>
          </w:tcPr>
          <w:p w:rsidR="00E07559" w:rsidRPr="00E032A0" w:rsidRDefault="00E07559" w:rsidP="00510DA1">
            <w:pPr>
              <w:spacing w:line="360" w:lineRule="auto"/>
              <w:cnfStyle w:val="000000000000" w:firstRow="0" w:lastRow="0" w:firstColumn="0" w:lastColumn="0" w:oddVBand="0" w:evenVBand="0" w:oddHBand="0" w:evenHBand="0" w:firstRowFirstColumn="0" w:firstRowLastColumn="0" w:lastRowFirstColumn="0" w:lastRowLastColumn="0"/>
            </w:pPr>
            <w:r w:rsidRPr="00E032A0">
              <w:t>5</w:t>
            </w:r>
          </w:p>
        </w:tc>
      </w:tr>
      <w:tr w:rsidR="00E07559" w:rsidRPr="00E032A0" w:rsidTr="00E075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2" w:type="pct"/>
          </w:tcPr>
          <w:p w:rsidR="00E07559" w:rsidRPr="00E032A0" w:rsidRDefault="00E07559" w:rsidP="00510DA1">
            <w:pPr>
              <w:spacing w:line="360" w:lineRule="auto"/>
            </w:pPr>
            <w:r w:rsidRPr="00E032A0">
              <w:lastRenderedPageBreak/>
              <w:t>Hydrocephalus</w:t>
            </w:r>
          </w:p>
        </w:tc>
        <w:tc>
          <w:tcPr>
            <w:tcW w:w="2388" w:type="pct"/>
          </w:tcPr>
          <w:p w:rsidR="00E07559" w:rsidRPr="00E032A0" w:rsidRDefault="00E07559" w:rsidP="00510DA1">
            <w:pPr>
              <w:spacing w:line="360" w:lineRule="auto"/>
              <w:cnfStyle w:val="000000100000" w:firstRow="0" w:lastRow="0" w:firstColumn="0" w:lastColumn="0" w:oddVBand="0" w:evenVBand="0" w:oddHBand="1" w:evenHBand="0" w:firstRowFirstColumn="0" w:firstRowLastColumn="0" w:lastRowFirstColumn="0" w:lastRowLastColumn="0"/>
            </w:pPr>
            <w:r w:rsidRPr="00E032A0">
              <w:t>2</w:t>
            </w:r>
          </w:p>
        </w:tc>
      </w:tr>
      <w:tr w:rsidR="00E07559" w:rsidRPr="00E032A0" w:rsidTr="00E07559">
        <w:tc>
          <w:tcPr>
            <w:cnfStyle w:val="001000000000" w:firstRow="0" w:lastRow="0" w:firstColumn="1" w:lastColumn="0" w:oddVBand="0" w:evenVBand="0" w:oddHBand="0" w:evenHBand="0" w:firstRowFirstColumn="0" w:firstRowLastColumn="0" w:lastRowFirstColumn="0" w:lastRowLastColumn="0"/>
            <w:tcW w:w="2612" w:type="pct"/>
          </w:tcPr>
          <w:p w:rsidR="00E07559" w:rsidRPr="00E032A0" w:rsidRDefault="00E07559" w:rsidP="00510DA1">
            <w:pPr>
              <w:spacing w:line="360" w:lineRule="auto"/>
            </w:pPr>
            <w:r w:rsidRPr="00E032A0">
              <w:t>Cardiac defects</w:t>
            </w:r>
          </w:p>
        </w:tc>
        <w:tc>
          <w:tcPr>
            <w:tcW w:w="2388" w:type="pct"/>
          </w:tcPr>
          <w:p w:rsidR="00E07559" w:rsidRPr="00E032A0" w:rsidRDefault="00E07559" w:rsidP="00510DA1">
            <w:pPr>
              <w:spacing w:line="360" w:lineRule="auto"/>
              <w:cnfStyle w:val="000000000000" w:firstRow="0" w:lastRow="0" w:firstColumn="0" w:lastColumn="0" w:oddVBand="0" w:evenVBand="0" w:oddHBand="0" w:evenHBand="0" w:firstRowFirstColumn="0" w:firstRowLastColumn="0" w:lastRowFirstColumn="0" w:lastRowLastColumn="0"/>
            </w:pPr>
            <w:r w:rsidRPr="00E032A0">
              <w:t>2</w:t>
            </w:r>
          </w:p>
        </w:tc>
      </w:tr>
      <w:tr w:rsidR="00E07559" w:rsidRPr="00E032A0" w:rsidTr="00E075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2" w:type="pct"/>
          </w:tcPr>
          <w:p w:rsidR="00E07559" w:rsidRPr="00E032A0" w:rsidRDefault="00E07559" w:rsidP="00510DA1">
            <w:pPr>
              <w:spacing w:line="360" w:lineRule="auto"/>
            </w:pPr>
            <w:r w:rsidRPr="00E032A0">
              <w:t>Epilepsy</w:t>
            </w:r>
          </w:p>
        </w:tc>
        <w:tc>
          <w:tcPr>
            <w:tcW w:w="2388" w:type="pct"/>
          </w:tcPr>
          <w:p w:rsidR="00E07559" w:rsidRPr="00E032A0" w:rsidRDefault="00E07559" w:rsidP="00510DA1">
            <w:pPr>
              <w:spacing w:line="360" w:lineRule="auto"/>
              <w:cnfStyle w:val="000000100000" w:firstRow="0" w:lastRow="0" w:firstColumn="0" w:lastColumn="0" w:oddVBand="0" w:evenVBand="0" w:oddHBand="1" w:evenHBand="0" w:firstRowFirstColumn="0" w:firstRowLastColumn="0" w:lastRowFirstColumn="0" w:lastRowLastColumn="0"/>
            </w:pPr>
            <w:r w:rsidRPr="00E032A0">
              <w:t>1</w:t>
            </w:r>
          </w:p>
        </w:tc>
      </w:tr>
      <w:tr w:rsidR="00E07559" w:rsidRPr="00E032A0" w:rsidTr="00E07559">
        <w:tc>
          <w:tcPr>
            <w:cnfStyle w:val="001000000000" w:firstRow="0" w:lastRow="0" w:firstColumn="1" w:lastColumn="0" w:oddVBand="0" w:evenVBand="0" w:oddHBand="0" w:evenHBand="0" w:firstRowFirstColumn="0" w:firstRowLastColumn="0" w:lastRowFirstColumn="0" w:lastRowLastColumn="0"/>
            <w:tcW w:w="2612" w:type="pct"/>
          </w:tcPr>
          <w:p w:rsidR="00E07559" w:rsidRPr="00E032A0" w:rsidRDefault="00E07559" w:rsidP="00510DA1">
            <w:pPr>
              <w:spacing w:line="360" w:lineRule="auto"/>
            </w:pPr>
            <w:r w:rsidRPr="00E032A0">
              <w:t>Hearing impairment</w:t>
            </w:r>
          </w:p>
        </w:tc>
        <w:tc>
          <w:tcPr>
            <w:tcW w:w="2388" w:type="pct"/>
          </w:tcPr>
          <w:p w:rsidR="00E07559" w:rsidRPr="00E032A0" w:rsidRDefault="00E07559" w:rsidP="00510DA1">
            <w:pPr>
              <w:spacing w:line="360" w:lineRule="auto"/>
              <w:cnfStyle w:val="000000000000" w:firstRow="0" w:lastRow="0" w:firstColumn="0" w:lastColumn="0" w:oddVBand="0" w:evenVBand="0" w:oddHBand="0" w:evenHBand="0" w:firstRowFirstColumn="0" w:firstRowLastColumn="0" w:lastRowFirstColumn="0" w:lastRowLastColumn="0"/>
            </w:pPr>
            <w:r w:rsidRPr="00E032A0">
              <w:t>2</w:t>
            </w:r>
          </w:p>
        </w:tc>
      </w:tr>
    </w:tbl>
    <w:p w:rsidR="00C3720D" w:rsidRDefault="00BF5EDB" w:rsidP="00BF5EDB">
      <w:pPr>
        <w:pStyle w:val="Caption"/>
        <w:rPr>
          <w:rFonts w:cs="Arial"/>
        </w:rPr>
      </w:pPr>
      <w:r>
        <w:t xml:space="preserve">Figure </w:t>
      </w:r>
      <w:r w:rsidR="00156E8B">
        <w:fldChar w:fldCharType="begin"/>
      </w:r>
      <w:r w:rsidR="00156E8B">
        <w:instrText xml:space="preserve"> SEQ Figure \* ARABIC </w:instrText>
      </w:r>
      <w:r w:rsidR="00156E8B">
        <w:fldChar w:fldCharType="separate"/>
      </w:r>
      <w:r w:rsidR="005C553C">
        <w:rPr>
          <w:noProof/>
        </w:rPr>
        <w:t>33</w:t>
      </w:r>
      <w:r w:rsidR="00156E8B">
        <w:rPr>
          <w:noProof/>
        </w:rPr>
        <w:fldChar w:fldCharType="end"/>
      </w:r>
      <w:r>
        <w:t xml:space="preserve"> Special Needs Nursery caseload</w:t>
      </w:r>
    </w:p>
    <w:p w:rsidR="00F5569C" w:rsidRDefault="00F5569C" w:rsidP="00A2065F">
      <w:pPr>
        <w:pStyle w:val="Heading2"/>
        <w:numPr>
          <w:ilvl w:val="0"/>
          <w:numId w:val="47"/>
        </w:numPr>
      </w:pPr>
      <w:bookmarkStart w:id="29" w:name="_Toc434938040"/>
      <w:r>
        <w:t>Medway Community Healthcare Children’s Therapies Team</w:t>
      </w:r>
      <w:bookmarkEnd w:id="29"/>
    </w:p>
    <w:p w:rsidR="00F5569C" w:rsidRDefault="009F5323" w:rsidP="00F5569C">
      <w:pPr>
        <w:rPr>
          <w:rFonts w:cs="Arial"/>
        </w:rPr>
      </w:pPr>
      <w:r>
        <w:rPr>
          <w:rFonts w:cs="Arial"/>
        </w:rPr>
        <w:t>This service aims to</w:t>
      </w:r>
      <w:r w:rsidR="00F5569C" w:rsidRPr="00894B38">
        <w:rPr>
          <w:rFonts w:eastAsiaTheme="minorEastAsia" w:cs="Arial"/>
          <w:lang w:val="en-US" w:eastAsia="ja-JP"/>
        </w:rPr>
        <w:t xml:space="preserve"> meet the needs of children </w:t>
      </w:r>
      <w:r>
        <w:rPr>
          <w:rFonts w:eastAsiaTheme="minorEastAsia" w:cs="Arial"/>
          <w:lang w:val="en-US" w:eastAsia="ja-JP"/>
        </w:rPr>
        <w:t xml:space="preserve">and young people </w:t>
      </w:r>
      <w:r w:rsidR="00F5569C" w:rsidRPr="00894B38">
        <w:rPr>
          <w:rFonts w:eastAsiaTheme="minorEastAsia" w:cs="Arial"/>
          <w:lang w:val="en-US" w:eastAsia="ja-JP"/>
        </w:rPr>
        <w:t xml:space="preserve">who present </w:t>
      </w:r>
      <w:r w:rsidR="00F5569C">
        <w:rPr>
          <w:rFonts w:eastAsiaTheme="minorEastAsia" w:cs="Arial"/>
          <w:lang w:val="en-US" w:eastAsia="ja-JP"/>
        </w:rPr>
        <w:t xml:space="preserve">with a primary health need and </w:t>
      </w:r>
      <w:r w:rsidR="00F5569C" w:rsidRPr="00894B38">
        <w:rPr>
          <w:rFonts w:eastAsiaTheme="minorEastAsia" w:cs="Arial"/>
          <w:lang w:val="en-US" w:eastAsia="ja-JP"/>
        </w:rPr>
        <w:t xml:space="preserve">require </w:t>
      </w:r>
      <w:r w:rsidR="00F5569C" w:rsidRPr="006220DD">
        <w:rPr>
          <w:rFonts w:cs="Arial"/>
        </w:rPr>
        <w:t>assessment</w:t>
      </w:r>
      <w:r w:rsidR="00F5569C" w:rsidRPr="00894B38">
        <w:rPr>
          <w:rFonts w:eastAsiaTheme="minorEastAsia" w:cs="Arial"/>
          <w:lang w:val="en-US" w:eastAsia="ja-JP"/>
        </w:rPr>
        <w:t xml:space="preserve"> and intervention from one or more of the following disciplines: </w:t>
      </w:r>
      <w:r w:rsidR="00F5569C" w:rsidRPr="00894B38">
        <w:rPr>
          <w:rFonts w:cs="Arial"/>
        </w:rPr>
        <w:t xml:space="preserve"> Physiotherapy, Occupation</w:t>
      </w:r>
      <w:r>
        <w:rPr>
          <w:rFonts w:cs="Arial"/>
        </w:rPr>
        <w:t xml:space="preserve">al Therapy, Dietetics, Podiatry, </w:t>
      </w:r>
      <w:r w:rsidR="00F5569C" w:rsidRPr="00894B38">
        <w:rPr>
          <w:rFonts w:cs="Arial"/>
        </w:rPr>
        <w:t>Speech &amp; Language</w:t>
      </w:r>
      <w:r>
        <w:rPr>
          <w:rFonts w:cs="Arial"/>
        </w:rPr>
        <w:t>,</w:t>
      </w:r>
      <w:r w:rsidR="00F5569C" w:rsidRPr="00894B38">
        <w:rPr>
          <w:rFonts w:cs="Arial"/>
        </w:rPr>
        <w:t xml:space="preserve"> and Continence (Level 2)</w:t>
      </w:r>
      <w:r w:rsidR="00F5569C">
        <w:rPr>
          <w:rFonts w:cs="Arial"/>
        </w:rPr>
        <w:t xml:space="preserve">.  </w:t>
      </w:r>
    </w:p>
    <w:p w:rsidR="009F5323" w:rsidRPr="00764E4A" w:rsidRDefault="009F5323" w:rsidP="009F5323">
      <w:pPr>
        <w:pStyle w:val="Heading3"/>
        <w:rPr>
          <w:rFonts w:eastAsiaTheme="minorHAnsi"/>
        </w:rPr>
      </w:pPr>
      <w:bookmarkStart w:id="30" w:name="_Toc434938041"/>
      <w:r w:rsidRPr="00764E4A">
        <w:rPr>
          <w:rFonts w:eastAsiaTheme="minorHAnsi"/>
        </w:rPr>
        <w:t>Neurological Physiotherapy</w:t>
      </w:r>
      <w:bookmarkEnd w:id="30"/>
      <w:r w:rsidRPr="00764E4A">
        <w:rPr>
          <w:rFonts w:eastAsiaTheme="minorHAnsi"/>
        </w:rPr>
        <w:t xml:space="preserve"> </w:t>
      </w:r>
    </w:p>
    <w:p w:rsidR="009F5323" w:rsidRPr="00BB16D8" w:rsidRDefault="009F5323" w:rsidP="009F5323">
      <w:pPr>
        <w:rPr>
          <w:rFonts w:eastAsia="Times New Roman" w:cs="Arial"/>
          <w:lang w:eastAsia="en-GB"/>
        </w:rPr>
      </w:pPr>
      <w:r w:rsidRPr="00BB16D8">
        <w:rPr>
          <w:rFonts w:eastAsia="Times New Roman" w:cs="Arial"/>
          <w:lang w:eastAsia="en-GB"/>
        </w:rPr>
        <w:t>Conditions seen by the team may include:</w:t>
      </w:r>
    </w:p>
    <w:p w:rsidR="009F5323" w:rsidRPr="00BB16D8" w:rsidRDefault="009F5323" w:rsidP="009F5323">
      <w:pPr>
        <w:pStyle w:val="ListParagraph"/>
        <w:numPr>
          <w:ilvl w:val="0"/>
          <w:numId w:val="40"/>
        </w:numPr>
        <w:spacing w:line="276" w:lineRule="auto"/>
        <w:rPr>
          <w:rFonts w:ascii="Arial" w:hAnsi="Arial" w:cs="Arial"/>
          <w:sz w:val="22"/>
          <w:szCs w:val="22"/>
        </w:rPr>
      </w:pPr>
      <w:r w:rsidRPr="00BB16D8">
        <w:rPr>
          <w:rFonts w:ascii="Arial" w:hAnsi="Arial" w:cs="Arial"/>
          <w:sz w:val="22"/>
          <w:szCs w:val="22"/>
        </w:rPr>
        <w:t>neurological conditions e.g. cerebral palsy, head injury</w:t>
      </w:r>
    </w:p>
    <w:p w:rsidR="009F5323" w:rsidRPr="00BB16D8" w:rsidRDefault="009F5323" w:rsidP="009F5323">
      <w:pPr>
        <w:pStyle w:val="ListParagraph"/>
        <w:numPr>
          <w:ilvl w:val="0"/>
          <w:numId w:val="40"/>
        </w:numPr>
        <w:spacing w:line="276" w:lineRule="auto"/>
        <w:rPr>
          <w:rFonts w:ascii="Arial" w:hAnsi="Arial" w:cs="Arial"/>
          <w:sz w:val="22"/>
          <w:szCs w:val="22"/>
        </w:rPr>
      </w:pPr>
      <w:r w:rsidRPr="00BB16D8">
        <w:rPr>
          <w:rFonts w:ascii="Arial" w:hAnsi="Arial" w:cs="Arial"/>
          <w:sz w:val="22"/>
          <w:szCs w:val="22"/>
        </w:rPr>
        <w:t>neuromuscular disorders e.g. muscular dystrophy</w:t>
      </w:r>
    </w:p>
    <w:p w:rsidR="009F5323" w:rsidRPr="00BB16D8" w:rsidRDefault="009F5323" w:rsidP="009F5323">
      <w:pPr>
        <w:pStyle w:val="ListParagraph"/>
        <w:numPr>
          <w:ilvl w:val="0"/>
          <w:numId w:val="40"/>
        </w:numPr>
        <w:spacing w:line="276" w:lineRule="auto"/>
        <w:rPr>
          <w:rFonts w:ascii="Arial" w:hAnsi="Arial" w:cs="Arial"/>
          <w:sz w:val="22"/>
          <w:szCs w:val="22"/>
        </w:rPr>
      </w:pPr>
      <w:r w:rsidRPr="00BB16D8">
        <w:rPr>
          <w:rFonts w:ascii="Arial" w:hAnsi="Arial" w:cs="Arial"/>
          <w:sz w:val="22"/>
          <w:szCs w:val="22"/>
        </w:rPr>
        <w:t>developmental delay</w:t>
      </w:r>
    </w:p>
    <w:p w:rsidR="009F5323" w:rsidRPr="00BB16D8" w:rsidRDefault="009F5323" w:rsidP="009F5323">
      <w:pPr>
        <w:pStyle w:val="ListParagraph"/>
        <w:numPr>
          <w:ilvl w:val="0"/>
          <w:numId w:val="40"/>
        </w:numPr>
        <w:spacing w:line="276" w:lineRule="auto"/>
        <w:rPr>
          <w:rFonts w:ascii="Arial" w:hAnsi="Arial" w:cs="Arial"/>
          <w:sz w:val="22"/>
          <w:szCs w:val="22"/>
        </w:rPr>
      </w:pPr>
      <w:r w:rsidRPr="00BB16D8">
        <w:rPr>
          <w:rFonts w:ascii="Arial" w:hAnsi="Arial" w:cs="Arial"/>
          <w:sz w:val="22"/>
          <w:szCs w:val="22"/>
        </w:rPr>
        <w:t>congenital disorders e.g. spina bifida, limb deficiencies</w:t>
      </w:r>
    </w:p>
    <w:p w:rsidR="009F5323" w:rsidRPr="00BB16D8" w:rsidRDefault="009F5323" w:rsidP="009F5323">
      <w:pPr>
        <w:pStyle w:val="ListParagraph"/>
        <w:numPr>
          <w:ilvl w:val="0"/>
          <w:numId w:val="40"/>
        </w:numPr>
        <w:spacing w:line="276" w:lineRule="auto"/>
        <w:rPr>
          <w:rFonts w:ascii="Arial" w:hAnsi="Arial" w:cs="Arial"/>
          <w:sz w:val="22"/>
          <w:szCs w:val="22"/>
        </w:rPr>
      </w:pPr>
      <w:r w:rsidRPr="00BB16D8">
        <w:rPr>
          <w:rFonts w:ascii="Arial" w:hAnsi="Arial" w:cs="Arial"/>
          <w:sz w:val="22"/>
          <w:szCs w:val="22"/>
        </w:rPr>
        <w:t>congenital syndromes and metabolic diseases</w:t>
      </w:r>
    </w:p>
    <w:p w:rsidR="009F5323" w:rsidRPr="00BB16D8" w:rsidRDefault="009F5323" w:rsidP="009F5323">
      <w:pPr>
        <w:pStyle w:val="ListParagraph"/>
        <w:numPr>
          <w:ilvl w:val="0"/>
          <w:numId w:val="40"/>
        </w:numPr>
        <w:spacing w:line="276" w:lineRule="auto"/>
        <w:rPr>
          <w:rFonts w:ascii="Arial" w:hAnsi="Arial" w:cs="Arial"/>
          <w:sz w:val="22"/>
          <w:szCs w:val="22"/>
        </w:rPr>
      </w:pPr>
      <w:r w:rsidRPr="00BB16D8">
        <w:rPr>
          <w:rFonts w:ascii="Arial" w:hAnsi="Arial" w:cs="Arial"/>
          <w:sz w:val="22"/>
          <w:szCs w:val="22"/>
        </w:rPr>
        <w:t>conditions where mobility is affected e.g. oncology</w:t>
      </w:r>
    </w:p>
    <w:p w:rsidR="00CE6E1A" w:rsidRDefault="00CE6E1A" w:rsidP="00F5569C"/>
    <w:p w:rsidR="009F5323" w:rsidRDefault="009F5323" w:rsidP="00F5569C">
      <w:r>
        <w:t xml:space="preserve">The caseload as of June 2015 </w:t>
      </w:r>
      <w:r w:rsidR="00CE6E1A">
        <w:t>included</w:t>
      </w:r>
      <w:r>
        <w:t xml:space="preserve"> 165 children in the early years age range an</w:t>
      </w:r>
      <w:r w:rsidR="00CE6E1A">
        <w:t>d</w:t>
      </w:r>
      <w:r>
        <w:t xml:space="preserve"> 241 school age children and young people. Of these, 238 </w:t>
      </w:r>
      <w:r w:rsidR="00CE6E1A">
        <w:t>had been</w:t>
      </w:r>
      <w:r>
        <w:t xml:space="preserve"> assessed as requiring direct support of </w:t>
      </w:r>
      <w:r w:rsidR="00CE6E1A">
        <w:t>10 to 16 contacts per year, and</w:t>
      </w:r>
      <w:r>
        <w:t xml:space="preserve"> 69 </w:t>
      </w:r>
      <w:r w:rsidR="00CE6E1A">
        <w:t>were</w:t>
      </w:r>
      <w:r>
        <w:t xml:space="preserve"> assessed as requiring intensive support of between </w:t>
      </w:r>
      <w:r w:rsidR="005B4E1A">
        <w:t>20 and 30 contacts per year.</w:t>
      </w:r>
    </w:p>
    <w:p w:rsidR="005B4E1A" w:rsidRDefault="005B4E1A" w:rsidP="005B4E1A">
      <w:pPr>
        <w:pStyle w:val="Heading3"/>
        <w:rPr>
          <w:rFonts w:eastAsiaTheme="minorHAnsi"/>
        </w:rPr>
      </w:pPr>
      <w:bookmarkStart w:id="31" w:name="_Toc434938042"/>
      <w:r w:rsidRPr="00764E4A">
        <w:rPr>
          <w:rFonts w:eastAsiaTheme="minorHAnsi"/>
        </w:rPr>
        <w:t>Musculo-skeletal Physiotherapy</w:t>
      </w:r>
      <w:r w:rsidRPr="00BB16D8">
        <w:rPr>
          <w:rFonts w:eastAsiaTheme="minorHAnsi"/>
        </w:rPr>
        <w:t xml:space="preserve"> (</w:t>
      </w:r>
      <w:r>
        <w:t>MSK)</w:t>
      </w:r>
      <w:bookmarkEnd w:id="31"/>
      <w:r>
        <w:rPr>
          <w:rFonts w:eastAsiaTheme="minorHAnsi"/>
        </w:rPr>
        <w:t xml:space="preserve">  </w:t>
      </w:r>
    </w:p>
    <w:p w:rsidR="005B4E1A" w:rsidRDefault="005B4E1A" w:rsidP="005B4E1A">
      <w:pPr>
        <w:rPr>
          <w:rFonts w:cs="Arial"/>
        </w:rPr>
      </w:pPr>
      <w:r>
        <w:rPr>
          <w:rFonts w:cs="Arial"/>
        </w:rPr>
        <w:t>Conditions include</w:t>
      </w:r>
      <w:r w:rsidRPr="00BB16D8">
        <w:rPr>
          <w:rFonts w:cs="Arial"/>
        </w:rPr>
        <w:t xml:space="preserve"> torticollis (twisted neck), plagiocephaly (flattening of one side of the skull), talipes (club foot), rheumatological conditions, orthopaedic and post fracture</w:t>
      </w:r>
      <w:r>
        <w:rPr>
          <w:rFonts w:cs="Arial"/>
        </w:rPr>
        <w:t xml:space="preserve">.  </w:t>
      </w:r>
      <w:r w:rsidRPr="00BB16D8">
        <w:rPr>
          <w:rFonts w:cs="Arial"/>
        </w:rPr>
        <w:t xml:space="preserve">Children with short term conditions </w:t>
      </w:r>
      <w:r w:rsidR="00CE6E1A">
        <w:rPr>
          <w:rFonts w:cs="Arial"/>
        </w:rPr>
        <w:t xml:space="preserve">are </w:t>
      </w:r>
      <w:r w:rsidRPr="00BB16D8">
        <w:rPr>
          <w:rFonts w:cs="Arial"/>
        </w:rPr>
        <w:t>offe</w:t>
      </w:r>
      <w:r w:rsidR="00CE6E1A">
        <w:rPr>
          <w:rFonts w:cs="Arial"/>
        </w:rPr>
        <w:t xml:space="preserve">red a maximum of 6 treatments. </w:t>
      </w:r>
      <w:r w:rsidRPr="00BB16D8">
        <w:rPr>
          <w:rFonts w:cs="Arial"/>
        </w:rPr>
        <w:t xml:space="preserve"> Children with long term conditions are seen according to need</w:t>
      </w:r>
      <w:r>
        <w:rPr>
          <w:rFonts w:cs="Arial"/>
        </w:rPr>
        <w:t>,</w:t>
      </w:r>
      <w:r w:rsidRPr="00BB16D8">
        <w:rPr>
          <w:rFonts w:cs="Arial"/>
        </w:rPr>
        <w:t xml:space="preserve"> </w:t>
      </w:r>
      <w:r>
        <w:rPr>
          <w:rFonts w:cs="Arial"/>
        </w:rPr>
        <w:t>but for</w:t>
      </w:r>
      <w:r w:rsidRPr="00BB16D8">
        <w:rPr>
          <w:rFonts w:cs="Arial"/>
        </w:rPr>
        <w:t xml:space="preserve"> no more than 10 treatments per year</w:t>
      </w:r>
      <w:r>
        <w:rPr>
          <w:rFonts w:cs="Arial"/>
        </w:rPr>
        <w:t>.  The June 2015 caseload comprised 552 children and young people.</w:t>
      </w:r>
    </w:p>
    <w:p w:rsidR="005B4E1A" w:rsidRDefault="005B4E1A" w:rsidP="005B4E1A">
      <w:pPr>
        <w:pStyle w:val="Heading3"/>
        <w:rPr>
          <w:rFonts w:eastAsiaTheme="minorHAnsi"/>
        </w:rPr>
      </w:pPr>
      <w:bookmarkStart w:id="32" w:name="_Toc434938043"/>
      <w:r w:rsidRPr="00764E4A">
        <w:rPr>
          <w:rFonts w:eastAsiaTheme="minorHAnsi"/>
        </w:rPr>
        <w:t>Podiatry</w:t>
      </w:r>
      <w:bookmarkEnd w:id="32"/>
    </w:p>
    <w:p w:rsidR="005B4E1A" w:rsidRDefault="005B4E1A" w:rsidP="005B4E1A">
      <w:pPr>
        <w:rPr>
          <w:rFonts w:cs="Arial"/>
        </w:rPr>
      </w:pPr>
      <w:r>
        <w:rPr>
          <w:rFonts w:eastAsia="Times New Roman" w:cs="Arial"/>
          <w:lang w:eastAsia="en-GB"/>
        </w:rPr>
        <w:t xml:space="preserve">Referrals are accepted </w:t>
      </w:r>
      <w:r w:rsidRPr="00894B38">
        <w:rPr>
          <w:rFonts w:eastAsia="Times New Roman" w:cs="Arial"/>
          <w:lang w:eastAsia="en-GB"/>
        </w:rPr>
        <w:t xml:space="preserve">for any child </w:t>
      </w:r>
      <w:r>
        <w:rPr>
          <w:rFonts w:eastAsia="Times New Roman" w:cs="Arial"/>
          <w:lang w:eastAsia="en-GB"/>
        </w:rPr>
        <w:t>with a</w:t>
      </w:r>
      <w:r w:rsidRPr="00894B38">
        <w:rPr>
          <w:rFonts w:eastAsia="Times New Roman" w:cs="Arial"/>
          <w:lang w:eastAsia="en-GB"/>
        </w:rPr>
        <w:t xml:space="preserve"> condition affecting their lower limb</w:t>
      </w:r>
      <w:r>
        <w:rPr>
          <w:rFonts w:eastAsia="Times New Roman" w:cs="Arial"/>
          <w:lang w:eastAsia="en-GB"/>
        </w:rPr>
        <w:t xml:space="preserve">, including hemiplegia.  </w:t>
      </w:r>
      <w:r w:rsidRPr="00BB16D8">
        <w:rPr>
          <w:rFonts w:cs="Arial"/>
        </w:rPr>
        <w:t>Children with long term conditions are seen according to need</w:t>
      </w:r>
      <w:r>
        <w:rPr>
          <w:rFonts w:cs="Arial"/>
        </w:rPr>
        <w:t>,</w:t>
      </w:r>
      <w:r w:rsidRPr="00BB16D8">
        <w:rPr>
          <w:rFonts w:cs="Arial"/>
        </w:rPr>
        <w:t xml:space="preserve"> </w:t>
      </w:r>
      <w:r>
        <w:rPr>
          <w:rFonts w:cs="Arial"/>
        </w:rPr>
        <w:t>but for</w:t>
      </w:r>
      <w:r w:rsidRPr="00BB16D8">
        <w:rPr>
          <w:rFonts w:cs="Arial"/>
        </w:rPr>
        <w:t xml:space="preserve"> no more than 10 treatments per year</w:t>
      </w:r>
      <w:r>
        <w:rPr>
          <w:rFonts w:cs="Arial"/>
        </w:rPr>
        <w:t>.  The June 2015 caseload comprised 119 children and young people.</w:t>
      </w:r>
    </w:p>
    <w:p w:rsidR="005B4E1A" w:rsidRPr="00764E4A" w:rsidRDefault="005B4E1A" w:rsidP="005B4E1A">
      <w:pPr>
        <w:pStyle w:val="Heading3"/>
        <w:rPr>
          <w:rFonts w:eastAsiaTheme="minorHAnsi"/>
        </w:rPr>
      </w:pPr>
      <w:bookmarkStart w:id="33" w:name="_Toc434938044"/>
      <w:r w:rsidRPr="00764E4A">
        <w:rPr>
          <w:rFonts w:eastAsiaTheme="minorHAnsi"/>
        </w:rPr>
        <w:t>Occupational therapy, Early Years</w:t>
      </w:r>
      <w:bookmarkEnd w:id="33"/>
    </w:p>
    <w:p w:rsidR="00C14276" w:rsidRDefault="005B4E1A" w:rsidP="00C14276">
      <w:pPr>
        <w:rPr>
          <w:rFonts w:cs="Arial"/>
        </w:rPr>
      </w:pPr>
      <w:r w:rsidRPr="009620C2">
        <w:rPr>
          <w:rFonts w:cs="Arial"/>
          <w:bCs/>
          <w:lang w:eastAsia="en-GB"/>
        </w:rPr>
        <w:t>Referrals accepted wher</w:t>
      </w:r>
      <w:r>
        <w:rPr>
          <w:rFonts w:cs="Arial"/>
          <w:bCs/>
          <w:lang w:eastAsia="en-GB"/>
        </w:rPr>
        <w:t>e</w:t>
      </w:r>
      <w:r w:rsidRPr="009620C2">
        <w:rPr>
          <w:rFonts w:cs="Arial"/>
          <w:bCs/>
          <w:lang w:eastAsia="en-GB"/>
        </w:rPr>
        <w:t xml:space="preserve"> children have </w:t>
      </w:r>
      <w:r>
        <w:rPr>
          <w:rFonts w:cs="Arial"/>
          <w:lang w:eastAsia="en-GB"/>
        </w:rPr>
        <w:t xml:space="preserve">physical </w:t>
      </w:r>
      <w:r w:rsidRPr="006E0E2B">
        <w:rPr>
          <w:rFonts w:cs="Arial"/>
          <w:b/>
          <w:i/>
          <w:lang w:eastAsia="en-GB"/>
        </w:rPr>
        <w:t>or</w:t>
      </w:r>
      <w:r>
        <w:rPr>
          <w:rFonts w:cs="Arial"/>
          <w:lang w:eastAsia="en-GB"/>
        </w:rPr>
        <w:t xml:space="preserve"> sensory difficulties which</w:t>
      </w:r>
      <w:r w:rsidRPr="009620C2">
        <w:rPr>
          <w:rFonts w:cs="Arial"/>
          <w:lang w:eastAsia="en-GB"/>
        </w:rPr>
        <w:t xml:space="preserve"> are </w:t>
      </w:r>
      <w:r w:rsidRPr="009620C2">
        <w:rPr>
          <w:rFonts w:cs="Arial"/>
          <w:bCs/>
          <w:lang w:eastAsia="en-GB"/>
        </w:rPr>
        <w:t>significantly</w:t>
      </w:r>
      <w:r w:rsidRPr="009620C2">
        <w:rPr>
          <w:rFonts w:cs="Arial"/>
          <w:lang w:eastAsia="en-GB"/>
        </w:rPr>
        <w:t xml:space="preserve"> impacting upon performance </w:t>
      </w:r>
      <w:r>
        <w:rPr>
          <w:rFonts w:cs="Arial"/>
          <w:lang w:eastAsia="en-GB"/>
        </w:rPr>
        <w:t xml:space="preserve">of functions of </w:t>
      </w:r>
      <w:r w:rsidRPr="009620C2">
        <w:rPr>
          <w:rFonts w:cs="Arial"/>
          <w:lang w:eastAsia="en-GB"/>
        </w:rPr>
        <w:t xml:space="preserve">daily living and are </w:t>
      </w:r>
      <w:r w:rsidRPr="009620C2">
        <w:rPr>
          <w:rFonts w:cs="Arial"/>
          <w:bCs/>
          <w:lang w:eastAsia="en-GB"/>
        </w:rPr>
        <w:t>out of line with the child / young person’s overall level of development</w:t>
      </w:r>
      <w:r w:rsidRPr="009620C2">
        <w:rPr>
          <w:rFonts w:cs="Arial"/>
          <w:lang w:eastAsia="en-GB"/>
        </w:rPr>
        <w:t xml:space="preserve">.  </w:t>
      </w:r>
      <w:r w:rsidR="00C14276">
        <w:rPr>
          <w:rFonts w:cs="Arial"/>
        </w:rPr>
        <w:t>The June 2015 caseload comprised 52 children, with 19 receiving direct support of up to 16 contacts per year and 26 children receiving intensive support of up to 30 contacts per year.</w:t>
      </w:r>
    </w:p>
    <w:p w:rsidR="00C14276" w:rsidRDefault="00C14276" w:rsidP="00C14276">
      <w:pPr>
        <w:pStyle w:val="Heading3"/>
      </w:pPr>
      <w:bookmarkStart w:id="34" w:name="_Toc434938045"/>
      <w:r w:rsidRPr="002E3C49">
        <w:rPr>
          <w:rFonts w:eastAsiaTheme="minorHAnsi"/>
        </w:rPr>
        <w:lastRenderedPageBreak/>
        <w:t xml:space="preserve">Occupational therapy, </w:t>
      </w:r>
      <w:r>
        <w:t>school age children and young people</w:t>
      </w:r>
      <w:bookmarkEnd w:id="34"/>
    </w:p>
    <w:p w:rsidR="00C14276" w:rsidRDefault="00C14276" w:rsidP="00C14276">
      <w:pPr>
        <w:rPr>
          <w:rFonts w:cs="Arial"/>
        </w:rPr>
      </w:pPr>
      <w:r w:rsidRPr="00C14276">
        <w:rPr>
          <w:rFonts w:cs="Arial"/>
        </w:rPr>
        <w:t xml:space="preserve">The team </w:t>
      </w:r>
      <w:r>
        <w:rPr>
          <w:rFonts w:cs="Arial"/>
        </w:rPr>
        <w:t xml:space="preserve">see children where </w:t>
      </w:r>
      <w:r>
        <w:rPr>
          <w:rFonts w:cs="Arial"/>
          <w:bCs/>
          <w:lang w:eastAsia="en-GB"/>
        </w:rPr>
        <w:t xml:space="preserve">physical difficulties are causing functional problems which impact on daily life and are out of line with overall level of development.  </w:t>
      </w:r>
      <w:r>
        <w:rPr>
          <w:rFonts w:cs="Arial"/>
        </w:rPr>
        <w:t>The June 2015 caseload comprised 160 children, with 150 receiving direct support of up to 10 contacts per year and 10 children receiving intensive support of up to 20 contacts per year.</w:t>
      </w:r>
    </w:p>
    <w:p w:rsidR="00C14276" w:rsidRDefault="00C14276" w:rsidP="00EC6403">
      <w:pPr>
        <w:pStyle w:val="Heading3"/>
      </w:pPr>
      <w:bookmarkStart w:id="35" w:name="_Toc434938046"/>
      <w:r w:rsidRPr="002E3C49">
        <w:rPr>
          <w:rFonts w:eastAsiaTheme="minorHAnsi"/>
        </w:rPr>
        <w:t>Speech and Language Therapy, Early Years</w:t>
      </w:r>
      <w:bookmarkEnd w:id="35"/>
    </w:p>
    <w:p w:rsidR="00EC6403" w:rsidRDefault="00C14276" w:rsidP="00EC6403">
      <w:pPr>
        <w:rPr>
          <w:rFonts w:cs="Arial"/>
        </w:rPr>
      </w:pPr>
      <w:r>
        <w:rPr>
          <w:rFonts w:eastAsia="Times New Roman" w:cs="Arial"/>
          <w:lang w:eastAsia="en-GB"/>
        </w:rPr>
        <w:t>This team s</w:t>
      </w:r>
      <w:r w:rsidRPr="00930D1E">
        <w:rPr>
          <w:rFonts w:eastAsia="Times New Roman" w:cs="Arial"/>
          <w:lang w:eastAsia="en-GB"/>
        </w:rPr>
        <w:t>upport</w:t>
      </w:r>
      <w:r>
        <w:rPr>
          <w:rFonts w:eastAsia="Times New Roman" w:cs="Arial"/>
          <w:lang w:eastAsia="en-GB"/>
        </w:rPr>
        <w:t>s</w:t>
      </w:r>
      <w:r w:rsidRPr="00930D1E">
        <w:rPr>
          <w:rFonts w:eastAsia="Times New Roman" w:cs="Arial"/>
          <w:lang w:eastAsia="en-GB"/>
        </w:rPr>
        <w:t xml:space="preserve"> pre-school children with swallowing difficulties as well as a variety of communication difficulties including receptive and expressive language, sp</w:t>
      </w:r>
      <w:r w:rsidR="00BF5EDB">
        <w:rPr>
          <w:rFonts w:eastAsia="Times New Roman" w:cs="Arial"/>
          <w:lang w:eastAsia="en-GB"/>
        </w:rPr>
        <w:t>eech sounds, social interaction and</w:t>
      </w:r>
      <w:r w:rsidRPr="00930D1E">
        <w:rPr>
          <w:rFonts w:eastAsia="Times New Roman" w:cs="Arial"/>
          <w:lang w:eastAsia="en-GB"/>
        </w:rPr>
        <w:t xml:space="preserve"> stammering/stuttering children needing</w:t>
      </w:r>
      <w:r w:rsidRPr="00930D1E">
        <w:rPr>
          <w:rFonts w:cs="Arial"/>
        </w:rPr>
        <w:t xml:space="preserve"> alternative methods of communication – e.g. signing or computer aided communication devices</w:t>
      </w:r>
      <w:r>
        <w:rPr>
          <w:rFonts w:cs="Arial"/>
        </w:rPr>
        <w:t xml:space="preserve">.  </w:t>
      </w:r>
      <w:r w:rsidR="00EC6403">
        <w:rPr>
          <w:rFonts w:cs="Arial"/>
        </w:rPr>
        <w:t>The June 2015 caseload comprised 656 children, with 340 receiving direct support of up to 12 contacts per year and 230 children receiving intensive support of up to 30 contacts per year.</w:t>
      </w:r>
    </w:p>
    <w:p w:rsidR="00EC6403" w:rsidRDefault="00EC6403" w:rsidP="00EC6403">
      <w:pPr>
        <w:pStyle w:val="Heading3"/>
      </w:pPr>
      <w:bookmarkStart w:id="36" w:name="_Toc434938047"/>
      <w:r w:rsidRPr="002E3C49">
        <w:rPr>
          <w:rFonts w:eastAsiaTheme="minorHAnsi"/>
        </w:rPr>
        <w:t xml:space="preserve">Speech and Language Therapy, </w:t>
      </w:r>
      <w:r>
        <w:t>school age children and young people with Education, Health and Care plans or a primary health need</w:t>
      </w:r>
      <w:bookmarkEnd w:id="36"/>
    </w:p>
    <w:p w:rsidR="00EC6403" w:rsidRPr="00EC6403" w:rsidRDefault="00611098" w:rsidP="00EC6403">
      <w:r>
        <w:t xml:space="preserve">As of October 2015, a total of 690 children and young people were on the caseload, with 332 receiving the direct package of up to 12 contacts a year and 75 receiving the intensive package comprising up to 30 contacts per year. </w:t>
      </w:r>
    </w:p>
    <w:p w:rsidR="00611098" w:rsidRDefault="00611098" w:rsidP="00D327B2">
      <w:pPr>
        <w:pStyle w:val="Heading3"/>
        <w:rPr>
          <w:rFonts w:eastAsiaTheme="minorHAnsi"/>
        </w:rPr>
      </w:pPr>
      <w:bookmarkStart w:id="37" w:name="_Toc434938048"/>
      <w:r w:rsidRPr="002E3C49">
        <w:rPr>
          <w:rFonts w:eastAsiaTheme="minorHAnsi"/>
        </w:rPr>
        <w:t>Continence</w:t>
      </w:r>
      <w:r>
        <w:t xml:space="preserve"> Advisory Service</w:t>
      </w:r>
      <w:bookmarkEnd w:id="37"/>
    </w:p>
    <w:p w:rsidR="00D327B2" w:rsidRPr="00D327B2" w:rsidRDefault="00611098" w:rsidP="00D327B2">
      <w:pPr>
        <w:autoSpaceDE w:val="0"/>
        <w:autoSpaceDN w:val="0"/>
        <w:adjustRightInd w:val="0"/>
        <w:rPr>
          <w:rFonts w:cs="Arial"/>
          <w:bCs/>
          <w:lang w:val="en-US"/>
        </w:rPr>
      </w:pPr>
      <w:r w:rsidRPr="000A1796">
        <w:rPr>
          <w:rFonts w:cs="Arial"/>
          <w:bCs/>
        </w:rPr>
        <w:t>The role of the continence advisor is to train others (e</w:t>
      </w:r>
      <w:r w:rsidR="00D327B2">
        <w:rPr>
          <w:rFonts w:cs="Arial"/>
          <w:bCs/>
        </w:rPr>
        <w:t>.</w:t>
      </w:r>
      <w:r w:rsidRPr="000A1796">
        <w:rPr>
          <w:rFonts w:cs="Arial"/>
          <w:bCs/>
        </w:rPr>
        <w:t>g</w:t>
      </w:r>
      <w:r w:rsidR="00D327B2">
        <w:rPr>
          <w:rFonts w:cs="Arial"/>
          <w:bCs/>
        </w:rPr>
        <w:t>.</w:t>
      </w:r>
      <w:r w:rsidRPr="000A1796">
        <w:rPr>
          <w:rFonts w:cs="Arial"/>
          <w:bCs/>
        </w:rPr>
        <w:t xml:space="preserve"> health visitors, community nurses, school nurses and GPs) to enable them to provide first level treatment for enuresis, constipation and toilet training problems. </w:t>
      </w:r>
      <w:r w:rsidR="00D327B2">
        <w:rPr>
          <w:rFonts w:cs="Arial"/>
          <w:bCs/>
        </w:rPr>
        <w:t xml:space="preserve"> The caseload includes c</w:t>
      </w:r>
      <w:r w:rsidR="00D327B2" w:rsidRPr="000A1796">
        <w:rPr>
          <w:rFonts w:cs="Arial"/>
          <w:bCs/>
        </w:rPr>
        <w:t>hildren with complex disabilities</w:t>
      </w:r>
      <w:r w:rsidR="00D327B2">
        <w:rPr>
          <w:rFonts w:cs="Arial"/>
          <w:bCs/>
        </w:rPr>
        <w:t>, c</w:t>
      </w:r>
      <w:r w:rsidR="00D327B2" w:rsidRPr="000A1796">
        <w:rPr>
          <w:rFonts w:cs="Arial"/>
          <w:bCs/>
        </w:rPr>
        <w:t>hildren with complex bladder/bowel problems</w:t>
      </w:r>
      <w:r w:rsidR="00D327B2">
        <w:rPr>
          <w:rFonts w:cs="Arial"/>
          <w:bCs/>
        </w:rPr>
        <w:t xml:space="preserve"> and c</w:t>
      </w:r>
      <w:r w:rsidR="00D327B2" w:rsidRPr="000A1796">
        <w:rPr>
          <w:rFonts w:cs="Arial"/>
          <w:bCs/>
        </w:rPr>
        <w:t>hildren where level 1 input has not had any impact on the difficulties within 3 months</w:t>
      </w:r>
      <w:r w:rsidR="00D327B2">
        <w:rPr>
          <w:rFonts w:cs="Arial"/>
          <w:bCs/>
        </w:rPr>
        <w:t xml:space="preserve">.  </w:t>
      </w:r>
      <w:r w:rsidR="00CE6E1A">
        <w:rPr>
          <w:rFonts w:cs="Arial"/>
          <w:bCs/>
        </w:rPr>
        <w:t>The June 2015 caseload comprised</w:t>
      </w:r>
      <w:r w:rsidR="00D327B2">
        <w:rPr>
          <w:rFonts w:cs="Arial"/>
          <w:bCs/>
        </w:rPr>
        <w:t xml:space="preserve"> 116 children.</w:t>
      </w:r>
      <w:r w:rsidR="00CE6E1A">
        <w:rPr>
          <w:rFonts w:cs="Arial"/>
          <w:bCs/>
        </w:rPr>
        <w:t xml:space="preserve"> </w:t>
      </w:r>
      <w:r w:rsidR="00D327B2">
        <w:rPr>
          <w:rFonts w:cs="Arial"/>
          <w:bCs/>
        </w:rPr>
        <w:t xml:space="preserve"> </w:t>
      </w:r>
      <w:r w:rsidR="00D327B2" w:rsidRPr="00D327B2">
        <w:rPr>
          <w:rFonts w:cs="Arial"/>
          <w:bCs/>
        </w:rPr>
        <w:t>Children with continence products are offered annual review.  Children with other continen</w:t>
      </w:r>
      <w:r w:rsidR="00CE6E1A">
        <w:rPr>
          <w:rFonts w:cs="Arial"/>
          <w:bCs/>
        </w:rPr>
        <w:t xml:space="preserve">ce needs are seen for between 3 to </w:t>
      </w:r>
      <w:r w:rsidR="00BF5EDB">
        <w:rPr>
          <w:rFonts w:cs="Arial"/>
          <w:bCs/>
        </w:rPr>
        <w:t xml:space="preserve">10 treatments a year </w:t>
      </w:r>
      <w:r w:rsidR="00D327B2" w:rsidRPr="00D327B2">
        <w:rPr>
          <w:rFonts w:cs="Arial"/>
          <w:bCs/>
          <w:lang w:val="en-US"/>
        </w:rPr>
        <w:t>according to need.</w:t>
      </w:r>
    </w:p>
    <w:p w:rsidR="00D327B2" w:rsidRDefault="00D327B2" w:rsidP="00BF1075">
      <w:pPr>
        <w:pStyle w:val="Heading3"/>
        <w:rPr>
          <w:rFonts w:eastAsiaTheme="minorHAnsi"/>
        </w:rPr>
      </w:pPr>
      <w:bookmarkStart w:id="38" w:name="_Toc434938049"/>
      <w:r w:rsidRPr="002E3C49">
        <w:rPr>
          <w:rFonts w:eastAsiaTheme="minorHAnsi"/>
        </w:rPr>
        <w:t>Dietetics</w:t>
      </w:r>
      <w:bookmarkEnd w:id="38"/>
    </w:p>
    <w:p w:rsidR="00D327B2" w:rsidRPr="000A1796" w:rsidRDefault="00D327B2" w:rsidP="00D327B2">
      <w:pPr>
        <w:autoSpaceDE w:val="0"/>
        <w:autoSpaceDN w:val="0"/>
        <w:adjustRightInd w:val="0"/>
        <w:rPr>
          <w:rFonts w:cs="Arial"/>
          <w:bCs/>
        </w:rPr>
      </w:pPr>
      <w:r w:rsidRPr="003350F0">
        <w:rPr>
          <w:rFonts w:eastAsia="Times New Roman" w:cs="Arial"/>
          <w:lang w:eastAsia="en-GB"/>
        </w:rPr>
        <w:t>Some children</w:t>
      </w:r>
      <w:r w:rsidR="00CE6E1A">
        <w:rPr>
          <w:rFonts w:eastAsia="Times New Roman" w:cs="Arial"/>
          <w:lang w:eastAsia="en-GB"/>
        </w:rPr>
        <w:t xml:space="preserve"> seen by a dietician</w:t>
      </w:r>
      <w:r w:rsidRPr="003350F0">
        <w:rPr>
          <w:rFonts w:eastAsia="Times New Roman" w:cs="Arial"/>
          <w:lang w:eastAsia="en-GB"/>
        </w:rPr>
        <w:t xml:space="preserve"> may have additional complex needs</w:t>
      </w:r>
      <w:r w:rsidR="00CE6E1A">
        <w:rPr>
          <w:rFonts w:eastAsia="Times New Roman" w:cs="Arial"/>
          <w:lang w:eastAsia="en-GB"/>
        </w:rPr>
        <w:t>,</w:t>
      </w:r>
      <w:r w:rsidRPr="003350F0">
        <w:rPr>
          <w:rFonts w:eastAsia="Times New Roman" w:cs="Arial"/>
          <w:lang w:eastAsia="en-GB"/>
        </w:rPr>
        <w:t xml:space="preserve"> and </w:t>
      </w:r>
      <w:r w:rsidR="00CE6E1A">
        <w:rPr>
          <w:rFonts w:eastAsia="Times New Roman" w:cs="Arial"/>
          <w:lang w:eastAsia="en-GB"/>
        </w:rPr>
        <w:t>will be</w:t>
      </w:r>
      <w:r w:rsidRPr="003350F0">
        <w:rPr>
          <w:rFonts w:eastAsia="Times New Roman" w:cs="Arial"/>
          <w:lang w:eastAsia="en-GB"/>
        </w:rPr>
        <w:t xml:space="preserve"> seen by at least one other member of </w:t>
      </w:r>
      <w:r w:rsidR="00BF1075">
        <w:rPr>
          <w:rFonts w:eastAsia="Times New Roman" w:cs="Arial"/>
          <w:lang w:eastAsia="en-GB"/>
        </w:rPr>
        <w:t>the</w:t>
      </w:r>
      <w:r w:rsidRPr="003350F0">
        <w:rPr>
          <w:rFonts w:eastAsia="Times New Roman" w:cs="Arial"/>
          <w:lang w:eastAsia="en-GB"/>
        </w:rPr>
        <w:t xml:space="preserve"> children’s therapy team. </w:t>
      </w:r>
      <w:r w:rsidR="00CE6E1A">
        <w:rPr>
          <w:rFonts w:eastAsia="Times New Roman" w:cs="Arial"/>
          <w:lang w:eastAsia="en-GB"/>
        </w:rPr>
        <w:t xml:space="preserve"> </w:t>
      </w:r>
      <w:r w:rsidRPr="003350F0">
        <w:rPr>
          <w:rFonts w:eastAsia="Times New Roman" w:cs="Arial"/>
          <w:lang w:eastAsia="en-GB"/>
        </w:rPr>
        <w:t>These child</w:t>
      </w:r>
      <w:r w:rsidR="00BF1075">
        <w:rPr>
          <w:rFonts w:eastAsia="Times New Roman" w:cs="Arial"/>
          <w:lang w:eastAsia="en-GB"/>
        </w:rPr>
        <w:t>ren may include those who have</w:t>
      </w:r>
      <w:r w:rsidRPr="003350F0">
        <w:rPr>
          <w:rFonts w:eastAsia="Times New Roman" w:cs="Arial"/>
          <w:lang w:eastAsia="en-GB"/>
        </w:rPr>
        <w:t xml:space="preserve"> epilepsy, cerebral palsy, Autism, genetic conditions or syndromes and or learning difficulties in addition to a nutritional problem and/or poor growth. </w:t>
      </w:r>
      <w:r w:rsidR="00CE6E1A">
        <w:rPr>
          <w:rFonts w:eastAsia="Times New Roman" w:cs="Arial"/>
          <w:lang w:eastAsia="en-GB"/>
        </w:rPr>
        <w:t xml:space="preserve"> </w:t>
      </w:r>
      <w:r w:rsidRPr="003350F0">
        <w:rPr>
          <w:rFonts w:eastAsia="Times New Roman" w:cs="Arial"/>
          <w:lang w:eastAsia="en-GB"/>
        </w:rPr>
        <w:t>These children often cough, gag or choke on food or drinks, have recurrent chest infections, are extreme fussy eaters, or have poor or excessive weight gain.</w:t>
      </w:r>
      <w:r w:rsidR="00BF1075">
        <w:rPr>
          <w:rFonts w:eastAsia="Times New Roman" w:cs="Arial"/>
          <w:lang w:eastAsia="en-GB"/>
        </w:rPr>
        <w:t xml:space="preserve">  187 children were on the caseload in June 2015.</w:t>
      </w:r>
    </w:p>
    <w:p w:rsidR="00BF1075" w:rsidRDefault="00BF1075" w:rsidP="00A2065F">
      <w:pPr>
        <w:pStyle w:val="Heading1"/>
        <w:numPr>
          <w:ilvl w:val="0"/>
          <w:numId w:val="47"/>
        </w:numPr>
      </w:pPr>
      <w:bookmarkStart w:id="39" w:name="_Toc434938050"/>
      <w:r>
        <w:t>Medway Council Services</w:t>
      </w:r>
      <w:r w:rsidR="00E23514">
        <w:t xml:space="preserve"> </w:t>
      </w:r>
      <w:r>
        <w:t>Children’s Social Care, including the 0 – 25 Disability Service</w:t>
      </w:r>
      <w:bookmarkEnd w:id="39"/>
    </w:p>
    <w:p w:rsidR="00BF1075" w:rsidRPr="003B1225" w:rsidRDefault="00BF1075" w:rsidP="00BF1075">
      <w:pPr>
        <w:rPr>
          <w:rFonts w:cs="Arial"/>
        </w:rPr>
      </w:pPr>
      <w:r>
        <w:t xml:space="preserve">The 0 to 25 team offers a range of services for disabled children and young people with severe disabilities and complex health needs to help them remain living at home or move </w:t>
      </w:r>
      <w:r w:rsidRPr="003B1225">
        <w:rPr>
          <w:rFonts w:cs="Arial"/>
        </w:rPr>
        <w:t>towards independence.  They can support children that have</w:t>
      </w:r>
    </w:p>
    <w:p w:rsidR="00BF1075" w:rsidRPr="003B1225" w:rsidRDefault="00BF1075" w:rsidP="00BF1075">
      <w:pPr>
        <w:rPr>
          <w:rFonts w:cs="Arial"/>
        </w:rPr>
      </w:pPr>
    </w:p>
    <w:p w:rsidR="00BF1075" w:rsidRPr="003B1225" w:rsidRDefault="00BF1075" w:rsidP="00BF1075">
      <w:pPr>
        <w:pStyle w:val="ListParagraph"/>
        <w:numPr>
          <w:ilvl w:val="0"/>
          <w:numId w:val="33"/>
        </w:numPr>
        <w:rPr>
          <w:rFonts w:ascii="Arial" w:hAnsi="Arial" w:cs="Arial"/>
          <w:sz w:val="22"/>
          <w:szCs w:val="22"/>
        </w:rPr>
      </w:pPr>
      <w:r w:rsidRPr="003B1225">
        <w:rPr>
          <w:rFonts w:ascii="Arial" w:hAnsi="Arial" w:cs="Arial"/>
          <w:sz w:val="22"/>
          <w:szCs w:val="22"/>
        </w:rPr>
        <w:t xml:space="preserve">a severe and profound learning, physical or sensory disability </w:t>
      </w:r>
    </w:p>
    <w:p w:rsidR="00BF1075" w:rsidRPr="003B1225" w:rsidRDefault="00BF1075" w:rsidP="00BF1075">
      <w:pPr>
        <w:pStyle w:val="ListParagraph"/>
        <w:numPr>
          <w:ilvl w:val="0"/>
          <w:numId w:val="33"/>
        </w:numPr>
        <w:rPr>
          <w:rFonts w:ascii="Arial" w:hAnsi="Arial" w:cs="Arial"/>
          <w:sz w:val="22"/>
          <w:szCs w:val="22"/>
        </w:rPr>
      </w:pPr>
      <w:r w:rsidRPr="003B1225">
        <w:rPr>
          <w:rFonts w:ascii="Arial" w:hAnsi="Arial" w:cs="Arial"/>
          <w:sz w:val="22"/>
          <w:szCs w:val="22"/>
        </w:rPr>
        <w:t xml:space="preserve">long-term, complex medical needs </w:t>
      </w:r>
    </w:p>
    <w:p w:rsidR="00BF1075" w:rsidRPr="003B1225" w:rsidRDefault="00BF1075" w:rsidP="00BF1075">
      <w:pPr>
        <w:pStyle w:val="ListParagraph"/>
        <w:numPr>
          <w:ilvl w:val="0"/>
          <w:numId w:val="33"/>
        </w:numPr>
        <w:rPr>
          <w:rFonts w:ascii="Arial" w:hAnsi="Arial" w:cs="Arial"/>
          <w:sz w:val="22"/>
          <w:szCs w:val="22"/>
        </w:rPr>
      </w:pPr>
      <w:r w:rsidRPr="003B1225">
        <w:rPr>
          <w:rFonts w:ascii="Arial" w:hAnsi="Arial" w:cs="Arial"/>
          <w:sz w:val="22"/>
          <w:szCs w:val="22"/>
        </w:rPr>
        <w:t xml:space="preserve">life-limiting or threatening illnesses </w:t>
      </w:r>
    </w:p>
    <w:p w:rsidR="00BF1075" w:rsidRPr="003B1225" w:rsidRDefault="00BF1075" w:rsidP="00BF1075">
      <w:pPr>
        <w:rPr>
          <w:rFonts w:cs="Arial"/>
        </w:rPr>
      </w:pPr>
    </w:p>
    <w:p w:rsidR="00BF1075" w:rsidRPr="003B1225" w:rsidRDefault="00BF1075" w:rsidP="00BF1075">
      <w:pPr>
        <w:rPr>
          <w:rFonts w:cs="Arial"/>
        </w:rPr>
      </w:pPr>
      <w:r w:rsidRPr="003B1225">
        <w:rPr>
          <w:rFonts w:cs="Arial"/>
        </w:rPr>
        <w:t>They may not be able to help those that have:</w:t>
      </w:r>
    </w:p>
    <w:p w:rsidR="00BF1075" w:rsidRPr="003B1225" w:rsidRDefault="00BF1075" w:rsidP="00BF1075">
      <w:pPr>
        <w:rPr>
          <w:rFonts w:cs="Arial"/>
        </w:rPr>
      </w:pPr>
    </w:p>
    <w:p w:rsidR="00BF1075" w:rsidRPr="003B1225" w:rsidRDefault="00BF1075" w:rsidP="00BF1075">
      <w:pPr>
        <w:pStyle w:val="ListParagraph"/>
        <w:numPr>
          <w:ilvl w:val="0"/>
          <w:numId w:val="34"/>
        </w:numPr>
        <w:rPr>
          <w:rFonts w:ascii="Arial" w:hAnsi="Arial" w:cs="Arial"/>
          <w:sz w:val="22"/>
          <w:szCs w:val="22"/>
        </w:rPr>
      </w:pPr>
      <w:r w:rsidRPr="003B1225">
        <w:rPr>
          <w:rFonts w:ascii="Arial" w:hAnsi="Arial" w:cs="Arial"/>
          <w:sz w:val="22"/>
          <w:szCs w:val="22"/>
        </w:rPr>
        <w:t xml:space="preserve">a disability that is not severe or has low impact on a family or individual  </w:t>
      </w:r>
    </w:p>
    <w:p w:rsidR="00BF1075" w:rsidRPr="003B1225" w:rsidRDefault="00BF1075" w:rsidP="00BF1075">
      <w:pPr>
        <w:pStyle w:val="ListParagraph"/>
        <w:numPr>
          <w:ilvl w:val="0"/>
          <w:numId w:val="34"/>
        </w:numPr>
        <w:rPr>
          <w:rFonts w:ascii="Arial" w:hAnsi="Arial" w:cs="Arial"/>
          <w:sz w:val="22"/>
          <w:szCs w:val="22"/>
        </w:rPr>
      </w:pPr>
      <w:r w:rsidRPr="003B1225">
        <w:rPr>
          <w:rFonts w:ascii="Arial" w:hAnsi="Arial" w:cs="Arial"/>
          <w:sz w:val="22"/>
          <w:szCs w:val="22"/>
        </w:rPr>
        <w:t xml:space="preserve">behavioural problems due to social and environmental factors (ie. not associated to a disability) </w:t>
      </w:r>
    </w:p>
    <w:p w:rsidR="00BF1075" w:rsidRPr="003B1225" w:rsidRDefault="00BF1075" w:rsidP="00BF1075">
      <w:pPr>
        <w:pStyle w:val="ListParagraph"/>
        <w:numPr>
          <w:ilvl w:val="0"/>
          <w:numId w:val="34"/>
        </w:numPr>
        <w:rPr>
          <w:rFonts w:ascii="Arial" w:hAnsi="Arial" w:cs="Arial"/>
          <w:sz w:val="22"/>
          <w:szCs w:val="22"/>
        </w:rPr>
      </w:pPr>
      <w:r w:rsidRPr="003B1225">
        <w:rPr>
          <w:rFonts w:ascii="Arial" w:hAnsi="Arial" w:cs="Arial"/>
          <w:sz w:val="22"/>
          <w:szCs w:val="22"/>
        </w:rPr>
        <w:t xml:space="preserve">a diagnosis of ADD/ADHD alone </w:t>
      </w:r>
    </w:p>
    <w:p w:rsidR="00BF1075" w:rsidRPr="003B1225" w:rsidRDefault="00BF1075" w:rsidP="00BF1075">
      <w:pPr>
        <w:pStyle w:val="ListParagraph"/>
        <w:numPr>
          <w:ilvl w:val="0"/>
          <w:numId w:val="34"/>
        </w:numPr>
        <w:rPr>
          <w:rFonts w:ascii="Arial" w:hAnsi="Arial" w:cs="Arial"/>
          <w:sz w:val="22"/>
          <w:szCs w:val="22"/>
        </w:rPr>
      </w:pPr>
      <w:r w:rsidRPr="003B1225">
        <w:rPr>
          <w:rFonts w:ascii="Arial" w:hAnsi="Arial" w:cs="Arial"/>
          <w:sz w:val="22"/>
          <w:szCs w:val="22"/>
        </w:rPr>
        <w:t xml:space="preserve">mental health needs alone </w:t>
      </w:r>
    </w:p>
    <w:p w:rsidR="00BF1075" w:rsidRDefault="00BF1075" w:rsidP="00BF1075">
      <w:pPr>
        <w:pStyle w:val="ListParagraph"/>
        <w:numPr>
          <w:ilvl w:val="0"/>
          <w:numId w:val="34"/>
        </w:numPr>
        <w:rPr>
          <w:rFonts w:ascii="Arial" w:hAnsi="Arial" w:cs="Arial"/>
          <w:sz w:val="22"/>
          <w:szCs w:val="22"/>
        </w:rPr>
      </w:pPr>
      <w:r w:rsidRPr="003B1225">
        <w:rPr>
          <w:rFonts w:ascii="Arial" w:hAnsi="Arial" w:cs="Arial"/>
          <w:sz w:val="22"/>
          <w:szCs w:val="22"/>
        </w:rPr>
        <w:t>a diagnosis of specific learning difficulties alone (eg. dyslexia, dyspraxia)</w:t>
      </w:r>
    </w:p>
    <w:p w:rsidR="00BF1075" w:rsidRDefault="00BF1075" w:rsidP="00BF1075">
      <w:pPr>
        <w:rPr>
          <w:rFonts w:cs="Arial"/>
        </w:rPr>
      </w:pPr>
    </w:p>
    <w:p w:rsidR="0098682B" w:rsidRDefault="0098682B" w:rsidP="00BF1075">
      <w:pPr>
        <w:rPr>
          <w:szCs w:val="24"/>
        </w:rPr>
      </w:pPr>
      <w:r>
        <w:rPr>
          <w:szCs w:val="24"/>
        </w:rPr>
        <w:t>Disabled children may also be supported by other social care teams should they be in need of safeguarding or become Looked After by the local authority.</w:t>
      </w:r>
    </w:p>
    <w:p w:rsidR="00E23514" w:rsidRDefault="00E23514" w:rsidP="00BF1075">
      <w:pPr>
        <w:rPr>
          <w:szCs w:val="24"/>
        </w:rPr>
      </w:pPr>
    </w:p>
    <w:p w:rsidR="00BF1075" w:rsidRDefault="007A5881" w:rsidP="00BF1075">
      <w:pPr>
        <w:rPr>
          <w:rFonts w:cs="Arial"/>
        </w:rPr>
      </w:pPr>
      <w:r>
        <w:rPr>
          <w:szCs w:val="24"/>
        </w:rPr>
        <w:t>An October 2015</w:t>
      </w:r>
      <w:r w:rsidR="00BF1075">
        <w:rPr>
          <w:szCs w:val="24"/>
        </w:rPr>
        <w:t xml:space="preserve"> analysis of children and young people designated as disabled on Medway Council’s social care recording system, Frameworki, identified a group of 580 children where a disability was recorded</w:t>
      </w:r>
      <w:r w:rsidR="00BF5EDB">
        <w:rPr>
          <w:szCs w:val="24"/>
        </w:rPr>
        <w:t xml:space="preserve"> (See Figure </w:t>
      </w:r>
      <w:r w:rsidR="005C553C">
        <w:rPr>
          <w:szCs w:val="24"/>
        </w:rPr>
        <w:t>34 for a breakdown by disability grouping)</w:t>
      </w:r>
      <w:r w:rsidR="00BF1075">
        <w:rPr>
          <w:szCs w:val="24"/>
        </w:rPr>
        <w:t xml:space="preserve">.  It should be noted that this cohort includes cases recorded as closed as well as open to the 0-25 Disability Team, Social Care Occupational Therapy, and/or other Children’s Social Care teams and may not represent the totality of disabled children held on the system. </w:t>
      </w:r>
      <w:r w:rsidR="00CE6E1A">
        <w:rPr>
          <w:szCs w:val="24"/>
        </w:rPr>
        <w:t xml:space="preserve"> </w:t>
      </w:r>
      <w:r w:rsidR="00BF1075">
        <w:rPr>
          <w:szCs w:val="24"/>
        </w:rPr>
        <w:t xml:space="preserve">There is no current way to routinely access </w:t>
      </w:r>
      <w:r w:rsidR="00BF1075">
        <w:rPr>
          <w:rFonts w:cs="Arial"/>
        </w:rPr>
        <w:t>robust electronic caseload information on numbers or needs.</w:t>
      </w:r>
    </w:p>
    <w:p w:rsidR="00BF1075" w:rsidRDefault="00BF1075" w:rsidP="00BF1075">
      <w:pPr>
        <w:rPr>
          <w:rFonts w:cs="Arial"/>
        </w:rPr>
      </w:pPr>
    </w:p>
    <w:tbl>
      <w:tblPr>
        <w:tblStyle w:val="TableGrid"/>
        <w:tblW w:w="0" w:type="auto"/>
        <w:tblLook w:val="04A0" w:firstRow="1" w:lastRow="0" w:firstColumn="1" w:lastColumn="0" w:noHBand="0" w:noVBand="1"/>
      </w:tblPr>
      <w:tblGrid>
        <w:gridCol w:w="2310"/>
        <w:gridCol w:w="2310"/>
        <w:gridCol w:w="2311"/>
        <w:gridCol w:w="2311"/>
      </w:tblGrid>
      <w:tr w:rsidR="00BF1075" w:rsidRPr="00372DCF" w:rsidTr="009F7AD8">
        <w:tc>
          <w:tcPr>
            <w:tcW w:w="2310" w:type="dxa"/>
          </w:tcPr>
          <w:p w:rsidR="00BF1075" w:rsidRPr="00372DCF" w:rsidRDefault="00BF1075" w:rsidP="009F7AD8">
            <w:pPr>
              <w:rPr>
                <w:b/>
                <w:szCs w:val="24"/>
              </w:rPr>
            </w:pPr>
            <w:r w:rsidRPr="00372DCF">
              <w:rPr>
                <w:b/>
                <w:szCs w:val="24"/>
              </w:rPr>
              <w:t>Disability group</w:t>
            </w:r>
          </w:p>
        </w:tc>
        <w:tc>
          <w:tcPr>
            <w:tcW w:w="2310" w:type="dxa"/>
          </w:tcPr>
          <w:p w:rsidR="00BF1075" w:rsidRPr="00372DCF" w:rsidRDefault="00BF1075" w:rsidP="009F7AD8">
            <w:pPr>
              <w:rPr>
                <w:b/>
                <w:szCs w:val="24"/>
              </w:rPr>
            </w:pPr>
            <w:r w:rsidRPr="00372DCF">
              <w:rPr>
                <w:b/>
                <w:szCs w:val="24"/>
              </w:rPr>
              <w:t>Includes:</w:t>
            </w:r>
          </w:p>
        </w:tc>
        <w:tc>
          <w:tcPr>
            <w:tcW w:w="2311" w:type="dxa"/>
          </w:tcPr>
          <w:p w:rsidR="00BF1075" w:rsidRPr="00372DCF" w:rsidRDefault="00BF1075" w:rsidP="009F7AD8">
            <w:pPr>
              <w:rPr>
                <w:b/>
                <w:szCs w:val="24"/>
              </w:rPr>
            </w:pPr>
            <w:r w:rsidRPr="00372DCF">
              <w:rPr>
                <w:b/>
                <w:szCs w:val="24"/>
              </w:rPr>
              <w:t>Number</w:t>
            </w:r>
          </w:p>
        </w:tc>
        <w:tc>
          <w:tcPr>
            <w:tcW w:w="2311" w:type="dxa"/>
          </w:tcPr>
          <w:p w:rsidR="00BF1075" w:rsidRPr="00372DCF" w:rsidRDefault="00BF1075" w:rsidP="009F7AD8">
            <w:pPr>
              <w:rPr>
                <w:b/>
                <w:szCs w:val="24"/>
              </w:rPr>
            </w:pPr>
            <w:r w:rsidRPr="00372DCF">
              <w:rPr>
                <w:b/>
                <w:szCs w:val="24"/>
              </w:rPr>
              <w:t>Percentage</w:t>
            </w:r>
          </w:p>
        </w:tc>
      </w:tr>
      <w:tr w:rsidR="00BF1075" w:rsidTr="009F7AD8">
        <w:tc>
          <w:tcPr>
            <w:tcW w:w="2310" w:type="dxa"/>
          </w:tcPr>
          <w:p w:rsidR="00BF1075" w:rsidRDefault="00BF1075" w:rsidP="009F7AD8">
            <w:pPr>
              <w:rPr>
                <w:szCs w:val="24"/>
              </w:rPr>
            </w:pPr>
            <w:r>
              <w:rPr>
                <w:szCs w:val="24"/>
              </w:rPr>
              <w:t xml:space="preserve">Social and Communication </w:t>
            </w:r>
          </w:p>
        </w:tc>
        <w:tc>
          <w:tcPr>
            <w:tcW w:w="2310" w:type="dxa"/>
          </w:tcPr>
          <w:p w:rsidR="00BF1075" w:rsidRDefault="00BF1075" w:rsidP="009F7AD8">
            <w:pPr>
              <w:rPr>
                <w:szCs w:val="24"/>
              </w:rPr>
            </w:pPr>
            <w:r>
              <w:rPr>
                <w:szCs w:val="24"/>
              </w:rPr>
              <w:t>Autistic Spectrum Disorder (</w:t>
            </w:r>
            <w:hyperlink w:anchor="autism" w:history="1">
              <w:r w:rsidRPr="00080280">
                <w:rPr>
                  <w:rStyle w:val="Hyperlink"/>
                  <w:szCs w:val="24"/>
                </w:rPr>
                <w:t>ASD</w:t>
              </w:r>
            </w:hyperlink>
            <w:r>
              <w:rPr>
                <w:szCs w:val="24"/>
              </w:rPr>
              <w:t>), Attention Deficit Hyperactivity Disorder (</w:t>
            </w:r>
            <w:hyperlink w:anchor="ADHD" w:history="1">
              <w:r w:rsidRPr="00080280">
                <w:rPr>
                  <w:rStyle w:val="Hyperlink"/>
                  <w:szCs w:val="24"/>
                </w:rPr>
                <w:t>ADHD</w:t>
              </w:r>
            </w:hyperlink>
            <w:r>
              <w:rPr>
                <w:szCs w:val="24"/>
              </w:rPr>
              <w:t>)</w:t>
            </w:r>
          </w:p>
        </w:tc>
        <w:tc>
          <w:tcPr>
            <w:tcW w:w="2311" w:type="dxa"/>
          </w:tcPr>
          <w:p w:rsidR="00BF1075" w:rsidRDefault="00C43133" w:rsidP="009F7AD8">
            <w:pPr>
              <w:rPr>
                <w:szCs w:val="24"/>
              </w:rPr>
            </w:pPr>
            <w:r>
              <w:rPr>
                <w:szCs w:val="24"/>
              </w:rPr>
              <w:t>284</w:t>
            </w:r>
          </w:p>
        </w:tc>
        <w:tc>
          <w:tcPr>
            <w:tcW w:w="2311" w:type="dxa"/>
          </w:tcPr>
          <w:p w:rsidR="00BF1075" w:rsidRDefault="00C43133" w:rsidP="009F7AD8">
            <w:pPr>
              <w:rPr>
                <w:szCs w:val="24"/>
              </w:rPr>
            </w:pPr>
            <w:r>
              <w:rPr>
                <w:szCs w:val="24"/>
              </w:rPr>
              <w:t>49</w:t>
            </w:r>
            <w:r w:rsidR="00BF1075">
              <w:rPr>
                <w:szCs w:val="24"/>
              </w:rPr>
              <w:t>%</w:t>
            </w:r>
          </w:p>
        </w:tc>
      </w:tr>
      <w:tr w:rsidR="00BF1075" w:rsidTr="009F7AD8">
        <w:tc>
          <w:tcPr>
            <w:tcW w:w="2310" w:type="dxa"/>
          </w:tcPr>
          <w:p w:rsidR="00BF1075" w:rsidRDefault="00BF1075" w:rsidP="009F7AD8">
            <w:pPr>
              <w:rPr>
                <w:szCs w:val="24"/>
              </w:rPr>
            </w:pPr>
            <w:r>
              <w:rPr>
                <w:szCs w:val="24"/>
              </w:rPr>
              <w:t>Neurodevelopmental</w:t>
            </w:r>
          </w:p>
        </w:tc>
        <w:tc>
          <w:tcPr>
            <w:tcW w:w="2310" w:type="dxa"/>
          </w:tcPr>
          <w:p w:rsidR="00BF1075" w:rsidRDefault="00BF1075" w:rsidP="009F7AD8">
            <w:pPr>
              <w:rPr>
                <w:szCs w:val="24"/>
              </w:rPr>
            </w:pPr>
            <w:r>
              <w:rPr>
                <w:szCs w:val="24"/>
              </w:rPr>
              <w:t xml:space="preserve">Global Developmental Delay </w:t>
            </w:r>
            <w:hyperlink w:anchor="global" w:history="1">
              <w:r w:rsidRPr="00080280">
                <w:rPr>
                  <w:rStyle w:val="Hyperlink"/>
                  <w:szCs w:val="24"/>
                </w:rPr>
                <w:t>(GDD),</w:t>
              </w:r>
            </w:hyperlink>
            <w:r>
              <w:rPr>
                <w:szCs w:val="24"/>
              </w:rPr>
              <w:t xml:space="preserve"> Learning Disability, Speech and language delay</w:t>
            </w:r>
          </w:p>
        </w:tc>
        <w:tc>
          <w:tcPr>
            <w:tcW w:w="2311" w:type="dxa"/>
          </w:tcPr>
          <w:p w:rsidR="00BF1075" w:rsidRDefault="00C43133" w:rsidP="009F7AD8">
            <w:pPr>
              <w:rPr>
                <w:szCs w:val="24"/>
              </w:rPr>
            </w:pPr>
            <w:r>
              <w:rPr>
                <w:szCs w:val="24"/>
              </w:rPr>
              <w:t>218</w:t>
            </w:r>
          </w:p>
        </w:tc>
        <w:tc>
          <w:tcPr>
            <w:tcW w:w="2311" w:type="dxa"/>
          </w:tcPr>
          <w:p w:rsidR="00BF1075" w:rsidRDefault="00C43133" w:rsidP="009F7AD8">
            <w:pPr>
              <w:rPr>
                <w:szCs w:val="24"/>
              </w:rPr>
            </w:pPr>
            <w:r>
              <w:rPr>
                <w:szCs w:val="24"/>
              </w:rPr>
              <w:t>38</w:t>
            </w:r>
            <w:r w:rsidR="00BF1075">
              <w:rPr>
                <w:szCs w:val="24"/>
              </w:rPr>
              <w:t>%</w:t>
            </w:r>
          </w:p>
        </w:tc>
      </w:tr>
      <w:tr w:rsidR="00BF1075" w:rsidTr="009F7AD8">
        <w:tc>
          <w:tcPr>
            <w:tcW w:w="2310" w:type="dxa"/>
          </w:tcPr>
          <w:p w:rsidR="00BF1075" w:rsidRDefault="00BF1075" w:rsidP="009F7AD8">
            <w:pPr>
              <w:rPr>
                <w:szCs w:val="24"/>
              </w:rPr>
            </w:pPr>
            <w:r>
              <w:rPr>
                <w:szCs w:val="24"/>
              </w:rPr>
              <w:t>Mental Health</w:t>
            </w:r>
          </w:p>
        </w:tc>
        <w:tc>
          <w:tcPr>
            <w:tcW w:w="2310" w:type="dxa"/>
          </w:tcPr>
          <w:p w:rsidR="00BF1075" w:rsidRDefault="00BF1075" w:rsidP="009F7AD8">
            <w:pPr>
              <w:rPr>
                <w:szCs w:val="24"/>
              </w:rPr>
            </w:pPr>
            <w:r>
              <w:rPr>
                <w:szCs w:val="24"/>
              </w:rPr>
              <w:t xml:space="preserve">Anxiety, Depression, </w:t>
            </w:r>
            <w:hyperlink w:anchor="obsess" w:history="1">
              <w:r w:rsidRPr="00080280">
                <w:rPr>
                  <w:rStyle w:val="Hyperlink"/>
                  <w:szCs w:val="24"/>
                </w:rPr>
                <w:t>Obsessive Compulsive Disorder</w:t>
              </w:r>
            </w:hyperlink>
            <w:r>
              <w:rPr>
                <w:szCs w:val="24"/>
              </w:rPr>
              <w:t xml:space="preserve"> (OCD), </w:t>
            </w:r>
            <w:hyperlink w:anchor="oppo" w:history="1">
              <w:r w:rsidRPr="00D443B0">
                <w:rPr>
                  <w:rStyle w:val="Hyperlink"/>
                  <w:szCs w:val="24"/>
                </w:rPr>
                <w:t>Oppositional Defiant Disorder (ODD)</w:t>
              </w:r>
            </w:hyperlink>
          </w:p>
        </w:tc>
        <w:tc>
          <w:tcPr>
            <w:tcW w:w="2311" w:type="dxa"/>
          </w:tcPr>
          <w:p w:rsidR="00BF1075" w:rsidRDefault="00C43133" w:rsidP="009F7AD8">
            <w:pPr>
              <w:rPr>
                <w:szCs w:val="24"/>
              </w:rPr>
            </w:pPr>
            <w:r>
              <w:rPr>
                <w:szCs w:val="24"/>
              </w:rPr>
              <w:t>65</w:t>
            </w:r>
          </w:p>
        </w:tc>
        <w:tc>
          <w:tcPr>
            <w:tcW w:w="2311" w:type="dxa"/>
          </w:tcPr>
          <w:p w:rsidR="00BF1075" w:rsidRDefault="00BF1075" w:rsidP="009F7AD8">
            <w:pPr>
              <w:rPr>
                <w:szCs w:val="24"/>
              </w:rPr>
            </w:pPr>
            <w:r>
              <w:rPr>
                <w:szCs w:val="24"/>
              </w:rPr>
              <w:t>11%</w:t>
            </w:r>
          </w:p>
        </w:tc>
      </w:tr>
      <w:tr w:rsidR="00BF1075" w:rsidTr="009F7AD8">
        <w:tc>
          <w:tcPr>
            <w:tcW w:w="2310" w:type="dxa"/>
          </w:tcPr>
          <w:p w:rsidR="00BF1075" w:rsidRDefault="00BF1075" w:rsidP="009F7AD8">
            <w:pPr>
              <w:rPr>
                <w:szCs w:val="24"/>
              </w:rPr>
            </w:pPr>
            <w:r>
              <w:rPr>
                <w:szCs w:val="24"/>
              </w:rPr>
              <w:t>Neuro/degenerative</w:t>
            </w:r>
          </w:p>
        </w:tc>
        <w:tc>
          <w:tcPr>
            <w:tcW w:w="2310" w:type="dxa"/>
          </w:tcPr>
          <w:p w:rsidR="00BF1075" w:rsidRDefault="00156E8B" w:rsidP="009F7AD8">
            <w:pPr>
              <w:rPr>
                <w:szCs w:val="24"/>
              </w:rPr>
            </w:pPr>
            <w:hyperlink w:anchor="epilepsy" w:history="1">
              <w:r w:rsidR="00BF1075" w:rsidRPr="00837B85">
                <w:rPr>
                  <w:rStyle w:val="Hyperlink"/>
                  <w:szCs w:val="24"/>
                </w:rPr>
                <w:t>Epilepsy</w:t>
              </w:r>
            </w:hyperlink>
            <w:r w:rsidR="00BF1075">
              <w:rPr>
                <w:szCs w:val="24"/>
              </w:rPr>
              <w:t xml:space="preserve">, </w:t>
            </w:r>
            <w:hyperlink w:anchor="cerebral" w:history="1">
              <w:r w:rsidR="00BF1075" w:rsidRPr="00080280">
                <w:rPr>
                  <w:rStyle w:val="Hyperlink"/>
                  <w:szCs w:val="24"/>
                </w:rPr>
                <w:t>Cerebral Palsy,</w:t>
              </w:r>
            </w:hyperlink>
            <w:r w:rsidR="00BF1075">
              <w:rPr>
                <w:szCs w:val="24"/>
              </w:rPr>
              <w:t xml:space="preserve"> </w:t>
            </w:r>
            <w:hyperlink w:anchor="muscular" w:history="1">
              <w:r w:rsidR="00BF1075" w:rsidRPr="00080280">
                <w:rPr>
                  <w:rStyle w:val="Hyperlink"/>
                  <w:szCs w:val="24"/>
                </w:rPr>
                <w:t>Muscular Dystrophy</w:t>
              </w:r>
            </w:hyperlink>
            <w:r w:rsidR="00BF1075">
              <w:rPr>
                <w:szCs w:val="24"/>
              </w:rPr>
              <w:t xml:space="preserve">, </w:t>
            </w:r>
            <w:hyperlink w:anchor="hemipleg" w:history="1">
              <w:r w:rsidR="00BF1075" w:rsidRPr="001219CD">
                <w:rPr>
                  <w:rStyle w:val="Hyperlink"/>
                  <w:szCs w:val="24"/>
                </w:rPr>
                <w:t>Hemiplegia</w:t>
              </w:r>
            </w:hyperlink>
            <w:r w:rsidR="00BF1075">
              <w:rPr>
                <w:szCs w:val="24"/>
              </w:rPr>
              <w:t xml:space="preserve">, </w:t>
            </w:r>
            <w:hyperlink w:anchor="spina" w:history="1">
              <w:r w:rsidR="00BF1075" w:rsidRPr="00080280">
                <w:rPr>
                  <w:rStyle w:val="Hyperlink"/>
                  <w:szCs w:val="24"/>
                </w:rPr>
                <w:t>Spina Bifida</w:t>
              </w:r>
            </w:hyperlink>
            <w:r w:rsidR="00BF1075">
              <w:rPr>
                <w:szCs w:val="24"/>
              </w:rPr>
              <w:t xml:space="preserve">, </w:t>
            </w:r>
            <w:hyperlink w:anchor="paraplegia" w:history="1">
              <w:r w:rsidR="00BF1075" w:rsidRPr="008A6B27">
                <w:rPr>
                  <w:rStyle w:val="Hyperlink"/>
                  <w:szCs w:val="24"/>
                </w:rPr>
                <w:t>Paraplegia</w:t>
              </w:r>
            </w:hyperlink>
          </w:p>
        </w:tc>
        <w:tc>
          <w:tcPr>
            <w:tcW w:w="2311" w:type="dxa"/>
          </w:tcPr>
          <w:p w:rsidR="00BF1075" w:rsidRDefault="00BF1075" w:rsidP="009F7AD8">
            <w:pPr>
              <w:rPr>
                <w:szCs w:val="24"/>
              </w:rPr>
            </w:pPr>
            <w:r>
              <w:rPr>
                <w:szCs w:val="24"/>
              </w:rPr>
              <w:t>77</w:t>
            </w:r>
          </w:p>
        </w:tc>
        <w:tc>
          <w:tcPr>
            <w:tcW w:w="2311" w:type="dxa"/>
          </w:tcPr>
          <w:p w:rsidR="00BF1075" w:rsidRDefault="00BF1075" w:rsidP="009F7AD8">
            <w:pPr>
              <w:rPr>
                <w:szCs w:val="24"/>
              </w:rPr>
            </w:pPr>
            <w:r>
              <w:rPr>
                <w:szCs w:val="24"/>
              </w:rPr>
              <w:t>13%</w:t>
            </w:r>
          </w:p>
        </w:tc>
      </w:tr>
      <w:tr w:rsidR="00BF1075" w:rsidTr="009F7AD8">
        <w:tc>
          <w:tcPr>
            <w:tcW w:w="2310" w:type="dxa"/>
          </w:tcPr>
          <w:p w:rsidR="00BF1075" w:rsidRDefault="00BF1075" w:rsidP="009F7AD8">
            <w:pPr>
              <w:rPr>
                <w:szCs w:val="24"/>
              </w:rPr>
            </w:pPr>
            <w:r>
              <w:rPr>
                <w:szCs w:val="24"/>
              </w:rPr>
              <w:t>Rheumatological</w:t>
            </w:r>
          </w:p>
        </w:tc>
        <w:tc>
          <w:tcPr>
            <w:tcW w:w="2310" w:type="dxa"/>
          </w:tcPr>
          <w:p w:rsidR="00BF1075" w:rsidRDefault="00BF1075" w:rsidP="009F7AD8">
            <w:pPr>
              <w:rPr>
                <w:szCs w:val="24"/>
              </w:rPr>
            </w:pPr>
            <w:r w:rsidRPr="005F6195">
              <w:rPr>
                <w:szCs w:val="24"/>
              </w:rPr>
              <w:t>Disorders affecting joints, bones, muscles and soft tissues</w:t>
            </w:r>
            <w:r>
              <w:rPr>
                <w:szCs w:val="24"/>
              </w:rPr>
              <w:t xml:space="preserve"> such as </w:t>
            </w:r>
            <w:hyperlink w:anchor="perthes" w:history="1">
              <w:r w:rsidRPr="00BC70CC">
                <w:rPr>
                  <w:rStyle w:val="Hyperlink"/>
                  <w:szCs w:val="24"/>
                </w:rPr>
                <w:t>Perthes</w:t>
              </w:r>
            </w:hyperlink>
            <w:r>
              <w:rPr>
                <w:szCs w:val="24"/>
              </w:rPr>
              <w:t xml:space="preserve">, </w:t>
            </w:r>
            <w:hyperlink w:anchor="juvenile" w:history="1">
              <w:r w:rsidRPr="008A6B27">
                <w:rPr>
                  <w:rStyle w:val="Hyperlink"/>
                  <w:szCs w:val="24"/>
                </w:rPr>
                <w:t>juvenile arthritis,</w:t>
              </w:r>
            </w:hyperlink>
            <w:r>
              <w:rPr>
                <w:szCs w:val="24"/>
              </w:rPr>
              <w:t xml:space="preserve"> </w:t>
            </w:r>
            <w:hyperlink w:anchor="hyper" w:history="1">
              <w:r w:rsidRPr="000E7138">
                <w:rPr>
                  <w:rStyle w:val="Hyperlink"/>
                  <w:szCs w:val="24"/>
                </w:rPr>
                <w:t>hypermobility</w:t>
              </w:r>
            </w:hyperlink>
            <w:r>
              <w:rPr>
                <w:szCs w:val="24"/>
              </w:rPr>
              <w:t xml:space="preserve">, </w:t>
            </w:r>
            <w:hyperlink w:anchor="scoliosis" w:history="1">
              <w:r w:rsidRPr="00A80864">
                <w:rPr>
                  <w:rStyle w:val="Hyperlink"/>
                  <w:szCs w:val="24"/>
                </w:rPr>
                <w:t>scoliosis</w:t>
              </w:r>
            </w:hyperlink>
          </w:p>
        </w:tc>
        <w:tc>
          <w:tcPr>
            <w:tcW w:w="2311" w:type="dxa"/>
          </w:tcPr>
          <w:p w:rsidR="00BF1075" w:rsidRDefault="00BF1075" w:rsidP="009F7AD8">
            <w:pPr>
              <w:rPr>
                <w:szCs w:val="24"/>
              </w:rPr>
            </w:pPr>
            <w:r>
              <w:rPr>
                <w:szCs w:val="24"/>
              </w:rPr>
              <w:t>33</w:t>
            </w:r>
          </w:p>
        </w:tc>
        <w:tc>
          <w:tcPr>
            <w:tcW w:w="2311" w:type="dxa"/>
          </w:tcPr>
          <w:p w:rsidR="00BF1075" w:rsidRDefault="00BF1075" w:rsidP="009F7AD8">
            <w:pPr>
              <w:rPr>
                <w:szCs w:val="24"/>
              </w:rPr>
            </w:pPr>
            <w:r>
              <w:rPr>
                <w:szCs w:val="24"/>
              </w:rPr>
              <w:t>6%</w:t>
            </w:r>
          </w:p>
        </w:tc>
      </w:tr>
      <w:tr w:rsidR="00BF1075" w:rsidTr="009F7AD8">
        <w:tc>
          <w:tcPr>
            <w:tcW w:w="2310" w:type="dxa"/>
          </w:tcPr>
          <w:p w:rsidR="00BF1075" w:rsidRDefault="00BF1075" w:rsidP="009F7AD8">
            <w:pPr>
              <w:rPr>
                <w:szCs w:val="24"/>
              </w:rPr>
            </w:pPr>
            <w:r>
              <w:rPr>
                <w:szCs w:val="24"/>
              </w:rPr>
              <w:lastRenderedPageBreak/>
              <w:t>Sensory difficulties</w:t>
            </w:r>
          </w:p>
        </w:tc>
        <w:tc>
          <w:tcPr>
            <w:tcW w:w="2310" w:type="dxa"/>
          </w:tcPr>
          <w:p w:rsidR="00BF1075" w:rsidRPr="005F6195" w:rsidRDefault="00156E8B" w:rsidP="009F7AD8">
            <w:pPr>
              <w:rPr>
                <w:szCs w:val="24"/>
              </w:rPr>
            </w:pPr>
            <w:hyperlink w:anchor="sensory" w:history="1">
              <w:r w:rsidR="00BF1075" w:rsidRPr="00043CBA">
                <w:rPr>
                  <w:rStyle w:val="Hyperlink"/>
                  <w:szCs w:val="24"/>
                </w:rPr>
                <w:t>Sensory processing disorder</w:t>
              </w:r>
              <w:r w:rsidR="00043CBA" w:rsidRPr="00043CBA">
                <w:rPr>
                  <w:rStyle w:val="Hyperlink"/>
                  <w:szCs w:val="24"/>
                </w:rPr>
                <w:t>/sensory integration</w:t>
              </w:r>
            </w:hyperlink>
          </w:p>
        </w:tc>
        <w:tc>
          <w:tcPr>
            <w:tcW w:w="2311" w:type="dxa"/>
          </w:tcPr>
          <w:p w:rsidR="00BF1075" w:rsidRDefault="00C43133" w:rsidP="009F7AD8">
            <w:pPr>
              <w:rPr>
                <w:szCs w:val="24"/>
              </w:rPr>
            </w:pPr>
            <w:r>
              <w:rPr>
                <w:szCs w:val="24"/>
              </w:rPr>
              <w:t>41</w:t>
            </w:r>
          </w:p>
        </w:tc>
        <w:tc>
          <w:tcPr>
            <w:tcW w:w="2311" w:type="dxa"/>
          </w:tcPr>
          <w:p w:rsidR="00BF1075" w:rsidRDefault="00BF1075" w:rsidP="009F7AD8">
            <w:pPr>
              <w:rPr>
                <w:szCs w:val="24"/>
              </w:rPr>
            </w:pPr>
            <w:r>
              <w:rPr>
                <w:szCs w:val="24"/>
              </w:rPr>
              <w:t>7%</w:t>
            </w:r>
          </w:p>
        </w:tc>
      </w:tr>
      <w:tr w:rsidR="00BF1075" w:rsidTr="009F7AD8">
        <w:tc>
          <w:tcPr>
            <w:tcW w:w="2310" w:type="dxa"/>
          </w:tcPr>
          <w:p w:rsidR="00BF1075" w:rsidRDefault="00BF1075" w:rsidP="009F7AD8">
            <w:pPr>
              <w:rPr>
                <w:szCs w:val="24"/>
              </w:rPr>
            </w:pPr>
            <w:r>
              <w:rPr>
                <w:szCs w:val="24"/>
              </w:rPr>
              <w:t>Hearing impairment</w:t>
            </w:r>
          </w:p>
        </w:tc>
        <w:tc>
          <w:tcPr>
            <w:tcW w:w="2310" w:type="dxa"/>
          </w:tcPr>
          <w:p w:rsidR="00BF1075" w:rsidRDefault="00BF1075" w:rsidP="009F7AD8">
            <w:pPr>
              <w:rPr>
                <w:szCs w:val="24"/>
              </w:rPr>
            </w:pPr>
          </w:p>
        </w:tc>
        <w:tc>
          <w:tcPr>
            <w:tcW w:w="2311" w:type="dxa"/>
          </w:tcPr>
          <w:p w:rsidR="00BF1075" w:rsidRDefault="00BF1075" w:rsidP="009F7AD8">
            <w:pPr>
              <w:rPr>
                <w:szCs w:val="24"/>
              </w:rPr>
            </w:pPr>
            <w:r>
              <w:rPr>
                <w:szCs w:val="24"/>
              </w:rPr>
              <w:t>28</w:t>
            </w:r>
          </w:p>
        </w:tc>
        <w:tc>
          <w:tcPr>
            <w:tcW w:w="2311" w:type="dxa"/>
          </w:tcPr>
          <w:p w:rsidR="00BF1075" w:rsidRDefault="00BF1075" w:rsidP="009F7AD8">
            <w:pPr>
              <w:rPr>
                <w:szCs w:val="24"/>
              </w:rPr>
            </w:pPr>
            <w:r>
              <w:rPr>
                <w:szCs w:val="24"/>
              </w:rPr>
              <w:t>5%</w:t>
            </w:r>
          </w:p>
        </w:tc>
      </w:tr>
      <w:tr w:rsidR="00BF1075" w:rsidTr="009F7AD8">
        <w:tc>
          <w:tcPr>
            <w:tcW w:w="2310" w:type="dxa"/>
          </w:tcPr>
          <w:p w:rsidR="00BF1075" w:rsidRDefault="00BF1075" w:rsidP="009F7AD8">
            <w:pPr>
              <w:rPr>
                <w:szCs w:val="24"/>
              </w:rPr>
            </w:pPr>
            <w:r>
              <w:rPr>
                <w:szCs w:val="24"/>
              </w:rPr>
              <w:t>Visual impairment</w:t>
            </w:r>
          </w:p>
        </w:tc>
        <w:tc>
          <w:tcPr>
            <w:tcW w:w="2310" w:type="dxa"/>
          </w:tcPr>
          <w:p w:rsidR="00BF1075" w:rsidRDefault="00BF1075" w:rsidP="009F7AD8">
            <w:pPr>
              <w:rPr>
                <w:szCs w:val="24"/>
              </w:rPr>
            </w:pPr>
          </w:p>
        </w:tc>
        <w:tc>
          <w:tcPr>
            <w:tcW w:w="2311" w:type="dxa"/>
          </w:tcPr>
          <w:p w:rsidR="00BF1075" w:rsidRDefault="00BF1075" w:rsidP="009F7AD8">
            <w:pPr>
              <w:rPr>
                <w:szCs w:val="24"/>
              </w:rPr>
            </w:pPr>
            <w:r>
              <w:rPr>
                <w:szCs w:val="24"/>
              </w:rPr>
              <w:t>39</w:t>
            </w:r>
          </w:p>
        </w:tc>
        <w:tc>
          <w:tcPr>
            <w:tcW w:w="2311" w:type="dxa"/>
          </w:tcPr>
          <w:p w:rsidR="00BF1075" w:rsidRDefault="00BF1075" w:rsidP="009F7AD8">
            <w:pPr>
              <w:rPr>
                <w:szCs w:val="24"/>
              </w:rPr>
            </w:pPr>
            <w:r>
              <w:rPr>
                <w:szCs w:val="24"/>
              </w:rPr>
              <w:t>7%</w:t>
            </w:r>
          </w:p>
        </w:tc>
      </w:tr>
      <w:tr w:rsidR="00BF1075" w:rsidTr="009F7AD8">
        <w:tc>
          <w:tcPr>
            <w:tcW w:w="2310" w:type="dxa"/>
          </w:tcPr>
          <w:p w:rsidR="00BF1075" w:rsidRDefault="00BF1075" w:rsidP="009F7AD8">
            <w:pPr>
              <w:rPr>
                <w:szCs w:val="24"/>
              </w:rPr>
            </w:pPr>
            <w:r>
              <w:rPr>
                <w:szCs w:val="24"/>
              </w:rPr>
              <w:t>Bladder and Bowel</w:t>
            </w:r>
          </w:p>
        </w:tc>
        <w:tc>
          <w:tcPr>
            <w:tcW w:w="2310" w:type="dxa"/>
          </w:tcPr>
          <w:p w:rsidR="00BF1075" w:rsidRDefault="00156E8B" w:rsidP="009F7AD8">
            <w:pPr>
              <w:rPr>
                <w:szCs w:val="24"/>
              </w:rPr>
            </w:pPr>
            <w:hyperlink w:anchor="hirch" w:history="1">
              <w:r w:rsidR="00BF1075" w:rsidRPr="006C1A1B">
                <w:rPr>
                  <w:rStyle w:val="Hyperlink"/>
                  <w:szCs w:val="24"/>
                </w:rPr>
                <w:t>Hirchsprung’s</w:t>
              </w:r>
            </w:hyperlink>
            <w:r w:rsidR="00BF1075">
              <w:rPr>
                <w:szCs w:val="24"/>
              </w:rPr>
              <w:t xml:space="preserve"> </w:t>
            </w:r>
          </w:p>
        </w:tc>
        <w:tc>
          <w:tcPr>
            <w:tcW w:w="2311" w:type="dxa"/>
          </w:tcPr>
          <w:p w:rsidR="00BF1075" w:rsidRDefault="00BF1075" w:rsidP="009F7AD8">
            <w:pPr>
              <w:rPr>
                <w:szCs w:val="24"/>
              </w:rPr>
            </w:pPr>
            <w:r>
              <w:rPr>
                <w:szCs w:val="24"/>
              </w:rPr>
              <w:t>14</w:t>
            </w:r>
          </w:p>
        </w:tc>
        <w:tc>
          <w:tcPr>
            <w:tcW w:w="2311" w:type="dxa"/>
          </w:tcPr>
          <w:p w:rsidR="00BF1075" w:rsidRDefault="00BF1075" w:rsidP="009F7AD8">
            <w:pPr>
              <w:rPr>
                <w:szCs w:val="24"/>
              </w:rPr>
            </w:pPr>
            <w:r>
              <w:rPr>
                <w:szCs w:val="24"/>
              </w:rPr>
              <w:t>2%</w:t>
            </w:r>
          </w:p>
        </w:tc>
      </w:tr>
      <w:tr w:rsidR="00BF1075" w:rsidTr="009F7AD8">
        <w:tc>
          <w:tcPr>
            <w:tcW w:w="2310" w:type="dxa"/>
          </w:tcPr>
          <w:p w:rsidR="00BF1075" w:rsidRDefault="00BF1075" w:rsidP="009F7AD8">
            <w:pPr>
              <w:rPr>
                <w:szCs w:val="24"/>
              </w:rPr>
            </w:pPr>
            <w:r>
              <w:rPr>
                <w:szCs w:val="24"/>
              </w:rPr>
              <w:t>Metabolic</w:t>
            </w:r>
          </w:p>
        </w:tc>
        <w:tc>
          <w:tcPr>
            <w:tcW w:w="2310" w:type="dxa"/>
          </w:tcPr>
          <w:p w:rsidR="00BF1075" w:rsidRDefault="00156E8B" w:rsidP="009F7AD8">
            <w:pPr>
              <w:rPr>
                <w:szCs w:val="24"/>
              </w:rPr>
            </w:pPr>
            <w:hyperlink w:anchor="batten" w:history="1">
              <w:r w:rsidR="00BF1075" w:rsidRPr="000B7B31">
                <w:rPr>
                  <w:rStyle w:val="Hyperlink"/>
                  <w:szCs w:val="24"/>
                </w:rPr>
                <w:t>Batt</w:t>
              </w:r>
              <w:r w:rsidR="000B7B31" w:rsidRPr="000B7B31">
                <w:rPr>
                  <w:rStyle w:val="Hyperlink"/>
                  <w:szCs w:val="24"/>
                </w:rPr>
                <w:t>en</w:t>
              </w:r>
              <w:r w:rsidR="00BF1075" w:rsidRPr="000B7B31">
                <w:rPr>
                  <w:rStyle w:val="Hyperlink"/>
                  <w:szCs w:val="24"/>
                </w:rPr>
                <w:t xml:space="preserve"> disease</w:t>
              </w:r>
            </w:hyperlink>
            <w:r w:rsidR="00BF1075">
              <w:rPr>
                <w:szCs w:val="24"/>
              </w:rPr>
              <w:t xml:space="preserve">, </w:t>
            </w:r>
            <w:hyperlink w:anchor="sickle" w:history="1">
              <w:r w:rsidR="00BF1075" w:rsidRPr="00043CBA">
                <w:rPr>
                  <w:rStyle w:val="Hyperlink"/>
                  <w:szCs w:val="24"/>
                </w:rPr>
                <w:t>Sickle Cell</w:t>
              </w:r>
            </w:hyperlink>
            <w:r w:rsidR="00BF1075">
              <w:rPr>
                <w:szCs w:val="24"/>
              </w:rPr>
              <w:t xml:space="preserve">, </w:t>
            </w:r>
            <w:hyperlink w:anchor="infantile" w:history="1">
              <w:r w:rsidR="00BF1075" w:rsidRPr="00336438">
                <w:rPr>
                  <w:rStyle w:val="Hyperlink"/>
                  <w:szCs w:val="24"/>
                </w:rPr>
                <w:t>Infantile Parkinsonism</w:t>
              </w:r>
            </w:hyperlink>
          </w:p>
        </w:tc>
        <w:tc>
          <w:tcPr>
            <w:tcW w:w="2311" w:type="dxa"/>
          </w:tcPr>
          <w:p w:rsidR="00BF1075" w:rsidRDefault="00BF1075" w:rsidP="009F7AD8">
            <w:pPr>
              <w:rPr>
                <w:szCs w:val="24"/>
              </w:rPr>
            </w:pPr>
            <w:r>
              <w:rPr>
                <w:szCs w:val="24"/>
              </w:rPr>
              <w:t>10</w:t>
            </w:r>
          </w:p>
        </w:tc>
        <w:tc>
          <w:tcPr>
            <w:tcW w:w="2311" w:type="dxa"/>
          </w:tcPr>
          <w:p w:rsidR="00BF1075" w:rsidRDefault="00BF1075" w:rsidP="009F7AD8">
            <w:pPr>
              <w:rPr>
                <w:szCs w:val="24"/>
              </w:rPr>
            </w:pPr>
            <w:r>
              <w:rPr>
                <w:szCs w:val="24"/>
              </w:rPr>
              <w:t>2%</w:t>
            </w:r>
          </w:p>
        </w:tc>
      </w:tr>
      <w:tr w:rsidR="00BF1075" w:rsidTr="009F7AD8">
        <w:tc>
          <w:tcPr>
            <w:tcW w:w="2310" w:type="dxa"/>
          </w:tcPr>
          <w:p w:rsidR="00BF1075" w:rsidRDefault="00BF1075" w:rsidP="009F7AD8">
            <w:pPr>
              <w:rPr>
                <w:szCs w:val="24"/>
              </w:rPr>
            </w:pPr>
            <w:r>
              <w:rPr>
                <w:szCs w:val="24"/>
              </w:rPr>
              <w:t>Respiratory</w:t>
            </w:r>
          </w:p>
        </w:tc>
        <w:tc>
          <w:tcPr>
            <w:tcW w:w="2310" w:type="dxa"/>
          </w:tcPr>
          <w:p w:rsidR="00BF1075" w:rsidRDefault="00156E8B" w:rsidP="009F7AD8">
            <w:pPr>
              <w:rPr>
                <w:szCs w:val="24"/>
              </w:rPr>
            </w:pPr>
            <w:hyperlink w:anchor="cystic" w:history="1">
              <w:r w:rsidR="00BF1075" w:rsidRPr="00080280">
                <w:rPr>
                  <w:rStyle w:val="Hyperlink"/>
                  <w:szCs w:val="24"/>
                </w:rPr>
                <w:t>Cystic Fibrosis</w:t>
              </w:r>
            </w:hyperlink>
          </w:p>
        </w:tc>
        <w:tc>
          <w:tcPr>
            <w:tcW w:w="2311" w:type="dxa"/>
          </w:tcPr>
          <w:p w:rsidR="00BF1075" w:rsidRDefault="00BF1075" w:rsidP="009F7AD8">
            <w:pPr>
              <w:rPr>
                <w:szCs w:val="24"/>
              </w:rPr>
            </w:pPr>
            <w:r>
              <w:rPr>
                <w:szCs w:val="24"/>
              </w:rPr>
              <w:t>11</w:t>
            </w:r>
          </w:p>
        </w:tc>
        <w:tc>
          <w:tcPr>
            <w:tcW w:w="2311" w:type="dxa"/>
          </w:tcPr>
          <w:p w:rsidR="00BF1075" w:rsidRDefault="00BF1075" w:rsidP="009F7AD8">
            <w:pPr>
              <w:rPr>
                <w:szCs w:val="24"/>
              </w:rPr>
            </w:pPr>
            <w:r>
              <w:rPr>
                <w:szCs w:val="24"/>
              </w:rPr>
              <w:t>2%</w:t>
            </w:r>
          </w:p>
        </w:tc>
      </w:tr>
      <w:tr w:rsidR="00BF1075" w:rsidTr="009F7AD8">
        <w:tc>
          <w:tcPr>
            <w:tcW w:w="2310" w:type="dxa"/>
          </w:tcPr>
          <w:p w:rsidR="00BF1075" w:rsidRDefault="00BF1075" w:rsidP="009F7AD8">
            <w:pPr>
              <w:rPr>
                <w:szCs w:val="24"/>
              </w:rPr>
            </w:pPr>
            <w:r>
              <w:rPr>
                <w:szCs w:val="24"/>
              </w:rPr>
              <w:t>Cardiac</w:t>
            </w:r>
          </w:p>
        </w:tc>
        <w:tc>
          <w:tcPr>
            <w:tcW w:w="2310" w:type="dxa"/>
          </w:tcPr>
          <w:p w:rsidR="00BF1075" w:rsidRDefault="00BF1075" w:rsidP="009F7AD8">
            <w:pPr>
              <w:rPr>
                <w:szCs w:val="24"/>
              </w:rPr>
            </w:pPr>
          </w:p>
        </w:tc>
        <w:tc>
          <w:tcPr>
            <w:tcW w:w="2311" w:type="dxa"/>
          </w:tcPr>
          <w:p w:rsidR="00BF1075" w:rsidRDefault="00BF1075" w:rsidP="009F7AD8">
            <w:pPr>
              <w:rPr>
                <w:szCs w:val="24"/>
              </w:rPr>
            </w:pPr>
            <w:r>
              <w:rPr>
                <w:szCs w:val="24"/>
              </w:rPr>
              <w:t>8</w:t>
            </w:r>
          </w:p>
        </w:tc>
        <w:tc>
          <w:tcPr>
            <w:tcW w:w="2311" w:type="dxa"/>
          </w:tcPr>
          <w:p w:rsidR="00BF1075" w:rsidRDefault="00BF1075" w:rsidP="009F7AD8">
            <w:pPr>
              <w:rPr>
                <w:szCs w:val="24"/>
              </w:rPr>
            </w:pPr>
            <w:r>
              <w:rPr>
                <w:szCs w:val="24"/>
              </w:rPr>
              <w:t>1%</w:t>
            </w:r>
          </w:p>
        </w:tc>
      </w:tr>
      <w:tr w:rsidR="00BF1075" w:rsidTr="009F7AD8">
        <w:tc>
          <w:tcPr>
            <w:tcW w:w="2310" w:type="dxa"/>
          </w:tcPr>
          <w:p w:rsidR="00BF1075" w:rsidRDefault="00BF1075" w:rsidP="009F7AD8">
            <w:pPr>
              <w:rPr>
                <w:szCs w:val="24"/>
              </w:rPr>
            </w:pPr>
            <w:r>
              <w:rPr>
                <w:szCs w:val="24"/>
              </w:rPr>
              <w:t>Cancer</w:t>
            </w:r>
          </w:p>
        </w:tc>
        <w:tc>
          <w:tcPr>
            <w:tcW w:w="2310" w:type="dxa"/>
          </w:tcPr>
          <w:p w:rsidR="00BF1075" w:rsidRDefault="00BF1075" w:rsidP="009F7AD8">
            <w:pPr>
              <w:rPr>
                <w:szCs w:val="24"/>
              </w:rPr>
            </w:pPr>
          </w:p>
        </w:tc>
        <w:tc>
          <w:tcPr>
            <w:tcW w:w="2311" w:type="dxa"/>
          </w:tcPr>
          <w:p w:rsidR="00BF1075" w:rsidRDefault="00BF1075" w:rsidP="009F7AD8">
            <w:pPr>
              <w:rPr>
                <w:szCs w:val="24"/>
              </w:rPr>
            </w:pPr>
            <w:r>
              <w:rPr>
                <w:szCs w:val="24"/>
              </w:rPr>
              <w:t>7</w:t>
            </w:r>
          </w:p>
        </w:tc>
        <w:tc>
          <w:tcPr>
            <w:tcW w:w="2311" w:type="dxa"/>
          </w:tcPr>
          <w:p w:rsidR="00BF1075" w:rsidRDefault="00BF1075" w:rsidP="009F7AD8">
            <w:pPr>
              <w:rPr>
                <w:szCs w:val="24"/>
              </w:rPr>
            </w:pPr>
            <w:r>
              <w:rPr>
                <w:szCs w:val="24"/>
              </w:rPr>
              <w:t>1%</w:t>
            </w:r>
          </w:p>
        </w:tc>
      </w:tr>
      <w:tr w:rsidR="00BF1075" w:rsidTr="009F7AD8">
        <w:tc>
          <w:tcPr>
            <w:tcW w:w="2310" w:type="dxa"/>
          </w:tcPr>
          <w:p w:rsidR="00BF1075" w:rsidRDefault="00BF1075" w:rsidP="009F7AD8">
            <w:pPr>
              <w:rPr>
                <w:szCs w:val="24"/>
              </w:rPr>
            </w:pPr>
            <w:r>
              <w:rPr>
                <w:szCs w:val="24"/>
              </w:rPr>
              <w:t>Renal</w:t>
            </w:r>
          </w:p>
        </w:tc>
        <w:tc>
          <w:tcPr>
            <w:tcW w:w="2310" w:type="dxa"/>
          </w:tcPr>
          <w:p w:rsidR="00BF1075" w:rsidRDefault="00BF1075" w:rsidP="009F7AD8">
            <w:pPr>
              <w:rPr>
                <w:szCs w:val="24"/>
              </w:rPr>
            </w:pPr>
          </w:p>
        </w:tc>
        <w:tc>
          <w:tcPr>
            <w:tcW w:w="2311" w:type="dxa"/>
          </w:tcPr>
          <w:p w:rsidR="00BF1075" w:rsidRDefault="00BF1075" w:rsidP="009F7AD8">
            <w:pPr>
              <w:rPr>
                <w:szCs w:val="24"/>
              </w:rPr>
            </w:pPr>
            <w:r>
              <w:rPr>
                <w:szCs w:val="24"/>
              </w:rPr>
              <w:t>4</w:t>
            </w:r>
          </w:p>
        </w:tc>
        <w:tc>
          <w:tcPr>
            <w:tcW w:w="2311" w:type="dxa"/>
          </w:tcPr>
          <w:p w:rsidR="00BF1075" w:rsidRDefault="00BF1075" w:rsidP="009F7AD8">
            <w:pPr>
              <w:rPr>
                <w:szCs w:val="24"/>
              </w:rPr>
            </w:pPr>
            <w:r>
              <w:rPr>
                <w:szCs w:val="24"/>
              </w:rPr>
              <w:t>1%</w:t>
            </w:r>
          </w:p>
        </w:tc>
      </w:tr>
    </w:tbl>
    <w:p w:rsidR="00BF5EDB" w:rsidRDefault="00BF5EDB" w:rsidP="00BF5EDB">
      <w:pPr>
        <w:pStyle w:val="Caption"/>
        <w:rPr>
          <w:szCs w:val="24"/>
        </w:rPr>
      </w:pPr>
      <w:r>
        <w:t xml:space="preserve">Figure </w:t>
      </w:r>
      <w:r w:rsidR="00156E8B">
        <w:fldChar w:fldCharType="begin"/>
      </w:r>
      <w:r w:rsidR="00156E8B">
        <w:instrText xml:space="preserve"> SEQ Figure \* ARABIC </w:instrText>
      </w:r>
      <w:r w:rsidR="00156E8B">
        <w:fldChar w:fldCharType="separate"/>
      </w:r>
      <w:r w:rsidR="005C553C">
        <w:rPr>
          <w:noProof/>
        </w:rPr>
        <w:t>34</w:t>
      </w:r>
      <w:r w:rsidR="00156E8B">
        <w:rPr>
          <w:noProof/>
        </w:rPr>
        <w:fldChar w:fldCharType="end"/>
      </w:r>
      <w:r>
        <w:t xml:space="preserve"> Frameworki caseload</w:t>
      </w:r>
    </w:p>
    <w:p w:rsidR="00BF1075" w:rsidRDefault="00BF1075" w:rsidP="009F7AD8">
      <w:pPr>
        <w:rPr>
          <w:szCs w:val="24"/>
        </w:rPr>
      </w:pPr>
      <w:r>
        <w:rPr>
          <w:szCs w:val="24"/>
        </w:rPr>
        <w:t>(Percentages add up to more than 100 as</w:t>
      </w:r>
      <w:r w:rsidR="00815DA7">
        <w:rPr>
          <w:szCs w:val="24"/>
        </w:rPr>
        <w:t xml:space="preserve"> some</w:t>
      </w:r>
      <w:r>
        <w:rPr>
          <w:szCs w:val="24"/>
        </w:rPr>
        <w:t xml:space="preserve"> children have more than one disability)</w:t>
      </w:r>
    </w:p>
    <w:p w:rsidR="00BF1075" w:rsidRDefault="00BF1075" w:rsidP="00BF1075">
      <w:pPr>
        <w:jc w:val="right"/>
        <w:rPr>
          <w:szCs w:val="24"/>
        </w:rPr>
      </w:pPr>
    </w:p>
    <w:p w:rsidR="00BF1075" w:rsidRDefault="005C553C" w:rsidP="009F7AD8">
      <w:pPr>
        <w:rPr>
          <w:szCs w:val="24"/>
        </w:rPr>
      </w:pPr>
      <w:r>
        <w:rPr>
          <w:szCs w:val="24"/>
        </w:rPr>
        <w:t>Figure 35 shows i</w:t>
      </w:r>
      <w:r w:rsidR="00BF1075">
        <w:rPr>
          <w:szCs w:val="24"/>
        </w:rPr>
        <w:t>ndividual disorders/disabilities</w:t>
      </w:r>
      <w:r w:rsidR="009F7AD8">
        <w:rPr>
          <w:szCs w:val="24"/>
        </w:rPr>
        <w:t xml:space="preserve"> </w:t>
      </w:r>
      <w:r w:rsidR="00BF1075">
        <w:rPr>
          <w:szCs w:val="24"/>
        </w:rPr>
        <w:t>of note:</w:t>
      </w:r>
    </w:p>
    <w:tbl>
      <w:tblPr>
        <w:tblStyle w:val="TableGrid"/>
        <w:tblW w:w="0" w:type="auto"/>
        <w:tblLook w:val="04A0" w:firstRow="1" w:lastRow="0" w:firstColumn="1" w:lastColumn="0" w:noHBand="0" w:noVBand="1"/>
      </w:tblPr>
      <w:tblGrid>
        <w:gridCol w:w="3080"/>
        <w:gridCol w:w="3081"/>
        <w:gridCol w:w="3081"/>
      </w:tblGrid>
      <w:tr w:rsidR="00BF1075" w:rsidRPr="004459D7" w:rsidTr="009F7AD8">
        <w:tc>
          <w:tcPr>
            <w:tcW w:w="3080" w:type="dxa"/>
          </w:tcPr>
          <w:p w:rsidR="00BF1075" w:rsidRPr="004459D7" w:rsidRDefault="00BF1075" w:rsidP="009F7AD8">
            <w:pPr>
              <w:rPr>
                <w:b/>
                <w:szCs w:val="24"/>
              </w:rPr>
            </w:pPr>
            <w:r w:rsidRPr="004459D7">
              <w:rPr>
                <w:b/>
                <w:szCs w:val="24"/>
              </w:rPr>
              <w:t>Disorder/disability</w:t>
            </w:r>
          </w:p>
        </w:tc>
        <w:tc>
          <w:tcPr>
            <w:tcW w:w="3081" w:type="dxa"/>
          </w:tcPr>
          <w:p w:rsidR="00BF1075" w:rsidRPr="004459D7" w:rsidRDefault="00BF1075" w:rsidP="009F7AD8">
            <w:pPr>
              <w:rPr>
                <w:b/>
                <w:szCs w:val="24"/>
              </w:rPr>
            </w:pPr>
            <w:r w:rsidRPr="004459D7">
              <w:rPr>
                <w:b/>
                <w:szCs w:val="24"/>
              </w:rPr>
              <w:t xml:space="preserve">Number </w:t>
            </w:r>
          </w:p>
        </w:tc>
        <w:tc>
          <w:tcPr>
            <w:tcW w:w="3081" w:type="dxa"/>
          </w:tcPr>
          <w:p w:rsidR="00BF1075" w:rsidRPr="004459D7" w:rsidRDefault="00BF1075" w:rsidP="009F7AD8">
            <w:pPr>
              <w:rPr>
                <w:b/>
                <w:szCs w:val="24"/>
              </w:rPr>
            </w:pPr>
            <w:r w:rsidRPr="004459D7">
              <w:rPr>
                <w:b/>
                <w:szCs w:val="24"/>
              </w:rPr>
              <w:t>Percentage</w:t>
            </w:r>
          </w:p>
        </w:tc>
      </w:tr>
      <w:tr w:rsidR="00BF1075" w:rsidTr="009F7AD8">
        <w:tc>
          <w:tcPr>
            <w:tcW w:w="3080" w:type="dxa"/>
          </w:tcPr>
          <w:p w:rsidR="00BF1075" w:rsidRDefault="00BF1075" w:rsidP="009F7AD8">
            <w:pPr>
              <w:rPr>
                <w:szCs w:val="24"/>
              </w:rPr>
            </w:pPr>
            <w:r>
              <w:rPr>
                <w:szCs w:val="24"/>
              </w:rPr>
              <w:t>ASD</w:t>
            </w:r>
          </w:p>
        </w:tc>
        <w:tc>
          <w:tcPr>
            <w:tcW w:w="3081" w:type="dxa"/>
          </w:tcPr>
          <w:p w:rsidR="00BF1075" w:rsidRDefault="00C43133" w:rsidP="009F7AD8">
            <w:pPr>
              <w:rPr>
                <w:szCs w:val="24"/>
              </w:rPr>
            </w:pPr>
            <w:r>
              <w:rPr>
                <w:szCs w:val="24"/>
              </w:rPr>
              <w:t>200</w:t>
            </w:r>
          </w:p>
        </w:tc>
        <w:tc>
          <w:tcPr>
            <w:tcW w:w="3081" w:type="dxa"/>
          </w:tcPr>
          <w:p w:rsidR="00BF1075" w:rsidRDefault="00C43133" w:rsidP="009F7AD8">
            <w:pPr>
              <w:rPr>
                <w:szCs w:val="24"/>
              </w:rPr>
            </w:pPr>
            <w:r>
              <w:rPr>
                <w:szCs w:val="24"/>
              </w:rPr>
              <w:t>34</w:t>
            </w:r>
            <w:r w:rsidR="00BF1075">
              <w:rPr>
                <w:szCs w:val="24"/>
              </w:rPr>
              <w:t>%</w:t>
            </w:r>
          </w:p>
        </w:tc>
      </w:tr>
      <w:tr w:rsidR="00BF1075" w:rsidTr="009F7AD8">
        <w:tc>
          <w:tcPr>
            <w:tcW w:w="3080" w:type="dxa"/>
          </w:tcPr>
          <w:p w:rsidR="00BF1075" w:rsidRDefault="00BF1075" w:rsidP="009F7AD8">
            <w:pPr>
              <w:rPr>
                <w:szCs w:val="24"/>
              </w:rPr>
            </w:pPr>
            <w:r>
              <w:rPr>
                <w:szCs w:val="24"/>
              </w:rPr>
              <w:t>Epilepsy</w:t>
            </w:r>
          </w:p>
        </w:tc>
        <w:tc>
          <w:tcPr>
            <w:tcW w:w="3081" w:type="dxa"/>
          </w:tcPr>
          <w:p w:rsidR="00BF1075" w:rsidRDefault="00BF1075" w:rsidP="009F7AD8">
            <w:pPr>
              <w:rPr>
                <w:szCs w:val="24"/>
              </w:rPr>
            </w:pPr>
            <w:r>
              <w:rPr>
                <w:szCs w:val="24"/>
              </w:rPr>
              <w:t>46</w:t>
            </w:r>
          </w:p>
        </w:tc>
        <w:tc>
          <w:tcPr>
            <w:tcW w:w="3081" w:type="dxa"/>
          </w:tcPr>
          <w:p w:rsidR="00BF1075" w:rsidRDefault="00BF1075" w:rsidP="009F7AD8">
            <w:pPr>
              <w:rPr>
                <w:szCs w:val="24"/>
              </w:rPr>
            </w:pPr>
            <w:r>
              <w:rPr>
                <w:szCs w:val="24"/>
              </w:rPr>
              <w:t>8%</w:t>
            </w:r>
          </w:p>
        </w:tc>
      </w:tr>
      <w:tr w:rsidR="00BF1075" w:rsidTr="009F7AD8">
        <w:tc>
          <w:tcPr>
            <w:tcW w:w="3080" w:type="dxa"/>
          </w:tcPr>
          <w:p w:rsidR="00BF1075" w:rsidRDefault="00BF1075" w:rsidP="009F7AD8">
            <w:pPr>
              <w:rPr>
                <w:szCs w:val="24"/>
              </w:rPr>
            </w:pPr>
            <w:r>
              <w:rPr>
                <w:szCs w:val="24"/>
              </w:rPr>
              <w:t>Cerebral Palsy</w:t>
            </w:r>
          </w:p>
        </w:tc>
        <w:tc>
          <w:tcPr>
            <w:tcW w:w="3081" w:type="dxa"/>
          </w:tcPr>
          <w:p w:rsidR="00BF1075" w:rsidRDefault="00BF1075" w:rsidP="009F7AD8">
            <w:pPr>
              <w:rPr>
                <w:szCs w:val="24"/>
              </w:rPr>
            </w:pPr>
            <w:r>
              <w:rPr>
                <w:szCs w:val="24"/>
              </w:rPr>
              <w:t>15</w:t>
            </w:r>
          </w:p>
        </w:tc>
        <w:tc>
          <w:tcPr>
            <w:tcW w:w="3081" w:type="dxa"/>
          </w:tcPr>
          <w:p w:rsidR="00BF1075" w:rsidRDefault="00BF1075" w:rsidP="009F7AD8">
            <w:pPr>
              <w:rPr>
                <w:szCs w:val="24"/>
              </w:rPr>
            </w:pPr>
            <w:r>
              <w:rPr>
                <w:szCs w:val="24"/>
              </w:rPr>
              <w:t>3%</w:t>
            </w:r>
          </w:p>
        </w:tc>
      </w:tr>
      <w:tr w:rsidR="00BF1075" w:rsidTr="009F7AD8">
        <w:tc>
          <w:tcPr>
            <w:tcW w:w="3080" w:type="dxa"/>
          </w:tcPr>
          <w:p w:rsidR="00BF1075" w:rsidRDefault="00BF1075" w:rsidP="009F7AD8">
            <w:pPr>
              <w:rPr>
                <w:szCs w:val="24"/>
              </w:rPr>
            </w:pPr>
            <w:r>
              <w:rPr>
                <w:szCs w:val="24"/>
              </w:rPr>
              <w:t>Down Syndrome</w:t>
            </w:r>
          </w:p>
        </w:tc>
        <w:tc>
          <w:tcPr>
            <w:tcW w:w="3081" w:type="dxa"/>
          </w:tcPr>
          <w:p w:rsidR="00BF1075" w:rsidRDefault="00BF1075" w:rsidP="009F7AD8">
            <w:pPr>
              <w:rPr>
                <w:szCs w:val="24"/>
              </w:rPr>
            </w:pPr>
            <w:r>
              <w:rPr>
                <w:szCs w:val="24"/>
              </w:rPr>
              <w:t>17</w:t>
            </w:r>
          </w:p>
        </w:tc>
        <w:tc>
          <w:tcPr>
            <w:tcW w:w="3081" w:type="dxa"/>
          </w:tcPr>
          <w:p w:rsidR="00BF1075" w:rsidRDefault="00BF1075" w:rsidP="009F7AD8">
            <w:pPr>
              <w:rPr>
                <w:szCs w:val="24"/>
              </w:rPr>
            </w:pPr>
            <w:r>
              <w:rPr>
                <w:szCs w:val="24"/>
              </w:rPr>
              <w:t>3%</w:t>
            </w:r>
          </w:p>
        </w:tc>
      </w:tr>
      <w:tr w:rsidR="00BF1075" w:rsidTr="009F7AD8">
        <w:tc>
          <w:tcPr>
            <w:tcW w:w="3080" w:type="dxa"/>
          </w:tcPr>
          <w:p w:rsidR="00BF1075" w:rsidRDefault="00BF1075" w:rsidP="009F7AD8">
            <w:pPr>
              <w:rPr>
                <w:szCs w:val="24"/>
              </w:rPr>
            </w:pPr>
            <w:r>
              <w:rPr>
                <w:szCs w:val="24"/>
              </w:rPr>
              <w:t>Cystic Fibrosis</w:t>
            </w:r>
          </w:p>
        </w:tc>
        <w:tc>
          <w:tcPr>
            <w:tcW w:w="3081" w:type="dxa"/>
          </w:tcPr>
          <w:p w:rsidR="00BF1075" w:rsidRDefault="00BF1075" w:rsidP="009F7AD8">
            <w:pPr>
              <w:rPr>
                <w:szCs w:val="24"/>
              </w:rPr>
            </w:pPr>
            <w:r>
              <w:rPr>
                <w:szCs w:val="24"/>
              </w:rPr>
              <w:t>4</w:t>
            </w:r>
          </w:p>
        </w:tc>
        <w:tc>
          <w:tcPr>
            <w:tcW w:w="3081" w:type="dxa"/>
          </w:tcPr>
          <w:p w:rsidR="00BF1075" w:rsidRDefault="00BF1075" w:rsidP="009F7AD8">
            <w:pPr>
              <w:rPr>
                <w:szCs w:val="24"/>
              </w:rPr>
            </w:pPr>
            <w:r>
              <w:rPr>
                <w:szCs w:val="24"/>
              </w:rPr>
              <w:t>0.6%</w:t>
            </w:r>
          </w:p>
        </w:tc>
      </w:tr>
    </w:tbl>
    <w:p w:rsidR="00BA4F24" w:rsidRDefault="005C553C" w:rsidP="005C553C">
      <w:pPr>
        <w:pStyle w:val="Caption"/>
      </w:pPr>
      <w:r>
        <w:t xml:space="preserve">Figure </w:t>
      </w:r>
      <w:r w:rsidR="00156E8B">
        <w:fldChar w:fldCharType="begin"/>
      </w:r>
      <w:r w:rsidR="00156E8B">
        <w:instrText xml:space="preserve"> SEQ Figure \* ARABIC </w:instrText>
      </w:r>
      <w:r w:rsidR="00156E8B">
        <w:fldChar w:fldCharType="separate"/>
      </w:r>
      <w:r>
        <w:rPr>
          <w:noProof/>
        </w:rPr>
        <w:t>35</w:t>
      </w:r>
      <w:r w:rsidR="00156E8B">
        <w:rPr>
          <w:noProof/>
        </w:rPr>
        <w:fldChar w:fldCharType="end"/>
      </w:r>
      <w:r>
        <w:t xml:space="preserve"> Disorders and disabilities of note within the caseload</w:t>
      </w:r>
    </w:p>
    <w:p w:rsidR="00BA4F24" w:rsidRDefault="00BA4F24" w:rsidP="00BA4F24">
      <w:pPr>
        <w:rPr>
          <w:rFonts w:cs="Arial"/>
        </w:rPr>
      </w:pPr>
      <w:r w:rsidRPr="000671CE">
        <w:rPr>
          <w:rFonts w:cs="Arial"/>
        </w:rPr>
        <w:t>Aut Even is a specialised respite provision in Medway for children and</w:t>
      </w:r>
      <w:r>
        <w:rPr>
          <w:rFonts w:cs="Arial"/>
        </w:rPr>
        <w:t xml:space="preserve"> young people with disabilities, offering overnight as well as day breaks.  A recent examination of their current caseload shows that over half the children and young people requiring overnight respite have ASD, and many display extremely challenging behaviours.  Around a quarter have complex physical disabilities requiring nursing care.  A fifth are identified as being learning disabled, and a fifth as having Global Developmental Delay.</w:t>
      </w:r>
    </w:p>
    <w:p w:rsidR="00DB66C0" w:rsidRPr="00F43475" w:rsidRDefault="00412B2E" w:rsidP="009F7AD8">
      <w:pPr>
        <w:pStyle w:val="Heading1"/>
        <w:rPr>
          <w:u w:val="single"/>
        </w:rPr>
      </w:pPr>
      <w:bookmarkStart w:id="40" w:name="_Toc434938051"/>
      <w:r>
        <w:t xml:space="preserve">NHS At Home: </w:t>
      </w:r>
      <w:hyperlink w:anchor="limiting" w:history="1">
        <w:r w:rsidR="00DB66C0" w:rsidRPr="0055493A">
          <w:rPr>
            <w:rStyle w:val="Hyperlink"/>
          </w:rPr>
          <w:t>Life limiting</w:t>
        </w:r>
      </w:hyperlink>
      <w:r w:rsidR="00FA435E">
        <w:t>/</w:t>
      </w:r>
      <w:hyperlink w:anchor="threat" w:history="1">
        <w:r w:rsidR="00DB66C0" w:rsidRPr="0055493A">
          <w:rPr>
            <w:rStyle w:val="Hyperlink"/>
          </w:rPr>
          <w:t>life threatening illness</w:t>
        </w:r>
      </w:hyperlink>
      <w:r w:rsidR="00DB66C0" w:rsidRPr="0077160B">
        <w:t xml:space="preserve"> including palliative</w:t>
      </w:r>
      <w:r w:rsidR="00FA435E">
        <w:t>/</w:t>
      </w:r>
      <w:hyperlink w:anchor="endoflife" w:history="1">
        <w:r w:rsidR="0055493A" w:rsidRPr="0055493A">
          <w:rPr>
            <w:rStyle w:val="Hyperlink"/>
          </w:rPr>
          <w:t>end of life care</w:t>
        </w:r>
        <w:bookmarkEnd w:id="40"/>
      </w:hyperlink>
    </w:p>
    <w:p w:rsidR="00A37EB6" w:rsidRDefault="00A37EB6" w:rsidP="00A37EB6">
      <w:pPr>
        <w:rPr>
          <w:rFonts w:cs="HelveticaNeueLT Std Lt"/>
          <w:color w:val="000000"/>
        </w:rPr>
      </w:pPr>
      <w:r w:rsidRPr="00A37EB6">
        <w:rPr>
          <w:rFonts w:cs="HelveticaNeueLT Std Lt"/>
          <w:color w:val="000000"/>
        </w:rPr>
        <w:t>There are over 300 conditions which fall into the life-limitin</w:t>
      </w:r>
      <w:r w:rsidR="00051865">
        <w:rPr>
          <w:rFonts w:cs="HelveticaNeueLT Std Lt"/>
          <w:color w:val="000000"/>
        </w:rPr>
        <w:t xml:space="preserve">g and life-threatening </w:t>
      </w:r>
      <w:r w:rsidR="001C3053">
        <w:rPr>
          <w:rFonts w:cs="HelveticaNeueLT Std Lt"/>
          <w:color w:val="000000"/>
        </w:rPr>
        <w:t>classification</w:t>
      </w:r>
      <w:r w:rsidR="00051865">
        <w:rPr>
          <w:rFonts w:cs="HelveticaNeueLT Std Lt"/>
          <w:color w:val="000000"/>
        </w:rPr>
        <w:t xml:space="preserve">, </w:t>
      </w:r>
      <w:r w:rsidR="005C553C">
        <w:rPr>
          <w:rFonts w:cs="HelveticaNeueLT Std Lt"/>
          <w:color w:val="000000"/>
        </w:rPr>
        <w:t xml:space="preserve">and </w:t>
      </w:r>
      <w:r w:rsidR="00051865">
        <w:rPr>
          <w:rFonts w:cs="HelveticaNeueLT Std Lt"/>
          <w:color w:val="000000"/>
        </w:rPr>
        <w:t xml:space="preserve"> these may</w:t>
      </w:r>
      <w:r>
        <w:rPr>
          <w:rFonts w:cs="HelveticaNeueLT Std Lt"/>
          <w:color w:val="000000"/>
        </w:rPr>
        <w:t xml:space="preserve"> be considered </w:t>
      </w:r>
      <w:r w:rsidR="0055493A">
        <w:rPr>
          <w:rFonts w:cs="HelveticaNeueLT Std Lt"/>
          <w:color w:val="000000"/>
        </w:rPr>
        <w:t>within</w:t>
      </w:r>
      <w:r>
        <w:rPr>
          <w:rFonts w:cs="HelveticaNeueLT Std Lt"/>
          <w:color w:val="000000"/>
        </w:rPr>
        <w:t xml:space="preserve"> four </w:t>
      </w:r>
      <w:r w:rsidR="001C3053">
        <w:rPr>
          <w:rFonts w:cs="HelveticaNeueLT Std Lt"/>
          <w:color w:val="000000"/>
        </w:rPr>
        <w:t>categories</w:t>
      </w:r>
      <w:r>
        <w:rPr>
          <w:rFonts w:cs="HelveticaNeueLT Std Lt"/>
          <w:color w:val="000000"/>
        </w:rPr>
        <w:t>:</w:t>
      </w:r>
    </w:p>
    <w:p w:rsidR="00F6167D" w:rsidRDefault="00F6167D" w:rsidP="00A37EB6">
      <w:pPr>
        <w:rPr>
          <w:rFonts w:cs="HelveticaNeueLT Std Lt"/>
          <w:color w:val="000000"/>
        </w:rPr>
      </w:pPr>
    </w:p>
    <w:p w:rsidR="00A37EB6" w:rsidRPr="00F6167D" w:rsidRDefault="002F0222" w:rsidP="00F6167D">
      <w:pPr>
        <w:pStyle w:val="ListParagraph"/>
        <w:numPr>
          <w:ilvl w:val="0"/>
          <w:numId w:val="18"/>
        </w:numPr>
        <w:spacing w:line="276" w:lineRule="auto"/>
        <w:rPr>
          <w:rFonts w:ascii="Arial" w:hAnsi="Arial" w:cs="Arial"/>
          <w:color w:val="000000"/>
          <w:sz w:val="22"/>
          <w:szCs w:val="22"/>
        </w:rPr>
      </w:pPr>
      <w:r>
        <w:rPr>
          <w:rFonts w:ascii="Arial" w:hAnsi="Arial" w:cs="Arial"/>
          <w:color w:val="000000"/>
          <w:sz w:val="22"/>
          <w:szCs w:val="22"/>
        </w:rPr>
        <w:t>Life limiting c</w:t>
      </w:r>
      <w:r w:rsidR="00A37EB6" w:rsidRPr="00F6167D">
        <w:rPr>
          <w:rFonts w:ascii="Arial" w:hAnsi="Arial" w:cs="Arial"/>
          <w:color w:val="000000"/>
          <w:sz w:val="22"/>
          <w:szCs w:val="22"/>
        </w:rPr>
        <w:t xml:space="preserve">onditions for which curative treatment may be feasible but can fail. Access to palliative care services may be necessary when treatment fails or during </w:t>
      </w:r>
      <w:r w:rsidR="001C3053">
        <w:rPr>
          <w:rFonts w:ascii="Arial" w:hAnsi="Arial" w:cs="Arial"/>
          <w:color w:val="000000"/>
          <w:sz w:val="22"/>
          <w:szCs w:val="22"/>
        </w:rPr>
        <w:t>an acute crisis</w:t>
      </w:r>
      <w:r w:rsidR="00A37EB6" w:rsidRPr="00F6167D">
        <w:rPr>
          <w:rFonts w:ascii="Arial" w:hAnsi="Arial" w:cs="Arial"/>
          <w:color w:val="000000"/>
          <w:sz w:val="22"/>
          <w:szCs w:val="22"/>
        </w:rPr>
        <w:t xml:space="preserve">. </w:t>
      </w:r>
      <w:r w:rsidR="001C3053">
        <w:rPr>
          <w:rFonts w:ascii="Arial" w:hAnsi="Arial" w:cs="Arial"/>
          <w:color w:val="000000"/>
          <w:sz w:val="22"/>
          <w:szCs w:val="22"/>
        </w:rPr>
        <w:t xml:space="preserve"> </w:t>
      </w:r>
      <w:r w:rsidR="00A37EB6" w:rsidRPr="002F0222">
        <w:rPr>
          <w:rFonts w:ascii="Arial" w:hAnsi="Arial" w:cs="Arial"/>
          <w:i/>
          <w:color w:val="000000"/>
          <w:sz w:val="22"/>
          <w:szCs w:val="22"/>
        </w:rPr>
        <w:t>Examples:</w:t>
      </w:r>
      <w:r w:rsidR="00A37EB6" w:rsidRPr="00F6167D">
        <w:rPr>
          <w:rFonts w:ascii="Arial" w:hAnsi="Arial" w:cs="Arial"/>
          <w:color w:val="000000"/>
          <w:sz w:val="22"/>
          <w:szCs w:val="22"/>
        </w:rPr>
        <w:t xml:space="preserve"> Cancer, </w:t>
      </w:r>
      <w:r w:rsidR="001C3053" w:rsidRPr="00F6167D">
        <w:rPr>
          <w:rFonts w:ascii="Arial" w:hAnsi="Arial" w:cs="Arial"/>
          <w:color w:val="000000"/>
          <w:sz w:val="22"/>
          <w:szCs w:val="22"/>
        </w:rPr>
        <w:t xml:space="preserve">irreversible </w:t>
      </w:r>
      <w:r w:rsidR="00A37EB6" w:rsidRPr="00F6167D">
        <w:rPr>
          <w:rFonts w:ascii="Arial" w:hAnsi="Arial" w:cs="Arial"/>
          <w:color w:val="000000"/>
          <w:sz w:val="22"/>
          <w:szCs w:val="22"/>
        </w:rPr>
        <w:t>organ failures of heart, liver and kidney</w:t>
      </w:r>
    </w:p>
    <w:p w:rsidR="00A37EB6" w:rsidRPr="00F6167D" w:rsidRDefault="00A37EB6" w:rsidP="00F6167D">
      <w:pPr>
        <w:pStyle w:val="ListParagraph"/>
        <w:numPr>
          <w:ilvl w:val="0"/>
          <w:numId w:val="18"/>
        </w:numPr>
        <w:spacing w:line="276" w:lineRule="auto"/>
        <w:rPr>
          <w:rFonts w:ascii="Arial" w:hAnsi="Arial" w:cs="Arial"/>
          <w:color w:val="000000"/>
          <w:sz w:val="22"/>
          <w:szCs w:val="22"/>
        </w:rPr>
      </w:pPr>
      <w:r w:rsidRPr="00F6167D">
        <w:rPr>
          <w:rFonts w:ascii="Arial" w:hAnsi="Arial" w:cs="Arial"/>
          <w:color w:val="000000"/>
          <w:sz w:val="22"/>
          <w:szCs w:val="22"/>
        </w:rPr>
        <w:t>Conditions w</w:t>
      </w:r>
      <w:r w:rsidR="001C3053">
        <w:rPr>
          <w:rFonts w:ascii="Arial" w:hAnsi="Arial" w:cs="Arial"/>
          <w:color w:val="000000"/>
          <w:sz w:val="22"/>
          <w:szCs w:val="22"/>
        </w:rPr>
        <w:t>h</w:t>
      </w:r>
      <w:r w:rsidRPr="00F6167D">
        <w:rPr>
          <w:rFonts w:ascii="Arial" w:hAnsi="Arial" w:cs="Arial"/>
          <w:color w:val="000000"/>
          <w:sz w:val="22"/>
          <w:szCs w:val="22"/>
        </w:rPr>
        <w:t>ere premature death is inevitable</w:t>
      </w:r>
      <w:r w:rsidR="001C3053">
        <w:rPr>
          <w:rFonts w:ascii="Arial" w:hAnsi="Arial" w:cs="Arial"/>
          <w:color w:val="000000"/>
          <w:sz w:val="22"/>
          <w:szCs w:val="22"/>
        </w:rPr>
        <w:t xml:space="preserve">. </w:t>
      </w:r>
      <w:r w:rsidRPr="00F6167D">
        <w:rPr>
          <w:rFonts w:ascii="Arial" w:hAnsi="Arial" w:cs="Arial"/>
          <w:color w:val="000000"/>
          <w:sz w:val="22"/>
          <w:szCs w:val="22"/>
        </w:rPr>
        <w:t xml:space="preserve"> There may be long periods of intensive treatment aimed at prolonging life and allowing participation in normal activities</w:t>
      </w:r>
      <w:r w:rsidR="001C3053">
        <w:rPr>
          <w:rFonts w:ascii="Arial" w:hAnsi="Arial" w:cs="Arial"/>
          <w:color w:val="000000"/>
          <w:sz w:val="22"/>
          <w:szCs w:val="22"/>
        </w:rPr>
        <w:t xml:space="preserve">. </w:t>
      </w:r>
      <w:r w:rsidRPr="00F6167D">
        <w:rPr>
          <w:rFonts w:ascii="Arial" w:hAnsi="Arial" w:cs="Arial"/>
          <w:color w:val="000000"/>
          <w:sz w:val="22"/>
          <w:szCs w:val="22"/>
        </w:rPr>
        <w:t xml:space="preserve"> </w:t>
      </w:r>
      <w:r w:rsidRPr="002F0222">
        <w:rPr>
          <w:rFonts w:ascii="Arial" w:hAnsi="Arial" w:cs="Arial"/>
          <w:i/>
          <w:color w:val="000000"/>
          <w:sz w:val="22"/>
          <w:szCs w:val="22"/>
        </w:rPr>
        <w:t>Examples</w:t>
      </w:r>
      <w:r w:rsidRPr="00F6167D">
        <w:rPr>
          <w:rFonts w:ascii="Arial" w:hAnsi="Arial" w:cs="Arial"/>
          <w:color w:val="000000"/>
          <w:sz w:val="22"/>
          <w:szCs w:val="22"/>
        </w:rPr>
        <w:t>: cystic fibrosis, Duchenne muscular dystrophy</w:t>
      </w:r>
    </w:p>
    <w:p w:rsidR="00A37EB6" w:rsidRPr="00F6167D" w:rsidRDefault="00A37EB6" w:rsidP="009C35FA">
      <w:pPr>
        <w:pStyle w:val="ListParagraph"/>
        <w:numPr>
          <w:ilvl w:val="0"/>
          <w:numId w:val="18"/>
        </w:numPr>
        <w:spacing w:line="276" w:lineRule="auto"/>
        <w:rPr>
          <w:rFonts w:ascii="Arial" w:hAnsi="Arial" w:cs="Arial"/>
          <w:color w:val="000000"/>
          <w:sz w:val="22"/>
          <w:szCs w:val="22"/>
        </w:rPr>
      </w:pPr>
      <w:r w:rsidRPr="00F6167D">
        <w:rPr>
          <w:rFonts w:ascii="Arial" w:hAnsi="Arial" w:cs="Arial"/>
          <w:color w:val="000000"/>
          <w:sz w:val="22"/>
          <w:szCs w:val="22"/>
        </w:rPr>
        <w:t xml:space="preserve">Progressive </w:t>
      </w:r>
      <w:r w:rsidR="001C3053" w:rsidRPr="00F6167D">
        <w:rPr>
          <w:rFonts w:ascii="Arial" w:hAnsi="Arial" w:cs="Arial"/>
          <w:color w:val="000000"/>
          <w:sz w:val="22"/>
          <w:szCs w:val="22"/>
        </w:rPr>
        <w:t xml:space="preserve">conditions </w:t>
      </w:r>
      <w:r w:rsidRPr="00F6167D">
        <w:rPr>
          <w:rFonts w:ascii="Arial" w:hAnsi="Arial" w:cs="Arial"/>
          <w:color w:val="000000"/>
          <w:sz w:val="22"/>
          <w:szCs w:val="22"/>
        </w:rPr>
        <w:t>without curative treatment options.  Treatment is exclusively palliative and may commonly extend over many years</w:t>
      </w:r>
      <w:r w:rsidR="002F0222">
        <w:rPr>
          <w:rFonts w:ascii="Arial" w:hAnsi="Arial" w:cs="Arial"/>
          <w:color w:val="000000"/>
          <w:sz w:val="22"/>
          <w:szCs w:val="22"/>
        </w:rPr>
        <w:t>.</w:t>
      </w:r>
      <w:r w:rsidRPr="00F6167D">
        <w:rPr>
          <w:rFonts w:ascii="Arial" w:hAnsi="Arial" w:cs="Arial"/>
          <w:color w:val="000000"/>
          <w:sz w:val="22"/>
          <w:szCs w:val="22"/>
        </w:rPr>
        <w:t xml:space="preserve"> </w:t>
      </w:r>
      <w:r w:rsidRPr="002F0222">
        <w:rPr>
          <w:rFonts w:ascii="Arial" w:hAnsi="Arial" w:cs="Arial"/>
          <w:i/>
          <w:color w:val="000000"/>
          <w:sz w:val="22"/>
          <w:szCs w:val="22"/>
        </w:rPr>
        <w:t>Examples:</w:t>
      </w:r>
      <w:r w:rsidRPr="00F6167D">
        <w:rPr>
          <w:rFonts w:ascii="Arial" w:hAnsi="Arial" w:cs="Arial"/>
          <w:color w:val="000000"/>
          <w:sz w:val="22"/>
          <w:szCs w:val="22"/>
        </w:rPr>
        <w:t xml:space="preserve"> Batten</w:t>
      </w:r>
      <w:r w:rsidR="001C3053">
        <w:rPr>
          <w:rFonts w:ascii="Arial" w:hAnsi="Arial" w:cs="Arial"/>
          <w:color w:val="000000"/>
          <w:sz w:val="22"/>
          <w:szCs w:val="22"/>
        </w:rPr>
        <w:t>’</w:t>
      </w:r>
      <w:r w:rsidRPr="00F6167D">
        <w:rPr>
          <w:rFonts w:ascii="Arial" w:hAnsi="Arial" w:cs="Arial"/>
          <w:color w:val="000000"/>
          <w:sz w:val="22"/>
          <w:szCs w:val="22"/>
        </w:rPr>
        <w:t xml:space="preserve">s Disease, </w:t>
      </w:r>
      <w:hyperlink w:anchor="muco" w:history="1">
        <w:r w:rsidR="009C35FA" w:rsidRPr="009C35FA">
          <w:rPr>
            <w:rStyle w:val="Hyperlink"/>
            <w:rFonts w:ascii="Arial" w:hAnsi="Arial" w:cs="Arial"/>
            <w:sz w:val="22"/>
            <w:szCs w:val="22"/>
          </w:rPr>
          <w:t>Mucopolysaccharide and Lysomal Storage</w:t>
        </w:r>
      </w:hyperlink>
      <w:r w:rsidR="009C35FA">
        <w:rPr>
          <w:rFonts w:ascii="Arial" w:hAnsi="Arial" w:cs="Arial"/>
          <w:color w:val="000000"/>
          <w:sz w:val="22"/>
          <w:szCs w:val="22"/>
        </w:rPr>
        <w:t xml:space="preserve"> diseases</w:t>
      </w:r>
    </w:p>
    <w:p w:rsidR="00A37EB6" w:rsidRPr="00F6167D" w:rsidRDefault="00A37EB6" w:rsidP="00F6167D">
      <w:pPr>
        <w:pStyle w:val="ListParagraph"/>
        <w:numPr>
          <w:ilvl w:val="0"/>
          <w:numId w:val="18"/>
        </w:numPr>
        <w:spacing w:line="276" w:lineRule="auto"/>
        <w:rPr>
          <w:rFonts w:ascii="Arial" w:hAnsi="Arial" w:cs="Arial"/>
          <w:color w:val="000000"/>
          <w:sz w:val="22"/>
          <w:szCs w:val="22"/>
        </w:rPr>
      </w:pPr>
      <w:r w:rsidRPr="00F6167D">
        <w:rPr>
          <w:rFonts w:ascii="Arial" w:hAnsi="Arial" w:cs="Arial"/>
          <w:color w:val="000000"/>
          <w:sz w:val="22"/>
          <w:szCs w:val="22"/>
        </w:rPr>
        <w:t>Irreversible but no</w:t>
      </w:r>
      <w:r w:rsidR="00815DA7">
        <w:rPr>
          <w:rFonts w:ascii="Arial" w:hAnsi="Arial" w:cs="Arial"/>
          <w:color w:val="000000"/>
          <w:sz w:val="22"/>
          <w:szCs w:val="22"/>
        </w:rPr>
        <w:t>t</w:t>
      </w:r>
      <w:r w:rsidRPr="00F6167D">
        <w:rPr>
          <w:rFonts w:ascii="Arial" w:hAnsi="Arial" w:cs="Arial"/>
          <w:color w:val="000000"/>
          <w:sz w:val="22"/>
          <w:szCs w:val="22"/>
        </w:rPr>
        <w:t xml:space="preserve"> progressive conditions causing severe disability leading to susceptibility to health complications and likelihood of premature death</w:t>
      </w:r>
    </w:p>
    <w:p w:rsidR="00A37EB6" w:rsidRDefault="00A37EB6" w:rsidP="00F6167D">
      <w:pPr>
        <w:ind w:left="720"/>
        <w:rPr>
          <w:rFonts w:cs="HelveticaNeueLT Std Lt"/>
          <w:color w:val="000000"/>
        </w:rPr>
      </w:pPr>
      <w:r w:rsidRPr="002F0222">
        <w:rPr>
          <w:rFonts w:cs="Arial"/>
          <w:i/>
          <w:color w:val="000000"/>
        </w:rPr>
        <w:lastRenderedPageBreak/>
        <w:t>Examples:</w:t>
      </w:r>
      <w:r w:rsidRPr="00F6167D">
        <w:rPr>
          <w:rFonts w:cs="Arial"/>
          <w:color w:val="000000"/>
        </w:rPr>
        <w:t xml:space="preserve"> Severe cerebral palsy, multiple disabilities such as following brain or spinal cord injury, complex healthcare needs, high risk of an unpredictable life threatening event or episode</w:t>
      </w:r>
      <w:r>
        <w:rPr>
          <w:rStyle w:val="FootnoteReference"/>
          <w:rFonts w:cs="HelveticaNeueLT Std Lt"/>
          <w:color w:val="000000"/>
        </w:rPr>
        <w:footnoteReference w:id="60"/>
      </w:r>
    </w:p>
    <w:p w:rsidR="00065311" w:rsidRDefault="00065311" w:rsidP="00B870D7">
      <w:pPr>
        <w:rPr>
          <w:rFonts w:cs="HelveticaNeueLT Std Lt"/>
          <w:color w:val="000000"/>
        </w:rPr>
      </w:pPr>
    </w:p>
    <w:p w:rsidR="00A37EB6" w:rsidRDefault="00065311" w:rsidP="00B870D7">
      <w:pPr>
        <w:rPr>
          <w:rFonts w:cs="HelveticaNeueLT Std Lt"/>
          <w:color w:val="000000"/>
        </w:rPr>
      </w:pPr>
      <w:r>
        <w:rPr>
          <w:rFonts w:cs="HelveticaNeueLT Std Lt"/>
          <w:color w:val="000000"/>
        </w:rPr>
        <w:t xml:space="preserve">In 2011, the </w:t>
      </w:r>
      <w:r w:rsidRPr="00065311">
        <w:rPr>
          <w:rFonts w:cs="HelveticaNeueLT Std Lt"/>
          <w:color w:val="000000"/>
        </w:rPr>
        <w:t>Health and Social care Information Centre</w:t>
      </w:r>
      <w:r>
        <w:rPr>
          <w:rFonts w:cs="HelveticaNeueLT Std Lt"/>
          <w:color w:val="000000"/>
        </w:rPr>
        <w:t xml:space="preserve"> estimated that 6% of children aged 0-15 had a limiting long standing illness. In Medway, this would amount to 3,279 children and young people.</w:t>
      </w:r>
    </w:p>
    <w:p w:rsidR="00F45CBB" w:rsidRDefault="00F45CBB" w:rsidP="007500E2">
      <w:pPr>
        <w:rPr>
          <w:rFonts w:cs="HelveticaNeueLT Std Lt"/>
          <w:color w:val="000000"/>
        </w:rPr>
      </w:pPr>
    </w:p>
    <w:p w:rsidR="00B870D7" w:rsidRDefault="00B870D7" w:rsidP="00B870D7">
      <w:pPr>
        <w:rPr>
          <w:rFonts w:cs="HelveticaNeueLT Std Lt"/>
          <w:color w:val="000000"/>
        </w:rPr>
      </w:pPr>
      <w:r>
        <w:rPr>
          <w:rFonts w:cs="HelveticaNeueLT Std Lt"/>
          <w:color w:val="000000"/>
        </w:rPr>
        <w:t>Research in 2012</w:t>
      </w:r>
      <w:r>
        <w:rPr>
          <w:rStyle w:val="FootnoteReference"/>
          <w:rFonts w:cs="HelveticaNeueLT Std Lt"/>
          <w:color w:val="000000"/>
        </w:rPr>
        <w:footnoteReference w:id="61"/>
      </w:r>
      <w:r>
        <w:rPr>
          <w:rFonts w:cs="HelveticaNeueLT Std Lt"/>
          <w:color w:val="000000"/>
        </w:rPr>
        <w:t xml:space="preserve"> estimated the extent of life-limiting and life threatening illness in children by local authority area.  Figure </w:t>
      </w:r>
      <w:r w:rsidR="005C553C">
        <w:rPr>
          <w:rFonts w:cs="HelveticaNeueLT Std Lt"/>
          <w:color w:val="000000"/>
        </w:rPr>
        <w:t>36</w:t>
      </w:r>
      <w:r>
        <w:rPr>
          <w:rFonts w:cs="HelveticaNeueLT Std Lt"/>
          <w:color w:val="000000"/>
        </w:rPr>
        <w:t xml:space="preserve"> compares Medway with its statistical neighbours:</w:t>
      </w:r>
    </w:p>
    <w:p w:rsidR="00E032A0" w:rsidRDefault="005C553C" w:rsidP="005C553C">
      <w:pPr>
        <w:pStyle w:val="Caption"/>
        <w:rPr>
          <w:rFonts w:cs="HelveticaNeueLT Std Lt"/>
          <w:color w:val="000000"/>
        </w:rPr>
      </w:pPr>
      <w:r>
        <w:t xml:space="preserve">Figure </w:t>
      </w:r>
      <w:r w:rsidR="00156E8B">
        <w:fldChar w:fldCharType="begin"/>
      </w:r>
      <w:r w:rsidR="00156E8B">
        <w:instrText xml:space="preserve"> SEQ Figure \* ARABIC </w:instrText>
      </w:r>
      <w:r w:rsidR="00156E8B">
        <w:fldChar w:fldCharType="separate"/>
      </w:r>
      <w:r>
        <w:rPr>
          <w:noProof/>
        </w:rPr>
        <w:t>36</w:t>
      </w:r>
      <w:r w:rsidR="00156E8B">
        <w:rPr>
          <w:noProof/>
        </w:rPr>
        <w:fldChar w:fldCharType="end"/>
      </w:r>
      <w:r>
        <w:t xml:space="preserve"> Estimated extent of life-limiting and life threatening illness</w:t>
      </w:r>
    </w:p>
    <w:tbl>
      <w:tblPr>
        <w:tblStyle w:val="LightList-Accent1"/>
        <w:tblpPr w:leftFromText="180" w:rightFromText="180" w:vertAnchor="text" w:horzAnchor="margin" w:tblpYSpec="top"/>
        <w:tblW w:w="0" w:type="auto"/>
        <w:tblLook w:val="04A0" w:firstRow="1" w:lastRow="0" w:firstColumn="1" w:lastColumn="0" w:noHBand="0" w:noVBand="1"/>
      </w:tblPr>
      <w:tblGrid>
        <w:gridCol w:w="2310"/>
        <w:gridCol w:w="2310"/>
        <w:gridCol w:w="2311"/>
        <w:gridCol w:w="2311"/>
      </w:tblGrid>
      <w:tr w:rsidR="00E032A0" w:rsidRPr="00DD26D2" w:rsidTr="00E032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rsidR="00E032A0" w:rsidRPr="00437EB6" w:rsidRDefault="00E032A0" w:rsidP="00E032A0">
            <w:pPr>
              <w:rPr>
                <w:szCs w:val="24"/>
              </w:rPr>
            </w:pPr>
            <w:r w:rsidRPr="00437EB6">
              <w:rPr>
                <w:szCs w:val="24"/>
              </w:rPr>
              <w:t>Local Authority</w:t>
            </w:r>
          </w:p>
        </w:tc>
        <w:tc>
          <w:tcPr>
            <w:tcW w:w="2310" w:type="dxa"/>
          </w:tcPr>
          <w:p w:rsidR="00E032A0" w:rsidRPr="00437EB6" w:rsidRDefault="00E032A0" w:rsidP="00E032A0">
            <w:pPr>
              <w:cnfStyle w:val="100000000000" w:firstRow="1" w:lastRow="0" w:firstColumn="0" w:lastColumn="0" w:oddVBand="0" w:evenVBand="0" w:oddHBand="0" w:evenHBand="0" w:firstRowFirstColumn="0" w:firstRowLastColumn="0" w:lastRowFirstColumn="0" w:lastRowLastColumn="0"/>
              <w:rPr>
                <w:szCs w:val="24"/>
              </w:rPr>
            </w:pPr>
            <w:r w:rsidRPr="00437EB6">
              <w:rPr>
                <w:szCs w:val="24"/>
              </w:rPr>
              <w:t>Number of cases</w:t>
            </w:r>
          </w:p>
        </w:tc>
        <w:tc>
          <w:tcPr>
            <w:tcW w:w="2311" w:type="dxa"/>
          </w:tcPr>
          <w:p w:rsidR="00E032A0" w:rsidRPr="00437EB6" w:rsidRDefault="00E032A0" w:rsidP="00E032A0">
            <w:pPr>
              <w:cnfStyle w:val="100000000000" w:firstRow="1" w:lastRow="0" w:firstColumn="0" w:lastColumn="0" w:oddVBand="0" w:evenVBand="0" w:oddHBand="0" w:evenHBand="0" w:firstRowFirstColumn="0" w:firstRowLastColumn="0" w:lastRowFirstColumn="0" w:lastRowLastColumn="0"/>
              <w:rPr>
                <w:szCs w:val="24"/>
              </w:rPr>
            </w:pPr>
            <w:r w:rsidRPr="00437EB6">
              <w:rPr>
                <w:szCs w:val="24"/>
              </w:rPr>
              <w:t>Population</w:t>
            </w:r>
          </w:p>
        </w:tc>
        <w:tc>
          <w:tcPr>
            <w:tcW w:w="2311" w:type="dxa"/>
          </w:tcPr>
          <w:p w:rsidR="00E032A0" w:rsidRPr="00437EB6" w:rsidRDefault="00E032A0" w:rsidP="00E032A0">
            <w:pPr>
              <w:cnfStyle w:val="100000000000" w:firstRow="1" w:lastRow="0" w:firstColumn="0" w:lastColumn="0" w:oddVBand="0" w:evenVBand="0" w:oddHBand="0" w:evenHBand="0" w:firstRowFirstColumn="0" w:firstRowLastColumn="0" w:lastRowFirstColumn="0" w:lastRowLastColumn="0"/>
              <w:rPr>
                <w:szCs w:val="24"/>
              </w:rPr>
            </w:pPr>
            <w:r w:rsidRPr="00437EB6">
              <w:rPr>
                <w:szCs w:val="24"/>
              </w:rPr>
              <w:t>Prevalence per 10,000 population</w:t>
            </w:r>
          </w:p>
        </w:tc>
      </w:tr>
      <w:tr w:rsidR="00E032A0" w:rsidRPr="00DD26D2" w:rsidTr="00E03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rsidR="00E032A0" w:rsidRPr="00DD26D2" w:rsidRDefault="00E032A0" w:rsidP="00E032A0">
            <w:pPr>
              <w:rPr>
                <w:szCs w:val="24"/>
              </w:rPr>
            </w:pPr>
            <w:r w:rsidRPr="00DD26D2">
              <w:rPr>
                <w:szCs w:val="24"/>
              </w:rPr>
              <w:t>Swindon</w:t>
            </w:r>
          </w:p>
        </w:tc>
        <w:tc>
          <w:tcPr>
            <w:tcW w:w="2310" w:type="dxa"/>
          </w:tcPr>
          <w:p w:rsidR="00E032A0" w:rsidRPr="00DD26D2" w:rsidRDefault="00E032A0" w:rsidP="00E032A0">
            <w:pPr>
              <w:cnfStyle w:val="000000100000" w:firstRow="0" w:lastRow="0" w:firstColumn="0" w:lastColumn="0" w:oddVBand="0" w:evenVBand="0" w:oddHBand="1" w:evenHBand="0" w:firstRowFirstColumn="0" w:firstRowLastColumn="0" w:lastRowFirstColumn="0" w:lastRowLastColumn="0"/>
              <w:rPr>
                <w:szCs w:val="24"/>
              </w:rPr>
            </w:pPr>
            <w:r w:rsidRPr="00DD26D2">
              <w:rPr>
                <w:szCs w:val="24"/>
              </w:rPr>
              <w:t>158</w:t>
            </w:r>
          </w:p>
        </w:tc>
        <w:tc>
          <w:tcPr>
            <w:tcW w:w="2311" w:type="dxa"/>
          </w:tcPr>
          <w:p w:rsidR="00E032A0" w:rsidRPr="00DD26D2" w:rsidRDefault="00E032A0" w:rsidP="00E032A0">
            <w:pPr>
              <w:cnfStyle w:val="000000100000" w:firstRow="0" w:lastRow="0" w:firstColumn="0" w:lastColumn="0" w:oddVBand="0" w:evenVBand="0" w:oddHBand="1" w:evenHBand="0" w:firstRowFirstColumn="0" w:firstRowLastColumn="0" w:lastRowFirstColumn="0" w:lastRowLastColumn="0"/>
              <w:rPr>
                <w:szCs w:val="24"/>
              </w:rPr>
            </w:pPr>
            <w:r w:rsidRPr="00DD26D2">
              <w:rPr>
                <w:szCs w:val="24"/>
              </w:rPr>
              <w:t>47010</w:t>
            </w:r>
          </w:p>
        </w:tc>
        <w:tc>
          <w:tcPr>
            <w:tcW w:w="2311" w:type="dxa"/>
          </w:tcPr>
          <w:p w:rsidR="00E032A0" w:rsidRPr="00DD26D2" w:rsidRDefault="00E032A0" w:rsidP="00E032A0">
            <w:pPr>
              <w:cnfStyle w:val="000000100000" w:firstRow="0" w:lastRow="0" w:firstColumn="0" w:lastColumn="0" w:oddVBand="0" w:evenVBand="0" w:oddHBand="1" w:evenHBand="0" w:firstRowFirstColumn="0" w:firstRowLastColumn="0" w:lastRowFirstColumn="0" w:lastRowLastColumn="0"/>
              <w:rPr>
                <w:szCs w:val="24"/>
              </w:rPr>
            </w:pPr>
            <w:r w:rsidRPr="00DD26D2">
              <w:rPr>
                <w:szCs w:val="24"/>
              </w:rPr>
              <w:t>33.6</w:t>
            </w:r>
          </w:p>
        </w:tc>
      </w:tr>
      <w:tr w:rsidR="00E032A0" w:rsidRPr="00DD26D2" w:rsidTr="00E032A0">
        <w:tc>
          <w:tcPr>
            <w:cnfStyle w:val="001000000000" w:firstRow="0" w:lastRow="0" w:firstColumn="1" w:lastColumn="0" w:oddVBand="0" w:evenVBand="0" w:oddHBand="0" w:evenHBand="0" w:firstRowFirstColumn="0" w:firstRowLastColumn="0" w:lastRowFirstColumn="0" w:lastRowLastColumn="0"/>
            <w:tcW w:w="2310" w:type="dxa"/>
          </w:tcPr>
          <w:p w:rsidR="00E032A0" w:rsidRPr="00DD26D2" w:rsidRDefault="00E032A0" w:rsidP="00E032A0">
            <w:pPr>
              <w:rPr>
                <w:szCs w:val="24"/>
              </w:rPr>
            </w:pPr>
            <w:r w:rsidRPr="00DD26D2">
              <w:rPr>
                <w:szCs w:val="24"/>
              </w:rPr>
              <w:t>Havering</w:t>
            </w:r>
          </w:p>
        </w:tc>
        <w:tc>
          <w:tcPr>
            <w:tcW w:w="2310" w:type="dxa"/>
          </w:tcPr>
          <w:p w:rsidR="00E032A0" w:rsidRPr="00DD26D2" w:rsidRDefault="00E032A0" w:rsidP="00E032A0">
            <w:pPr>
              <w:cnfStyle w:val="000000000000" w:firstRow="0" w:lastRow="0" w:firstColumn="0" w:lastColumn="0" w:oddVBand="0" w:evenVBand="0" w:oddHBand="0" w:evenHBand="0" w:firstRowFirstColumn="0" w:firstRowLastColumn="0" w:lastRowFirstColumn="0" w:lastRowLastColumn="0"/>
              <w:rPr>
                <w:szCs w:val="24"/>
              </w:rPr>
            </w:pPr>
            <w:r w:rsidRPr="00DD26D2">
              <w:rPr>
                <w:szCs w:val="24"/>
              </w:rPr>
              <w:t>177</w:t>
            </w:r>
          </w:p>
        </w:tc>
        <w:tc>
          <w:tcPr>
            <w:tcW w:w="2311" w:type="dxa"/>
          </w:tcPr>
          <w:p w:rsidR="00E032A0" w:rsidRPr="00DD26D2" w:rsidRDefault="00E032A0" w:rsidP="00E032A0">
            <w:pPr>
              <w:cnfStyle w:val="000000000000" w:firstRow="0" w:lastRow="0" w:firstColumn="0" w:lastColumn="0" w:oddVBand="0" w:evenVBand="0" w:oddHBand="0" w:evenHBand="0" w:firstRowFirstColumn="0" w:firstRowLastColumn="0" w:lastRowFirstColumn="0" w:lastRowLastColumn="0"/>
              <w:rPr>
                <w:szCs w:val="24"/>
              </w:rPr>
            </w:pPr>
            <w:r w:rsidRPr="00DD26D2">
              <w:rPr>
                <w:szCs w:val="24"/>
              </w:rPr>
              <w:t>50201</w:t>
            </w:r>
          </w:p>
        </w:tc>
        <w:tc>
          <w:tcPr>
            <w:tcW w:w="2311" w:type="dxa"/>
          </w:tcPr>
          <w:p w:rsidR="00E032A0" w:rsidRPr="00DD26D2" w:rsidRDefault="00E032A0" w:rsidP="00E032A0">
            <w:pPr>
              <w:cnfStyle w:val="000000000000" w:firstRow="0" w:lastRow="0" w:firstColumn="0" w:lastColumn="0" w:oddVBand="0" w:evenVBand="0" w:oddHBand="0" w:evenHBand="0" w:firstRowFirstColumn="0" w:firstRowLastColumn="0" w:lastRowFirstColumn="0" w:lastRowLastColumn="0"/>
              <w:rPr>
                <w:szCs w:val="24"/>
              </w:rPr>
            </w:pPr>
            <w:r w:rsidRPr="00DD26D2">
              <w:rPr>
                <w:szCs w:val="24"/>
              </w:rPr>
              <w:t>35.3</w:t>
            </w:r>
          </w:p>
        </w:tc>
      </w:tr>
      <w:tr w:rsidR="00E032A0" w:rsidRPr="00DD26D2" w:rsidTr="00E03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rsidR="00E032A0" w:rsidRPr="00DD26D2" w:rsidRDefault="00E032A0" w:rsidP="00E032A0">
            <w:pPr>
              <w:rPr>
                <w:szCs w:val="24"/>
              </w:rPr>
            </w:pPr>
            <w:r w:rsidRPr="00DD26D2">
              <w:rPr>
                <w:szCs w:val="24"/>
              </w:rPr>
              <w:t>Thurrock</w:t>
            </w:r>
          </w:p>
        </w:tc>
        <w:tc>
          <w:tcPr>
            <w:tcW w:w="2310" w:type="dxa"/>
          </w:tcPr>
          <w:p w:rsidR="00E032A0" w:rsidRPr="00DD26D2" w:rsidRDefault="00E032A0" w:rsidP="00E032A0">
            <w:pPr>
              <w:cnfStyle w:val="000000100000" w:firstRow="0" w:lastRow="0" w:firstColumn="0" w:lastColumn="0" w:oddVBand="0" w:evenVBand="0" w:oddHBand="1" w:evenHBand="0" w:firstRowFirstColumn="0" w:firstRowLastColumn="0" w:lastRowFirstColumn="0" w:lastRowLastColumn="0"/>
              <w:rPr>
                <w:szCs w:val="24"/>
              </w:rPr>
            </w:pPr>
            <w:r w:rsidRPr="00DD26D2">
              <w:rPr>
                <w:szCs w:val="24"/>
              </w:rPr>
              <w:t>129</w:t>
            </w:r>
          </w:p>
        </w:tc>
        <w:tc>
          <w:tcPr>
            <w:tcW w:w="2311" w:type="dxa"/>
          </w:tcPr>
          <w:p w:rsidR="00E032A0" w:rsidRPr="00DD26D2" w:rsidRDefault="00E032A0" w:rsidP="00E032A0">
            <w:pPr>
              <w:cnfStyle w:val="000000100000" w:firstRow="0" w:lastRow="0" w:firstColumn="0" w:lastColumn="0" w:oddVBand="0" w:evenVBand="0" w:oddHBand="1" w:evenHBand="0" w:firstRowFirstColumn="0" w:firstRowLastColumn="0" w:lastRowFirstColumn="0" w:lastRowLastColumn="0"/>
              <w:rPr>
                <w:szCs w:val="24"/>
              </w:rPr>
            </w:pPr>
            <w:r w:rsidRPr="00DD26D2">
              <w:rPr>
                <w:szCs w:val="24"/>
              </w:rPr>
              <w:t>39978</w:t>
            </w:r>
          </w:p>
        </w:tc>
        <w:tc>
          <w:tcPr>
            <w:tcW w:w="2311" w:type="dxa"/>
          </w:tcPr>
          <w:p w:rsidR="00E032A0" w:rsidRPr="00DD26D2" w:rsidRDefault="00E032A0" w:rsidP="00E032A0">
            <w:pPr>
              <w:cnfStyle w:val="000000100000" w:firstRow="0" w:lastRow="0" w:firstColumn="0" w:lastColumn="0" w:oddVBand="0" w:evenVBand="0" w:oddHBand="1" w:evenHBand="0" w:firstRowFirstColumn="0" w:firstRowLastColumn="0" w:lastRowFirstColumn="0" w:lastRowLastColumn="0"/>
              <w:rPr>
                <w:szCs w:val="24"/>
              </w:rPr>
            </w:pPr>
            <w:r w:rsidRPr="00DD26D2">
              <w:rPr>
                <w:szCs w:val="24"/>
              </w:rPr>
              <w:t>32.3</w:t>
            </w:r>
          </w:p>
        </w:tc>
      </w:tr>
      <w:tr w:rsidR="00E032A0" w:rsidRPr="00DD26D2" w:rsidTr="00E032A0">
        <w:tc>
          <w:tcPr>
            <w:cnfStyle w:val="001000000000" w:firstRow="0" w:lastRow="0" w:firstColumn="1" w:lastColumn="0" w:oddVBand="0" w:evenVBand="0" w:oddHBand="0" w:evenHBand="0" w:firstRowFirstColumn="0" w:firstRowLastColumn="0" w:lastRowFirstColumn="0" w:lastRowLastColumn="0"/>
            <w:tcW w:w="2310" w:type="dxa"/>
          </w:tcPr>
          <w:p w:rsidR="00E032A0" w:rsidRPr="00DD26D2" w:rsidRDefault="00E032A0" w:rsidP="00E032A0">
            <w:pPr>
              <w:rPr>
                <w:szCs w:val="24"/>
              </w:rPr>
            </w:pPr>
            <w:r w:rsidRPr="00DD26D2">
              <w:rPr>
                <w:szCs w:val="24"/>
              </w:rPr>
              <w:t>Telford &amp; Wrekin</w:t>
            </w:r>
          </w:p>
        </w:tc>
        <w:tc>
          <w:tcPr>
            <w:tcW w:w="2310" w:type="dxa"/>
          </w:tcPr>
          <w:p w:rsidR="00E032A0" w:rsidRPr="00DD26D2" w:rsidRDefault="00E032A0" w:rsidP="00E032A0">
            <w:pPr>
              <w:cnfStyle w:val="000000000000" w:firstRow="0" w:lastRow="0" w:firstColumn="0" w:lastColumn="0" w:oddVBand="0" w:evenVBand="0" w:oddHBand="0" w:evenHBand="0" w:firstRowFirstColumn="0" w:firstRowLastColumn="0" w:lastRowFirstColumn="0" w:lastRowLastColumn="0"/>
              <w:rPr>
                <w:szCs w:val="24"/>
              </w:rPr>
            </w:pPr>
            <w:r w:rsidRPr="00DD26D2">
              <w:rPr>
                <w:szCs w:val="24"/>
              </w:rPr>
              <w:t>112</w:t>
            </w:r>
          </w:p>
        </w:tc>
        <w:tc>
          <w:tcPr>
            <w:tcW w:w="2311" w:type="dxa"/>
          </w:tcPr>
          <w:p w:rsidR="00E032A0" w:rsidRPr="00DD26D2" w:rsidRDefault="00E032A0" w:rsidP="00E032A0">
            <w:pPr>
              <w:cnfStyle w:val="000000000000" w:firstRow="0" w:lastRow="0" w:firstColumn="0" w:lastColumn="0" w:oddVBand="0" w:evenVBand="0" w:oddHBand="0" w:evenHBand="0" w:firstRowFirstColumn="0" w:firstRowLastColumn="0" w:lastRowFirstColumn="0" w:lastRowLastColumn="0"/>
              <w:rPr>
                <w:szCs w:val="24"/>
              </w:rPr>
            </w:pPr>
            <w:r w:rsidRPr="00DD26D2">
              <w:rPr>
                <w:szCs w:val="24"/>
              </w:rPr>
              <w:t>46608</w:t>
            </w:r>
          </w:p>
        </w:tc>
        <w:tc>
          <w:tcPr>
            <w:tcW w:w="2311" w:type="dxa"/>
          </w:tcPr>
          <w:p w:rsidR="00E032A0" w:rsidRPr="00DD26D2" w:rsidRDefault="00E032A0" w:rsidP="00E032A0">
            <w:pPr>
              <w:cnfStyle w:val="000000000000" w:firstRow="0" w:lastRow="0" w:firstColumn="0" w:lastColumn="0" w:oddVBand="0" w:evenVBand="0" w:oddHBand="0" w:evenHBand="0" w:firstRowFirstColumn="0" w:firstRowLastColumn="0" w:lastRowFirstColumn="0" w:lastRowLastColumn="0"/>
              <w:rPr>
                <w:szCs w:val="24"/>
              </w:rPr>
            </w:pPr>
            <w:r w:rsidRPr="00DD26D2">
              <w:rPr>
                <w:szCs w:val="24"/>
              </w:rPr>
              <w:t>24</w:t>
            </w:r>
          </w:p>
        </w:tc>
      </w:tr>
      <w:tr w:rsidR="00E032A0" w:rsidRPr="00DD26D2" w:rsidTr="00E03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rsidR="00E032A0" w:rsidRPr="00DD26D2" w:rsidRDefault="00E032A0" w:rsidP="00E032A0">
            <w:pPr>
              <w:rPr>
                <w:szCs w:val="24"/>
              </w:rPr>
            </w:pPr>
            <w:r w:rsidRPr="00DD26D2">
              <w:rPr>
                <w:szCs w:val="24"/>
              </w:rPr>
              <w:t>Dudley</w:t>
            </w:r>
          </w:p>
        </w:tc>
        <w:tc>
          <w:tcPr>
            <w:tcW w:w="2310" w:type="dxa"/>
          </w:tcPr>
          <w:p w:rsidR="00E032A0" w:rsidRPr="00DD26D2" w:rsidRDefault="00E032A0" w:rsidP="00E032A0">
            <w:pPr>
              <w:cnfStyle w:val="000000100000" w:firstRow="0" w:lastRow="0" w:firstColumn="0" w:lastColumn="0" w:oddVBand="0" w:evenVBand="0" w:oddHBand="1" w:evenHBand="0" w:firstRowFirstColumn="0" w:firstRowLastColumn="0" w:lastRowFirstColumn="0" w:lastRowLastColumn="0"/>
              <w:rPr>
                <w:szCs w:val="24"/>
              </w:rPr>
            </w:pPr>
            <w:r w:rsidRPr="00DD26D2">
              <w:rPr>
                <w:szCs w:val="24"/>
              </w:rPr>
              <w:t>211</w:t>
            </w:r>
          </w:p>
        </w:tc>
        <w:tc>
          <w:tcPr>
            <w:tcW w:w="2311" w:type="dxa"/>
          </w:tcPr>
          <w:p w:rsidR="00E032A0" w:rsidRPr="00DD26D2" w:rsidRDefault="00E032A0" w:rsidP="00E032A0">
            <w:pPr>
              <w:cnfStyle w:val="000000100000" w:firstRow="0" w:lastRow="0" w:firstColumn="0" w:lastColumn="0" w:oddVBand="0" w:evenVBand="0" w:oddHBand="1" w:evenHBand="0" w:firstRowFirstColumn="0" w:firstRowLastColumn="0" w:lastRowFirstColumn="0" w:lastRowLastColumn="0"/>
              <w:rPr>
                <w:szCs w:val="24"/>
              </w:rPr>
            </w:pPr>
            <w:r w:rsidRPr="00DD26D2">
              <w:rPr>
                <w:szCs w:val="24"/>
              </w:rPr>
              <w:t>69117</w:t>
            </w:r>
          </w:p>
        </w:tc>
        <w:tc>
          <w:tcPr>
            <w:tcW w:w="2311" w:type="dxa"/>
          </w:tcPr>
          <w:p w:rsidR="00E032A0" w:rsidRPr="00DD26D2" w:rsidRDefault="00E032A0" w:rsidP="00E032A0">
            <w:pPr>
              <w:cnfStyle w:val="000000100000" w:firstRow="0" w:lastRow="0" w:firstColumn="0" w:lastColumn="0" w:oddVBand="0" w:evenVBand="0" w:oddHBand="1" w:evenHBand="0" w:firstRowFirstColumn="0" w:firstRowLastColumn="0" w:lastRowFirstColumn="0" w:lastRowLastColumn="0"/>
              <w:rPr>
                <w:szCs w:val="24"/>
              </w:rPr>
            </w:pPr>
            <w:r w:rsidRPr="00DD26D2">
              <w:rPr>
                <w:szCs w:val="24"/>
              </w:rPr>
              <w:t>30.5</w:t>
            </w:r>
          </w:p>
        </w:tc>
      </w:tr>
      <w:tr w:rsidR="00E032A0" w:rsidRPr="00DD26D2" w:rsidTr="00E032A0">
        <w:tc>
          <w:tcPr>
            <w:cnfStyle w:val="001000000000" w:firstRow="0" w:lastRow="0" w:firstColumn="1" w:lastColumn="0" w:oddVBand="0" w:evenVBand="0" w:oddHBand="0" w:evenHBand="0" w:firstRowFirstColumn="0" w:firstRowLastColumn="0" w:lastRowFirstColumn="0" w:lastRowLastColumn="0"/>
            <w:tcW w:w="2310" w:type="dxa"/>
          </w:tcPr>
          <w:p w:rsidR="00E032A0" w:rsidRPr="00DD26D2" w:rsidRDefault="00E032A0" w:rsidP="00E032A0">
            <w:pPr>
              <w:rPr>
                <w:szCs w:val="24"/>
              </w:rPr>
            </w:pPr>
            <w:r w:rsidRPr="00DD26D2">
              <w:rPr>
                <w:szCs w:val="24"/>
              </w:rPr>
              <w:t>Rotherham</w:t>
            </w:r>
          </w:p>
        </w:tc>
        <w:tc>
          <w:tcPr>
            <w:tcW w:w="2310" w:type="dxa"/>
          </w:tcPr>
          <w:p w:rsidR="00E032A0" w:rsidRPr="00DD26D2" w:rsidRDefault="00E032A0" w:rsidP="00E032A0">
            <w:pPr>
              <w:cnfStyle w:val="000000000000" w:firstRow="0" w:lastRow="0" w:firstColumn="0" w:lastColumn="0" w:oddVBand="0" w:evenVBand="0" w:oddHBand="0" w:evenHBand="0" w:firstRowFirstColumn="0" w:firstRowLastColumn="0" w:lastRowFirstColumn="0" w:lastRowLastColumn="0"/>
              <w:rPr>
                <w:szCs w:val="24"/>
              </w:rPr>
            </w:pPr>
            <w:r w:rsidRPr="00DD26D2">
              <w:rPr>
                <w:szCs w:val="24"/>
              </w:rPr>
              <w:t>192</w:t>
            </w:r>
          </w:p>
        </w:tc>
        <w:tc>
          <w:tcPr>
            <w:tcW w:w="2311" w:type="dxa"/>
          </w:tcPr>
          <w:p w:rsidR="00E032A0" w:rsidRPr="00DD26D2" w:rsidRDefault="00E032A0" w:rsidP="00E032A0">
            <w:pPr>
              <w:cnfStyle w:val="000000000000" w:firstRow="0" w:lastRow="0" w:firstColumn="0" w:lastColumn="0" w:oddVBand="0" w:evenVBand="0" w:oddHBand="0" w:evenHBand="0" w:firstRowFirstColumn="0" w:firstRowLastColumn="0" w:lastRowFirstColumn="0" w:lastRowLastColumn="0"/>
              <w:rPr>
                <w:szCs w:val="24"/>
              </w:rPr>
            </w:pPr>
            <w:r w:rsidRPr="00DD26D2">
              <w:rPr>
                <w:szCs w:val="24"/>
              </w:rPr>
              <w:t>61885</w:t>
            </w:r>
          </w:p>
        </w:tc>
        <w:tc>
          <w:tcPr>
            <w:tcW w:w="2311" w:type="dxa"/>
          </w:tcPr>
          <w:p w:rsidR="00E032A0" w:rsidRPr="00DD26D2" w:rsidRDefault="00E032A0" w:rsidP="00E032A0">
            <w:pPr>
              <w:cnfStyle w:val="000000000000" w:firstRow="0" w:lastRow="0" w:firstColumn="0" w:lastColumn="0" w:oddVBand="0" w:evenVBand="0" w:oddHBand="0" w:evenHBand="0" w:firstRowFirstColumn="0" w:firstRowLastColumn="0" w:lastRowFirstColumn="0" w:lastRowLastColumn="0"/>
              <w:rPr>
                <w:szCs w:val="24"/>
              </w:rPr>
            </w:pPr>
            <w:r w:rsidRPr="00DD26D2">
              <w:rPr>
                <w:szCs w:val="24"/>
              </w:rPr>
              <w:t>31</w:t>
            </w:r>
          </w:p>
        </w:tc>
      </w:tr>
      <w:tr w:rsidR="00E032A0" w:rsidRPr="00DD26D2" w:rsidTr="00E03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rsidR="00E032A0" w:rsidRPr="00DD26D2" w:rsidRDefault="00E032A0" w:rsidP="00E032A0">
            <w:pPr>
              <w:rPr>
                <w:szCs w:val="24"/>
              </w:rPr>
            </w:pPr>
            <w:r w:rsidRPr="00DD26D2">
              <w:rPr>
                <w:szCs w:val="24"/>
              </w:rPr>
              <w:t>Southend</w:t>
            </w:r>
          </w:p>
        </w:tc>
        <w:tc>
          <w:tcPr>
            <w:tcW w:w="2310" w:type="dxa"/>
          </w:tcPr>
          <w:p w:rsidR="00E032A0" w:rsidRPr="00DD26D2" w:rsidRDefault="00E032A0" w:rsidP="00E032A0">
            <w:pPr>
              <w:cnfStyle w:val="000000100000" w:firstRow="0" w:lastRow="0" w:firstColumn="0" w:lastColumn="0" w:oddVBand="0" w:evenVBand="0" w:oddHBand="1" w:evenHBand="0" w:firstRowFirstColumn="0" w:firstRowLastColumn="0" w:lastRowFirstColumn="0" w:lastRowLastColumn="0"/>
              <w:rPr>
                <w:szCs w:val="24"/>
              </w:rPr>
            </w:pPr>
            <w:r w:rsidRPr="00DD26D2">
              <w:rPr>
                <w:szCs w:val="24"/>
              </w:rPr>
              <w:t>137</w:t>
            </w:r>
          </w:p>
        </w:tc>
        <w:tc>
          <w:tcPr>
            <w:tcW w:w="2311" w:type="dxa"/>
          </w:tcPr>
          <w:p w:rsidR="00E032A0" w:rsidRPr="00DD26D2" w:rsidRDefault="00E032A0" w:rsidP="00E032A0">
            <w:pPr>
              <w:cnfStyle w:val="000000100000" w:firstRow="0" w:lastRow="0" w:firstColumn="0" w:lastColumn="0" w:oddVBand="0" w:evenVBand="0" w:oddHBand="1" w:evenHBand="0" w:firstRowFirstColumn="0" w:firstRowLastColumn="0" w:lastRowFirstColumn="0" w:lastRowLastColumn="0"/>
              <w:rPr>
                <w:szCs w:val="24"/>
              </w:rPr>
            </w:pPr>
            <w:r w:rsidRPr="00DD26D2">
              <w:rPr>
                <w:szCs w:val="24"/>
              </w:rPr>
              <w:t>41765</w:t>
            </w:r>
          </w:p>
        </w:tc>
        <w:tc>
          <w:tcPr>
            <w:tcW w:w="2311" w:type="dxa"/>
          </w:tcPr>
          <w:p w:rsidR="00E032A0" w:rsidRPr="00DD26D2" w:rsidRDefault="00E032A0" w:rsidP="00E032A0">
            <w:pPr>
              <w:cnfStyle w:val="000000100000" w:firstRow="0" w:lastRow="0" w:firstColumn="0" w:lastColumn="0" w:oddVBand="0" w:evenVBand="0" w:oddHBand="1" w:evenHBand="0" w:firstRowFirstColumn="0" w:firstRowLastColumn="0" w:lastRowFirstColumn="0" w:lastRowLastColumn="0"/>
              <w:rPr>
                <w:szCs w:val="24"/>
              </w:rPr>
            </w:pPr>
            <w:r w:rsidRPr="00DD26D2">
              <w:rPr>
                <w:szCs w:val="24"/>
              </w:rPr>
              <w:t>32.8</w:t>
            </w:r>
          </w:p>
        </w:tc>
      </w:tr>
      <w:tr w:rsidR="00E032A0" w:rsidRPr="00DD26D2" w:rsidTr="00E032A0">
        <w:tc>
          <w:tcPr>
            <w:cnfStyle w:val="001000000000" w:firstRow="0" w:lastRow="0" w:firstColumn="1" w:lastColumn="0" w:oddVBand="0" w:evenVBand="0" w:oddHBand="0" w:evenHBand="0" w:firstRowFirstColumn="0" w:firstRowLastColumn="0" w:lastRowFirstColumn="0" w:lastRowLastColumn="0"/>
            <w:tcW w:w="2310" w:type="dxa"/>
          </w:tcPr>
          <w:p w:rsidR="00E032A0" w:rsidRPr="00DD26D2" w:rsidRDefault="00E032A0" w:rsidP="00E032A0">
            <w:pPr>
              <w:rPr>
                <w:szCs w:val="24"/>
              </w:rPr>
            </w:pPr>
            <w:r w:rsidRPr="00DD26D2">
              <w:rPr>
                <w:szCs w:val="24"/>
              </w:rPr>
              <w:t>North Lincolnshire</w:t>
            </w:r>
          </w:p>
        </w:tc>
        <w:tc>
          <w:tcPr>
            <w:tcW w:w="2310" w:type="dxa"/>
          </w:tcPr>
          <w:p w:rsidR="00E032A0" w:rsidRPr="00DD26D2" w:rsidRDefault="00E032A0" w:rsidP="00E032A0">
            <w:pPr>
              <w:cnfStyle w:val="000000000000" w:firstRow="0" w:lastRow="0" w:firstColumn="0" w:lastColumn="0" w:oddVBand="0" w:evenVBand="0" w:oddHBand="0" w:evenHBand="0" w:firstRowFirstColumn="0" w:firstRowLastColumn="0" w:lastRowFirstColumn="0" w:lastRowLastColumn="0"/>
              <w:rPr>
                <w:szCs w:val="24"/>
              </w:rPr>
            </w:pPr>
            <w:r w:rsidRPr="00DD26D2">
              <w:rPr>
                <w:szCs w:val="24"/>
              </w:rPr>
              <w:t>99</w:t>
            </w:r>
          </w:p>
        </w:tc>
        <w:tc>
          <w:tcPr>
            <w:tcW w:w="2311" w:type="dxa"/>
          </w:tcPr>
          <w:p w:rsidR="00E032A0" w:rsidRPr="00DD26D2" w:rsidRDefault="00E032A0" w:rsidP="00E032A0">
            <w:pPr>
              <w:cnfStyle w:val="000000000000" w:firstRow="0" w:lastRow="0" w:firstColumn="0" w:lastColumn="0" w:oddVBand="0" w:evenVBand="0" w:oddHBand="0" w:evenHBand="0" w:firstRowFirstColumn="0" w:firstRowLastColumn="0" w:lastRowFirstColumn="0" w:lastRowLastColumn="0"/>
              <w:rPr>
                <w:szCs w:val="24"/>
              </w:rPr>
            </w:pPr>
            <w:r w:rsidRPr="00DD26D2">
              <w:rPr>
                <w:szCs w:val="24"/>
              </w:rPr>
              <w:t>38822</w:t>
            </w:r>
          </w:p>
        </w:tc>
        <w:tc>
          <w:tcPr>
            <w:tcW w:w="2311" w:type="dxa"/>
          </w:tcPr>
          <w:p w:rsidR="00E032A0" w:rsidRPr="00DD26D2" w:rsidRDefault="00E032A0" w:rsidP="00E032A0">
            <w:pPr>
              <w:cnfStyle w:val="000000000000" w:firstRow="0" w:lastRow="0" w:firstColumn="0" w:lastColumn="0" w:oddVBand="0" w:evenVBand="0" w:oddHBand="0" w:evenHBand="0" w:firstRowFirstColumn="0" w:firstRowLastColumn="0" w:lastRowFirstColumn="0" w:lastRowLastColumn="0"/>
              <w:rPr>
                <w:szCs w:val="24"/>
              </w:rPr>
            </w:pPr>
            <w:r w:rsidRPr="00DD26D2">
              <w:rPr>
                <w:szCs w:val="24"/>
              </w:rPr>
              <w:t>25.5</w:t>
            </w:r>
          </w:p>
        </w:tc>
      </w:tr>
      <w:tr w:rsidR="00E032A0" w:rsidRPr="00DD26D2" w:rsidTr="00437E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shd w:val="clear" w:color="auto" w:fill="4F81BD"/>
          </w:tcPr>
          <w:p w:rsidR="00E032A0" w:rsidRPr="00437EB6" w:rsidRDefault="00E032A0" w:rsidP="00E032A0">
            <w:pPr>
              <w:rPr>
                <w:b w:val="0"/>
                <w:color w:val="FFFFFF" w:themeColor="background1"/>
                <w:szCs w:val="24"/>
              </w:rPr>
            </w:pPr>
            <w:r w:rsidRPr="00437EB6">
              <w:rPr>
                <w:b w:val="0"/>
                <w:color w:val="FFFFFF" w:themeColor="background1"/>
                <w:szCs w:val="24"/>
              </w:rPr>
              <w:t>Medway</w:t>
            </w:r>
          </w:p>
        </w:tc>
        <w:tc>
          <w:tcPr>
            <w:tcW w:w="2310" w:type="dxa"/>
            <w:shd w:val="clear" w:color="auto" w:fill="4F81BD"/>
          </w:tcPr>
          <w:p w:rsidR="00E032A0" w:rsidRPr="00437EB6" w:rsidRDefault="00E032A0" w:rsidP="00E032A0">
            <w:pPr>
              <w:cnfStyle w:val="000000100000" w:firstRow="0" w:lastRow="0" w:firstColumn="0" w:lastColumn="0" w:oddVBand="0" w:evenVBand="0" w:oddHBand="1" w:evenHBand="0" w:firstRowFirstColumn="0" w:firstRowLastColumn="0" w:lastRowFirstColumn="0" w:lastRowLastColumn="0"/>
              <w:rPr>
                <w:color w:val="FFFFFF" w:themeColor="background1"/>
                <w:szCs w:val="24"/>
              </w:rPr>
            </w:pPr>
            <w:r w:rsidRPr="00437EB6">
              <w:rPr>
                <w:color w:val="FFFFFF" w:themeColor="background1"/>
                <w:szCs w:val="24"/>
              </w:rPr>
              <w:t>238</w:t>
            </w:r>
          </w:p>
        </w:tc>
        <w:tc>
          <w:tcPr>
            <w:tcW w:w="2311" w:type="dxa"/>
            <w:shd w:val="clear" w:color="auto" w:fill="4F81BD"/>
          </w:tcPr>
          <w:p w:rsidR="00E032A0" w:rsidRPr="00437EB6" w:rsidRDefault="00E032A0" w:rsidP="00E032A0">
            <w:pPr>
              <w:cnfStyle w:val="000000100000" w:firstRow="0" w:lastRow="0" w:firstColumn="0" w:lastColumn="0" w:oddVBand="0" w:evenVBand="0" w:oddHBand="1" w:evenHBand="0" w:firstRowFirstColumn="0" w:firstRowLastColumn="0" w:lastRowFirstColumn="0" w:lastRowLastColumn="0"/>
              <w:rPr>
                <w:color w:val="FFFFFF" w:themeColor="background1"/>
                <w:szCs w:val="24"/>
              </w:rPr>
            </w:pPr>
            <w:r w:rsidRPr="00437EB6">
              <w:rPr>
                <w:color w:val="FFFFFF" w:themeColor="background1"/>
                <w:szCs w:val="24"/>
              </w:rPr>
              <w:t>65</w:t>
            </w:r>
            <w:r w:rsidR="00437EB6" w:rsidRPr="00437EB6">
              <w:rPr>
                <w:color w:val="FFFFFF" w:themeColor="background1"/>
                <w:szCs w:val="24"/>
              </w:rPr>
              <w:t>,</w:t>
            </w:r>
            <w:r w:rsidRPr="00437EB6">
              <w:rPr>
                <w:color w:val="FFFFFF" w:themeColor="background1"/>
                <w:szCs w:val="24"/>
              </w:rPr>
              <w:t>678</w:t>
            </w:r>
            <w:r w:rsidR="00437EB6" w:rsidRPr="00437EB6">
              <w:rPr>
                <w:color w:val="FFFFFF" w:themeColor="background1"/>
                <w:szCs w:val="24"/>
              </w:rPr>
              <w:t xml:space="preserve"> (ONS)</w:t>
            </w:r>
          </w:p>
        </w:tc>
        <w:tc>
          <w:tcPr>
            <w:tcW w:w="2311" w:type="dxa"/>
            <w:shd w:val="clear" w:color="auto" w:fill="4F81BD"/>
          </w:tcPr>
          <w:p w:rsidR="00E032A0" w:rsidRPr="00437EB6" w:rsidRDefault="00E032A0" w:rsidP="00E032A0">
            <w:pPr>
              <w:cnfStyle w:val="000000100000" w:firstRow="0" w:lastRow="0" w:firstColumn="0" w:lastColumn="0" w:oddVBand="0" w:evenVBand="0" w:oddHBand="1" w:evenHBand="0" w:firstRowFirstColumn="0" w:firstRowLastColumn="0" w:lastRowFirstColumn="0" w:lastRowLastColumn="0"/>
              <w:rPr>
                <w:color w:val="FFFFFF" w:themeColor="background1"/>
                <w:szCs w:val="24"/>
              </w:rPr>
            </w:pPr>
            <w:r w:rsidRPr="00437EB6">
              <w:rPr>
                <w:color w:val="FFFFFF" w:themeColor="background1"/>
                <w:szCs w:val="24"/>
              </w:rPr>
              <w:t>36.2</w:t>
            </w:r>
          </w:p>
        </w:tc>
      </w:tr>
    </w:tbl>
    <w:p w:rsidR="0043137F" w:rsidRPr="0077160B" w:rsidRDefault="0043137F" w:rsidP="00DD26D2">
      <w:pPr>
        <w:pStyle w:val="Heading2"/>
      </w:pPr>
      <w:bookmarkStart w:id="41" w:name="_Toc434938052"/>
      <w:r w:rsidRPr="0077160B">
        <w:t>Cystic Fibrosis</w:t>
      </w:r>
      <w:bookmarkEnd w:id="41"/>
    </w:p>
    <w:p w:rsidR="0043137F" w:rsidRDefault="0043137F" w:rsidP="0043137F">
      <w:pPr>
        <w:contextualSpacing/>
        <w:rPr>
          <w:rFonts w:cs="Arial"/>
        </w:rPr>
      </w:pPr>
      <w:r w:rsidRPr="00900F7E">
        <w:rPr>
          <w:rFonts w:cs="Arial"/>
        </w:rPr>
        <w:t>Cystic f</w:t>
      </w:r>
      <w:r w:rsidR="009C35FA">
        <w:rPr>
          <w:rFonts w:cs="Arial"/>
        </w:rPr>
        <w:t>ibrosis (CF) is the most common</w:t>
      </w:r>
      <w:r w:rsidRPr="00900F7E">
        <w:rPr>
          <w:rFonts w:cs="Arial"/>
        </w:rPr>
        <w:t xml:space="preserve"> life</w:t>
      </w:r>
      <w:r w:rsidR="009C35FA">
        <w:rPr>
          <w:rFonts w:cs="Arial"/>
        </w:rPr>
        <w:t xml:space="preserve">-limiting </w:t>
      </w:r>
      <w:r w:rsidRPr="00900F7E">
        <w:rPr>
          <w:rFonts w:cs="Arial"/>
        </w:rPr>
        <w:t>disease in the UK, affecting about 7,700 people in England (1 in 2,500 live births)</w:t>
      </w:r>
      <w:r w:rsidR="00792529">
        <w:rPr>
          <w:rStyle w:val="FootnoteReference"/>
          <w:rFonts w:cs="Arial"/>
        </w:rPr>
        <w:footnoteReference w:id="62"/>
      </w:r>
      <w:r w:rsidRPr="00900F7E">
        <w:rPr>
          <w:rFonts w:cs="Arial"/>
        </w:rPr>
        <w:t xml:space="preserve">. </w:t>
      </w:r>
    </w:p>
    <w:p w:rsidR="00792529" w:rsidRPr="00900F7E" w:rsidRDefault="00792529" w:rsidP="0043137F">
      <w:pPr>
        <w:contextualSpacing/>
        <w:rPr>
          <w:rFonts w:cs="Arial"/>
        </w:rPr>
      </w:pPr>
    </w:p>
    <w:p w:rsidR="0043137F" w:rsidRPr="00900F7E" w:rsidRDefault="00815DA7" w:rsidP="0043137F">
      <w:r w:rsidRPr="00900F7E">
        <w:rPr>
          <w:rFonts w:cs="Arial"/>
        </w:rPr>
        <w:t>CO</w:t>
      </w:r>
      <w:r>
        <w:rPr>
          <w:rFonts w:cs="Arial"/>
        </w:rPr>
        <w:t>a</w:t>
      </w:r>
      <w:r w:rsidRPr="00900F7E">
        <w:rPr>
          <w:rFonts w:cs="Arial"/>
        </w:rPr>
        <w:t xml:space="preserve">ST </w:t>
      </w:r>
      <w:r w:rsidR="008F4EDC" w:rsidRPr="00900F7E">
        <w:rPr>
          <w:rFonts w:cs="Arial"/>
        </w:rPr>
        <w:t xml:space="preserve">carry a </w:t>
      </w:r>
      <w:r w:rsidR="009F316B" w:rsidRPr="00900F7E">
        <w:rPr>
          <w:rFonts w:cs="Arial"/>
        </w:rPr>
        <w:t>Medway</w:t>
      </w:r>
      <w:r w:rsidR="0043137F" w:rsidRPr="00900F7E">
        <w:rPr>
          <w:rFonts w:cs="Arial"/>
        </w:rPr>
        <w:t xml:space="preserve"> </w:t>
      </w:r>
      <w:r w:rsidR="008F4EDC" w:rsidRPr="00900F7E">
        <w:rPr>
          <w:rFonts w:cs="Arial"/>
        </w:rPr>
        <w:t xml:space="preserve">caseload of </w:t>
      </w:r>
      <w:r w:rsidR="00CC21B1" w:rsidRPr="00900F7E">
        <w:t>13</w:t>
      </w:r>
      <w:r w:rsidR="008F4EDC" w:rsidRPr="00900F7E">
        <w:t xml:space="preserve"> young people with CF, and also support some children registered in the Dartford and Gravesham NHS Trust area who would otherwise have to travel to London for care (which could result in increased exposure to infection).</w:t>
      </w:r>
    </w:p>
    <w:p w:rsidR="007E4F74" w:rsidRPr="00E2146F" w:rsidRDefault="007E4F74" w:rsidP="00DD26D2">
      <w:pPr>
        <w:pStyle w:val="Heading2"/>
      </w:pPr>
      <w:bookmarkStart w:id="42" w:name="_Toc434938053"/>
      <w:r w:rsidRPr="00E2146F">
        <w:t>Cancer</w:t>
      </w:r>
      <w:bookmarkEnd w:id="42"/>
    </w:p>
    <w:p w:rsidR="008F4EDC" w:rsidRDefault="008F4EDC" w:rsidP="008F4EDC">
      <w:pPr>
        <w:rPr>
          <w:rFonts w:cs="Arial"/>
          <w:color w:val="000000"/>
          <w:sz w:val="23"/>
          <w:szCs w:val="23"/>
        </w:rPr>
      </w:pPr>
      <w:r w:rsidRPr="005C553C">
        <w:rPr>
          <w:rFonts w:cs="Arial"/>
          <w:color w:val="000000"/>
        </w:rPr>
        <w:t>Cancer in children is rare. About one in 600 children develops a cancer by age 15 years. There are approximately 1,400 new cases of cancer among children 0-15 years in the UK each year; an annual incidence rate of approximately 1:7700</w:t>
      </w:r>
      <w:r w:rsidR="00B975D7">
        <w:rPr>
          <w:rFonts w:cs="Arial"/>
          <w:color w:val="000000"/>
          <w:sz w:val="23"/>
          <w:szCs w:val="23"/>
        </w:rPr>
        <w:t>.</w:t>
      </w:r>
      <w:r w:rsidR="00B975D7">
        <w:rPr>
          <w:rStyle w:val="FootnoteReference"/>
          <w:rFonts w:cs="Arial"/>
          <w:color w:val="000000"/>
          <w:sz w:val="23"/>
          <w:szCs w:val="23"/>
        </w:rPr>
        <w:footnoteReference w:id="63"/>
      </w:r>
    </w:p>
    <w:p w:rsidR="00B975D7" w:rsidRDefault="00B975D7" w:rsidP="008F4EDC">
      <w:pPr>
        <w:rPr>
          <w:rFonts w:cs="Arial"/>
          <w:color w:val="000000"/>
          <w:sz w:val="23"/>
          <w:szCs w:val="23"/>
        </w:rPr>
      </w:pPr>
    </w:p>
    <w:p w:rsidR="008F4EDC" w:rsidRPr="005C553C" w:rsidRDefault="00681A10" w:rsidP="008F4EDC">
      <w:pPr>
        <w:rPr>
          <w:rFonts w:cs="Arial"/>
          <w:color w:val="000000"/>
          <w:szCs w:val="23"/>
        </w:rPr>
      </w:pPr>
      <w:r w:rsidRPr="005C553C">
        <w:rPr>
          <w:rFonts w:cs="Arial"/>
          <w:color w:val="000000"/>
          <w:szCs w:val="23"/>
        </w:rPr>
        <w:t>Most of the cancers affecting children differ from those affecting adults.  Treatment is frequently complex and intensive but cure rates among children are much higher than for most adult cancers, and overall more than 80% of children are completely cured. A significant proportion of these will experience long-term side effects from their treatment.</w:t>
      </w:r>
      <w:r w:rsidR="00B975D7" w:rsidRPr="005C553C">
        <w:rPr>
          <w:rStyle w:val="FootnoteReference"/>
          <w:rFonts w:cs="Arial"/>
          <w:color w:val="000000"/>
          <w:szCs w:val="23"/>
        </w:rPr>
        <w:footnoteReference w:id="64"/>
      </w:r>
    </w:p>
    <w:p w:rsidR="00681A10" w:rsidRPr="005C553C" w:rsidRDefault="00681A10" w:rsidP="00681A10">
      <w:pPr>
        <w:rPr>
          <w:rFonts w:cs="Arial"/>
          <w:color w:val="000000"/>
          <w:szCs w:val="23"/>
        </w:rPr>
      </w:pPr>
    </w:p>
    <w:p w:rsidR="00681A10" w:rsidRPr="005C553C" w:rsidRDefault="00B975D7" w:rsidP="00681A10">
      <w:pPr>
        <w:rPr>
          <w:rFonts w:cs="Arial"/>
          <w:color w:val="000000"/>
          <w:szCs w:val="23"/>
        </w:rPr>
      </w:pPr>
      <w:r w:rsidRPr="005C553C">
        <w:rPr>
          <w:rFonts w:cs="Arial"/>
          <w:color w:val="000000"/>
          <w:szCs w:val="23"/>
        </w:rPr>
        <w:lastRenderedPageBreak/>
        <w:t>Across the 0-19 age range, the highest incidence of cancer is among children 0-4 ye</w:t>
      </w:r>
      <w:r w:rsidR="00437EB6" w:rsidRPr="005C553C">
        <w:rPr>
          <w:rFonts w:cs="Arial"/>
          <w:color w:val="000000"/>
          <w:szCs w:val="23"/>
        </w:rPr>
        <w:t>ars, reducing among children 5-</w:t>
      </w:r>
      <w:r w:rsidRPr="005C553C">
        <w:rPr>
          <w:rFonts w:cs="Arial"/>
          <w:color w:val="000000"/>
          <w:szCs w:val="23"/>
        </w:rPr>
        <w:t xml:space="preserve">14, and rising again among teenagers over 15 years. The incidence of childhood cancer in each region is similar to across the UK.  </w:t>
      </w:r>
      <w:r w:rsidR="00681A10" w:rsidRPr="005C553C">
        <w:rPr>
          <w:rFonts w:cs="Arial"/>
          <w:color w:val="000000"/>
          <w:szCs w:val="23"/>
        </w:rPr>
        <w:t>The literature suggests a plateau had been reached in childhood cancer incidence rates from the mid-1990s onwards.</w:t>
      </w:r>
      <w:r w:rsidRPr="005C553C">
        <w:rPr>
          <w:rStyle w:val="FootnoteReference"/>
          <w:rFonts w:cs="Arial"/>
          <w:color w:val="000000"/>
          <w:szCs w:val="23"/>
        </w:rPr>
        <w:footnoteReference w:id="65"/>
      </w:r>
      <w:r w:rsidR="008F4EDC" w:rsidRPr="005C553C">
        <w:rPr>
          <w:rFonts w:cs="Arial"/>
          <w:color w:val="000000"/>
          <w:szCs w:val="23"/>
        </w:rPr>
        <w:t xml:space="preserve"> </w:t>
      </w:r>
    </w:p>
    <w:p w:rsidR="00681A10" w:rsidRDefault="00681A10" w:rsidP="00681A10">
      <w:pPr>
        <w:rPr>
          <w:rFonts w:cs="Arial"/>
          <w:color w:val="000000"/>
          <w:sz w:val="23"/>
          <w:szCs w:val="23"/>
        </w:rPr>
      </w:pPr>
    </w:p>
    <w:p w:rsidR="00E2146F" w:rsidRDefault="00B975D7" w:rsidP="00681A10">
      <w:r>
        <w:rPr>
          <w:szCs w:val="24"/>
        </w:rPr>
        <w:t>COaST carries a caseload of 10</w:t>
      </w:r>
      <w:r w:rsidR="00E2146F" w:rsidRPr="009D1F46">
        <w:rPr>
          <w:szCs w:val="24"/>
        </w:rPr>
        <w:t xml:space="preserve"> </w:t>
      </w:r>
      <w:r w:rsidR="009F316B" w:rsidRPr="009D1F46">
        <w:rPr>
          <w:szCs w:val="24"/>
        </w:rPr>
        <w:t>Medway</w:t>
      </w:r>
      <w:r>
        <w:rPr>
          <w:szCs w:val="24"/>
        </w:rPr>
        <w:t xml:space="preserve"> children suffering </w:t>
      </w:r>
      <w:r w:rsidR="002503F6">
        <w:rPr>
          <w:szCs w:val="24"/>
        </w:rPr>
        <w:t>from c</w:t>
      </w:r>
      <w:r w:rsidR="002503F6">
        <w:t>ancer &amp; leukaemia.</w:t>
      </w:r>
    </w:p>
    <w:p w:rsidR="00CF3557" w:rsidRDefault="00CF3557" w:rsidP="003E7D39">
      <w:pPr>
        <w:pStyle w:val="Heading2"/>
      </w:pPr>
      <w:bookmarkStart w:id="43" w:name="_Toc434938054"/>
      <w:r>
        <w:t xml:space="preserve">Continuing </w:t>
      </w:r>
      <w:r w:rsidR="00437EB6">
        <w:t>Care</w:t>
      </w:r>
      <w:bookmarkEnd w:id="43"/>
    </w:p>
    <w:p w:rsidR="00437EB6" w:rsidRDefault="00437EB6" w:rsidP="002503F6">
      <w:r>
        <w:t>A continuing care package will be required when a child has needs arising from a disability, accident or illness that cannot be met by existing universal or specialist services alone.</w:t>
      </w:r>
      <w:r w:rsidR="001E3AC3">
        <w:t xml:space="preserve">  A continuing care package will include a range of service commissioned by the NHS and local authorities.</w:t>
      </w:r>
    </w:p>
    <w:p w:rsidR="001E3AC3" w:rsidRDefault="001E3AC3" w:rsidP="002503F6"/>
    <w:p w:rsidR="0077437A" w:rsidRDefault="0077437A" w:rsidP="002503F6">
      <w:r>
        <w:t xml:space="preserve">Eleven children </w:t>
      </w:r>
      <w:r w:rsidR="00B75465">
        <w:t xml:space="preserve">with complex medical needs </w:t>
      </w:r>
      <w:r>
        <w:t xml:space="preserve">are </w:t>
      </w:r>
      <w:r w:rsidR="00B75465">
        <w:t xml:space="preserve">currently </w:t>
      </w:r>
      <w:r>
        <w:t>receiving packages of care</w:t>
      </w:r>
      <w:r w:rsidR="00A9189A">
        <w:t xml:space="preserve"> from COaST</w:t>
      </w:r>
      <w:r>
        <w:t xml:space="preserve">, at a projected </w:t>
      </w:r>
      <w:r w:rsidR="00A9189A">
        <w:t>2015/16 cost of £736,771</w:t>
      </w:r>
      <w:r>
        <w:t>. Six of the children require long term ventilation via tracheostomy (see ‘Trends’ below).</w:t>
      </w:r>
    </w:p>
    <w:p w:rsidR="002503F6" w:rsidRDefault="002503F6" w:rsidP="005C553C">
      <w:pPr>
        <w:pStyle w:val="Heading2"/>
      </w:pPr>
      <w:bookmarkStart w:id="44" w:name="_Toc434938055"/>
      <w:r>
        <w:t xml:space="preserve">Children and young people who are in residential placements </w:t>
      </w:r>
      <w:r w:rsidR="00A9189A">
        <w:t xml:space="preserve">and </w:t>
      </w:r>
      <w:r>
        <w:t>in receipt of tri-partite funding</w:t>
      </w:r>
      <w:bookmarkEnd w:id="44"/>
    </w:p>
    <w:p w:rsidR="00291868" w:rsidRDefault="00291868" w:rsidP="00291868"/>
    <w:p w:rsidR="00291868" w:rsidRDefault="005C3B2A" w:rsidP="00291868">
      <w:r>
        <w:t xml:space="preserve">Currently ten </w:t>
      </w:r>
      <w:r w:rsidR="00291868">
        <w:t xml:space="preserve">children </w:t>
      </w:r>
      <w:r w:rsidR="002703A0">
        <w:t>are in receipt of tri-partite funding</w:t>
      </w:r>
      <w:r w:rsidR="00B75465">
        <w:t xml:space="preserve"> from</w:t>
      </w:r>
      <w:r w:rsidR="00DF133A">
        <w:t xml:space="preserve"> the</w:t>
      </w:r>
      <w:r w:rsidR="00B75465">
        <w:t xml:space="preserve"> Medway CCG</w:t>
      </w:r>
      <w:r w:rsidR="00DF133A">
        <w:t xml:space="preserve"> Continuing Care budget</w:t>
      </w:r>
      <w:r w:rsidR="00B75465">
        <w:t xml:space="preserve">, </w:t>
      </w:r>
      <w:r w:rsidR="00DF133A">
        <w:t xml:space="preserve">and </w:t>
      </w:r>
      <w:r w:rsidR="00B75465">
        <w:t>Medway Children’s Social Care and Education budgets</w:t>
      </w:r>
      <w:r w:rsidR="002703A0">
        <w:t>, at a projected to</w:t>
      </w:r>
      <w:r w:rsidR="00A9189A">
        <w:t>tal annual cost of over £1.6</w:t>
      </w:r>
      <w:r w:rsidR="002703A0">
        <w:t xml:space="preserve"> million. </w:t>
      </w:r>
      <w:r w:rsidR="009C35FA">
        <w:t xml:space="preserve"> </w:t>
      </w:r>
      <w:r w:rsidR="002703A0">
        <w:t>The health element amounts to £</w:t>
      </w:r>
      <w:r w:rsidR="00A9189A">
        <w:t>346,645</w:t>
      </w:r>
      <w:r w:rsidR="002703A0">
        <w:t>, compared to £860,751 for children’s social care and £557,344 for education.</w:t>
      </w:r>
    </w:p>
    <w:p w:rsidR="00BE1944" w:rsidRDefault="00BE1944" w:rsidP="00291868"/>
    <w:p w:rsidR="00DF133A" w:rsidRDefault="00BE1944" w:rsidP="00DF133A">
      <w:r>
        <w:t>Seven of the ten have a diagnosis of Autistic Spectrum Disorder, and five have mental health d</w:t>
      </w:r>
      <w:r w:rsidR="00FF415E">
        <w:t xml:space="preserve">ifficulties.  </w:t>
      </w:r>
      <w:r w:rsidR="00DF133A">
        <w:t xml:space="preserve">The Department of Health is currently consulting on the Framework for Children and Young People’s Continuing Care, which </w:t>
      </w:r>
      <w:r w:rsidR="00DF133A" w:rsidRPr="00DF133A">
        <w:t xml:space="preserve">intended to provide </w:t>
      </w:r>
      <w:r w:rsidR="00DF133A">
        <w:t xml:space="preserve">revised </w:t>
      </w:r>
      <w:r w:rsidR="00DF133A" w:rsidRPr="00DF133A">
        <w:t>guidance for</w:t>
      </w:r>
      <w:r w:rsidR="00DF133A">
        <w:t xml:space="preserve"> CCGs</w:t>
      </w:r>
      <w:r w:rsidR="00DF133A" w:rsidRPr="00DF133A">
        <w:t xml:space="preserve"> and local authorities on the process for assessing, deciding and agreeing packages of continuing care for children and young people</w:t>
      </w:r>
    </w:p>
    <w:p w:rsidR="00FA664E" w:rsidRDefault="00BA4F24" w:rsidP="00FA664E">
      <w:pPr>
        <w:pStyle w:val="Heading2"/>
      </w:pPr>
      <w:bookmarkStart w:id="45" w:name="_Toc434938056"/>
      <w:r>
        <w:t>Impact of disability and illness</w:t>
      </w:r>
      <w:bookmarkEnd w:id="45"/>
    </w:p>
    <w:p w:rsidR="008A75E6" w:rsidRDefault="001D3A4F" w:rsidP="009C35FA">
      <w:r>
        <w:t xml:space="preserve">The </w:t>
      </w:r>
      <w:r w:rsidR="00F96849">
        <w:t xml:space="preserve">functional </w:t>
      </w:r>
      <w:r>
        <w:t xml:space="preserve">impacts of disability, illness and impairment on the daily life of children and young people are varied in terms of </w:t>
      </w:r>
      <w:r w:rsidR="00F96849">
        <w:t xml:space="preserve">their </w:t>
      </w:r>
      <w:r w:rsidR="00A210B2">
        <w:t>severity and longevity</w:t>
      </w:r>
      <w:r w:rsidR="00F96849">
        <w:t xml:space="preserve">.  </w:t>
      </w:r>
      <w:r w:rsidR="00FA664E">
        <w:t>At the time of writing, Medway</w:t>
      </w:r>
      <w:r w:rsidR="00316A59">
        <w:t xml:space="preserve"> Council is</w:t>
      </w:r>
      <w:r w:rsidR="00FA664E">
        <w:t xml:space="preserve"> tender</w:t>
      </w:r>
      <w:r w:rsidR="00316A59">
        <w:t>ing</w:t>
      </w:r>
      <w:r w:rsidR="00FA664E">
        <w:t xml:space="preserve"> for </w:t>
      </w:r>
      <w:r w:rsidR="00316A59">
        <w:t>‘</w:t>
      </w:r>
      <w:r w:rsidR="00FA664E">
        <w:t>short breaks</w:t>
      </w:r>
      <w:r w:rsidR="00316A59">
        <w:t>’ provision</w:t>
      </w:r>
      <w:r w:rsidR="00FA664E">
        <w:t xml:space="preserve"> for disabled children.  </w:t>
      </w:r>
      <w:r w:rsidR="008A75E6">
        <w:t>Providers have been given</w:t>
      </w:r>
      <w:r w:rsidR="00316A59">
        <w:t xml:space="preserve"> the following</w:t>
      </w:r>
      <w:r w:rsidR="008A75E6">
        <w:t xml:space="preserve"> illust</w:t>
      </w:r>
      <w:r w:rsidR="00316A59">
        <w:t>rative levels of need that the range of services will encompass:</w:t>
      </w:r>
    </w:p>
    <w:p w:rsidR="008A75E6" w:rsidRDefault="008A75E6" w:rsidP="009C35FA"/>
    <w:p w:rsidR="008A75E6" w:rsidRDefault="008A75E6" w:rsidP="009C35FA">
      <w:r w:rsidRPr="007336B2">
        <w:t> </w:t>
      </w:r>
      <w:r>
        <w:t xml:space="preserve">Children and young people </w:t>
      </w:r>
      <w:r w:rsidR="009533E9">
        <w:t>accessing</w:t>
      </w:r>
      <w:r>
        <w:t xml:space="preserve"> </w:t>
      </w:r>
      <w:r w:rsidRPr="009533E9">
        <w:rPr>
          <w:i/>
        </w:rPr>
        <w:t>u</w:t>
      </w:r>
      <w:r w:rsidRPr="007336B2">
        <w:rPr>
          <w:i/>
        </w:rPr>
        <w:t>niversal</w:t>
      </w:r>
      <w:r>
        <w:t xml:space="preserve"> services</w:t>
      </w:r>
      <w:r w:rsidR="009533E9">
        <w:t xml:space="preserve"> may have</w:t>
      </w:r>
    </w:p>
    <w:p w:rsidR="005C553C" w:rsidRPr="008A75E6" w:rsidRDefault="005C553C" w:rsidP="009C35FA"/>
    <w:p w:rsidR="008A75E6" w:rsidRPr="00316A59" w:rsidRDefault="009533E9" w:rsidP="009C35FA">
      <w:pPr>
        <w:pStyle w:val="ListParagraph"/>
        <w:numPr>
          <w:ilvl w:val="0"/>
          <w:numId w:val="37"/>
        </w:numPr>
        <w:spacing w:line="276" w:lineRule="auto"/>
        <w:rPr>
          <w:rFonts w:ascii="Arial" w:eastAsiaTheme="minorHAnsi" w:hAnsi="Arial" w:cs="Arial"/>
          <w:sz w:val="22"/>
          <w:szCs w:val="22"/>
        </w:rPr>
      </w:pPr>
      <w:r w:rsidRPr="00316A59">
        <w:rPr>
          <w:rFonts w:ascii="Arial" w:hAnsi="Arial" w:cs="Arial"/>
          <w:sz w:val="22"/>
          <w:szCs w:val="22"/>
        </w:rPr>
        <w:t xml:space="preserve">Some </w:t>
      </w:r>
      <w:r w:rsidR="008A75E6" w:rsidRPr="00316A59">
        <w:rPr>
          <w:rFonts w:ascii="Arial" w:eastAsiaTheme="minorHAnsi" w:hAnsi="Arial" w:cs="Arial"/>
          <w:sz w:val="22"/>
          <w:szCs w:val="22"/>
        </w:rPr>
        <w:t>limitations of function or poor coordination​</w:t>
      </w:r>
    </w:p>
    <w:p w:rsidR="008A75E6" w:rsidRPr="00316A59" w:rsidRDefault="009533E9" w:rsidP="009C35FA">
      <w:pPr>
        <w:pStyle w:val="ListParagraph"/>
        <w:numPr>
          <w:ilvl w:val="0"/>
          <w:numId w:val="37"/>
        </w:numPr>
        <w:spacing w:line="276" w:lineRule="auto"/>
        <w:rPr>
          <w:rFonts w:ascii="Arial" w:eastAsiaTheme="minorHAnsi" w:hAnsi="Arial" w:cs="Arial"/>
          <w:sz w:val="22"/>
          <w:szCs w:val="22"/>
        </w:rPr>
      </w:pPr>
      <w:r w:rsidRPr="00316A59">
        <w:rPr>
          <w:rFonts w:ascii="Arial" w:hAnsi="Arial" w:cs="Arial"/>
          <w:sz w:val="22"/>
          <w:szCs w:val="22"/>
        </w:rPr>
        <w:t xml:space="preserve">A </w:t>
      </w:r>
      <w:r w:rsidR="008A75E6" w:rsidRPr="00316A59">
        <w:rPr>
          <w:rFonts w:ascii="Arial" w:eastAsiaTheme="minorHAnsi" w:hAnsi="Arial" w:cs="Arial"/>
          <w:sz w:val="22"/>
          <w:szCs w:val="22"/>
        </w:rPr>
        <w:t>known controlled health condition which causes minor disruption to daily tasks​</w:t>
      </w:r>
    </w:p>
    <w:p w:rsidR="008A75E6" w:rsidRPr="00316A59" w:rsidRDefault="009533E9" w:rsidP="009C35FA">
      <w:pPr>
        <w:pStyle w:val="ListParagraph"/>
        <w:numPr>
          <w:ilvl w:val="0"/>
          <w:numId w:val="37"/>
        </w:numPr>
        <w:spacing w:line="276" w:lineRule="auto"/>
        <w:rPr>
          <w:rFonts w:ascii="Arial" w:eastAsiaTheme="minorHAnsi" w:hAnsi="Arial" w:cs="Arial"/>
          <w:sz w:val="22"/>
          <w:szCs w:val="22"/>
          <w:lang w:eastAsia="en-US"/>
        </w:rPr>
      </w:pPr>
      <w:r w:rsidRPr="00316A59">
        <w:rPr>
          <w:rFonts w:ascii="Arial" w:hAnsi="Arial" w:cs="Arial"/>
          <w:sz w:val="22"/>
          <w:szCs w:val="22"/>
        </w:rPr>
        <w:t>Some difficulty in meeting their</w:t>
      </w:r>
      <w:r w:rsidR="008A75E6" w:rsidRPr="00316A59">
        <w:rPr>
          <w:rFonts w:ascii="Arial" w:eastAsiaTheme="minorHAnsi" w:hAnsi="Arial" w:cs="Arial"/>
          <w:sz w:val="22"/>
          <w:szCs w:val="22"/>
          <w:lang w:eastAsia="en-US"/>
        </w:rPr>
        <w:t xml:space="preserve"> personal care needs​</w:t>
      </w:r>
    </w:p>
    <w:p w:rsidR="008A75E6" w:rsidRPr="00316A59" w:rsidRDefault="009533E9" w:rsidP="009C35FA">
      <w:pPr>
        <w:pStyle w:val="ListParagraph"/>
        <w:numPr>
          <w:ilvl w:val="0"/>
          <w:numId w:val="37"/>
        </w:numPr>
        <w:spacing w:line="276" w:lineRule="auto"/>
        <w:rPr>
          <w:rFonts w:ascii="Arial" w:eastAsiaTheme="minorHAnsi" w:hAnsi="Arial" w:cs="Arial"/>
          <w:sz w:val="22"/>
          <w:szCs w:val="22"/>
          <w:lang w:eastAsia="en-US"/>
        </w:rPr>
      </w:pPr>
      <w:r w:rsidRPr="00316A59">
        <w:rPr>
          <w:rFonts w:ascii="Arial" w:hAnsi="Arial" w:cs="Arial"/>
          <w:sz w:val="22"/>
          <w:szCs w:val="22"/>
        </w:rPr>
        <w:t xml:space="preserve">Occasional </w:t>
      </w:r>
      <w:r w:rsidR="008A75E6" w:rsidRPr="00316A59">
        <w:rPr>
          <w:rFonts w:ascii="Arial" w:eastAsiaTheme="minorHAnsi" w:hAnsi="Arial" w:cs="Arial"/>
          <w:sz w:val="22"/>
          <w:szCs w:val="22"/>
          <w:lang w:eastAsia="en-US"/>
        </w:rPr>
        <w:t>seizures</w:t>
      </w:r>
    </w:p>
    <w:p w:rsidR="008A75E6" w:rsidRPr="00316A59" w:rsidRDefault="009533E9" w:rsidP="009C35FA">
      <w:pPr>
        <w:pStyle w:val="ListParagraph"/>
        <w:numPr>
          <w:ilvl w:val="0"/>
          <w:numId w:val="37"/>
        </w:numPr>
        <w:spacing w:line="276" w:lineRule="auto"/>
        <w:rPr>
          <w:rFonts w:ascii="Arial" w:eastAsiaTheme="minorHAnsi" w:hAnsi="Arial" w:cs="Arial"/>
          <w:sz w:val="22"/>
          <w:szCs w:val="22"/>
        </w:rPr>
      </w:pPr>
      <w:r w:rsidRPr="00316A59">
        <w:rPr>
          <w:rFonts w:ascii="Arial" w:hAnsi="Arial" w:cs="Arial"/>
          <w:sz w:val="22"/>
          <w:szCs w:val="22"/>
        </w:rPr>
        <w:t xml:space="preserve">Behaviours </w:t>
      </w:r>
      <w:r w:rsidR="008A75E6" w:rsidRPr="00316A59">
        <w:rPr>
          <w:rFonts w:ascii="Arial" w:eastAsiaTheme="minorHAnsi" w:hAnsi="Arial" w:cs="Arial"/>
          <w:sz w:val="22"/>
          <w:szCs w:val="22"/>
        </w:rPr>
        <w:t>that can be difficult to manage at all times</w:t>
      </w:r>
    </w:p>
    <w:p w:rsidR="008A75E6" w:rsidRPr="00316A59" w:rsidRDefault="008A75E6" w:rsidP="009C35FA">
      <w:pPr>
        <w:rPr>
          <w:rFonts w:cs="Arial"/>
        </w:rPr>
      </w:pPr>
    </w:p>
    <w:p w:rsidR="009533E9" w:rsidRDefault="009533E9" w:rsidP="009C35FA">
      <w:pPr>
        <w:rPr>
          <w:rFonts w:cs="Arial"/>
        </w:rPr>
      </w:pPr>
      <w:r w:rsidRPr="00316A59">
        <w:rPr>
          <w:rFonts w:cs="Arial"/>
        </w:rPr>
        <w:lastRenderedPageBreak/>
        <w:t>Children and young people accessing targeted services may</w:t>
      </w:r>
    </w:p>
    <w:p w:rsidR="005C553C" w:rsidRPr="00316A59" w:rsidRDefault="005C553C" w:rsidP="009C35FA">
      <w:pPr>
        <w:rPr>
          <w:rFonts w:cs="Arial"/>
        </w:rPr>
      </w:pPr>
    </w:p>
    <w:p w:rsidR="008A75E6" w:rsidRPr="00316A59" w:rsidRDefault="009533E9" w:rsidP="009C35FA">
      <w:pPr>
        <w:pStyle w:val="ListParagraph"/>
        <w:numPr>
          <w:ilvl w:val="0"/>
          <w:numId w:val="38"/>
        </w:numPr>
        <w:spacing w:line="276" w:lineRule="auto"/>
        <w:rPr>
          <w:rFonts w:ascii="Arial" w:eastAsiaTheme="minorHAnsi" w:hAnsi="Arial" w:cs="Arial"/>
          <w:sz w:val="22"/>
          <w:szCs w:val="22"/>
        </w:rPr>
      </w:pPr>
      <w:r w:rsidRPr="00316A59">
        <w:rPr>
          <w:rFonts w:ascii="Arial" w:hAnsi="Arial" w:cs="Arial"/>
          <w:sz w:val="22"/>
          <w:szCs w:val="22"/>
        </w:rPr>
        <w:t>Be</w:t>
      </w:r>
      <w:r w:rsidR="008A75E6" w:rsidRPr="00316A59">
        <w:rPr>
          <w:rFonts w:ascii="Arial" w:eastAsiaTheme="minorHAnsi" w:hAnsi="Arial" w:cs="Arial"/>
          <w:sz w:val="22"/>
          <w:szCs w:val="22"/>
        </w:rPr>
        <w:t xml:space="preserve"> unable to walk without aids and unable to manoeuvre and / or transfer without support​</w:t>
      </w:r>
    </w:p>
    <w:p w:rsidR="008A75E6" w:rsidRPr="00316A59" w:rsidRDefault="008A75E6" w:rsidP="009C35FA">
      <w:pPr>
        <w:pStyle w:val="ListParagraph"/>
        <w:numPr>
          <w:ilvl w:val="0"/>
          <w:numId w:val="38"/>
        </w:numPr>
        <w:spacing w:line="276" w:lineRule="auto"/>
        <w:rPr>
          <w:rFonts w:ascii="Arial" w:eastAsiaTheme="minorHAnsi" w:hAnsi="Arial" w:cs="Arial"/>
          <w:sz w:val="22"/>
          <w:szCs w:val="22"/>
        </w:rPr>
      </w:pPr>
      <w:r w:rsidRPr="00316A59">
        <w:rPr>
          <w:rFonts w:ascii="Arial" w:hAnsi="Arial" w:cs="Arial"/>
          <w:sz w:val="22"/>
          <w:szCs w:val="22"/>
        </w:rPr>
        <w:t>Have</w:t>
      </w:r>
      <w:r w:rsidRPr="00316A59">
        <w:rPr>
          <w:rFonts w:ascii="Arial" w:eastAsiaTheme="minorHAnsi" w:hAnsi="Arial" w:cs="Arial"/>
          <w:sz w:val="22"/>
          <w:szCs w:val="22"/>
        </w:rPr>
        <w:t xml:space="preserve"> health needs that have a significant impact on their development and learning​</w:t>
      </w:r>
    </w:p>
    <w:p w:rsidR="008A75E6" w:rsidRPr="00316A59" w:rsidRDefault="009533E9" w:rsidP="009C35FA">
      <w:pPr>
        <w:pStyle w:val="ListParagraph"/>
        <w:numPr>
          <w:ilvl w:val="0"/>
          <w:numId w:val="38"/>
        </w:numPr>
        <w:spacing w:line="276" w:lineRule="auto"/>
        <w:rPr>
          <w:rFonts w:ascii="Arial" w:eastAsiaTheme="minorHAnsi" w:hAnsi="Arial" w:cs="Arial"/>
          <w:sz w:val="22"/>
          <w:szCs w:val="22"/>
        </w:rPr>
      </w:pPr>
      <w:r w:rsidRPr="00316A59">
        <w:rPr>
          <w:rFonts w:ascii="Arial" w:hAnsi="Arial" w:cs="Arial"/>
          <w:sz w:val="22"/>
          <w:szCs w:val="22"/>
        </w:rPr>
        <w:t>Require</w:t>
      </w:r>
      <w:r w:rsidR="008A75E6" w:rsidRPr="00316A59">
        <w:rPr>
          <w:rFonts w:ascii="Arial" w:eastAsiaTheme="minorHAnsi" w:hAnsi="Arial" w:cs="Arial"/>
          <w:sz w:val="22"/>
          <w:szCs w:val="22"/>
        </w:rPr>
        <w:t xml:space="preserve"> assistance from others for all their personal care​</w:t>
      </w:r>
    </w:p>
    <w:p w:rsidR="008A75E6" w:rsidRPr="00316A59" w:rsidRDefault="008A75E6" w:rsidP="009C35FA">
      <w:pPr>
        <w:pStyle w:val="ListParagraph"/>
        <w:numPr>
          <w:ilvl w:val="0"/>
          <w:numId w:val="38"/>
        </w:numPr>
        <w:spacing w:line="276" w:lineRule="auto"/>
        <w:rPr>
          <w:rFonts w:ascii="Arial" w:eastAsiaTheme="minorHAnsi" w:hAnsi="Arial" w:cs="Arial"/>
          <w:sz w:val="22"/>
          <w:szCs w:val="22"/>
        </w:rPr>
      </w:pPr>
      <w:r w:rsidRPr="00316A59">
        <w:rPr>
          <w:rFonts w:ascii="Arial" w:hAnsi="Arial" w:cs="Arial"/>
          <w:sz w:val="22"/>
          <w:szCs w:val="22"/>
        </w:rPr>
        <w:t>Have</w:t>
      </w:r>
      <w:r w:rsidRPr="00316A59">
        <w:rPr>
          <w:rFonts w:ascii="Arial" w:eastAsiaTheme="minorHAnsi" w:hAnsi="Arial" w:cs="Arial"/>
          <w:sz w:val="22"/>
          <w:szCs w:val="22"/>
        </w:rPr>
        <w:t xml:space="preserve"> regular seizures that impact on their learning and development</w:t>
      </w:r>
    </w:p>
    <w:p w:rsidR="008A75E6" w:rsidRPr="00316A59" w:rsidRDefault="008A75E6" w:rsidP="009C35FA">
      <w:pPr>
        <w:pStyle w:val="ListParagraph"/>
        <w:numPr>
          <w:ilvl w:val="0"/>
          <w:numId w:val="38"/>
        </w:numPr>
        <w:spacing w:line="276" w:lineRule="auto"/>
        <w:rPr>
          <w:rFonts w:ascii="Arial" w:eastAsiaTheme="minorHAnsi" w:hAnsi="Arial" w:cs="Arial"/>
          <w:sz w:val="22"/>
          <w:szCs w:val="22"/>
        </w:rPr>
      </w:pPr>
      <w:r w:rsidRPr="00316A59">
        <w:rPr>
          <w:rFonts w:ascii="Arial" w:hAnsi="Arial" w:cs="Arial"/>
          <w:sz w:val="22"/>
          <w:szCs w:val="22"/>
        </w:rPr>
        <w:t>Have</w:t>
      </w:r>
      <w:r w:rsidRPr="00316A59">
        <w:rPr>
          <w:rFonts w:ascii="Arial" w:eastAsiaTheme="minorHAnsi" w:hAnsi="Arial" w:cs="Arial"/>
          <w:sz w:val="22"/>
          <w:szCs w:val="22"/>
        </w:rPr>
        <w:t xml:space="preserve"> challenging behaviours that impact significantly on their life in the community and require specialist provision to enable them to function socially and / or educationally​</w:t>
      </w:r>
    </w:p>
    <w:p w:rsidR="008A75E6" w:rsidRPr="00316A59" w:rsidRDefault="009533E9" w:rsidP="009C35FA">
      <w:pPr>
        <w:pStyle w:val="ListParagraph"/>
        <w:numPr>
          <w:ilvl w:val="0"/>
          <w:numId w:val="38"/>
        </w:numPr>
        <w:spacing w:line="276" w:lineRule="auto"/>
        <w:rPr>
          <w:rFonts w:ascii="Arial" w:eastAsiaTheme="minorHAnsi" w:hAnsi="Arial" w:cs="Arial"/>
          <w:sz w:val="22"/>
          <w:szCs w:val="22"/>
        </w:rPr>
      </w:pPr>
      <w:r w:rsidRPr="00316A59">
        <w:rPr>
          <w:rFonts w:ascii="Arial" w:hAnsi="Arial" w:cs="Arial"/>
          <w:sz w:val="22"/>
          <w:szCs w:val="22"/>
        </w:rPr>
        <w:t>Require</w:t>
      </w:r>
      <w:r w:rsidR="008A75E6" w:rsidRPr="00316A59">
        <w:rPr>
          <w:rFonts w:ascii="Arial" w:eastAsiaTheme="minorHAnsi" w:hAnsi="Arial" w:cs="Arial"/>
          <w:sz w:val="22"/>
          <w:szCs w:val="22"/>
        </w:rPr>
        <w:t xml:space="preserve"> greater supervision than other children of the same age</w:t>
      </w:r>
    </w:p>
    <w:p w:rsidR="008A75E6" w:rsidRPr="00316A59" w:rsidRDefault="008A75E6" w:rsidP="009C35FA">
      <w:pPr>
        <w:rPr>
          <w:rFonts w:cs="Arial"/>
        </w:rPr>
      </w:pPr>
    </w:p>
    <w:p w:rsidR="009533E9" w:rsidRDefault="009533E9" w:rsidP="009C35FA">
      <w:pPr>
        <w:rPr>
          <w:rFonts w:cs="Arial"/>
        </w:rPr>
      </w:pPr>
      <w:r w:rsidRPr="00316A59">
        <w:rPr>
          <w:rFonts w:cs="Arial"/>
        </w:rPr>
        <w:t xml:space="preserve">Children and young people accessing </w:t>
      </w:r>
      <w:r w:rsidRPr="00316A59">
        <w:rPr>
          <w:rFonts w:cs="Arial"/>
          <w:i/>
        </w:rPr>
        <w:t>specialist</w:t>
      </w:r>
      <w:r w:rsidRPr="00316A59">
        <w:rPr>
          <w:rFonts w:cs="Arial"/>
        </w:rPr>
        <w:t xml:space="preserve"> services may</w:t>
      </w:r>
    </w:p>
    <w:p w:rsidR="005C553C" w:rsidRPr="00316A59" w:rsidRDefault="005C553C" w:rsidP="009C35FA">
      <w:pPr>
        <w:rPr>
          <w:rFonts w:cs="Arial"/>
        </w:rPr>
      </w:pPr>
    </w:p>
    <w:p w:rsidR="008A75E6" w:rsidRPr="00316A59" w:rsidRDefault="009533E9" w:rsidP="009C35FA">
      <w:pPr>
        <w:pStyle w:val="ListParagraph"/>
        <w:numPr>
          <w:ilvl w:val="0"/>
          <w:numId w:val="39"/>
        </w:numPr>
        <w:spacing w:line="276" w:lineRule="auto"/>
        <w:rPr>
          <w:rFonts w:ascii="Arial" w:eastAsiaTheme="minorHAnsi" w:hAnsi="Arial" w:cs="Arial"/>
          <w:sz w:val="22"/>
          <w:szCs w:val="22"/>
        </w:rPr>
      </w:pPr>
      <w:r w:rsidRPr="00316A59">
        <w:rPr>
          <w:rFonts w:ascii="Arial" w:hAnsi="Arial" w:cs="Arial"/>
          <w:sz w:val="22"/>
          <w:szCs w:val="22"/>
        </w:rPr>
        <w:t>Be</w:t>
      </w:r>
      <w:r w:rsidR="008A75E6" w:rsidRPr="00316A59">
        <w:rPr>
          <w:rFonts w:ascii="Arial" w:eastAsiaTheme="minorHAnsi" w:hAnsi="Arial" w:cs="Arial"/>
          <w:sz w:val="22"/>
          <w:szCs w:val="22"/>
        </w:rPr>
        <w:t xml:space="preserve"> dependent on others for support with all their personal care​</w:t>
      </w:r>
    </w:p>
    <w:p w:rsidR="008A75E6" w:rsidRPr="00316A59" w:rsidRDefault="008A75E6" w:rsidP="009C35FA">
      <w:pPr>
        <w:pStyle w:val="ListParagraph"/>
        <w:numPr>
          <w:ilvl w:val="0"/>
          <w:numId w:val="39"/>
        </w:numPr>
        <w:spacing w:line="276" w:lineRule="auto"/>
        <w:rPr>
          <w:rFonts w:ascii="Arial" w:eastAsiaTheme="minorHAnsi" w:hAnsi="Arial" w:cs="Arial"/>
          <w:sz w:val="22"/>
          <w:szCs w:val="22"/>
        </w:rPr>
      </w:pPr>
      <w:r w:rsidRPr="00316A59">
        <w:rPr>
          <w:rFonts w:ascii="Arial" w:hAnsi="Arial" w:cs="Arial"/>
          <w:sz w:val="22"/>
          <w:szCs w:val="22"/>
        </w:rPr>
        <w:t>Have</w:t>
      </w:r>
      <w:r w:rsidRPr="00316A59">
        <w:rPr>
          <w:rFonts w:ascii="Arial" w:eastAsiaTheme="minorHAnsi" w:hAnsi="Arial" w:cs="Arial"/>
          <w:sz w:val="22"/>
          <w:szCs w:val="22"/>
        </w:rPr>
        <w:t xml:space="preserve"> complex health needs that prevent them from participating in social and educational activities</w:t>
      </w:r>
    </w:p>
    <w:p w:rsidR="008A75E6" w:rsidRPr="00316A59" w:rsidRDefault="008A75E6" w:rsidP="009C35FA">
      <w:pPr>
        <w:pStyle w:val="ListParagraph"/>
        <w:numPr>
          <w:ilvl w:val="0"/>
          <w:numId w:val="39"/>
        </w:numPr>
        <w:spacing w:line="276" w:lineRule="auto"/>
        <w:rPr>
          <w:rFonts w:ascii="Arial" w:eastAsiaTheme="minorHAnsi" w:hAnsi="Arial" w:cs="Arial"/>
          <w:sz w:val="22"/>
          <w:szCs w:val="22"/>
        </w:rPr>
      </w:pPr>
      <w:r w:rsidRPr="00316A59">
        <w:rPr>
          <w:rFonts w:ascii="Arial" w:hAnsi="Arial" w:cs="Arial"/>
          <w:sz w:val="22"/>
          <w:szCs w:val="22"/>
        </w:rPr>
        <w:t>Have</w:t>
      </w:r>
      <w:r w:rsidRPr="00316A59">
        <w:rPr>
          <w:rFonts w:ascii="Arial" w:eastAsiaTheme="minorHAnsi" w:hAnsi="Arial" w:cs="Arial"/>
          <w:sz w:val="22"/>
          <w:szCs w:val="22"/>
        </w:rPr>
        <w:t xml:space="preserve"> severe challenging behaviours that impact on all aspects of their functioning or poses a significant risk to themselves or others</w:t>
      </w:r>
    </w:p>
    <w:p w:rsidR="008A75E6" w:rsidRPr="00316A59" w:rsidRDefault="009533E9" w:rsidP="009C35FA">
      <w:pPr>
        <w:pStyle w:val="ListParagraph"/>
        <w:numPr>
          <w:ilvl w:val="0"/>
          <w:numId w:val="39"/>
        </w:numPr>
        <w:spacing w:line="276" w:lineRule="auto"/>
        <w:rPr>
          <w:rFonts w:ascii="Arial" w:eastAsiaTheme="minorHAnsi" w:hAnsi="Arial" w:cs="Arial"/>
          <w:sz w:val="22"/>
          <w:szCs w:val="22"/>
        </w:rPr>
      </w:pPr>
      <w:r w:rsidRPr="00316A59">
        <w:rPr>
          <w:rFonts w:ascii="Arial" w:hAnsi="Arial" w:cs="Arial"/>
          <w:sz w:val="22"/>
          <w:szCs w:val="22"/>
        </w:rPr>
        <w:t>Need</w:t>
      </w:r>
      <w:r w:rsidR="008A75E6" w:rsidRPr="00316A59">
        <w:rPr>
          <w:rFonts w:ascii="Arial" w:eastAsiaTheme="minorHAnsi" w:hAnsi="Arial" w:cs="Arial"/>
          <w:sz w:val="22"/>
          <w:szCs w:val="22"/>
        </w:rPr>
        <w:t xml:space="preserve"> constant supervision and doesn't perceive danger to themselves or others​</w:t>
      </w:r>
    </w:p>
    <w:p w:rsidR="008A75E6" w:rsidRPr="00316A59" w:rsidRDefault="009533E9" w:rsidP="009C35FA">
      <w:pPr>
        <w:pStyle w:val="ListParagraph"/>
        <w:numPr>
          <w:ilvl w:val="0"/>
          <w:numId w:val="39"/>
        </w:numPr>
        <w:spacing w:line="276" w:lineRule="auto"/>
        <w:rPr>
          <w:rFonts w:ascii="Arial" w:eastAsiaTheme="minorHAnsi" w:hAnsi="Arial" w:cs="Arial"/>
          <w:sz w:val="22"/>
          <w:szCs w:val="22"/>
        </w:rPr>
      </w:pPr>
      <w:r w:rsidRPr="00316A59">
        <w:rPr>
          <w:rFonts w:ascii="Arial" w:hAnsi="Arial" w:cs="Arial"/>
          <w:sz w:val="22"/>
          <w:szCs w:val="22"/>
        </w:rPr>
        <w:t>Be unable to walk and use</w:t>
      </w:r>
      <w:r w:rsidR="008A75E6" w:rsidRPr="00316A59">
        <w:rPr>
          <w:rFonts w:ascii="Arial" w:eastAsiaTheme="minorHAnsi" w:hAnsi="Arial" w:cs="Arial"/>
          <w:sz w:val="22"/>
          <w:szCs w:val="22"/>
        </w:rPr>
        <w:t xml:space="preserve"> a wheelchair or is fully dependent on others for mobility</w:t>
      </w:r>
    </w:p>
    <w:p w:rsidR="008A75E6" w:rsidRDefault="008A75E6" w:rsidP="009C35FA">
      <w:pPr>
        <w:pStyle w:val="ListParagraph"/>
        <w:numPr>
          <w:ilvl w:val="0"/>
          <w:numId w:val="39"/>
        </w:numPr>
        <w:spacing w:line="276" w:lineRule="auto"/>
        <w:rPr>
          <w:rFonts w:ascii="Arial" w:eastAsiaTheme="minorHAnsi" w:hAnsi="Arial" w:cs="Arial"/>
          <w:sz w:val="22"/>
          <w:szCs w:val="22"/>
        </w:rPr>
      </w:pPr>
      <w:r w:rsidRPr="00316A59">
        <w:rPr>
          <w:rFonts w:ascii="Arial" w:hAnsi="Arial" w:cs="Arial"/>
          <w:sz w:val="22"/>
          <w:szCs w:val="22"/>
        </w:rPr>
        <w:t>Have</w:t>
      </w:r>
      <w:r w:rsidRPr="00316A59">
        <w:rPr>
          <w:rFonts w:ascii="Arial" w:eastAsiaTheme="minorHAnsi" w:hAnsi="Arial" w:cs="Arial"/>
          <w:sz w:val="22"/>
          <w:szCs w:val="22"/>
        </w:rPr>
        <w:t xml:space="preserve"> seizures in frequent succession that cannot be controlled by medication</w:t>
      </w:r>
    </w:p>
    <w:p w:rsidR="00316A59" w:rsidRDefault="00316A59" w:rsidP="00316A59">
      <w:pPr>
        <w:rPr>
          <w:rFonts w:cs="Arial"/>
        </w:rPr>
      </w:pPr>
    </w:p>
    <w:p w:rsidR="00316A59" w:rsidRPr="00316A59" w:rsidRDefault="00316A59" w:rsidP="00316A59">
      <w:pPr>
        <w:rPr>
          <w:rFonts w:cs="Arial"/>
        </w:rPr>
      </w:pPr>
      <w:r>
        <w:rPr>
          <w:rFonts w:cs="Arial"/>
        </w:rPr>
        <w:t xml:space="preserve">The numbers of children and young people falling into each </w:t>
      </w:r>
      <w:r w:rsidR="00593C6B">
        <w:rPr>
          <w:rFonts w:cs="Arial"/>
        </w:rPr>
        <w:t>category are currently unknown.</w:t>
      </w:r>
    </w:p>
    <w:p w:rsidR="00F37382" w:rsidRDefault="00F37382" w:rsidP="00BA4F24"/>
    <w:p w:rsidR="00F37382" w:rsidRDefault="00F37382" w:rsidP="00BA4F24">
      <w:r>
        <w:t>Referral and caseload information can give an indication of the main support needs of disabled children and young people.</w:t>
      </w:r>
    </w:p>
    <w:p w:rsidR="00F37382" w:rsidRDefault="00F37382" w:rsidP="00BA4F24"/>
    <w:p w:rsidR="00BA4F24" w:rsidRDefault="00BA4F24" w:rsidP="00BA4F24">
      <w:r>
        <w:t>The</w:t>
      </w:r>
      <w:r w:rsidR="00F96849">
        <w:t xml:space="preserve"> Special Needs</w:t>
      </w:r>
      <w:r>
        <w:t xml:space="preserve"> nursery staff provide advice, support and implement</w:t>
      </w:r>
      <w:r w:rsidRPr="00C02674">
        <w:t xml:space="preserve"> child centred programmes in relation to:</w:t>
      </w:r>
    </w:p>
    <w:p w:rsidR="005C553C" w:rsidRDefault="005C553C" w:rsidP="00BA4F24"/>
    <w:p w:rsidR="00BA4F24" w:rsidRPr="00C3720D" w:rsidRDefault="00BA4F24" w:rsidP="00BA4F24">
      <w:pPr>
        <w:pStyle w:val="ListParagraph"/>
        <w:numPr>
          <w:ilvl w:val="0"/>
          <w:numId w:val="31"/>
        </w:numPr>
        <w:contextualSpacing/>
        <w:rPr>
          <w:rFonts w:ascii="Arial" w:hAnsi="Arial" w:cs="Arial"/>
          <w:sz w:val="22"/>
          <w:szCs w:val="22"/>
        </w:rPr>
      </w:pPr>
      <w:r>
        <w:rPr>
          <w:rFonts w:ascii="Arial" w:hAnsi="Arial" w:cs="Arial"/>
          <w:sz w:val="22"/>
          <w:szCs w:val="22"/>
        </w:rPr>
        <w:t>Toileting</w:t>
      </w:r>
    </w:p>
    <w:p w:rsidR="00BA4F24" w:rsidRPr="00C3720D" w:rsidRDefault="00BA4F24" w:rsidP="00BA4F24">
      <w:pPr>
        <w:pStyle w:val="ListParagraph"/>
        <w:numPr>
          <w:ilvl w:val="0"/>
          <w:numId w:val="30"/>
        </w:numPr>
        <w:contextualSpacing/>
        <w:rPr>
          <w:rFonts w:ascii="Arial" w:hAnsi="Arial" w:cs="Arial"/>
          <w:sz w:val="22"/>
          <w:szCs w:val="22"/>
        </w:rPr>
      </w:pPr>
      <w:r w:rsidRPr="00C3720D">
        <w:rPr>
          <w:rFonts w:ascii="Arial" w:hAnsi="Arial" w:cs="Arial"/>
          <w:sz w:val="22"/>
          <w:szCs w:val="22"/>
        </w:rPr>
        <w:t>Behaviour</w:t>
      </w:r>
    </w:p>
    <w:p w:rsidR="00BA4F24" w:rsidRPr="00C3720D" w:rsidRDefault="00BA4F24" w:rsidP="00BA4F24">
      <w:pPr>
        <w:pStyle w:val="ListParagraph"/>
        <w:numPr>
          <w:ilvl w:val="0"/>
          <w:numId w:val="30"/>
        </w:numPr>
        <w:contextualSpacing/>
        <w:rPr>
          <w:rFonts w:ascii="Arial" w:hAnsi="Arial" w:cs="Arial"/>
          <w:sz w:val="22"/>
          <w:szCs w:val="22"/>
        </w:rPr>
      </w:pPr>
      <w:r w:rsidRPr="00C3720D">
        <w:rPr>
          <w:rFonts w:ascii="Arial" w:hAnsi="Arial" w:cs="Arial"/>
          <w:sz w:val="22"/>
          <w:szCs w:val="22"/>
        </w:rPr>
        <w:t>Cognition</w:t>
      </w:r>
    </w:p>
    <w:p w:rsidR="00BA4F24" w:rsidRPr="00C3720D" w:rsidRDefault="00BA4F24" w:rsidP="00BA4F24">
      <w:pPr>
        <w:pStyle w:val="ListParagraph"/>
        <w:numPr>
          <w:ilvl w:val="0"/>
          <w:numId w:val="30"/>
        </w:numPr>
        <w:contextualSpacing/>
        <w:rPr>
          <w:rFonts w:ascii="Arial" w:hAnsi="Arial" w:cs="Arial"/>
          <w:sz w:val="22"/>
          <w:szCs w:val="22"/>
        </w:rPr>
      </w:pPr>
      <w:r w:rsidRPr="00C3720D">
        <w:rPr>
          <w:rFonts w:ascii="Arial" w:hAnsi="Arial" w:cs="Arial"/>
          <w:sz w:val="22"/>
          <w:szCs w:val="22"/>
        </w:rPr>
        <w:t>Social skills</w:t>
      </w:r>
    </w:p>
    <w:p w:rsidR="00BA4F24" w:rsidRPr="00C3720D" w:rsidRDefault="00BA4F24" w:rsidP="00BA4F24">
      <w:pPr>
        <w:pStyle w:val="ListParagraph"/>
        <w:numPr>
          <w:ilvl w:val="0"/>
          <w:numId w:val="30"/>
        </w:numPr>
        <w:contextualSpacing/>
        <w:rPr>
          <w:rFonts w:ascii="Arial" w:hAnsi="Arial" w:cs="Arial"/>
          <w:sz w:val="22"/>
          <w:szCs w:val="22"/>
        </w:rPr>
      </w:pPr>
      <w:r w:rsidRPr="00C3720D">
        <w:rPr>
          <w:rFonts w:ascii="Arial" w:hAnsi="Arial" w:cs="Arial"/>
          <w:sz w:val="22"/>
          <w:szCs w:val="22"/>
        </w:rPr>
        <w:t>Communication aids</w:t>
      </w:r>
    </w:p>
    <w:p w:rsidR="00BA4F24" w:rsidRPr="00C3720D" w:rsidRDefault="00BA4F24" w:rsidP="00BA4F24">
      <w:pPr>
        <w:pStyle w:val="ListParagraph"/>
        <w:numPr>
          <w:ilvl w:val="0"/>
          <w:numId w:val="30"/>
        </w:numPr>
        <w:contextualSpacing/>
        <w:rPr>
          <w:rFonts w:ascii="Arial" w:hAnsi="Arial" w:cs="Arial"/>
          <w:sz w:val="22"/>
          <w:szCs w:val="22"/>
        </w:rPr>
      </w:pPr>
      <w:r w:rsidRPr="00C3720D">
        <w:rPr>
          <w:rFonts w:ascii="Arial" w:hAnsi="Arial" w:cs="Arial"/>
          <w:sz w:val="22"/>
          <w:szCs w:val="22"/>
        </w:rPr>
        <w:t>Sensory</w:t>
      </w:r>
    </w:p>
    <w:p w:rsidR="00BA4F24" w:rsidRPr="00C3720D" w:rsidRDefault="00BA4F24" w:rsidP="00BA4F24">
      <w:pPr>
        <w:pStyle w:val="ListParagraph"/>
        <w:numPr>
          <w:ilvl w:val="0"/>
          <w:numId w:val="30"/>
        </w:numPr>
        <w:contextualSpacing/>
        <w:rPr>
          <w:rFonts w:ascii="Arial" w:hAnsi="Arial" w:cs="Arial"/>
          <w:sz w:val="22"/>
          <w:szCs w:val="22"/>
        </w:rPr>
      </w:pPr>
      <w:r w:rsidRPr="00C3720D">
        <w:rPr>
          <w:rFonts w:ascii="Arial" w:hAnsi="Arial" w:cs="Arial"/>
          <w:sz w:val="22"/>
          <w:szCs w:val="22"/>
        </w:rPr>
        <w:t>Physical development</w:t>
      </w:r>
    </w:p>
    <w:p w:rsidR="00BA4F24" w:rsidRPr="00C3720D" w:rsidRDefault="00BA4F24" w:rsidP="00BA4F24">
      <w:pPr>
        <w:pStyle w:val="ListParagraph"/>
        <w:numPr>
          <w:ilvl w:val="0"/>
          <w:numId w:val="30"/>
        </w:numPr>
        <w:contextualSpacing/>
        <w:rPr>
          <w:rFonts w:ascii="Arial" w:hAnsi="Arial" w:cs="Arial"/>
          <w:sz w:val="22"/>
          <w:szCs w:val="22"/>
        </w:rPr>
      </w:pPr>
      <w:r w:rsidRPr="00C3720D">
        <w:rPr>
          <w:rFonts w:ascii="Arial" w:hAnsi="Arial" w:cs="Arial"/>
          <w:sz w:val="22"/>
          <w:szCs w:val="22"/>
        </w:rPr>
        <w:t>Speech and language/communication</w:t>
      </w:r>
    </w:p>
    <w:p w:rsidR="00BA4F24" w:rsidRPr="00C3720D" w:rsidRDefault="00BA4F24" w:rsidP="00BA4F24">
      <w:pPr>
        <w:pStyle w:val="ListParagraph"/>
        <w:numPr>
          <w:ilvl w:val="0"/>
          <w:numId w:val="30"/>
        </w:numPr>
        <w:contextualSpacing/>
        <w:rPr>
          <w:rFonts w:ascii="Arial" w:hAnsi="Arial" w:cs="Arial"/>
          <w:sz w:val="22"/>
          <w:szCs w:val="22"/>
        </w:rPr>
      </w:pPr>
      <w:r w:rsidRPr="00C3720D">
        <w:rPr>
          <w:rFonts w:ascii="Arial" w:hAnsi="Arial" w:cs="Arial"/>
          <w:sz w:val="22"/>
          <w:szCs w:val="22"/>
        </w:rPr>
        <w:t>Play skills</w:t>
      </w:r>
    </w:p>
    <w:p w:rsidR="00BA4F24" w:rsidRPr="00C3720D" w:rsidRDefault="00BA4F24" w:rsidP="00BA4F24">
      <w:pPr>
        <w:pStyle w:val="ListParagraph"/>
        <w:numPr>
          <w:ilvl w:val="0"/>
          <w:numId w:val="30"/>
        </w:numPr>
        <w:contextualSpacing/>
        <w:rPr>
          <w:rFonts w:ascii="Arial" w:hAnsi="Arial" w:cs="Arial"/>
          <w:sz w:val="22"/>
          <w:szCs w:val="22"/>
        </w:rPr>
      </w:pPr>
      <w:r w:rsidRPr="00C3720D">
        <w:rPr>
          <w:rFonts w:ascii="Arial" w:hAnsi="Arial" w:cs="Arial"/>
          <w:sz w:val="22"/>
          <w:szCs w:val="22"/>
        </w:rPr>
        <w:t>Visual and hearing impairments</w:t>
      </w:r>
    </w:p>
    <w:p w:rsidR="00BA4F24" w:rsidRPr="00C3720D" w:rsidRDefault="00BA4F24" w:rsidP="00BA4F24">
      <w:pPr>
        <w:rPr>
          <w:rFonts w:cs="Arial"/>
        </w:rPr>
      </w:pPr>
    </w:p>
    <w:p w:rsidR="00BA4F24" w:rsidRDefault="00BA4F24" w:rsidP="00BA4F24">
      <w:pPr>
        <w:rPr>
          <w:rFonts w:cs="Arial"/>
        </w:rPr>
      </w:pPr>
      <w:r w:rsidRPr="00C3720D">
        <w:rPr>
          <w:rFonts w:cs="Arial"/>
        </w:rPr>
        <w:t>And</w:t>
      </w:r>
      <w:r>
        <w:rPr>
          <w:rFonts w:cs="Arial"/>
        </w:rPr>
        <w:t xml:space="preserve"> can</w:t>
      </w:r>
      <w:r w:rsidRPr="00C3720D">
        <w:rPr>
          <w:rFonts w:cs="Arial"/>
        </w:rPr>
        <w:t xml:space="preserve"> </w:t>
      </w:r>
      <w:r>
        <w:rPr>
          <w:rFonts w:cs="Arial"/>
        </w:rPr>
        <w:t xml:space="preserve">provide </w:t>
      </w:r>
      <w:r w:rsidRPr="00C3720D">
        <w:rPr>
          <w:rFonts w:cs="Arial"/>
        </w:rPr>
        <w:t>support and care in relation to:</w:t>
      </w:r>
    </w:p>
    <w:p w:rsidR="005C553C" w:rsidRPr="00C3720D" w:rsidRDefault="005C553C" w:rsidP="00BA4F24">
      <w:pPr>
        <w:rPr>
          <w:rFonts w:cs="Arial"/>
        </w:rPr>
      </w:pPr>
    </w:p>
    <w:p w:rsidR="00BA4F24" w:rsidRPr="00C3720D" w:rsidRDefault="00BA4F24" w:rsidP="00BA4F24">
      <w:pPr>
        <w:pStyle w:val="ListParagraph"/>
        <w:numPr>
          <w:ilvl w:val="0"/>
          <w:numId w:val="32"/>
        </w:numPr>
        <w:contextualSpacing/>
        <w:rPr>
          <w:rFonts w:ascii="Arial" w:hAnsi="Arial" w:cs="Arial"/>
          <w:sz w:val="22"/>
          <w:szCs w:val="22"/>
        </w:rPr>
      </w:pPr>
      <w:r w:rsidRPr="00C3720D">
        <w:rPr>
          <w:rFonts w:ascii="Arial" w:hAnsi="Arial" w:cs="Arial"/>
          <w:sz w:val="22"/>
          <w:szCs w:val="22"/>
        </w:rPr>
        <w:t>Gastrostomy</w:t>
      </w:r>
    </w:p>
    <w:p w:rsidR="00BA4F24" w:rsidRPr="00C3720D" w:rsidRDefault="00BA4F24" w:rsidP="00BA4F24">
      <w:pPr>
        <w:pStyle w:val="ListParagraph"/>
        <w:numPr>
          <w:ilvl w:val="0"/>
          <w:numId w:val="32"/>
        </w:numPr>
        <w:contextualSpacing/>
        <w:rPr>
          <w:rFonts w:ascii="Arial" w:hAnsi="Arial" w:cs="Arial"/>
          <w:sz w:val="22"/>
          <w:szCs w:val="22"/>
        </w:rPr>
      </w:pPr>
      <w:r w:rsidRPr="00C3720D">
        <w:rPr>
          <w:rFonts w:ascii="Arial" w:hAnsi="Arial" w:cs="Arial"/>
          <w:sz w:val="22"/>
          <w:szCs w:val="22"/>
        </w:rPr>
        <w:t>Oxygen therapy</w:t>
      </w:r>
    </w:p>
    <w:p w:rsidR="00BA4F24" w:rsidRPr="00C3720D" w:rsidRDefault="00BA4F24" w:rsidP="00BA4F24">
      <w:pPr>
        <w:pStyle w:val="ListParagraph"/>
        <w:numPr>
          <w:ilvl w:val="0"/>
          <w:numId w:val="32"/>
        </w:numPr>
        <w:contextualSpacing/>
        <w:rPr>
          <w:rFonts w:ascii="Arial" w:hAnsi="Arial" w:cs="Arial"/>
          <w:sz w:val="22"/>
          <w:szCs w:val="22"/>
        </w:rPr>
      </w:pPr>
      <w:r w:rsidRPr="00C3720D">
        <w:rPr>
          <w:rFonts w:ascii="Arial" w:hAnsi="Arial" w:cs="Arial"/>
          <w:sz w:val="22"/>
          <w:szCs w:val="22"/>
        </w:rPr>
        <w:t>Tracheostomy</w:t>
      </w:r>
    </w:p>
    <w:p w:rsidR="00BA4F24" w:rsidRPr="00C3720D" w:rsidRDefault="00BA4F24" w:rsidP="00BA4F24">
      <w:pPr>
        <w:pStyle w:val="ListParagraph"/>
        <w:numPr>
          <w:ilvl w:val="0"/>
          <w:numId w:val="32"/>
        </w:numPr>
        <w:contextualSpacing/>
        <w:rPr>
          <w:rFonts w:ascii="Arial" w:hAnsi="Arial" w:cs="Arial"/>
          <w:sz w:val="22"/>
          <w:szCs w:val="22"/>
        </w:rPr>
      </w:pPr>
      <w:r w:rsidRPr="00C3720D">
        <w:rPr>
          <w:rFonts w:ascii="Arial" w:hAnsi="Arial" w:cs="Arial"/>
          <w:sz w:val="22"/>
          <w:szCs w:val="22"/>
        </w:rPr>
        <w:t>Epilepsy</w:t>
      </w:r>
    </w:p>
    <w:p w:rsidR="000671CE" w:rsidRDefault="00BA4F24" w:rsidP="00AC534C">
      <w:pPr>
        <w:pStyle w:val="ListParagraph"/>
        <w:numPr>
          <w:ilvl w:val="0"/>
          <w:numId w:val="32"/>
        </w:numPr>
        <w:rPr>
          <w:rFonts w:ascii="Arial" w:hAnsi="Arial" w:cs="Arial"/>
          <w:sz w:val="22"/>
        </w:rPr>
      </w:pPr>
      <w:r w:rsidRPr="00AC534C">
        <w:rPr>
          <w:rFonts w:ascii="Arial" w:hAnsi="Arial" w:cs="Arial"/>
          <w:sz w:val="22"/>
        </w:rPr>
        <w:lastRenderedPageBreak/>
        <w:t>Asthma</w:t>
      </w:r>
    </w:p>
    <w:p w:rsidR="005C553C" w:rsidRDefault="005C553C" w:rsidP="005C553C">
      <w:pPr>
        <w:rPr>
          <w:rFonts w:cs="Arial"/>
        </w:rPr>
      </w:pPr>
    </w:p>
    <w:p w:rsidR="00983433" w:rsidRDefault="00983433" w:rsidP="005C553C">
      <w:pPr>
        <w:rPr>
          <w:rFonts w:cs="Arial"/>
        </w:rPr>
      </w:pPr>
      <w:r>
        <w:rPr>
          <w:rFonts w:cs="Arial"/>
        </w:rPr>
        <w:t>The main reasons for referral to the Learning Disability Nursing Team were for support for behavioural issues (50%), sleeping problems (38%) and issues with toileting/continence (13%).  Support was also sought after diagnosis, and around diet and personal safety/sexualised behaviour.</w:t>
      </w:r>
    </w:p>
    <w:p w:rsidR="00983433" w:rsidRDefault="00983433" w:rsidP="00983433">
      <w:pPr>
        <w:ind w:left="360"/>
        <w:rPr>
          <w:rFonts w:cs="Arial"/>
        </w:rPr>
      </w:pPr>
    </w:p>
    <w:p w:rsidR="00983433" w:rsidRPr="00983433" w:rsidRDefault="00DE3E81" w:rsidP="00983433">
      <w:pPr>
        <w:ind w:left="360"/>
        <w:rPr>
          <w:rFonts w:cs="Arial"/>
        </w:rPr>
      </w:pPr>
      <w:r>
        <w:rPr>
          <w:rFonts w:cs="Arial"/>
        </w:rPr>
        <w:t>Functional difficulties can have a major negative impact on the lives of individual children, and on their families, not only in terms of physical health but in relation to emotional well being.  Support from allied health, social care and education professionals post diagnosis and assessment is key to maintaining family life as well as to the</w:t>
      </w:r>
      <w:r w:rsidR="00272557">
        <w:rPr>
          <w:rFonts w:cs="Arial"/>
        </w:rPr>
        <w:t xml:space="preserve"> overall</w:t>
      </w:r>
      <w:r>
        <w:rPr>
          <w:rFonts w:cs="Arial"/>
        </w:rPr>
        <w:t xml:space="preserve"> health of the child.</w:t>
      </w:r>
    </w:p>
    <w:p w:rsidR="00CF3557" w:rsidRDefault="00CF3557" w:rsidP="00A2065F">
      <w:pPr>
        <w:pStyle w:val="Heading1"/>
        <w:numPr>
          <w:ilvl w:val="0"/>
          <w:numId w:val="47"/>
        </w:numPr>
      </w:pPr>
      <w:bookmarkStart w:id="46" w:name="_Toc434938057"/>
      <w:r>
        <w:t>Trends</w:t>
      </w:r>
      <w:bookmarkEnd w:id="46"/>
    </w:p>
    <w:p w:rsidR="00C03264" w:rsidRDefault="00C03264" w:rsidP="00BA58FA">
      <w:pPr>
        <w:pStyle w:val="ListParagraph"/>
        <w:numPr>
          <w:ilvl w:val="0"/>
          <w:numId w:val="35"/>
        </w:numPr>
        <w:spacing w:line="276" w:lineRule="auto"/>
        <w:rPr>
          <w:rFonts w:ascii="Arial" w:hAnsi="Arial" w:cs="Arial"/>
          <w:sz w:val="22"/>
          <w:szCs w:val="22"/>
        </w:rPr>
      </w:pPr>
      <w:r w:rsidRPr="00BA58FA">
        <w:rPr>
          <w:rFonts w:ascii="Arial" w:hAnsi="Arial" w:cs="Arial"/>
          <w:sz w:val="22"/>
          <w:szCs w:val="22"/>
        </w:rPr>
        <w:t>Recent clinical advances in Neonatal and Paediatric Intensive Care have increased the incidence of survival of children with life threatening or life limiting conditions. Over the same period technological advances have produced a range of portable, easy to maintain, reliable and efficient mechanical ventilators. As a result, children who have long-term breathing difficulties needing either temporary or permanent ventilatory assistance have an increased potential for survival</w:t>
      </w:r>
      <w:r w:rsidR="00BA58FA" w:rsidRPr="00BA58FA">
        <w:rPr>
          <w:rFonts w:ascii="Arial" w:hAnsi="Arial" w:cs="Arial"/>
          <w:sz w:val="22"/>
          <w:szCs w:val="22"/>
        </w:rPr>
        <w:t xml:space="preserve"> and a consequent rise in </w:t>
      </w:r>
      <w:r w:rsidR="00142020">
        <w:rPr>
          <w:rFonts w:ascii="Arial" w:hAnsi="Arial" w:cs="Arial"/>
          <w:sz w:val="22"/>
          <w:szCs w:val="22"/>
        </w:rPr>
        <w:t>demand for appropriate services</w:t>
      </w:r>
    </w:p>
    <w:p w:rsidR="004E73B6" w:rsidRDefault="004E73B6" w:rsidP="004E73B6">
      <w:pPr>
        <w:rPr>
          <w:rFonts w:cs="Arial"/>
        </w:rPr>
      </w:pPr>
    </w:p>
    <w:p w:rsidR="00D37321" w:rsidRDefault="008102BE" w:rsidP="00D92413">
      <w:pPr>
        <w:pStyle w:val="ListParagraph"/>
        <w:numPr>
          <w:ilvl w:val="0"/>
          <w:numId w:val="35"/>
        </w:numPr>
        <w:spacing w:line="276" w:lineRule="auto"/>
        <w:rPr>
          <w:rFonts w:ascii="Arial" w:hAnsi="Arial" w:cs="Arial"/>
          <w:sz w:val="22"/>
          <w:szCs w:val="22"/>
        </w:rPr>
      </w:pPr>
      <w:r w:rsidRPr="00D92413">
        <w:rPr>
          <w:rFonts w:ascii="Arial" w:hAnsi="Arial" w:cs="Arial"/>
          <w:sz w:val="22"/>
          <w:szCs w:val="22"/>
        </w:rPr>
        <w:t>EPICure</w:t>
      </w:r>
      <w:r w:rsidR="00CC2992">
        <w:rPr>
          <w:rStyle w:val="FootnoteReference"/>
          <w:rFonts w:ascii="Arial" w:hAnsi="Arial" w:cs="Arial"/>
          <w:sz w:val="22"/>
          <w:szCs w:val="22"/>
        </w:rPr>
        <w:footnoteReference w:id="66"/>
      </w:r>
      <w:r w:rsidRPr="00D92413">
        <w:rPr>
          <w:rFonts w:ascii="Arial" w:hAnsi="Arial" w:cs="Arial"/>
          <w:sz w:val="22"/>
          <w:szCs w:val="22"/>
        </w:rPr>
        <w:t xml:space="preserve"> is a series of studies of survival and later health among babies and young people who were born at extremely low gestations – from 22 to 26 weeks.  </w:t>
      </w:r>
      <w:r w:rsidR="00D37321" w:rsidRPr="00D92413">
        <w:rPr>
          <w:rFonts w:ascii="Arial" w:hAnsi="Arial" w:cs="Arial"/>
          <w:sz w:val="22"/>
          <w:szCs w:val="22"/>
        </w:rPr>
        <w:t xml:space="preserve">EPICure has found that survival for births of 24 and 25 weeks rose significantly between 1995 and 2006.  Children born at extremely low gestational ages face a range of risks as they grow up (although for half of the children there are no health </w:t>
      </w:r>
      <w:r w:rsidR="003270F6">
        <w:rPr>
          <w:rFonts w:ascii="Arial" w:hAnsi="Arial" w:cs="Arial"/>
          <w:sz w:val="22"/>
          <w:szCs w:val="22"/>
        </w:rPr>
        <w:t>problems or only minor problems)</w:t>
      </w:r>
    </w:p>
    <w:p w:rsidR="00142020" w:rsidRPr="00142020" w:rsidRDefault="00142020" w:rsidP="00142020">
      <w:pPr>
        <w:pStyle w:val="ListParagraph"/>
        <w:rPr>
          <w:rFonts w:ascii="Arial" w:hAnsi="Arial" w:cs="Arial"/>
          <w:sz w:val="22"/>
          <w:szCs w:val="22"/>
        </w:rPr>
      </w:pPr>
    </w:p>
    <w:p w:rsidR="00142020" w:rsidRPr="00142020" w:rsidRDefault="00142020" w:rsidP="00142020">
      <w:pPr>
        <w:ind w:left="360"/>
        <w:rPr>
          <w:rFonts w:cs="Arial"/>
        </w:rPr>
      </w:pPr>
    </w:p>
    <w:p w:rsidR="00D37321" w:rsidRPr="00D92413" w:rsidRDefault="00D37321" w:rsidP="00D92413">
      <w:pPr>
        <w:pStyle w:val="ListParagraph"/>
        <w:numPr>
          <w:ilvl w:val="1"/>
          <w:numId w:val="35"/>
        </w:numPr>
        <w:rPr>
          <w:rFonts w:ascii="Arial" w:hAnsi="Arial" w:cs="Arial"/>
          <w:i/>
          <w:sz w:val="22"/>
        </w:rPr>
      </w:pPr>
      <w:r w:rsidRPr="00D92413">
        <w:rPr>
          <w:rFonts w:ascii="Arial" w:hAnsi="Arial" w:cs="Arial"/>
          <w:i/>
          <w:sz w:val="22"/>
        </w:rPr>
        <w:t>Cerebral Palsy</w:t>
      </w:r>
    </w:p>
    <w:p w:rsidR="00D37321" w:rsidRPr="00D92413" w:rsidRDefault="00D37321" w:rsidP="00D92413">
      <w:pPr>
        <w:ind w:left="1440"/>
        <w:rPr>
          <w:rFonts w:cs="Arial"/>
        </w:rPr>
      </w:pPr>
      <w:r w:rsidRPr="00D92413">
        <w:rPr>
          <w:rFonts w:cs="Arial"/>
        </w:rPr>
        <w:t xml:space="preserve">Although the chances of cerebral palsy at around 20% are relatively high compared to the normal population (2-4 per 1000 births), most children with cerebral palsy have mild associated disability and attend mainstream school, with only 7% </w:t>
      </w:r>
      <w:r w:rsidR="003270F6">
        <w:rPr>
          <w:rFonts w:cs="Arial"/>
        </w:rPr>
        <w:t>have severe associated problems</w:t>
      </w:r>
    </w:p>
    <w:p w:rsidR="00D37321" w:rsidRPr="00D92413" w:rsidRDefault="00D37321" w:rsidP="00D92413">
      <w:pPr>
        <w:pStyle w:val="ListParagraph"/>
        <w:numPr>
          <w:ilvl w:val="1"/>
          <w:numId w:val="35"/>
        </w:numPr>
        <w:rPr>
          <w:rFonts w:ascii="Arial" w:hAnsi="Arial" w:cs="Arial"/>
          <w:i/>
          <w:sz w:val="22"/>
        </w:rPr>
      </w:pPr>
      <w:r w:rsidRPr="00D92413">
        <w:rPr>
          <w:rFonts w:ascii="Arial" w:hAnsi="Arial" w:cs="Arial"/>
          <w:i/>
          <w:sz w:val="22"/>
        </w:rPr>
        <w:t>Learning Difficulties</w:t>
      </w:r>
    </w:p>
    <w:p w:rsidR="00D92413" w:rsidRDefault="00D37321" w:rsidP="00D92413">
      <w:pPr>
        <w:ind w:left="1440"/>
        <w:rPr>
          <w:rFonts w:cs="Arial"/>
        </w:rPr>
      </w:pPr>
      <w:r w:rsidRPr="00D92413">
        <w:rPr>
          <w:rFonts w:cs="Arial"/>
        </w:rPr>
        <w:t>A large proportion of children will need some help at school – around 2 in 3 in our study, although the proportion who go to special schools is only around 1 in 8.  The main problems seem to be associated with attention in the classroom (not usually hyperactivity), and problems with short-term or working memory and</w:t>
      </w:r>
      <w:r w:rsidR="00D92413">
        <w:rPr>
          <w:rFonts w:cs="Arial"/>
        </w:rPr>
        <w:t xml:space="preserve"> slow processing of information</w:t>
      </w:r>
    </w:p>
    <w:p w:rsidR="00D37321" w:rsidRPr="00D92413" w:rsidRDefault="00D37321" w:rsidP="00D92413">
      <w:pPr>
        <w:pStyle w:val="ListParagraph"/>
        <w:numPr>
          <w:ilvl w:val="1"/>
          <w:numId w:val="35"/>
        </w:numPr>
        <w:rPr>
          <w:rFonts w:ascii="Arial" w:hAnsi="Arial" w:cs="Arial"/>
          <w:i/>
          <w:sz w:val="22"/>
        </w:rPr>
      </w:pPr>
      <w:r w:rsidRPr="00D92413">
        <w:rPr>
          <w:rFonts w:ascii="Arial" w:hAnsi="Arial" w:cs="Arial"/>
          <w:i/>
          <w:sz w:val="22"/>
        </w:rPr>
        <w:t>Behaviour</w:t>
      </w:r>
    </w:p>
    <w:p w:rsidR="00CC2992" w:rsidRDefault="00D37321" w:rsidP="00CC2992">
      <w:pPr>
        <w:ind w:left="1440"/>
        <w:rPr>
          <w:rFonts w:cs="Arial"/>
        </w:rPr>
      </w:pPr>
      <w:r w:rsidRPr="00D92413">
        <w:rPr>
          <w:rFonts w:cs="Arial"/>
        </w:rPr>
        <w:t xml:space="preserve">Overall behaviour problems are found in just over 1 in 4 children. Inattention remains the commonest problem for extremely preterm children, and some children get anxious and worried with this.  </w:t>
      </w:r>
    </w:p>
    <w:p w:rsidR="00D37321" w:rsidRPr="00CC2992" w:rsidRDefault="00D37321" w:rsidP="00CC2992">
      <w:pPr>
        <w:pStyle w:val="ListParagraph"/>
        <w:numPr>
          <w:ilvl w:val="1"/>
          <w:numId w:val="35"/>
        </w:numPr>
        <w:rPr>
          <w:rFonts w:ascii="Arial" w:hAnsi="Arial" w:cs="Arial"/>
          <w:i/>
          <w:sz w:val="22"/>
        </w:rPr>
      </w:pPr>
      <w:r w:rsidRPr="00CC2992">
        <w:rPr>
          <w:rFonts w:ascii="Arial" w:hAnsi="Arial" w:cs="Arial"/>
          <w:i/>
          <w:sz w:val="22"/>
        </w:rPr>
        <w:t>Chest problems</w:t>
      </w:r>
    </w:p>
    <w:p w:rsidR="00BA58FA" w:rsidRDefault="00D37321" w:rsidP="00D92413">
      <w:pPr>
        <w:ind w:left="1440"/>
        <w:rPr>
          <w:rFonts w:cs="Arial"/>
        </w:rPr>
      </w:pPr>
      <w:r w:rsidRPr="00D92413">
        <w:rPr>
          <w:rFonts w:cs="Arial"/>
        </w:rPr>
        <w:lastRenderedPageBreak/>
        <w:t>Extremely preterm children tend to have more chestiness than their full term classmates which is related to asthma, and children take more medicines to help prevent wheeze and cough.  This seems to be because the lungs have difficulty in reaching their full development after such early births.  Major illness with chest problems decreases as the child grows up.</w:t>
      </w:r>
    </w:p>
    <w:p w:rsidR="00D92413" w:rsidRPr="00D92413" w:rsidRDefault="00D92413" w:rsidP="00D92413">
      <w:pPr>
        <w:ind w:left="1440"/>
        <w:rPr>
          <w:rFonts w:cs="Arial"/>
        </w:rPr>
      </w:pPr>
    </w:p>
    <w:p w:rsidR="002F0222" w:rsidRDefault="002F0222" w:rsidP="00BA58FA">
      <w:pPr>
        <w:pStyle w:val="ListParagraph"/>
        <w:numPr>
          <w:ilvl w:val="0"/>
          <w:numId w:val="35"/>
        </w:numPr>
        <w:autoSpaceDE w:val="0"/>
        <w:autoSpaceDN w:val="0"/>
        <w:adjustRightInd w:val="0"/>
        <w:spacing w:line="276" w:lineRule="auto"/>
        <w:contextualSpacing/>
        <w:rPr>
          <w:rFonts w:ascii="Arial" w:hAnsi="Arial" w:cs="Arial"/>
          <w:color w:val="2E2E2E"/>
          <w:sz w:val="22"/>
          <w:szCs w:val="22"/>
        </w:rPr>
      </w:pPr>
      <w:r w:rsidRPr="00BA58FA">
        <w:rPr>
          <w:rFonts w:ascii="Arial" w:hAnsi="Arial" w:cs="Arial"/>
          <w:sz w:val="22"/>
          <w:szCs w:val="22"/>
        </w:rPr>
        <w:t xml:space="preserve">Although the population of older people is rising, the percentage with a limiting illness is decreasing.  Conversely, the percentage of children with disabilities/life limiting illness is increasing.  </w:t>
      </w:r>
      <w:r w:rsidRPr="00BA58FA">
        <w:rPr>
          <w:rFonts w:ascii="Arial" w:hAnsi="Arial" w:cs="Arial"/>
          <w:color w:val="2E2E2E"/>
          <w:sz w:val="22"/>
          <w:szCs w:val="22"/>
        </w:rPr>
        <w:t>Generational health improvements have mitigated the effects of population ageing, meaning that the population rate of sickness fell between 1980 and 2008. Planning based only on age leads to overestimation of the population level of health care need if successive cohorts are becoming healthier</w:t>
      </w:r>
      <w:r w:rsidRPr="00BA58FA">
        <w:rPr>
          <w:rStyle w:val="FootnoteReference"/>
          <w:rFonts w:ascii="Arial" w:hAnsi="Arial" w:cs="Arial"/>
          <w:color w:val="2E2E2E"/>
          <w:sz w:val="22"/>
          <w:szCs w:val="22"/>
        </w:rPr>
        <w:footnoteReference w:id="67"/>
      </w:r>
      <w:r w:rsidRPr="00BA58FA">
        <w:rPr>
          <w:rFonts w:ascii="Arial" w:hAnsi="Arial" w:cs="Arial"/>
          <w:color w:val="2E2E2E"/>
          <w:sz w:val="22"/>
          <w:szCs w:val="22"/>
        </w:rPr>
        <w:t xml:space="preserve"> </w:t>
      </w:r>
    </w:p>
    <w:p w:rsidR="00BA58FA" w:rsidRPr="00BA58FA" w:rsidRDefault="00BA58FA" w:rsidP="00BA58FA">
      <w:pPr>
        <w:pStyle w:val="ListParagraph"/>
        <w:autoSpaceDE w:val="0"/>
        <w:autoSpaceDN w:val="0"/>
        <w:adjustRightInd w:val="0"/>
        <w:spacing w:line="276" w:lineRule="auto"/>
        <w:contextualSpacing/>
        <w:rPr>
          <w:rFonts w:ascii="Arial" w:hAnsi="Arial" w:cs="Arial"/>
          <w:color w:val="2E2E2E"/>
          <w:sz w:val="22"/>
          <w:szCs w:val="22"/>
        </w:rPr>
      </w:pPr>
    </w:p>
    <w:p w:rsidR="00BA58FA" w:rsidRPr="00BA58FA" w:rsidRDefault="00BA58FA" w:rsidP="00BA58FA">
      <w:pPr>
        <w:pStyle w:val="ListParagraph"/>
        <w:numPr>
          <w:ilvl w:val="0"/>
          <w:numId w:val="35"/>
        </w:numPr>
        <w:spacing w:line="276" w:lineRule="auto"/>
        <w:rPr>
          <w:rFonts w:ascii="Arial" w:hAnsi="Arial" w:cs="Arial"/>
          <w:sz w:val="22"/>
          <w:szCs w:val="22"/>
        </w:rPr>
      </w:pPr>
      <w:r w:rsidRPr="00BA58FA">
        <w:rPr>
          <w:rFonts w:ascii="Arial" w:hAnsi="Arial" w:cs="Arial"/>
          <w:sz w:val="22"/>
          <w:szCs w:val="22"/>
        </w:rPr>
        <w:t>The Children and Young People’s Health Forum has conducted a recent review of children and young people’s health outcomes for the Chief Medical Officer, in response to a recommendation from her, which found:</w:t>
      </w:r>
    </w:p>
    <w:p w:rsidR="00BA58FA" w:rsidRPr="00BA58FA" w:rsidRDefault="00BA58FA" w:rsidP="00BA58FA">
      <w:pPr>
        <w:pStyle w:val="ListParagraph"/>
        <w:numPr>
          <w:ilvl w:val="1"/>
          <w:numId w:val="35"/>
        </w:numPr>
        <w:spacing w:line="276" w:lineRule="auto"/>
        <w:rPr>
          <w:rFonts w:ascii="Arial" w:hAnsi="Arial" w:cs="Arial"/>
          <w:sz w:val="22"/>
          <w:szCs w:val="22"/>
        </w:rPr>
      </w:pPr>
      <w:r w:rsidRPr="00BA58FA">
        <w:rPr>
          <w:rFonts w:ascii="Arial" w:hAnsi="Arial" w:cs="Arial"/>
          <w:sz w:val="22"/>
          <w:szCs w:val="22"/>
        </w:rPr>
        <w:t>Improvement in child and adolescent mortality has been less in the past 40 years than in comparable developed countries which puts us towards the bottom of countries in the European Union</w:t>
      </w:r>
    </w:p>
    <w:p w:rsidR="00BA58FA" w:rsidRPr="00BA58FA" w:rsidRDefault="00BA58FA" w:rsidP="00BA58FA">
      <w:pPr>
        <w:pStyle w:val="ListParagraph"/>
        <w:numPr>
          <w:ilvl w:val="1"/>
          <w:numId w:val="35"/>
        </w:numPr>
        <w:spacing w:line="276" w:lineRule="auto"/>
        <w:rPr>
          <w:rFonts w:ascii="Arial" w:hAnsi="Arial" w:cs="Arial"/>
          <w:sz w:val="22"/>
          <w:szCs w:val="22"/>
        </w:rPr>
      </w:pPr>
      <w:r w:rsidRPr="00BA58FA">
        <w:rPr>
          <w:rFonts w:ascii="Arial" w:hAnsi="Arial" w:cs="Arial"/>
          <w:sz w:val="22"/>
          <w:szCs w:val="22"/>
        </w:rPr>
        <w:t>There are worrying negative trends e.g. emergency department attendances among children and young people have risen by 40% over recent years and hospital admissions for common childhood conditions such as infant feeding difficulties, for bronchiolitis and self-harm have also risen significantly; and</w:t>
      </w:r>
    </w:p>
    <w:p w:rsidR="00BA58FA" w:rsidRPr="00BA58FA" w:rsidRDefault="00BA58FA" w:rsidP="00BA58FA">
      <w:pPr>
        <w:pStyle w:val="ListParagraph"/>
        <w:numPr>
          <w:ilvl w:val="1"/>
          <w:numId w:val="35"/>
        </w:numPr>
        <w:spacing w:line="276" w:lineRule="auto"/>
        <w:rPr>
          <w:rFonts w:ascii="Arial" w:hAnsi="Arial" w:cs="Arial"/>
          <w:sz w:val="22"/>
          <w:szCs w:val="22"/>
        </w:rPr>
      </w:pPr>
      <w:r w:rsidRPr="00BA58FA">
        <w:rPr>
          <w:rFonts w:ascii="Arial" w:hAnsi="Arial" w:cs="Arial"/>
          <w:sz w:val="22"/>
          <w:szCs w:val="22"/>
        </w:rPr>
        <w:t xml:space="preserve">Whilst there have been some improvements in </w:t>
      </w:r>
      <w:r w:rsidR="003270F6" w:rsidRPr="00BA58FA">
        <w:rPr>
          <w:rFonts w:ascii="Arial" w:hAnsi="Arial" w:cs="Arial"/>
          <w:sz w:val="22"/>
          <w:szCs w:val="22"/>
        </w:rPr>
        <w:t>areas</w:t>
      </w:r>
      <w:r w:rsidRPr="00BA58FA">
        <w:rPr>
          <w:rFonts w:ascii="Arial" w:hAnsi="Arial" w:cs="Arial"/>
          <w:sz w:val="22"/>
          <w:szCs w:val="22"/>
        </w:rPr>
        <w:t xml:space="preserve"> such as teenage pregnancy conception rates, smoking during pregnancy and deaths of young people due to road traffic accidents, the top line outcome data still masks inequalities within our country and often do not compare favourably to other nations and health systems</w:t>
      </w:r>
    </w:p>
    <w:p w:rsidR="00BA58FA" w:rsidRPr="00BA58FA" w:rsidRDefault="00BA58FA" w:rsidP="00BA58FA">
      <w:pPr>
        <w:pStyle w:val="ListParagraph"/>
        <w:numPr>
          <w:ilvl w:val="1"/>
          <w:numId w:val="35"/>
        </w:numPr>
        <w:spacing w:line="276" w:lineRule="auto"/>
        <w:rPr>
          <w:rFonts w:ascii="Arial" w:hAnsi="Arial" w:cs="Arial"/>
          <w:sz w:val="22"/>
          <w:szCs w:val="22"/>
        </w:rPr>
      </w:pPr>
      <w:r w:rsidRPr="00BA58FA">
        <w:rPr>
          <w:rFonts w:ascii="Arial" w:hAnsi="Arial" w:cs="Arial"/>
          <w:sz w:val="22"/>
          <w:szCs w:val="22"/>
        </w:rPr>
        <w:t>The Forum is also concerned about the rising use of urgent/emergency healthcare among all age groups, in particular those with long term conditions.</w:t>
      </w:r>
    </w:p>
    <w:p w:rsidR="00BA58FA" w:rsidRDefault="00BA58FA" w:rsidP="00C83BC6"/>
    <w:p w:rsidR="00C83BC6" w:rsidRDefault="00C83BC6" w:rsidP="00C83BC6"/>
    <w:p w:rsidR="00C83BC6" w:rsidRDefault="00C83BC6" w:rsidP="00C83BC6"/>
    <w:p w:rsidR="00C83BC6" w:rsidRDefault="00C83BC6" w:rsidP="00C83BC6"/>
    <w:p w:rsidR="00AC534C" w:rsidRDefault="00AC534C" w:rsidP="00C83BC6"/>
    <w:p w:rsidR="00AC534C" w:rsidRDefault="00AC534C">
      <w:r>
        <w:br w:type="page"/>
      </w:r>
    </w:p>
    <w:p w:rsidR="007D3F2E" w:rsidRDefault="00AC534C" w:rsidP="007E0C90">
      <w:pPr>
        <w:pStyle w:val="Heading1"/>
      </w:pPr>
      <w:bookmarkStart w:id="47" w:name="_Toc434938058"/>
      <w:r>
        <w:lastRenderedPageBreak/>
        <w:t>Appendix 1: Statistical Neighbours</w:t>
      </w:r>
      <w:bookmarkEnd w:id="47"/>
    </w:p>
    <w:p w:rsidR="007E0C90" w:rsidRDefault="007E0C90" w:rsidP="007E0C90"/>
    <w:p w:rsidR="007E0C90" w:rsidRDefault="00DD2A46" w:rsidP="007E0C90">
      <w:r>
        <w:t xml:space="preserve">Statistical neighbours provide a method for benchmarking progress. </w:t>
      </w:r>
    </w:p>
    <w:p w:rsidR="007E0C90" w:rsidRDefault="007E0C90" w:rsidP="007E0C90"/>
    <w:p w:rsidR="00DD2A46" w:rsidRDefault="00DD2A46" w:rsidP="007E0C90">
      <w:r>
        <w:t xml:space="preserve">For each local authority (LA), </w:t>
      </w:r>
      <w:r w:rsidR="007E0C90">
        <w:t>the Department for Education</w:t>
      </w:r>
      <w:r>
        <w:t xml:space="preserve"> designate a number of other LAs deemed to have similar characteristics. These designated LAs are known as statistical neighbours. The National Foundation for Educational Research (NFER) was commissioned in 2007 by the Department to identify and group similar LAs in terms of the socio-economic characteristics, each LA was assign 10 such neighbours. </w:t>
      </w:r>
    </w:p>
    <w:p w:rsidR="00DD2A46" w:rsidRDefault="00DD2A46" w:rsidP="007E0C90"/>
    <w:p w:rsidR="007E0C90" w:rsidRDefault="00DD2A46" w:rsidP="007E0C90">
      <w:r>
        <w:t xml:space="preserve">Statistical neighbours currently identified (via the </w:t>
      </w:r>
      <w:hyperlink r:id="rId15" w:history="1">
        <w:r w:rsidRPr="007E0C90">
          <w:rPr>
            <w:rStyle w:val="Hyperlink"/>
          </w:rPr>
          <w:t>Local Authori</w:t>
        </w:r>
        <w:r w:rsidR="007E0C90" w:rsidRPr="007E0C90">
          <w:rPr>
            <w:rStyle w:val="Hyperlink"/>
          </w:rPr>
          <w:t>ty Interactive Tool</w:t>
        </w:r>
      </w:hyperlink>
      <w:r w:rsidR="007E0C90">
        <w:t>) are</w:t>
      </w:r>
    </w:p>
    <w:p w:rsidR="007E0C90" w:rsidRDefault="007E0C90" w:rsidP="007E0C90">
      <w:r>
        <w:t xml:space="preserve"> </w:t>
      </w:r>
    </w:p>
    <w:p w:rsidR="007E0C90" w:rsidRPr="007E0C90" w:rsidRDefault="007E0C90" w:rsidP="007E0C90">
      <w:pPr>
        <w:pStyle w:val="ListParagraph"/>
        <w:numPr>
          <w:ilvl w:val="0"/>
          <w:numId w:val="46"/>
        </w:numPr>
        <w:rPr>
          <w:rFonts w:ascii="Arial" w:hAnsi="Arial" w:cs="Arial"/>
          <w:sz w:val="22"/>
          <w:szCs w:val="22"/>
        </w:rPr>
      </w:pPr>
      <w:r w:rsidRPr="007E0C90">
        <w:rPr>
          <w:rFonts w:ascii="Arial" w:hAnsi="Arial" w:cs="Arial"/>
          <w:sz w:val="22"/>
          <w:szCs w:val="22"/>
        </w:rPr>
        <w:t>Dudley</w:t>
      </w:r>
    </w:p>
    <w:p w:rsidR="007E0C90" w:rsidRPr="007E0C90" w:rsidRDefault="007E0C90" w:rsidP="007E0C90">
      <w:pPr>
        <w:pStyle w:val="ListParagraph"/>
        <w:numPr>
          <w:ilvl w:val="0"/>
          <w:numId w:val="46"/>
        </w:numPr>
        <w:rPr>
          <w:rFonts w:ascii="Arial" w:hAnsi="Arial" w:cs="Arial"/>
          <w:sz w:val="22"/>
          <w:szCs w:val="22"/>
        </w:rPr>
      </w:pPr>
      <w:r w:rsidRPr="007E0C90">
        <w:rPr>
          <w:rFonts w:ascii="Arial" w:hAnsi="Arial" w:cs="Arial"/>
          <w:sz w:val="22"/>
          <w:szCs w:val="22"/>
        </w:rPr>
        <w:t>Swindon</w:t>
      </w:r>
      <w:r w:rsidR="00DD2A46" w:rsidRPr="007E0C90">
        <w:rPr>
          <w:rFonts w:ascii="Arial" w:hAnsi="Arial" w:cs="Arial"/>
          <w:sz w:val="22"/>
          <w:szCs w:val="22"/>
        </w:rPr>
        <w:t xml:space="preserve"> </w:t>
      </w:r>
    </w:p>
    <w:p w:rsidR="007E0C90" w:rsidRPr="007E0C90" w:rsidRDefault="00DD2A46" w:rsidP="007E0C90">
      <w:pPr>
        <w:pStyle w:val="ListParagraph"/>
        <w:numPr>
          <w:ilvl w:val="0"/>
          <w:numId w:val="46"/>
        </w:numPr>
        <w:rPr>
          <w:rFonts w:ascii="Arial" w:hAnsi="Arial" w:cs="Arial"/>
          <w:sz w:val="22"/>
          <w:szCs w:val="22"/>
        </w:rPr>
      </w:pPr>
      <w:r w:rsidRPr="007E0C90">
        <w:rPr>
          <w:rFonts w:ascii="Arial" w:hAnsi="Arial" w:cs="Arial"/>
          <w:sz w:val="22"/>
          <w:szCs w:val="22"/>
        </w:rPr>
        <w:t xml:space="preserve">Havering </w:t>
      </w:r>
    </w:p>
    <w:p w:rsidR="007E0C90" w:rsidRPr="007E0C90" w:rsidRDefault="007E0C90" w:rsidP="007E0C90">
      <w:pPr>
        <w:pStyle w:val="ListParagraph"/>
        <w:numPr>
          <w:ilvl w:val="0"/>
          <w:numId w:val="46"/>
        </w:numPr>
        <w:rPr>
          <w:rFonts w:ascii="Arial" w:hAnsi="Arial" w:cs="Arial"/>
          <w:sz w:val="22"/>
          <w:szCs w:val="22"/>
        </w:rPr>
      </w:pPr>
      <w:r w:rsidRPr="007E0C90">
        <w:rPr>
          <w:rFonts w:ascii="Arial" w:hAnsi="Arial" w:cs="Arial"/>
          <w:sz w:val="22"/>
          <w:szCs w:val="22"/>
        </w:rPr>
        <w:t>Northamptonshire</w:t>
      </w:r>
    </w:p>
    <w:p w:rsidR="007E0C90" w:rsidRPr="007E0C90" w:rsidRDefault="007E0C90" w:rsidP="007E0C90">
      <w:pPr>
        <w:pStyle w:val="ListParagraph"/>
        <w:numPr>
          <w:ilvl w:val="0"/>
          <w:numId w:val="46"/>
        </w:numPr>
        <w:rPr>
          <w:rFonts w:ascii="Arial" w:hAnsi="Arial" w:cs="Arial"/>
          <w:sz w:val="22"/>
          <w:szCs w:val="22"/>
        </w:rPr>
      </w:pPr>
      <w:r w:rsidRPr="007E0C90">
        <w:rPr>
          <w:rFonts w:ascii="Arial" w:hAnsi="Arial" w:cs="Arial"/>
          <w:sz w:val="22"/>
          <w:szCs w:val="22"/>
        </w:rPr>
        <w:t>North Lincolnshire</w:t>
      </w:r>
      <w:r w:rsidR="00DD2A46" w:rsidRPr="007E0C90">
        <w:rPr>
          <w:rFonts w:ascii="Arial" w:hAnsi="Arial" w:cs="Arial"/>
          <w:sz w:val="22"/>
          <w:szCs w:val="22"/>
        </w:rPr>
        <w:t xml:space="preserve"> </w:t>
      </w:r>
    </w:p>
    <w:p w:rsidR="007E0C90" w:rsidRPr="007E0C90" w:rsidRDefault="007E0C90" w:rsidP="007E0C90">
      <w:pPr>
        <w:pStyle w:val="ListParagraph"/>
        <w:numPr>
          <w:ilvl w:val="0"/>
          <w:numId w:val="46"/>
        </w:numPr>
        <w:rPr>
          <w:rFonts w:ascii="Arial" w:hAnsi="Arial" w:cs="Arial"/>
          <w:sz w:val="22"/>
          <w:szCs w:val="22"/>
        </w:rPr>
      </w:pPr>
      <w:r w:rsidRPr="007E0C90">
        <w:rPr>
          <w:rFonts w:ascii="Arial" w:hAnsi="Arial" w:cs="Arial"/>
          <w:sz w:val="22"/>
          <w:szCs w:val="22"/>
        </w:rPr>
        <w:t>Thurrock</w:t>
      </w:r>
      <w:r w:rsidR="00DD2A46" w:rsidRPr="007E0C90">
        <w:rPr>
          <w:rFonts w:ascii="Arial" w:hAnsi="Arial" w:cs="Arial"/>
          <w:sz w:val="22"/>
          <w:szCs w:val="22"/>
        </w:rPr>
        <w:t xml:space="preserve"> </w:t>
      </w:r>
    </w:p>
    <w:p w:rsidR="007E0C90" w:rsidRPr="007E0C90" w:rsidRDefault="007E0C90" w:rsidP="007E0C90">
      <w:pPr>
        <w:pStyle w:val="ListParagraph"/>
        <w:numPr>
          <w:ilvl w:val="0"/>
          <w:numId w:val="46"/>
        </w:numPr>
        <w:rPr>
          <w:rFonts w:ascii="Arial" w:hAnsi="Arial" w:cs="Arial"/>
          <w:sz w:val="22"/>
          <w:szCs w:val="22"/>
        </w:rPr>
      </w:pPr>
      <w:r w:rsidRPr="007E0C90">
        <w:rPr>
          <w:rFonts w:ascii="Arial" w:hAnsi="Arial" w:cs="Arial"/>
          <w:sz w:val="22"/>
          <w:szCs w:val="22"/>
        </w:rPr>
        <w:t>Southend-on-Sea</w:t>
      </w:r>
    </w:p>
    <w:p w:rsidR="007E0C90" w:rsidRDefault="00DD2A46" w:rsidP="007E0C90">
      <w:pPr>
        <w:pStyle w:val="ListParagraph"/>
        <w:numPr>
          <w:ilvl w:val="0"/>
          <w:numId w:val="46"/>
        </w:numPr>
        <w:rPr>
          <w:rFonts w:ascii="Arial" w:hAnsi="Arial" w:cs="Arial"/>
          <w:sz w:val="22"/>
          <w:szCs w:val="22"/>
        </w:rPr>
      </w:pPr>
      <w:r w:rsidRPr="007E0C90">
        <w:rPr>
          <w:rFonts w:ascii="Arial" w:hAnsi="Arial" w:cs="Arial"/>
          <w:sz w:val="22"/>
          <w:szCs w:val="22"/>
        </w:rPr>
        <w:t xml:space="preserve">Rotherham </w:t>
      </w:r>
    </w:p>
    <w:p w:rsidR="00E57B3E" w:rsidRPr="007E0C90" w:rsidRDefault="00E57B3E" w:rsidP="007E0C90">
      <w:pPr>
        <w:pStyle w:val="ListParagraph"/>
        <w:numPr>
          <w:ilvl w:val="0"/>
          <w:numId w:val="46"/>
        </w:numPr>
        <w:rPr>
          <w:rFonts w:ascii="Arial" w:hAnsi="Arial" w:cs="Arial"/>
          <w:sz w:val="22"/>
          <w:szCs w:val="22"/>
        </w:rPr>
      </w:pPr>
      <w:r>
        <w:rPr>
          <w:rFonts w:ascii="Arial" w:hAnsi="Arial" w:cs="Arial"/>
          <w:sz w:val="22"/>
          <w:szCs w:val="22"/>
        </w:rPr>
        <w:t>Kent</w:t>
      </w:r>
    </w:p>
    <w:p w:rsidR="007E0C90" w:rsidRPr="007E0C90" w:rsidRDefault="00E57B3E" w:rsidP="007E0C90">
      <w:pPr>
        <w:pStyle w:val="ListParagraph"/>
        <w:numPr>
          <w:ilvl w:val="0"/>
          <w:numId w:val="46"/>
        </w:numPr>
        <w:rPr>
          <w:rFonts w:ascii="Arial" w:hAnsi="Arial" w:cs="Arial"/>
          <w:sz w:val="22"/>
          <w:szCs w:val="22"/>
        </w:rPr>
      </w:pPr>
      <w:r>
        <w:rPr>
          <w:rFonts w:ascii="Arial" w:hAnsi="Arial" w:cs="Arial"/>
          <w:sz w:val="22"/>
          <w:szCs w:val="22"/>
        </w:rPr>
        <w:t>Telford and Wrekin</w:t>
      </w:r>
    </w:p>
    <w:p w:rsidR="007E0C90" w:rsidRDefault="007E0C90" w:rsidP="007E0C90"/>
    <w:p w:rsidR="00DD2A46" w:rsidRDefault="007E0C90" w:rsidP="007E0C90">
      <w:r>
        <w:t>A group of 'm</w:t>
      </w:r>
      <w:r w:rsidR="00DD2A46">
        <w:t xml:space="preserve">ost similar' CCGs, </w:t>
      </w:r>
      <w:r>
        <w:t>have been</w:t>
      </w:r>
      <w:r w:rsidR="00DD2A46">
        <w:t xml:space="preserve"> identified by NHS England, Public Health England and NHS Right Care as part of the Commissioning for Value programme</w:t>
      </w:r>
      <w:r>
        <w:t>.  They are</w:t>
      </w:r>
    </w:p>
    <w:p w:rsidR="007E0C90" w:rsidRDefault="007E0C90" w:rsidP="007E0C90"/>
    <w:p w:rsidR="00DD2A46" w:rsidRDefault="00DD2A46" w:rsidP="007E0C90">
      <w:r>
        <w:t>● NHS Dartford, Gravesham and Swanley CCG</w:t>
      </w:r>
    </w:p>
    <w:p w:rsidR="00DD2A46" w:rsidRDefault="00DD2A46" w:rsidP="007E0C90">
      <w:r>
        <w:t>● NHS Basildon and Brentwood CCG</w:t>
      </w:r>
    </w:p>
    <w:p w:rsidR="00DD2A46" w:rsidRDefault="00DD2A46" w:rsidP="007E0C90">
      <w:r>
        <w:t>● NHS Greater Huddersfield CCG</w:t>
      </w:r>
    </w:p>
    <w:p w:rsidR="00DD2A46" w:rsidRDefault="00DD2A46" w:rsidP="007E0C90">
      <w:r>
        <w:t>● NHS Hartlepool and Stockton-On-Tees CCG</w:t>
      </w:r>
    </w:p>
    <w:p w:rsidR="00DD2A46" w:rsidRDefault="00DD2A46" w:rsidP="007E0C90">
      <w:r>
        <w:t>● NHS Telford and Wrekin CCG</w:t>
      </w:r>
    </w:p>
    <w:p w:rsidR="00DD2A46" w:rsidRDefault="00DD2A46" w:rsidP="007E0C90">
      <w:r>
        <w:t>● NHS Swale CCG</w:t>
      </w:r>
    </w:p>
    <w:p w:rsidR="00DD2A46" w:rsidRDefault="00DD2A46" w:rsidP="007E0C90">
      <w:r>
        <w:t>● NHS Swindon CCG</w:t>
      </w:r>
    </w:p>
    <w:p w:rsidR="00DD2A46" w:rsidRDefault="00DD2A46" w:rsidP="007E0C90">
      <w:r>
        <w:t>● NHS Redditch and Bromsgrove CCG</w:t>
      </w:r>
    </w:p>
    <w:p w:rsidR="00DD2A46" w:rsidRDefault="00DD2A46" w:rsidP="007E0C90">
      <w:r>
        <w:t>● NHS Warrington CCG</w:t>
      </w:r>
    </w:p>
    <w:p w:rsidR="007D3F2E" w:rsidRDefault="00DD2A46" w:rsidP="007E0C90">
      <w:r>
        <w:t>● NHS Bedfordshire CCG</w:t>
      </w:r>
    </w:p>
    <w:p w:rsidR="00F6167D" w:rsidRDefault="00F6167D" w:rsidP="007E0C90">
      <w:pPr>
        <w:pStyle w:val="Heading1"/>
      </w:pPr>
      <w:r>
        <w:br w:type="page"/>
      </w:r>
    </w:p>
    <w:p w:rsidR="00E300E9" w:rsidRPr="00AC534C" w:rsidRDefault="00AC534C" w:rsidP="00AC534C">
      <w:pPr>
        <w:pStyle w:val="Heading1"/>
      </w:pPr>
      <w:bookmarkStart w:id="48" w:name="_Toc434938059"/>
      <w:r w:rsidRPr="00AC534C">
        <w:lastRenderedPageBreak/>
        <w:t xml:space="preserve">Appendix 2: </w:t>
      </w:r>
      <w:r w:rsidR="00F6167D" w:rsidRPr="00AC534C">
        <w:t>Glossary</w:t>
      </w:r>
      <w:bookmarkEnd w:id="48"/>
    </w:p>
    <w:p w:rsidR="00DD5F76" w:rsidRDefault="00DD5F76" w:rsidP="00F6167D">
      <w:pPr>
        <w:rPr>
          <w:b/>
        </w:rPr>
      </w:pPr>
      <w:bookmarkStart w:id="49" w:name="ADHD"/>
      <w:bookmarkStart w:id="50" w:name="threat"/>
      <w:r>
        <w:rPr>
          <w:b/>
        </w:rPr>
        <w:t>ADHD</w:t>
      </w:r>
    </w:p>
    <w:bookmarkEnd w:id="49"/>
    <w:p w:rsidR="0024099A" w:rsidRDefault="0024099A" w:rsidP="0024099A">
      <w:pPr>
        <w:contextualSpacing/>
      </w:pPr>
      <w:r>
        <w:t>ADHD is a behavioural disorder which often becomes obvious in early childhood. The behaviours are due to underlying problems of poor attention, hyperactivity and impulsivity</w:t>
      </w:r>
    </w:p>
    <w:p w:rsidR="00DD5F76" w:rsidRPr="00DD5F76" w:rsidRDefault="0024099A" w:rsidP="0024099A">
      <w:r>
        <w:t xml:space="preserve">Children with ADHD can have other problems such as learning difficulties, Autism, conduct disorder, anxiety and depression. Neurological problems like tics, Tourette’s, and epilepsy can also be present. Children with ADHD can have problems with coordination, social skills and seem to be disorganised </w:t>
      </w:r>
      <w:hyperlink r:id="rId16" w:history="1">
        <w:r w:rsidRPr="0024099A">
          <w:rPr>
            <w:rStyle w:val="Hyperlink"/>
          </w:rPr>
          <w:t>(Royal College of Psychiatrists)</w:t>
        </w:r>
      </w:hyperlink>
    </w:p>
    <w:p w:rsidR="00DD5F76" w:rsidRDefault="00DD5F76" w:rsidP="00F6167D">
      <w:pPr>
        <w:rPr>
          <w:b/>
        </w:rPr>
      </w:pPr>
    </w:p>
    <w:p w:rsidR="00B8391B" w:rsidRDefault="0055493A" w:rsidP="00F6167D">
      <w:pPr>
        <w:rPr>
          <w:b/>
        </w:rPr>
      </w:pPr>
      <w:bookmarkStart w:id="51" w:name="autism"/>
      <w:r>
        <w:rPr>
          <w:b/>
        </w:rPr>
        <w:t>Autism</w:t>
      </w:r>
    </w:p>
    <w:bookmarkEnd w:id="51"/>
    <w:p w:rsidR="0055493A" w:rsidRDefault="0055493A" w:rsidP="0055493A">
      <w:r w:rsidRPr="004F3D0C">
        <w:t>The term autism describes qualitative differences and impairments in reciprocal social interaction and social communication, combined with restricted interests and rigid and repetitive behaviours, often with a lifelong impact. In addition to these features, children and young people with autism frequently experience a range of cognitive, learning, language, medical, emotional and behavioural problems, including: a need for routine; difficulty in understanding other people, including their intentions, feelings and perspectives; sleeping and eating disturbances; and mental health problems such as anxiety, depression, problems with attention, self-injurious behaviour and other challenging, sometimes aggressive behaviour. These features may substantially impact on the quality of life of the individual, and their family or carer, and lead to social vulnerability</w:t>
      </w:r>
      <w:r>
        <w:t>.</w:t>
      </w:r>
      <w:r>
        <w:rPr>
          <w:rStyle w:val="FootnoteReference"/>
        </w:rPr>
        <w:footnoteReference w:id="68"/>
      </w:r>
    </w:p>
    <w:p w:rsidR="000B7B31" w:rsidRDefault="000B7B31" w:rsidP="0055493A"/>
    <w:p w:rsidR="000B7B31" w:rsidRPr="000B7B31" w:rsidRDefault="000B7B31" w:rsidP="0055493A">
      <w:pPr>
        <w:rPr>
          <w:b/>
        </w:rPr>
      </w:pPr>
      <w:bookmarkStart w:id="52" w:name="batten"/>
      <w:r w:rsidRPr="000B7B31">
        <w:rPr>
          <w:b/>
        </w:rPr>
        <w:t>Batten’s Disease</w:t>
      </w:r>
    </w:p>
    <w:bookmarkEnd w:id="52"/>
    <w:p w:rsidR="000B7B31" w:rsidRDefault="000B7B31" w:rsidP="0055493A">
      <w:r w:rsidRPr="000B7B31">
        <w:t>The group of diseases known as Batten disease or the neuronal ceroid lipofuscinoses (NCLs) are rare genetic disorders of the nervous system. These are serious conditions that shorten the lifespan of those affected. Symptoms i</w:t>
      </w:r>
      <w:r>
        <w:t>nclude loss of vision, epilepsy</w:t>
      </w:r>
      <w:r w:rsidRPr="000B7B31">
        <w:t xml:space="preserve"> and loss of abilities, including walking, eating and talking</w:t>
      </w:r>
      <w:r>
        <w:t>.</w:t>
      </w:r>
    </w:p>
    <w:p w:rsidR="002D7E24" w:rsidRDefault="002D7E24" w:rsidP="002D7E24">
      <w:pPr>
        <w:rPr>
          <w:b/>
        </w:rPr>
      </w:pPr>
      <w:bookmarkStart w:id="53" w:name="endoflife"/>
    </w:p>
    <w:p w:rsidR="009B3BD5" w:rsidRDefault="009B3BD5" w:rsidP="002D7E24">
      <w:pPr>
        <w:rPr>
          <w:b/>
        </w:rPr>
      </w:pPr>
      <w:bookmarkStart w:id="54" w:name="cerebral"/>
      <w:r>
        <w:rPr>
          <w:b/>
        </w:rPr>
        <w:t xml:space="preserve">Cerebral </w:t>
      </w:r>
      <w:bookmarkEnd w:id="54"/>
      <w:r>
        <w:rPr>
          <w:b/>
        </w:rPr>
        <w:t>Palsy</w:t>
      </w:r>
    </w:p>
    <w:p w:rsidR="005E3E26" w:rsidRPr="005E3E26" w:rsidRDefault="005E3E26" w:rsidP="005E3E26">
      <w:r w:rsidRPr="005E3E26">
        <w:t xml:space="preserve">Cerebral palsy is the general term for a number of neurological conditions that affect movement and co-ordination. </w:t>
      </w:r>
    </w:p>
    <w:p w:rsidR="005E3E26" w:rsidRPr="005E3E26" w:rsidRDefault="005E3E26" w:rsidP="005E3E26"/>
    <w:p w:rsidR="005E3E26" w:rsidRPr="005E3E26" w:rsidRDefault="005E3E26" w:rsidP="005E3E26">
      <w:r w:rsidRPr="005E3E26">
        <w:t xml:space="preserve">Specifically, cerebral palsy is caused by a problem in the parts of the brain responsible for controlling muscles. The condition can occur if the brain develops abnormally or is damaged before, during or shortly after birth.  </w:t>
      </w:r>
    </w:p>
    <w:p w:rsidR="005E3E26" w:rsidRPr="005E3E26" w:rsidRDefault="005E3E26" w:rsidP="005E3E26"/>
    <w:p w:rsidR="005E3E26" w:rsidRPr="005E3E26" w:rsidRDefault="005E3E26" w:rsidP="005E3E26">
      <w:r w:rsidRPr="005E3E26">
        <w:t>The symptoms of cerebral palsy normally become apparent during the first three years of a child's life.</w:t>
      </w:r>
    </w:p>
    <w:p w:rsidR="005E3E26" w:rsidRPr="005E3E26" w:rsidRDefault="005E3E26" w:rsidP="005E3E26"/>
    <w:p w:rsidR="005E3E26" w:rsidRPr="005E3E26" w:rsidRDefault="005E3E26" w:rsidP="005E3E26">
      <w:r w:rsidRPr="005E3E26">
        <w:t>The main symptoms are muscle stiffness or floppiness, muscle weakness, random and uncontrolled body movements and balance and co-ordination problems.  These symptoms can affect different areas of the body and vary in severity from person to person. Some people will only have minor problems, whereas others will be severely disabled.</w:t>
      </w:r>
    </w:p>
    <w:p w:rsidR="005E3E26" w:rsidRPr="005E3E26" w:rsidRDefault="005E3E26" w:rsidP="005E3E26"/>
    <w:p w:rsidR="009B3BD5" w:rsidRDefault="005E3E26" w:rsidP="005E3E26">
      <w:r w:rsidRPr="005E3E26">
        <w:t xml:space="preserve">Many people with cerebral palsy also have a number of associated problems, including repeated seizures or fits, drooling problems and swallowing difficulties. Some people with </w:t>
      </w:r>
      <w:r w:rsidRPr="005E3E26">
        <w:lastRenderedPageBreak/>
        <w:t>the condition may have communication and learning difficulties, although intelligence is often unaffected.</w:t>
      </w:r>
    </w:p>
    <w:p w:rsidR="007107EA" w:rsidRDefault="007107EA" w:rsidP="005E3E26"/>
    <w:p w:rsidR="005E3E26" w:rsidRPr="00080280" w:rsidRDefault="007107EA" w:rsidP="005E3E26">
      <w:pPr>
        <w:rPr>
          <w:b/>
          <w:szCs w:val="24"/>
        </w:rPr>
      </w:pPr>
      <w:bookmarkStart w:id="55" w:name="obsess"/>
      <w:r w:rsidRPr="00080280">
        <w:rPr>
          <w:b/>
          <w:szCs w:val="24"/>
        </w:rPr>
        <w:t>Obsessive Compulsive Disorder (OCD)</w:t>
      </w:r>
    </w:p>
    <w:bookmarkEnd w:id="55"/>
    <w:p w:rsidR="00080280" w:rsidRDefault="00080280" w:rsidP="005E3E26">
      <w:pPr>
        <w:rPr>
          <w:szCs w:val="24"/>
        </w:rPr>
      </w:pPr>
      <w:r>
        <w:rPr>
          <w:szCs w:val="24"/>
        </w:rPr>
        <w:t>A</w:t>
      </w:r>
      <w:r w:rsidRPr="00080280">
        <w:rPr>
          <w:szCs w:val="24"/>
        </w:rPr>
        <w:t xml:space="preserve"> mental health condition where a person has obsessive thoughts and compulsive activity.</w:t>
      </w:r>
    </w:p>
    <w:p w:rsidR="007107EA" w:rsidRPr="005E3E26" w:rsidRDefault="007107EA" w:rsidP="005E3E26"/>
    <w:p w:rsidR="009B2651" w:rsidRDefault="009B2651" w:rsidP="002D7E24">
      <w:pPr>
        <w:rPr>
          <w:b/>
        </w:rPr>
      </w:pPr>
      <w:bookmarkStart w:id="56" w:name="cystic"/>
      <w:r>
        <w:rPr>
          <w:b/>
        </w:rPr>
        <w:t>Cystic Fibrosis</w:t>
      </w:r>
      <w:r w:rsidR="00792529">
        <w:rPr>
          <w:b/>
        </w:rPr>
        <w:t xml:space="preserve"> (CF)</w:t>
      </w:r>
    </w:p>
    <w:bookmarkEnd w:id="56"/>
    <w:p w:rsidR="009B2651" w:rsidRPr="00792529" w:rsidRDefault="00792529" w:rsidP="002D7E24">
      <w:r w:rsidRPr="00792529">
        <w:t>Cystic fibrosis is an inherited disease caused by a faulty gene. This gene controls the movement of salt and water in and out of cells, so the lungs and digestive system become clogged with mucus, making it hard to breathe and digest food.</w:t>
      </w:r>
      <w:r w:rsidR="009231D8">
        <w:t xml:space="preserve">  </w:t>
      </w:r>
      <w:r w:rsidR="009231D8" w:rsidRPr="009231D8">
        <w:t>There is currently no cure for cystic fibrosis but treatments are available to manage it, including physiotherapy, exercise, medication and nutrition.</w:t>
      </w:r>
    </w:p>
    <w:p w:rsidR="00792529" w:rsidRDefault="00792529" w:rsidP="002D7E24">
      <w:pPr>
        <w:rPr>
          <w:b/>
        </w:rPr>
      </w:pPr>
    </w:p>
    <w:p w:rsidR="007B118A" w:rsidRPr="007B118A" w:rsidRDefault="007B118A" w:rsidP="007B118A">
      <w:pPr>
        <w:rPr>
          <w:b/>
        </w:rPr>
      </w:pPr>
      <w:bookmarkStart w:id="57" w:name="developmental"/>
      <w:r w:rsidRPr="007B118A">
        <w:rPr>
          <w:b/>
        </w:rPr>
        <w:t>Development</w:t>
      </w:r>
      <w:r>
        <w:rPr>
          <w:b/>
        </w:rPr>
        <w:t xml:space="preserve">al co-ordination disorder (DCD) </w:t>
      </w:r>
      <w:r w:rsidRPr="007B118A">
        <w:rPr>
          <w:b/>
        </w:rPr>
        <w:t xml:space="preserve"> </w:t>
      </w:r>
      <w:r>
        <w:rPr>
          <w:b/>
        </w:rPr>
        <w:t>(</w:t>
      </w:r>
      <w:r w:rsidRPr="007B118A">
        <w:rPr>
          <w:b/>
        </w:rPr>
        <w:t>also known as dyspraxia</w:t>
      </w:r>
      <w:r>
        <w:rPr>
          <w:b/>
        </w:rPr>
        <w:t>)</w:t>
      </w:r>
    </w:p>
    <w:bookmarkEnd w:id="57"/>
    <w:p w:rsidR="007B118A" w:rsidRPr="007B118A" w:rsidRDefault="007B118A" w:rsidP="007B118A">
      <w:r w:rsidRPr="007B118A">
        <w:rPr>
          <w:b/>
        </w:rPr>
        <w:t xml:space="preserve"> </w:t>
      </w:r>
      <w:r w:rsidRPr="007B118A">
        <w:t xml:space="preserve">This is a condition affecting physical co-ordination that causes a child to perform less well than expected for his or her age in daily activities and appear to move clumsily. Early developmental milestones of crawling, walking, self-feeding and dressing may be delayed in young children with DCD, and drawing, writing and performance in sports are usually behind what is expected for their age. </w:t>
      </w:r>
    </w:p>
    <w:p w:rsidR="007B118A" w:rsidRPr="007B118A" w:rsidRDefault="007B118A" w:rsidP="007B118A"/>
    <w:p w:rsidR="007B118A" w:rsidRPr="007B118A" w:rsidRDefault="007B118A" w:rsidP="007B118A">
      <w:r w:rsidRPr="007B118A">
        <w:t>The problem is not due to general delays in development or a learning disability, and is not caused by cerebral palsy or another neurological disorder (conditions affecting the nervous system).</w:t>
      </w:r>
    </w:p>
    <w:p w:rsidR="007B118A" w:rsidRPr="007B118A" w:rsidRDefault="007B118A" w:rsidP="007B118A"/>
    <w:p w:rsidR="007B118A" w:rsidRDefault="007B118A" w:rsidP="007B118A">
      <w:r w:rsidRPr="007B118A">
        <w:t>Although signs of the condition are present from an early age, children vary widely in their rate of development and DCD is not usually definitely diagnosed until a child with the condition is around five years old or more.</w:t>
      </w:r>
    </w:p>
    <w:p w:rsidR="001A2A55" w:rsidRDefault="001A2A55" w:rsidP="007B118A"/>
    <w:p w:rsidR="001A2A55" w:rsidRPr="001A2A55" w:rsidRDefault="001A2A55" w:rsidP="007B118A">
      <w:pPr>
        <w:rPr>
          <w:b/>
        </w:rPr>
      </w:pPr>
      <w:bookmarkStart w:id="58" w:name="down"/>
      <w:r w:rsidRPr="001A2A55">
        <w:rPr>
          <w:b/>
        </w:rPr>
        <w:t>Down Syndrome</w:t>
      </w:r>
    </w:p>
    <w:bookmarkEnd w:id="58"/>
    <w:p w:rsidR="001A2A55" w:rsidRDefault="001A2A55" w:rsidP="007B118A">
      <w:r w:rsidRPr="001A2A55">
        <w:t>Down syndrome, also known as Down's syndrome, is a genetic condition that typically causes some level of learning disability and characteristic physical features. Around 775 babies are born with the condition each year in England and Wales. All children with Down's syndrome have some degree of learning disability and delayed development, but this varies widely between individual children.</w:t>
      </w:r>
      <w:r>
        <w:t xml:space="preserve"> </w:t>
      </w:r>
      <w:r w:rsidRPr="001A2A55">
        <w:t>Around one in every 10 children also experience additional difficulties such as autism spectrum disorder (ASD) or attention deficit hyperactivity disorder (ADHD).</w:t>
      </w:r>
    </w:p>
    <w:p w:rsidR="007B118A" w:rsidRDefault="007B118A" w:rsidP="007B118A"/>
    <w:p w:rsidR="007B118A" w:rsidRPr="007B118A" w:rsidRDefault="007B118A" w:rsidP="007B118A">
      <w:pPr>
        <w:rPr>
          <w:b/>
        </w:rPr>
      </w:pPr>
      <w:bookmarkStart w:id="59" w:name="dyscalculia"/>
      <w:r w:rsidRPr="007B118A">
        <w:rPr>
          <w:b/>
        </w:rPr>
        <w:t>Dyscalculia</w:t>
      </w:r>
    </w:p>
    <w:bookmarkEnd w:id="59"/>
    <w:p w:rsidR="007B118A" w:rsidRDefault="002D14D2" w:rsidP="007B118A">
      <w:r>
        <w:t>This is a specific learning difficulty affecting the ability to make sense of and work with numbers.</w:t>
      </w:r>
    </w:p>
    <w:p w:rsidR="007B118A" w:rsidRPr="007B118A" w:rsidRDefault="007B118A" w:rsidP="007B118A"/>
    <w:p w:rsidR="00E65C68" w:rsidRDefault="00E65C68" w:rsidP="002D7E24">
      <w:pPr>
        <w:rPr>
          <w:b/>
        </w:rPr>
      </w:pPr>
      <w:bookmarkStart w:id="60" w:name="dyslexia"/>
      <w:r>
        <w:rPr>
          <w:b/>
        </w:rPr>
        <w:t>Dyslexia</w:t>
      </w:r>
    </w:p>
    <w:bookmarkEnd w:id="60"/>
    <w:p w:rsidR="00E65C68" w:rsidRDefault="00E65C68" w:rsidP="002D7E24">
      <w:r w:rsidRPr="00E65C68">
        <w:t>Dyslexia is a common learning difficulty that mainly affects the way people read and spell words. Itis a spectrum disorder, with symptoms ranging from mild to severe and is thought to affect an estimated 1 in every 10 people in the UK to some degree (NHS England).</w:t>
      </w:r>
    </w:p>
    <w:p w:rsidR="007B118A" w:rsidRDefault="007B118A" w:rsidP="002D7E24"/>
    <w:p w:rsidR="00DC1E8F" w:rsidRPr="003A15C5" w:rsidRDefault="00DC1E8F" w:rsidP="002D7E24">
      <w:pPr>
        <w:rPr>
          <w:b/>
        </w:rPr>
      </w:pPr>
      <w:bookmarkStart w:id="61" w:name="endocrinology"/>
      <w:r w:rsidRPr="003A15C5">
        <w:rPr>
          <w:b/>
        </w:rPr>
        <w:t>Endocrinology</w:t>
      </w:r>
    </w:p>
    <w:bookmarkEnd w:id="61"/>
    <w:p w:rsidR="00DC1E8F" w:rsidRDefault="00DC1E8F" w:rsidP="002D7E24">
      <w:r>
        <w:t>Speciality concerned with hormone under and over production</w:t>
      </w:r>
    </w:p>
    <w:p w:rsidR="003A15C5" w:rsidRPr="00E65C68" w:rsidRDefault="003A15C5" w:rsidP="002D7E24"/>
    <w:p w:rsidR="002D7E24" w:rsidRDefault="002D7E24" w:rsidP="002D7E24">
      <w:r w:rsidRPr="00BB161F">
        <w:rPr>
          <w:b/>
        </w:rPr>
        <w:t>End-of-life care</w:t>
      </w:r>
    </w:p>
    <w:bookmarkEnd w:id="53"/>
    <w:p w:rsidR="002D7E24" w:rsidRDefault="002D7E24" w:rsidP="002D7E24">
      <w:r w:rsidRPr="00F6167D">
        <w:t>This is the care of a person during the last part of their life, from the point at which it has become clear that the person is in a progressive state of decline.</w:t>
      </w:r>
    </w:p>
    <w:p w:rsidR="007430EF" w:rsidRDefault="007430EF" w:rsidP="002D7E24"/>
    <w:p w:rsidR="007430EF" w:rsidRPr="00837B85" w:rsidRDefault="007430EF" w:rsidP="002D7E24">
      <w:pPr>
        <w:rPr>
          <w:b/>
        </w:rPr>
      </w:pPr>
      <w:bookmarkStart w:id="62" w:name="epilepsy"/>
      <w:r w:rsidRPr="00837B85">
        <w:rPr>
          <w:b/>
        </w:rPr>
        <w:t>Epilepsy</w:t>
      </w:r>
    </w:p>
    <w:bookmarkEnd w:id="50"/>
    <w:bookmarkEnd w:id="62"/>
    <w:p w:rsidR="00BB161F" w:rsidRDefault="00837B85" w:rsidP="00F6167D">
      <w:r w:rsidRPr="00837B85">
        <w:t>Epilepsy is a common serious neurological condition where there is a tendency to have seizures that start in the brain. Epilepsy is most commonly diagnosed in children and people over 65, and there ar eover 40 different types.</w:t>
      </w:r>
    </w:p>
    <w:p w:rsidR="00837B85" w:rsidRDefault="00837B85" w:rsidP="00F6167D">
      <w:pPr>
        <w:rPr>
          <w:b/>
        </w:rPr>
      </w:pPr>
    </w:p>
    <w:p w:rsidR="005D1EA6" w:rsidRPr="005D1EA6" w:rsidRDefault="005D1EA6" w:rsidP="005D1EA6">
      <w:pPr>
        <w:rPr>
          <w:b/>
        </w:rPr>
      </w:pPr>
      <w:bookmarkStart w:id="63" w:name="foetal"/>
      <w:r w:rsidRPr="005D1EA6">
        <w:rPr>
          <w:b/>
        </w:rPr>
        <w:t>Foetal Alcohol Syndrome</w:t>
      </w:r>
      <w:r>
        <w:rPr>
          <w:b/>
        </w:rPr>
        <w:t xml:space="preserve"> (FAS)</w:t>
      </w:r>
    </w:p>
    <w:bookmarkEnd w:id="63"/>
    <w:p w:rsidR="005D1EA6" w:rsidRDefault="005D1EA6" w:rsidP="005D1EA6">
      <w:r>
        <w:t>Children with FAS have problems with their neurological development, abnormal growth, and have characteristic facial features which result from their foetal exposure to alcohol Neurol</w:t>
      </w:r>
      <w:r w:rsidR="001219CD">
        <w:t>o</w:t>
      </w:r>
      <w:r>
        <w:t>gical problems are caused by damage to the central nervous system (brain and spinal cord). The problems experienced are likely to change as an infant grows up and different problems may be seen at different stages of development, from childhood, adolescence, and into adulthood.</w:t>
      </w:r>
    </w:p>
    <w:p w:rsidR="005D1EA6" w:rsidRDefault="005D1EA6" w:rsidP="005D1EA6"/>
    <w:p w:rsidR="005D1EA6" w:rsidRPr="005D1EA6" w:rsidRDefault="005D1EA6" w:rsidP="005D1EA6">
      <w:r>
        <w:t>These may include</w:t>
      </w:r>
      <w:r w:rsidR="001219CD">
        <w:t>: learning disabilities, poor a</w:t>
      </w:r>
      <w:r>
        <w:t>cademic achievement, poor organisation, lack of inhibition, difficulty writing or drawing, balance problems, attention and hyperactivity problems.</w:t>
      </w:r>
    </w:p>
    <w:p w:rsidR="005D1EA6" w:rsidRDefault="005D1EA6" w:rsidP="00F6167D">
      <w:pPr>
        <w:rPr>
          <w:b/>
        </w:rPr>
      </w:pPr>
    </w:p>
    <w:p w:rsidR="00A26880" w:rsidRDefault="00A26880" w:rsidP="00A26880">
      <w:pPr>
        <w:rPr>
          <w:b/>
        </w:rPr>
      </w:pPr>
      <w:bookmarkStart w:id="64" w:name="fragile"/>
      <w:r w:rsidRPr="00A26880">
        <w:rPr>
          <w:b/>
        </w:rPr>
        <w:t>Fragile X syndrome</w:t>
      </w:r>
    </w:p>
    <w:bookmarkEnd w:id="64"/>
    <w:p w:rsidR="00A26880" w:rsidRPr="00A26880" w:rsidRDefault="00A26880" w:rsidP="00A26880">
      <w:r w:rsidRPr="00A26880">
        <w:t xml:space="preserve">Fragile X syndrome is the most common identifiable cause of inherited intellectual disability. It arises from changes on the X chromosome in a specific gene that makes a protein necessary for brain development. Boys are usually more severely affected than girls as they have only one X chromosome. The main feature is intellectual disability. This can range from very minor, so that the person has a normal IQ and shows no sign of fragile X syndrome, to severe intellectual difficulty. </w:t>
      </w:r>
    </w:p>
    <w:p w:rsidR="00A26880" w:rsidRPr="00A26880" w:rsidRDefault="00A26880" w:rsidP="00A26880"/>
    <w:p w:rsidR="00A26880" w:rsidRPr="00A26880" w:rsidRDefault="00A26880" w:rsidP="00A26880">
      <w:r w:rsidRPr="00A26880">
        <w:t>Other problems include delayed and distorted speech and language development. There can be difficulties with the social use of language and speech. There may also be repetitive behaviour, attention deficits and overactivity. In some individuals there may be evidence of autistic-like features, such as poor eye contact, hand flapping, social anxiety, abnormal shyness and an insistence on routine.  Thirty per cent of people with fragile X syndrome develop epilepsy.</w:t>
      </w:r>
    </w:p>
    <w:p w:rsidR="00A26880" w:rsidRDefault="00A26880" w:rsidP="00BB161F">
      <w:pPr>
        <w:contextualSpacing/>
        <w:rPr>
          <w:rFonts w:cs="Arial"/>
          <w:b/>
          <w:szCs w:val="24"/>
        </w:rPr>
      </w:pPr>
      <w:bookmarkStart w:id="65" w:name="global"/>
    </w:p>
    <w:p w:rsidR="00BB161F" w:rsidRDefault="00F6167D" w:rsidP="00BB161F">
      <w:pPr>
        <w:contextualSpacing/>
        <w:rPr>
          <w:rFonts w:cs="Arial"/>
          <w:szCs w:val="24"/>
        </w:rPr>
      </w:pPr>
      <w:r w:rsidRPr="00BB161F">
        <w:rPr>
          <w:rFonts w:cs="Arial"/>
          <w:b/>
          <w:szCs w:val="24"/>
        </w:rPr>
        <w:t>Global Developmental Delay</w:t>
      </w:r>
      <w:bookmarkEnd w:id="65"/>
      <w:r w:rsidR="00BB161F" w:rsidRPr="00BB161F">
        <w:rPr>
          <w:rFonts w:cs="Arial"/>
          <w:b/>
          <w:szCs w:val="24"/>
        </w:rPr>
        <w:t>:</w:t>
      </w:r>
      <w:r w:rsidR="00BB161F">
        <w:rPr>
          <w:rFonts w:cs="Arial"/>
          <w:szCs w:val="24"/>
        </w:rPr>
        <w:t xml:space="preserve"> </w:t>
      </w:r>
    </w:p>
    <w:p w:rsidR="00BB161F" w:rsidRPr="00CC3B06" w:rsidRDefault="00BB161F" w:rsidP="00BB161F">
      <w:pPr>
        <w:contextualSpacing/>
        <w:rPr>
          <w:rFonts w:cs="Arial"/>
          <w:szCs w:val="24"/>
        </w:rPr>
      </w:pPr>
      <w:r w:rsidRPr="00CC3B06">
        <w:rPr>
          <w:rFonts w:cs="Arial"/>
          <w:szCs w:val="24"/>
        </w:rPr>
        <w:t>A child may be described as having global developmental delay (GDD) if they have not reached two or more milestones in all areas of development (called developmental domains). These areas are:</w:t>
      </w:r>
    </w:p>
    <w:p w:rsidR="00BB161F" w:rsidRPr="008205CD" w:rsidRDefault="00BB161F" w:rsidP="00BB161F">
      <w:pPr>
        <w:pStyle w:val="ListParagraph"/>
        <w:numPr>
          <w:ilvl w:val="0"/>
          <w:numId w:val="16"/>
        </w:numPr>
        <w:spacing w:line="276" w:lineRule="auto"/>
        <w:contextualSpacing/>
        <w:rPr>
          <w:rFonts w:ascii="Arial" w:hAnsi="Arial" w:cs="Arial"/>
          <w:sz w:val="22"/>
        </w:rPr>
      </w:pPr>
      <w:r w:rsidRPr="008205CD">
        <w:rPr>
          <w:rFonts w:ascii="Arial" w:hAnsi="Arial" w:cs="Arial"/>
          <w:sz w:val="22"/>
        </w:rPr>
        <w:t>Motor skills - either gross motor skills like sitting up or rolling over and fine motor skills, for example picking up small objects</w:t>
      </w:r>
    </w:p>
    <w:p w:rsidR="00BB161F" w:rsidRPr="008205CD" w:rsidRDefault="00BB161F" w:rsidP="00BB161F">
      <w:pPr>
        <w:pStyle w:val="ListParagraph"/>
        <w:numPr>
          <w:ilvl w:val="0"/>
          <w:numId w:val="16"/>
        </w:numPr>
        <w:spacing w:line="276" w:lineRule="auto"/>
        <w:contextualSpacing/>
        <w:rPr>
          <w:rFonts w:ascii="Arial" w:hAnsi="Arial" w:cs="Arial"/>
          <w:sz w:val="22"/>
        </w:rPr>
      </w:pPr>
      <w:r w:rsidRPr="008205CD">
        <w:rPr>
          <w:rFonts w:ascii="Arial" w:hAnsi="Arial" w:cs="Arial"/>
          <w:sz w:val="22"/>
        </w:rPr>
        <w:t>Speech and language - which also includes babbling, imitating speech and identifying sounds, as well as understanding what other people are trying to communicate to them</w:t>
      </w:r>
    </w:p>
    <w:p w:rsidR="00BB161F" w:rsidRPr="008205CD" w:rsidRDefault="00BB161F" w:rsidP="00BB161F">
      <w:pPr>
        <w:pStyle w:val="ListParagraph"/>
        <w:numPr>
          <w:ilvl w:val="0"/>
          <w:numId w:val="16"/>
        </w:numPr>
        <w:spacing w:line="276" w:lineRule="auto"/>
        <w:contextualSpacing/>
        <w:rPr>
          <w:rFonts w:ascii="Arial" w:hAnsi="Arial" w:cs="Arial"/>
          <w:sz w:val="22"/>
        </w:rPr>
      </w:pPr>
      <w:r w:rsidRPr="008205CD">
        <w:rPr>
          <w:rFonts w:ascii="Arial" w:hAnsi="Arial" w:cs="Arial"/>
          <w:sz w:val="22"/>
        </w:rPr>
        <w:lastRenderedPageBreak/>
        <w:t>cognitive skills - the ability to learn new things, process information, organise their thoughts and remember things</w:t>
      </w:r>
    </w:p>
    <w:p w:rsidR="00BB161F" w:rsidRDefault="00BB161F" w:rsidP="00BB161F">
      <w:pPr>
        <w:pStyle w:val="ListParagraph"/>
        <w:numPr>
          <w:ilvl w:val="0"/>
          <w:numId w:val="16"/>
        </w:numPr>
        <w:spacing w:line="276" w:lineRule="auto"/>
        <w:contextualSpacing/>
        <w:rPr>
          <w:rFonts w:ascii="Arial" w:hAnsi="Arial" w:cs="Arial"/>
          <w:sz w:val="22"/>
        </w:rPr>
      </w:pPr>
      <w:r w:rsidRPr="008205CD">
        <w:rPr>
          <w:rFonts w:ascii="Arial" w:hAnsi="Arial" w:cs="Arial"/>
          <w:sz w:val="22"/>
        </w:rPr>
        <w:t>Social and emotional skills - interacting with others and development of personal traits and feelings, as well as starting to understanding and respond to t</w:t>
      </w:r>
      <w:r>
        <w:rPr>
          <w:rFonts w:ascii="Arial" w:hAnsi="Arial" w:cs="Arial"/>
          <w:sz w:val="22"/>
        </w:rPr>
        <w:t>he needs and feelings of others</w:t>
      </w:r>
    </w:p>
    <w:p w:rsidR="00E37539" w:rsidRDefault="00E37539" w:rsidP="00311395">
      <w:pPr>
        <w:contextualSpacing/>
        <w:rPr>
          <w:rFonts w:cs="Arial"/>
          <w:b/>
          <w:szCs w:val="24"/>
        </w:rPr>
      </w:pPr>
      <w:bookmarkStart w:id="66" w:name="haemotology"/>
    </w:p>
    <w:p w:rsidR="003A15C5" w:rsidRPr="003A15C5" w:rsidRDefault="003A15C5" w:rsidP="00311395">
      <w:pPr>
        <w:contextualSpacing/>
        <w:rPr>
          <w:rFonts w:cs="Arial"/>
          <w:b/>
          <w:szCs w:val="24"/>
        </w:rPr>
      </w:pPr>
      <w:r w:rsidRPr="003A15C5">
        <w:rPr>
          <w:rFonts w:cs="Arial"/>
          <w:b/>
          <w:szCs w:val="24"/>
        </w:rPr>
        <w:t>Haemotology</w:t>
      </w:r>
    </w:p>
    <w:bookmarkEnd w:id="66"/>
    <w:p w:rsidR="003A15C5" w:rsidRDefault="003A15C5" w:rsidP="00311395">
      <w:pPr>
        <w:contextualSpacing/>
        <w:rPr>
          <w:rFonts w:cs="Arial"/>
          <w:szCs w:val="24"/>
        </w:rPr>
      </w:pPr>
      <w:r>
        <w:rPr>
          <w:rFonts w:cs="Arial"/>
          <w:szCs w:val="24"/>
        </w:rPr>
        <w:t>Diagnosis and treatment of diseases of the blood</w:t>
      </w:r>
    </w:p>
    <w:p w:rsidR="00934A24" w:rsidRDefault="00934A24" w:rsidP="00311395">
      <w:pPr>
        <w:contextualSpacing/>
        <w:rPr>
          <w:rFonts w:cs="Arial"/>
          <w:szCs w:val="24"/>
        </w:rPr>
      </w:pPr>
    </w:p>
    <w:p w:rsidR="00934A24" w:rsidRPr="001219CD" w:rsidRDefault="00934A24" w:rsidP="00934A24">
      <w:pPr>
        <w:contextualSpacing/>
        <w:rPr>
          <w:rFonts w:cs="Arial"/>
          <w:b/>
          <w:szCs w:val="24"/>
        </w:rPr>
      </w:pPr>
      <w:bookmarkStart w:id="67" w:name="hemipleg"/>
      <w:r w:rsidRPr="001219CD">
        <w:rPr>
          <w:b/>
          <w:szCs w:val="24"/>
        </w:rPr>
        <w:t>Hemiplegia</w:t>
      </w:r>
    </w:p>
    <w:bookmarkEnd w:id="67"/>
    <w:p w:rsidR="001219CD" w:rsidRPr="001219CD" w:rsidRDefault="001219CD" w:rsidP="001219CD">
      <w:pPr>
        <w:contextualSpacing/>
        <w:rPr>
          <w:rFonts w:cs="Arial"/>
          <w:szCs w:val="24"/>
        </w:rPr>
      </w:pPr>
      <w:r w:rsidRPr="001219CD">
        <w:rPr>
          <w:rFonts w:cs="Arial"/>
          <w:szCs w:val="24"/>
        </w:rPr>
        <w:t xml:space="preserve">Hemiplegia (sometimes called hemiparesis) is a condition that affects one side of the body. It is caused by injury to parts of the brain that control movements of the limbs, trunk, face, etc. This may happen before, during or soon after birth (up to two years of age approximately), when it is known as congenital hemiplegia (or unilateral cerebral palsy), or later in life as a result of injury or illness, in which case it is called acquired hemiplegia. </w:t>
      </w:r>
    </w:p>
    <w:p w:rsidR="001219CD" w:rsidRPr="001219CD" w:rsidRDefault="001219CD" w:rsidP="001219CD">
      <w:pPr>
        <w:contextualSpacing/>
        <w:rPr>
          <w:rFonts w:cs="Arial"/>
          <w:szCs w:val="24"/>
        </w:rPr>
      </w:pPr>
    </w:p>
    <w:p w:rsidR="003A15C5" w:rsidRDefault="001219CD" w:rsidP="001219CD">
      <w:pPr>
        <w:contextualSpacing/>
        <w:rPr>
          <w:rFonts w:cs="Arial"/>
          <w:szCs w:val="24"/>
        </w:rPr>
      </w:pPr>
      <w:r w:rsidRPr="001219CD">
        <w:rPr>
          <w:rFonts w:cs="Arial"/>
          <w:szCs w:val="24"/>
        </w:rPr>
        <w:t>One child in 1,000 is born with hemiplegia, making it a relatively common condition. About 80% of cases are congenital, and 20% acquired.</w:t>
      </w:r>
    </w:p>
    <w:p w:rsidR="001219CD" w:rsidRDefault="001219CD" w:rsidP="001219CD">
      <w:pPr>
        <w:contextualSpacing/>
        <w:rPr>
          <w:rFonts w:cs="Arial"/>
          <w:szCs w:val="24"/>
        </w:rPr>
      </w:pPr>
    </w:p>
    <w:p w:rsidR="00655AA8" w:rsidRPr="00655AA8" w:rsidRDefault="00655AA8" w:rsidP="00311395">
      <w:pPr>
        <w:contextualSpacing/>
        <w:rPr>
          <w:rFonts w:cs="Arial"/>
          <w:b/>
        </w:rPr>
      </w:pPr>
      <w:bookmarkStart w:id="68" w:name="henoch"/>
      <w:r w:rsidRPr="00655AA8">
        <w:rPr>
          <w:rFonts w:cs="Arial"/>
          <w:b/>
          <w:szCs w:val="24"/>
        </w:rPr>
        <w:t>Henoch-Schonlein Purpura</w:t>
      </w:r>
    </w:p>
    <w:bookmarkEnd w:id="68"/>
    <w:p w:rsidR="00655AA8" w:rsidRDefault="00655AA8" w:rsidP="00311395">
      <w:pPr>
        <w:contextualSpacing/>
        <w:rPr>
          <w:rFonts w:cs="Arial"/>
        </w:rPr>
      </w:pPr>
      <w:r w:rsidRPr="00655AA8">
        <w:rPr>
          <w:rFonts w:cs="Arial"/>
        </w:rPr>
        <w:t>Henoch-Schönlein purpura (HSP) is a rare condition in which blood vessels become inflamed. It typically results in a rash and joint and stomach pain.HSP can affect people of any age, but the majority of cases occur in children under 10.</w:t>
      </w:r>
    </w:p>
    <w:p w:rsidR="00655AA8" w:rsidRDefault="00655AA8" w:rsidP="00311395">
      <w:pPr>
        <w:contextualSpacing/>
        <w:rPr>
          <w:rFonts w:cs="Arial"/>
        </w:rPr>
      </w:pPr>
    </w:p>
    <w:p w:rsidR="002D7E24" w:rsidRPr="002D7E24" w:rsidRDefault="002D7E24" w:rsidP="00311395">
      <w:pPr>
        <w:contextualSpacing/>
        <w:rPr>
          <w:rFonts w:cs="Arial"/>
          <w:b/>
        </w:rPr>
      </w:pPr>
      <w:bookmarkStart w:id="69" w:name="heparin"/>
      <w:r w:rsidRPr="002D7E24">
        <w:rPr>
          <w:rFonts w:cs="Arial"/>
          <w:b/>
        </w:rPr>
        <w:t>Heparin</w:t>
      </w:r>
    </w:p>
    <w:bookmarkEnd w:id="69"/>
    <w:p w:rsidR="002D7E24" w:rsidRDefault="002D7E24" w:rsidP="00311395">
      <w:pPr>
        <w:contextualSpacing/>
        <w:rPr>
          <w:rFonts w:cs="Arial"/>
        </w:rPr>
      </w:pPr>
      <w:r>
        <w:rPr>
          <w:rFonts w:cs="Arial"/>
        </w:rPr>
        <w:t>Heparin is used in the treatment and prevention of blood clots.</w:t>
      </w:r>
    </w:p>
    <w:p w:rsidR="006C1A1B" w:rsidRDefault="006C1A1B" w:rsidP="00311395">
      <w:pPr>
        <w:contextualSpacing/>
        <w:rPr>
          <w:rFonts w:cs="Arial"/>
        </w:rPr>
      </w:pPr>
    </w:p>
    <w:p w:rsidR="002D7E24" w:rsidRPr="006C1A1B" w:rsidRDefault="006C1A1B" w:rsidP="00311395">
      <w:pPr>
        <w:contextualSpacing/>
        <w:rPr>
          <w:rFonts w:cs="Arial"/>
          <w:b/>
        </w:rPr>
      </w:pPr>
      <w:bookmarkStart w:id="70" w:name="hirch"/>
      <w:r w:rsidRPr="006C1A1B">
        <w:rPr>
          <w:rFonts w:cs="Arial"/>
          <w:b/>
        </w:rPr>
        <w:t>Hirschsprung's disease</w:t>
      </w:r>
    </w:p>
    <w:bookmarkEnd w:id="70"/>
    <w:p w:rsidR="001127C9" w:rsidRDefault="001127C9" w:rsidP="00311395">
      <w:pPr>
        <w:contextualSpacing/>
        <w:rPr>
          <w:rFonts w:cs="Arial"/>
        </w:rPr>
      </w:pPr>
      <w:r w:rsidRPr="001127C9">
        <w:rPr>
          <w:rFonts w:cs="Arial"/>
        </w:rPr>
        <w:t>Hirschsprung's disease (HD) is a disease of the large intestine that causes severe constipation or intestinal obstruction</w:t>
      </w:r>
    </w:p>
    <w:p w:rsidR="00837B85" w:rsidRDefault="00837B85" w:rsidP="00311395">
      <w:pPr>
        <w:contextualSpacing/>
        <w:rPr>
          <w:rFonts w:cs="Arial"/>
        </w:rPr>
      </w:pPr>
    </w:p>
    <w:p w:rsidR="00837B85" w:rsidRPr="000E7138" w:rsidRDefault="00837B85" w:rsidP="00311395">
      <w:pPr>
        <w:contextualSpacing/>
        <w:rPr>
          <w:rFonts w:cs="Arial"/>
          <w:b/>
        </w:rPr>
      </w:pPr>
      <w:bookmarkStart w:id="71" w:name="hyper"/>
      <w:r w:rsidRPr="000E7138">
        <w:rPr>
          <w:rFonts w:cs="Arial"/>
          <w:b/>
        </w:rPr>
        <w:t>Hypermobility</w:t>
      </w:r>
    </w:p>
    <w:bookmarkEnd w:id="71"/>
    <w:p w:rsidR="00837B85" w:rsidRDefault="000E7138" w:rsidP="00311395">
      <w:pPr>
        <w:contextualSpacing/>
        <w:rPr>
          <w:rFonts w:cs="Arial"/>
        </w:rPr>
      </w:pPr>
      <w:r w:rsidRPr="000E7138">
        <w:rPr>
          <w:rFonts w:cs="Arial"/>
        </w:rPr>
        <w:t>Hypermobility is the term used to describe the ability to move joints beyond the normal range of movement. In many people joint hypermobility is of no medical consequence and commonly does not give rise to symptoms For a small percentage of the population hypermobility may be associated with joint and ligament injuries, pain, fatigue and other symptoms.</w:t>
      </w:r>
    </w:p>
    <w:p w:rsidR="006C1A1B" w:rsidRDefault="006C1A1B" w:rsidP="00311395">
      <w:pPr>
        <w:contextualSpacing/>
        <w:rPr>
          <w:rFonts w:cs="Arial"/>
        </w:rPr>
      </w:pPr>
    </w:p>
    <w:p w:rsidR="00FF656C" w:rsidRPr="00FF656C" w:rsidRDefault="00FF656C" w:rsidP="00FF656C">
      <w:pPr>
        <w:rPr>
          <w:b/>
        </w:rPr>
      </w:pPr>
      <w:bookmarkStart w:id="72" w:name="insulin"/>
      <w:r w:rsidRPr="00FF656C">
        <w:rPr>
          <w:b/>
        </w:rPr>
        <w:t>Insulin Pumps</w:t>
      </w:r>
    </w:p>
    <w:bookmarkEnd w:id="72"/>
    <w:p w:rsidR="00FF656C" w:rsidRPr="00FF656C" w:rsidRDefault="00FF656C" w:rsidP="00FF656C">
      <w:r w:rsidRPr="00FF656C">
        <w:t>Insulin pumps are portable devices attached to the body that deliver constant amounts of rapid or short acting insulin via a catheter placed under the skin.  They are seen as a better alternative to insulin injections as they reduce the need for multiple insulin jabs per day and give the user increased ability to control blood glucose levels. Around 1 in 1,000 people with diabetes wears an insulin pump.</w:t>
      </w:r>
    </w:p>
    <w:p w:rsidR="00FF656C" w:rsidRDefault="00FF656C" w:rsidP="002D7E24">
      <w:pPr>
        <w:rPr>
          <w:b/>
        </w:rPr>
      </w:pPr>
    </w:p>
    <w:p w:rsidR="00336438" w:rsidRPr="00336438" w:rsidRDefault="00336438" w:rsidP="00336438">
      <w:pPr>
        <w:suppressAutoHyphens/>
        <w:autoSpaceDE w:val="0"/>
        <w:autoSpaceDN w:val="0"/>
        <w:adjustRightInd w:val="0"/>
        <w:spacing w:line="320" w:lineRule="atLeast"/>
        <w:textAlignment w:val="center"/>
        <w:rPr>
          <w:b/>
        </w:rPr>
      </w:pPr>
      <w:bookmarkStart w:id="73" w:name="infantile"/>
      <w:r w:rsidRPr="00336438">
        <w:rPr>
          <w:b/>
        </w:rPr>
        <w:t>Infantile parkinsonism</w:t>
      </w:r>
    </w:p>
    <w:bookmarkEnd w:id="73"/>
    <w:p w:rsidR="00336438" w:rsidRDefault="00336438" w:rsidP="00336438">
      <w:pPr>
        <w:suppressAutoHyphens/>
        <w:autoSpaceDE w:val="0"/>
        <w:autoSpaceDN w:val="0"/>
        <w:adjustRightInd w:val="0"/>
        <w:spacing w:after="142" w:line="320" w:lineRule="atLeast"/>
        <w:textAlignment w:val="center"/>
      </w:pPr>
      <w:r w:rsidRPr="00336438">
        <w:lastRenderedPageBreak/>
        <w:t>Infantile parkinsonism is a progressive disease causing unsteadiness and severe difficulties with movement</w:t>
      </w:r>
    </w:p>
    <w:p w:rsidR="00F9167F" w:rsidRPr="00F9167F" w:rsidRDefault="00F9167F" w:rsidP="00F9167F">
      <w:pPr>
        <w:suppressAutoHyphens/>
        <w:autoSpaceDE w:val="0"/>
        <w:autoSpaceDN w:val="0"/>
        <w:adjustRightInd w:val="0"/>
        <w:spacing w:line="320" w:lineRule="atLeast"/>
        <w:textAlignment w:val="center"/>
        <w:rPr>
          <w:b/>
        </w:rPr>
      </w:pPr>
      <w:bookmarkStart w:id="74" w:name="juvenile"/>
      <w:r w:rsidRPr="00F9167F">
        <w:rPr>
          <w:b/>
        </w:rPr>
        <w:t>Juvenile arthritis</w:t>
      </w:r>
    </w:p>
    <w:bookmarkEnd w:id="74"/>
    <w:p w:rsidR="00F9167F" w:rsidRPr="00336438" w:rsidRDefault="00F9167F" w:rsidP="00F9167F">
      <w:pPr>
        <w:suppressAutoHyphens/>
        <w:autoSpaceDE w:val="0"/>
        <w:autoSpaceDN w:val="0"/>
        <w:adjustRightInd w:val="0"/>
        <w:spacing w:line="320" w:lineRule="atLeast"/>
        <w:textAlignment w:val="center"/>
      </w:pPr>
      <w:r w:rsidRPr="00F9167F">
        <w:t>Most types of childhood arthritis are known as juvenile idiopathic arthritis (JIA). JIA causes pain and inflammation in one or more joints for at least six weeks.</w:t>
      </w:r>
    </w:p>
    <w:p w:rsidR="00336438" w:rsidRDefault="00336438" w:rsidP="00F9167F">
      <w:pPr>
        <w:rPr>
          <w:b/>
        </w:rPr>
      </w:pPr>
    </w:p>
    <w:p w:rsidR="002D7E24" w:rsidRDefault="002D7E24" w:rsidP="002D7E24">
      <w:r w:rsidRPr="00BB161F">
        <w:rPr>
          <w:b/>
        </w:rPr>
        <w:t>Life-threatening</w:t>
      </w:r>
    </w:p>
    <w:p w:rsidR="002D7E24" w:rsidRDefault="002D7E24" w:rsidP="002D7E24">
      <w:r w:rsidRPr="00F6167D">
        <w:t>A life-threatening disease is a disease that is potentially fatal, likely to result in imminent death. It includes conditions caused by both natural (e.g. infective) and unnatural (e.g. trauma) factors. Children with life-limiting illnesses may also develop life-threatening complications that are mostly responsible for their death.</w:t>
      </w:r>
    </w:p>
    <w:p w:rsidR="002D7E24" w:rsidRPr="00F6167D" w:rsidRDefault="002D7E24" w:rsidP="002D7E24"/>
    <w:p w:rsidR="002D7E24" w:rsidRPr="00AA0B0B" w:rsidRDefault="002D7E24" w:rsidP="002D7E24">
      <w:pPr>
        <w:rPr>
          <w:b/>
        </w:rPr>
      </w:pPr>
      <w:bookmarkStart w:id="75" w:name="limiting"/>
      <w:r w:rsidRPr="00AA0B0B">
        <w:rPr>
          <w:b/>
        </w:rPr>
        <w:t xml:space="preserve">Life-limiting </w:t>
      </w:r>
    </w:p>
    <w:bookmarkEnd w:id="75"/>
    <w:p w:rsidR="002D7E24" w:rsidRDefault="002D7E24" w:rsidP="002D7E24">
      <w:r w:rsidRPr="00F6167D">
        <w:t>A life-limiting illness is an illness which may not be immediately life threatening but which imposes limits on a person’s quality and/or quantity of life.</w:t>
      </w:r>
    </w:p>
    <w:p w:rsidR="002D7E24" w:rsidRPr="00655AA8" w:rsidRDefault="002D7E24" w:rsidP="00311395">
      <w:pPr>
        <w:contextualSpacing/>
        <w:rPr>
          <w:rFonts w:cs="Arial"/>
        </w:rPr>
      </w:pPr>
    </w:p>
    <w:p w:rsidR="00311395" w:rsidRPr="00355F7B" w:rsidRDefault="00311395" w:rsidP="00311395">
      <w:pPr>
        <w:contextualSpacing/>
        <w:rPr>
          <w:rFonts w:cs="Arial"/>
          <w:b/>
        </w:rPr>
      </w:pPr>
      <w:r w:rsidRPr="00355F7B">
        <w:rPr>
          <w:rFonts w:cs="Arial"/>
          <w:b/>
        </w:rPr>
        <w:t>LOS</w:t>
      </w:r>
    </w:p>
    <w:p w:rsidR="00311395" w:rsidRDefault="00311395" w:rsidP="00311395">
      <w:pPr>
        <w:contextualSpacing/>
        <w:rPr>
          <w:rFonts w:cs="Arial"/>
        </w:rPr>
      </w:pPr>
      <w:r>
        <w:rPr>
          <w:rFonts w:cs="Arial"/>
        </w:rPr>
        <w:t>Length of Stay</w:t>
      </w:r>
    </w:p>
    <w:p w:rsidR="00355F7B" w:rsidRDefault="00355F7B" w:rsidP="00311395">
      <w:pPr>
        <w:contextualSpacing/>
        <w:rPr>
          <w:rFonts w:cs="Arial"/>
        </w:rPr>
      </w:pPr>
    </w:p>
    <w:p w:rsidR="00355F7B" w:rsidRPr="00355F7B" w:rsidRDefault="00355F7B" w:rsidP="00311395">
      <w:pPr>
        <w:contextualSpacing/>
        <w:rPr>
          <w:rFonts w:cs="Arial"/>
          <w:b/>
        </w:rPr>
      </w:pPr>
      <w:bookmarkStart w:id="76" w:name="longterm"/>
      <w:r w:rsidRPr="00355F7B">
        <w:rPr>
          <w:rFonts w:cs="Arial"/>
          <w:b/>
        </w:rPr>
        <w:t>Long term condition</w:t>
      </w:r>
    </w:p>
    <w:bookmarkEnd w:id="76"/>
    <w:p w:rsidR="00355F7B" w:rsidRDefault="00355F7B" w:rsidP="00311395">
      <w:pPr>
        <w:contextualSpacing/>
        <w:rPr>
          <w:rFonts w:cs="Arial"/>
          <w:szCs w:val="24"/>
        </w:rPr>
      </w:pPr>
      <w:r>
        <w:rPr>
          <w:rFonts w:cs="Arial"/>
          <w:szCs w:val="24"/>
        </w:rPr>
        <w:t xml:space="preserve">Defined by DH as </w:t>
      </w:r>
      <w:r w:rsidRPr="009324A6">
        <w:rPr>
          <w:rFonts w:cs="Arial"/>
          <w:szCs w:val="24"/>
        </w:rPr>
        <w:t xml:space="preserve">“those conditions that cannot, at present, be cured, but can be controlled by medication and other therapies. The life of a person with a LTC is forever altered – there is no return to ‘normal’.”  </w:t>
      </w:r>
    </w:p>
    <w:p w:rsidR="00F43475" w:rsidRDefault="00F43475" w:rsidP="00311395">
      <w:pPr>
        <w:contextualSpacing/>
        <w:rPr>
          <w:rFonts w:cs="Arial"/>
          <w:szCs w:val="24"/>
        </w:rPr>
      </w:pPr>
    </w:p>
    <w:p w:rsidR="009C35FA" w:rsidRPr="009C35FA" w:rsidRDefault="009C35FA" w:rsidP="00311395">
      <w:pPr>
        <w:contextualSpacing/>
        <w:rPr>
          <w:rFonts w:cs="Arial"/>
          <w:b/>
          <w:szCs w:val="24"/>
        </w:rPr>
      </w:pPr>
      <w:bookmarkStart w:id="77" w:name="muco"/>
      <w:r w:rsidRPr="009C35FA">
        <w:rPr>
          <w:rFonts w:cs="Arial"/>
          <w:b/>
          <w:szCs w:val="24"/>
        </w:rPr>
        <w:t>Mucopolysaccharide</w:t>
      </w:r>
      <w:r>
        <w:rPr>
          <w:rFonts w:cs="Arial"/>
          <w:b/>
          <w:szCs w:val="24"/>
        </w:rPr>
        <w:t xml:space="preserve"> Diseases</w:t>
      </w:r>
    </w:p>
    <w:bookmarkEnd w:id="77"/>
    <w:p w:rsidR="009C35FA" w:rsidRDefault="009C35FA" w:rsidP="00311395">
      <w:pPr>
        <w:contextualSpacing/>
        <w:rPr>
          <w:rFonts w:cs="Arial"/>
          <w:szCs w:val="24"/>
        </w:rPr>
      </w:pPr>
      <w:r w:rsidRPr="009C35FA">
        <w:rPr>
          <w:rFonts w:cs="Arial"/>
          <w:szCs w:val="24"/>
        </w:rPr>
        <w:t xml:space="preserve">Mucopolysaccharide and related Lysomal Storage Diseases are individually rare; cumulatively affecting 1:25,000 live births. </w:t>
      </w:r>
      <w:r>
        <w:rPr>
          <w:rFonts w:cs="Arial"/>
          <w:szCs w:val="24"/>
        </w:rPr>
        <w:t xml:space="preserve"> </w:t>
      </w:r>
      <w:r w:rsidRPr="009C35FA">
        <w:rPr>
          <w:rFonts w:cs="Arial"/>
          <w:szCs w:val="24"/>
        </w:rPr>
        <w:t>One baby born every eight days will be diagnosed with an MPS or related disease.</w:t>
      </w:r>
      <w:r>
        <w:rPr>
          <w:rFonts w:cs="Arial"/>
          <w:szCs w:val="24"/>
        </w:rPr>
        <w:t xml:space="preserve"> </w:t>
      </w:r>
      <w:r w:rsidRPr="009C35FA">
        <w:rPr>
          <w:rFonts w:cs="Arial"/>
          <w:szCs w:val="24"/>
        </w:rPr>
        <w:t xml:space="preserve"> These multi-organ storage diseases cause progressive physical disability and, in many cases, severe degenerative mental deterioration resulting in death in childhood.</w:t>
      </w:r>
    </w:p>
    <w:p w:rsidR="009C35FA" w:rsidRDefault="009C35FA" w:rsidP="00311395">
      <w:pPr>
        <w:contextualSpacing/>
        <w:rPr>
          <w:rFonts w:cs="Arial"/>
          <w:szCs w:val="24"/>
        </w:rPr>
      </w:pPr>
    </w:p>
    <w:p w:rsidR="00312C2B" w:rsidRPr="00312C2B" w:rsidRDefault="00312C2B" w:rsidP="00312C2B">
      <w:pPr>
        <w:contextualSpacing/>
        <w:rPr>
          <w:rFonts w:cs="Arial"/>
          <w:b/>
          <w:szCs w:val="24"/>
        </w:rPr>
      </w:pPr>
      <w:bookmarkStart w:id="78" w:name="multiple"/>
      <w:r w:rsidRPr="00312C2B">
        <w:rPr>
          <w:rFonts w:cs="Arial"/>
          <w:b/>
          <w:szCs w:val="24"/>
        </w:rPr>
        <w:t xml:space="preserve">Multiple Dose Insulin Therapy </w:t>
      </w:r>
      <w:bookmarkEnd w:id="78"/>
      <w:r w:rsidRPr="00312C2B">
        <w:rPr>
          <w:rFonts w:cs="Arial"/>
          <w:b/>
          <w:szCs w:val="24"/>
        </w:rPr>
        <w:t>- Multiple Daily Injections</w:t>
      </w:r>
    </w:p>
    <w:p w:rsidR="00312C2B" w:rsidRPr="00312C2B" w:rsidRDefault="00312C2B" w:rsidP="00312C2B">
      <w:pPr>
        <w:contextualSpacing/>
        <w:rPr>
          <w:rFonts w:cs="Arial"/>
          <w:szCs w:val="24"/>
        </w:rPr>
      </w:pPr>
      <w:r w:rsidRPr="00312C2B">
        <w:rPr>
          <w:rFonts w:cs="Arial"/>
          <w:szCs w:val="24"/>
        </w:rPr>
        <w:t xml:space="preserve">Multiple dose injection (MDI) therapy, also known as multiple daily injections, is an alternative term for the basal/bolus regime of injecting insulin. The therapy involves injecting a long acting insulin once or twice daily as a background (basal) dose and having further injections of rapid acting insulin at each meal time. </w:t>
      </w:r>
    </w:p>
    <w:p w:rsidR="00312C2B" w:rsidRPr="00312C2B" w:rsidRDefault="00312C2B" w:rsidP="00312C2B">
      <w:pPr>
        <w:contextualSpacing/>
        <w:rPr>
          <w:rFonts w:cs="Arial"/>
          <w:szCs w:val="24"/>
        </w:rPr>
      </w:pPr>
    </w:p>
    <w:p w:rsidR="00792529" w:rsidRPr="00792529" w:rsidRDefault="00792529" w:rsidP="00311395">
      <w:pPr>
        <w:contextualSpacing/>
        <w:rPr>
          <w:rFonts w:cs="Arial"/>
          <w:b/>
          <w:szCs w:val="24"/>
        </w:rPr>
      </w:pPr>
      <w:bookmarkStart w:id="79" w:name="muscular"/>
      <w:r w:rsidRPr="00792529">
        <w:rPr>
          <w:rFonts w:cs="Arial"/>
          <w:b/>
          <w:szCs w:val="24"/>
        </w:rPr>
        <w:t>Muscular dystrophy</w:t>
      </w:r>
    </w:p>
    <w:bookmarkEnd w:id="79"/>
    <w:p w:rsidR="00792529" w:rsidRPr="00792529" w:rsidRDefault="00792529" w:rsidP="00792529">
      <w:pPr>
        <w:contextualSpacing/>
        <w:rPr>
          <w:rFonts w:cs="Arial"/>
          <w:szCs w:val="24"/>
        </w:rPr>
      </w:pPr>
      <w:r w:rsidRPr="00792529">
        <w:rPr>
          <w:rFonts w:cs="Arial"/>
          <w:szCs w:val="24"/>
        </w:rPr>
        <w:t>The muscular dystrophies (MD) are a group of inherited genetic conditions that gradually cause the muscles to weaken, leading to an increasing level of disability. MD is a progressive condition; it often begins by affecting a particular group of muscles, before affecting the muscles more widely.</w:t>
      </w:r>
    </w:p>
    <w:p w:rsidR="00792529" w:rsidRPr="00792529" w:rsidRDefault="00792529" w:rsidP="00792529">
      <w:pPr>
        <w:contextualSpacing/>
        <w:rPr>
          <w:rFonts w:cs="Arial"/>
          <w:szCs w:val="24"/>
        </w:rPr>
      </w:pPr>
    </w:p>
    <w:p w:rsidR="00792529" w:rsidRDefault="00792529" w:rsidP="00792529">
      <w:pPr>
        <w:contextualSpacing/>
        <w:rPr>
          <w:rFonts w:cs="Arial"/>
          <w:szCs w:val="24"/>
        </w:rPr>
      </w:pPr>
      <w:r w:rsidRPr="00792529">
        <w:rPr>
          <w:rFonts w:cs="Arial"/>
          <w:szCs w:val="24"/>
        </w:rPr>
        <w:t>Some types of MD eventually affect the heart or the muscles used for breathing, at which point the condition becomes life-threatening. There is no cure for MD, but treatment can help to manage many of the symptoms.</w:t>
      </w:r>
    </w:p>
    <w:p w:rsidR="007107EA" w:rsidRDefault="007107EA" w:rsidP="00792529">
      <w:pPr>
        <w:contextualSpacing/>
        <w:rPr>
          <w:rFonts w:cs="Arial"/>
          <w:szCs w:val="24"/>
        </w:rPr>
      </w:pPr>
    </w:p>
    <w:p w:rsidR="00BC70CC" w:rsidRPr="001219CD" w:rsidRDefault="00BC70CC" w:rsidP="00BC70CC">
      <w:pPr>
        <w:contextualSpacing/>
        <w:rPr>
          <w:b/>
          <w:szCs w:val="24"/>
        </w:rPr>
      </w:pPr>
      <w:bookmarkStart w:id="80" w:name="oppo"/>
      <w:r w:rsidRPr="001219CD">
        <w:rPr>
          <w:b/>
          <w:szCs w:val="24"/>
        </w:rPr>
        <w:lastRenderedPageBreak/>
        <w:t>Oppositional Defiant Disorder (ODD)</w:t>
      </w:r>
    </w:p>
    <w:bookmarkEnd w:id="80"/>
    <w:p w:rsidR="00BC70CC" w:rsidRDefault="001219CD" w:rsidP="00792529">
      <w:pPr>
        <w:contextualSpacing/>
        <w:rPr>
          <w:rFonts w:cs="Arial"/>
          <w:szCs w:val="24"/>
        </w:rPr>
      </w:pPr>
      <w:r w:rsidRPr="001219CD">
        <w:rPr>
          <w:rFonts w:cs="Arial"/>
          <w:szCs w:val="24"/>
        </w:rPr>
        <w:t>Tantrums and some oppositional behaviour can be part of normal development for most young children and can be an expression of boundary testing when learning social rules. In roughly five per cent of children and young people this negative behaviour is severe, persistent and enormously challenging and may involve serious and repeated rule breaking and aggressive behaviour, which is often disturbing to others. Family relationships can become strained and school progress may be affected. Conduct disorder (CD) and oppositional defiant disorder (ODD) are the diagnostic terms for those types of long-lasting, aggressive and defiant behaviours that are extreme.</w:t>
      </w:r>
    </w:p>
    <w:p w:rsidR="00D443B0" w:rsidRDefault="00D443B0" w:rsidP="00792529">
      <w:pPr>
        <w:contextualSpacing/>
        <w:rPr>
          <w:rFonts w:cs="Arial"/>
          <w:szCs w:val="24"/>
        </w:rPr>
      </w:pPr>
    </w:p>
    <w:p w:rsidR="008A6B27" w:rsidRPr="008A6B27" w:rsidRDefault="008A6B27" w:rsidP="00792529">
      <w:pPr>
        <w:contextualSpacing/>
        <w:rPr>
          <w:rFonts w:cs="Arial"/>
          <w:b/>
          <w:szCs w:val="24"/>
        </w:rPr>
      </w:pPr>
      <w:bookmarkStart w:id="81" w:name="paraplegia"/>
      <w:r w:rsidRPr="008A6B27">
        <w:rPr>
          <w:rFonts w:cs="Arial"/>
          <w:b/>
          <w:szCs w:val="24"/>
        </w:rPr>
        <w:t>Paraplegia</w:t>
      </w:r>
    </w:p>
    <w:bookmarkEnd w:id="81"/>
    <w:p w:rsidR="008A6B27" w:rsidRDefault="008A6B27" w:rsidP="00792529">
      <w:pPr>
        <w:contextualSpacing/>
        <w:rPr>
          <w:rFonts w:cs="Arial"/>
          <w:szCs w:val="24"/>
        </w:rPr>
      </w:pPr>
      <w:r w:rsidRPr="008A6B27">
        <w:rPr>
          <w:rFonts w:cs="Arial"/>
          <w:szCs w:val="24"/>
        </w:rPr>
        <w:t>Paralysis of the legs and lower body, typically caused by spinal injury or disease</w:t>
      </w:r>
      <w:r>
        <w:rPr>
          <w:rFonts w:cs="Arial"/>
          <w:szCs w:val="24"/>
        </w:rPr>
        <w:t>.</w:t>
      </w:r>
    </w:p>
    <w:p w:rsidR="007107EA" w:rsidRDefault="007107EA" w:rsidP="00311395">
      <w:pPr>
        <w:contextualSpacing/>
        <w:rPr>
          <w:rFonts w:cs="Arial"/>
          <w:b/>
        </w:rPr>
      </w:pPr>
      <w:bookmarkStart w:id="82" w:name="peg"/>
    </w:p>
    <w:p w:rsidR="00F43475" w:rsidRPr="0052467C" w:rsidRDefault="0052467C" w:rsidP="00311395">
      <w:pPr>
        <w:contextualSpacing/>
        <w:rPr>
          <w:rFonts w:cs="Arial"/>
          <w:b/>
        </w:rPr>
      </w:pPr>
      <w:r w:rsidRPr="0052467C">
        <w:rPr>
          <w:rFonts w:cs="Arial"/>
          <w:b/>
        </w:rPr>
        <w:t>PEG tube</w:t>
      </w:r>
    </w:p>
    <w:bookmarkEnd w:id="82"/>
    <w:p w:rsidR="0052467C" w:rsidRPr="00311395" w:rsidRDefault="0052467C" w:rsidP="00311395">
      <w:pPr>
        <w:contextualSpacing/>
        <w:rPr>
          <w:rFonts w:cs="Arial"/>
        </w:rPr>
      </w:pPr>
      <w:r>
        <w:rPr>
          <w:rFonts w:cs="Arial"/>
        </w:rPr>
        <w:t>P</w:t>
      </w:r>
      <w:r w:rsidRPr="0052467C">
        <w:rPr>
          <w:rFonts w:cs="Arial"/>
        </w:rPr>
        <w:t>ercu</w:t>
      </w:r>
      <w:r w:rsidR="00934A24">
        <w:rPr>
          <w:rFonts w:cs="Arial"/>
        </w:rPr>
        <w:t xml:space="preserve">taneous endoscopic gastrostomy is </w:t>
      </w:r>
      <w:r w:rsidRPr="0052467C">
        <w:rPr>
          <w:rFonts w:cs="Arial"/>
        </w:rPr>
        <w:t xml:space="preserve">a procedure in which a flexible feeding tube is placed through the abdominal wall and into the stomach. </w:t>
      </w:r>
      <w:r w:rsidR="00D443B0">
        <w:rPr>
          <w:rFonts w:cs="Arial"/>
        </w:rPr>
        <w:t xml:space="preserve"> </w:t>
      </w:r>
      <w:r w:rsidRPr="0052467C">
        <w:rPr>
          <w:rFonts w:cs="Arial"/>
        </w:rPr>
        <w:t xml:space="preserve">PEG allows nutrition, fluids and/or medications to be put directly into the stomach, bypassing the mouth and </w:t>
      </w:r>
      <w:r>
        <w:rPr>
          <w:rFonts w:cs="Arial"/>
        </w:rPr>
        <w:t>o</w:t>
      </w:r>
      <w:r w:rsidRPr="0052467C">
        <w:rPr>
          <w:rFonts w:cs="Arial"/>
        </w:rPr>
        <w:t>esophagus.</w:t>
      </w:r>
    </w:p>
    <w:p w:rsidR="0052467C" w:rsidRDefault="0052467C" w:rsidP="00F6167D">
      <w:pPr>
        <w:rPr>
          <w:rFonts w:cs="Arial"/>
          <w:b/>
          <w:szCs w:val="24"/>
        </w:rPr>
      </w:pPr>
    </w:p>
    <w:p w:rsidR="00BC70CC" w:rsidRPr="00BC70CC" w:rsidRDefault="00BC70CC" w:rsidP="00F6167D">
      <w:pPr>
        <w:rPr>
          <w:rFonts w:cs="Arial"/>
          <w:b/>
          <w:szCs w:val="24"/>
        </w:rPr>
      </w:pPr>
      <w:bookmarkStart w:id="83" w:name="perthes"/>
      <w:r w:rsidRPr="00BC70CC">
        <w:rPr>
          <w:rFonts w:cs="Arial"/>
          <w:b/>
          <w:szCs w:val="24"/>
        </w:rPr>
        <w:t>Perthes' disease</w:t>
      </w:r>
    </w:p>
    <w:bookmarkEnd w:id="83"/>
    <w:p w:rsidR="00BC70CC" w:rsidRDefault="00BC70CC" w:rsidP="00F6167D">
      <w:pPr>
        <w:rPr>
          <w:rFonts w:cs="Arial"/>
          <w:szCs w:val="24"/>
        </w:rPr>
      </w:pPr>
      <w:r w:rsidRPr="00BC70CC">
        <w:rPr>
          <w:rFonts w:cs="Arial"/>
          <w:szCs w:val="24"/>
        </w:rPr>
        <w:t>Perthes' disease is a condition where the top of the thigh bone in the hip joint (the femoral head) softens and breaks down. It occurs in some children and causes a limp, pain and stiffness. The bone gradually heals and reforms as the child grows.</w:t>
      </w:r>
    </w:p>
    <w:p w:rsidR="00BC70CC" w:rsidRPr="00BC70CC" w:rsidRDefault="00BC70CC" w:rsidP="00F6167D">
      <w:pPr>
        <w:rPr>
          <w:rFonts w:cs="Arial"/>
          <w:szCs w:val="24"/>
        </w:rPr>
      </w:pPr>
    </w:p>
    <w:p w:rsidR="007B7888" w:rsidRDefault="007B7888" w:rsidP="00F6167D">
      <w:pPr>
        <w:rPr>
          <w:rFonts w:cs="Arial"/>
          <w:b/>
          <w:szCs w:val="24"/>
        </w:rPr>
      </w:pPr>
      <w:bookmarkStart w:id="84" w:name="portage"/>
      <w:r>
        <w:rPr>
          <w:rFonts w:cs="Arial"/>
          <w:b/>
          <w:szCs w:val="24"/>
        </w:rPr>
        <w:t>Portage</w:t>
      </w:r>
    </w:p>
    <w:bookmarkEnd w:id="84"/>
    <w:p w:rsidR="007B7888" w:rsidRDefault="007B7888" w:rsidP="00F6167D">
      <w:pPr>
        <w:rPr>
          <w:rFonts w:cs="Arial"/>
          <w:szCs w:val="24"/>
        </w:rPr>
      </w:pPr>
      <w:r w:rsidRPr="007B7888">
        <w:rPr>
          <w:rFonts w:cs="Arial"/>
          <w:szCs w:val="24"/>
        </w:rPr>
        <w:t>Portage is a home-visiting educational service for pre-school children with additional support needs and their families.</w:t>
      </w:r>
    </w:p>
    <w:p w:rsidR="00A2506E" w:rsidRDefault="00A2506E" w:rsidP="00F6167D">
      <w:pPr>
        <w:rPr>
          <w:rFonts w:cs="Arial"/>
          <w:szCs w:val="24"/>
        </w:rPr>
      </w:pPr>
    </w:p>
    <w:p w:rsidR="00A2506E" w:rsidRPr="00A2506E" w:rsidRDefault="00A2506E" w:rsidP="00F6167D">
      <w:pPr>
        <w:rPr>
          <w:rFonts w:cs="Arial"/>
          <w:b/>
          <w:szCs w:val="24"/>
        </w:rPr>
      </w:pPr>
      <w:bookmarkStart w:id="85" w:name="quality"/>
      <w:r w:rsidRPr="00A2506E">
        <w:rPr>
          <w:rFonts w:cs="Arial"/>
          <w:b/>
          <w:szCs w:val="24"/>
        </w:rPr>
        <w:t>Quality and Outcomes Framework (QOF)</w:t>
      </w:r>
    </w:p>
    <w:bookmarkEnd w:id="85"/>
    <w:p w:rsidR="00A2506E" w:rsidRDefault="00A2506E" w:rsidP="00F6167D">
      <w:pPr>
        <w:rPr>
          <w:rFonts w:cs="Arial"/>
          <w:szCs w:val="24"/>
        </w:rPr>
      </w:pPr>
      <w:r>
        <w:rPr>
          <w:rFonts w:cs="Arial"/>
          <w:szCs w:val="24"/>
        </w:rPr>
        <w:t>A voluntary annual reward and incentive programme for all GP surgeries in England, detailing practice achievement results.</w:t>
      </w:r>
    </w:p>
    <w:p w:rsidR="00BC70CC" w:rsidRDefault="00BC70CC" w:rsidP="00F6167D">
      <w:pPr>
        <w:rPr>
          <w:rFonts w:cs="Arial"/>
          <w:szCs w:val="24"/>
        </w:rPr>
      </w:pPr>
    </w:p>
    <w:p w:rsidR="00BC70CC" w:rsidRPr="00BC70CC" w:rsidRDefault="00BC70CC" w:rsidP="00BC70CC">
      <w:pPr>
        <w:rPr>
          <w:b/>
        </w:rPr>
      </w:pPr>
      <w:bookmarkStart w:id="86" w:name="scoliosis"/>
      <w:r w:rsidRPr="00BC70CC">
        <w:rPr>
          <w:b/>
        </w:rPr>
        <w:t>Scoliosis</w:t>
      </w:r>
    </w:p>
    <w:bookmarkEnd w:id="86"/>
    <w:p w:rsidR="00BC70CC" w:rsidRDefault="00BC70CC" w:rsidP="00BC70CC">
      <w:r w:rsidRPr="00BC70CC">
        <w:t>Scoliosis is the abnormal twisting and curvature of the spine</w:t>
      </w:r>
      <w:r>
        <w:t>.</w:t>
      </w:r>
    </w:p>
    <w:p w:rsidR="005C67F9" w:rsidRPr="007B7888" w:rsidRDefault="005C67F9" w:rsidP="00F6167D">
      <w:pPr>
        <w:rPr>
          <w:rFonts w:cs="Arial"/>
          <w:szCs w:val="24"/>
        </w:rPr>
      </w:pPr>
    </w:p>
    <w:p w:rsidR="00A80864" w:rsidRDefault="00A80864" w:rsidP="005944D5">
      <w:pPr>
        <w:rPr>
          <w:rFonts w:cs="Arial"/>
          <w:b/>
          <w:szCs w:val="24"/>
        </w:rPr>
      </w:pPr>
      <w:bookmarkStart w:id="87" w:name="sensory"/>
      <w:bookmarkStart w:id="88" w:name="sen"/>
      <w:r>
        <w:rPr>
          <w:rFonts w:cs="Arial"/>
          <w:b/>
          <w:szCs w:val="24"/>
        </w:rPr>
        <w:t xml:space="preserve">Sensory processing </w:t>
      </w:r>
      <w:r w:rsidR="00E70B67">
        <w:rPr>
          <w:rFonts w:cs="Arial"/>
          <w:b/>
          <w:szCs w:val="24"/>
        </w:rPr>
        <w:t>difficulties</w:t>
      </w:r>
    </w:p>
    <w:bookmarkEnd w:id="87"/>
    <w:p w:rsidR="00A80864" w:rsidRPr="00A80864" w:rsidRDefault="00A80864" w:rsidP="005944D5">
      <w:pPr>
        <w:rPr>
          <w:rFonts w:cs="Arial"/>
          <w:szCs w:val="24"/>
        </w:rPr>
      </w:pPr>
      <w:r w:rsidRPr="00A80864">
        <w:rPr>
          <w:rFonts w:cs="Arial"/>
          <w:szCs w:val="24"/>
        </w:rPr>
        <w:t xml:space="preserve">Difficulty in taking in, integrating and making use of sensory information. This can affect the ability to learn as well as the development of behaviour, social and motor skills. </w:t>
      </w:r>
    </w:p>
    <w:p w:rsidR="00A80864" w:rsidRDefault="00A80864" w:rsidP="005944D5">
      <w:pPr>
        <w:rPr>
          <w:rFonts w:cs="Arial"/>
          <w:b/>
          <w:szCs w:val="24"/>
        </w:rPr>
      </w:pPr>
    </w:p>
    <w:p w:rsidR="005944D5" w:rsidRPr="005944D5" w:rsidRDefault="005944D5" w:rsidP="005944D5">
      <w:pPr>
        <w:rPr>
          <w:rFonts w:cs="Arial"/>
          <w:b/>
          <w:szCs w:val="24"/>
        </w:rPr>
      </w:pPr>
      <w:r w:rsidRPr="005944D5">
        <w:rPr>
          <w:rFonts w:cs="Arial"/>
          <w:b/>
          <w:szCs w:val="24"/>
        </w:rPr>
        <w:t>SEN Support</w:t>
      </w:r>
    </w:p>
    <w:bookmarkEnd w:id="88"/>
    <w:p w:rsidR="005944D5" w:rsidRDefault="005944D5" w:rsidP="005944D5">
      <w:pPr>
        <w:rPr>
          <w:rFonts w:cs="Arial"/>
          <w:szCs w:val="24"/>
        </w:rPr>
      </w:pPr>
      <w:r w:rsidRPr="005944D5">
        <w:rPr>
          <w:rFonts w:cs="Arial"/>
          <w:szCs w:val="24"/>
        </w:rPr>
        <w:t>Extra or different help is given from that provided as part of the school’s usual curriculum. The class teacher and SEN Coordinator (SENCO) may receive advice or support from outside specialists.  This category replaces the former ‘School Action’ and ‘School Action Plus’ categories.</w:t>
      </w:r>
    </w:p>
    <w:p w:rsidR="00043CBA" w:rsidRDefault="00043CBA" w:rsidP="005944D5">
      <w:pPr>
        <w:rPr>
          <w:rFonts w:cs="Arial"/>
          <w:szCs w:val="24"/>
        </w:rPr>
      </w:pPr>
    </w:p>
    <w:p w:rsidR="00043CBA" w:rsidRPr="00043CBA" w:rsidRDefault="00043CBA" w:rsidP="005944D5">
      <w:pPr>
        <w:rPr>
          <w:rFonts w:cs="Arial"/>
          <w:b/>
          <w:szCs w:val="24"/>
        </w:rPr>
      </w:pPr>
      <w:bookmarkStart w:id="89" w:name="sickle"/>
      <w:r w:rsidRPr="00043CBA">
        <w:rPr>
          <w:rFonts w:cs="Arial"/>
          <w:b/>
          <w:szCs w:val="24"/>
        </w:rPr>
        <w:t>Sickle cell anaemia</w:t>
      </w:r>
    </w:p>
    <w:bookmarkEnd w:id="89"/>
    <w:p w:rsidR="00043CBA" w:rsidRDefault="00043CBA" w:rsidP="005944D5">
      <w:pPr>
        <w:rPr>
          <w:rFonts w:cs="Arial"/>
          <w:szCs w:val="24"/>
        </w:rPr>
      </w:pPr>
      <w:r w:rsidRPr="00043CBA">
        <w:rPr>
          <w:rFonts w:cs="Arial"/>
          <w:szCs w:val="24"/>
        </w:rPr>
        <w:t>Sickle cell anaemia is a serious inherited blood disorder where the red blood cells, which carry oxygen around the body, develop abnormally.</w:t>
      </w:r>
    </w:p>
    <w:p w:rsidR="00426958" w:rsidRPr="005944D5" w:rsidRDefault="00426958" w:rsidP="005944D5">
      <w:pPr>
        <w:rPr>
          <w:rFonts w:cs="Arial"/>
          <w:szCs w:val="24"/>
        </w:rPr>
      </w:pPr>
    </w:p>
    <w:p w:rsidR="00F6167D" w:rsidRDefault="00F43475" w:rsidP="00F6167D">
      <w:pPr>
        <w:rPr>
          <w:rFonts w:cs="Arial"/>
          <w:b/>
          <w:szCs w:val="24"/>
        </w:rPr>
      </w:pPr>
      <w:bookmarkStart w:id="90" w:name="secscn"/>
      <w:r w:rsidRPr="00C83BC6">
        <w:rPr>
          <w:rFonts w:cs="Arial"/>
          <w:b/>
          <w:szCs w:val="24"/>
        </w:rPr>
        <w:lastRenderedPageBreak/>
        <w:t xml:space="preserve">South East Coast Strategic Clinical Network </w:t>
      </w:r>
      <w:bookmarkEnd w:id="90"/>
      <w:r w:rsidRPr="00C83BC6">
        <w:rPr>
          <w:rFonts w:cs="Arial"/>
          <w:b/>
          <w:szCs w:val="24"/>
        </w:rPr>
        <w:t>(SECSCN)</w:t>
      </w:r>
    </w:p>
    <w:p w:rsidR="00BC1869" w:rsidRDefault="002F05EF" w:rsidP="00F6167D">
      <w:pPr>
        <w:rPr>
          <w:rFonts w:cs="Arial"/>
          <w:szCs w:val="24"/>
        </w:rPr>
      </w:pPr>
      <w:r w:rsidRPr="002F05EF">
        <w:rPr>
          <w:rFonts w:cs="Arial"/>
          <w:szCs w:val="24"/>
        </w:rPr>
        <w:t>Strategic Clinical Networks (SCNs) work in partnership with commissioners (including local government), providing clinical advice and leadership to support their decision making &amp; strategic planning</w:t>
      </w:r>
      <w:r w:rsidR="00043CBA">
        <w:rPr>
          <w:rFonts w:cs="Arial"/>
          <w:szCs w:val="24"/>
        </w:rPr>
        <w:t>.</w:t>
      </w:r>
    </w:p>
    <w:p w:rsidR="00043CBA" w:rsidRDefault="00043CBA" w:rsidP="00F6167D">
      <w:pPr>
        <w:rPr>
          <w:rFonts w:cs="Arial"/>
          <w:szCs w:val="24"/>
        </w:rPr>
      </w:pPr>
    </w:p>
    <w:p w:rsidR="00043CBA" w:rsidRPr="00080280" w:rsidRDefault="00043CBA" w:rsidP="00F6167D">
      <w:pPr>
        <w:rPr>
          <w:rFonts w:cs="Arial"/>
          <w:b/>
          <w:szCs w:val="24"/>
        </w:rPr>
      </w:pPr>
      <w:bookmarkStart w:id="91" w:name="spina"/>
      <w:r w:rsidRPr="00080280">
        <w:rPr>
          <w:rFonts w:cs="Arial"/>
          <w:b/>
          <w:szCs w:val="24"/>
        </w:rPr>
        <w:t>Spina Bifida</w:t>
      </w:r>
    </w:p>
    <w:bookmarkEnd w:id="91"/>
    <w:p w:rsidR="00043CBA" w:rsidRDefault="00043CBA" w:rsidP="00F6167D">
      <w:pPr>
        <w:rPr>
          <w:rFonts w:cs="Arial"/>
          <w:szCs w:val="24"/>
        </w:rPr>
      </w:pPr>
      <w:r w:rsidRPr="00043CBA">
        <w:rPr>
          <w:rFonts w:cs="Arial"/>
          <w:szCs w:val="24"/>
        </w:rPr>
        <w:t>A fault in the development of the spinal cord and surrounding bones (vertebrae)</w:t>
      </w:r>
      <w:r w:rsidR="00080280">
        <w:rPr>
          <w:rFonts w:cs="Arial"/>
          <w:szCs w:val="24"/>
        </w:rPr>
        <w:t>, leaving</w:t>
      </w:r>
      <w:r w:rsidRPr="00043CBA">
        <w:rPr>
          <w:rFonts w:cs="Arial"/>
          <w:szCs w:val="24"/>
        </w:rPr>
        <w:t xml:space="preserve"> a gap or split in the spine.</w:t>
      </w:r>
    </w:p>
    <w:p w:rsidR="005944D5" w:rsidRDefault="005944D5">
      <w:pPr>
        <w:rPr>
          <w:rFonts w:cs="Arial"/>
          <w:b/>
          <w:szCs w:val="24"/>
        </w:rPr>
      </w:pPr>
    </w:p>
    <w:p w:rsidR="005944D5" w:rsidRPr="005944D5" w:rsidRDefault="005944D5" w:rsidP="005944D5">
      <w:pPr>
        <w:rPr>
          <w:rFonts w:cs="Arial"/>
          <w:b/>
          <w:szCs w:val="24"/>
        </w:rPr>
      </w:pPr>
      <w:bookmarkStart w:id="92" w:name="statement"/>
      <w:r w:rsidRPr="005944D5">
        <w:rPr>
          <w:rFonts w:cs="Arial"/>
          <w:b/>
          <w:szCs w:val="24"/>
        </w:rPr>
        <w:t>Statement/ EHC plan</w:t>
      </w:r>
    </w:p>
    <w:bookmarkEnd w:id="92"/>
    <w:p w:rsidR="0037776B" w:rsidRDefault="005944D5" w:rsidP="005944D5">
      <w:pPr>
        <w:rPr>
          <w:rFonts w:cs="Arial"/>
          <w:szCs w:val="24"/>
        </w:rPr>
      </w:pPr>
      <w:r w:rsidRPr="005944D5">
        <w:rPr>
          <w:rFonts w:cs="Arial"/>
          <w:szCs w:val="24"/>
        </w:rPr>
        <w:t xml:space="preserve">A pupil has a statement of SEN or an EHC plan when a formal assessment has been made. A document is in place that sets out the child’s needs and the extra help they should receive. </w:t>
      </w:r>
    </w:p>
    <w:p w:rsidR="0037776B" w:rsidRDefault="0037776B" w:rsidP="005944D5">
      <w:pPr>
        <w:rPr>
          <w:rFonts w:cs="Arial"/>
          <w:szCs w:val="24"/>
        </w:rPr>
      </w:pPr>
    </w:p>
    <w:p w:rsidR="0037776B" w:rsidRDefault="0037776B" w:rsidP="005944D5">
      <w:pPr>
        <w:rPr>
          <w:rFonts w:cs="Arial"/>
          <w:b/>
          <w:szCs w:val="24"/>
        </w:rPr>
      </w:pPr>
      <w:bookmarkStart w:id="93" w:name="tracheostomy"/>
      <w:r w:rsidRPr="0037776B">
        <w:rPr>
          <w:rFonts w:cs="Arial"/>
          <w:b/>
          <w:szCs w:val="24"/>
        </w:rPr>
        <w:t>Tracheostomy</w:t>
      </w:r>
    </w:p>
    <w:p w:rsidR="00330E32" w:rsidRPr="00FD4661" w:rsidRDefault="00FD4661" w:rsidP="005944D5">
      <w:pPr>
        <w:rPr>
          <w:rFonts w:cs="Arial"/>
          <w:szCs w:val="24"/>
        </w:rPr>
      </w:pPr>
      <w:r w:rsidRPr="00FD4661">
        <w:rPr>
          <w:rFonts w:cs="Arial"/>
          <w:szCs w:val="24"/>
        </w:rPr>
        <w:t>A tracheostomy is an opening created at the front of the neck so a tube can be inserted into the windpipe (trachea) to aid breathing.</w:t>
      </w:r>
    </w:p>
    <w:p w:rsidR="00FD4661" w:rsidRDefault="00FD4661" w:rsidP="005944D5">
      <w:pPr>
        <w:rPr>
          <w:rFonts w:cs="Arial"/>
          <w:b/>
          <w:szCs w:val="24"/>
        </w:rPr>
      </w:pPr>
      <w:bookmarkStart w:id="94" w:name="diabetes"/>
    </w:p>
    <w:p w:rsidR="00330E32" w:rsidRDefault="00330E32" w:rsidP="005944D5">
      <w:pPr>
        <w:rPr>
          <w:rFonts w:cs="Arial"/>
          <w:b/>
          <w:szCs w:val="24"/>
        </w:rPr>
      </w:pPr>
      <w:r>
        <w:rPr>
          <w:rFonts w:cs="Arial"/>
          <w:b/>
          <w:szCs w:val="24"/>
        </w:rPr>
        <w:t>Type 1 Diabetes</w:t>
      </w:r>
    </w:p>
    <w:bookmarkEnd w:id="94"/>
    <w:p w:rsidR="00330E32" w:rsidRPr="00330E32" w:rsidRDefault="007B0A0C" w:rsidP="005944D5">
      <w:pPr>
        <w:rPr>
          <w:rFonts w:cs="Arial"/>
          <w:szCs w:val="24"/>
        </w:rPr>
      </w:pPr>
      <w:r w:rsidRPr="00330E32">
        <w:rPr>
          <w:rFonts w:cs="Arial"/>
          <w:szCs w:val="24"/>
        </w:rPr>
        <w:t>Around 10% of all diabetes is type 1</w:t>
      </w:r>
      <w:r>
        <w:rPr>
          <w:rFonts w:cs="Arial"/>
          <w:szCs w:val="24"/>
        </w:rPr>
        <w:t xml:space="preserve">. </w:t>
      </w:r>
      <w:r w:rsidR="00330E32" w:rsidRPr="00330E32">
        <w:rPr>
          <w:rFonts w:cs="Arial"/>
          <w:szCs w:val="24"/>
        </w:rPr>
        <w:t>In type 1 diabetes, the pancreas (a small gland behind the stomach) does not produce any insulin, the hormone that regulates blood glucose levels. Type 1 diabetes can develop at any age, but usuall</w:t>
      </w:r>
      <w:r w:rsidR="00BA58FA">
        <w:rPr>
          <w:rFonts w:cs="Arial"/>
          <w:szCs w:val="24"/>
        </w:rPr>
        <w:t>y appears before the age of 40</w:t>
      </w:r>
    </w:p>
    <w:bookmarkEnd w:id="93"/>
    <w:p w:rsidR="00B31CA4" w:rsidRDefault="00B31CA4" w:rsidP="00C83BC6">
      <w:pPr>
        <w:sectPr w:rsidR="00B31CA4" w:rsidSect="002D1D93">
          <w:footerReference w:type="default" r:id="rId17"/>
          <w:pgSz w:w="11906" w:h="16838"/>
          <w:pgMar w:top="1440" w:right="1440" w:bottom="1440" w:left="1440" w:header="708" w:footer="708" w:gutter="0"/>
          <w:pgNumType w:start="0"/>
          <w:cols w:space="708"/>
          <w:titlePg/>
          <w:docGrid w:linePitch="360"/>
        </w:sectPr>
      </w:pPr>
    </w:p>
    <w:p w:rsidR="00B31CA4" w:rsidRPr="003141A0" w:rsidRDefault="00AC534C" w:rsidP="00B31CA4">
      <w:pPr>
        <w:pStyle w:val="Heading1"/>
      </w:pPr>
      <w:bookmarkStart w:id="95" w:name="_Toc434938060"/>
      <w:r>
        <w:lastRenderedPageBreak/>
        <w:t xml:space="preserve">Appendix 3: </w:t>
      </w:r>
      <w:r w:rsidR="00B31CA4" w:rsidRPr="003141A0">
        <w:t>Data Sources</w:t>
      </w:r>
      <w:bookmarkEnd w:id="95"/>
    </w:p>
    <w:p w:rsidR="00B31CA4" w:rsidRDefault="00B31CA4" w:rsidP="00B31CA4"/>
    <w:tbl>
      <w:tblPr>
        <w:tblStyle w:val="LightList-Accent1"/>
        <w:tblW w:w="5000" w:type="pct"/>
        <w:tblLayout w:type="fixed"/>
        <w:tblLook w:val="04A0" w:firstRow="1" w:lastRow="0" w:firstColumn="1" w:lastColumn="0" w:noHBand="0" w:noVBand="1"/>
      </w:tblPr>
      <w:tblGrid>
        <w:gridCol w:w="1951"/>
        <w:gridCol w:w="4113"/>
        <w:gridCol w:w="8110"/>
      </w:tblGrid>
      <w:tr w:rsidR="00410E5D" w:rsidTr="00D516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8" w:type="pct"/>
          </w:tcPr>
          <w:p w:rsidR="00410E5D" w:rsidRPr="003141A0" w:rsidRDefault="00410E5D" w:rsidP="00D5162B">
            <w:r w:rsidRPr="003141A0">
              <w:t>Source</w:t>
            </w:r>
          </w:p>
        </w:tc>
        <w:tc>
          <w:tcPr>
            <w:tcW w:w="1451" w:type="pct"/>
          </w:tcPr>
          <w:p w:rsidR="00410E5D" w:rsidRPr="003141A0" w:rsidRDefault="00410E5D" w:rsidP="00D5162B">
            <w:pPr>
              <w:cnfStyle w:val="100000000000" w:firstRow="1" w:lastRow="0" w:firstColumn="0" w:lastColumn="0" w:oddVBand="0" w:evenVBand="0" w:oddHBand="0" w:evenHBand="0" w:firstRowFirstColumn="0" w:firstRowLastColumn="0" w:lastRowFirstColumn="0" w:lastRowLastColumn="0"/>
            </w:pPr>
            <w:r w:rsidRPr="003141A0">
              <w:t>Type</w:t>
            </w:r>
          </w:p>
        </w:tc>
        <w:tc>
          <w:tcPr>
            <w:tcW w:w="2862" w:type="pct"/>
          </w:tcPr>
          <w:p w:rsidR="00410E5D" w:rsidRDefault="00410E5D" w:rsidP="00D5162B">
            <w:pPr>
              <w:cnfStyle w:val="100000000000" w:firstRow="1" w:lastRow="0" w:firstColumn="0" w:lastColumn="0" w:oddVBand="0" w:evenVBand="0" w:oddHBand="0" w:evenHBand="0" w:firstRowFirstColumn="0" w:firstRowLastColumn="0" w:lastRowFirstColumn="0" w:lastRowLastColumn="0"/>
            </w:pPr>
            <w:r>
              <w:t>Link</w:t>
            </w:r>
          </w:p>
        </w:tc>
      </w:tr>
      <w:tr w:rsidR="00410E5D" w:rsidTr="00D51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8" w:type="pct"/>
          </w:tcPr>
          <w:p w:rsidR="00410E5D" w:rsidRPr="00344C4E" w:rsidRDefault="00410E5D" w:rsidP="00D5162B">
            <w:pPr>
              <w:rPr>
                <w:b w:val="0"/>
              </w:rPr>
            </w:pPr>
            <w:r w:rsidRPr="00344C4E">
              <w:rPr>
                <w:b w:val="0"/>
              </w:rPr>
              <w:t>CHIMAT</w:t>
            </w:r>
          </w:p>
        </w:tc>
        <w:tc>
          <w:tcPr>
            <w:tcW w:w="1451" w:type="pct"/>
          </w:tcPr>
          <w:p w:rsidR="00410E5D" w:rsidRDefault="00410E5D" w:rsidP="00D5162B">
            <w:pPr>
              <w:cnfStyle w:val="000000100000" w:firstRow="0" w:lastRow="0" w:firstColumn="0" w:lastColumn="0" w:oddVBand="0" w:evenVBand="0" w:oddHBand="1" w:evenHBand="0" w:firstRowFirstColumn="0" w:firstRowLastColumn="0" w:lastRowFirstColumn="0" w:lastRowLastColumn="0"/>
            </w:pPr>
            <w:r>
              <w:t>Disability Needs Assessment by LA</w:t>
            </w:r>
          </w:p>
        </w:tc>
        <w:tc>
          <w:tcPr>
            <w:tcW w:w="2862" w:type="pct"/>
          </w:tcPr>
          <w:p w:rsidR="00410E5D" w:rsidRDefault="00410E5D" w:rsidP="00D5162B">
            <w:pPr>
              <w:cnfStyle w:val="000000100000" w:firstRow="0" w:lastRow="0" w:firstColumn="0" w:lastColumn="0" w:oddVBand="0" w:evenVBand="0" w:oddHBand="1" w:evenHBand="0" w:firstRowFirstColumn="0" w:firstRowLastColumn="0" w:lastRowFirstColumn="0" w:lastRowLastColumn="0"/>
            </w:pPr>
            <w:r w:rsidRPr="00344C4E">
              <w:t>http://atlas.chimat.org.uk/IAS/profiles/profile?profileId=46&amp;geoTypeId=</w:t>
            </w:r>
          </w:p>
        </w:tc>
      </w:tr>
      <w:tr w:rsidR="00410E5D" w:rsidTr="00D5162B">
        <w:tc>
          <w:tcPr>
            <w:cnfStyle w:val="001000000000" w:firstRow="0" w:lastRow="0" w:firstColumn="1" w:lastColumn="0" w:oddVBand="0" w:evenVBand="0" w:oddHBand="0" w:evenHBand="0" w:firstRowFirstColumn="0" w:firstRowLastColumn="0" w:lastRowFirstColumn="0" w:lastRowLastColumn="0"/>
            <w:tcW w:w="688" w:type="pct"/>
          </w:tcPr>
          <w:p w:rsidR="00410E5D" w:rsidRDefault="00410E5D" w:rsidP="00D5162B">
            <w:pPr>
              <w:rPr>
                <w:b w:val="0"/>
              </w:rPr>
            </w:pPr>
            <w:r>
              <w:rPr>
                <w:b w:val="0"/>
              </w:rPr>
              <w:t>CHIMAT</w:t>
            </w:r>
          </w:p>
        </w:tc>
        <w:tc>
          <w:tcPr>
            <w:tcW w:w="1451" w:type="pct"/>
          </w:tcPr>
          <w:p w:rsidR="00410E5D" w:rsidRDefault="00410E5D" w:rsidP="00D5162B">
            <w:pPr>
              <w:cnfStyle w:val="000000000000" w:firstRow="0" w:lastRow="0" w:firstColumn="0" w:lastColumn="0" w:oddVBand="0" w:evenVBand="0" w:oddHBand="0" w:evenHBand="0" w:firstRowFirstColumn="0" w:firstRowLastColumn="0" w:lastRowFirstColumn="0" w:lastRowLastColumn="0"/>
            </w:pPr>
            <w:r w:rsidRPr="002A27A1">
              <w:t>Improving Services Toolkit: Improving acute and community services for children and young people who are ill</w:t>
            </w:r>
            <w:r>
              <w:t xml:space="preserve">.  </w:t>
            </w:r>
            <w:r w:rsidRPr="002A27A1">
              <w:t>The toolkit examines emergency hospital admissions for children with common childhood conditions, such as respiratory and gastric conditions. It also looks at how long children spend in hospital, and presents similar information specifically for children who have complex conditions such as congenital heart conditions, cerebral palsy or me</w:t>
            </w:r>
            <w:r>
              <w:t>tabolic disorders. Information is presented by CCG area.</w:t>
            </w:r>
          </w:p>
        </w:tc>
        <w:tc>
          <w:tcPr>
            <w:tcW w:w="2862" w:type="pct"/>
          </w:tcPr>
          <w:p w:rsidR="00410E5D" w:rsidRPr="003141A0" w:rsidRDefault="00410E5D" w:rsidP="00D5162B">
            <w:pPr>
              <w:cnfStyle w:val="000000000000" w:firstRow="0" w:lastRow="0" w:firstColumn="0" w:lastColumn="0" w:oddVBand="0" w:evenVBand="0" w:oddHBand="0" w:evenHBand="0" w:firstRowFirstColumn="0" w:firstRowLastColumn="0" w:lastRowFirstColumn="0" w:lastRowLastColumn="0"/>
            </w:pPr>
            <w:r w:rsidRPr="002A27A1">
              <w:t>http://www.chimat.org.uk/ISTOOLKIT</w:t>
            </w:r>
          </w:p>
        </w:tc>
      </w:tr>
      <w:tr w:rsidR="00410E5D" w:rsidTr="00D51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8" w:type="pct"/>
          </w:tcPr>
          <w:p w:rsidR="00410E5D" w:rsidRPr="00344C4E" w:rsidRDefault="00410E5D" w:rsidP="00D5162B">
            <w:pPr>
              <w:rPr>
                <w:b w:val="0"/>
              </w:rPr>
            </w:pPr>
            <w:r>
              <w:rPr>
                <w:b w:val="0"/>
              </w:rPr>
              <w:t>Department for Education</w:t>
            </w:r>
          </w:p>
        </w:tc>
        <w:tc>
          <w:tcPr>
            <w:tcW w:w="1451" w:type="pct"/>
          </w:tcPr>
          <w:p w:rsidR="00410E5D" w:rsidRDefault="00410E5D" w:rsidP="00D5162B">
            <w:pPr>
              <w:cnfStyle w:val="000000100000" w:firstRow="0" w:lastRow="0" w:firstColumn="0" w:lastColumn="0" w:oddVBand="0" w:evenVBand="0" w:oddHBand="1" w:evenHBand="0" w:firstRowFirstColumn="0" w:firstRowLastColumn="0" w:lastRowFirstColumn="0" w:lastRowLastColumn="0"/>
            </w:pPr>
            <w:r>
              <w:t>Early Years foundation stage profile results 2013-14 at national and LA level</w:t>
            </w:r>
          </w:p>
        </w:tc>
        <w:tc>
          <w:tcPr>
            <w:tcW w:w="2862" w:type="pct"/>
          </w:tcPr>
          <w:p w:rsidR="00410E5D" w:rsidRDefault="00410E5D" w:rsidP="00D5162B">
            <w:pPr>
              <w:cnfStyle w:val="000000100000" w:firstRow="0" w:lastRow="0" w:firstColumn="0" w:lastColumn="0" w:oddVBand="0" w:evenVBand="0" w:oddHBand="1" w:evenHBand="0" w:firstRowFirstColumn="0" w:firstRowLastColumn="0" w:lastRowFirstColumn="0" w:lastRowLastColumn="0"/>
            </w:pPr>
            <w:r w:rsidRPr="00344C4E">
              <w:t>https://www.gov.uk/government/statistics/early-years-foundation-stage-profile-results-2013-to-2014</w:t>
            </w:r>
          </w:p>
        </w:tc>
      </w:tr>
      <w:tr w:rsidR="00410E5D" w:rsidTr="00D5162B">
        <w:tc>
          <w:tcPr>
            <w:cnfStyle w:val="001000000000" w:firstRow="0" w:lastRow="0" w:firstColumn="1" w:lastColumn="0" w:oddVBand="0" w:evenVBand="0" w:oddHBand="0" w:evenHBand="0" w:firstRowFirstColumn="0" w:firstRowLastColumn="0" w:lastRowFirstColumn="0" w:lastRowLastColumn="0"/>
            <w:tcW w:w="688" w:type="pct"/>
          </w:tcPr>
          <w:p w:rsidR="00410E5D" w:rsidRDefault="00410E5D" w:rsidP="00D5162B">
            <w:pPr>
              <w:rPr>
                <w:b w:val="0"/>
              </w:rPr>
            </w:pPr>
            <w:r>
              <w:rPr>
                <w:b w:val="0"/>
              </w:rPr>
              <w:t>Department for Education</w:t>
            </w:r>
          </w:p>
        </w:tc>
        <w:tc>
          <w:tcPr>
            <w:tcW w:w="1451" w:type="pct"/>
          </w:tcPr>
          <w:p w:rsidR="00410E5D" w:rsidRDefault="00410E5D" w:rsidP="00D5162B">
            <w:pPr>
              <w:cnfStyle w:val="000000000000" w:firstRow="0" w:lastRow="0" w:firstColumn="0" w:lastColumn="0" w:oddVBand="0" w:evenVBand="0" w:oddHBand="0" w:evenHBand="0" w:firstRowFirstColumn="0" w:firstRowLastColumn="0" w:lastRowFirstColumn="0" w:lastRowLastColumn="0"/>
            </w:pPr>
            <w:r>
              <w:t>Special educational needs in England, January 2015. Information from the school census.</w:t>
            </w:r>
          </w:p>
        </w:tc>
        <w:tc>
          <w:tcPr>
            <w:tcW w:w="2862" w:type="pct"/>
          </w:tcPr>
          <w:p w:rsidR="00410E5D" w:rsidRPr="003141A0" w:rsidRDefault="00410E5D" w:rsidP="00D5162B">
            <w:pPr>
              <w:cnfStyle w:val="000000000000" w:firstRow="0" w:lastRow="0" w:firstColumn="0" w:lastColumn="0" w:oddVBand="0" w:evenVBand="0" w:oddHBand="0" w:evenHBand="0" w:firstRowFirstColumn="0" w:firstRowLastColumn="0" w:lastRowFirstColumn="0" w:lastRowLastColumn="0"/>
            </w:pPr>
            <w:r w:rsidRPr="007B4009">
              <w:t>https://www.gov.uk/government/statistics/special-educational-needs-in-england-january-2015</w:t>
            </w:r>
          </w:p>
        </w:tc>
      </w:tr>
      <w:tr w:rsidR="00410E5D" w:rsidTr="00D51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8" w:type="pct"/>
          </w:tcPr>
          <w:p w:rsidR="00410E5D" w:rsidRPr="00344C4E" w:rsidRDefault="00410E5D" w:rsidP="00D5162B">
            <w:pPr>
              <w:rPr>
                <w:b w:val="0"/>
              </w:rPr>
            </w:pPr>
            <w:r w:rsidRPr="00344C4E">
              <w:rPr>
                <w:b w:val="0"/>
              </w:rPr>
              <w:t>Department for Work and Pensions</w:t>
            </w:r>
          </w:p>
        </w:tc>
        <w:tc>
          <w:tcPr>
            <w:tcW w:w="1451" w:type="pct"/>
          </w:tcPr>
          <w:p w:rsidR="00410E5D" w:rsidRDefault="00410E5D" w:rsidP="00D5162B">
            <w:pPr>
              <w:cnfStyle w:val="000000100000" w:firstRow="0" w:lastRow="0" w:firstColumn="0" w:lastColumn="0" w:oddVBand="0" w:evenVBand="0" w:oddHBand="1" w:evenHBand="0" w:firstRowFirstColumn="0" w:firstRowLastColumn="0" w:lastRowFirstColumn="0" w:lastRowLastColumn="0"/>
            </w:pPr>
            <w:r>
              <w:t>Family Resources Survey – an annual report that provides facts and figures about the income and living circumstances of household and families in the UK</w:t>
            </w:r>
          </w:p>
        </w:tc>
        <w:tc>
          <w:tcPr>
            <w:tcW w:w="2862" w:type="pct"/>
          </w:tcPr>
          <w:p w:rsidR="00410E5D" w:rsidRDefault="00410E5D" w:rsidP="00D5162B">
            <w:pPr>
              <w:cnfStyle w:val="000000100000" w:firstRow="0" w:lastRow="0" w:firstColumn="0" w:lastColumn="0" w:oddVBand="0" w:evenVBand="0" w:oddHBand="1" w:evenHBand="0" w:firstRowFirstColumn="0" w:firstRowLastColumn="0" w:lastRowFirstColumn="0" w:lastRowLastColumn="0"/>
            </w:pPr>
            <w:r w:rsidRPr="00A52631">
              <w:t>https://www.gov.uk/government/collections/family-resources-survey--2</w:t>
            </w:r>
          </w:p>
        </w:tc>
      </w:tr>
      <w:tr w:rsidR="00410E5D" w:rsidTr="00D5162B">
        <w:tc>
          <w:tcPr>
            <w:cnfStyle w:val="001000000000" w:firstRow="0" w:lastRow="0" w:firstColumn="1" w:lastColumn="0" w:oddVBand="0" w:evenVBand="0" w:oddHBand="0" w:evenHBand="0" w:firstRowFirstColumn="0" w:firstRowLastColumn="0" w:lastRowFirstColumn="0" w:lastRowLastColumn="0"/>
            <w:tcW w:w="688" w:type="pct"/>
          </w:tcPr>
          <w:p w:rsidR="00410E5D" w:rsidRPr="00344C4E" w:rsidRDefault="00410E5D" w:rsidP="00D5162B">
            <w:pPr>
              <w:rPr>
                <w:b w:val="0"/>
              </w:rPr>
            </w:pPr>
            <w:r w:rsidRPr="00344C4E">
              <w:rPr>
                <w:b w:val="0"/>
              </w:rPr>
              <w:t>Health &amp; Social Care Information Centre (HSCIC)</w:t>
            </w:r>
          </w:p>
        </w:tc>
        <w:tc>
          <w:tcPr>
            <w:tcW w:w="1451" w:type="pct"/>
          </w:tcPr>
          <w:p w:rsidR="00410E5D" w:rsidRDefault="00410E5D" w:rsidP="00D5162B">
            <w:pPr>
              <w:cnfStyle w:val="000000000000" w:firstRow="0" w:lastRow="0" w:firstColumn="0" w:lastColumn="0" w:oddVBand="0" w:evenVBand="0" w:oddHBand="0" w:evenHBand="0" w:firstRowFirstColumn="0" w:firstRowLastColumn="0" w:lastRowFirstColumn="0" w:lastRowLastColumn="0"/>
            </w:pPr>
            <w:r>
              <w:t xml:space="preserve">Number of patients registered at a GP Practice by </w:t>
            </w:r>
            <w:r w:rsidRPr="00AC3AAE">
              <w:t xml:space="preserve"> single year of age (SYOA)</w:t>
            </w:r>
            <w:r>
              <w:t>, gender,</w:t>
            </w:r>
            <w:r w:rsidRPr="00AC3AAE">
              <w:t xml:space="preserve"> and </w:t>
            </w:r>
            <w:r>
              <w:t xml:space="preserve">in </w:t>
            </w:r>
            <w:r w:rsidRPr="00AC3AAE">
              <w:t>5-year age bands</w:t>
            </w:r>
          </w:p>
        </w:tc>
        <w:tc>
          <w:tcPr>
            <w:tcW w:w="2862" w:type="pct"/>
          </w:tcPr>
          <w:p w:rsidR="00410E5D" w:rsidRDefault="00410E5D" w:rsidP="00D5162B">
            <w:pPr>
              <w:cnfStyle w:val="000000000000" w:firstRow="0" w:lastRow="0" w:firstColumn="0" w:lastColumn="0" w:oddVBand="0" w:evenVBand="0" w:oddHBand="0" w:evenHBand="0" w:firstRowFirstColumn="0" w:firstRowLastColumn="0" w:lastRowFirstColumn="0" w:lastRowLastColumn="0"/>
            </w:pPr>
            <w:r w:rsidRPr="001B780D">
              <w:t>http://www.hscic.gov.uk/article/2021/Website-Search?productid=18318&amp;q=ccg+code&amp;sort=Relevance&amp;size=10&amp;page=1&amp;area=both#top</w:t>
            </w:r>
          </w:p>
        </w:tc>
      </w:tr>
      <w:tr w:rsidR="00410E5D" w:rsidTr="00D51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8" w:type="pct"/>
          </w:tcPr>
          <w:p w:rsidR="00410E5D" w:rsidRDefault="00410E5D" w:rsidP="00D5162B">
            <w:pPr>
              <w:rPr>
                <w:b w:val="0"/>
              </w:rPr>
            </w:pPr>
            <w:r>
              <w:rPr>
                <w:b w:val="0"/>
              </w:rPr>
              <w:t>HSCIC</w:t>
            </w:r>
          </w:p>
        </w:tc>
        <w:tc>
          <w:tcPr>
            <w:tcW w:w="1451" w:type="pct"/>
          </w:tcPr>
          <w:p w:rsidR="00410E5D" w:rsidRDefault="00410E5D" w:rsidP="00D5162B">
            <w:pPr>
              <w:cnfStyle w:val="000000100000" w:firstRow="0" w:lastRow="0" w:firstColumn="0" w:lastColumn="0" w:oddVBand="0" w:evenVBand="0" w:oddHBand="1" w:evenHBand="0" w:firstRowFirstColumn="0" w:firstRowLastColumn="0" w:lastRowFirstColumn="0" w:lastRowLastColumn="0"/>
            </w:pPr>
            <w:r>
              <w:t xml:space="preserve">Accident and Emergency Attendances </w:t>
            </w:r>
            <w:r>
              <w:lastRenderedPageBreak/>
              <w:t>in England 2012-13</w:t>
            </w:r>
          </w:p>
        </w:tc>
        <w:tc>
          <w:tcPr>
            <w:tcW w:w="2862" w:type="pct"/>
          </w:tcPr>
          <w:p w:rsidR="00410E5D" w:rsidRPr="003141A0" w:rsidRDefault="00410E5D" w:rsidP="00D5162B">
            <w:pPr>
              <w:cnfStyle w:val="000000100000" w:firstRow="0" w:lastRow="0" w:firstColumn="0" w:lastColumn="0" w:oddVBand="0" w:evenVBand="0" w:oddHBand="1" w:evenHBand="0" w:firstRowFirstColumn="0" w:firstRowLastColumn="0" w:lastRowFirstColumn="0" w:lastRowLastColumn="0"/>
            </w:pPr>
            <w:r w:rsidRPr="007B4009">
              <w:lastRenderedPageBreak/>
              <w:t>http://www.hscic.gov.uk/catalogue/PUB13464</w:t>
            </w:r>
          </w:p>
        </w:tc>
      </w:tr>
      <w:tr w:rsidR="00410E5D" w:rsidTr="00D5162B">
        <w:tc>
          <w:tcPr>
            <w:cnfStyle w:val="001000000000" w:firstRow="0" w:lastRow="0" w:firstColumn="1" w:lastColumn="0" w:oddVBand="0" w:evenVBand="0" w:oddHBand="0" w:evenHBand="0" w:firstRowFirstColumn="0" w:firstRowLastColumn="0" w:lastRowFirstColumn="0" w:lastRowLastColumn="0"/>
            <w:tcW w:w="688" w:type="pct"/>
          </w:tcPr>
          <w:p w:rsidR="00410E5D" w:rsidRDefault="00410E5D" w:rsidP="00D5162B">
            <w:pPr>
              <w:rPr>
                <w:b w:val="0"/>
              </w:rPr>
            </w:pPr>
            <w:r>
              <w:rPr>
                <w:b w:val="0"/>
              </w:rPr>
              <w:lastRenderedPageBreak/>
              <w:t>HSCIC</w:t>
            </w:r>
          </w:p>
        </w:tc>
        <w:tc>
          <w:tcPr>
            <w:tcW w:w="1451" w:type="pct"/>
          </w:tcPr>
          <w:p w:rsidR="00410E5D" w:rsidRDefault="00410E5D" w:rsidP="00D5162B">
            <w:pPr>
              <w:cnfStyle w:val="000000000000" w:firstRow="0" w:lastRow="0" w:firstColumn="0" w:lastColumn="0" w:oddVBand="0" w:evenVBand="0" w:oddHBand="0" w:evenHBand="0" w:firstRowFirstColumn="0" w:firstRowLastColumn="0" w:lastRowFirstColumn="0" w:lastRowLastColumn="0"/>
            </w:pPr>
            <w:r>
              <w:t>Health Survey for England 2011, Health, social care and lifestyles</w:t>
            </w:r>
          </w:p>
        </w:tc>
        <w:tc>
          <w:tcPr>
            <w:tcW w:w="2862" w:type="pct"/>
          </w:tcPr>
          <w:p w:rsidR="00410E5D" w:rsidRPr="003141A0" w:rsidRDefault="00410E5D" w:rsidP="00D5162B">
            <w:pPr>
              <w:cnfStyle w:val="000000000000" w:firstRow="0" w:lastRow="0" w:firstColumn="0" w:lastColumn="0" w:oddVBand="0" w:evenVBand="0" w:oddHBand="0" w:evenHBand="0" w:firstRowFirstColumn="0" w:firstRowLastColumn="0" w:lastRowFirstColumn="0" w:lastRowLastColumn="0"/>
            </w:pPr>
            <w:r w:rsidRPr="00407BE8">
              <w:t>http://www.hscic.gov.uk/catalogue/PUB09300</w:t>
            </w:r>
          </w:p>
        </w:tc>
      </w:tr>
      <w:tr w:rsidR="00410E5D" w:rsidTr="00D51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8" w:type="pct"/>
          </w:tcPr>
          <w:p w:rsidR="00410E5D" w:rsidRPr="00344C4E" w:rsidRDefault="00410E5D" w:rsidP="00D5162B">
            <w:pPr>
              <w:rPr>
                <w:b w:val="0"/>
              </w:rPr>
            </w:pPr>
            <w:r w:rsidRPr="00344C4E">
              <w:rPr>
                <w:b w:val="0"/>
              </w:rPr>
              <w:t>National Child and Maternal Health Intelligence Network (CHIMAT)</w:t>
            </w:r>
          </w:p>
        </w:tc>
        <w:tc>
          <w:tcPr>
            <w:tcW w:w="1451" w:type="pct"/>
          </w:tcPr>
          <w:p w:rsidR="00410E5D" w:rsidRDefault="00410E5D" w:rsidP="00D5162B">
            <w:pPr>
              <w:cnfStyle w:val="000000100000" w:firstRow="0" w:lastRow="0" w:firstColumn="0" w:lastColumn="0" w:oddVBand="0" w:evenVBand="0" w:oddHBand="1" w:evenHBand="0" w:firstRowFirstColumn="0" w:firstRowLastColumn="0" w:lastRowFirstColumn="0" w:lastRowLastColumn="0"/>
            </w:pPr>
            <w:r>
              <w:t>Child Health Profiles by LA and CCG</w:t>
            </w:r>
          </w:p>
        </w:tc>
        <w:tc>
          <w:tcPr>
            <w:tcW w:w="2862" w:type="pct"/>
          </w:tcPr>
          <w:p w:rsidR="00410E5D" w:rsidRDefault="00410E5D" w:rsidP="00D5162B">
            <w:pPr>
              <w:cnfStyle w:val="000000100000" w:firstRow="0" w:lastRow="0" w:firstColumn="0" w:lastColumn="0" w:oddVBand="0" w:evenVBand="0" w:oddHBand="1" w:evenHBand="0" w:firstRowFirstColumn="0" w:firstRowLastColumn="0" w:lastRowFirstColumn="0" w:lastRowLastColumn="0"/>
            </w:pPr>
            <w:r w:rsidRPr="00344C4E">
              <w:t>http://atlas.chimat.org.uk/IAS/dataviews/childhealthprofile</w:t>
            </w:r>
          </w:p>
        </w:tc>
      </w:tr>
      <w:tr w:rsidR="00410E5D" w:rsidTr="00D5162B">
        <w:tc>
          <w:tcPr>
            <w:cnfStyle w:val="001000000000" w:firstRow="0" w:lastRow="0" w:firstColumn="1" w:lastColumn="0" w:oddVBand="0" w:evenVBand="0" w:oddHBand="0" w:evenHBand="0" w:firstRowFirstColumn="0" w:firstRowLastColumn="0" w:lastRowFirstColumn="0" w:lastRowLastColumn="0"/>
            <w:tcW w:w="688" w:type="pct"/>
          </w:tcPr>
          <w:p w:rsidR="00410E5D" w:rsidRDefault="00410E5D" w:rsidP="00D5162B">
            <w:pPr>
              <w:rPr>
                <w:b w:val="0"/>
              </w:rPr>
            </w:pPr>
            <w:r>
              <w:rPr>
                <w:b w:val="0"/>
              </w:rPr>
              <w:t>NHS England</w:t>
            </w:r>
          </w:p>
        </w:tc>
        <w:tc>
          <w:tcPr>
            <w:tcW w:w="1451" w:type="pct"/>
          </w:tcPr>
          <w:p w:rsidR="00410E5D" w:rsidRDefault="00410E5D" w:rsidP="00D5162B">
            <w:pPr>
              <w:cnfStyle w:val="000000000000" w:firstRow="0" w:lastRow="0" w:firstColumn="0" w:lastColumn="0" w:oddVBand="0" w:evenVBand="0" w:oddHBand="0" w:evenHBand="0" w:firstRowFirstColumn="0" w:firstRowLastColumn="0" w:lastRowFirstColumn="0" w:lastRowLastColumn="0"/>
            </w:pPr>
            <w:r>
              <w:t>Commissioning for Value data packs and online tools for CCGs</w:t>
            </w:r>
          </w:p>
        </w:tc>
        <w:tc>
          <w:tcPr>
            <w:tcW w:w="2862" w:type="pct"/>
          </w:tcPr>
          <w:p w:rsidR="00410E5D" w:rsidRPr="003141A0" w:rsidRDefault="00410E5D" w:rsidP="00D5162B">
            <w:pPr>
              <w:cnfStyle w:val="000000000000" w:firstRow="0" w:lastRow="0" w:firstColumn="0" w:lastColumn="0" w:oddVBand="0" w:evenVBand="0" w:oddHBand="0" w:evenHBand="0" w:firstRowFirstColumn="0" w:firstRowLastColumn="0" w:lastRowFirstColumn="0" w:lastRowLastColumn="0"/>
            </w:pPr>
            <w:r w:rsidRPr="0073338A">
              <w:t>http://www.england.nhs.uk/resources/resources-for-ccgs/comm-for-value/</w:t>
            </w:r>
          </w:p>
        </w:tc>
      </w:tr>
      <w:tr w:rsidR="00410E5D" w:rsidTr="00D51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8" w:type="pct"/>
          </w:tcPr>
          <w:p w:rsidR="00410E5D" w:rsidRPr="00344C4E" w:rsidRDefault="00410E5D" w:rsidP="00D5162B">
            <w:pPr>
              <w:rPr>
                <w:b w:val="0"/>
              </w:rPr>
            </w:pPr>
            <w:r w:rsidRPr="00344C4E">
              <w:rPr>
                <w:b w:val="0"/>
              </w:rPr>
              <w:t>Office of National Statistics (ONS)</w:t>
            </w:r>
          </w:p>
        </w:tc>
        <w:tc>
          <w:tcPr>
            <w:tcW w:w="1451" w:type="pct"/>
          </w:tcPr>
          <w:p w:rsidR="00410E5D" w:rsidRDefault="00410E5D" w:rsidP="00D5162B">
            <w:pPr>
              <w:cnfStyle w:val="000000100000" w:firstRow="0" w:lastRow="0" w:firstColumn="0" w:lastColumn="0" w:oddVBand="0" w:evenVBand="0" w:oddHBand="1" w:evenHBand="0" w:firstRowFirstColumn="0" w:firstRowLastColumn="0" w:lastRowFirstColumn="0" w:lastRowLastColumn="0"/>
            </w:pPr>
            <w:r>
              <w:t>Population estimates</w:t>
            </w:r>
          </w:p>
        </w:tc>
        <w:tc>
          <w:tcPr>
            <w:tcW w:w="2862" w:type="pct"/>
          </w:tcPr>
          <w:p w:rsidR="00410E5D" w:rsidRDefault="00410E5D" w:rsidP="00D5162B">
            <w:pPr>
              <w:cnfStyle w:val="000000100000" w:firstRow="0" w:lastRow="0" w:firstColumn="0" w:lastColumn="0" w:oddVBand="0" w:evenVBand="0" w:oddHBand="1" w:evenHBand="0" w:firstRowFirstColumn="0" w:firstRowLastColumn="0" w:lastRowFirstColumn="0" w:lastRowLastColumn="0"/>
            </w:pPr>
            <w:r w:rsidRPr="00461335">
              <w:t>http://www.ons.gov.uk/ons/rel/pop-estimate/population-estimates-for-uk--england-and-wales--scotland-and-northern-ireland/2013/sty-population-estimates.html</w:t>
            </w:r>
          </w:p>
        </w:tc>
      </w:tr>
      <w:tr w:rsidR="00410E5D" w:rsidTr="00D5162B">
        <w:tc>
          <w:tcPr>
            <w:cnfStyle w:val="001000000000" w:firstRow="0" w:lastRow="0" w:firstColumn="1" w:lastColumn="0" w:oddVBand="0" w:evenVBand="0" w:oddHBand="0" w:evenHBand="0" w:firstRowFirstColumn="0" w:firstRowLastColumn="0" w:lastRowFirstColumn="0" w:lastRowLastColumn="0"/>
            <w:tcW w:w="688" w:type="pct"/>
          </w:tcPr>
          <w:p w:rsidR="00410E5D" w:rsidRPr="00344C4E" w:rsidRDefault="00410E5D" w:rsidP="00D5162B">
            <w:pPr>
              <w:rPr>
                <w:b w:val="0"/>
              </w:rPr>
            </w:pPr>
            <w:r>
              <w:rPr>
                <w:b w:val="0"/>
              </w:rPr>
              <w:t>Public Health England</w:t>
            </w:r>
          </w:p>
        </w:tc>
        <w:tc>
          <w:tcPr>
            <w:tcW w:w="1451" w:type="pct"/>
          </w:tcPr>
          <w:p w:rsidR="00410E5D" w:rsidRDefault="00410E5D" w:rsidP="00D5162B">
            <w:pPr>
              <w:cnfStyle w:val="000000000000" w:firstRow="0" w:lastRow="0" w:firstColumn="0" w:lastColumn="0" w:oddVBand="0" w:evenVBand="0" w:oddHBand="0" w:evenHBand="0" w:firstRowFirstColumn="0" w:firstRowLastColumn="0" w:lastRowFirstColumn="0" w:lastRowLastColumn="0"/>
            </w:pPr>
            <w:r>
              <w:t>Child Health Profile by LA</w:t>
            </w:r>
          </w:p>
        </w:tc>
        <w:tc>
          <w:tcPr>
            <w:tcW w:w="2862" w:type="pct"/>
          </w:tcPr>
          <w:p w:rsidR="00410E5D" w:rsidRDefault="00410E5D" w:rsidP="00D5162B">
            <w:pPr>
              <w:cnfStyle w:val="000000000000" w:firstRow="0" w:lastRow="0" w:firstColumn="0" w:lastColumn="0" w:oddVBand="0" w:evenVBand="0" w:oddHBand="0" w:evenHBand="0" w:firstRowFirstColumn="0" w:firstRowLastColumn="0" w:lastRowFirstColumn="0" w:lastRowLastColumn="0"/>
            </w:pPr>
            <w:r w:rsidRPr="003141A0">
              <w:t>http://atlas.chimat.org.uk/IAS/dataviews/report/fullpage?viewId=493&amp;reportId=535&amp;geoId=4&amp;geoReportId=4618</w:t>
            </w:r>
          </w:p>
        </w:tc>
      </w:tr>
      <w:tr w:rsidR="00410E5D" w:rsidTr="00D51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8" w:type="pct"/>
          </w:tcPr>
          <w:p w:rsidR="00410E5D" w:rsidRDefault="00410E5D" w:rsidP="00D5162B">
            <w:pPr>
              <w:rPr>
                <w:b w:val="0"/>
              </w:rPr>
            </w:pPr>
            <w:r>
              <w:rPr>
                <w:b w:val="0"/>
              </w:rPr>
              <w:t>Public Health England</w:t>
            </w:r>
          </w:p>
        </w:tc>
        <w:tc>
          <w:tcPr>
            <w:tcW w:w="1451" w:type="pct"/>
          </w:tcPr>
          <w:p w:rsidR="00410E5D" w:rsidRDefault="00410E5D" w:rsidP="00D5162B">
            <w:pPr>
              <w:cnfStyle w:val="000000100000" w:firstRow="0" w:lastRow="0" w:firstColumn="0" w:lastColumn="0" w:oddVBand="0" w:evenVBand="0" w:oddHBand="1" w:evenHBand="0" w:firstRowFirstColumn="0" w:firstRowLastColumn="0" w:lastRowFirstColumn="0" w:lastRowLastColumn="0"/>
            </w:pPr>
            <w:r>
              <w:t>Children and young people’s health benchmarking tool</w:t>
            </w:r>
          </w:p>
        </w:tc>
        <w:tc>
          <w:tcPr>
            <w:tcW w:w="2862" w:type="pct"/>
          </w:tcPr>
          <w:p w:rsidR="00410E5D" w:rsidRPr="003141A0" w:rsidRDefault="00410E5D" w:rsidP="00D5162B">
            <w:pPr>
              <w:cnfStyle w:val="000000100000" w:firstRow="0" w:lastRow="0" w:firstColumn="0" w:lastColumn="0" w:oddVBand="0" w:evenVBand="0" w:oddHBand="1" w:evenHBand="0" w:firstRowFirstColumn="0" w:firstRowLastColumn="0" w:lastRowFirstColumn="0" w:lastRowLastColumn="0"/>
            </w:pPr>
            <w:r w:rsidRPr="00407BE8">
              <w:t>http://fingertips.phe.org.uk/profile/cyphof</w:t>
            </w:r>
          </w:p>
        </w:tc>
      </w:tr>
      <w:tr w:rsidR="00410E5D" w:rsidTr="00D5162B">
        <w:tc>
          <w:tcPr>
            <w:cnfStyle w:val="001000000000" w:firstRow="0" w:lastRow="0" w:firstColumn="1" w:lastColumn="0" w:oddVBand="0" w:evenVBand="0" w:oddHBand="0" w:evenHBand="0" w:firstRowFirstColumn="0" w:firstRowLastColumn="0" w:lastRowFirstColumn="0" w:lastRowLastColumn="0"/>
            <w:tcW w:w="688" w:type="pct"/>
          </w:tcPr>
          <w:p w:rsidR="00410E5D" w:rsidRDefault="00410E5D" w:rsidP="00D5162B">
            <w:pPr>
              <w:rPr>
                <w:b w:val="0"/>
              </w:rPr>
            </w:pPr>
            <w:r>
              <w:rPr>
                <w:b w:val="0"/>
              </w:rPr>
              <w:t>Public Health England</w:t>
            </w:r>
          </w:p>
        </w:tc>
        <w:tc>
          <w:tcPr>
            <w:tcW w:w="1451" w:type="pct"/>
          </w:tcPr>
          <w:p w:rsidR="00410E5D" w:rsidRDefault="00410E5D" w:rsidP="00D5162B">
            <w:pPr>
              <w:cnfStyle w:val="000000000000" w:firstRow="0" w:lastRow="0" w:firstColumn="0" w:lastColumn="0" w:oddVBand="0" w:evenVBand="0" w:oddHBand="0" w:evenHBand="0" w:firstRowFirstColumn="0" w:firstRowLastColumn="0" w:lastRowFirstColumn="0" w:lastRowLastColumn="0"/>
            </w:pPr>
            <w:r>
              <w:t>Learning Disability Profiles</w:t>
            </w:r>
          </w:p>
        </w:tc>
        <w:tc>
          <w:tcPr>
            <w:tcW w:w="2862" w:type="pct"/>
          </w:tcPr>
          <w:p w:rsidR="00410E5D" w:rsidRPr="003141A0" w:rsidRDefault="00410E5D" w:rsidP="00D5162B">
            <w:pPr>
              <w:cnfStyle w:val="000000000000" w:firstRow="0" w:lastRow="0" w:firstColumn="0" w:lastColumn="0" w:oddVBand="0" w:evenVBand="0" w:oddHBand="0" w:evenHBand="0" w:firstRowFirstColumn="0" w:firstRowLastColumn="0" w:lastRowFirstColumn="0" w:lastRowLastColumn="0"/>
            </w:pPr>
            <w:r w:rsidRPr="0073338A">
              <w:t>http://fingertips.phe.org.uk/profile/learning-disabilities/data</w:t>
            </w:r>
          </w:p>
        </w:tc>
      </w:tr>
      <w:tr w:rsidR="00410E5D" w:rsidTr="00D51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8" w:type="pct"/>
          </w:tcPr>
          <w:p w:rsidR="00410E5D" w:rsidRDefault="00410E5D" w:rsidP="00D5162B">
            <w:pPr>
              <w:rPr>
                <w:b w:val="0"/>
              </w:rPr>
            </w:pPr>
            <w:r>
              <w:rPr>
                <w:b w:val="0"/>
              </w:rPr>
              <w:t>Public Health England/CHIMAT</w:t>
            </w:r>
          </w:p>
        </w:tc>
        <w:tc>
          <w:tcPr>
            <w:tcW w:w="1451" w:type="pct"/>
          </w:tcPr>
          <w:p w:rsidR="00410E5D" w:rsidRDefault="00410E5D" w:rsidP="00D5162B">
            <w:pPr>
              <w:cnfStyle w:val="000000100000" w:firstRow="0" w:lastRow="0" w:firstColumn="0" w:lastColumn="0" w:oddVBand="0" w:evenVBand="0" w:oddHBand="1" w:evenHBand="0" w:firstRowFirstColumn="0" w:firstRowLastColumn="0" w:lastRowFirstColumn="0" w:lastRowLastColumn="0"/>
            </w:pPr>
            <w:r>
              <w:t xml:space="preserve">Disease Management Information Toolkit: </w:t>
            </w:r>
            <w:r w:rsidRPr="00407BE8">
              <w:t>information at CCG level on emergency hospital admissions for patients aged under 19 years with a primary diagnosis of asthma, diabetes or epilepsy</w:t>
            </w:r>
            <w:r>
              <w:t>, including e</w:t>
            </w:r>
            <w:r w:rsidRPr="001F4C2B">
              <w:t>mergency admission rates, bed days and lengths of stay against a range of different comparators</w:t>
            </w:r>
            <w:r>
              <w:t>.</w:t>
            </w:r>
          </w:p>
        </w:tc>
        <w:tc>
          <w:tcPr>
            <w:tcW w:w="2862" w:type="pct"/>
          </w:tcPr>
          <w:p w:rsidR="00410E5D" w:rsidRPr="003141A0" w:rsidRDefault="00410E5D" w:rsidP="00D5162B">
            <w:pPr>
              <w:cnfStyle w:val="000000100000" w:firstRow="0" w:lastRow="0" w:firstColumn="0" w:lastColumn="0" w:oddVBand="0" w:evenVBand="0" w:oddHBand="1" w:evenHBand="0" w:firstRowFirstColumn="0" w:firstRowLastColumn="0" w:lastRowFirstColumn="0" w:lastRowLastColumn="0"/>
            </w:pPr>
            <w:r w:rsidRPr="00407BE8">
              <w:t>http://www.chimat.org.uk/default.aspx?QN=CHMTDMIT</w:t>
            </w:r>
          </w:p>
        </w:tc>
      </w:tr>
    </w:tbl>
    <w:p w:rsidR="00B31CA4" w:rsidRDefault="00B31CA4" w:rsidP="00B31CA4"/>
    <w:p w:rsidR="00D70AE2" w:rsidRDefault="00D70AE2">
      <w:pPr>
        <w:sectPr w:rsidR="00D70AE2" w:rsidSect="00D5162B">
          <w:pgSz w:w="16838" w:h="11906" w:orient="landscape"/>
          <w:pgMar w:top="1440" w:right="1440" w:bottom="1440" w:left="1440" w:header="708" w:footer="708" w:gutter="0"/>
          <w:cols w:space="708"/>
          <w:docGrid w:linePitch="360"/>
        </w:sectPr>
      </w:pPr>
    </w:p>
    <w:p w:rsidR="00D32D47" w:rsidRDefault="00D32D47" w:rsidP="00D32D47">
      <w:r w:rsidRPr="00CF23BE">
        <w:rPr>
          <w:b/>
        </w:rPr>
        <w:lastRenderedPageBreak/>
        <w:t>Key</w:t>
      </w:r>
      <w:r>
        <w:t>:</w:t>
      </w:r>
      <w:r>
        <w:tab/>
        <w:t>MC</w:t>
      </w:r>
      <w:r>
        <w:tab/>
      </w:r>
      <w:r>
        <w:tab/>
        <w:t>Medway Council</w:t>
      </w:r>
    </w:p>
    <w:p w:rsidR="00D32D47" w:rsidRDefault="00D32D47" w:rsidP="00D32D47">
      <w:r>
        <w:tab/>
        <w:t>MCCG</w:t>
      </w:r>
      <w:r>
        <w:tab/>
      </w:r>
      <w:r>
        <w:tab/>
        <w:t>Medway Clinical Commissioning Group</w:t>
      </w:r>
    </w:p>
    <w:p w:rsidR="001E29AA" w:rsidRDefault="001E29AA" w:rsidP="00D32D47">
      <w:r>
        <w:tab/>
        <w:t>MFT</w:t>
      </w:r>
      <w:r>
        <w:tab/>
      </w:r>
      <w:r>
        <w:tab/>
        <w:t>Medway Foundation Trust</w:t>
      </w:r>
    </w:p>
    <w:p w:rsidR="001E29AA" w:rsidRDefault="001E29AA" w:rsidP="00D32D47">
      <w:r>
        <w:tab/>
        <w:t>MCH</w:t>
      </w:r>
      <w:r>
        <w:tab/>
      </w:r>
      <w:r>
        <w:tab/>
        <w:t>Medway Community Healthcare</w:t>
      </w:r>
    </w:p>
    <w:p w:rsidR="000D788E" w:rsidRDefault="000D788E" w:rsidP="000D788E">
      <w:pPr>
        <w:ind w:firstLine="720"/>
      </w:pPr>
      <w:r>
        <w:t>NHSE</w:t>
      </w:r>
      <w:r>
        <w:tab/>
      </w:r>
      <w:r>
        <w:tab/>
        <w:t>National Health Service England</w:t>
      </w:r>
    </w:p>
    <w:p w:rsidR="00D32D47" w:rsidRDefault="00D32D47" w:rsidP="00D32D47">
      <w:r>
        <w:tab/>
      </w:r>
    </w:p>
    <w:p w:rsidR="00C83BC6" w:rsidRDefault="00AC534C" w:rsidP="00292F92">
      <w:pPr>
        <w:pStyle w:val="Heading1"/>
      </w:pPr>
      <w:bookmarkStart w:id="96" w:name="_Toc434938061"/>
      <w:r>
        <w:t xml:space="preserve">Appendix 4: </w:t>
      </w:r>
      <w:r w:rsidR="00D31594">
        <w:t xml:space="preserve">Services </w:t>
      </w:r>
      <w:r w:rsidR="00292F92">
        <w:t>in Medway</w:t>
      </w:r>
      <w:r w:rsidR="00D70AE2">
        <w:t xml:space="preserve"> for children and young people</w:t>
      </w:r>
      <w:r w:rsidR="00D31594">
        <w:t xml:space="preserve"> with long term conditions</w:t>
      </w:r>
      <w:r w:rsidR="000D788E">
        <w:t>/complex health needs</w:t>
      </w:r>
      <w:bookmarkEnd w:id="96"/>
    </w:p>
    <w:tbl>
      <w:tblPr>
        <w:tblStyle w:val="LightList-Accent1"/>
        <w:tblW w:w="0" w:type="auto"/>
        <w:tblLook w:val="04A0" w:firstRow="1" w:lastRow="0" w:firstColumn="1" w:lastColumn="0" w:noHBand="0" w:noVBand="1"/>
      </w:tblPr>
      <w:tblGrid>
        <w:gridCol w:w="2694"/>
        <w:gridCol w:w="5171"/>
        <w:gridCol w:w="1263"/>
        <w:gridCol w:w="1519"/>
        <w:gridCol w:w="1570"/>
        <w:gridCol w:w="1957"/>
      </w:tblGrid>
      <w:tr w:rsidR="00D31594" w:rsidRPr="00FC4469" w:rsidTr="00D3159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94" w:type="dxa"/>
            <w:vAlign w:val="center"/>
          </w:tcPr>
          <w:p w:rsidR="00D31594" w:rsidRDefault="00D31594" w:rsidP="00D31594">
            <w:pPr>
              <w:jc w:val="center"/>
            </w:pPr>
          </w:p>
          <w:p w:rsidR="00D31594" w:rsidRPr="00FC4469" w:rsidRDefault="00D31594" w:rsidP="00D31594">
            <w:pPr>
              <w:jc w:val="center"/>
            </w:pPr>
            <w:r w:rsidRPr="00FC4469">
              <w:t>Service</w:t>
            </w:r>
          </w:p>
        </w:tc>
        <w:tc>
          <w:tcPr>
            <w:tcW w:w="5171" w:type="dxa"/>
            <w:vAlign w:val="center"/>
          </w:tcPr>
          <w:p w:rsidR="00D31594" w:rsidRPr="00FC4469" w:rsidRDefault="00D31594" w:rsidP="00D31594">
            <w:pPr>
              <w:jc w:val="center"/>
              <w:cnfStyle w:val="100000000000" w:firstRow="1" w:lastRow="0" w:firstColumn="0" w:lastColumn="0" w:oddVBand="0" w:evenVBand="0" w:oddHBand="0" w:evenHBand="0" w:firstRowFirstColumn="0" w:firstRowLastColumn="0" w:lastRowFirstColumn="0" w:lastRowLastColumn="0"/>
            </w:pPr>
            <w:r w:rsidRPr="00FC4469">
              <w:t>Description</w:t>
            </w:r>
          </w:p>
        </w:tc>
        <w:tc>
          <w:tcPr>
            <w:tcW w:w="1263" w:type="dxa"/>
            <w:vAlign w:val="center"/>
          </w:tcPr>
          <w:p w:rsidR="00D31594" w:rsidRPr="00977922" w:rsidRDefault="00D31594" w:rsidP="00D31594">
            <w:pPr>
              <w:jc w:val="center"/>
              <w:cnfStyle w:val="100000000000" w:firstRow="1" w:lastRow="0" w:firstColumn="0" w:lastColumn="0" w:oddVBand="0" w:evenVBand="0" w:oddHBand="0" w:evenHBand="0" w:firstRowFirstColumn="0" w:firstRowLastColumn="0" w:lastRowFirstColumn="0" w:lastRowLastColumn="0"/>
            </w:pPr>
            <w:r w:rsidRPr="00977922">
              <w:t>Age range</w:t>
            </w:r>
          </w:p>
        </w:tc>
        <w:tc>
          <w:tcPr>
            <w:tcW w:w="1519" w:type="dxa"/>
            <w:vAlign w:val="center"/>
          </w:tcPr>
          <w:p w:rsidR="00D31594" w:rsidRPr="00FC4469" w:rsidRDefault="00D31594" w:rsidP="00D31594">
            <w:pPr>
              <w:jc w:val="center"/>
              <w:cnfStyle w:val="100000000000" w:firstRow="1" w:lastRow="0" w:firstColumn="0" w:lastColumn="0" w:oddVBand="0" w:evenVBand="0" w:oddHBand="0" w:evenHBand="0" w:firstRowFirstColumn="0" w:firstRowLastColumn="0" w:lastRowFirstColumn="0" w:lastRowLastColumn="0"/>
            </w:pPr>
            <w:r w:rsidRPr="00FC4469">
              <w:t>Universal, Targeted, Specialist?</w:t>
            </w:r>
          </w:p>
        </w:tc>
        <w:tc>
          <w:tcPr>
            <w:tcW w:w="1570" w:type="dxa"/>
            <w:vAlign w:val="center"/>
          </w:tcPr>
          <w:p w:rsidR="00D31594" w:rsidRPr="00FC4469" w:rsidRDefault="00D31594" w:rsidP="00D31594">
            <w:pPr>
              <w:jc w:val="center"/>
              <w:cnfStyle w:val="100000000000" w:firstRow="1" w:lastRow="0" w:firstColumn="0" w:lastColumn="0" w:oddVBand="0" w:evenVBand="0" w:oddHBand="0" w:evenHBand="0" w:firstRowFirstColumn="0" w:firstRowLastColumn="0" w:lastRowFirstColumn="0" w:lastRowLastColumn="0"/>
            </w:pPr>
            <w:r w:rsidRPr="00FC4469">
              <w:t>Provider</w:t>
            </w:r>
          </w:p>
        </w:tc>
        <w:tc>
          <w:tcPr>
            <w:tcW w:w="1957" w:type="dxa"/>
            <w:vAlign w:val="center"/>
          </w:tcPr>
          <w:p w:rsidR="00D31594" w:rsidRPr="00FC4469" w:rsidRDefault="00D31594" w:rsidP="00D31594">
            <w:pPr>
              <w:jc w:val="center"/>
              <w:cnfStyle w:val="100000000000" w:firstRow="1" w:lastRow="0" w:firstColumn="0" w:lastColumn="0" w:oddVBand="0" w:evenVBand="0" w:oddHBand="0" w:evenHBand="0" w:firstRowFirstColumn="0" w:firstRowLastColumn="0" w:lastRowFirstColumn="0" w:lastRowLastColumn="0"/>
            </w:pPr>
            <w:r w:rsidRPr="00FC4469">
              <w:t>Commissioner</w:t>
            </w:r>
          </w:p>
        </w:tc>
      </w:tr>
      <w:tr w:rsidR="00497378" w:rsidTr="00062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497378" w:rsidRDefault="00497378" w:rsidP="00F7756C">
            <w:r>
              <w:t>0 – 25 Disability Team</w:t>
            </w:r>
          </w:p>
        </w:tc>
        <w:tc>
          <w:tcPr>
            <w:tcW w:w="5171" w:type="dxa"/>
          </w:tcPr>
          <w:p w:rsidR="0085742A" w:rsidRDefault="00497378" w:rsidP="0085742A">
            <w:pPr>
              <w:cnfStyle w:val="000000100000" w:firstRow="0" w:lastRow="0" w:firstColumn="0" w:lastColumn="0" w:oddVBand="0" w:evenVBand="0" w:oddHBand="1" w:evenHBand="0" w:firstRowFirstColumn="0" w:firstRowLastColumn="0" w:lastRowFirstColumn="0" w:lastRowLastColumn="0"/>
            </w:pPr>
            <w:r>
              <w:t xml:space="preserve">Social work team working with children and young people who have </w:t>
            </w:r>
            <w:r w:rsidRPr="00497378">
              <w:t xml:space="preserve">a severe and profound learning, </w:t>
            </w:r>
            <w:r w:rsidR="00891F0D">
              <w:t>physical or sensory disability/</w:t>
            </w:r>
            <w:r w:rsidRPr="00497378">
              <w:t>l</w:t>
            </w:r>
            <w:r w:rsidR="00891F0D">
              <w:t>ong-term, complex medical needs/</w:t>
            </w:r>
            <w:r w:rsidRPr="00497378">
              <w:t>life-limiting or threatening illnesses</w:t>
            </w:r>
            <w:r w:rsidR="00DC1E8F">
              <w:t xml:space="preserve">. </w:t>
            </w:r>
            <w:r w:rsidR="006F3B7A">
              <w:t>Assessment and provision of social work support including n</w:t>
            </w:r>
            <w:r w:rsidR="00DC1E8F">
              <w:t>on-medical care including equipment for daily living, access to respite</w:t>
            </w:r>
            <w:r w:rsidR="0085742A">
              <w:t xml:space="preserve">. </w:t>
            </w:r>
          </w:p>
          <w:p w:rsidR="0085742A" w:rsidRDefault="0085742A" w:rsidP="0085742A">
            <w:pPr>
              <w:cnfStyle w:val="000000100000" w:firstRow="0" w:lastRow="0" w:firstColumn="0" w:lastColumn="0" w:oddVBand="0" w:evenVBand="0" w:oddHBand="1" w:evenHBand="0" w:firstRowFirstColumn="0" w:firstRowLastColumn="0" w:lastRowFirstColumn="0" w:lastRowLastColumn="0"/>
            </w:pPr>
            <w:r>
              <w:t>.</w:t>
            </w:r>
          </w:p>
          <w:p w:rsidR="00497378" w:rsidRDefault="0085742A" w:rsidP="0085742A">
            <w:pPr>
              <w:cnfStyle w:val="000000100000" w:firstRow="0" w:lastRow="0" w:firstColumn="0" w:lastColumn="0" w:oddVBand="0" w:evenVBand="0" w:oddHBand="1" w:evenHBand="0" w:firstRowFirstColumn="0" w:firstRowLastColumn="0" w:lastRowFirstColumn="0" w:lastRowLastColumn="0"/>
            </w:pPr>
            <w:r>
              <w:t xml:space="preserve">Many cases held within the Disability 0 – 25 Team are provided with direct payments and/or respite services only.  For these cases a decision has been made that reviews will be held on an annual basis instead of the current six monthly review.  These cases will be referred to as ‘Enablement’ and will not have an allocated social worker or regular social worker visits.  </w:t>
            </w:r>
          </w:p>
        </w:tc>
        <w:tc>
          <w:tcPr>
            <w:tcW w:w="1263" w:type="dxa"/>
          </w:tcPr>
          <w:p w:rsidR="00497378" w:rsidRDefault="00497378" w:rsidP="00842857">
            <w:pPr>
              <w:cnfStyle w:val="000000100000" w:firstRow="0" w:lastRow="0" w:firstColumn="0" w:lastColumn="0" w:oddVBand="0" w:evenVBand="0" w:oddHBand="1" w:evenHBand="0" w:firstRowFirstColumn="0" w:firstRowLastColumn="0" w:lastRowFirstColumn="0" w:lastRowLastColumn="0"/>
            </w:pPr>
            <w:r>
              <w:t>0 - 25</w:t>
            </w:r>
          </w:p>
        </w:tc>
        <w:tc>
          <w:tcPr>
            <w:tcW w:w="1519" w:type="dxa"/>
          </w:tcPr>
          <w:p w:rsidR="00497378" w:rsidRDefault="00497378" w:rsidP="00842857">
            <w:pPr>
              <w:cnfStyle w:val="000000100000" w:firstRow="0" w:lastRow="0" w:firstColumn="0" w:lastColumn="0" w:oddVBand="0" w:evenVBand="0" w:oddHBand="1" w:evenHBand="0" w:firstRowFirstColumn="0" w:firstRowLastColumn="0" w:lastRowFirstColumn="0" w:lastRowLastColumn="0"/>
            </w:pPr>
            <w:r>
              <w:t>S</w:t>
            </w:r>
          </w:p>
        </w:tc>
        <w:tc>
          <w:tcPr>
            <w:tcW w:w="1570" w:type="dxa"/>
          </w:tcPr>
          <w:p w:rsidR="00497378" w:rsidRDefault="00D32D47" w:rsidP="00842857">
            <w:pPr>
              <w:cnfStyle w:val="000000100000" w:firstRow="0" w:lastRow="0" w:firstColumn="0" w:lastColumn="0" w:oddVBand="0" w:evenVBand="0" w:oddHBand="1" w:evenHBand="0" w:firstRowFirstColumn="0" w:firstRowLastColumn="0" w:lastRowFirstColumn="0" w:lastRowLastColumn="0"/>
            </w:pPr>
            <w:r>
              <w:t>MC</w:t>
            </w:r>
          </w:p>
        </w:tc>
        <w:tc>
          <w:tcPr>
            <w:tcW w:w="1957" w:type="dxa"/>
          </w:tcPr>
          <w:p w:rsidR="00497378" w:rsidRDefault="00497378" w:rsidP="00842857">
            <w:pPr>
              <w:cnfStyle w:val="000000100000" w:firstRow="0" w:lastRow="0" w:firstColumn="0" w:lastColumn="0" w:oddVBand="0" w:evenVBand="0" w:oddHBand="1" w:evenHBand="0" w:firstRowFirstColumn="0" w:firstRowLastColumn="0" w:lastRowFirstColumn="0" w:lastRowLastColumn="0"/>
            </w:pPr>
            <w:r>
              <w:t>n/a</w:t>
            </w:r>
          </w:p>
        </w:tc>
      </w:tr>
      <w:tr w:rsidR="00D31594" w:rsidTr="000626D8">
        <w:tc>
          <w:tcPr>
            <w:cnfStyle w:val="001000000000" w:firstRow="0" w:lastRow="0" w:firstColumn="1" w:lastColumn="0" w:oddVBand="0" w:evenVBand="0" w:oddHBand="0" w:evenHBand="0" w:firstRowFirstColumn="0" w:firstRowLastColumn="0" w:lastRowFirstColumn="0" w:lastRowLastColumn="0"/>
            <w:tcW w:w="2694" w:type="dxa"/>
          </w:tcPr>
          <w:p w:rsidR="00D31594" w:rsidRDefault="003B3E43" w:rsidP="00F7756C">
            <w:r>
              <w:t>Acute specialisms</w:t>
            </w:r>
          </w:p>
        </w:tc>
        <w:tc>
          <w:tcPr>
            <w:tcW w:w="5171" w:type="dxa"/>
          </w:tcPr>
          <w:p w:rsidR="00D31594" w:rsidRPr="0017577F" w:rsidRDefault="00DC1E8F" w:rsidP="006A0E5C">
            <w:pPr>
              <w:cnfStyle w:val="000000000000" w:firstRow="0" w:lastRow="0" w:firstColumn="0" w:lastColumn="0" w:oddVBand="0" w:evenVBand="0" w:oddHBand="0" w:evenHBand="0" w:firstRowFirstColumn="0" w:firstRowLastColumn="0" w:lastRowFirstColumn="0" w:lastRowLastColumn="0"/>
            </w:pPr>
            <w:r>
              <w:t xml:space="preserve">Cardiology, ear, nose &amp; throat, </w:t>
            </w:r>
            <w:hyperlink w:anchor="endocrinology" w:history="1">
              <w:r w:rsidRPr="003A15C5">
                <w:rPr>
                  <w:rStyle w:val="Hyperlink"/>
                </w:rPr>
                <w:t>endocrinology</w:t>
              </w:r>
            </w:hyperlink>
            <w:r>
              <w:t xml:space="preserve">, gastroenterology, </w:t>
            </w:r>
            <w:hyperlink w:anchor="haemotology" w:history="1">
              <w:r w:rsidRPr="003A15C5">
                <w:rPr>
                  <w:rStyle w:val="Hyperlink"/>
                </w:rPr>
                <w:t>haematology</w:t>
              </w:r>
            </w:hyperlink>
            <w:r>
              <w:t>, immunology, metabolic disorders, nephrology, neurology, respiratory, rheumatology, paediatric surgery, urology</w:t>
            </w:r>
          </w:p>
        </w:tc>
        <w:tc>
          <w:tcPr>
            <w:tcW w:w="1263" w:type="dxa"/>
          </w:tcPr>
          <w:p w:rsidR="00D31594" w:rsidRDefault="003B3E43" w:rsidP="00842857">
            <w:pPr>
              <w:cnfStyle w:val="000000000000" w:firstRow="0" w:lastRow="0" w:firstColumn="0" w:lastColumn="0" w:oddVBand="0" w:evenVBand="0" w:oddHBand="0" w:evenHBand="0" w:firstRowFirstColumn="0" w:firstRowLastColumn="0" w:lastRowFirstColumn="0" w:lastRowLastColumn="0"/>
            </w:pPr>
            <w:r>
              <w:t>0 - 16</w:t>
            </w:r>
          </w:p>
        </w:tc>
        <w:tc>
          <w:tcPr>
            <w:tcW w:w="1519" w:type="dxa"/>
          </w:tcPr>
          <w:p w:rsidR="00D31594" w:rsidRDefault="003B3E43" w:rsidP="00842857">
            <w:pPr>
              <w:cnfStyle w:val="000000000000" w:firstRow="0" w:lastRow="0" w:firstColumn="0" w:lastColumn="0" w:oddVBand="0" w:evenVBand="0" w:oddHBand="0" w:evenHBand="0" w:firstRowFirstColumn="0" w:firstRowLastColumn="0" w:lastRowFirstColumn="0" w:lastRowLastColumn="0"/>
            </w:pPr>
            <w:r>
              <w:t>S</w:t>
            </w:r>
          </w:p>
        </w:tc>
        <w:tc>
          <w:tcPr>
            <w:tcW w:w="1570" w:type="dxa"/>
          </w:tcPr>
          <w:p w:rsidR="00D31594" w:rsidRDefault="003B3E43" w:rsidP="00842857">
            <w:pPr>
              <w:cnfStyle w:val="000000000000" w:firstRow="0" w:lastRow="0" w:firstColumn="0" w:lastColumn="0" w:oddVBand="0" w:evenVBand="0" w:oddHBand="0" w:evenHBand="0" w:firstRowFirstColumn="0" w:firstRowLastColumn="0" w:lastRowFirstColumn="0" w:lastRowLastColumn="0"/>
            </w:pPr>
            <w:r>
              <w:t>MFT</w:t>
            </w:r>
          </w:p>
        </w:tc>
        <w:tc>
          <w:tcPr>
            <w:tcW w:w="1957" w:type="dxa"/>
          </w:tcPr>
          <w:p w:rsidR="00D31594" w:rsidRDefault="003B3E43" w:rsidP="00842857">
            <w:pPr>
              <w:cnfStyle w:val="000000000000" w:firstRow="0" w:lastRow="0" w:firstColumn="0" w:lastColumn="0" w:oddVBand="0" w:evenVBand="0" w:oddHBand="0" w:evenHBand="0" w:firstRowFirstColumn="0" w:firstRowLastColumn="0" w:lastRowFirstColumn="0" w:lastRowLastColumn="0"/>
            </w:pPr>
            <w:r>
              <w:t>MCCG</w:t>
            </w:r>
          </w:p>
        </w:tc>
      </w:tr>
      <w:tr w:rsidR="00D31594" w:rsidRPr="00D70AE2" w:rsidTr="00062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D31594" w:rsidRDefault="00D31594" w:rsidP="00842857">
            <w:r>
              <w:t>Allergy clinic</w:t>
            </w:r>
          </w:p>
        </w:tc>
        <w:tc>
          <w:tcPr>
            <w:tcW w:w="5171" w:type="dxa"/>
          </w:tcPr>
          <w:p w:rsidR="00D31594" w:rsidRDefault="00D31594" w:rsidP="00842857">
            <w:pPr>
              <w:cnfStyle w:val="000000100000" w:firstRow="0" w:lastRow="0" w:firstColumn="0" w:lastColumn="0" w:oddVBand="0" w:evenVBand="0" w:oddHBand="1" w:evenHBand="0" w:firstRowFirstColumn="0" w:firstRowLastColumn="0" w:lastRowFirstColumn="0" w:lastRowLastColumn="0"/>
            </w:pPr>
            <w:r>
              <w:t xml:space="preserve">Only NHS allergy service in Kent. Weekly clinics </w:t>
            </w:r>
            <w:r>
              <w:lastRenderedPageBreak/>
              <w:t>for both adults and children.</w:t>
            </w:r>
          </w:p>
        </w:tc>
        <w:tc>
          <w:tcPr>
            <w:tcW w:w="1263" w:type="dxa"/>
          </w:tcPr>
          <w:p w:rsidR="00D31594" w:rsidRDefault="00D31594" w:rsidP="00842857">
            <w:pPr>
              <w:cnfStyle w:val="000000100000" w:firstRow="0" w:lastRow="0" w:firstColumn="0" w:lastColumn="0" w:oddVBand="0" w:evenVBand="0" w:oddHBand="1" w:evenHBand="0" w:firstRowFirstColumn="0" w:firstRowLastColumn="0" w:lastRowFirstColumn="0" w:lastRowLastColumn="0"/>
            </w:pPr>
            <w:r>
              <w:lastRenderedPageBreak/>
              <w:t>all</w:t>
            </w:r>
          </w:p>
        </w:tc>
        <w:tc>
          <w:tcPr>
            <w:tcW w:w="1519" w:type="dxa"/>
          </w:tcPr>
          <w:p w:rsidR="00D31594" w:rsidRDefault="00D31594" w:rsidP="00842857">
            <w:pPr>
              <w:cnfStyle w:val="000000100000" w:firstRow="0" w:lastRow="0" w:firstColumn="0" w:lastColumn="0" w:oddVBand="0" w:evenVBand="0" w:oddHBand="1" w:evenHBand="0" w:firstRowFirstColumn="0" w:firstRowLastColumn="0" w:lastRowFirstColumn="0" w:lastRowLastColumn="0"/>
            </w:pPr>
            <w:r>
              <w:t>T</w:t>
            </w:r>
          </w:p>
        </w:tc>
        <w:tc>
          <w:tcPr>
            <w:tcW w:w="1570" w:type="dxa"/>
          </w:tcPr>
          <w:p w:rsidR="00D31594" w:rsidRDefault="003B3E43" w:rsidP="00842857">
            <w:pPr>
              <w:cnfStyle w:val="000000100000" w:firstRow="0" w:lastRow="0" w:firstColumn="0" w:lastColumn="0" w:oddVBand="0" w:evenVBand="0" w:oddHBand="1" w:evenHBand="0" w:firstRowFirstColumn="0" w:firstRowLastColumn="0" w:lastRowFirstColumn="0" w:lastRowLastColumn="0"/>
            </w:pPr>
            <w:r>
              <w:t>MFT</w:t>
            </w:r>
          </w:p>
        </w:tc>
        <w:tc>
          <w:tcPr>
            <w:tcW w:w="1957" w:type="dxa"/>
          </w:tcPr>
          <w:p w:rsidR="00D31594" w:rsidRDefault="003B3E43" w:rsidP="00842857">
            <w:pPr>
              <w:cnfStyle w:val="000000100000" w:firstRow="0" w:lastRow="0" w:firstColumn="0" w:lastColumn="0" w:oddVBand="0" w:evenVBand="0" w:oddHBand="1" w:evenHBand="0" w:firstRowFirstColumn="0" w:firstRowLastColumn="0" w:lastRowFirstColumn="0" w:lastRowLastColumn="0"/>
            </w:pPr>
            <w:r>
              <w:t>MCCG</w:t>
            </w:r>
          </w:p>
        </w:tc>
      </w:tr>
      <w:tr w:rsidR="00D31594" w:rsidTr="000626D8">
        <w:tc>
          <w:tcPr>
            <w:cnfStyle w:val="001000000000" w:firstRow="0" w:lastRow="0" w:firstColumn="1" w:lastColumn="0" w:oddVBand="0" w:evenVBand="0" w:oddHBand="0" w:evenHBand="0" w:firstRowFirstColumn="0" w:firstRowLastColumn="0" w:lastRowFirstColumn="0" w:lastRowLastColumn="0"/>
            <w:tcW w:w="2694" w:type="dxa"/>
          </w:tcPr>
          <w:p w:rsidR="00D31594" w:rsidRDefault="00D31594" w:rsidP="00842857">
            <w:r>
              <w:lastRenderedPageBreak/>
              <w:t>Blood tests for children</w:t>
            </w:r>
          </w:p>
        </w:tc>
        <w:tc>
          <w:tcPr>
            <w:tcW w:w="5171" w:type="dxa"/>
          </w:tcPr>
          <w:p w:rsidR="00D31594" w:rsidRPr="0017577F" w:rsidRDefault="00D31594" w:rsidP="00842857">
            <w:pPr>
              <w:cnfStyle w:val="000000000000" w:firstRow="0" w:lastRow="0" w:firstColumn="0" w:lastColumn="0" w:oddVBand="0" w:evenVBand="0" w:oddHBand="0" w:evenHBand="0" w:firstRowFirstColumn="0" w:firstRowLastColumn="0" w:lastRowFirstColumn="0" w:lastRowLastColumn="0"/>
            </w:pPr>
            <w:r>
              <w:t>Drop in or booked appointment – latter preferred to avoid distressing child while waiting</w:t>
            </w:r>
          </w:p>
        </w:tc>
        <w:tc>
          <w:tcPr>
            <w:tcW w:w="1263" w:type="dxa"/>
          </w:tcPr>
          <w:p w:rsidR="00D31594" w:rsidRDefault="00D31594" w:rsidP="00842857">
            <w:pPr>
              <w:cnfStyle w:val="000000000000" w:firstRow="0" w:lastRow="0" w:firstColumn="0" w:lastColumn="0" w:oddVBand="0" w:evenVBand="0" w:oddHBand="0" w:evenHBand="0" w:firstRowFirstColumn="0" w:firstRowLastColumn="0" w:lastRowFirstColumn="0" w:lastRowLastColumn="0"/>
            </w:pPr>
          </w:p>
        </w:tc>
        <w:tc>
          <w:tcPr>
            <w:tcW w:w="1519" w:type="dxa"/>
          </w:tcPr>
          <w:p w:rsidR="00D31594" w:rsidRDefault="00D31594" w:rsidP="00E51B34">
            <w:pPr>
              <w:jc w:val="center"/>
              <w:cnfStyle w:val="000000000000" w:firstRow="0" w:lastRow="0" w:firstColumn="0" w:lastColumn="0" w:oddVBand="0" w:evenVBand="0" w:oddHBand="0" w:evenHBand="0" w:firstRowFirstColumn="0" w:firstRowLastColumn="0" w:lastRowFirstColumn="0" w:lastRowLastColumn="0"/>
            </w:pPr>
            <w:r>
              <w:t>T</w:t>
            </w:r>
          </w:p>
        </w:tc>
        <w:tc>
          <w:tcPr>
            <w:tcW w:w="1570" w:type="dxa"/>
          </w:tcPr>
          <w:p w:rsidR="00D31594" w:rsidRDefault="00D31594" w:rsidP="00842857">
            <w:pPr>
              <w:cnfStyle w:val="000000000000" w:firstRow="0" w:lastRow="0" w:firstColumn="0" w:lastColumn="0" w:oddVBand="0" w:evenVBand="0" w:oddHBand="0" w:evenHBand="0" w:firstRowFirstColumn="0" w:firstRowLastColumn="0" w:lastRowFirstColumn="0" w:lastRowLastColumn="0"/>
            </w:pPr>
            <w:r>
              <w:t>MCH</w:t>
            </w:r>
          </w:p>
        </w:tc>
        <w:tc>
          <w:tcPr>
            <w:tcW w:w="1957" w:type="dxa"/>
          </w:tcPr>
          <w:p w:rsidR="00D31594" w:rsidRDefault="003B3E43" w:rsidP="00842857">
            <w:pPr>
              <w:cnfStyle w:val="000000000000" w:firstRow="0" w:lastRow="0" w:firstColumn="0" w:lastColumn="0" w:oddVBand="0" w:evenVBand="0" w:oddHBand="0" w:evenHBand="0" w:firstRowFirstColumn="0" w:firstRowLastColumn="0" w:lastRowFirstColumn="0" w:lastRowLastColumn="0"/>
            </w:pPr>
            <w:r>
              <w:t>M</w:t>
            </w:r>
            <w:r w:rsidR="00D31594">
              <w:t>CCG</w:t>
            </w:r>
          </w:p>
        </w:tc>
      </w:tr>
      <w:tr w:rsidR="00D31594" w:rsidTr="00062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D31594" w:rsidRDefault="00D31594" w:rsidP="00842857">
            <w:r>
              <w:t>Children’s Emergency Department</w:t>
            </w:r>
          </w:p>
        </w:tc>
        <w:tc>
          <w:tcPr>
            <w:tcW w:w="5171" w:type="dxa"/>
          </w:tcPr>
          <w:p w:rsidR="00D31594" w:rsidRDefault="00D31594" w:rsidP="00DB3DC2">
            <w:pPr>
              <w:cnfStyle w:val="000000100000" w:firstRow="0" w:lastRow="0" w:firstColumn="0" w:lastColumn="0" w:oddVBand="0" w:evenVBand="0" w:oddHBand="1" w:evenHBand="0" w:firstRowFirstColumn="0" w:firstRowLastColumn="0" w:lastRowFirstColumn="0" w:lastRowLastColumn="0"/>
            </w:pPr>
            <w:r>
              <w:t>D</w:t>
            </w:r>
            <w:r w:rsidRPr="00DB3DC2">
              <w:t xml:space="preserve">edicated waiting </w:t>
            </w:r>
            <w:r>
              <w:t xml:space="preserve">and treatment area for children, </w:t>
            </w:r>
            <w:r w:rsidRPr="00DB3DC2">
              <w:t>open from 8am until midnight daily and staffed by children’s nurses with the support of A&amp;E doctors</w:t>
            </w:r>
          </w:p>
        </w:tc>
        <w:tc>
          <w:tcPr>
            <w:tcW w:w="1263" w:type="dxa"/>
          </w:tcPr>
          <w:p w:rsidR="00D31594" w:rsidRDefault="00D31594" w:rsidP="00842857">
            <w:pPr>
              <w:cnfStyle w:val="000000100000" w:firstRow="0" w:lastRow="0" w:firstColumn="0" w:lastColumn="0" w:oddVBand="0" w:evenVBand="0" w:oddHBand="1" w:evenHBand="0" w:firstRowFirstColumn="0" w:firstRowLastColumn="0" w:lastRowFirstColumn="0" w:lastRowLastColumn="0"/>
            </w:pPr>
            <w:r>
              <w:t>0 - 15</w:t>
            </w:r>
          </w:p>
        </w:tc>
        <w:tc>
          <w:tcPr>
            <w:tcW w:w="1519" w:type="dxa"/>
          </w:tcPr>
          <w:p w:rsidR="00D31594" w:rsidRDefault="00D31594" w:rsidP="00842857">
            <w:pPr>
              <w:cnfStyle w:val="000000100000" w:firstRow="0" w:lastRow="0" w:firstColumn="0" w:lastColumn="0" w:oddVBand="0" w:evenVBand="0" w:oddHBand="1" w:evenHBand="0" w:firstRowFirstColumn="0" w:firstRowLastColumn="0" w:lastRowFirstColumn="0" w:lastRowLastColumn="0"/>
            </w:pPr>
          </w:p>
        </w:tc>
        <w:tc>
          <w:tcPr>
            <w:tcW w:w="1570" w:type="dxa"/>
          </w:tcPr>
          <w:p w:rsidR="00D31594" w:rsidRDefault="00D31594" w:rsidP="00842857">
            <w:pPr>
              <w:cnfStyle w:val="000000100000" w:firstRow="0" w:lastRow="0" w:firstColumn="0" w:lastColumn="0" w:oddVBand="0" w:evenVBand="0" w:oddHBand="1" w:evenHBand="0" w:firstRowFirstColumn="0" w:firstRowLastColumn="0" w:lastRowFirstColumn="0" w:lastRowLastColumn="0"/>
            </w:pPr>
          </w:p>
        </w:tc>
        <w:tc>
          <w:tcPr>
            <w:tcW w:w="1957" w:type="dxa"/>
          </w:tcPr>
          <w:p w:rsidR="00D31594" w:rsidRDefault="00D31594" w:rsidP="00842857">
            <w:pPr>
              <w:cnfStyle w:val="000000100000" w:firstRow="0" w:lastRow="0" w:firstColumn="0" w:lastColumn="0" w:oddVBand="0" w:evenVBand="0" w:oddHBand="1" w:evenHBand="0" w:firstRowFirstColumn="0" w:firstRowLastColumn="0" w:lastRowFirstColumn="0" w:lastRowLastColumn="0"/>
            </w:pPr>
          </w:p>
        </w:tc>
      </w:tr>
      <w:tr w:rsidR="00D31594" w:rsidRPr="00D70AE2" w:rsidTr="000626D8">
        <w:tc>
          <w:tcPr>
            <w:cnfStyle w:val="001000000000" w:firstRow="0" w:lastRow="0" w:firstColumn="1" w:lastColumn="0" w:oddVBand="0" w:evenVBand="0" w:oddHBand="0" w:evenHBand="0" w:firstRowFirstColumn="0" w:firstRowLastColumn="0" w:lastRowFirstColumn="0" w:lastRowLastColumn="0"/>
            <w:tcW w:w="2694" w:type="dxa"/>
          </w:tcPr>
          <w:p w:rsidR="00D31594" w:rsidRPr="00D70AE2" w:rsidRDefault="00D31594" w:rsidP="00842857">
            <w:r>
              <w:t>Children’s Outreach and Specialist Team (</w:t>
            </w:r>
            <w:r w:rsidRPr="00D70AE2">
              <w:t>COaST</w:t>
            </w:r>
            <w:r>
              <w:t>)</w:t>
            </w:r>
          </w:p>
        </w:tc>
        <w:tc>
          <w:tcPr>
            <w:tcW w:w="5171" w:type="dxa"/>
          </w:tcPr>
          <w:p w:rsidR="00D31594" w:rsidRPr="00D70AE2" w:rsidRDefault="00D31594" w:rsidP="00842857">
            <w:pPr>
              <w:cnfStyle w:val="000000000000" w:firstRow="0" w:lastRow="0" w:firstColumn="0" w:lastColumn="0" w:oddVBand="0" w:evenVBand="0" w:oddHBand="0" w:evenHBand="0" w:firstRowFirstColumn="0" w:firstRowLastColumn="0" w:lastRowFirstColumn="0" w:lastRowLastColumn="0"/>
            </w:pPr>
            <w:r>
              <w:t>Hospital based team of specialist nurses providing a service to children with life limiting/life threatening/complex conditions in their own homes</w:t>
            </w:r>
          </w:p>
        </w:tc>
        <w:tc>
          <w:tcPr>
            <w:tcW w:w="1263" w:type="dxa"/>
          </w:tcPr>
          <w:p w:rsidR="00D31594" w:rsidRDefault="007935DD" w:rsidP="00842857">
            <w:pPr>
              <w:cnfStyle w:val="000000000000" w:firstRow="0" w:lastRow="0" w:firstColumn="0" w:lastColumn="0" w:oddVBand="0" w:evenVBand="0" w:oddHBand="0" w:evenHBand="0" w:firstRowFirstColumn="0" w:firstRowLastColumn="0" w:lastRowFirstColumn="0" w:lastRowLastColumn="0"/>
            </w:pPr>
            <w:r>
              <w:t>0-18</w:t>
            </w:r>
            <w:r w:rsidR="00A86AD4">
              <w:t xml:space="preserve"> (over 18 in some cases)</w:t>
            </w:r>
          </w:p>
        </w:tc>
        <w:tc>
          <w:tcPr>
            <w:tcW w:w="1519" w:type="dxa"/>
          </w:tcPr>
          <w:p w:rsidR="00D31594" w:rsidRPr="00D70AE2" w:rsidRDefault="00D31594" w:rsidP="00E51B34">
            <w:pPr>
              <w:jc w:val="center"/>
              <w:cnfStyle w:val="000000000000" w:firstRow="0" w:lastRow="0" w:firstColumn="0" w:lastColumn="0" w:oddVBand="0" w:evenVBand="0" w:oddHBand="0" w:evenHBand="0" w:firstRowFirstColumn="0" w:firstRowLastColumn="0" w:lastRowFirstColumn="0" w:lastRowLastColumn="0"/>
            </w:pPr>
            <w:r>
              <w:t>S</w:t>
            </w:r>
          </w:p>
        </w:tc>
        <w:tc>
          <w:tcPr>
            <w:tcW w:w="1570" w:type="dxa"/>
          </w:tcPr>
          <w:p w:rsidR="00D31594" w:rsidRPr="00D70AE2" w:rsidRDefault="00D31594" w:rsidP="00842857">
            <w:pPr>
              <w:cnfStyle w:val="000000000000" w:firstRow="0" w:lastRow="0" w:firstColumn="0" w:lastColumn="0" w:oddVBand="0" w:evenVBand="0" w:oddHBand="0" w:evenHBand="0" w:firstRowFirstColumn="0" w:firstRowLastColumn="0" w:lastRowFirstColumn="0" w:lastRowLastColumn="0"/>
            </w:pPr>
            <w:r>
              <w:t>MFT</w:t>
            </w:r>
          </w:p>
        </w:tc>
        <w:tc>
          <w:tcPr>
            <w:tcW w:w="1957" w:type="dxa"/>
          </w:tcPr>
          <w:p w:rsidR="00D31594" w:rsidRPr="00D70AE2" w:rsidRDefault="00D31594" w:rsidP="00842857">
            <w:pPr>
              <w:cnfStyle w:val="000000000000" w:firstRow="0" w:lastRow="0" w:firstColumn="0" w:lastColumn="0" w:oddVBand="0" w:evenVBand="0" w:oddHBand="0" w:evenHBand="0" w:firstRowFirstColumn="0" w:firstRowLastColumn="0" w:lastRowFirstColumn="0" w:lastRowLastColumn="0"/>
            </w:pPr>
            <w:r>
              <w:t>MCCG</w:t>
            </w:r>
          </w:p>
        </w:tc>
      </w:tr>
      <w:tr w:rsidR="00D31594" w:rsidTr="00062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D31594" w:rsidRPr="00D70AE2" w:rsidRDefault="00D31594" w:rsidP="00842857">
            <w:r>
              <w:t>Community Nursing Team for children and young people with learning disabilities</w:t>
            </w:r>
          </w:p>
        </w:tc>
        <w:tc>
          <w:tcPr>
            <w:tcW w:w="5171" w:type="dxa"/>
          </w:tcPr>
          <w:p w:rsidR="00D31594" w:rsidRDefault="003A15C5" w:rsidP="00842857">
            <w:pPr>
              <w:cnfStyle w:val="000000100000" w:firstRow="0" w:lastRow="0" w:firstColumn="0" w:lastColumn="0" w:oddVBand="0" w:evenVBand="0" w:oddHBand="1" w:evenHBand="0" w:firstRowFirstColumn="0" w:firstRowLastColumn="0" w:lastRowFirstColumn="0" w:lastRowLastColumn="0"/>
            </w:pPr>
            <w:r>
              <w:t>C</w:t>
            </w:r>
            <w:r w:rsidR="00D31594" w:rsidRPr="00977922">
              <w:t>ommunity nursing service for children and young</w:t>
            </w:r>
            <w:r w:rsidR="00C933DD">
              <w:t xml:space="preserve"> people </w:t>
            </w:r>
            <w:r w:rsidR="00D31594" w:rsidRPr="00977922">
              <w:t>who have been diagnosed with a moderate/severe or profound and multiple learning disabilities.</w:t>
            </w:r>
            <w:r w:rsidR="00D31594">
              <w:rPr>
                <w:rFonts w:eastAsia="MS Mincho" w:cs="Arial"/>
                <w:sz w:val="20"/>
                <w:szCs w:val="20"/>
                <w:lang w:val="en-US" w:eastAsia="ja-JP"/>
              </w:rPr>
              <w:t xml:space="preserve">  </w:t>
            </w:r>
          </w:p>
        </w:tc>
        <w:tc>
          <w:tcPr>
            <w:tcW w:w="1263" w:type="dxa"/>
          </w:tcPr>
          <w:p w:rsidR="00D31594" w:rsidRDefault="00D31594" w:rsidP="00842857">
            <w:pPr>
              <w:cnfStyle w:val="000000100000" w:firstRow="0" w:lastRow="0" w:firstColumn="0" w:lastColumn="0" w:oddVBand="0" w:evenVBand="0" w:oddHBand="1" w:evenHBand="0" w:firstRowFirstColumn="0" w:firstRowLastColumn="0" w:lastRowFirstColumn="0" w:lastRowLastColumn="0"/>
            </w:pPr>
            <w:r>
              <w:t>0 - 18</w:t>
            </w:r>
          </w:p>
        </w:tc>
        <w:tc>
          <w:tcPr>
            <w:tcW w:w="1519" w:type="dxa"/>
          </w:tcPr>
          <w:p w:rsidR="00D31594" w:rsidRDefault="007A5BEF" w:rsidP="007A5BEF">
            <w:pPr>
              <w:jc w:val="center"/>
              <w:cnfStyle w:val="000000100000" w:firstRow="0" w:lastRow="0" w:firstColumn="0" w:lastColumn="0" w:oddVBand="0" w:evenVBand="0" w:oddHBand="1" w:evenHBand="0" w:firstRowFirstColumn="0" w:firstRowLastColumn="0" w:lastRowFirstColumn="0" w:lastRowLastColumn="0"/>
            </w:pPr>
            <w:r>
              <w:t>S</w:t>
            </w:r>
          </w:p>
        </w:tc>
        <w:tc>
          <w:tcPr>
            <w:tcW w:w="1570" w:type="dxa"/>
          </w:tcPr>
          <w:p w:rsidR="00D31594" w:rsidRDefault="00D31594" w:rsidP="00842857">
            <w:pPr>
              <w:cnfStyle w:val="000000100000" w:firstRow="0" w:lastRow="0" w:firstColumn="0" w:lastColumn="0" w:oddVBand="0" w:evenVBand="0" w:oddHBand="1" w:evenHBand="0" w:firstRowFirstColumn="0" w:firstRowLastColumn="0" w:lastRowFirstColumn="0" w:lastRowLastColumn="0"/>
            </w:pPr>
            <w:r>
              <w:t>MFT</w:t>
            </w:r>
          </w:p>
        </w:tc>
        <w:tc>
          <w:tcPr>
            <w:tcW w:w="1957" w:type="dxa"/>
          </w:tcPr>
          <w:p w:rsidR="00D31594" w:rsidRDefault="003B3E43" w:rsidP="00842857">
            <w:pPr>
              <w:cnfStyle w:val="000000100000" w:firstRow="0" w:lastRow="0" w:firstColumn="0" w:lastColumn="0" w:oddVBand="0" w:evenVBand="0" w:oddHBand="1" w:evenHBand="0" w:firstRowFirstColumn="0" w:firstRowLastColumn="0" w:lastRowFirstColumn="0" w:lastRowLastColumn="0"/>
            </w:pPr>
            <w:r>
              <w:t>M</w:t>
            </w:r>
            <w:r w:rsidR="00D31594">
              <w:t>CCG</w:t>
            </w:r>
          </w:p>
        </w:tc>
      </w:tr>
      <w:tr w:rsidR="00D31594" w:rsidTr="000626D8">
        <w:tc>
          <w:tcPr>
            <w:cnfStyle w:val="001000000000" w:firstRow="0" w:lastRow="0" w:firstColumn="1" w:lastColumn="0" w:oddVBand="0" w:evenVBand="0" w:oddHBand="0" w:evenHBand="0" w:firstRowFirstColumn="0" w:firstRowLastColumn="0" w:lastRowFirstColumn="0" w:lastRowLastColumn="0"/>
            <w:tcW w:w="2694" w:type="dxa"/>
          </w:tcPr>
          <w:p w:rsidR="00D31594" w:rsidRDefault="00D31594" w:rsidP="00842857">
            <w:r>
              <w:t>Community Paediatrics</w:t>
            </w:r>
          </w:p>
        </w:tc>
        <w:tc>
          <w:tcPr>
            <w:tcW w:w="5171" w:type="dxa"/>
          </w:tcPr>
          <w:p w:rsidR="00D31594" w:rsidRDefault="00D31594" w:rsidP="00842857">
            <w:pPr>
              <w:cnfStyle w:val="000000000000" w:firstRow="0" w:lastRow="0" w:firstColumn="0" w:lastColumn="0" w:oddVBand="0" w:evenVBand="0" w:oddHBand="0" w:evenHBand="0" w:firstRowFirstColumn="0" w:firstRowLastColumn="0" w:lastRowFirstColumn="0" w:lastRowLastColumn="0"/>
            </w:pPr>
            <w:r>
              <w:t>Specialist child health assessment and diagnostic service; formulation of management plans, provision of the needs of patients with complex medical needs and multiple clinician involvement</w:t>
            </w:r>
          </w:p>
        </w:tc>
        <w:tc>
          <w:tcPr>
            <w:tcW w:w="1263" w:type="dxa"/>
          </w:tcPr>
          <w:p w:rsidR="00D31594" w:rsidRDefault="00D31594" w:rsidP="00864162">
            <w:pPr>
              <w:cnfStyle w:val="000000000000" w:firstRow="0" w:lastRow="0" w:firstColumn="0" w:lastColumn="0" w:oddVBand="0" w:evenVBand="0" w:oddHBand="0" w:evenHBand="0" w:firstRowFirstColumn="0" w:firstRowLastColumn="0" w:lastRowFirstColumn="0" w:lastRowLastColumn="0"/>
            </w:pPr>
            <w:r w:rsidRPr="004E2BA4">
              <w:t xml:space="preserve">First year of life to 18 years. </w:t>
            </w:r>
            <w:r>
              <w:t>U</w:t>
            </w:r>
            <w:r w:rsidRPr="004E2BA4">
              <w:t>p to age 19yrs if in a special school</w:t>
            </w:r>
          </w:p>
        </w:tc>
        <w:tc>
          <w:tcPr>
            <w:tcW w:w="1519" w:type="dxa"/>
          </w:tcPr>
          <w:p w:rsidR="00D31594" w:rsidRDefault="007935DD" w:rsidP="00E51B34">
            <w:pPr>
              <w:jc w:val="center"/>
              <w:cnfStyle w:val="000000000000" w:firstRow="0" w:lastRow="0" w:firstColumn="0" w:lastColumn="0" w:oddVBand="0" w:evenVBand="0" w:oddHBand="0" w:evenHBand="0" w:firstRowFirstColumn="0" w:firstRowLastColumn="0" w:lastRowFirstColumn="0" w:lastRowLastColumn="0"/>
            </w:pPr>
            <w:r>
              <w:t>T,S</w:t>
            </w:r>
          </w:p>
        </w:tc>
        <w:tc>
          <w:tcPr>
            <w:tcW w:w="1570" w:type="dxa"/>
          </w:tcPr>
          <w:p w:rsidR="00D31594" w:rsidRDefault="007935DD" w:rsidP="00842857">
            <w:pPr>
              <w:cnfStyle w:val="000000000000" w:firstRow="0" w:lastRow="0" w:firstColumn="0" w:lastColumn="0" w:oddVBand="0" w:evenVBand="0" w:oddHBand="0" w:evenHBand="0" w:firstRowFirstColumn="0" w:firstRowLastColumn="0" w:lastRowFirstColumn="0" w:lastRowLastColumn="0"/>
            </w:pPr>
            <w:r>
              <w:t>MFT</w:t>
            </w:r>
          </w:p>
        </w:tc>
        <w:tc>
          <w:tcPr>
            <w:tcW w:w="1957" w:type="dxa"/>
          </w:tcPr>
          <w:p w:rsidR="00D31594" w:rsidRDefault="007935DD" w:rsidP="00842857">
            <w:pPr>
              <w:cnfStyle w:val="000000000000" w:firstRow="0" w:lastRow="0" w:firstColumn="0" w:lastColumn="0" w:oddVBand="0" w:evenVBand="0" w:oddHBand="0" w:evenHBand="0" w:firstRowFirstColumn="0" w:firstRowLastColumn="0" w:lastRowFirstColumn="0" w:lastRowLastColumn="0"/>
            </w:pPr>
            <w:r>
              <w:t>MCCG</w:t>
            </w:r>
          </w:p>
        </w:tc>
      </w:tr>
      <w:tr w:rsidR="00D31594" w:rsidTr="00062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D31594" w:rsidRDefault="00D31594" w:rsidP="00842857">
            <w:r>
              <w:t>Continence advisor</w:t>
            </w:r>
          </w:p>
        </w:tc>
        <w:tc>
          <w:tcPr>
            <w:tcW w:w="5171" w:type="dxa"/>
          </w:tcPr>
          <w:p w:rsidR="00D31594" w:rsidRPr="0017577F" w:rsidRDefault="00D31594" w:rsidP="004F2BC5">
            <w:pPr>
              <w:cnfStyle w:val="000000100000" w:firstRow="0" w:lastRow="0" w:firstColumn="0" w:lastColumn="0" w:oddVBand="0" w:evenVBand="0" w:oddHBand="1" w:evenHBand="0" w:firstRowFirstColumn="0" w:firstRowLastColumn="0" w:lastRowFirstColumn="0" w:lastRowLastColumn="0"/>
            </w:pPr>
            <w:r w:rsidRPr="0050606A">
              <w:t xml:space="preserve">The continence advisor is able provide support to children over the age of four with bladder or bowel dysfunction. </w:t>
            </w:r>
            <w:r w:rsidR="004F2BC5" w:rsidRPr="0050606A">
              <w:t xml:space="preserve">Promote </w:t>
            </w:r>
            <w:r w:rsidRPr="0050606A">
              <w:t xml:space="preserve">continence and manage incontinence by providing written information, education, treatment, management and support to children, their families and to staff responsible for their care. </w:t>
            </w:r>
            <w:r>
              <w:t>(</w:t>
            </w:r>
            <w:r w:rsidRPr="0050606A">
              <w:t>health visitors are able to provide advice and support for children under four</w:t>
            </w:r>
            <w:r>
              <w:t>)</w:t>
            </w:r>
          </w:p>
        </w:tc>
        <w:tc>
          <w:tcPr>
            <w:tcW w:w="1263" w:type="dxa"/>
          </w:tcPr>
          <w:p w:rsidR="00D31594" w:rsidRDefault="00C743F8" w:rsidP="00842857">
            <w:pPr>
              <w:cnfStyle w:val="000000100000" w:firstRow="0" w:lastRow="0" w:firstColumn="0" w:lastColumn="0" w:oddVBand="0" w:evenVBand="0" w:oddHBand="1" w:evenHBand="0" w:firstRowFirstColumn="0" w:firstRowLastColumn="0" w:lastRowFirstColumn="0" w:lastRowLastColumn="0"/>
            </w:pPr>
            <w:r>
              <w:t>4+</w:t>
            </w:r>
          </w:p>
        </w:tc>
        <w:tc>
          <w:tcPr>
            <w:tcW w:w="1519" w:type="dxa"/>
          </w:tcPr>
          <w:p w:rsidR="00D31594" w:rsidRDefault="00D31594" w:rsidP="00E51B34">
            <w:pPr>
              <w:jc w:val="center"/>
              <w:cnfStyle w:val="000000100000" w:firstRow="0" w:lastRow="0" w:firstColumn="0" w:lastColumn="0" w:oddVBand="0" w:evenVBand="0" w:oddHBand="1" w:evenHBand="0" w:firstRowFirstColumn="0" w:firstRowLastColumn="0" w:lastRowFirstColumn="0" w:lastRowLastColumn="0"/>
            </w:pPr>
            <w:r>
              <w:t>T</w:t>
            </w:r>
          </w:p>
        </w:tc>
        <w:tc>
          <w:tcPr>
            <w:tcW w:w="1570" w:type="dxa"/>
          </w:tcPr>
          <w:p w:rsidR="00D31594" w:rsidRDefault="00D31594" w:rsidP="00842857">
            <w:pPr>
              <w:cnfStyle w:val="000000100000" w:firstRow="0" w:lastRow="0" w:firstColumn="0" w:lastColumn="0" w:oddVBand="0" w:evenVBand="0" w:oddHBand="1" w:evenHBand="0" w:firstRowFirstColumn="0" w:firstRowLastColumn="0" w:lastRowFirstColumn="0" w:lastRowLastColumn="0"/>
            </w:pPr>
            <w:r>
              <w:t>MCH</w:t>
            </w:r>
          </w:p>
        </w:tc>
        <w:tc>
          <w:tcPr>
            <w:tcW w:w="1957" w:type="dxa"/>
          </w:tcPr>
          <w:p w:rsidR="00D31594" w:rsidRDefault="00D31594" w:rsidP="00842857">
            <w:pPr>
              <w:cnfStyle w:val="000000100000" w:firstRow="0" w:lastRow="0" w:firstColumn="0" w:lastColumn="0" w:oddVBand="0" w:evenVBand="0" w:oddHBand="1" w:evenHBand="0" w:firstRowFirstColumn="0" w:firstRowLastColumn="0" w:lastRowFirstColumn="0" w:lastRowLastColumn="0"/>
            </w:pPr>
            <w:r>
              <w:t>MCCG</w:t>
            </w:r>
          </w:p>
        </w:tc>
      </w:tr>
      <w:tr w:rsidR="00D31594" w:rsidTr="000626D8">
        <w:tc>
          <w:tcPr>
            <w:cnfStyle w:val="001000000000" w:firstRow="0" w:lastRow="0" w:firstColumn="1" w:lastColumn="0" w:oddVBand="0" w:evenVBand="0" w:oddHBand="0" w:evenHBand="0" w:firstRowFirstColumn="0" w:firstRowLastColumn="0" w:lastRowFirstColumn="0" w:lastRowLastColumn="0"/>
            <w:tcW w:w="2694" w:type="dxa"/>
          </w:tcPr>
          <w:p w:rsidR="00D31594" w:rsidRDefault="00D31594" w:rsidP="00842857">
            <w:r>
              <w:t>Dermatology</w:t>
            </w:r>
          </w:p>
        </w:tc>
        <w:tc>
          <w:tcPr>
            <w:tcW w:w="5171" w:type="dxa"/>
          </w:tcPr>
          <w:p w:rsidR="00D31594" w:rsidRPr="0017577F" w:rsidRDefault="007935DD" w:rsidP="000903DF">
            <w:pPr>
              <w:cnfStyle w:val="000000000000" w:firstRow="0" w:lastRow="0" w:firstColumn="0" w:lastColumn="0" w:oddVBand="0" w:evenVBand="0" w:oddHBand="0" w:evenHBand="0" w:firstRowFirstColumn="0" w:firstRowLastColumn="0" w:lastRowFirstColumn="0" w:lastRowLastColumn="0"/>
            </w:pPr>
            <w:r>
              <w:t xml:space="preserve">Dermatology clinics for </w:t>
            </w:r>
            <w:r w:rsidR="00F331A4">
              <w:t>adults and children with e</w:t>
            </w:r>
            <w:r w:rsidR="00D31594">
              <w:t xml:space="preserve">czema, psoriasis, acne, solar keratosis, long </w:t>
            </w:r>
            <w:r w:rsidR="00D31594">
              <w:lastRenderedPageBreak/>
              <w:t>standing warts and verrucas. Diagnostic biopsies and cryo surgery are also undertaken.</w:t>
            </w:r>
          </w:p>
        </w:tc>
        <w:tc>
          <w:tcPr>
            <w:tcW w:w="1263" w:type="dxa"/>
          </w:tcPr>
          <w:p w:rsidR="00D31594" w:rsidRDefault="007935DD" w:rsidP="00842857">
            <w:pPr>
              <w:cnfStyle w:val="000000000000" w:firstRow="0" w:lastRow="0" w:firstColumn="0" w:lastColumn="0" w:oddVBand="0" w:evenVBand="0" w:oddHBand="0" w:evenHBand="0" w:firstRowFirstColumn="0" w:firstRowLastColumn="0" w:lastRowFirstColumn="0" w:lastRowLastColumn="0"/>
            </w:pPr>
            <w:r>
              <w:lastRenderedPageBreak/>
              <w:t>All</w:t>
            </w:r>
          </w:p>
        </w:tc>
        <w:tc>
          <w:tcPr>
            <w:tcW w:w="1519" w:type="dxa"/>
          </w:tcPr>
          <w:p w:rsidR="00D31594" w:rsidRDefault="00D31594" w:rsidP="00E51B34">
            <w:pPr>
              <w:jc w:val="center"/>
              <w:cnfStyle w:val="000000000000" w:firstRow="0" w:lastRow="0" w:firstColumn="0" w:lastColumn="0" w:oddVBand="0" w:evenVBand="0" w:oddHBand="0" w:evenHBand="0" w:firstRowFirstColumn="0" w:firstRowLastColumn="0" w:lastRowFirstColumn="0" w:lastRowLastColumn="0"/>
            </w:pPr>
            <w:r>
              <w:t>T</w:t>
            </w:r>
            <w:r w:rsidR="00142020">
              <w:t>,</w:t>
            </w:r>
            <w:r>
              <w:t>S</w:t>
            </w:r>
          </w:p>
        </w:tc>
        <w:tc>
          <w:tcPr>
            <w:tcW w:w="1570" w:type="dxa"/>
          </w:tcPr>
          <w:p w:rsidR="00D31594" w:rsidRDefault="00D31594" w:rsidP="00842857">
            <w:pPr>
              <w:cnfStyle w:val="000000000000" w:firstRow="0" w:lastRow="0" w:firstColumn="0" w:lastColumn="0" w:oddVBand="0" w:evenVBand="0" w:oddHBand="0" w:evenHBand="0" w:firstRowFirstColumn="0" w:firstRowLastColumn="0" w:lastRowFirstColumn="0" w:lastRowLastColumn="0"/>
            </w:pPr>
            <w:r>
              <w:t>MCH</w:t>
            </w:r>
          </w:p>
        </w:tc>
        <w:tc>
          <w:tcPr>
            <w:tcW w:w="1957" w:type="dxa"/>
          </w:tcPr>
          <w:p w:rsidR="00D31594" w:rsidRDefault="003B3E43" w:rsidP="00842857">
            <w:pPr>
              <w:cnfStyle w:val="000000000000" w:firstRow="0" w:lastRow="0" w:firstColumn="0" w:lastColumn="0" w:oddVBand="0" w:evenVBand="0" w:oddHBand="0" w:evenHBand="0" w:firstRowFirstColumn="0" w:firstRowLastColumn="0" w:lastRowFirstColumn="0" w:lastRowLastColumn="0"/>
            </w:pPr>
            <w:r>
              <w:t>M</w:t>
            </w:r>
            <w:r w:rsidR="00D31594">
              <w:t>CCG</w:t>
            </w:r>
          </w:p>
        </w:tc>
      </w:tr>
      <w:tr w:rsidR="00D31594" w:rsidTr="00062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D31594" w:rsidRDefault="00D31594" w:rsidP="00842857">
            <w:r>
              <w:lastRenderedPageBreak/>
              <w:t>Dermatology</w:t>
            </w:r>
          </w:p>
        </w:tc>
        <w:tc>
          <w:tcPr>
            <w:tcW w:w="5171" w:type="dxa"/>
          </w:tcPr>
          <w:p w:rsidR="00D31594" w:rsidRDefault="00385C06" w:rsidP="00F331A4">
            <w:pPr>
              <w:cnfStyle w:val="000000100000" w:firstRow="0" w:lastRow="0" w:firstColumn="0" w:lastColumn="0" w:oddVBand="0" w:evenVBand="0" w:oddHBand="1" w:evenHBand="0" w:firstRowFirstColumn="0" w:firstRowLastColumn="0" w:lastRowFirstColumn="0" w:lastRowLastColumn="0"/>
            </w:pPr>
            <w:r w:rsidRPr="00385C06">
              <w:t>The dermatology department offers a full range of dermatology services in a purpose built, dedicated unit, run by a team of specialist clinicians</w:t>
            </w:r>
            <w:r w:rsidR="00F331A4">
              <w:t xml:space="preserve"> – includes p</w:t>
            </w:r>
            <w:r w:rsidR="00D31594">
              <w:t>aediatric clinic</w:t>
            </w:r>
          </w:p>
        </w:tc>
        <w:tc>
          <w:tcPr>
            <w:tcW w:w="1263" w:type="dxa"/>
          </w:tcPr>
          <w:p w:rsidR="00D31594" w:rsidRDefault="000F39D7" w:rsidP="00842857">
            <w:pPr>
              <w:cnfStyle w:val="000000100000" w:firstRow="0" w:lastRow="0" w:firstColumn="0" w:lastColumn="0" w:oddVBand="0" w:evenVBand="0" w:oddHBand="1" w:evenHBand="0" w:firstRowFirstColumn="0" w:firstRowLastColumn="0" w:lastRowFirstColumn="0" w:lastRowLastColumn="0"/>
            </w:pPr>
            <w:r>
              <w:t>All</w:t>
            </w:r>
          </w:p>
        </w:tc>
        <w:tc>
          <w:tcPr>
            <w:tcW w:w="1519" w:type="dxa"/>
          </w:tcPr>
          <w:p w:rsidR="00D31594" w:rsidRDefault="00142020" w:rsidP="00E51B34">
            <w:pPr>
              <w:jc w:val="center"/>
              <w:cnfStyle w:val="000000100000" w:firstRow="0" w:lastRow="0" w:firstColumn="0" w:lastColumn="0" w:oddVBand="0" w:evenVBand="0" w:oddHBand="1" w:evenHBand="0" w:firstRowFirstColumn="0" w:firstRowLastColumn="0" w:lastRowFirstColumn="0" w:lastRowLastColumn="0"/>
            </w:pPr>
            <w:r>
              <w:t>T,</w:t>
            </w:r>
            <w:r w:rsidR="00D31594">
              <w:t>S</w:t>
            </w:r>
          </w:p>
        </w:tc>
        <w:tc>
          <w:tcPr>
            <w:tcW w:w="1570" w:type="dxa"/>
          </w:tcPr>
          <w:p w:rsidR="00D31594" w:rsidRDefault="00D31594" w:rsidP="00842857">
            <w:pPr>
              <w:cnfStyle w:val="000000100000" w:firstRow="0" w:lastRow="0" w:firstColumn="0" w:lastColumn="0" w:oddVBand="0" w:evenVBand="0" w:oddHBand="1" w:evenHBand="0" w:firstRowFirstColumn="0" w:firstRowLastColumn="0" w:lastRowFirstColumn="0" w:lastRowLastColumn="0"/>
            </w:pPr>
            <w:r>
              <w:t>MFT</w:t>
            </w:r>
          </w:p>
        </w:tc>
        <w:tc>
          <w:tcPr>
            <w:tcW w:w="1957" w:type="dxa"/>
          </w:tcPr>
          <w:p w:rsidR="00D31594" w:rsidRDefault="003B3E43" w:rsidP="00842857">
            <w:pPr>
              <w:cnfStyle w:val="000000100000" w:firstRow="0" w:lastRow="0" w:firstColumn="0" w:lastColumn="0" w:oddVBand="0" w:evenVBand="0" w:oddHBand="1" w:evenHBand="0" w:firstRowFirstColumn="0" w:firstRowLastColumn="0" w:lastRowFirstColumn="0" w:lastRowLastColumn="0"/>
            </w:pPr>
            <w:r>
              <w:t>M</w:t>
            </w:r>
            <w:r w:rsidR="00D31594">
              <w:t>CCG</w:t>
            </w:r>
          </w:p>
        </w:tc>
      </w:tr>
      <w:tr w:rsidR="000F39D7" w:rsidTr="000626D8">
        <w:tc>
          <w:tcPr>
            <w:cnfStyle w:val="001000000000" w:firstRow="0" w:lastRow="0" w:firstColumn="1" w:lastColumn="0" w:oddVBand="0" w:evenVBand="0" w:oddHBand="0" w:evenHBand="0" w:firstRowFirstColumn="0" w:firstRowLastColumn="0" w:lastRowFirstColumn="0" w:lastRowLastColumn="0"/>
            <w:tcW w:w="2694" w:type="dxa"/>
          </w:tcPr>
          <w:p w:rsidR="000F39D7" w:rsidRDefault="000F39D7" w:rsidP="00842857">
            <w:r w:rsidRPr="000F39D7">
              <w:t>Educational Child and Community Psychology Service (ECCPS)</w:t>
            </w:r>
          </w:p>
        </w:tc>
        <w:tc>
          <w:tcPr>
            <w:tcW w:w="5171" w:type="dxa"/>
          </w:tcPr>
          <w:p w:rsidR="000F39D7" w:rsidRDefault="000F39D7" w:rsidP="000F39D7">
            <w:pPr>
              <w:cnfStyle w:val="000000000000" w:firstRow="0" w:lastRow="0" w:firstColumn="0" w:lastColumn="0" w:oddVBand="0" w:evenVBand="0" w:oddHBand="0" w:evenHBand="0" w:firstRowFirstColumn="0" w:firstRowLastColumn="0" w:lastRowFirstColumn="0" w:lastRowLastColumn="0"/>
            </w:pPr>
            <w:r>
              <w:t xml:space="preserve">ECCPS </w:t>
            </w:r>
            <w:r w:rsidRPr="000F39D7">
              <w:t>supports the learning, social, emotional and behavioural development (SEBD) and mental health needs of children and young people</w:t>
            </w:r>
            <w:r>
              <w:t xml:space="preserve">, and psychologists have </w:t>
            </w:r>
            <w:r w:rsidRPr="000F39D7">
              <w:t>specialist skills in areas such as autism, hearing and visual impairment, speech and language and behaviour.  The team offers support to schools on a wide range of issues at individual, group and whole school level and also work with children, young people, schools, families and other professionals in a range of contexts within the community.</w:t>
            </w:r>
          </w:p>
        </w:tc>
        <w:tc>
          <w:tcPr>
            <w:tcW w:w="1263" w:type="dxa"/>
          </w:tcPr>
          <w:p w:rsidR="000F39D7" w:rsidRDefault="000F39D7" w:rsidP="00842857">
            <w:pPr>
              <w:cnfStyle w:val="000000000000" w:firstRow="0" w:lastRow="0" w:firstColumn="0" w:lastColumn="0" w:oddVBand="0" w:evenVBand="0" w:oddHBand="0" w:evenHBand="0" w:firstRowFirstColumn="0" w:firstRowLastColumn="0" w:lastRowFirstColumn="0" w:lastRowLastColumn="0"/>
            </w:pPr>
            <w:r>
              <w:t>0 - 25</w:t>
            </w:r>
          </w:p>
        </w:tc>
        <w:tc>
          <w:tcPr>
            <w:tcW w:w="1519" w:type="dxa"/>
          </w:tcPr>
          <w:p w:rsidR="000F39D7" w:rsidRDefault="00142020" w:rsidP="00E51B34">
            <w:pPr>
              <w:jc w:val="center"/>
              <w:cnfStyle w:val="000000000000" w:firstRow="0" w:lastRow="0" w:firstColumn="0" w:lastColumn="0" w:oddVBand="0" w:evenVBand="0" w:oddHBand="0" w:evenHBand="0" w:firstRowFirstColumn="0" w:firstRowLastColumn="0" w:lastRowFirstColumn="0" w:lastRowLastColumn="0"/>
            </w:pPr>
            <w:r>
              <w:t>U,T,</w:t>
            </w:r>
            <w:r w:rsidR="000F39D7">
              <w:t>S</w:t>
            </w:r>
          </w:p>
        </w:tc>
        <w:tc>
          <w:tcPr>
            <w:tcW w:w="1570" w:type="dxa"/>
          </w:tcPr>
          <w:p w:rsidR="000F39D7" w:rsidRDefault="000F39D7" w:rsidP="00842857">
            <w:pPr>
              <w:cnfStyle w:val="000000000000" w:firstRow="0" w:lastRow="0" w:firstColumn="0" w:lastColumn="0" w:oddVBand="0" w:evenVBand="0" w:oddHBand="0" w:evenHBand="0" w:firstRowFirstColumn="0" w:firstRowLastColumn="0" w:lastRowFirstColumn="0" w:lastRowLastColumn="0"/>
            </w:pPr>
            <w:r>
              <w:t>MC</w:t>
            </w:r>
          </w:p>
        </w:tc>
        <w:tc>
          <w:tcPr>
            <w:tcW w:w="1957" w:type="dxa"/>
          </w:tcPr>
          <w:p w:rsidR="000F39D7" w:rsidRDefault="000F39D7" w:rsidP="00842857">
            <w:pPr>
              <w:cnfStyle w:val="000000000000" w:firstRow="0" w:lastRow="0" w:firstColumn="0" w:lastColumn="0" w:oddVBand="0" w:evenVBand="0" w:oddHBand="0" w:evenHBand="0" w:firstRowFirstColumn="0" w:firstRowLastColumn="0" w:lastRowFirstColumn="0" w:lastRowLastColumn="0"/>
            </w:pPr>
            <w:r>
              <w:t>N/A</w:t>
            </w:r>
          </w:p>
        </w:tc>
      </w:tr>
      <w:tr w:rsidR="00D31594" w:rsidTr="00062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D31594" w:rsidRDefault="00D31594" w:rsidP="00842857">
            <w:r>
              <w:t>Dolphin Ward</w:t>
            </w:r>
          </w:p>
        </w:tc>
        <w:tc>
          <w:tcPr>
            <w:tcW w:w="5171" w:type="dxa"/>
          </w:tcPr>
          <w:p w:rsidR="00D31594" w:rsidRPr="0017577F" w:rsidRDefault="007935DD" w:rsidP="00DB6F5F">
            <w:pPr>
              <w:cnfStyle w:val="000000100000" w:firstRow="0" w:lastRow="0" w:firstColumn="0" w:lastColumn="0" w:oddVBand="0" w:evenVBand="0" w:oddHBand="1" w:evenHBand="0" w:firstRowFirstColumn="0" w:firstRowLastColumn="0" w:lastRowFirstColumn="0" w:lastRowLastColumn="0"/>
            </w:pPr>
            <w:r>
              <w:t>M</w:t>
            </w:r>
            <w:r w:rsidR="00D31594">
              <w:t xml:space="preserve">edical, orthopaedic, surgical and ear, nose and throat (ENT) ward </w:t>
            </w:r>
          </w:p>
        </w:tc>
        <w:tc>
          <w:tcPr>
            <w:tcW w:w="1263" w:type="dxa"/>
          </w:tcPr>
          <w:p w:rsidR="00D31594" w:rsidRDefault="00D31594" w:rsidP="00842857">
            <w:pPr>
              <w:cnfStyle w:val="000000100000" w:firstRow="0" w:lastRow="0" w:firstColumn="0" w:lastColumn="0" w:oddVBand="0" w:evenVBand="0" w:oddHBand="1" w:evenHBand="0" w:firstRowFirstColumn="0" w:firstRowLastColumn="0" w:lastRowFirstColumn="0" w:lastRowLastColumn="0"/>
            </w:pPr>
            <w:r>
              <w:t>0 - 16</w:t>
            </w:r>
          </w:p>
        </w:tc>
        <w:tc>
          <w:tcPr>
            <w:tcW w:w="1519" w:type="dxa"/>
          </w:tcPr>
          <w:p w:rsidR="00D31594" w:rsidRDefault="00D31594" w:rsidP="00E51B34">
            <w:pPr>
              <w:jc w:val="center"/>
              <w:cnfStyle w:val="000000100000" w:firstRow="0" w:lastRow="0" w:firstColumn="0" w:lastColumn="0" w:oddVBand="0" w:evenVBand="0" w:oddHBand="1" w:evenHBand="0" w:firstRowFirstColumn="0" w:firstRowLastColumn="0" w:lastRowFirstColumn="0" w:lastRowLastColumn="0"/>
            </w:pPr>
            <w:r>
              <w:t>S</w:t>
            </w:r>
          </w:p>
        </w:tc>
        <w:tc>
          <w:tcPr>
            <w:tcW w:w="1570" w:type="dxa"/>
          </w:tcPr>
          <w:p w:rsidR="00D31594" w:rsidRDefault="00D31594" w:rsidP="00842857">
            <w:pPr>
              <w:cnfStyle w:val="000000100000" w:firstRow="0" w:lastRow="0" w:firstColumn="0" w:lastColumn="0" w:oddVBand="0" w:evenVBand="0" w:oddHBand="1" w:evenHBand="0" w:firstRowFirstColumn="0" w:firstRowLastColumn="0" w:lastRowFirstColumn="0" w:lastRowLastColumn="0"/>
            </w:pPr>
            <w:r>
              <w:t>MFT</w:t>
            </w:r>
          </w:p>
        </w:tc>
        <w:tc>
          <w:tcPr>
            <w:tcW w:w="1957" w:type="dxa"/>
          </w:tcPr>
          <w:p w:rsidR="00D31594" w:rsidRDefault="00D31594" w:rsidP="00842857">
            <w:pPr>
              <w:cnfStyle w:val="000000100000" w:firstRow="0" w:lastRow="0" w:firstColumn="0" w:lastColumn="0" w:oddVBand="0" w:evenVBand="0" w:oddHBand="1" w:evenHBand="0" w:firstRowFirstColumn="0" w:firstRowLastColumn="0" w:lastRowFirstColumn="0" w:lastRowLastColumn="0"/>
            </w:pPr>
            <w:r>
              <w:t>MCCG</w:t>
            </w:r>
          </w:p>
        </w:tc>
      </w:tr>
      <w:tr w:rsidR="00D31594" w:rsidTr="000626D8">
        <w:tc>
          <w:tcPr>
            <w:cnfStyle w:val="001000000000" w:firstRow="0" w:lastRow="0" w:firstColumn="1" w:lastColumn="0" w:oddVBand="0" w:evenVBand="0" w:oddHBand="0" w:evenHBand="0" w:firstRowFirstColumn="0" w:firstRowLastColumn="0" w:lastRowFirstColumn="0" w:lastRowLastColumn="0"/>
            <w:tcW w:w="2694" w:type="dxa"/>
          </w:tcPr>
          <w:p w:rsidR="00D31594" w:rsidRDefault="00D31594" w:rsidP="00842857">
            <w:r>
              <w:t>Family Nurse Partnership</w:t>
            </w:r>
          </w:p>
        </w:tc>
        <w:tc>
          <w:tcPr>
            <w:tcW w:w="5171" w:type="dxa"/>
          </w:tcPr>
          <w:p w:rsidR="00D31594" w:rsidRDefault="00D31594" w:rsidP="0050606A">
            <w:pPr>
              <w:cnfStyle w:val="000000000000" w:firstRow="0" w:lastRow="0" w:firstColumn="0" w:lastColumn="0" w:oddVBand="0" w:evenVBand="0" w:oddHBand="0" w:evenHBand="0" w:firstRowFirstColumn="0" w:firstRowLastColumn="0" w:lastRowFirstColumn="0" w:lastRowLastColumn="0"/>
            </w:pPr>
            <w:r w:rsidRPr="0050606A">
              <w:t xml:space="preserve">Intensive, structured, home visiting programme, which is offered to first time parents under the age of </w:t>
            </w:r>
            <w:r>
              <w:t>18</w:t>
            </w:r>
            <w:r w:rsidRPr="0050606A">
              <w:t>. A specially trained family nurse visits the mother regularly from early pregnancy until the baby is 2 years old</w:t>
            </w:r>
          </w:p>
        </w:tc>
        <w:tc>
          <w:tcPr>
            <w:tcW w:w="1263" w:type="dxa"/>
          </w:tcPr>
          <w:p w:rsidR="00D31594" w:rsidRDefault="00D31594" w:rsidP="00842857">
            <w:pPr>
              <w:cnfStyle w:val="000000000000" w:firstRow="0" w:lastRow="0" w:firstColumn="0" w:lastColumn="0" w:oddVBand="0" w:evenVBand="0" w:oddHBand="0" w:evenHBand="0" w:firstRowFirstColumn="0" w:firstRowLastColumn="0" w:lastRowFirstColumn="0" w:lastRowLastColumn="0"/>
            </w:pPr>
            <w:r>
              <w:t>Under 18</w:t>
            </w:r>
          </w:p>
        </w:tc>
        <w:tc>
          <w:tcPr>
            <w:tcW w:w="1519" w:type="dxa"/>
          </w:tcPr>
          <w:p w:rsidR="00D31594" w:rsidRDefault="00D31594" w:rsidP="00E51B34">
            <w:pPr>
              <w:jc w:val="center"/>
              <w:cnfStyle w:val="000000000000" w:firstRow="0" w:lastRow="0" w:firstColumn="0" w:lastColumn="0" w:oddVBand="0" w:evenVBand="0" w:oddHBand="0" w:evenHBand="0" w:firstRowFirstColumn="0" w:firstRowLastColumn="0" w:lastRowFirstColumn="0" w:lastRowLastColumn="0"/>
            </w:pPr>
            <w:r>
              <w:t>S</w:t>
            </w:r>
          </w:p>
        </w:tc>
        <w:tc>
          <w:tcPr>
            <w:tcW w:w="1570" w:type="dxa"/>
          </w:tcPr>
          <w:p w:rsidR="00D31594" w:rsidRDefault="00D31594" w:rsidP="00842857">
            <w:pPr>
              <w:cnfStyle w:val="000000000000" w:firstRow="0" w:lastRow="0" w:firstColumn="0" w:lastColumn="0" w:oddVBand="0" w:evenVBand="0" w:oddHBand="0" w:evenHBand="0" w:firstRowFirstColumn="0" w:firstRowLastColumn="0" w:lastRowFirstColumn="0" w:lastRowLastColumn="0"/>
            </w:pPr>
            <w:r>
              <w:t>MCH</w:t>
            </w:r>
          </w:p>
        </w:tc>
        <w:tc>
          <w:tcPr>
            <w:tcW w:w="1957" w:type="dxa"/>
          </w:tcPr>
          <w:p w:rsidR="00D31594" w:rsidRDefault="00D31594" w:rsidP="0032773D">
            <w:pPr>
              <w:cnfStyle w:val="000000000000" w:firstRow="0" w:lastRow="0" w:firstColumn="0" w:lastColumn="0" w:oddVBand="0" w:evenVBand="0" w:oddHBand="0" w:evenHBand="0" w:firstRowFirstColumn="0" w:firstRowLastColumn="0" w:lastRowFirstColumn="0" w:lastRowLastColumn="0"/>
            </w:pPr>
            <w:r w:rsidRPr="00635C85">
              <w:t xml:space="preserve">NHSE (on behalf of the Secretary of State) until October 2015 then </w:t>
            </w:r>
            <w:r w:rsidR="0032773D">
              <w:t xml:space="preserve">MC </w:t>
            </w:r>
            <w:r>
              <w:t>Public Health Directorate</w:t>
            </w:r>
          </w:p>
        </w:tc>
      </w:tr>
      <w:tr w:rsidR="006A02A1" w:rsidTr="00062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6A02A1" w:rsidRPr="00D70AE2" w:rsidRDefault="006A02A1" w:rsidP="00842857">
            <w:r>
              <w:t>Foetal Medicine</w:t>
            </w:r>
          </w:p>
        </w:tc>
        <w:tc>
          <w:tcPr>
            <w:tcW w:w="5171" w:type="dxa"/>
          </w:tcPr>
          <w:p w:rsidR="006A02A1" w:rsidRPr="00635C85" w:rsidRDefault="006A02A1" w:rsidP="000559DD">
            <w:pPr>
              <w:cnfStyle w:val="000000100000" w:firstRow="0" w:lastRow="0" w:firstColumn="0" w:lastColumn="0" w:oddVBand="0" w:evenVBand="0" w:oddHBand="1" w:evenHBand="0" w:firstRowFirstColumn="0" w:firstRowLastColumn="0" w:lastRowFirstColumn="0" w:lastRowLastColumn="0"/>
            </w:pPr>
            <w:r w:rsidRPr="006A02A1">
              <w:t>The foetal medicine service at Medway is run in partnership with the Harris Birthright Centre</w:t>
            </w:r>
            <w:r>
              <w:t xml:space="preserve"> (Kings)</w:t>
            </w:r>
            <w:r w:rsidRPr="006A02A1">
              <w:t xml:space="preserve"> and runs a weekly consultant-led clinic for all suspected and confirmed foetal abnormalities</w:t>
            </w:r>
          </w:p>
        </w:tc>
        <w:tc>
          <w:tcPr>
            <w:tcW w:w="1263" w:type="dxa"/>
          </w:tcPr>
          <w:p w:rsidR="006A02A1" w:rsidRDefault="006A02A1" w:rsidP="00842857">
            <w:pPr>
              <w:cnfStyle w:val="000000100000" w:firstRow="0" w:lastRow="0" w:firstColumn="0" w:lastColumn="0" w:oddVBand="0" w:evenVBand="0" w:oddHBand="1" w:evenHBand="0" w:firstRowFirstColumn="0" w:firstRowLastColumn="0" w:lastRowFirstColumn="0" w:lastRowLastColumn="0"/>
            </w:pPr>
          </w:p>
        </w:tc>
        <w:tc>
          <w:tcPr>
            <w:tcW w:w="1519" w:type="dxa"/>
          </w:tcPr>
          <w:p w:rsidR="006A02A1" w:rsidRDefault="006A02A1" w:rsidP="00E51B34">
            <w:pPr>
              <w:jc w:val="center"/>
              <w:cnfStyle w:val="000000100000" w:firstRow="0" w:lastRow="0" w:firstColumn="0" w:lastColumn="0" w:oddVBand="0" w:evenVBand="0" w:oddHBand="1" w:evenHBand="0" w:firstRowFirstColumn="0" w:firstRowLastColumn="0" w:lastRowFirstColumn="0" w:lastRowLastColumn="0"/>
            </w:pPr>
            <w:r>
              <w:t>S</w:t>
            </w:r>
          </w:p>
        </w:tc>
        <w:tc>
          <w:tcPr>
            <w:tcW w:w="1570" w:type="dxa"/>
          </w:tcPr>
          <w:p w:rsidR="006A02A1" w:rsidRDefault="006A02A1" w:rsidP="00842857">
            <w:pPr>
              <w:cnfStyle w:val="000000100000" w:firstRow="0" w:lastRow="0" w:firstColumn="0" w:lastColumn="0" w:oddVBand="0" w:evenVBand="0" w:oddHBand="1" w:evenHBand="0" w:firstRowFirstColumn="0" w:firstRowLastColumn="0" w:lastRowFirstColumn="0" w:lastRowLastColumn="0"/>
            </w:pPr>
            <w:r>
              <w:t>MFT</w:t>
            </w:r>
          </w:p>
        </w:tc>
        <w:tc>
          <w:tcPr>
            <w:tcW w:w="1957" w:type="dxa"/>
          </w:tcPr>
          <w:p w:rsidR="006A02A1" w:rsidRDefault="006A02A1" w:rsidP="00842857">
            <w:pPr>
              <w:cnfStyle w:val="000000100000" w:firstRow="0" w:lastRow="0" w:firstColumn="0" w:lastColumn="0" w:oddVBand="0" w:evenVBand="0" w:oddHBand="1" w:evenHBand="0" w:firstRowFirstColumn="0" w:firstRowLastColumn="0" w:lastRowFirstColumn="0" w:lastRowLastColumn="0"/>
            </w:pPr>
            <w:r>
              <w:t>MCCG</w:t>
            </w:r>
          </w:p>
        </w:tc>
      </w:tr>
      <w:tr w:rsidR="00D31594" w:rsidTr="000626D8">
        <w:tc>
          <w:tcPr>
            <w:cnfStyle w:val="001000000000" w:firstRow="0" w:lastRow="0" w:firstColumn="1" w:lastColumn="0" w:oddVBand="0" w:evenVBand="0" w:oddHBand="0" w:evenHBand="0" w:firstRowFirstColumn="0" w:firstRowLastColumn="0" w:lastRowFirstColumn="0" w:lastRowLastColumn="0"/>
            <w:tcW w:w="2694" w:type="dxa"/>
          </w:tcPr>
          <w:p w:rsidR="00D31594" w:rsidRDefault="00D31594" w:rsidP="00842857">
            <w:r w:rsidRPr="00D70AE2">
              <w:t>Health Visiting</w:t>
            </w:r>
          </w:p>
        </w:tc>
        <w:tc>
          <w:tcPr>
            <w:tcW w:w="5171" w:type="dxa"/>
          </w:tcPr>
          <w:p w:rsidR="00C74169" w:rsidRDefault="00D31594" w:rsidP="000559DD">
            <w:pPr>
              <w:cnfStyle w:val="000000000000" w:firstRow="0" w:lastRow="0" w:firstColumn="0" w:lastColumn="0" w:oddVBand="0" w:evenVBand="0" w:oddHBand="0" w:evenHBand="0" w:firstRowFirstColumn="0" w:firstRowLastColumn="0" w:lastRowFirstColumn="0" w:lastRowLastColumn="0"/>
            </w:pPr>
            <w:r w:rsidRPr="00635C85">
              <w:t>Lead the delivery of the 0-5 Healthy Child Programme</w:t>
            </w:r>
            <w:r>
              <w:t xml:space="preserve">: includes </w:t>
            </w:r>
            <w:r w:rsidRPr="000559DD">
              <w:t xml:space="preserve">breast feeding, </w:t>
            </w:r>
            <w:r w:rsidRPr="000559DD">
              <w:lastRenderedPageBreak/>
              <w:t>immunisations, behavioural management, mental health, healthy diet and lifestyle, child development and assessment, parenting</w:t>
            </w:r>
            <w:r w:rsidR="00385C06">
              <w:t xml:space="preserve">. </w:t>
            </w:r>
          </w:p>
          <w:p w:rsidR="00C74169" w:rsidRDefault="00C74169" w:rsidP="000559DD">
            <w:pPr>
              <w:cnfStyle w:val="000000000000" w:firstRow="0" w:lastRow="0" w:firstColumn="0" w:lastColumn="0" w:oddVBand="0" w:evenVBand="0" w:oddHBand="0" w:evenHBand="0" w:firstRowFirstColumn="0" w:firstRowLastColumn="0" w:lastRowFirstColumn="0" w:lastRowLastColumn="0"/>
            </w:pPr>
            <w:r>
              <w:t>The Universal Partnership Plus level of the service</w:t>
            </w:r>
          </w:p>
          <w:p w:rsidR="00C74169" w:rsidRDefault="00C74169" w:rsidP="000559DD">
            <w:pPr>
              <w:cnfStyle w:val="000000000000" w:firstRow="0" w:lastRow="0" w:firstColumn="0" w:lastColumn="0" w:oddVBand="0" w:evenVBand="0" w:oddHBand="0" w:evenHBand="0" w:firstRowFirstColumn="0" w:firstRowLastColumn="0" w:lastRowFirstColumn="0" w:lastRowLastColumn="0"/>
            </w:pPr>
            <w:r>
              <w:t>requires health visitors to play</w:t>
            </w:r>
            <w:r w:rsidRPr="00C74169">
              <w:t xml:space="preserve"> a key role in bringing together relevant local services, to help families with continuing complex needs, for example where a child has a long-term condition</w:t>
            </w:r>
            <w:r>
              <w:t>.</w:t>
            </w:r>
          </w:p>
          <w:p w:rsidR="00D31594" w:rsidRDefault="00D31594" w:rsidP="00142020">
            <w:pPr>
              <w:cnfStyle w:val="000000000000" w:firstRow="0" w:lastRow="0" w:firstColumn="0" w:lastColumn="0" w:oddVBand="0" w:evenVBand="0" w:oddHBand="0" w:evenHBand="0" w:firstRowFirstColumn="0" w:firstRowLastColumn="0" w:lastRowFirstColumn="0" w:lastRowLastColumn="0"/>
            </w:pPr>
          </w:p>
        </w:tc>
        <w:tc>
          <w:tcPr>
            <w:tcW w:w="1263" w:type="dxa"/>
          </w:tcPr>
          <w:p w:rsidR="00D31594" w:rsidRDefault="00D31594" w:rsidP="00842857">
            <w:pPr>
              <w:cnfStyle w:val="000000000000" w:firstRow="0" w:lastRow="0" w:firstColumn="0" w:lastColumn="0" w:oddVBand="0" w:evenVBand="0" w:oddHBand="0" w:evenHBand="0" w:firstRowFirstColumn="0" w:firstRowLastColumn="0" w:lastRowFirstColumn="0" w:lastRowLastColumn="0"/>
            </w:pPr>
            <w:r>
              <w:lastRenderedPageBreak/>
              <w:t>0-5</w:t>
            </w:r>
          </w:p>
        </w:tc>
        <w:tc>
          <w:tcPr>
            <w:tcW w:w="1519" w:type="dxa"/>
          </w:tcPr>
          <w:p w:rsidR="00D31594" w:rsidRDefault="00142020" w:rsidP="00E51B34">
            <w:pPr>
              <w:jc w:val="center"/>
              <w:cnfStyle w:val="000000000000" w:firstRow="0" w:lastRow="0" w:firstColumn="0" w:lastColumn="0" w:oddVBand="0" w:evenVBand="0" w:oddHBand="0" w:evenHBand="0" w:firstRowFirstColumn="0" w:firstRowLastColumn="0" w:lastRowFirstColumn="0" w:lastRowLastColumn="0"/>
            </w:pPr>
            <w:r>
              <w:t>U,T,</w:t>
            </w:r>
            <w:r w:rsidR="00D31594">
              <w:t>S</w:t>
            </w:r>
          </w:p>
        </w:tc>
        <w:tc>
          <w:tcPr>
            <w:tcW w:w="1570" w:type="dxa"/>
          </w:tcPr>
          <w:p w:rsidR="00D31594" w:rsidRDefault="00D31594" w:rsidP="00842857">
            <w:pPr>
              <w:cnfStyle w:val="000000000000" w:firstRow="0" w:lastRow="0" w:firstColumn="0" w:lastColumn="0" w:oddVBand="0" w:evenVBand="0" w:oddHBand="0" w:evenHBand="0" w:firstRowFirstColumn="0" w:firstRowLastColumn="0" w:lastRowFirstColumn="0" w:lastRowLastColumn="0"/>
            </w:pPr>
            <w:r>
              <w:t>MCH</w:t>
            </w:r>
          </w:p>
        </w:tc>
        <w:tc>
          <w:tcPr>
            <w:tcW w:w="1957" w:type="dxa"/>
          </w:tcPr>
          <w:p w:rsidR="00D31594" w:rsidRDefault="00D31594" w:rsidP="0032773D">
            <w:pPr>
              <w:cnfStyle w:val="000000000000" w:firstRow="0" w:lastRow="0" w:firstColumn="0" w:lastColumn="0" w:oddVBand="0" w:evenVBand="0" w:oddHBand="0" w:evenHBand="0" w:firstRowFirstColumn="0" w:firstRowLastColumn="0" w:lastRowFirstColumn="0" w:lastRowLastColumn="0"/>
            </w:pPr>
            <w:r>
              <w:t xml:space="preserve">Public Health Directorate, </w:t>
            </w:r>
            <w:r w:rsidR="0032773D">
              <w:t>MC,</w:t>
            </w:r>
            <w:r w:rsidR="00D32D47">
              <w:t xml:space="preserve"> </w:t>
            </w:r>
            <w:r w:rsidR="00D32D47">
              <w:lastRenderedPageBreak/>
              <w:t>from October 2015</w:t>
            </w:r>
          </w:p>
        </w:tc>
      </w:tr>
      <w:tr w:rsidR="00D31594" w:rsidTr="00062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D31594" w:rsidRDefault="00D31594" w:rsidP="00842857">
            <w:r>
              <w:lastRenderedPageBreak/>
              <w:t>Looked After Children’s Health Team</w:t>
            </w:r>
          </w:p>
        </w:tc>
        <w:tc>
          <w:tcPr>
            <w:tcW w:w="5171" w:type="dxa"/>
          </w:tcPr>
          <w:p w:rsidR="00D31594" w:rsidRDefault="008C752D" w:rsidP="00842857">
            <w:pPr>
              <w:cnfStyle w:val="000000100000" w:firstRow="0" w:lastRow="0" w:firstColumn="0" w:lastColumn="0" w:oddVBand="0" w:evenVBand="0" w:oddHBand="1" w:evenHBand="0" w:firstRowFirstColumn="0" w:firstRowLastColumn="0" w:lastRowFirstColumn="0" w:lastRowLastColumn="0"/>
            </w:pPr>
            <w:r>
              <w:t>Health assessments and follow ups for LAC. Includes care leaver nurse.</w:t>
            </w:r>
          </w:p>
        </w:tc>
        <w:tc>
          <w:tcPr>
            <w:tcW w:w="1263" w:type="dxa"/>
          </w:tcPr>
          <w:p w:rsidR="00D31594" w:rsidRDefault="00142020" w:rsidP="00842857">
            <w:pPr>
              <w:cnfStyle w:val="000000100000" w:firstRow="0" w:lastRow="0" w:firstColumn="0" w:lastColumn="0" w:oddVBand="0" w:evenVBand="0" w:oddHBand="1" w:evenHBand="0" w:firstRowFirstColumn="0" w:firstRowLastColumn="0" w:lastRowFirstColumn="0" w:lastRowLastColumn="0"/>
            </w:pPr>
            <w:r>
              <w:t>0 – 25</w:t>
            </w:r>
          </w:p>
        </w:tc>
        <w:tc>
          <w:tcPr>
            <w:tcW w:w="1519" w:type="dxa"/>
          </w:tcPr>
          <w:p w:rsidR="00D31594" w:rsidRDefault="008C752D" w:rsidP="00E51B34">
            <w:pPr>
              <w:jc w:val="center"/>
              <w:cnfStyle w:val="000000100000" w:firstRow="0" w:lastRow="0" w:firstColumn="0" w:lastColumn="0" w:oddVBand="0" w:evenVBand="0" w:oddHBand="1" w:evenHBand="0" w:firstRowFirstColumn="0" w:firstRowLastColumn="0" w:lastRowFirstColumn="0" w:lastRowLastColumn="0"/>
            </w:pPr>
            <w:r>
              <w:t>S</w:t>
            </w:r>
          </w:p>
        </w:tc>
        <w:tc>
          <w:tcPr>
            <w:tcW w:w="1570" w:type="dxa"/>
          </w:tcPr>
          <w:p w:rsidR="00D31594" w:rsidRDefault="008C752D" w:rsidP="00842857">
            <w:pPr>
              <w:cnfStyle w:val="000000100000" w:firstRow="0" w:lastRow="0" w:firstColumn="0" w:lastColumn="0" w:oddVBand="0" w:evenVBand="0" w:oddHBand="1" w:evenHBand="0" w:firstRowFirstColumn="0" w:firstRowLastColumn="0" w:lastRowFirstColumn="0" w:lastRowLastColumn="0"/>
            </w:pPr>
            <w:r>
              <w:t>MFT</w:t>
            </w:r>
          </w:p>
        </w:tc>
        <w:tc>
          <w:tcPr>
            <w:tcW w:w="1957" w:type="dxa"/>
          </w:tcPr>
          <w:p w:rsidR="00D31594" w:rsidRDefault="00142020" w:rsidP="00842857">
            <w:pPr>
              <w:cnfStyle w:val="000000100000" w:firstRow="0" w:lastRow="0" w:firstColumn="0" w:lastColumn="0" w:oddVBand="0" w:evenVBand="0" w:oddHBand="1" w:evenHBand="0" w:firstRowFirstColumn="0" w:firstRowLastColumn="0" w:lastRowFirstColumn="0" w:lastRowLastColumn="0"/>
            </w:pPr>
            <w:r>
              <w:t>MC/MCCG</w:t>
            </w:r>
          </w:p>
        </w:tc>
      </w:tr>
      <w:tr w:rsidR="00D31594" w:rsidTr="000626D8">
        <w:tc>
          <w:tcPr>
            <w:cnfStyle w:val="001000000000" w:firstRow="0" w:lastRow="0" w:firstColumn="1" w:lastColumn="0" w:oddVBand="0" w:evenVBand="0" w:oddHBand="0" w:evenHBand="0" w:firstRowFirstColumn="0" w:firstRowLastColumn="0" w:lastRowFirstColumn="0" w:lastRowLastColumn="0"/>
            <w:tcW w:w="2694" w:type="dxa"/>
          </w:tcPr>
          <w:p w:rsidR="00D31594" w:rsidRPr="006A02A1" w:rsidRDefault="00D31594" w:rsidP="00842857">
            <w:pPr>
              <w:rPr>
                <w:highlight w:val="yellow"/>
              </w:rPr>
            </w:pPr>
            <w:r w:rsidRPr="00142020">
              <w:t>Midwifery</w:t>
            </w:r>
          </w:p>
        </w:tc>
        <w:tc>
          <w:tcPr>
            <w:tcW w:w="5171" w:type="dxa"/>
          </w:tcPr>
          <w:p w:rsidR="00D31594" w:rsidRPr="00142020" w:rsidRDefault="00142020" w:rsidP="00842857">
            <w:pPr>
              <w:cnfStyle w:val="000000000000" w:firstRow="0" w:lastRow="0" w:firstColumn="0" w:lastColumn="0" w:oddVBand="0" w:evenVBand="0" w:oddHBand="0" w:evenHBand="0" w:firstRowFirstColumn="0" w:firstRowLastColumn="0" w:lastRowFirstColumn="0" w:lastRowLastColumn="0"/>
            </w:pPr>
            <w:r w:rsidRPr="00142020">
              <w:t xml:space="preserve">Perinatal care for mother and child </w:t>
            </w:r>
          </w:p>
        </w:tc>
        <w:tc>
          <w:tcPr>
            <w:tcW w:w="1263" w:type="dxa"/>
          </w:tcPr>
          <w:p w:rsidR="00D31594" w:rsidRDefault="00D31594" w:rsidP="00842857">
            <w:pPr>
              <w:cnfStyle w:val="000000000000" w:firstRow="0" w:lastRow="0" w:firstColumn="0" w:lastColumn="0" w:oddVBand="0" w:evenVBand="0" w:oddHBand="0" w:evenHBand="0" w:firstRowFirstColumn="0" w:firstRowLastColumn="0" w:lastRowFirstColumn="0" w:lastRowLastColumn="0"/>
            </w:pPr>
            <w:r w:rsidRPr="00142020">
              <w:t>Pre birth to 6 weeks</w:t>
            </w:r>
          </w:p>
        </w:tc>
        <w:tc>
          <w:tcPr>
            <w:tcW w:w="1519" w:type="dxa"/>
          </w:tcPr>
          <w:p w:rsidR="00D31594" w:rsidRDefault="00142020" w:rsidP="00E51B34">
            <w:pPr>
              <w:jc w:val="center"/>
              <w:cnfStyle w:val="000000000000" w:firstRow="0" w:lastRow="0" w:firstColumn="0" w:lastColumn="0" w:oddVBand="0" w:evenVBand="0" w:oddHBand="0" w:evenHBand="0" w:firstRowFirstColumn="0" w:firstRowLastColumn="0" w:lastRowFirstColumn="0" w:lastRowLastColumn="0"/>
            </w:pPr>
            <w:r>
              <w:t>U,T,S</w:t>
            </w:r>
          </w:p>
        </w:tc>
        <w:tc>
          <w:tcPr>
            <w:tcW w:w="1570" w:type="dxa"/>
          </w:tcPr>
          <w:p w:rsidR="00D31594" w:rsidRDefault="00142020" w:rsidP="00842857">
            <w:pPr>
              <w:cnfStyle w:val="000000000000" w:firstRow="0" w:lastRow="0" w:firstColumn="0" w:lastColumn="0" w:oddVBand="0" w:evenVBand="0" w:oddHBand="0" w:evenHBand="0" w:firstRowFirstColumn="0" w:firstRowLastColumn="0" w:lastRowFirstColumn="0" w:lastRowLastColumn="0"/>
            </w:pPr>
            <w:r>
              <w:t>MFT</w:t>
            </w:r>
          </w:p>
        </w:tc>
        <w:tc>
          <w:tcPr>
            <w:tcW w:w="1957" w:type="dxa"/>
          </w:tcPr>
          <w:p w:rsidR="00D31594" w:rsidRDefault="00142020" w:rsidP="00842857">
            <w:pPr>
              <w:cnfStyle w:val="000000000000" w:firstRow="0" w:lastRow="0" w:firstColumn="0" w:lastColumn="0" w:oddVBand="0" w:evenVBand="0" w:oddHBand="0" w:evenHBand="0" w:firstRowFirstColumn="0" w:firstRowLastColumn="0" w:lastRowFirstColumn="0" w:lastRowLastColumn="0"/>
            </w:pPr>
            <w:r>
              <w:t>MCCG</w:t>
            </w:r>
          </w:p>
        </w:tc>
      </w:tr>
      <w:tr w:rsidR="00D31594" w:rsidTr="00062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D31594" w:rsidRPr="00D70AE2" w:rsidRDefault="00D31594" w:rsidP="00842857">
            <w:r>
              <w:t xml:space="preserve">Nutrition and </w:t>
            </w:r>
            <w:r w:rsidRPr="00D70AE2">
              <w:t>Dietetics</w:t>
            </w:r>
          </w:p>
        </w:tc>
        <w:tc>
          <w:tcPr>
            <w:tcW w:w="5171" w:type="dxa"/>
          </w:tcPr>
          <w:p w:rsidR="00D31594" w:rsidRDefault="00D31594" w:rsidP="003B3E43">
            <w:pPr>
              <w:cnfStyle w:val="000000100000" w:firstRow="0" w:lastRow="0" w:firstColumn="0" w:lastColumn="0" w:oddVBand="0" w:evenVBand="0" w:oddHBand="1" w:evenHBand="0" w:firstRowFirstColumn="0" w:firstRowLastColumn="0" w:lastRowFirstColumn="0" w:lastRowLastColumn="0"/>
            </w:pPr>
            <w:r>
              <w:t>See children who have complex needs in addition to their nutritional needs and who are seen by at least one other member of the children’s therapy team. includes those who have:- epilepsy, cerebral palsy, Autism, genetic conditions or syndromes and or learning difficulties in addition to a nutritional problem and/or poor growth. These children often cough, gag or choke on food or drinks, have recurrent chest infections, are extreme fussy eaters, or have poor or excessive weight gain.  Do not see normally developing children who are overweight, have allergies or intolerances, children with cystic fibrosis or diabetes (community paediatric service supports these children).</w:t>
            </w:r>
          </w:p>
        </w:tc>
        <w:tc>
          <w:tcPr>
            <w:tcW w:w="1263" w:type="dxa"/>
          </w:tcPr>
          <w:p w:rsidR="00D31594" w:rsidRDefault="00D31594" w:rsidP="00842857">
            <w:pPr>
              <w:cnfStyle w:val="000000100000" w:firstRow="0" w:lastRow="0" w:firstColumn="0" w:lastColumn="0" w:oddVBand="0" w:evenVBand="0" w:oddHBand="1" w:evenHBand="0" w:firstRowFirstColumn="0" w:firstRowLastColumn="0" w:lastRowFirstColumn="0" w:lastRowLastColumn="0"/>
            </w:pPr>
          </w:p>
        </w:tc>
        <w:tc>
          <w:tcPr>
            <w:tcW w:w="1519" w:type="dxa"/>
          </w:tcPr>
          <w:p w:rsidR="00D31594" w:rsidRDefault="00142020" w:rsidP="00E51B34">
            <w:pPr>
              <w:jc w:val="center"/>
              <w:cnfStyle w:val="000000100000" w:firstRow="0" w:lastRow="0" w:firstColumn="0" w:lastColumn="0" w:oddVBand="0" w:evenVBand="0" w:oddHBand="1" w:evenHBand="0" w:firstRowFirstColumn="0" w:firstRowLastColumn="0" w:lastRowFirstColumn="0" w:lastRowLastColumn="0"/>
            </w:pPr>
            <w:r>
              <w:t>T,</w:t>
            </w:r>
            <w:r w:rsidR="00D31594">
              <w:t>S</w:t>
            </w:r>
          </w:p>
        </w:tc>
        <w:tc>
          <w:tcPr>
            <w:tcW w:w="1570" w:type="dxa"/>
          </w:tcPr>
          <w:p w:rsidR="00D31594" w:rsidRDefault="00D31594" w:rsidP="00842857">
            <w:pPr>
              <w:cnfStyle w:val="000000100000" w:firstRow="0" w:lastRow="0" w:firstColumn="0" w:lastColumn="0" w:oddVBand="0" w:evenVBand="0" w:oddHBand="1" w:evenHBand="0" w:firstRowFirstColumn="0" w:firstRowLastColumn="0" w:lastRowFirstColumn="0" w:lastRowLastColumn="0"/>
            </w:pPr>
            <w:r>
              <w:t>MCH</w:t>
            </w:r>
          </w:p>
        </w:tc>
        <w:tc>
          <w:tcPr>
            <w:tcW w:w="1957" w:type="dxa"/>
          </w:tcPr>
          <w:p w:rsidR="00D31594" w:rsidRDefault="003B3E43" w:rsidP="00842857">
            <w:pPr>
              <w:cnfStyle w:val="000000100000" w:firstRow="0" w:lastRow="0" w:firstColumn="0" w:lastColumn="0" w:oddVBand="0" w:evenVBand="0" w:oddHBand="1" w:evenHBand="0" w:firstRowFirstColumn="0" w:firstRowLastColumn="0" w:lastRowFirstColumn="0" w:lastRowLastColumn="0"/>
            </w:pPr>
            <w:r>
              <w:t>M</w:t>
            </w:r>
            <w:r w:rsidR="00D31594">
              <w:t>CCG</w:t>
            </w:r>
          </w:p>
        </w:tc>
      </w:tr>
      <w:tr w:rsidR="00D31594" w:rsidRPr="00D70AE2" w:rsidTr="000626D8">
        <w:tc>
          <w:tcPr>
            <w:cnfStyle w:val="001000000000" w:firstRow="0" w:lastRow="0" w:firstColumn="1" w:lastColumn="0" w:oddVBand="0" w:evenVBand="0" w:oddHBand="0" w:evenHBand="0" w:firstRowFirstColumn="0" w:firstRowLastColumn="0" w:lastRowFirstColumn="0" w:lastRowLastColumn="0"/>
            <w:tcW w:w="2694" w:type="dxa"/>
          </w:tcPr>
          <w:p w:rsidR="00D31594" w:rsidRPr="00D70AE2" w:rsidRDefault="00D31594" w:rsidP="00EA1969">
            <w:r>
              <w:t xml:space="preserve">Occupational Therapy </w:t>
            </w:r>
            <w:r w:rsidR="00EA1969">
              <w:t>(Hospital)</w:t>
            </w:r>
          </w:p>
        </w:tc>
        <w:tc>
          <w:tcPr>
            <w:tcW w:w="5171" w:type="dxa"/>
          </w:tcPr>
          <w:p w:rsidR="00D31594" w:rsidRPr="00D70AE2" w:rsidRDefault="00EA1969" w:rsidP="00842857">
            <w:pPr>
              <w:cnfStyle w:val="000000000000" w:firstRow="0" w:lastRow="0" w:firstColumn="0" w:lastColumn="0" w:oddVBand="0" w:evenVBand="0" w:oddHBand="0" w:evenHBand="0" w:firstRowFirstColumn="0" w:firstRowLastColumn="0" w:lastRowFirstColumn="0" w:lastRowLastColumn="0"/>
            </w:pPr>
            <w:r>
              <w:t>Service to in patients</w:t>
            </w:r>
          </w:p>
        </w:tc>
        <w:tc>
          <w:tcPr>
            <w:tcW w:w="1263" w:type="dxa"/>
          </w:tcPr>
          <w:p w:rsidR="00D31594" w:rsidRDefault="00EA1969" w:rsidP="00842857">
            <w:pPr>
              <w:cnfStyle w:val="000000000000" w:firstRow="0" w:lastRow="0" w:firstColumn="0" w:lastColumn="0" w:oddVBand="0" w:evenVBand="0" w:oddHBand="0" w:evenHBand="0" w:firstRowFirstColumn="0" w:firstRowLastColumn="0" w:lastRowFirstColumn="0" w:lastRowLastColumn="0"/>
            </w:pPr>
            <w:r>
              <w:t>All</w:t>
            </w:r>
          </w:p>
        </w:tc>
        <w:tc>
          <w:tcPr>
            <w:tcW w:w="1519" w:type="dxa"/>
          </w:tcPr>
          <w:p w:rsidR="00D31594" w:rsidRDefault="00D31594" w:rsidP="00E51B34">
            <w:pPr>
              <w:jc w:val="center"/>
              <w:cnfStyle w:val="000000000000" w:firstRow="0" w:lastRow="0" w:firstColumn="0" w:lastColumn="0" w:oddVBand="0" w:evenVBand="0" w:oddHBand="0" w:evenHBand="0" w:firstRowFirstColumn="0" w:firstRowLastColumn="0" w:lastRowFirstColumn="0" w:lastRowLastColumn="0"/>
            </w:pPr>
            <w:r>
              <w:t>S</w:t>
            </w:r>
          </w:p>
        </w:tc>
        <w:tc>
          <w:tcPr>
            <w:tcW w:w="1570" w:type="dxa"/>
          </w:tcPr>
          <w:p w:rsidR="00D31594" w:rsidRDefault="00D31594" w:rsidP="00842857">
            <w:pPr>
              <w:cnfStyle w:val="000000000000" w:firstRow="0" w:lastRow="0" w:firstColumn="0" w:lastColumn="0" w:oddVBand="0" w:evenVBand="0" w:oddHBand="0" w:evenHBand="0" w:firstRowFirstColumn="0" w:firstRowLastColumn="0" w:lastRowFirstColumn="0" w:lastRowLastColumn="0"/>
            </w:pPr>
            <w:r>
              <w:t>MFT</w:t>
            </w:r>
          </w:p>
        </w:tc>
        <w:tc>
          <w:tcPr>
            <w:tcW w:w="1957" w:type="dxa"/>
          </w:tcPr>
          <w:p w:rsidR="00D31594" w:rsidRDefault="00D31594" w:rsidP="00842857">
            <w:pPr>
              <w:cnfStyle w:val="000000000000" w:firstRow="0" w:lastRow="0" w:firstColumn="0" w:lastColumn="0" w:oddVBand="0" w:evenVBand="0" w:oddHBand="0" w:evenHBand="0" w:firstRowFirstColumn="0" w:firstRowLastColumn="0" w:lastRowFirstColumn="0" w:lastRowLastColumn="0"/>
            </w:pPr>
            <w:r>
              <w:t>Medway CCG</w:t>
            </w:r>
          </w:p>
        </w:tc>
      </w:tr>
      <w:tr w:rsidR="00D31594" w:rsidRPr="00D70AE2" w:rsidTr="00062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D31594" w:rsidRDefault="00EA1969" w:rsidP="00842857">
            <w:r>
              <w:t xml:space="preserve">Occupational Therapy </w:t>
            </w:r>
            <w:r>
              <w:lastRenderedPageBreak/>
              <w:t>(</w:t>
            </w:r>
            <w:r w:rsidR="00D31594">
              <w:t>children’s social care</w:t>
            </w:r>
            <w:r>
              <w:t>)</w:t>
            </w:r>
          </w:p>
        </w:tc>
        <w:tc>
          <w:tcPr>
            <w:tcW w:w="5171" w:type="dxa"/>
          </w:tcPr>
          <w:p w:rsidR="00D31594" w:rsidRDefault="00D31594" w:rsidP="00F33350">
            <w:pPr>
              <w:cnfStyle w:val="000000100000" w:firstRow="0" w:lastRow="0" w:firstColumn="0" w:lastColumn="0" w:oddVBand="0" w:evenVBand="0" w:oddHBand="1" w:evenHBand="0" w:firstRowFirstColumn="0" w:firstRowLastColumn="0" w:lastRowFirstColumn="0" w:lastRowLastColumn="0"/>
            </w:pPr>
            <w:r>
              <w:lastRenderedPageBreak/>
              <w:t xml:space="preserve">OT service with 2.65 WTE staff.  2 staff focus on </w:t>
            </w:r>
            <w:r>
              <w:lastRenderedPageBreak/>
              <w:t xml:space="preserve">equipment/adaptations, 1 on re-ablement. </w:t>
            </w:r>
          </w:p>
        </w:tc>
        <w:tc>
          <w:tcPr>
            <w:tcW w:w="1263" w:type="dxa"/>
          </w:tcPr>
          <w:p w:rsidR="00D31594" w:rsidRDefault="00D31594" w:rsidP="00842857">
            <w:pPr>
              <w:cnfStyle w:val="000000100000" w:firstRow="0" w:lastRow="0" w:firstColumn="0" w:lastColumn="0" w:oddVBand="0" w:evenVBand="0" w:oddHBand="1" w:evenHBand="0" w:firstRowFirstColumn="0" w:firstRowLastColumn="0" w:lastRowFirstColumn="0" w:lastRowLastColumn="0"/>
            </w:pPr>
            <w:r>
              <w:lastRenderedPageBreak/>
              <w:t>0 - 25</w:t>
            </w:r>
          </w:p>
        </w:tc>
        <w:tc>
          <w:tcPr>
            <w:tcW w:w="1519" w:type="dxa"/>
          </w:tcPr>
          <w:p w:rsidR="00D31594" w:rsidRDefault="00D31594" w:rsidP="00E51B34">
            <w:pPr>
              <w:jc w:val="center"/>
              <w:cnfStyle w:val="000000100000" w:firstRow="0" w:lastRow="0" w:firstColumn="0" w:lastColumn="0" w:oddVBand="0" w:evenVBand="0" w:oddHBand="1" w:evenHBand="0" w:firstRowFirstColumn="0" w:firstRowLastColumn="0" w:lastRowFirstColumn="0" w:lastRowLastColumn="0"/>
            </w:pPr>
            <w:r>
              <w:t>T/S</w:t>
            </w:r>
          </w:p>
        </w:tc>
        <w:tc>
          <w:tcPr>
            <w:tcW w:w="1570" w:type="dxa"/>
          </w:tcPr>
          <w:p w:rsidR="00D31594" w:rsidRDefault="00D31594" w:rsidP="00842857">
            <w:pPr>
              <w:cnfStyle w:val="000000100000" w:firstRow="0" w:lastRow="0" w:firstColumn="0" w:lastColumn="0" w:oddVBand="0" w:evenVBand="0" w:oddHBand="1" w:evenHBand="0" w:firstRowFirstColumn="0" w:firstRowLastColumn="0" w:lastRowFirstColumn="0" w:lastRowLastColumn="0"/>
            </w:pPr>
            <w:r>
              <w:t xml:space="preserve">Medway </w:t>
            </w:r>
            <w:r>
              <w:lastRenderedPageBreak/>
              <w:t>Council</w:t>
            </w:r>
          </w:p>
        </w:tc>
        <w:tc>
          <w:tcPr>
            <w:tcW w:w="1957" w:type="dxa"/>
          </w:tcPr>
          <w:p w:rsidR="00D31594" w:rsidRDefault="00D31594" w:rsidP="00842857">
            <w:pPr>
              <w:cnfStyle w:val="000000100000" w:firstRow="0" w:lastRow="0" w:firstColumn="0" w:lastColumn="0" w:oddVBand="0" w:evenVBand="0" w:oddHBand="1" w:evenHBand="0" w:firstRowFirstColumn="0" w:firstRowLastColumn="0" w:lastRowFirstColumn="0" w:lastRowLastColumn="0"/>
            </w:pPr>
            <w:r>
              <w:lastRenderedPageBreak/>
              <w:t>Medway Council</w:t>
            </w:r>
          </w:p>
        </w:tc>
      </w:tr>
      <w:tr w:rsidR="00EA1969" w:rsidRPr="00D70AE2" w:rsidTr="00F331A4">
        <w:tc>
          <w:tcPr>
            <w:cnfStyle w:val="001000000000" w:firstRow="0" w:lastRow="0" w:firstColumn="1" w:lastColumn="0" w:oddVBand="0" w:evenVBand="0" w:oddHBand="0" w:evenHBand="0" w:firstRowFirstColumn="0" w:firstRowLastColumn="0" w:lastRowFirstColumn="0" w:lastRowLastColumn="0"/>
            <w:tcW w:w="2694" w:type="dxa"/>
          </w:tcPr>
          <w:p w:rsidR="00EA1969" w:rsidRPr="00D70AE2" w:rsidRDefault="00EA1969" w:rsidP="00F331A4">
            <w:r w:rsidRPr="00D70AE2">
              <w:lastRenderedPageBreak/>
              <w:t>Occupational Therapy</w:t>
            </w:r>
            <w:r>
              <w:t xml:space="preserve"> (Community)</w:t>
            </w:r>
          </w:p>
        </w:tc>
        <w:tc>
          <w:tcPr>
            <w:tcW w:w="5171" w:type="dxa"/>
          </w:tcPr>
          <w:p w:rsidR="00EA1969" w:rsidRPr="00D70AE2" w:rsidRDefault="00EA1969" w:rsidP="00F331A4">
            <w:pPr>
              <w:cnfStyle w:val="000000000000" w:firstRow="0" w:lastRow="0" w:firstColumn="0" w:lastColumn="0" w:oddVBand="0" w:evenVBand="0" w:oddHBand="0" w:evenHBand="0" w:firstRowFirstColumn="0" w:firstRowLastColumn="0" w:lastRowFirstColumn="0" w:lastRowLastColumn="0"/>
            </w:pPr>
            <w:r>
              <w:t>W</w:t>
            </w:r>
            <w:r w:rsidRPr="00B1370F">
              <w:t>ork with children who have difficulties with the practical and social skills nece</w:t>
            </w:r>
            <w:r>
              <w:t>ssary for their everyday life i</w:t>
            </w:r>
            <w:r w:rsidRPr="00B1370F">
              <w:t>n</w:t>
            </w:r>
            <w:r>
              <w:t>c</w:t>
            </w:r>
            <w:r w:rsidRPr="00B1370F">
              <w:t>luding motor co-ordination difficulties, visual motor integration difficulties (the ability to combine the understanding of what is seen with fine motor/pencil skills), visual perceptual difficulties (the ability to recognise, interpret and understand what is seen), sensory processing difficulties, autism spectrum disorders, attention deficit/hyperactivity (ADD/ADHD), complex/moderate/mild physical disabilities, developmental delay</w:t>
            </w:r>
          </w:p>
        </w:tc>
        <w:tc>
          <w:tcPr>
            <w:tcW w:w="1263" w:type="dxa"/>
          </w:tcPr>
          <w:p w:rsidR="00EA1969" w:rsidRDefault="0098682B" w:rsidP="00F331A4">
            <w:pPr>
              <w:cnfStyle w:val="000000000000" w:firstRow="0" w:lastRow="0" w:firstColumn="0" w:lastColumn="0" w:oddVBand="0" w:evenVBand="0" w:oddHBand="0" w:evenHBand="0" w:firstRowFirstColumn="0" w:firstRowLastColumn="0" w:lastRowFirstColumn="0" w:lastRowLastColumn="0"/>
            </w:pPr>
            <w:r>
              <w:t>0 – 18</w:t>
            </w:r>
          </w:p>
        </w:tc>
        <w:tc>
          <w:tcPr>
            <w:tcW w:w="1519" w:type="dxa"/>
          </w:tcPr>
          <w:p w:rsidR="00EA1969" w:rsidRPr="00D70AE2" w:rsidRDefault="00EA1969" w:rsidP="00E51B34">
            <w:pPr>
              <w:jc w:val="center"/>
              <w:cnfStyle w:val="000000000000" w:firstRow="0" w:lastRow="0" w:firstColumn="0" w:lastColumn="0" w:oddVBand="0" w:evenVBand="0" w:oddHBand="0" w:evenHBand="0" w:firstRowFirstColumn="0" w:firstRowLastColumn="0" w:lastRowFirstColumn="0" w:lastRowLastColumn="0"/>
            </w:pPr>
            <w:r>
              <w:t>T, S</w:t>
            </w:r>
          </w:p>
        </w:tc>
        <w:tc>
          <w:tcPr>
            <w:tcW w:w="1570" w:type="dxa"/>
          </w:tcPr>
          <w:p w:rsidR="00EA1969" w:rsidRPr="00D70AE2" w:rsidRDefault="00EA1969" w:rsidP="00F331A4">
            <w:pPr>
              <w:cnfStyle w:val="000000000000" w:firstRow="0" w:lastRow="0" w:firstColumn="0" w:lastColumn="0" w:oddVBand="0" w:evenVBand="0" w:oddHBand="0" w:evenHBand="0" w:firstRowFirstColumn="0" w:firstRowLastColumn="0" w:lastRowFirstColumn="0" w:lastRowLastColumn="0"/>
            </w:pPr>
            <w:r>
              <w:t>MCH</w:t>
            </w:r>
          </w:p>
        </w:tc>
        <w:tc>
          <w:tcPr>
            <w:tcW w:w="1957" w:type="dxa"/>
          </w:tcPr>
          <w:p w:rsidR="00EA1969" w:rsidRDefault="00D32D47" w:rsidP="00F331A4">
            <w:pPr>
              <w:cnfStyle w:val="000000000000" w:firstRow="0" w:lastRow="0" w:firstColumn="0" w:lastColumn="0" w:oddVBand="0" w:evenVBand="0" w:oddHBand="0" w:evenHBand="0" w:firstRowFirstColumn="0" w:firstRowLastColumn="0" w:lastRowFirstColumn="0" w:lastRowLastColumn="0"/>
            </w:pPr>
            <w:r>
              <w:t>M</w:t>
            </w:r>
            <w:r w:rsidR="00EA1969">
              <w:t>CCG</w:t>
            </w:r>
          </w:p>
          <w:p w:rsidR="00EA1969" w:rsidRPr="00D70AE2" w:rsidRDefault="00EA1969" w:rsidP="00F331A4">
            <w:pPr>
              <w:cnfStyle w:val="000000000000" w:firstRow="0" w:lastRow="0" w:firstColumn="0" w:lastColumn="0" w:oddVBand="0" w:evenVBand="0" w:oddHBand="0" w:evenHBand="0" w:firstRowFirstColumn="0" w:firstRowLastColumn="0" w:lastRowFirstColumn="0" w:lastRowLastColumn="0"/>
            </w:pPr>
            <w:r>
              <w:t>Schools</w:t>
            </w:r>
          </w:p>
        </w:tc>
      </w:tr>
      <w:tr w:rsidR="00D31594" w:rsidTr="00062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D31594" w:rsidRDefault="00D31594" w:rsidP="00842857">
            <w:r>
              <w:t>Oliver Fisher Special Care Baby Unit</w:t>
            </w:r>
          </w:p>
        </w:tc>
        <w:tc>
          <w:tcPr>
            <w:tcW w:w="5171" w:type="dxa"/>
          </w:tcPr>
          <w:p w:rsidR="00D31594" w:rsidRDefault="00D31594" w:rsidP="00DB6F5F">
            <w:pPr>
              <w:cnfStyle w:val="000000100000" w:firstRow="0" w:lastRow="0" w:firstColumn="0" w:lastColumn="0" w:oddVBand="0" w:evenVBand="0" w:oddHBand="1" w:evenHBand="0" w:firstRowFirstColumn="0" w:firstRowLastColumn="0" w:lastRowFirstColumn="0" w:lastRowLastColumn="0"/>
            </w:pPr>
            <w:r>
              <w:t>For</w:t>
            </w:r>
            <w:r w:rsidRPr="00DB6F5F">
              <w:t xml:space="preserve"> babies born prematurely or who are sick and need intensive care</w:t>
            </w:r>
            <w:r>
              <w:t>; 26 cots including 8 intensive care cots.</w:t>
            </w:r>
            <w:r w:rsidR="004F2BC5">
              <w:t xml:space="preserve">  Babies may stay under the care of </w:t>
            </w:r>
            <w:r w:rsidR="00BD001D">
              <w:t>the neo-natal department for as long as 18 month</w:t>
            </w:r>
            <w:r w:rsidR="0098682B">
              <w:t>s</w:t>
            </w:r>
            <w:r w:rsidR="00BD001D">
              <w:t>.</w:t>
            </w:r>
          </w:p>
        </w:tc>
        <w:tc>
          <w:tcPr>
            <w:tcW w:w="1263" w:type="dxa"/>
          </w:tcPr>
          <w:p w:rsidR="00D31594" w:rsidRDefault="0098682B" w:rsidP="00842857">
            <w:pPr>
              <w:cnfStyle w:val="000000100000" w:firstRow="0" w:lastRow="0" w:firstColumn="0" w:lastColumn="0" w:oddVBand="0" w:evenVBand="0" w:oddHBand="1" w:evenHBand="0" w:firstRowFirstColumn="0" w:firstRowLastColumn="0" w:lastRowFirstColumn="0" w:lastRowLastColumn="0"/>
            </w:pPr>
            <w:r>
              <w:t>0 – 18 months</w:t>
            </w:r>
          </w:p>
        </w:tc>
        <w:tc>
          <w:tcPr>
            <w:tcW w:w="1519" w:type="dxa"/>
          </w:tcPr>
          <w:p w:rsidR="00D31594" w:rsidRDefault="0098682B" w:rsidP="00E51B34">
            <w:pPr>
              <w:jc w:val="center"/>
              <w:cnfStyle w:val="000000100000" w:firstRow="0" w:lastRow="0" w:firstColumn="0" w:lastColumn="0" w:oddVBand="0" w:evenVBand="0" w:oddHBand="1" w:evenHBand="0" w:firstRowFirstColumn="0" w:firstRowLastColumn="0" w:lastRowFirstColumn="0" w:lastRowLastColumn="0"/>
            </w:pPr>
            <w:r>
              <w:t>S</w:t>
            </w:r>
          </w:p>
        </w:tc>
        <w:tc>
          <w:tcPr>
            <w:tcW w:w="1570" w:type="dxa"/>
          </w:tcPr>
          <w:p w:rsidR="00D31594" w:rsidRDefault="0098682B" w:rsidP="00842857">
            <w:pPr>
              <w:cnfStyle w:val="000000100000" w:firstRow="0" w:lastRow="0" w:firstColumn="0" w:lastColumn="0" w:oddVBand="0" w:evenVBand="0" w:oddHBand="1" w:evenHBand="0" w:firstRowFirstColumn="0" w:firstRowLastColumn="0" w:lastRowFirstColumn="0" w:lastRowLastColumn="0"/>
            </w:pPr>
            <w:r>
              <w:t>MFT</w:t>
            </w:r>
          </w:p>
        </w:tc>
        <w:tc>
          <w:tcPr>
            <w:tcW w:w="1957" w:type="dxa"/>
          </w:tcPr>
          <w:p w:rsidR="00D31594" w:rsidRDefault="0098682B" w:rsidP="00842857">
            <w:pPr>
              <w:cnfStyle w:val="000000100000" w:firstRow="0" w:lastRow="0" w:firstColumn="0" w:lastColumn="0" w:oddVBand="0" w:evenVBand="0" w:oddHBand="1" w:evenHBand="0" w:firstRowFirstColumn="0" w:firstRowLastColumn="0" w:lastRowFirstColumn="0" w:lastRowLastColumn="0"/>
            </w:pPr>
            <w:r>
              <w:t>MCCG</w:t>
            </w:r>
          </w:p>
        </w:tc>
      </w:tr>
      <w:tr w:rsidR="00D31594" w:rsidTr="000626D8">
        <w:tc>
          <w:tcPr>
            <w:cnfStyle w:val="001000000000" w:firstRow="0" w:lastRow="0" w:firstColumn="1" w:lastColumn="0" w:oddVBand="0" w:evenVBand="0" w:oddHBand="0" w:evenHBand="0" w:firstRowFirstColumn="0" w:firstRowLastColumn="0" w:lastRowFirstColumn="0" w:lastRowLastColumn="0"/>
            <w:tcW w:w="2694" w:type="dxa"/>
          </w:tcPr>
          <w:p w:rsidR="00D31594" w:rsidRDefault="00D31594" w:rsidP="00842857">
            <w:r>
              <w:t>Penguin Assessment Unit</w:t>
            </w:r>
          </w:p>
        </w:tc>
        <w:tc>
          <w:tcPr>
            <w:tcW w:w="5171" w:type="dxa"/>
          </w:tcPr>
          <w:p w:rsidR="00D31594" w:rsidRDefault="00EA1969" w:rsidP="00EA1969">
            <w:pPr>
              <w:cnfStyle w:val="000000000000" w:firstRow="0" w:lastRow="0" w:firstColumn="0" w:lastColumn="0" w:oddVBand="0" w:evenVBand="0" w:oddHBand="0" w:evenHBand="0" w:firstRowFirstColumn="0" w:firstRowLastColumn="0" w:lastRowFirstColumn="0" w:lastRowLastColumn="0"/>
            </w:pPr>
            <w:r>
              <w:t>Hospital ward - m</w:t>
            </w:r>
            <w:r w:rsidR="00D31594">
              <w:t>edical and nursing assessment and care</w:t>
            </w:r>
          </w:p>
        </w:tc>
        <w:tc>
          <w:tcPr>
            <w:tcW w:w="1263" w:type="dxa"/>
          </w:tcPr>
          <w:p w:rsidR="00D31594" w:rsidRDefault="00D31594" w:rsidP="00842857">
            <w:pPr>
              <w:cnfStyle w:val="000000000000" w:firstRow="0" w:lastRow="0" w:firstColumn="0" w:lastColumn="0" w:oddVBand="0" w:evenVBand="0" w:oddHBand="0" w:evenHBand="0" w:firstRowFirstColumn="0" w:firstRowLastColumn="0" w:lastRowFirstColumn="0" w:lastRowLastColumn="0"/>
            </w:pPr>
            <w:r>
              <w:t>0 - 16</w:t>
            </w:r>
          </w:p>
        </w:tc>
        <w:tc>
          <w:tcPr>
            <w:tcW w:w="1519" w:type="dxa"/>
          </w:tcPr>
          <w:p w:rsidR="00D31594" w:rsidRDefault="00D31594" w:rsidP="00E51B34">
            <w:pPr>
              <w:jc w:val="center"/>
              <w:cnfStyle w:val="000000000000" w:firstRow="0" w:lastRow="0" w:firstColumn="0" w:lastColumn="0" w:oddVBand="0" w:evenVBand="0" w:oddHBand="0" w:evenHBand="0" w:firstRowFirstColumn="0" w:firstRowLastColumn="0" w:lastRowFirstColumn="0" w:lastRowLastColumn="0"/>
            </w:pPr>
            <w:r>
              <w:t>S</w:t>
            </w:r>
          </w:p>
        </w:tc>
        <w:tc>
          <w:tcPr>
            <w:tcW w:w="1570" w:type="dxa"/>
          </w:tcPr>
          <w:p w:rsidR="00D31594" w:rsidRDefault="00D31594" w:rsidP="00842857">
            <w:pPr>
              <w:cnfStyle w:val="000000000000" w:firstRow="0" w:lastRow="0" w:firstColumn="0" w:lastColumn="0" w:oddVBand="0" w:evenVBand="0" w:oddHBand="0" w:evenHBand="0" w:firstRowFirstColumn="0" w:firstRowLastColumn="0" w:lastRowFirstColumn="0" w:lastRowLastColumn="0"/>
            </w:pPr>
            <w:r>
              <w:t>MFT</w:t>
            </w:r>
          </w:p>
        </w:tc>
        <w:tc>
          <w:tcPr>
            <w:tcW w:w="1957" w:type="dxa"/>
          </w:tcPr>
          <w:p w:rsidR="00D31594" w:rsidRDefault="00D32D47" w:rsidP="00D32D47">
            <w:pPr>
              <w:cnfStyle w:val="000000000000" w:firstRow="0" w:lastRow="0" w:firstColumn="0" w:lastColumn="0" w:oddVBand="0" w:evenVBand="0" w:oddHBand="0" w:evenHBand="0" w:firstRowFirstColumn="0" w:firstRowLastColumn="0" w:lastRowFirstColumn="0" w:lastRowLastColumn="0"/>
            </w:pPr>
            <w:r>
              <w:t>M</w:t>
            </w:r>
            <w:r w:rsidR="00D31594">
              <w:t>CCG</w:t>
            </w:r>
          </w:p>
        </w:tc>
      </w:tr>
      <w:tr w:rsidR="00686332" w:rsidRPr="00D70AE2" w:rsidTr="00062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686332" w:rsidRPr="00D70AE2" w:rsidRDefault="00685DF0" w:rsidP="00977922">
            <w:r>
              <w:t>Physical and Sensory Service (PASS)</w:t>
            </w:r>
          </w:p>
        </w:tc>
        <w:tc>
          <w:tcPr>
            <w:tcW w:w="5171" w:type="dxa"/>
          </w:tcPr>
          <w:p w:rsidR="000F39D7" w:rsidRDefault="00CF23BE" w:rsidP="000F39D7">
            <w:pPr>
              <w:contextualSpacing/>
              <w:cnfStyle w:val="000000100000" w:firstRow="0" w:lastRow="0" w:firstColumn="0" w:lastColumn="0" w:oddVBand="0" w:evenVBand="0" w:oddHBand="1" w:evenHBand="0" w:firstRowFirstColumn="0" w:firstRowLastColumn="0" w:lastRowFirstColumn="0" w:lastRowLastColumn="0"/>
              <w:rPr>
                <w:rFonts w:cs="Arial"/>
              </w:rPr>
            </w:pPr>
            <w:r>
              <w:t>Specialist teachers</w:t>
            </w:r>
            <w:r w:rsidR="00685DF0" w:rsidRPr="00685DF0">
              <w:t xml:space="preserve"> aim</w:t>
            </w:r>
            <w:r>
              <w:t>ing</w:t>
            </w:r>
            <w:r w:rsidR="00685DF0" w:rsidRPr="00685DF0">
              <w:t xml:space="preserve"> to provide the earliest possible intervention to inform and advise on access to learning opportunities in the home environment, early years settings and schools for children with hearing, visual and physical impairments</w:t>
            </w:r>
            <w:r w:rsidR="00685DF0">
              <w:t xml:space="preserve"> – </w:t>
            </w:r>
            <w:r w:rsidR="000F39D7">
              <w:t xml:space="preserve">provision </w:t>
            </w:r>
            <w:r w:rsidR="00685DF0">
              <w:t>ranges from weekly home visits to annual monitoring visit</w:t>
            </w:r>
            <w:r w:rsidR="000F39D7">
              <w:t>s</w:t>
            </w:r>
            <w:r w:rsidR="00685DF0">
              <w:t xml:space="preserve"> in school</w:t>
            </w:r>
            <w:r w:rsidR="000F39D7">
              <w:t xml:space="preserve">s. </w:t>
            </w:r>
            <w:r w:rsidR="000F39D7" w:rsidRPr="00C3259A">
              <w:rPr>
                <w:rFonts w:cs="Arial"/>
              </w:rPr>
              <w:t xml:space="preserve">The team consists of qualified education professionals including teachers holding the mandatory qualifications to work with children with hearing and visual impairments. PASS supports the transition process when pupils move from school to HE and FE colleges, the workplace and care in </w:t>
            </w:r>
            <w:r w:rsidR="000F39D7" w:rsidRPr="00C3259A">
              <w:rPr>
                <w:rFonts w:cs="Arial"/>
              </w:rPr>
              <w:lastRenderedPageBreak/>
              <w:t>the community.</w:t>
            </w:r>
          </w:p>
          <w:p w:rsidR="00686332" w:rsidRDefault="00686332" w:rsidP="005E7F6E">
            <w:pPr>
              <w:cnfStyle w:val="000000100000" w:firstRow="0" w:lastRow="0" w:firstColumn="0" w:lastColumn="0" w:oddVBand="0" w:evenVBand="0" w:oddHBand="1" w:evenHBand="0" w:firstRowFirstColumn="0" w:firstRowLastColumn="0" w:lastRowFirstColumn="0" w:lastRowLastColumn="0"/>
            </w:pPr>
          </w:p>
        </w:tc>
        <w:tc>
          <w:tcPr>
            <w:tcW w:w="1263" w:type="dxa"/>
          </w:tcPr>
          <w:p w:rsidR="00686332" w:rsidRDefault="00685DF0" w:rsidP="00842857">
            <w:pPr>
              <w:cnfStyle w:val="000000100000" w:firstRow="0" w:lastRow="0" w:firstColumn="0" w:lastColumn="0" w:oddVBand="0" w:evenVBand="0" w:oddHBand="1" w:evenHBand="0" w:firstRowFirstColumn="0" w:firstRowLastColumn="0" w:lastRowFirstColumn="0" w:lastRowLastColumn="0"/>
            </w:pPr>
            <w:r>
              <w:lastRenderedPageBreak/>
              <w:t>0 - 25</w:t>
            </w:r>
          </w:p>
        </w:tc>
        <w:tc>
          <w:tcPr>
            <w:tcW w:w="1519" w:type="dxa"/>
          </w:tcPr>
          <w:p w:rsidR="00686332" w:rsidRDefault="00685DF0" w:rsidP="00E51B34">
            <w:pPr>
              <w:jc w:val="center"/>
              <w:cnfStyle w:val="000000100000" w:firstRow="0" w:lastRow="0" w:firstColumn="0" w:lastColumn="0" w:oddVBand="0" w:evenVBand="0" w:oddHBand="1" w:evenHBand="0" w:firstRowFirstColumn="0" w:firstRowLastColumn="0" w:lastRowFirstColumn="0" w:lastRowLastColumn="0"/>
            </w:pPr>
            <w:r>
              <w:t>S</w:t>
            </w:r>
          </w:p>
        </w:tc>
        <w:tc>
          <w:tcPr>
            <w:tcW w:w="1570" w:type="dxa"/>
          </w:tcPr>
          <w:p w:rsidR="00686332" w:rsidRDefault="00685DF0" w:rsidP="00842857">
            <w:pPr>
              <w:cnfStyle w:val="000000100000" w:firstRow="0" w:lastRow="0" w:firstColumn="0" w:lastColumn="0" w:oddVBand="0" w:evenVBand="0" w:oddHBand="1" w:evenHBand="0" w:firstRowFirstColumn="0" w:firstRowLastColumn="0" w:lastRowFirstColumn="0" w:lastRowLastColumn="0"/>
            </w:pPr>
            <w:r>
              <w:t>MC</w:t>
            </w:r>
          </w:p>
        </w:tc>
        <w:tc>
          <w:tcPr>
            <w:tcW w:w="1957" w:type="dxa"/>
          </w:tcPr>
          <w:p w:rsidR="00686332" w:rsidRDefault="00685DF0" w:rsidP="00842857">
            <w:pPr>
              <w:cnfStyle w:val="000000100000" w:firstRow="0" w:lastRow="0" w:firstColumn="0" w:lastColumn="0" w:oddVBand="0" w:evenVBand="0" w:oddHBand="1" w:evenHBand="0" w:firstRowFirstColumn="0" w:firstRowLastColumn="0" w:lastRowFirstColumn="0" w:lastRowLastColumn="0"/>
            </w:pPr>
            <w:r>
              <w:t>N/A</w:t>
            </w:r>
          </w:p>
        </w:tc>
      </w:tr>
      <w:tr w:rsidR="00D31594" w:rsidRPr="00D70AE2" w:rsidTr="000626D8">
        <w:tc>
          <w:tcPr>
            <w:cnfStyle w:val="001000000000" w:firstRow="0" w:lastRow="0" w:firstColumn="1" w:lastColumn="0" w:oddVBand="0" w:evenVBand="0" w:oddHBand="0" w:evenHBand="0" w:firstRowFirstColumn="0" w:firstRowLastColumn="0" w:lastRowFirstColumn="0" w:lastRowLastColumn="0"/>
            <w:tcW w:w="2694" w:type="dxa"/>
          </w:tcPr>
          <w:p w:rsidR="00D31594" w:rsidRPr="00D70AE2" w:rsidRDefault="00D31594" w:rsidP="00977922">
            <w:r w:rsidRPr="00D70AE2">
              <w:lastRenderedPageBreak/>
              <w:t>Physiotherapy</w:t>
            </w:r>
            <w:r>
              <w:t xml:space="preserve"> </w:t>
            </w:r>
            <w:r w:rsidR="00EA1969">
              <w:t>(community)</w:t>
            </w:r>
          </w:p>
        </w:tc>
        <w:tc>
          <w:tcPr>
            <w:tcW w:w="5171" w:type="dxa"/>
          </w:tcPr>
          <w:p w:rsidR="00D31594" w:rsidRDefault="00D31594" w:rsidP="005E7F6E">
            <w:pPr>
              <w:cnfStyle w:val="000000000000" w:firstRow="0" w:lastRow="0" w:firstColumn="0" w:lastColumn="0" w:oddVBand="0" w:evenVBand="0" w:oddHBand="0" w:evenHBand="0" w:firstRowFirstColumn="0" w:firstRowLastColumn="0" w:lastRowFirstColumn="0" w:lastRowLastColumn="0"/>
            </w:pPr>
            <w:r>
              <w:t>Conditions seen by the team may include orthopaedic and  rheumatological, acute injuries e.g. fractures, sports injuries</w:t>
            </w:r>
          </w:p>
          <w:p w:rsidR="00D31594" w:rsidRPr="00D70AE2" w:rsidRDefault="00D31594" w:rsidP="005E7F6E">
            <w:pPr>
              <w:cnfStyle w:val="000000000000" w:firstRow="0" w:lastRow="0" w:firstColumn="0" w:lastColumn="0" w:oddVBand="0" w:evenVBand="0" w:oddHBand="0" w:evenHBand="0" w:firstRowFirstColumn="0" w:firstRowLastColumn="0" w:lastRowFirstColumn="0" w:lastRowLastColumn="0"/>
            </w:pPr>
            <w:r>
              <w:t>neurological conditions e.g. cerebral palsy, head injury, neuromuscular disorders e.g. muscular dystrophy, developmental delay, congenital disorders e.g. spina bifida, limb deficiencies, congenital syndromes and metabolic diseases and other conditions where mobility is affected e.g. oncology</w:t>
            </w:r>
          </w:p>
        </w:tc>
        <w:tc>
          <w:tcPr>
            <w:tcW w:w="1263" w:type="dxa"/>
          </w:tcPr>
          <w:p w:rsidR="00D31594" w:rsidRDefault="00D31594" w:rsidP="00842857">
            <w:pPr>
              <w:cnfStyle w:val="000000000000" w:firstRow="0" w:lastRow="0" w:firstColumn="0" w:lastColumn="0" w:oddVBand="0" w:evenVBand="0" w:oddHBand="0" w:evenHBand="0" w:firstRowFirstColumn="0" w:firstRowLastColumn="0" w:lastRowFirstColumn="0" w:lastRowLastColumn="0"/>
            </w:pPr>
            <w:r>
              <w:t>0-19</w:t>
            </w:r>
          </w:p>
        </w:tc>
        <w:tc>
          <w:tcPr>
            <w:tcW w:w="1519" w:type="dxa"/>
          </w:tcPr>
          <w:p w:rsidR="00D31594" w:rsidRPr="00D70AE2" w:rsidRDefault="00D31594" w:rsidP="00E51B34">
            <w:pPr>
              <w:jc w:val="center"/>
              <w:cnfStyle w:val="000000000000" w:firstRow="0" w:lastRow="0" w:firstColumn="0" w:lastColumn="0" w:oddVBand="0" w:evenVBand="0" w:oddHBand="0" w:evenHBand="0" w:firstRowFirstColumn="0" w:firstRowLastColumn="0" w:lastRowFirstColumn="0" w:lastRowLastColumn="0"/>
            </w:pPr>
            <w:r>
              <w:t>T, S</w:t>
            </w:r>
          </w:p>
        </w:tc>
        <w:tc>
          <w:tcPr>
            <w:tcW w:w="1570" w:type="dxa"/>
          </w:tcPr>
          <w:p w:rsidR="00D31594" w:rsidRPr="00D70AE2" w:rsidRDefault="00D31594" w:rsidP="00842857">
            <w:pPr>
              <w:cnfStyle w:val="000000000000" w:firstRow="0" w:lastRow="0" w:firstColumn="0" w:lastColumn="0" w:oddVBand="0" w:evenVBand="0" w:oddHBand="0" w:evenHBand="0" w:firstRowFirstColumn="0" w:firstRowLastColumn="0" w:lastRowFirstColumn="0" w:lastRowLastColumn="0"/>
            </w:pPr>
            <w:r>
              <w:t>MCH</w:t>
            </w:r>
          </w:p>
        </w:tc>
        <w:tc>
          <w:tcPr>
            <w:tcW w:w="1957" w:type="dxa"/>
          </w:tcPr>
          <w:p w:rsidR="00D31594" w:rsidRPr="00D70AE2" w:rsidRDefault="00D31594" w:rsidP="00842857">
            <w:pPr>
              <w:cnfStyle w:val="000000000000" w:firstRow="0" w:lastRow="0" w:firstColumn="0" w:lastColumn="0" w:oddVBand="0" w:evenVBand="0" w:oddHBand="0" w:evenHBand="0" w:firstRowFirstColumn="0" w:firstRowLastColumn="0" w:lastRowFirstColumn="0" w:lastRowLastColumn="0"/>
            </w:pPr>
            <w:r>
              <w:t>MCCG</w:t>
            </w:r>
          </w:p>
        </w:tc>
      </w:tr>
      <w:tr w:rsidR="00D31594" w:rsidRPr="00D70AE2" w:rsidTr="00062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D31594" w:rsidRPr="00D70AE2" w:rsidRDefault="00D31594" w:rsidP="00D31594">
            <w:r>
              <w:t xml:space="preserve">Physiotherapy </w:t>
            </w:r>
            <w:r w:rsidR="00EA1969">
              <w:t>(acute)</w:t>
            </w:r>
          </w:p>
        </w:tc>
        <w:tc>
          <w:tcPr>
            <w:tcW w:w="5171" w:type="dxa"/>
          </w:tcPr>
          <w:p w:rsidR="00D31594" w:rsidRDefault="00EA1969" w:rsidP="004D74D6">
            <w:pPr>
              <w:cnfStyle w:val="000000100000" w:firstRow="0" w:lastRow="0" w:firstColumn="0" w:lastColumn="0" w:oddVBand="0" w:evenVBand="0" w:oddHBand="1" w:evenHBand="0" w:firstRowFirstColumn="0" w:firstRowLastColumn="0" w:lastRowFirstColumn="0" w:lastRowLastColumn="0"/>
            </w:pPr>
            <w:r>
              <w:t>Service t</w:t>
            </w:r>
            <w:r w:rsidR="00D31594">
              <w:t xml:space="preserve">o inpatients in Medway Maritime </w:t>
            </w:r>
            <w:r>
              <w:t>Hospital</w:t>
            </w:r>
          </w:p>
        </w:tc>
        <w:tc>
          <w:tcPr>
            <w:tcW w:w="1263" w:type="dxa"/>
          </w:tcPr>
          <w:p w:rsidR="00D31594" w:rsidRDefault="00D31594" w:rsidP="00842857">
            <w:pPr>
              <w:cnfStyle w:val="000000100000" w:firstRow="0" w:lastRow="0" w:firstColumn="0" w:lastColumn="0" w:oddVBand="0" w:evenVBand="0" w:oddHBand="1" w:evenHBand="0" w:firstRowFirstColumn="0" w:firstRowLastColumn="0" w:lastRowFirstColumn="0" w:lastRowLastColumn="0"/>
            </w:pPr>
            <w:r>
              <w:t>All ages</w:t>
            </w:r>
          </w:p>
        </w:tc>
        <w:tc>
          <w:tcPr>
            <w:tcW w:w="1519" w:type="dxa"/>
          </w:tcPr>
          <w:p w:rsidR="00D31594" w:rsidRDefault="00D31594" w:rsidP="00E51B34">
            <w:pPr>
              <w:jc w:val="center"/>
              <w:cnfStyle w:val="000000100000" w:firstRow="0" w:lastRow="0" w:firstColumn="0" w:lastColumn="0" w:oddVBand="0" w:evenVBand="0" w:oddHBand="1" w:evenHBand="0" w:firstRowFirstColumn="0" w:firstRowLastColumn="0" w:lastRowFirstColumn="0" w:lastRowLastColumn="0"/>
            </w:pPr>
            <w:r>
              <w:t>S</w:t>
            </w:r>
          </w:p>
        </w:tc>
        <w:tc>
          <w:tcPr>
            <w:tcW w:w="1570" w:type="dxa"/>
          </w:tcPr>
          <w:p w:rsidR="00D31594" w:rsidRDefault="00D31594" w:rsidP="00842857">
            <w:pPr>
              <w:cnfStyle w:val="000000100000" w:firstRow="0" w:lastRow="0" w:firstColumn="0" w:lastColumn="0" w:oddVBand="0" w:evenVBand="0" w:oddHBand="1" w:evenHBand="0" w:firstRowFirstColumn="0" w:firstRowLastColumn="0" w:lastRowFirstColumn="0" w:lastRowLastColumn="0"/>
            </w:pPr>
            <w:r>
              <w:t>MFT</w:t>
            </w:r>
          </w:p>
        </w:tc>
        <w:tc>
          <w:tcPr>
            <w:tcW w:w="1957" w:type="dxa"/>
          </w:tcPr>
          <w:p w:rsidR="00D31594" w:rsidRDefault="00253F04" w:rsidP="00842857">
            <w:pPr>
              <w:cnfStyle w:val="000000100000" w:firstRow="0" w:lastRow="0" w:firstColumn="0" w:lastColumn="0" w:oddVBand="0" w:evenVBand="0" w:oddHBand="1" w:evenHBand="0" w:firstRowFirstColumn="0" w:firstRowLastColumn="0" w:lastRowFirstColumn="0" w:lastRowLastColumn="0"/>
            </w:pPr>
            <w:r>
              <w:t>MCCG</w:t>
            </w:r>
          </w:p>
        </w:tc>
      </w:tr>
      <w:tr w:rsidR="00D31594" w:rsidTr="000626D8">
        <w:tc>
          <w:tcPr>
            <w:cnfStyle w:val="001000000000" w:firstRow="0" w:lastRow="0" w:firstColumn="1" w:lastColumn="0" w:oddVBand="0" w:evenVBand="0" w:oddHBand="0" w:evenHBand="0" w:firstRowFirstColumn="0" w:firstRowLastColumn="0" w:lastRowFirstColumn="0" w:lastRowLastColumn="0"/>
            <w:tcW w:w="2694" w:type="dxa"/>
          </w:tcPr>
          <w:p w:rsidR="00D31594" w:rsidRDefault="00D31594" w:rsidP="00842857">
            <w:r>
              <w:t>Podiatry</w:t>
            </w:r>
          </w:p>
        </w:tc>
        <w:tc>
          <w:tcPr>
            <w:tcW w:w="5171" w:type="dxa"/>
          </w:tcPr>
          <w:p w:rsidR="00D31594" w:rsidRDefault="00D31594" w:rsidP="00842857">
            <w:pPr>
              <w:cnfStyle w:val="000000000000" w:firstRow="0" w:lastRow="0" w:firstColumn="0" w:lastColumn="0" w:oddVBand="0" w:evenVBand="0" w:oddHBand="0" w:evenHBand="0" w:firstRowFirstColumn="0" w:firstRowLastColumn="0" w:lastRowFirstColumn="0" w:lastRowLastColumn="0"/>
            </w:pPr>
            <w:r w:rsidRPr="0017577F">
              <w:t>The paediatric podiatry service accepts referrals for any child that has a condition affecting their lower limb. This includes children with a hemiplegia who have leg length differences.</w:t>
            </w:r>
          </w:p>
        </w:tc>
        <w:tc>
          <w:tcPr>
            <w:tcW w:w="1263" w:type="dxa"/>
          </w:tcPr>
          <w:p w:rsidR="00D31594" w:rsidRDefault="00D31594" w:rsidP="00842857">
            <w:pPr>
              <w:cnfStyle w:val="000000000000" w:firstRow="0" w:lastRow="0" w:firstColumn="0" w:lastColumn="0" w:oddVBand="0" w:evenVBand="0" w:oddHBand="0" w:evenHBand="0" w:firstRowFirstColumn="0" w:firstRowLastColumn="0" w:lastRowFirstColumn="0" w:lastRowLastColumn="0"/>
            </w:pPr>
          </w:p>
        </w:tc>
        <w:tc>
          <w:tcPr>
            <w:tcW w:w="1519" w:type="dxa"/>
          </w:tcPr>
          <w:p w:rsidR="00D31594" w:rsidRDefault="00D31594" w:rsidP="00E51B34">
            <w:pPr>
              <w:jc w:val="center"/>
              <w:cnfStyle w:val="000000000000" w:firstRow="0" w:lastRow="0" w:firstColumn="0" w:lastColumn="0" w:oddVBand="0" w:evenVBand="0" w:oddHBand="0" w:evenHBand="0" w:firstRowFirstColumn="0" w:firstRowLastColumn="0" w:lastRowFirstColumn="0" w:lastRowLastColumn="0"/>
            </w:pPr>
            <w:r>
              <w:t>T</w:t>
            </w:r>
          </w:p>
        </w:tc>
        <w:tc>
          <w:tcPr>
            <w:tcW w:w="1570" w:type="dxa"/>
          </w:tcPr>
          <w:p w:rsidR="00D31594" w:rsidRDefault="00D31594" w:rsidP="00842857">
            <w:pPr>
              <w:cnfStyle w:val="000000000000" w:firstRow="0" w:lastRow="0" w:firstColumn="0" w:lastColumn="0" w:oddVBand="0" w:evenVBand="0" w:oddHBand="0" w:evenHBand="0" w:firstRowFirstColumn="0" w:firstRowLastColumn="0" w:lastRowFirstColumn="0" w:lastRowLastColumn="0"/>
            </w:pPr>
            <w:r>
              <w:t>MCH</w:t>
            </w:r>
          </w:p>
        </w:tc>
        <w:tc>
          <w:tcPr>
            <w:tcW w:w="1957" w:type="dxa"/>
          </w:tcPr>
          <w:p w:rsidR="00D31594" w:rsidRDefault="00253F04" w:rsidP="00842857">
            <w:pPr>
              <w:cnfStyle w:val="000000000000" w:firstRow="0" w:lastRow="0" w:firstColumn="0" w:lastColumn="0" w:oddVBand="0" w:evenVBand="0" w:oddHBand="0" w:evenHBand="0" w:firstRowFirstColumn="0" w:firstRowLastColumn="0" w:lastRowFirstColumn="0" w:lastRowLastColumn="0"/>
            </w:pPr>
            <w:r>
              <w:t>MCCG</w:t>
            </w:r>
          </w:p>
        </w:tc>
      </w:tr>
      <w:tr w:rsidR="00D31594" w:rsidTr="00062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D31594" w:rsidRDefault="00D31594" w:rsidP="00842857">
            <w:r>
              <w:t>Portage</w:t>
            </w:r>
          </w:p>
        </w:tc>
        <w:tc>
          <w:tcPr>
            <w:tcW w:w="5171" w:type="dxa"/>
          </w:tcPr>
          <w:p w:rsidR="00D31594" w:rsidRDefault="006C4569" w:rsidP="000903DF">
            <w:pPr>
              <w:cnfStyle w:val="000000100000" w:firstRow="0" w:lastRow="0" w:firstColumn="0" w:lastColumn="0" w:oddVBand="0" w:evenVBand="0" w:oddHBand="1" w:evenHBand="0" w:firstRowFirstColumn="0" w:firstRowLastColumn="0" w:lastRowFirstColumn="0" w:lastRowLastColumn="0"/>
            </w:pPr>
            <w:r>
              <w:t>Home-visit</w:t>
            </w:r>
            <w:r w:rsidR="007C2BD4">
              <w:t>ing educational service for pre-</w:t>
            </w:r>
            <w:r>
              <w:t>school children with additional needs and their families</w:t>
            </w:r>
          </w:p>
        </w:tc>
        <w:tc>
          <w:tcPr>
            <w:tcW w:w="1263" w:type="dxa"/>
          </w:tcPr>
          <w:p w:rsidR="00D31594" w:rsidRDefault="004F2BC5" w:rsidP="00842857">
            <w:pPr>
              <w:cnfStyle w:val="000000100000" w:firstRow="0" w:lastRow="0" w:firstColumn="0" w:lastColumn="0" w:oddVBand="0" w:evenVBand="0" w:oddHBand="1" w:evenHBand="0" w:firstRowFirstColumn="0" w:firstRowLastColumn="0" w:lastRowFirstColumn="0" w:lastRowLastColumn="0"/>
            </w:pPr>
            <w:r>
              <w:t>0</w:t>
            </w:r>
            <w:r w:rsidR="0098682B">
              <w:t xml:space="preserve"> </w:t>
            </w:r>
            <w:r>
              <w:t>-</w:t>
            </w:r>
            <w:r w:rsidR="0098682B">
              <w:t xml:space="preserve"> </w:t>
            </w:r>
            <w:r>
              <w:t>school age</w:t>
            </w:r>
          </w:p>
        </w:tc>
        <w:tc>
          <w:tcPr>
            <w:tcW w:w="1519" w:type="dxa"/>
          </w:tcPr>
          <w:p w:rsidR="00D31594" w:rsidRDefault="00D32D47" w:rsidP="00E51B34">
            <w:pPr>
              <w:jc w:val="center"/>
              <w:cnfStyle w:val="000000100000" w:firstRow="0" w:lastRow="0" w:firstColumn="0" w:lastColumn="0" w:oddVBand="0" w:evenVBand="0" w:oddHBand="1" w:evenHBand="0" w:firstRowFirstColumn="0" w:firstRowLastColumn="0" w:lastRowFirstColumn="0" w:lastRowLastColumn="0"/>
            </w:pPr>
            <w:r>
              <w:t>T</w:t>
            </w:r>
          </w:p>
        </w:tc>
        <w:tc>
          <w:tcPr>
            <w:tcW w:w="1570" w:type="dxa"/>
          </w:tcPr>
          <w:p w:rsidR="00D31594" w:rsidRDefault="00D32D47" w:rsidP="00842857">
            <w:pPr>
              <w:cnfStyle w:val="000000100000" w:firstRow="0" w:lastRow="0" w:firstColumn="0" w:lastColumn="0" w:oddVBand="0" w:evenVBand="0" w:oddHBand="1" w:evenHBand="0" w:firstRowFirstColumn="0" w:firstRowLastColumn="0" w:lastRowFirstColumn="0" w:lastRowLastColumn="0"/>
            </w:pPr>
            <w:r>
              <w:t>MC</w:t>
            </w:r>
          </w:p>
        </w:tc>
        <w:tc>
          <w:tcPr>
            <w:tcW w:w="1957" w:type="dxa"/>
          </w:tcPr>
          <w:p w:rsidR="00D31594" w:rsidRDefault="006C4569" w:rsidP="00842857">
            <w:pPr>
              <w:cnfStyle w:val="000000100000" w:firstRow="0" w:lastRow="0" w:firstColumn="0" w:lastColumn="0" w:oddVBand="0" w:evenVBand="0" w:oddHBand="1" w:evenHBand="0" w:firstRowFirstColumn="0" w:firstRowLastColumn="0" w:lastRowFirstColumn="0" w:lastRowLastColumn="0"/>
            </w:pPr>
            <w:r>
              <w:t>n/a</w:t>
            </w:r>
          </w:p>
        </w:tc>
      </w:tr>
      <w:tr w:rsidR="00D31594" w:rsidTr="000626D8">
        <w:tc>
          <w:tcPr>
            <w:cnfStyle w:val="001000000000" w:firstRow="0" w:lastRow="0" w:firstColumn="1" w:lastColumn="0" w:oddVBand="0" w:evenVBand="0" w:oddHBand="0" w:evenHBand="0" w:firstRowFirstColumn="0" w:firstRowLastColumn="0" w:lastRowFirstColumn="0" w:lastRowLastColumn="0"/>
            <w:tcW w:w="2694" w:type="dxa"/>
          </w:tcPr>
          <w:p w:rsidR="00D31594" w:rsidRDefault="00D31594" w:rsidP="00842857">
            <w:r>
              <w:t>Portage Sensory Service</w:t>
            </w:r>
          </w:p>
        </w:tc>
        <w:tc>
          <w:tcPr>
            <w:tcW w:w="5171" w:type="dxa"/>
          </w:tcPr>
          <w:p w:rsidR="00D31594" w:rsidRDefault="00E14CFF" w:rsidP="000903DF">
            <w:pPr>
              <w:cnfStyle w:val="000000000000" w:firstRow="0" w:lastRow="0" w:firstColumn="0" w:lastColumn="0" w:oddVBand="0" w:evenVBand="0" w:oddHBand="0" w:evenHBand="0" w:firstRowFirstColumn="0" w:firstRowLastColumn="0" w:lastRowFirstColumn="0" w:lastRowLastColumn="0"/>
            </w:pPr>
            <w:r>
              <w:t>Education</w:t>
            </w:r>
            <w:r w:rsidR="006C4569">
              <w:t xml:space="preserve"> sessions</w:t>
            </w:r>
            <w:r>
              <w:t xml:space="preserve"> (massage, swimming</w:t>
            </w:r>
            <w:r w:rsidR="0032773D">
              <w:t>, yoga)</w:t>
            </w:r>
            <w:r w:rsidR="006C4569">
              <w:t xml:space="preserve"> for </w:t>
            </w:r>
            <w:r w:rsidR="007C2BD4">
              <w:t xml:space="preserve"> </w:t>
            </w:r>
            <w:r>
              <w:t>pre-school children with sensory difficulties</w:t>
            </w:r>
          </w:p>
        </w:tc>
        <w:tc>
          <w:tcPr>
            <w:tcW w:w="1263" w:type="dxa"/>
          </w:tcPr>
          <w:p w:rsidR="00D31594" w:rsidRDefault="004F2BC5" w:rsidP="00842857">
            <w:pPr>
              <w:cnfStyle w:val="000000000000" w:firstRow="0" w:lastRow="0" w:firstColumn="0" w:lastColumn="0" w:oddVBand="0" w:evenVBand="0" w:oddHBand="0" w:evenHBand="0" w:firstRowFirstColumn="0" w:firstRowLastColumn="0" w:lastRowFirstColumn="0" w:lastRowLastColumn="0"/>
            </w:pPr>
            <w:r>
              <w:t>0 to school age</w:t>
            </w:r>
          </w:p>
        </w:tc>
        <w:tc>
          <w:tcPr>
            <w:tcW w:w="1519" w:type="dxa"/>
          </w:tcPr>
          <w:p w:rsidR="00D31594" w:rsidRDefault="0098682B" w:rsidP="00E51B34">
            <w:pPr>
              <w:jc w:val="center"/>
              <w:cnfStyle w:val="000000000000" w:firstRow="0" w:lastRow="0" w:firstColumn="0" w:lastColumn="0" w:oddVBand="0" w:evenVBand="0" w:oddHBand="0" w:evenHBand="0" w:firstRowFirstColumn="0" w:firstRowLastColumn="0" w:lastRowFirstColumn="0" w:lastRowLastColumn="0"/>
            </w:pPr>
            <w:r>
              <w:t>T</w:t>
            </w:r>
          </w:p>
        </w:tc>
        <w:tc>
          <w:tcPr>
            <w:tcW w:w="1570" w:type="dxa"/>
          </w:tcPr>
          <w:p w:rsidR="00D31594" w:rsidRDefault="0098682B" w:rsidP="00842857">
            <w:pPr>
              <w:cnfStyle w:val="000000000000" w:firstRow="0" w:lastRow="0" w:firstColumn="0" w:lastColumn="0" w:oddVBand="0" w:evenVBand="0" w:oddHBand="0" w:evenHBand="0" w:firstRowFirstColumn="0" w:firstRowLastColumn="0" w:lastRowFirstColumn="0" w:lastRowLastColumn="0"/>
            </w:pPr>
            <w:r>
              <w:t>MC</w:t>
            </w:r>
          </w:p>
        </w:tc>
        <w:tc>
          <w:tcPr>
            <w:tcW w:w="1957" w:type="dxa"/>
          </w:tcPr>
          <w:p w:rsidR="00D31594" w:rsidRDefault="0098682B" w:rsidP="00842857">
            <w:pPr>
              <w:cnfStyle w:val="000000000000" w:firstRow="0" w:lastRow="0" w:firstColumn="0" w:lastColumn="0" w:oddVBand="0" w:evenVBand="0" w:oddHBand="0" w:evenHBand="0" w:firstRowFirstColumn="0" w:firstRowLastColumn="0" w:lastRowFirstColumn="0" w:lastRowLastColumn="0"/>
            </w:pPr>
            <w:r>
              <w:t>n/a</w:t>
            </w:r>
          </w:p>
        </w:tc>
      </w:tr>
      <w:tr w:rsidR="00D31594" w:rsidTr="00062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D31594" w:rsidRPr="00D70AE2" w:rsidRDefault="00D31594" w:rsidP="00842857">
            <w:r w:rsidRPr="00D70AE2">
              <w:t>School Nursing</w:t>
            </w:r>
          </w:p>
        </w:tc>
        <w:tc>
          <w:tcPr>
            <w:tcW w:w="5171" w:type="dxa"/>
          </w:tcPr>
          <w:p w:rsidR="00D31594" w:rsidRDefault="00E23514" w:rsidP="00977922">
            <w:pPr>
              <w:cnfStyle w:val="000000100000" w:firstRow="0" w:lastRow="0" w:firstColumn="0" w:lastColumn="0" w:oddVBand="0" w:evenVBand="0" w:oddHBand="1" w:evenHBand="0" w:firstRowFirstColumn="0" w:firstRowLastColumn="0" w:lastRowFirstColumn="0" w:lastRowLastColumn="0"/>
            </w:pPr>
            <w:r w:rsidRPr="00E23514">
              <w:t>School nurses will support pupils with chronic health issues, for example epilepsy, asthma and severe allergy and assist school in developing individual care plans to meet the needs of the children/young people.  Where additional health needs are identified, school nurses ensure they receive an early response, including appropriate referral to specialist services and signposting to other agencies as per the relevant pathway.</w:t>
            </w:r>
          </w:p>
        </w:tc>
        <w:tc>
          <w:tcPr>
            <w:tcW w:w="1263" w:type="dxa"/>
          </w:tcPr>
          <w:p w:rsidR="00D31594" w:rsidRDefault="00D31594" w:rsidP="00842857">
            <w:pPr>
              <w:cnfStyle w:val="000000100000" w:firstRow="0" w:lastRow="0" w:firstColumn="0" w:lastColumn="0" w:oddVBand="0" w:evenVBand="0" w:oddHBand="1" w:evenHBand="0" w:firstRowFirstColumn="0" w:firstRowLastColumn="0" w:lastRowFirstColumn="0" w:lastRowLastColumn="0"/>
            </w:pPr>
            <w:r>
              <w:t>5-19</w:t>
            </w:r>
          </w:p>
        </w:tc>
        <w:tc>
          <w:tcPr>
            <w:tcW w:w="1519" w:type="dxa"/>
          </w:tcPr>
          <w:p w:rsidR="00D31594" w:rsidRDefault="00D31594" w:rsidP="00E51B34">
            <w:pPr>
              <w:jc w:val="center"/>
              <w:cnfStyle w:val="000000100000" w:firstRow="0" w:lastRow="0" w:firstColumn="0" w:lastColumn="0" w:oddVBand="0" w:evenVBand="0" w:oddHBand="1" w:evenHBand="0" w:firstRowFirstColumn="0" w:firstRowLastColumn="0" w:lastRowFirstColumn="0" w:lastRowLastColumn="0"/>
            </w:pPr>
            <w:r>
              <w:t>U, T, S</w:t>
            </w:r>
          </w:p>
        </w:tc>
        <w:tc>
          <w:tcPr>
            <w:tcW w:w="1570" w:type="dxa"/>
          </w:tcPr>
          <w:p w:rsidR="00D31594" w:rsidRDefault="00142020" w:rsidP="00842857">
            <w:pPr>
              <w:cnfStyle w:val="000000100000" w:firstRow="0" w:lastRow="0" w:firstColumn="0" w:lastColumn="0" w:oddVBand="0" w:evenVBand="0" w:oddHBand="1" w:evenHBand="0" w:firstRowFirstColumn="0" w:firstRowLastColumn="0" w:lastRowFirstColumn="0" w:lastRowLastColumn="0"/>
            </w:pPr>
            <w:r>
              <w:t>MFT</w:t>
            </w:r>
          </w:p>
        </w:tc>
        <w:tc>
          <w:tcPr>
            <w:tcW w:w="1957" w:type="dxa"/>
          </w:tcPr>
          <w:p w:rsidR="00D31594" w:rsidRDefault="00D31594" w:rsidP="00842857">
            <w:pPr>
              <w:cnfStyle w:val="000000100000" w:firstRow="0" w:lastRow="0" w:firstColumn="0" w:lastColumn="0" w:oddVBand="0" w:evenVBand="0" w:oddHBand="1" w:evenHBand="0" w:firstRowFirstColumn="0" w:firstRowLastColumn="0" w:lastRowFirstColumn="0" w:lastRowLastColumn="0"/>
            </w:pPr>
            <w:r>
              <w:t xml:space="preserve">Public Health Directorate </w:t>
            </w:r>
            <w:r w:rsidR="00D32D47">
              <w:t>MC</w:t>
            </w:r>
          </w:p>
        </w:tc>
      </w:tr>
      <w:tr w:rsidR="00D31594" w:rsidTr="000626D8">
        <w:tc>
          <w:tcPr>
            <w:cnfStyle w:val="001000000000" w:firstRow="0" w:lastRow="0" w:firstColumn="1" w:lastColumn="0" w:oddVBand="0" w:evenVBand="0" w:oddHBand="0" w:evenHBand="0" w:firstRowFirstColumn="0" w:firstRowLastColumn="0" w:lastRowFirstColumn="0" w:lastRowLastColumn="0"/>
            <w:tcW w:w="2694" w:type="dxa"/>
          </w:tcPr>
          <w:p w:rsidR="00D31594" w:rsidRDefault="00D31594" w:rsidP="00842857">
            <w:r>
              <w:lastRenderedPageBreak/>
              <w:t>Special Needs Nursery</w:t>
            </w:r>
          </w:p>
        </w:tc>
        <w:tc>
          <w:tcPr>
            <w:tcW w:w="5171" w:type="dxa"/>
          </w:tcPr>
          <w:p w:rsidR="00D31594" w:rsidRDefault="001C6A53" w:rsidP="001C6A53">
            <w:pPr>
              <w:cnfStyle w:val="000000000000" w:firstRow="0" w:lastRow="0" w:firstColumn="0" w:lastColumn="0" w:oddVBand="0" w:evenVBand="0" w:oddHBand="0" w:evenHBand="0" w:firstRowFirstColumn="0" w:firstRowLastColumn="0" w:lastRowFirstColumn="0" w:lastRowLastColumn="0"/>
            </w:pPr>
            <w:r>
              <w:t>Pre-</w:t>
            </w:r>
            <w:r w:rsidR="00E14CFF">
              <w:t xml:space="preserve">school sessions and assessment for </w:t>
            </w:r>
            <w:r>
              <w:t xml:space="preserve">young </w:t>
            </w:r>
            <w:r w:rsidR="00E14CFF" w:rsidRPr="00903CE5">
              <w:t xml:space="preserve">children with </w:t>
            </w:r>
            <w:r w:rsidR="00E14CFF">
              <w:t xml:space="preserve">moderate/severe learning disabilities </w:t>
            </w:r>
            <w:r w:rsidR="00E14CFF" w:rsidRPr="00903CE5">
              <w:t>and additional</w:t>
            </w:r>
            <w:r w:rsidR="00E14CFF">
              <w:t xml:space="preserve"> healthcare needs</w:t>
            </w:r>
          </w:p>
        </w:tc>
        <w:tc>
          <w:tcPr>
            <w:tcW w:w="1263" w:type="dxa"/>
          </w:tcPr>
          <w:p w:rsidR="00D31594" w:rsidRDefault="00E14CFF" w:rsidP="00842857">
            <w:pPr>
              <w:cnfStyle w:val="000000000000" w:firstRow="0" w:lastRow="0" w:firstColumn="0" w:lastColumn="0" w:oddVBand="0" w:evenVBand="0" w:oddHBand="0" w:evenHBand="0" w:firstRowFirstColumn="0" w:firstRowLastColumn="0" w:lastRowFirstColumn="0" w:lastRowLastColumn="0"/>
            </w:pPr>
            <w:r>
              <w:t>18m to 5 years</w:t>
            </w:r>
          </w:p>
        </w:tc>
        <w:tc>
          <w:tcPr>
            <w:tcW w:w="1519" w:type="dxa"/>
          </w:tcPr>
          <w:p w:rsidR="00D31594" w:rsidRDefault="00E14CFF" w:rsidP="00E51B34">
            <w:pPr>
              <w:jc w:val="center"/>
              <w:cnfStyle w:val="000000000000" w:firstRow="0" w:lastRow="0" w:firstColumn="0" w:lastColumn="0" w:oddVBand="0" w:evenVBand="0" w:oddHBand="0" w:evenHBand="0" w:firstRowFirstColumn="0" w:firstRowLastColumn="0" w:lastRowFirstColumn="0" w:lastRowLastColumn="0"/>
            </w:pPr>
            <w:r>
              <w:t>S</w:t>
            </w:r>
          </w:p>
        </w:tc>
        <w:tc>
          <w:tcPr>
            <w:tcW w:w="1570" w:type="dxa"/>
          </w:tcPr>
          <w:p w:rsidR="00D31594" w:rsidRDefault="00E14CFF" w:rsidP="00842857">
            <w:pPr>
              <w:cnfStyle w:val="000000000000" w:firstRow="0" w:lastRow="0" w:firstColumn="0" w:lastColumn="0" w:oddVBand="0" w:evenVBand="0" w:oddHBand="0" w:evenHBand="0" w:firstRowFirstColumn="0" w:firstRowLastColumn="0" w:lastRowFirstColumn="0" w:lastRowLastColumn="0"/>
            </w:pPr>
            <w:r>
              <w:t>MFT</w:t>
            </w:r>
          </w:p>
        </w:tc>
        <w:tc>
          <w:tcPr>
            <w:tcW w:w="1957" w:type="dxa"/>
          </w:tcPr>
          <w:p w:rsidR="00D31594" w:rsidRDefault="00E14CFF" w:rsidP="00842857">
            <w:pPr>
              <w:cnfStyle w:val="000000000000" w:firstRow="0" w:lastRow="0" w:firstColumn="0" w:lastColumn="0" w:oddVBand="0" w:evenVBand="0" w:oddHBand="0" w:evenHBand="0" w:firstRowFirstColumn="0" w:firstRowLastColumn="0" w:lastRowFirstColumn="0" w:lastRowLastColumn="0"/>
            </w:pPr>
            <w:r>
              <w:t>MCCG</w:t>
            </w:r>
          </w:p>
        </w:tc>
      </w:tr>
      <w:tr w:rsidR="00D31594" w:rsidTr="00062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D31594" w:rsidRPr="00D70AE2" w:rsidRDefault="00D31594" w:rsidP="00842857">
            <w:r>
              <w:t>Speech and Language Therapy, children under five</w:t>
            </w:r>
          </w:p>
        </w:tc>
        <w:tc>
          <w:tcPr>
            <w:tcW w:w="5171" w:type="dxa"/>
          </w:tcPr>
          <w:p w:rsidR="00D31594" w:rsidRDefault="00EA1969" w:rsidP="00842857">
            <w:pPr>
              <w:cnfStyle w:val="000000100000" w:firstRow="0" w:lastRow="0" w:firstColumn="0" w:lastColumn="0" w:oddVBand="0" w:evenVBand="0" w:oddHBand="1" w:evenHBand="0" w:firstRowFirstColumn="0" w:firstRowLastColumn="0" w:lastRowFirstColumn="0" w:lastRowLastColumn="0"/>
            </w:pPr>
            <w:r w:rsidRPr="000903DF">
              <w:t>Assessment and support to children with speech, language, communication or swallowing difficulties.</w:t>
            </w:r>
          </w:p>
        </w:tc>
        <w:tc>
          <w:tcPr>
            <w:tcW w:w="1263" w:type="dxa"/>
          </w:tcPr>
          <w:p w:rsidR="00D31594" w:rsidRDefault="00D31594" w:rsidP="00842857">
            <w:pPr>
              <w:cnfStyle w:val="000000100000" w:firstRow="0" w:lastRow="0" w:firstColumn="0" w:lastColumn="0" w:oddVBand="0" w:evenVBand="0" w:oddHBand="1" w:evenHBand="0" w:firstRowFirstColumn="0" w:firstRowLastColumn="0" w:lastRowFirstColumn="0" w:lastRowLastColumn="0"/>
            </w:pPr>
            <w:r>
              <w:t>0-4</w:t>
            </w:r>
          </w:p>
        </w:tc>
        <w:tc>
          <w:tcPr>
            <w:tcW w:w="1519" w:type="dxa"/>
          </w:tcPr>
          <w:p w:rsidR="00D31594" w:rsidRDefault="00D31594" w:rsidP="00E51B34">
            <w:pPr>
              <w:jc w:val="center"/>
              <w:cnfStyle w:val="000000100000" w:firstRow="0" w:lastRow="0" w:firstColumn="0" w:lastColumn="0" w:oddVBand="0" w:evenVBand="0" w:oddHBand="1" w:evenHBand="0" w:firstRowFirstColumn="0" w:firstRowLastColumn="0" w:lastRowFirstColumn="0" w:lastRowLastColumn="0"/>
            </w:pPr>
            <w:r>
              <w:t>T, S</w:t>
            </w:r>
          </w:p>
        </w:tc>
        <w:tc>
          <w:tcPr>
            <w:tcW w:w="1570" w:type="dxa"/>
          </w:tcPr>
          <w:p w:rsidR="00D31594" w:rsidRDefault="00D31594" w:rsidP="00842857">
            <w:pPr>
              <w:cnfStyle w:val="000000100000" w:firstRow="0" w:lastRow="0" w:firstColumn="0" w:lastColumn="0" w:oddVBand="0" w:evenVBand="0" w:oddHBand="1" w:evenHBand="0" w:firstRowFirstColumn="0" w:firstRowLastColumn="0" w:lastRowFirstColumn="0" w:lastRowLastColumn="0"/>
            </w:pPr>
            <w:r>
              <w:t>MCH</w:t>
            </w:r>
          </w:p>
        </w:tc>
        <w:tc>
          <w:tcPr>
            <w:tcW w:w="1957" w:type="dxa"/>
          </w:tcPr>
          <w:p w:rsidR="00D31594" w:rsidRDefault="00EA1969" w:rsidP="00842857">
            <w:pPr>
              <w:cnfStyle w:val="000000100000" w:firstRow="0" w:lastRow="0" w:firstColumn="0" w:lastColumn="0" w:oddVBand="0" w:evenVBand="0" w:oddHBand="1" w:evenHBand="0" w:firstRowFirstColumn="0" w:firstRowLastColumn="0" w:lastRowFirstColumn="0" w:lastRowLastColumn="0"/>
            </w:pPr>
            <w:r>
              <w:t>M</w:t>
            </w:r>
            <w:r w:rsidR="00D31594">
              <w:t>CCG</w:t>
            </w:r>
          </w:p>
        </w:tc>
      </w:tr>
      <w:tr w:rsidR="00D31594" w:rsidTr="00625B7B">
        <w:tc>
          <w:tcPr>
            <w:cnfStyle w:val="001000000000" w:firstRow="0" w:lastRow="0" w:firstColumn="1" w:lastColumn="0" w:oddVBand="0" w:evenVBand="0" w:oddHBand="0" w:evenHBand="0" w:firstRowFirstColumn="0" w:firstRowLastColumn="0" w:lastRowFirstColumn="0" w:lastRowLastColumn="0"/>
            <w:tcW w:w="2694" w:type="dxa"/>
          </w:tcPr>
          <w:p w:rsidR="00D31594" w:rsidRPr="00D70AE2" w:rsidRDefault="00D31594" w:rsidP="00842857">
            <w:r w:rsidRPr="00D70AE2">
              <w:t>Speech and Language Therapy</w:t>
            </w:r>
            <w:r>
              <w:t>, school age children</w:t>
            </w:r>
          </w:p>
        </w:tc>
        <w:tc>
          <w:tcPr>
            <w:tcW w:w="5171" w:type="dxa"/>
            <w:vAlign w:val="center"/>
          </w:tcPr>
          <w:p w:rsidR="00D31594" w:rsidRDefault="00D31594" w:rsidP="00625B7B">
            <w:pPr>
              <w:cnfStyle w:val="000000000000" w:firstRow="0" w:lastRow="0" w:firstColumn="0" w:lastColumn="0" w:oddVBand="0" w:evenVBand="0" w:oddHBand="0" w:evenHBand="0" w:firstRowFirstColumn="0" w:firstRowLastColumn="0" w:lastRowFirstColumn="0" w:lastRowLastColumn="0"/>
            </w:pPr>
            <w:r w:rsidRPr="000903DF">
              <w:t>Assessment and support to children with speech, language, communication or swallowing difficulties.</w:t>
            </w:r>
          </w:p>
        </w:tc>
        <w:tc>
          <w:tcPr>
            <w:tcW w:w="1263" w:type="dxa"/>
          </w:tcPr>
          <w:p w:rsidR="00D31594" w:rsidRDefault="00D31594" w:rsidP="00842857">
            <w:pPr>
              <w:cnfStyle w:val="000000000000" w:firstRow="0" w:lastRow="0" w:firstColumn="0" w:lastColumn="0" w:oddVBand="0" w:evenVBand="0" w:oddHBand="0" w:evenHBand="0" w:firstRowFirstColumn="0" w:firstRowLastColumn="0" w:lastRowFirstColumn="0" w:lastRowLastColumn="0"/>
            </w:pPr>
            <w:r>
              <w:t>5-18</w:t>
            </w:r>
          </w:p>
        </w:tc>
        <w:tc>
          <w:tcPr>
            <w:tcW w:w="1519" w:type="dxa"/>
          </w:tcPr>
          <w:p w:rsidR="00D31594" w:rsidRDefault="00D31594" w:rsidP="00E51B34">
            <w:pPr>
              <w:jc w:val="center"/>
              <w:cnfStyle w:val="000000000000" w:firstRow="0" w:lastRow="0" w:firstColumn="0" w:lastColumn="0" w:oddVBand="0" w:evenVBand="0" w:oddHBand="0" w:evenHBand="0" w:firstRowFirstColumn="0" w:firstRowLastColumn="0" w:lastRowFirstColumn="0" w:lastRowLastColumn="0"/>
            </w:pPr>
            <w:r>
              <w:t>T, S</w:t>
            </w:r>
          </w:p>
        </w:tc>
        <w:tc>
          <w:tcPr>
            <w:tcW w:w="1570" w:type="dxa"/>
          </w:tcPr>
          <w:p w:rsidR="00D31594" w:rsidRDefault="00142020" w:rsidP="00142020">
            <w:pPr>
              <w:cnfStyle w:val="000000000000" w:firstRow="0" w:lastRow="0" w:firstColumn="0" w:lastColumn="0" w:oddVBand="0" w:evenVBand="0" w:oddHBand="0" w:evenHBand="0" w:firstRowFirstColumn="0" w:firstRowLastColumn="0" w:lastRowFirstColumn="0" w:lastRowLastColumn="0"/>
            </w:pPr>
            <w:r>
              <w:t>MCH,</w:t>
            </w:r>
          </w:p>
        </w:tc>
        <w:tc>
          <w:tcPr>
            <w:tcW w:w="1957" w:type="dxa"/>
          </w:tcPr>
          <w:p w:rsidR="00D31594" w:rsidRDefault="00EA1969" w:rsidP="00842857">
            <w:pPr>
              <w:cnfStyle w:val="000000000000" w:firstRow="0" w:lastRow="0" w:firstColumn="0" w:lastColumn="0" w:oddVBand="0" w:evenVBand="0" w:oddHBand="0" w:evenHBand="0" w:firstRowFirstColumn="0" w:firstRowLastColumn="0" w:lastRowFirstColumn="0" w:lastRowLastColumn="0"/>
            </w:pPr>
            <w:r>
              <w:t>MCCG</w:t>
            </w:r>
            <w:r w:rsidR="00D31594">
              <w:t xml:space="preserve"> and </w:t>
            </w:r>
            <w:r w:rsidR="00D32D47">
              <w:t>MC</w:t>
            </w:r>
            <w:r w:rsidR="00D31594">
              <w:t xml:space="preserve"> </w:t>
            </w:r>
            <w:r>
              <w:t xml:space="preserve">via </w:t>
            </w:r>
            <w:r w:rsidR="00D31594">
              <w:t>pooled funding, schools</w:t>
            </w:r>
          </w:p>
        </w:tc>
      </w:tr>
    </w:tbl>
    <w:p w:rsidR="00410E5D" w:rsidRDefault="00410E5D" w:rsidP="00D70AE2"/>
    <w:sectPr w:rsidR="00410E5D" w:rsidSect="00D5162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AD5" w:rsidRDefault="007C6AD5" w:rsidP="000F77ED">
      <w:pPr>
        <w:spacing w:line="240" w:lineRule="auto"/>
      </w:pPr>
      <w:r>
        <w:separator/>
      </w:r>
    </w:p>
  </w:endnote>
  <w:endnote w:type="continuationSeparator" w:id="0">
    <w:p w:rsidR="007C6AD5" w:rsidRDefault="007C6AD5" w:rsidP="000F77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092688"/>
      <w:docPartObj>
        <w:docPartGallery w:val="Page Numbers (Bottom of Page)"/>
        <w:docPartUnique/>
      </w:docPartObj>
    </w:sdtPr>
    <w:sdtEndPr>
      <w:rPr>
        <w:noProof/>
      </w:rPr>
    </w:sdtEndPr>
    <w:sdtContent>
      <w:p w:rsidR="007C6AD5" w:rsidRDefault="007C6AD5">
        <w:pPr>
          <w:pStyle w:val="Footer"/>
          <w:jc w:val="center"/>
        </w:pPr>
        <w:r>
          <w:fldChar w:fldCharType="begin"/>
        </w:r>
        <w:r>
          <w:instrText xml:space="preserve"> PAGE   \* MERGEFORMAT </w:instrText>
        </w:r>
        <w:r>
          <w:fldChar w:fldCharType="separate"/>
        </w:r>
        <w:r w:rsidR="00156E8B">
          <w:rPr>
            <w:noProof/>
          </w:rPr>
          <w:t>49</w:t>
        </w:r>
        <w:r>
          <w:rPr>
            <w:noProof/>
          </w:rPr>
          <w:fldChar w:fldCharType="end"/>
        </w:r>
      </w:p>
    </w:sdtContent>
  </w:sdt>
  <w:p w:rsidR="007C6AD5" w:rsidRDefault="007C6A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AD5" w:rsidRDefault="007C6AD5" w:rsidP="000F77ED">
      <w:pPr>
        <w:spacing w:line="240" w:lineRule="auto"/>
      </w:pPr>
      <w:r>
        <w:separator/>
      </w:r>
    </w:p>
  </w:footnote>
  <w:footnote w:type="continuationSeparator" w:id="0">
    <w:p w:rsidR="007C6AD5" w:rsidRDefault="007C6AD5" w:rsidP="000F77ED">
      <w:pPr>
        <w:spacing w:line="240" w:lineRule="auto"/>
      </w:pPr>
      <w:r>
        <w:continuationSeparator/>
      </w:r>
    </w:p>
  </w:footnote>
  <w:footnote w:id="1">
    <w:p w:rsidR="007C6AD5" w:rsidRDefault="007C6AD5">
      <w:pPr>
        <w:pStyle w:val="FootnoteText"/>
      </w:pPr>
      <w:r>
        <w:rPr>
          <w:rStyle w:val="FootnoteReference"/>
        </w:rPr>
        <w:footnoteRef/>
      </w:r>
      <w:r>
        <w:t xml:space="preserve"> </w:t>
      </w:r>
      <w:hyperlink r:id="rId1" w:history="1">
        <w:r w:rsidRPr="002F39C0">
          <w:rPr>
            <w:rStyle w:val="Hyperlink"/>
          </w:rPr>
          <w:t>SEN Code of Practice 2014</w:t>
        </w:r>
      </w:hyperlink>
      <w:r>
        <w:t xml:space="preserve">, Section 3 </w:t>
      </w:r>
    </w:p>
  </w:footnote>
  <w:footnote w:id="2">
    <w:p w:rsidR="007C6AD5" w:rsidRDefault="007C6AD5">
      <w:pPr>
        <w:pStyle w:val="FootnoteText"/>
      </w:pPr>
      <w:r>
        <w:rPr>
          <w:rStyle w:val="FootnoteReference"/>
        </w:rPr>
        <w:footnoteRef/>
      </w:r>
      <w:r>
        <w:t xml:space="preserve"> </w:t>
      </w:r>
      <w:hyperlink r:id="rId2" w:history="1">
        <w:r w:rsidRPr="002F39C0">
          <w:rPr>
            <w:rStyle w:val="Hyperlink"/>
          </w:rPr>
          <w:t>NHS at Home: Community Children’s Nursing Services DH March 2011</w:t>
        </w:r>
      </w:hyperlink>
      <w:r w:rsidRPr="00D32B30">
        <w:t xml:space="preserve"> </w:t>
      </w:r>
      <w:r>
        <w:t xml:space="preserve">&amp; </w:t>
      </w:r>
      <w:r w:rsidRPr="00D32B30">
        <w:t>Commissioning Comprehensive Children’s Community Nursing Services, SE Coast Strategic Clinical Network April 2015</w:t>
      </w:r>
    </w:p>
  </w:footnote>
  <w:footnote w:id="3">
    <w:p w:rsidR="007C6AD5" w:rsidRDefault="007C6AD5">
      <w:pPr>
        <w:pStyle w:val="FootnoteText"/>
      </w:pPr>
      <w:r>
        <w:rPr>
          <w:rStyle w:val="FootnoteReference"/>
        </w:rPr>
        <w:footnoteRef/>
      </w:r>
      <w:r>
        <w:t xml:space="preserve"> </w:t>
      </w:r>
      <w:hyperlink r:id="rId3" w:history="1">
        <w:r w:rsidRPr="009C070E">
          <w:rPr>
            <w:rStyle w:val="Hyperlink"/>
          </w:rPr>
          <w:t>ONS</w:t>
        </w:r>
      </w:hyperlink>
    </w:p>
  </w:footnote>
  <w:footnote w:id="4">
    <w:p w:rsidR="007C6AD5" w:rsidRPr="001E3AC3" w:rsidRDefault="007C6AD5" w:rsidP="009C070E">
      <w:pPr>
        <w:rPr>
          <w:rFonts w:cs="Arial"/>
        </w:rPr>
      </w:pPr>
      <w:r>
        <w:rPr>
          <w:rStyle w:val="FootnoteReference"/>
        </w:rPr>
        <w:footnoteRef/>
      </w:r>
      <w:r>
        <w:t xml:space="preserve"> </w:t>
      </w:r>
      <w:hyperlink r:id="rId4" w:anchor="top" w:history="1">
        <w:r w:rsidRPr="009C070E">
          <w:rPr>
            <w:rStyle w:val="Hyperlink"/>
            <w:rFonts w:cs="Arial"/>
            <w:sz w:val="20"/>
          </w:rPr>
          <w:t>Numbers of Patients Registered at a GP Practice - July 2015</w:t>
        </w:r>
      </w:hyperlink>
    </w:p>
    <w:p w:rsidR="007C6AD5" w:rsidRDefault="007C6AD5">
      <w:pPr>
        <w:pStyle w:val="FootnoteText"/>
      </w:pPr>
    </w:p>
  </w:footnote>
  <w:footnote w:id="5">
    <w:p w:rsidR="007C6AD5" w:rsidRDefault="007C6AD5">
      <w:pPr>
        <w:pStyle w:val="FootnoteText"/>
      </w:pPr>
      <w:r>
        <w:rPr>
          <w:rStyle w:val="FootnoteReference"/>
        </w:rPr>
        <w:footnoteRef/>
      </w:r>
      <w:r>
        <w:t xml:space="preserve"> </w:t>
      </w:r>
      <w:hyperlink r:id="rId5" w:history="1">
        <w:r w:rsidRPr="00D5162B">
          <w:rPr>
            <w:rStyle w:val="Hyperlink"/>
          </w:rPr>
          <w:t>Key Data on Adolescence 2015 Hagell A, Coleman J and Brooks F (2015)</w:t>
        </w:r>
      </w:hyperlink>
    </w:p>
  </w:footnote>
  <w:footnote w:id="6">
    <w:p w:rsidR="007C6AD5" w:rsidRDefault="007C6AD5" w:rsidP="006358CD">
      <w:pPr>
        <w:pStyle w:val="FootnoteText"/>
      </w:pPr>
      <w:r>
        <w:rPr>
          <w:rStyle w:val="FootnoteReference"/>
        </w:rPr>
        <w:footnoteRef/>
      </w:r>
      <w:r>
        <w:t xml:space="preserve"> </w:t>
      </w:r>
      <w:hyperlink r:id="rId6" w:history="1">
        <w:r w:rsidRPr="002F39C0">
          <w:rPr>
            <w:rStyle w:val="Hyperlink"/>
          </w:rPr>
          <w:t>Children and Young People’s Health Outcomes Forum – Report of the Long Term Conditions, Disability and Palliative Care Subgroup</w:t>
        </w:r>
      </w:hyperlink>
    </w:p>
  </w:footnote>
  <w:footnote w:id="7">
    <w:p w:rsidR="007C6AD5" w:rsidRDefault="007C6AD5" w:rsidP="0083743B">
      <w:pPr>
        <w:pStyle w:val="FootnoteText"/>
      </w:pPr>
      <w:r>
        <w:rPr>
          <w:rStyle w:val="FootnoteReference"/>
        </w:rPr>
        <w:footnoteRef/>
      </w:r>
      <w:r>
        <w:t xml:space="preserve"> Ibid.</w:t>
      </w:r>
    </w:p>
  </w:footnote>
  <w:footnote w:id="8">
    <w:p w:rsidR="007C6AD5" w:rsidRDefault="007C6AD5" w:rsidP="0083743B">
      <w:r>
        <w:rPr>
          <w:rStyle w:val="FootnoteReference"/>
        </w:rPr>
        <w:footnoteRef/>
      </w:r>
      <w:r>
        <w:t xml:space="preserve"> </w:t>
      </w:r>
      <w:hyperlink r:id="rId7" w:history="1">
        <w:r w:rsidRPr="002F39C0">
          <w:rPr>
            <w:rStyle w:val="Hyperlink"/>
            <w:rFonts w:cs="Arial"/>
            <w:sz w:val="20"/>
            <w:szCs w:val="24"/>
          </w:rPr>
          <w:t>Foundation for People with Learning Disability</w:t>
        </w:r>
      </w:hyperlink>
    </w:p>
  </w:footnote>
  <w:footnote w:id="9">
    <w:p w:rsidR="007C6AD5" w:rsidRDefault="007C6AD5">
      <w:pPr>
        <w:pStyle w:val="FootnoteText"/>
      </w:pPr>
      <w:r>
        <w:rPr>
          <w:rStyle w:val="FootnoteReference"/>
        </w:rPr>
        <w:footnoteRef/>
      </w:r>
      <w:r>
        <w:t xml:space="preserve"> See Appendix x</w:t>
      </w:r>
    </w:p>
  </w:footnote>
  <w:footnote w:id="10">
    <w:p w:rsidR="007C6AD5" w:rsidRDefault="007C6AD5">
      <w:pPr>
        <w:pStyle w:val="FootnoteText"/>
      </w:pPr>
      <w:r>
        <w:rPr>
          <w:rStyle w:val="FootnoteReference"/>
        </w:rPr>
        <w:footnoteRef/>
      </w:r>
      <w:r>
        <w:t xml:space="preserve"> </w:t>
      </w:r>
      <w:hyperlink r:id="rId8" w:history="1">
        <w:r w:rsidRPr="006F3B7A">
          <w:rPr>
            <w:rStyle w:val="Hyperlink"/>
          </w:rPr>
          <w:t>NHS Atlas of Variation: Child Health</w:t>
        </w:r>
      </w:hyperlink>
    </w:p>
  </w:footnote>
  <w:footnote w:id="11">
    <w:p w:rsidR="007C6AD5" w:rsidRDefault="007C6AD5" w:rsidP="002D1D93">
      <w:pPr>
        <w:pStyle w:val="FootnoteText"/>
      </w:pPr>
      <w:r>
        <w:rPr>
          <w:rStyle w:val="FootnoteReference"/>
        </w:rPr>
        <w:footnoteRef/>
      </w:r>
      <w:r>
        <w:t xml:space="preserve"> </w:t>
      </w:r>
      <w:hyperlink r:id="rId9" w:history="1">
        <w:r w:rsidRPr="00631484">
          <w:rPr>
            <w:rStyle w:val="Hyperlink"/>
          </w:rPr>
          <w:t>Family Resources Survey, DWP</w:t>
        </w:r>
      </w:hyperlink>
      <w:r>
        <w:t xml:space="preserve">  </w:t>
      </w:r>
    </w:p>
  </w:footnote>
  <w:footnote w:id="12">
    <w:p w:rsidR="007C6AD5" w:rsidRDefault="007C6AD5" w:rsidP="002D1D93">
      <w:pPr>
        <w:pStyle w:val="FootnoteText"/>
      </w:pPr>
      <w:r>
        <w:rPr>
          <w:rStyle w:val="FootnoteReference"/>
        </w:rPr>
        <w:footnoteRef/>
      </w:r>
      <w:r>
        <w:t xml:space="preserve"> </w:t>
      </w:r>
      <w:r w:rsidRPr="004175A0">
        <w:t xml:space="preserve">Porter J, Daniels, H, Georgeson J, Hacker J, Gallop V, Feiler A, Tarleton B and Watson D (2008) </w:t>
      </w:r>
      <w:hyperlink r:id="rId10" w:history="1">
        <w:r w:rsidRPr="002F39C0">
          <w:rPr>
            <w:rStyle w:val="Hyperlink"/>
          </w:rPr>
          <w:t>Disability Data Collection for Children’s Services Research Report</w:t>
        </w:r>
      </w:hyperlink>
      <w:r>
        <w:t>,</w:t>
      </w:r>
      <w:r w:rsidRPr="004175A0">
        <w:t xml:space="preserve"> DCSF.</w:t>
      </w:r>
    </w:p>
  </w:footnote>
  <w:footnote w:id="13">
    <w:p w:rsidR="007C6AD5" w:rsidRDefault="007C6AD5" w:rsidP="002D1D93">
      <w:pPr>
        <w:pStyle w:val="FootnoteText"/>
      </w:pPr>
      <w:r>
        <w:rPr>
          <w:rStyle w:val="FootnoteReference"/>
        </w:rPr>
        <w:footnoteRef/>
      </w:r>
      <w:r>
        <w:t xml:space="preserve"> </w:t>
      </w:r>
      <w:hyperlink r:id="rId11" w:history="1">
        <w:r w:rsidRPr="002F39C0">
          <w:rPr>
            <w:rStyle w:val="Hyperlink"/>
          </w:rPr>
          <w:t>Trajectories and transitions in the cognitive and educational development of disabled children and young people</w:t>
        </w:r>
      </w:hyperlink>
      <w:r>
        <w:t>, CLS Institute of Education, University of London</w:t>
      </w:r>
    </w:p>
  </w:footnote>
  <w:footnote w:id="14">
    <w:p w:rsidR="007C6AD5" w:rsidRDefault="007C6AD5" w:rsidP="008C7291">
      <w:pPr>
        <w:pStyle w:val="FootnoteText"/>
      </w:pPr>
      <w:r>
        <w:rPr>
          <w:rStyle w:val="FootnoteReference"/>
        </w:rPr>
        <w:footnoteRef/>
      </w:r>
      <w:r>
        <w:t xml:space="preserve"> </w:t>
      </w:r>
      <w:hyperlink r:id="rId12" w:history="1">
        <w:r w:rsidRPr="00B45DB6">
          <w:rPr>
            <w:rStyle w:val="Hyperlink"/>
          </w:rPr>
          <w:t>National Child and Maternal Health Intelligence Network Disability Needs Assessment</w:t>
        </w:r>
      </w:hyperlink>
    </w:p>
  </w:footnote>
  <w:footnote w:id="15">
    <w:p w:rsidR="007C6AD5" w:rsidRDefault="007C6AD5">
      <w:pPr>
        <w:pStyle w:val="FootnoteText"/>
      </w:pPr>
      <w:r>
        <w:rPr>
          <w:rStyle w:val="FootnoteReference"/>
        </w:rPr>
        <w:footnoteRef/>
      </w:r>
      <w:r>
        <w:t xml:space="preserve"> </w:t>
      </w:r>
      <w:r w:rsidRPr="00C77C6F">
        <w:t>https://www.gov.uk/government/statistics/early-years-foundation-stage-profile-results-2013-to-2014</w:t>
      </w:r>
    </w:p>
  </w:footnote>
  <w:footnote w:id="16">
    <w:p w:rsidR="007C6AD5" w:rsidRDefault="007C6AD5" w:rsidP="002D1D93">
      <w:pPr>
        <w:pStyle w:val="FootnoteText"/>
      </w:pPr>
      <w:r>
        <w:rPr>
          <w:rStyle w:val="FootnoteReference"/>
        </w:rPr>
        <w:footnoteRef/>
      </w:r>
      <w:r>
        <w:t xml:space="preserve"> “</w:t>
      </w:r>
      <w:r w:rsidRPr="00F03848">
        <w:t>For children in low socio-economic households, the odds of being reported to have a disabling chronic condition were 70% greater than for those in better off households</w:t>
      </w:r>
      <w:r>
        <w:t xml:space="preserve">” </w:t>
      </w:r>
      <w:hyperlink r:id="rId13" w:history="1">
        <w:r w:rsidRPr="00DF72ED">
          <w:rPr>
            <w:rStyle w:val="Hyperlink"/>
          </w:rPr>
          <w:t>Childhood Disability and Socio-Economic Disadvantage: The Evidence</w:t>
        </w:r>
      </w:hyperlink>
      <w:r>
        <w:t>, Warwick Medical School 2013</w:t>
      </w:r>
    </w:p>
  </w:footnote>
  <w:footnote w:id="17">
    <w:p w:rsidR="007C6AD5" w:rsidRDefault="007C6AD5" w:rsidP="002D1D93">
      <w:pPr>
        <w:pStyle w:val="FootnoteText"/>
      </w:pPr>
      <w:r>
        <w:rPr>
          <w:rStyle w:val="FootnoteReference"/>
        </w:rPr>
        <w:footnoteRef/>
      </w:r>
      <w:r>
        <w:t xml:space="preserve"> </w:t>
      </w:r>
      <w:hyperlink r:id="rId14" w:history="1">
        <w:r w:rsidRPr="00DF72ED">
          <w:rPr>
            <w:rStyle w:val="Hyperlink"/>
          </w:rPr>
          <w:t>Medway Child Health Profile 2015</w:t>
        </w:r>
      </w:hyperlink>
      <w:r>
        <w:t>, Public Health England</w:t>
      </w:r>
    </w:p>
  </w:footnote>
  <w:footnote w:id="18">
    <w:p w:rsidR="007C6AD5" w:rsidRDefault="007C6AD5" w:rsidP="009324A6">
      <w:r>
        <w:rPr>
          <w:rStyle w:val="FootnoteReference"/>
        </w:rPr>
        <w:footnoteRef/>
      </w:r>
      <w:r>
        <w:t xml:space="preserve"> </w:t>
      </w:r>
      <w:r w:rsidRPr="000D75F0">
        <w:rPr>
          <w:sz w:val="20"/>
          <w:szCs w:val="20"/>
        </w:rPr>
        <w:t>2</w:t>
      </w:r>
      <w:r>
        <w:rPr>
          <w:sz w:val="20"/>
          <w:szCs w:val="20"/>
        </w:rPr>
        <w:t>013 projection from 2011 Census</w:t>
      </w:r>
    </w:p>
  </w:footnote>
  <w:footnote w:id="19">
    <w:p w:rsidR="007C6AD5" w:rsidRDefault="007C6AD5" w:rsidP="00E65C68">
      <w:pPr>
        <w:pStyle w:val="FootnoteText"/>
      </w:pPr>
      <w:r>
        <w:rPr>
          <w:rStyle w:val="FootnoteReference"/>
        </w:rPr>
        <w:footnoteRef/>
      </w:r>
      <w:r>
        <w:t xml:space="preserve"> </w:t>
      </w:r>
      <w:hyperlink r:id="rId15" w:history="1">
        <w:r w:rsidRPr="00311A5D">
          <w:rPr>
            <w:rStyle w:val="Hyperlink"/>
          </w:rPr>
          <w:t>Special Educational Needs and Disability Code of Practice 2014</w:t>
        </w:r>
      </w:hyperlink>
    </w:p>
  </w:footnote>
  <w:footnote w:id="20">
    <w:p w:rsidR="007C6AD5" w:rsidRDefault="007C6AD5" w:rsidP="00995F3C">
      <w:r>
        <w:rPr>
          <w:rStyle w:val="FootnoteReference"/>
        </w:rPr>
        <w:footnoteRef/>
      </w:r>
      <w:r>
        <w:t xml:space="preserve"> </w:t>
      </w:r>
      <w:hyperlink r:id="rId16" w:history="1">
        <w:r w:rsidRPr="008C3671">
          <w:rPr>
            <w:rStyle w:val="Hyperlink"/>
            <w:sz w:val="20"/>
          </w:rPr>
          <w:t>SFR25 Special Educational Needs in England: January 2015</w:t>
        </w:r>
      </w:hyperlink>
    </w:p>
  </w:footnote>
  <w:footnote w:id="21">
    <w:p w:rsidR="007C6AD5" w:rsidRDefault="007C6AD5">
      <w:pPr>
        <w:pStyle w:val="FootnoteText"/>
      </w:pPr>
      <w:r>
        <w:rPr>
          <w:rStyle w:val="FootnoteReference"/>
        </w:rPr>
        <w:footnoteRef/>
      </w:r>
      <w:r>
        <w:t xml:space="preserve"> Ibid.</w:t>
      </w:r>
    </w:p>
  </w:footnote>
  <w:footnote w:id="22">
    <w:p w:rsidR="007C6AD5" w:rsidRDefault="007C6AD5" w:rsidP="00F00BEE">
      <w:pPr>
        <w:pStyle w:val="FootnoteText"/>
      </w:pPr>
      <w:r>
        <w:rPr>
          <w:rStyle w:val="FootnoteReference"/>
        </w:rPr>
        <w:footnoteRef/>
      </w:r>
      <w:r>
        <w:t xml:space="preserve"> Ibid.</w:t>
      </w:r>
    </w:p>
  </w:footnote>
  <w:footnote w:id="23">
    <w:p w:rsidR="007C6AD5" w:rsidRDefault="007C6AD5">
      <w:pPr>
        <w:pStyle w:val="FootnoteText"/>
      </w:pPr>
      <w:r>
        <w:rPr>
          <w:rStyle w:val="FootnoteReference"/>
        </w:rPr>
        <w:footnoteRef/>
      </w:r>
      <w:r>
        <w:t xml:space="preserve"> </w:t>
      </w:r>
      <w:hyperlink r:id="rId17" w:anchor="page/0/gid/1938132702/pat/6/par/E12000008/ati/102/are/E06000035" w:history="1">
        <w:r w:rsidRPr="00903ABC">
          <w:rPr>
            <w:rStyle w:val="Hyperlink"/>
          </w:rPr>
          <w:t>Public Health England Learning Disability Profiles 2013/14</w:t>
        </w:r>
      </w:hyperlink>
    </w:p>
  </w:footnote>
  <w:footnote w:id="24">
    <w:p w:rsidR="007C6AD5" w:rsidRDefault="007C6AD5" w:rsidP="00D139BE">
      <w:r>
        <w:rPr>
          <w:rStyle w:val="FootnoteReference"/>
        </w:rPr>
        <w:footnoteRef/>
      </w:r>
      <w:r>
        <w:t xml:space="preserve"> </w:t>
      </w:r>
      <w:hyperlink r:id="rId18" w:history="1">
        <w:r w:rsidRPr="00A76A24">
          <w:rPr>
            <w:rStyle w:val="Hyperlink"/>
            <w:sz w:val="20"/>
          </w:rPr>
          <w:t>Hospital Episode Statistics – Accident and Emergency Attendances in England – 2012/13</w:t>
        </w:r>
      </w:hyperlink>
    </w:p>
  </w:footnote>
  <w:footnote w:id="25">
    <w:p w:rsidR="007C6AD5" w:rsidRDefault="007C6AD5">
      <w:pPr>
        <w:pStyle w:val="FootnoteText"/>
      </w:pPr>
      <w:r>
        <w:rPr>
          <w:rStyle w:val="FootnoteReference"/>
        </w:rPr>
        <w:footnoteRef/>
      </w:r>
      <w:r>
        <w:t xml:space="preserve"> </w:t>
      </w:r>
      <w:r w:rsidRPr="00DF1EE5">
        <w:rPr>
          <w:szCs w:val="22"/>
        </w:rPr>
        <w:t xml:space="preserve">Sartain SA, Maxwell MJ, Todd PJ et al. (2002) Randomised controlled trial comparing an acute paediatric hospital at home scheme with conventional hospital care. Archives of Disease in Childhood 87: 371–375. Referenced in </w:t>
      </w:r>
      <w:hyperlink r:id="rId19" w:history="1">
        <w:r w:rsidRPr="00DF72ED">
          <w:rPr>
            <w:rStyle w:val="Hyperlink"/>
            <w:szCs w:val="22"/>
          </w:rPr>
          <w:t>NHS at Home: Community Children’s Nursing Services DH March 2011</w:t>
        </w:r>
      </w:hyperlink>
    </w:p>
  </w:footnote>
  <w:footnote w:id="26">
    <w:p w:rsidR="007C6AD5" w:rsidRDefault="007C6AD5">
      <w:pPr>
        <w:pStyle w:val="FootnoteText"/>
      </w:pPr>
      <w:r>
        <w:rPr>
          <w:rStyle w:val="FootnoteReference"/>
        </w:rPr>
        <w:footnoteRef/>
      </w:r>
      <w:r>
        <w:t xml:space="preserve"> Reviewing children and young people’s use of secondary care, Public Health England/CHIMAT</w:t>
      </w:r>
    </w:p>
  </w:footnote>
  <w:footnote w:id="27">
    <w:p w:rsidR="007C6AD5" w:rsidRDefault="007C6AD5">
      <w:pPr>
        <w:pStyle w:val="FootnoteText"/>
      </w:pPr>
      <w:r>
        <w:rPr>
          <w:rStyle w:val="FootnoteReference"/>
        </w:rPr>
        <w:footnoteRef/>
      </w:r>
      <w:r>
        <w:t xml:space="preserve"> ‘New North Kent Community Child Nursing Service’ Medway CCG Commissioning, Finance and Performance Committee 20.8.2014</w:t>
      </w:r>
    </w:p>
  </w:footnote>
  <w:footnote w:id="28">
    <w:p w:rsidR="007C6AD5" w:rsidRDefault="007C6AD5">
      <w:pPr>
        <w:pStyle w:val="FootnoteText"/>
      </w:pPr>
      <w:r>
        <w:rPr>
          <w:rStyle w:val="FootnoteReference"/>
        </w:rPr>
        <w:footnoteRef/>
      </w:r>
      <w:r>
        <w:t xml:space="preserve"> </w:t>
      </w:r>
      <w:r w:rsidRPr="004B36D3">
        <w:t>New North Kent Community Children’s Nursing Service paper, Medway CCG C,F&amp;P 20.8.2014</w:t>
      </w:r>
    </w:p>
  </w:footnote>
  <w:footnote w:id="29">
    <w:p w:rsidR="007C6AD5" w:rsidRDefault="007C6AD5">
      <w:pPr>
        <w:pStyle w:val="FootnoteText"/>
      </w:pPr>
      <w:r>
        <w:rPr>
          <w:rStyle w:val="FootnoteReference"/>
        </w:rPr>
        <w:footnoteRef/>
      </w:r>
      <w:r>
        <w:t xml:space="preserve"> </w:t>
      </w:r>
      <w:hyperlink r:id="rId20" w:history="1">
        <w:r w:rsidRPr="00435F85">
          <w:rPr>
            <w:rStyle w:val="Hyperlink"/>
          </w:rPr>
          <w:t>Health Survey for England, 2011</w:t>
        </w:r>
      </w:hyperlink>
      <w:r w:rsidRPr="00CD7B87">
        <w:t xml:space="preserve"> – Health and Social care Information Centre</w:t>
      </w:r>
    </w:p>
  </w:footnote>
  <w:footnote w:id="30">
    <w:p w:rsidR="007C6AD5" w:rsidRDefault="007C6AD5">
      <w:pPr>
        <w:pStyle w:val="FootnoteText"/>
      </w:pPr>
      <w:r>
        <w:rPr>
          <w:rStyle w:val="FootnoteReference"/>
        </w:rPr>
        <w:footnoteRef/>
      </w:r>
      <w:r>
        <w:t xml:space="preserve"> </w:t>
      </w:r>
      <w:hyperlink r:id="rId21" w:history="1">
        <w:r w:rsidRPr="00A76A24">
          <w:rPr>
            <w:rStyle w:val="Hyperlink"/>
          </w:rPr>
          <w:t>Children and Young People’s Health Benchmarking Tool, Public Health England</w:t>
        </w:r>
      </w:hyperlink>
    </w:p>
  </w:footnote>
  <w:footnote w:id="31">
    <w:p w:rsidR="007C6AD5" w:rsidRDefault="007C6AD5" w:rsidP="005B7B2F">
      <w:r>
        <w:rPr>
          <w:rStyle w:val="FootnoteReference"/>
        </w:rPr>
        <w:footnoteRef/>
      </w:r>
      <w:r>
        <w:t xml:space="preserve"> </w:t>
      </w:r>
      <w:hyperlink r:id="rId22" w:history="1">
        <w:r w:rsidRPr="00435F85">
          <w:rPr>
            <w:rStyle w:val="Hyperlink"/>
            <w:sz w:val="20"/>
            <w:szCs w:val="20"/>
          </w:rPr>
          <w:t>NICE Quality Standard for Asthma</w:t>
        </w:r>
      </w:hyperlink>
      <w:r w:rsidRPr="000F77ED">
        <w:rPr>
          <w:sz w:val="20"/>
          <w:szCs w:val="20"/>
        </w:rPr>
        <w:t xml:space="preserve"> 2013</w:t>
      </w:r>
    </w:p>
  </w:footnote>
  <w:footnote w:id="32">
    <w:p w:rsidR="007C6AD5" w:rsidRDefault="007C6AD5" w:rsidP="005B7B2F">
      <w:pPr>
        <w:pStyle w:val="FootnoteText"/>
      </w:pPr>
      <w:r>
        <w:rPr>
          <w:rStyle w:val="FootnoteReference"/>
        </w:rPr>
        <w:footnoteRef/>
      </w:r>
      <w:r>
        <w:t xml:space="preserve"> </w:t>
      </w:r>
      <w:hyperlink r:id="rId23" w:history="1">
        <w:r w:rsidRPr="00435F85">
          <w:rPr>
            <w:rStyle w:val="Hyperlink"/>
          </w:rPr>
          <w:t>European Respiratory Society, the European Lung White Book</w:t>
        </w:r>
      </w:hyperlink>
    </w:p>
  </w:footnote>
  <w:footnote w:id="33">
    <w:p w:rsidR="007C6AD5" w:rsidRDefault="007C6AD5" w:rsidP="00B3667A">
      <w:pPr>
        <w:spacing w:line="240" w:lineRule="auto"/>
      </w:pPr>
      <w:r>
        <w:rPr>
          <w:rStyle w:val="FootnoteReference"/>
        </w:rPr>
        <w:footnoteRef/>
      </w:r>
      <w:r>
        <w:t xml:space="preserve"> </w:t>
      </w:r>
      <w:hyperlink r:id="rId24" w:history="1">
        <w:r w:rsidRPr="00A76A24">
          <w:rPr>
            <w:rStyle w:val="Hyperlink"/>
            <w:sz w:val="20"/>
          </w:rPr>
          <w:t xml:space="preserve">Extracted from </w:t>
        </w:r>
        <w:r w:rsidRPr="00A76A24">
          <w:rPr>
            <w:rStyle w:val="Hyperlink"/>
            <w:rFonts w:eastAsia="Times New Roman" w:cs="Arial"/>
            <w:sz w:val="20"/>
            <w:szCs w:val="20"/>
            <w:lang w:eastAsia="en-GB"/>
          </w:rPr>
          <w:t>Disease Management Information Tool, Public Health England and National Child and Maternal Health Intelligence Network.</w:t>
        </w:r>
      </w:hyperlink>
    </w:p>
  </w:footnote>
  <w:footnote w:id="34">
    <w:p w:rsidR="007C6AD5" w:rsidRDefault="007C6AD5">
      <w:pPr>
        <w:pStyle w:val="FootnoteText"/>
      </w:pPr>
      <w:r>
        <w:rPr>
          <w:rStyle w:val="FootnoteReference"/>
        </w:rPr>
        <w:footnoteRef/>
      </w:r>
      <w:r>
        <w:t xml:space="preserve"> </w:t>
      </w:r>
      <w:r w:rsidRPr="002744E6">
        <w:t>Emergency admissions for asthma in children in Medway, 2014</w:t>
      </w:r>
      <w:r>
        <w:t>, Report by Medway Public Health</w:t>
      </w:r>
    </w:p>
  </w:footnote>
  <w:footnote w:id="35">
    <w:p w:rsidR="007C6AD5" w:rsidRDefault="007C6AD5">
      <w:pPr>
        <w:pStyle w:val="FootnoteText"/>
      </w:pPr>
      <w:r>
        <w:rPr>
          <w:rStyle w:val="FootnoteReference"/>
        </w:rPr>
        <w:footnoteRef/>
      </w:r>
      <w:r>
        <w:t xml:space="preserve"> All ages – not possible to obtain specifically for children</w:t>
      </w:r>
    </w:p>
  </w:footnote>
  <w:footnote w:id="36">
    <w:p w:rsidR="007C6AD5" w:rsidRDefault="007C6AD5">
      <w:pPr>
        <w:pStyle w:val="FootnoteText"/>
      </w:pPr>
      <w:r>
        <w:rPr>
          <w:rStyle w:val="FootnoteReference"/>
        </w:rPr>
        <w:footnoteRef/>
      </w:r>
      <w:r>
        <w:t xml:space="preserve"> South East Coast Strategic Clinical Network</w:t>
      </w:r>
    </w:p>
  </w:footnote>
  <w:footnote w:id="37">
    <w:p w:rsidR="007C6AD5" w:rsidRDefault="007C6AD5">
      <w:pPr>
        <w:pStyle w:val="FootnoteText"/>
      </w:pPr>
      <w:r>
        <w:rPr>
          <w:rStyle w:val="FootnoteReference"/>
        </w:rPr>
        <w:footnoteRef/>
      </w:r>
      <w:r>
        <w:t xml:space="preserve"> </w:t>
      </w:r>
      <w:hyperlink r:id="rId25" w:history="1">
        <w:r w:rsidRPr="000B78B9">
          <w:rPr>
            <w:rStyle w:val="Hyperlink"/>
          </w:rPr>
          <w:t>https://www.rcplondon.ac.uk/projects/national-review-asthma-deaths</w:t>
        </w:r>
      </w:hyperlink>
    </w:p>
  </w:footnote>
  <w:footnote w:id="38">
    <w:p w:rsidR="007C6AD5" w:rsidRDefault="007C6AD5">
      <w:pPr>
        <w:pStyle w:val="FootnoteText"/>
      </w:pPr>
      <w:r>
        <w:rPr>
          <w:rStyle w:val="FootnoteReference"/>
        </w:rPr>
        <w:footnoteRef/>
      </w:r>
      <w:r>
        <w:t xml:space="preserve"> </w:t>
      </w:r>
      <w:hyperlink r:id="rId26" w:history="1">
        <w:r w:rsidRPr="00435F85">
          <w:rPr>
            <w:rStyle w:val="Hyperlink"/>
          </w:rPr>
          <w:t>Epilepsy Action</w:t>
        </w:r>
      </w:hyperlink>
    </w:p>
  </w:footnote>
  <w:footnote w:id="39">
    <w:p w:rsidR="007C6AD5" w:rsidRDefault="007C6AD5" w:rsidP="00FF627F">
      <w:pPr>
        <w:spacing w:line="240" w:lineRule="auto"/>
      </w:pPr>
      <w:r>
        <w:rPr>
          <w:rStyle w:val="FootnoteReference"/>
        </w:rPr>
        <w:footnoteRef/>
      </w:r>
      <w:r>
        <w:t xml:space="preserve"> </w:t>
      </w:r>
      <w:hyperlink r:id="rId27" w:history="1">
        <w:r w:rsidRPr="00BC571A">
          <w:rPr>
            <w:rStyle w:val="Hyperlink"/>
            <w:sz w:val="20"/>
          </w:rPr>
          <w:t>Young Epilepsy</w:t>
        </w:r>
      </w:hyperlink>
    </w:p>
  </w:footnote>
  <w:footnote w:id="40">
    <w:p w:rsidR="007C6AD5" w:rsidRDefault="007C6AD5">
      <w:pPr>
        <w:pStyle w:val="FootnoteText"/>
      </w:pPr>
      <w:r>
        <w:rPr>
          <w:rStyle w:val="FootnoteReference"/>
        </w:rPr>
        <w:footnoteRef/>
      </w:r>
      <w:r>
        <w:t xml:space="preserve"> </w:t>
      </w:r>
      <w:hyperlink r:id="rId28" w:history="1">
        <w:r w:rsidRPr="00BC571A">
          <w:rPr>
            <w:rStyle w:val="Hyperlink"/>
            <w:rFonts w:cs="Arial"/>
            <w:szCs w:val="24"/>
          </w:rPr>
          <w:t>Diabetes UK</w:t>
        </w:r>
      </w:hyperlink>
    </w:p>
  </w:footnote>
  <w:footnote w:id="41">
    <w:p w:rsidR="007C6AD5" w:rsidRDefault="007C6AD5">
      <w:pPr>
        <w:pStyle w:val="FootnoteText"/>
      </w:pPr>
      <w:r>
        <w:rPr>
          <w:rStyle w:val="FootnoteReference"/>
        </w:rPr>
        <w:footnoteRef/>
      </w:r>
      <w:r>
        <w:t xml:space="preserve"> ONS based estimate</w:t>
      </w:r>
    </w:p>
  </w:footnote>
  <w:footnote w:id="42">
    <w:p w:rsidR="007C6AD5" w:rsidRDefault="007C6AD5" w:rsidP="00145277">
      <w:pPr>
        <w:autoSpaceDE w:val="0"/>
        <w:autoSpaceDN w:val="0"/>
        <w:adjustRightInd w:val="0"/>
        <w:spacing w:line="240" w:lineRule="auto"/>
      </w:pPr>
      <w:r>
        <w:rPr>
          <w:rStyle w:val="FootnoteReference"/>
        </w:rPr>
        <w:footnoteRef/>
      </w:r>
      <w:r>
        <w:t xml:space="preserve"> </w:t>
      </w:r>
      <w:r w:rsidRPr="00A76A24">
        <w:rPr>
          <w:rFonts w:cs="Arial"/>
          <w:color w:val="333333"/>
          <w:sz w:val="20"/>
          <w:szCs w:val="20"/>
        </w:rPr>
        <w:t>By measuring glycated haemoglobin (HbA1c), clinicians are able to get an overall picture of what the average blood sugar levels have been over a period of weeks/months.  For people with diabetes this is important as the higher the HbA1c, the greater the risk of developing diabetes-related complications</w:t>
      </w:r>
    </w:p>
  </w:footnote>
  <w:footnote w:id="43">
    <w:p w:rsidR="007C6AD5" w:rsidRDefault="007C6AD5">
      <w:pPr>
        <w:pStyle w:val="FootnoteText"/>
      </w:pPr>
      <w:r>
        <w:rPr>
          <w:rStyle w:val="FootnoteReference"/>
        </w:rPr>
        <w:footnoteRef/>
      </w:r>
      <w:r>
        <w:t xml:space="preserve"> </w:t>
      </w:r>
      <w:r w:rsidRPr="00A76A24">
        <w:rPr>
          <w:rFonts w:cs="Arial"/>
          <w:color w:val="333333"/>
          <w:szCs w:val="21"/>
        </w:rPr>
        <w:t>National Paediatric Audit (2011/12)</w:t>
      </w:r>
    </w:p>
  </w:footnote>
  <w:footnote w:id="44">
    <w:p w:rsidR="007C6AD5" w:rsidRDefault="007C6AD5">
      <w:pPr>
        <w:pStyle w:val="FootnoteText"/>
      </w:pPr>
      <w:r>
        <w:rPr>
          <w:rStyle w:val="FootnoteReference"/>
        </w:rPr>
        <w:footnoteRef/>
      </w:r>
      <w:r>
        <w:t xml:space="preserve"> </w:t>
      </w:r>
      <w:hyperlink r:id="rId29" w:history="1">
        <w:r w:rsidRPr="00A76A24">
          <w:rPr>
            <w:rStyle w:val="Hyperlink"/>
          </w:rPr>
          <w:t>CHIMAT Disease Management Toolkit (DMT)</w:t>
        </w:r>
      </w:hyperlink>
    </w:p>
  </w:footnote>
  <w:footnote w:id="45">
    <w:p w:rsidR="007C6AD5" w:rsidRDefault="007C6AD5">
      <w:pPr>
        <w:pStyle w:val="FootnoteText"/>
      </w:pPr>
      <w:r>
        <w:rPr>
          <w:rStyle w:val="FootnoteReference"/>
        </w:rPr>
        <w:footnoteRef/>
      </w:r>
      <w:r>
        <w:t xml:space="preserve"> Ibid.</w:t>
      </w:r>
    </w:p>
  </w:footnote>
  <w:footnote w:id="46">
    <w:p w:rsidR="007C6AD5" w:rsidRDefault="007C6AD5">
      <w:pPr>
        <w:pStyle w:val="FootnoteText"/>
      </w:pPr>
      <w:r>
        <w:rPr>
          <w:rStyle w:val="FootnoteReference"/>
        </w:rPr>
        <w:footnoteRef/>
      </w:r>
      <w:r>
        <w:t xml:space="preserve"> Ibid.</w:t>
      </w:r>
    </w:p>
  </w:footnote>
  <w:footnote w:id="47">
    <w:p w:rsidR="007C6AD5" w:rsidRDefault="007C6AD5">
      <w:pPr>
        <w:pStyle w:val="FootnoteText"/>
      </w:pPr>
      <w:r>
        <w:rPr>
          <w:rStyle w:val="FootnoteReference"/>
        </w:rPr>
        <w:footnoteRef/>
      </w:r>
      <w:r>
        <w:t xml:space="preserve"> June 2015</w:t>
      </w:r>
    </w:p>
  </w:footnote>
  <w:footnote w:id="48">
    <w:p w:rsidR="007C6AD5" w:rsidRDefault="007C6AD5">
      <w:pPr>
        <w:pStyle w:val="FootnoteText"/>
      </w:pPr>
      <w:r>
        <w:rPr>
          <w:rStyle w:val="FootnoteReference"/>
        </w:rPr>
        <w:footnoteRef/>
      </w:r>
      <w:r>
        <w:t xml:space="preserve"> Whole time equivalent</w:t>
      </w:r>
    </w:p>
  </w:footnote>
  <w:footnote w:id="49">
    <w:p w:rsidR="007C6AD5" w:rsidRDefault="007C6AD5">
      <w:pPr>
        <w:pStyle w:val="FootnoteText"/>
      </w:pPr>
      <w:r>
        <w:rPr>
          <w:rStyle w:val="FootnoteReference"/>
        </w:rPr>
        <w:footnoteRef/>
      </w:r>
      <w:r>
        <w:t xml:space="preserve"> </w:t>
      </w:r>
      <w:hyperlink r:id="rId30" w:history="1">
        <w:r w:rsidRPr="00186B47">
          <w:rPr>
            <w:rStyle w:val="Hyperlink"/>
          </w:rPr>
          <w:t>CHIMAT Disability Needs Analysis July 2015</w:t>
        </w:r>
      </w:hyperlink>
    </w:p>
  </w:footnote>
  <w:footnote w:id="50">
    <w:p w:rsidR="007C6AD5" w:rsidRDefault="007C6AD5">
      <w:pPr>
        <w:pStyle w:val="FootnoteText"/>
      </w:pPr>
      <w:r>
        <w:rPr>
          <w:rStyle w:val="FootnoteReference"/>
        </w:rPr>
        <w:footnoteRef/>
      </w:r>
      <w:r>
        <w:t xml:space="preserve"> </w:t>
      </w:r>
      <w:hyperlink r:id="rId31" w:history="1">
        <w:r w:rsidRPr="00186B47">
          <w:rPr>
            <w:rStyle w:val="Hyperlink"/>
          </w:rPr>
          <w:t>Commissioning for Value: Integrated care pathways  Feb 2015</w:t>
        </w:r>
      </w:hyperlink>
    </w:p>
  </w:footnote>
  <w:footnote w:id="51">
    <w:p w:rsidR="007C6AD5" w:rsidRDefault="007C6AD5">
      <w:pPr>
        <w:pStyle w:val="FootnoteText"/>
      </w:pPr>
      <w:r>
        <w:rPr>
          <w:rStyle w:val="FootnoteReference"/>
        </w:rPr>
        <w:footnoteRef/>
      </w:r>
      <w:r>
        <w:t xml:space="preserve"> </w:t>
      </w:r>
      <w:hyperlink r:id="rId32" w:history="1">
        <w:r w:rsidRPr="00186B47">
          <w:rPr>
            <w:rStyle w:val="Hyperlink"/>
          </w:rPr>
          <w:t>http://fingertips.phe.org.uk/profile/learning-disabilities/data</w:t>
        </w:r>
      </w:hyperlink>
    </w:p>
  </w:footnote>
  <w:footnote w:id="52">
    <w:p w:rsidR="007C6AD5" w:rsidRDefault="007C6AD5" w:rsidP="00FE4A56">
      <w:pPr>
        <w:pStyle w:val="FootnoteText"/>
      </w:pPr>
      <w:r>
        <w:rPr>
          <w:rStyle w:val="FootnoteReference"/>
        </w:rPr>
        <w:footnoteRef/>
      </w:r>
      <w:r>
        <w:t xml:space="preserve"> National Autistic Society/</w:t>
      </w:r>
      <w:hyperlink r:id="rId33" w:history="1">
        <w:r w:rsidRPr="007D0676">
          <w:rPr>
            <w:rStyle w:val="Hyperlink"/>
          </w:rPr>
          <w:t>NICE</w:t>
        </w:r>
      </w:hyperlink>
    </w:p>
  </w:footnote>
  <w:footnote w:id="53">
    <w:p w:rsidR="007C6AD5" w:rsidRDefault="007C6AD5">
      <w:pPr>
        <w:pStyle w:val="FootnoteText"/>
      </w:pPr>
      <w:r>
        <w:rPr>
          <w:rStyle w:val="FootnoteReference"/>
        </w:rPr>
        <w:footnoteRef/>
      </w:r>
      <w:r>
        <w:t xml:space="preserve"> Definition from </w:t>
      </w:r>
      <w:hyperlink r:id="rId34" w:history="1">
        <w:r w:rsidRPr="008873D5">
          <w:rPr>
            <w:rStyle w:val="Hyperlink"/>
          </w:rPr>
          <w:t>Contact a Family</w:t>
        </w:r>
      </w:hyperlink>
    </w:p>
  </w:footnote>
  <w:footnote w:id="54">
    <w:p w:rsidR="007C6AD5" w:rsidRDefault="007C6AD5">
      <w:pPr>
        <w:pStyle w:val="FootnoteText"/>
      </w:pPr>
      <w:r>
        <w:rPr>
          <w:rStyle w:val="FootnoteReference"/>
        </w:rPr>
        <w:footnoteRef/>
      </w:r>
      <w:r>
        <w:t xml:space="preserve"> </w:t>
      </w:r>
      <w:hyperlink r:id="rId35" w:history="1">
        <w:r w:rsidRPr="005D1EA6">
          <w:rPr>
            <w:rStyle w:val="Hyperlink"/>
          </w:rPr>
          <w:t>CHIMAT Disability Needs Assessment</w:t>
        </w:r>
      </w:hyperlink>
    </w:p>
  </w:footnote>
  <w:footnote w:id="55">
    <w:p w:rsidR="007C6AD5" w:rsidRDefault="007C6AD5">
      <w:pPr>
        <w:pStyle w:val="FootnoteText"/>
      </w:pPr>
      <w:r>
        <w:rPr>
          <w:rStyle w:val="FootnoteReference"/>
        </w:rPr>
        <w:footnoteRef/>
      </w:r>
      <w:r>
        <w:t xml:space="preserve"> </w:t>
      </w:r>
      <w:hyperlink r:id="rId36" w:history="1">
        <w:r w:rsidRPr="001739B9">
          <w:rPr>
            <w:rStyle w:val="Hyperlink"/>
          </w:rPr>
          <w:t>Reviewing use of secondary care: children and young people with any complex condition, PHE and CHIMAT 2013/14</w:t>
        </w:r>
      </w:hyperlink>
    </w:p>
  </w:footnote>
  <w:footnote w:id="56">
    <w:p w:rsidR="007C6AD5" w:rsidRPr="003C2F01" w:rsidRDefault="007C6AD5" w:rsidP="003C2F01">
      <w:pPr>
        <w:rPr>
          <w:sz w:val="20"/>
        </w:rPr>
      </w:pPr>
      <w:r>
        <w:rPr>
          <w:rStyle w:val="FootnoteReference"/>
        </w:rPr>
        <w:footnoteRef/>
      </w:r>
      <w:r>
        <w:t xml:space="preserve"> </w:t>
      </w:r>
      <w:r w:rsidRPr="003C2F01">
        <w:rPr>
          <w:sz w:val="20"/>
        </w:rPr>
        <w:t>Specialist home-based nursing services for children with acute and chronic illnesses</w:t>
      </w:r>
    </w:p>
    <w:p w:rsidR="007C6AD5" w:rsidRDefault="007C6AD5" w:rsidP="003C2F01">
      <w:r w:rsidRPr="003C2F01">
        <w:rPr>
          <w:sz w:val="20"/>
        </w:rPr>
        <w:t>Parab CS, Cooper C, Woolfenden S, Piper SM June 2013</w:t>
      </w:r>
    </w:p>
  </w:footnote>
  <w:footnote w:id="57">
    <w:p w:rsidR="007C6AD5" w:rsidRPr="008C5817" w:rsidRDefault="007C6AD5" w:rsidP="008C5817">
      <w:pPr>
        <w:rPr>
          <w:sz w:val="20"/>
        </w:rPr>
      </w:pPr>
      <w:r>
        <w:rPr>
          <w:rStyle w:val="FootnoteReference"/>
        </w:rPr>
        <w:footnoteRef/>
      </w:r>
      <w:r w:rsidRPr="008C5817">
        <w:rPr>
          <w:sz w:val="20"/>
        </w:rPr>
        <w:t xml:space="preserve"> </w:t>
      </w:r>
      <w:hyperlink r:id="rId37" w:history="1">
        <w:r w:rsidRPr="001739B9">
          <w:rPr>
            <w:rStyle w:val="Hyperlink"/>
            <w:sz w:val="20"/>
          </w:rPr>
          <w:t>Reviewing use of secondary care: children and young people with any complex condition, PHE and CHIMAT 2013/14</w:t>
        </w:r>
      </w:hyperlink>
      <w:r w:rsidRPr="008C5817">
        <w:rPr>
          <w:sz w:val="20"/>
        </w:rPr>
        <w:t xml:space="preserve"> </w:t>
      </w:r>
    </w:p>
    <w:p w:rsidR="007C6AD5" w:rsidRDefault="007C6AD5">
      <w:pPr>
        <w:pStyle w:val="FootnoteText"/>
      </w:pPr>
    </w:p>
  </w:footnote>
  <w:footnote w:id="58">
    <w:p w:rsidR="007C6AD5" w:rsidRDefault="007C6AD5">
      <w:pPr>
        <w:pStyle w:val="FootnoteText"/>
      </w:pPr>
      <w:r>
        <w:rPr>
          <w:rStyle w:val="FootnoteReference"/>
        </w:rPr>
        <w:footnoteRef/>
      </w:r>
      <w:r>
        <w:t xml:space="preserve"> </w:t>
      </w:r>
      <w:r w:rsidRPr="004F6B5A">
        <w:rPr>
          <w:lang w:val="en"/>
        </w:rPr>
        <w:t>Diagnosis and management</w:t>
      </w:r>
      <w:r>
        <w:rPr>
          <w:lang w:val="en"/>
        </w:rPr>
        <w:t xml:space="preserve"> </w:t>
      </w:r>
      <w:r w:rsidRPr="004F6B5A">
        <w:rPr>
          <w:lang w:val="en"/>
        </w:rPr>
        <w:t>of ADHD in children, young people and adults</w:t>
      </w:r>
      <w:r>
        <w:rPr>
          <w:lang w:val="en"/>
        </w:rPr>
        <w:t>,</w:t>
      </w:r>
      <w:r w:rsidRPr="004F6B5A">
        <w:rPr>
          <w:lang w:val="en"/>
        </w:rPr>
        <w:t xml:space="preserve"> National Clinical Practice Guideline Number 72</w:t>
      </w:r>
      <w:r>
        <w:rPr>
          <w:lang w:val="en"/>
        </w:rPr>
        <w:t xml:space="preserve"> </w:t>
      </w:r>
      <w:r w:rsidRPr="004F6B5A">
        <w:rPr>
          <w:lang w:val="en"/>
        </w:rPr>
        <w:t>National Collaborating Centre for Mental Health</w:t>
      </w:r>
      <w:r>
        <w:rPr>
          <w:lang w:val="en"/>
        </w:rPr>
        <w:t xml:space="preserve">, commissioned by NICE </w:t>
      </w:r>
    </w:p>
  </w:footnote>
  <w:footnote w:id="59">
    <w:p w:rsidR="007C6AD5" w:rsidRPr="000B2860" w:rsidRDefault="007C6AD5" w:rsidP="000B2860">
      <w:pPr>
        <w:contextualSpacing/>
        <w:rPr>
          <w:rFonts w:cs="Arial"/>
          <w:sz w:val="20"/>
        </w:rPr>
      </w:pPr>
      <w:r>
        <w:rPr>
          <w:rStyle w:val="FootnoteReference"/>
        </w:rPr>
        <w:footnoteRef/>
      </w:r>
      <w:r w:rsidRPr="000B2860">
        <w:rPr>
          <w:sz w:val="20"/>
        </w:rPr>
        <w:t xml:space="preserve">MFT </w:t>
      </w:r>
      <w:r w:rsidRPr="000B2860">
        <w:rPr>
          <w:rFonts w:cs="Arial"/>
          <w:sz w:val="20"/>
        </w:rPr>
        <w:t xml:space="preserve">Integrated Quality and Performance Report July 2015 </w:t>
      </w:r>
    </w:p>
    <w:p w:rsidR="007C6AD5" w:rsidRDefault="007C6AD5">
      <w:pPr>
        <w:pStyle w:val="FootnoteText"/>
      </w:pPr>
    </w:p>
  </w:footnote>
  <w:footnote w:id="60">
    <w:p w:rsidR="007C6AD5" w:rsidRDefault="007C6AD5">
      <w:pPr>
        <w:pStyle w:val="FootnoteText"/>
      </w:pPr>
      <w:r>
        <w:rPr>
          <w:rStyle w:val="FootnoteReference"/>
        </w:rPr>
        <w:footnoteRef/>
      </w:r>
      <w:r>
        <w:t xml:space="preserve"> </w:t>
      </w:r>
      <w:r w:rsidRPr="00A37EB6">
        <w:t>Volume 1 Commissioning Guidance - Comprehensive Children’s Community Nursing Services</w:t>
      </w:r>
    </w:p>
  </w:footnote>
  <w:footnote w:id="61">
    <w:p w:rsidR="007C6AD5" w:rsidRDefault="007C6AD5">
      <w:pPr>
        <w:pStyle w:val="FootnoteText"/>
      </w:pPr>
      <w:r>
        <w:rPr>
          <w:rStyle w:val="FootnoteReference"/>
        </w:rPr>
        <w:footnoteRef/>
      </w:r>
      <w:r>
        <w:t xml:space="preserve"> </w:t>
      </w:r>
      <w:r w:rsidRPr="00B870D7">
        <w:rPr>
          <w:rFonts w:cs="HelveticaNeueLT Std Lt"/>
          <w:color w:val="000000"/>
        </w:rPr>
        <w:t>Fraser LK, Parslow RC, McKinney PA, Miller M, Aldridge JM, Hain R, Norman P (2012) Life-limiting and life-threatening conditions in children and young people in the United Kingdom</w:t>
      </w:r>
    </w:p>
  </w:footnote>
  <w:footnote w:id="62">
    <w:p w:rsidR="007C6AD5" w:rsidRDefault="007C6AD5">
      <w:pPr>
        <w:pStyle w:val="FootnoteText"/>
      </w:pPr>
      <w:r>
        <w:rPr>
          <w:rStyle w:val="FootnoteReference"/>
        </w:rPr>
        <w:footnoteRef/>
      </w:r>
      <w:r>
        <w:t xml:space="preserve"> </w:t>
      </w:r>
      <w:r w:rsidRPr="00900F7E">
        <w:rPr>
          <w:rFonts w:cs="Arial"/>
        </w:rPr>
        <w:t>NHS England</w:t>
      </w:r>
    </w:p>
  </w:footnote>
  <w:footnote w:id="63">
    <w:p w:rsidR="007C6AD5" w:rsidRPr="00B975D7" w:rsidRDefault="007C6AD5" w:rsidP="00B975D7">
      <w:pPr>
        <w:jc w:val="both"/>
        <w:rPr>
          <w:rFonts w:cs="Arial"/>
          <w:color w:val="000000"/>
          <w:sz w:val="23"/>
          <w:szCs w:val="23"/>
        </w:rPr>
      </w:pPr>
      <w:r>
        <w:rPr>
          <w:rStyle w:val="FootnoteReference"/>
        </w:rPr>
        <w:footnoteRef/>
      </w:r>
      <w:r>
        <w:t xml:space="preserve"> </w:t>
      </w:r>
      <w:r w:rsidRPr="00B975D7">
        <w:rPr>
          <w:rFonts w:cs="Arial"/>
          <w:color w:val="000000"/>
          <w:sz w:val="20"/>
        </w:rPr>
        <w:t>Specialised Commissioning Team, NHS England July 2015</w:t>
      </w:r>
    </w:p>
  </w:footnote>
  <w:footnote w:id="64">
    <w:p w:rsidR="007C6AD5" w:rsidRDefault="007C6AD5">
      <w:pPr>
        <w:pStyle w:val="FootnoteText"/>
      </w:pPr>
      <w:r>
        <w:rPr>
          <w:rStyle w:val="FootnoteReference"/>
        </w:rPr>
        <w:footnoteRef/>
      </w:r>
      <w:r>
        <w:t xml:space="preserve"> ibid</w:t>
      </w:r>
    </w:p>
  </w:footnote>
  <w:footnote w:id="65">
    <w:p w:rsidR="007C6AD5" w:rsidRDefault="007C6AD5">
      <w:pPr>
        <w:pStyle w:val="FootnoteText"/>
      </w:pPr>
      <w:r>
        <w:rPr>
          <w:rStyle w:val="FootnoteReference"/>
        </w:rPr>
        <w:footnoteRef/>
      </w:r>
      <w:r>
        <w:t xml:space="preserve"> Ibid.</w:t>
      </w:r>
    </w:p>
  </w:footnote>
  <w:footnote w:id="66">
    <w:p w:rsidR="007C6AD5" w:rsidRDefault="007C6AD5">
      <w:pPr>
        <w:pStyle w:val="FootnoteText"/>
      </w:pPr>
      <w:r>
        <w:rPr>
          <w:rStyle w:val="FootnoteReference"/>
        </w:rPr>
        <w:footnoteRef/>
      </w:r>
      <w:r>
        <w:t xml:space="preserve"> </w:t>
      </w:r>
      <w:r w:rsidRPr="00CC2992">
        <w:t>http://www.epicure.ac.uk/</w:t>
      </w:r>
    </w:p>
  </w:footnote>
  <w:footnote w:id="67">
    <w:p w:rsidR="007C6AD5" w:rsidRPr="002F0222" w:rsidRDefault="007C6AD5" w:rsidP="00C83BC6">
      <w:pPr>
        <w:autoSpaceDE w:val="0"/>
        <w:autoSpaceDN w:val="0"/>
        <w:adjustRightInd w:val="0"/>
        <w:contextualSpacing/>
        <w:rPr>
          <w:color w:val="2E2E2E"/>
        </w:rPr>
      </w:pPr>
      <w:r>
        <w:rPr>
          <w:rStyle w:val="FootnoteReference"/>
        </w:rPr>
        <w:footnoteRef/>
      </w:r>
      <w:r>
        <w:t xml:space="preserve"> </w:t>
      </w:r>
      <w:r w:rsidRPr="00C83BC6">
        <w:rPr>
          <w:color w:val="2E2E2E"/>
          <w:sz w:val="20"/>
        </w:rPr>
        <w:t xml:space="preserve">Exploring the limitations of age-based models for health care planning </w:t>
      </w:r>
    </w:p>
    <w:p w:rsidR="007C6AD5" w:rsidRDefault="007C6AD5">
      <w:pPr>
        <w:pStyle w:val="FootnoteText"/>
      </w:pPr>
      <w:r w:rsidRPr="002F0222">
        <w:rPr>
          <w:color w:val="2E2E2E"/>
        </w:rPr>
        <w:t>Thomas Mason, Matt Sutton, William Whittaker, Stephen Birch Centre for Health Economics Manchester 2015</w:t>
      </w:r>
    </w:p>
  </w:footnote>
  <w:footnote w:id="68">
    <w:p w:rsidR="007C6AD5" w:rsidRDefault="007C6AD5" w:rsidP="0055493A">
      <w:pPr>
        <w:pStyle w:val="FootnoteText"/>
      </w:pPr>
      <w:r>
        <w:rPr>
          <w:rStyle w:val="FootnoteReference"/>
        </w:rPr>
        <w:footnoteRef/>
      </w:r>
      <w:r>
        <w:t xml:space="preserve"> NICE/SCIE guidance ‘The management and support of children and young people on the autistic spectrum’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266EF"/>
    <w:multiLevelType w:val="hybridMultilevel"/>
    <w:tmpl w:val="5DF4C7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C52A2C"/>
    <w:multiLevelType w:val="hybridMultilevel"/>
    <w:tmpl w:val="C7B61B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3F17AE"/>
    <w:multiLevelType w:val="hybridMultilevel"/>
    <w:tmpl w:val="58B45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CB66C9"/>
    <w:multiLevelType w:val="hybridMultilevel"/>
    <w:tmpl w:val="E7AE82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CF582F"/>
    <w:multiLevelType w:val="hybridMultilevel"/>
    <w:tmpl w:val="AA924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381F60"/>
    <w:multiLevelType w:val="hybridMultilevel"/>
    <w:tmpl w:val="B7DCE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B17E43"/>
    <w:multiLevelType w:val="hybridMultilevel"/>
    <w:tmpl w:val="C6BA7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9093459"/>
    <w:multiLevelType w:val="hybridMultilevel"/>
    <w:tmpl w:val="10D8A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94F2C36"/>
    <w:multiLevelType w:val="hybridMultilevel"/>
    <w:tmpl w:val="825ED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985C9F"/>
    <w:multiLevelType w:val="hybridMultilevel"/>
    <w:tmpl w:val="2EAE4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01E6608"/>
    <w:multiLevelType w:val="hybridMultilevel"/>
    <w:tmpl w:val="21004A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0DC42AF"/>
    <w:multiLevelType w:val="hybridMultilevel"/>
    <w:tmpl w:val="6E8A05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50141B5"/>
    <w:multiLevelType w:val="hybridMultilevel"/>
    <w:tmpl w:val="17A8D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7006D6E"/>
    <w:multiLevelType w:val="hybridMultilevel"/>
    <w:tmpl w:val="E7DED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7354A18"/>
    <w:multiLevelType w:val="hybridMultilevel"/>
    <w:tmpl w:val="8488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896348C"/>
    <w:multiLevelType w:val="hybridMultilevel"/>
    <w:tmpl w:val="5D3C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8A62F8A"/>
    <w:multiLevelType w:val="hybridMultilevel"/>
    <w:tmpl w:val="E4423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C377C60"/>
    <w:multiLevelType w:val="hybridMultilevel"/>
    <w:tmpl w:val="08E0EC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E6E00B7"/>
    <w:multiLevelType w:val="hybridMultilevel"/>
    <w:tmpl w:val="52C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3C836F5"/>
    <w:multiLevelType w:val="hybridMultilevel"/>
    <w:tmpl w:val="E37215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5997D35"/>
    <w:multiLevelType w:val="hybridMultilevel"/>
    <w:tmpl w:val="57C0D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A07525E"/>
    <w:multiLevelType w:val="hybridMultilevel"/>
    <w:tmpl w:val="B624F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C387FF1"/>
    <w:multiLevelType w:val="hybridMultilevel"/>
    <w:tmpl w:val="1A101DCA"/>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CE4476E"/>
    <w:multiLevelType w:val="hybridMultilevel"/>
    <w:tmpl w:val="23C46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DCF5CDB"/>
    <w:multiLevelType w:val="hybridMultilevel"/>
    <w:tmpl w:val="2CF65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1941CA1"/>
    <w:multiLevelType w:val="hybridMultilevel"/>
    <w:tmpl w:val="CE32D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4C91151"/>
    <w:multiLevelType w:val="multilevel"/>
    <w:tmpl w:val="13109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5DE19A5"/>
    <w:multiLevelType w:val="hybridMultilevel"/>
    <w:tmpl w:val="12242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DE623B6"/>
    <w:multiLevelType w:val="hybridMultilevel"/>
    <w:tmpl w:val="5B60006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nsid w:val="4E1005CE"/>
    <w:multiLevelType w:val="hybridMultilevel"/>
    <w:tmpl w:val="DE0AA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1FC7514"/>
    <w:multiLevelType w:val="hybridMultilevel"/>
    <w:tmpl w:val="B226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89D3A72"/>
    <w:multiLevelType w:val="hybridMultilevel"/>
    <w:tmpl w:val="D7764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8B97655"/>
    <w:multiLevelType w:val="hybridMultilevel"/>
    <w:tmpl w:val="C6FC63B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nsid w:val="5B063E05"/>
    <w:multiLevelType w:val="hybridMultilevel"/>
    <w:tmpl w:val="B226C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BE770D2"/>
    <w:multiLevelType w:val="hybridMultilevel"/>
    <w:tmpl w:val="F1D4FA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9A815F6"/>
    <w:multiLevelType w:val="hybridMultilevel"/>
    <w:tmpl w:val="8C9CD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BA55991"/>
    <w:multiLevelType w:val="hybridMultilevel"/>
    <w:tmpl w:val="D4426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EC412F2"/>
    <w:multiLevelType w:val="hybridMultilevel"/>
    <w:tmpl w:val="F9B08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EE23056"/>
    <w:multiLevelType w:val="hybridMultilevel"/>
    <w:tmpl w:val="1E146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1A87EEE"/>
    <w:multiLevelType w:val="hybridMultilevel"/>
    <w:tmpl w:val="2CCC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28235D4"/>
    <w:multiLevelType w:val="hybridMultilevel"/>
    <w:tmpl w:val="67824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28A6CF9"/>
    <w:multiLevelType w:val="hybridMultilevel"/>
    <w:tmpl w:val="AD6C7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2FB581B"/>
    <w:multiLevelType w:val="hybridMultilevel"/>
    <w:tmpl w:val="821A8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6305D48"/>
    <w:multiLevelType w:val="hybridMultilevel"/>
    <w:tmpl w:val="9D8A3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8B05BDE"/>
    <w:multiLevelType w:val="hybridMultilevel"/>
    <w:tmpl w:val="411413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nsid w:val="7A833BD5"/>
    <w:multiLevelType w:val="hybridMultilevel"/>
    <w:tmpl w:val="2B221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B107464"/>
    <w:multiLevelType w:val="hybridMultilevel"/>
    <w:tmpl w:val="C2D62A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4"/>
  </w:num>
  <w:num w:numId="2">
    <w:abstractNumId w:val="26"/>
  </w:num>
  <w:num w:numId="3">
    <w:abstractNumId w:val="2"/>
  </w:num>
  <w:num w:numId="4">
    <w:abstractNumId w:val="45"/>
  </w:num>
  <w:num w:numId="5">
    <w:abstractNumId w:val="31"/>
  </w:num>
  <w:num w:numId="6">
    <w:abstractNumId w:val="3"/>
  </w:num>
  <w:num w:numId="7">
    <w:abstractNumId w:val="10"/>
  </w:num>
  <w:num w:numId="8">
    <w:abstractNumId w:val="19"/>
  </w:num>
  <w:num w:numId="9">
    <w:abstractNumId w:val="1"/>
  </w:num>
  <w:num w:numId="10">
    <w:abstractNumId w:val="39"/>
  </w:num>
  <w:num w:numId="11">
    <w:abstractNumId w:val="17"/>
  </w:num>
  <w:num w:numId="12">
    <w:abstractNumId w:val="0"/>
  </w:num>
  <w:num w:numId="13">
    <w:abstractNumId w:val="9"/>
  </w:num>
  <w:num w:numId="14">
    <w:abstractNumId w:val="21"/>
  </w:num>
  <w:num w:numId="15">
    <w:abstractNumId w:val="33"/>
  </w:num>
  <w:num w:numId="16">
    <w:abstractNumId w:val="24"/>
  </w:num>
  <w:num w:numId="17">
    <w:abstractNumId w:val="15"/>
  </w:num>
  <w:num w:numId="18">
    <w:abstractNumId w:val="6"/>
  </w:num>
  <w:num w:numId="19">
    <w:abstractNumId w:val="13"/>
  </w:num>
  <w:num w:numId="20">
    <w:abstractNumId w:val="14"/>
  </w:num>
  <w:num w:numId="21">
    <w:abstractNumId w:val="25"/>
  </w:num>
  <w:num w:numId="22">
    <w:abstractNumId w:val="36"/>
  </w:num>
  <w:num w:numId="23">
    <w:abstractNumId w:val="23"/>
  </w:num>
  <w:num w:numId="24">
    <w:abstractNumId w:val="40"/>
  </w:num>
  <w:num w:numId="25">
    <w:abstractNumId w:val="4"/>
  </w:num>
  <w:num w:numId="26">
    <w:abstractNumId w:val="34"/>
  </w:num>
  <w:num w:numId="27">
    <w:abstractNumId w:val="20"/>
  </w:num>
  <w:num w:numId="28">
    <w:abstractNumId w:val="35"/>
  </w:num>
  <w:num w:numId="29">
    <w:abstractNumId w:val="22"/>
  </w:num>
  <w:num w:numId="30">
    <w:abstractNumId w:val="41"/>
  </w:num>
  <w:num w:numId="31">
    <w:abstractNumId w:val="43"/>
  </w:num>
  <w:num w:numId="32">
    <w:abstractNumId w:val="30"/>
  </w:num>
  <w:num w:numId="33">
    <w:abstractNumId w:val="5"/>
  </w:num>
  <w:num w:numId="34">
    <w:abstractNumId w:val="42"/>
  </w:num>
  <w:num w:numId="35">
    <w:abstractNumId w:val="16"/>
  </w:num>
  <w:num w:numId="36">
    <w:abstractNumId w:val="11"/>
  </w:num>
  <w:num w:numId="37">
    <w:abstractNumId w:val="27"/>
  </w:num>
  <w:num w:numId="38">
    <w:abstractNumId w:val="37"/>
  </w:num>
  <w:num w:numId="39">
    <w:abstractNumId w:val="12"/>
  </w:num>
  <w:num w:numId="40">
    <w:abstractNumId w:val="18"/>
  </w:num>
  <w:num w:numId="41">
    <w:abstractNumId w:val="28"/>
  </w:num>
  <w:num w:numId="42">
    <w:abstractNumId w:val="32"/>
  </w:num>
  <w:num w:numId="43">
    <w:abstractNumId w:val="7"/>
  </w:num>
  <w:num w:numId="44">
    <w:abstractNumId w:val="8"/>
  </w:num>
  <w:num w:numId="45">
    <w:abstractNumId w:val="38"/>
  </w:num>
  <w:num w:numId="46">
    <w:abstractNumId w:val="29"/>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27B"/>
    <w:rsid w:val="00005C82"/>
    <w:rsid w:val="00014BDD"/>
    <w:rsid w:val="000202E7"/>
    <w:rsid w:val="00020688"/>
    <w:rsid w:val="00020D52"/>
    <w:rsid w:val="00022D17"/>
    <w:rsid w:val="00027173"/>
    <w:rsid w:val="00027ADB"/>
    <w:rsid w:val="000355CD"/>
    <w:rsid w:val="0003633F"/>
    <w:rsid w:val="00037894"/>
    <w:rsid w:val="00043CBA"/>
    <w:rsid w:val="00045280"/>
    <w:rsid w:val="00051865"/>
    <w:rsid w:val="00052D22"/>
    <w:rsid w:val="000547D3"/>
    <w:rsid w:val="00054B2F"/>
    <w:rsid w:val="000559DD"/>
    <w:rsid w:val="00061986"/>
    <w:rsid w:val="000626D8"/>
    <w:rsid w:val="00065311"/>
    <w:rsid w:val="000671CE"/>
    <w:rsid w:val="00070352"/>
    <w:rsid w:val="00080280"/>
    <w:rsid w:val="00081D29"/>
    <w:rsid w:val="000903DF"/>
    <w:rsid w:val="00091FB9"/>
    <w:rsid w:val="00094123"/>
    <w:rsid w:val="00096C7F"/>
    <w:rsid w:val="000A51C6"/>
    <w:rsid w:val="000B05C1"/>
    <w:rsid w:val="000B2860"/>
    <w:rsid w:val="000B3692"/>
    <w:rsid w:val="000B7B31"/>
    <w:rsid w:val="000C16FD"/>
    <w:rsid w:val="000D0B28"/>
    <w:rsid w:val="000D3A4D"/>
    <w:rsid w:val="000D75F0"/>
    <w:rsid w:val="000D788E"/>
    <w:rsid w:val="000E24A2"/>
    <w:rsid w:val="000E3ADE"/>
    <w:rsid w:val="000E7138"/>
    <w:rsid w:val="000F12BB"/>
    <w:rsid w:val="000F163B"/>
    <w:rsid w:val="000F39D7"/>
    <w:rsid w:val="000F77ED"/>
    <w:rsid w:val="00102A08"/>
    <w:rsid w:val="00103F95"/>
    <w:rsid w:val="00106A58"/>
    <w:rsid w:val="00110F5B"/>
    <w:rsid w:val="001127C9"/>
    <w:rsid w:val="00113997"/>
    <w:rsid w:val="00113F54"/>
    <w:rsid w:val="001219CD"/>
    <w:rsid w:val="00127407"/>
    <w:rsid w:val="00136D8F"/>
    <w:rsid w:val="00140B5C"/>
    <w:rsid w:val="00142020"/>
    <w:rsid w:val="00143536"/>
    <w:rsid w:val="00145277"/>
    <w:rsid w:val="00146CE4"/>
    <w:rsid w:val="00150FA1"/>
    <w:rsid w:val="001531EA"/>
    <w:rsid w:val="001542D6"/>
    <w:rsid w:val="00156E8B"/>
    <w:rsid w:val="00163341"/>
    <w:rsid w:val="001651DA"/>
    <w:rsid w:val="00165C4A"/>
    <w:rsid w:val="0016747C"/>
    <w:rsid w:val="001739B9"/>
    <w:rsid w:val="0017577F"/>
    <w:rsid w:val="0018231E"/>
    <w:rsid w:val="00183282"/>
    <w:rsid w:val="00186B47"/>
    <w:rsid w:val="001874BC"/>
    <w:rsid w:val="00191CEE"/>
    <w:rsid w:val="00197D7C"/>
    <w:rsid w:val="001A2A55"/>
    <w:rsid w:val="001A2FA5"/>
    <w:rsid w:val="001B3BA0"/>
    <w:rsid w:val="001B7458"/>
    <w:rsid w:val="001C0392"/>
    <w:rsid w:val="001C3053"/>
    <w:rsid w:val="001C32CE"/>
    <w:rsid w:val="001C3DDC"/>
    <w:rsid w:val="001C6A53"/>
    <w:rsid w:val="001C7A54"/>
    <w:rsid w:val="001C7E9F"/>
    <w:rsid w:val="001D2C6F"/>
    <w:rsid w:val="001D3A4F"/>
    <w:rsid w:val="001D5755"/>
    <w:rsid w:val="001E29AA"/>
    <w:rsid w:val="001E3AC3"/>
    <w:rsid w:val="001E5C4B"/>
    <w:rsid w:val="001F0DDC"/>
    <w:rsid w:val="001F6102"/>
    <w:rsid w:val="00201ABF"/>
    <w:rsid w:val="002025DA"/>
    <w:rsid w:val="00205ED2"/>
    <w:rsid w:val="00210CD8"/>
    <w:rsid w:val="0021712E"/>
    <w:rsid w:val="00225FC8"/>
    <w:rsid w:val="00233AC9"/>
    <w:rsid w:val="00234934"/>
    <w:rsid w:val="0024099A"/>
    <w:rsid w:val="00244D87"/>
    <w:rsid w:val="00245796"/>
    <w:rsid w:val="002503F6"/>
    <w:rsid w:val="00253F04"/>
    <w:rsid w:val="00255BA4"/>
    <w:rsid w:val="00267C7F"/>
    <w:rsid w:val="00267EE6"/>
    <w:rsid w:val="002703A0"/>
    <w:rsid w:val="00272557"/>
    <w:rsid w:val="00273CD7"/>
    <w:rsid w:val="002744E6"/>
    <w:rsid w:val="00275E49"/>
    <w:rsid w:val="00280E74"/>
    <w:rsid w:val="002852A9"/>
    <w:rsid w:val="00290CC5"/>
    <w:rsid w:val="00291868"/>
    <w:rsid w:val="002926F2"/>
    <w:rsid w:val="00292F92"/>
    <w:rsid w:val="002B4617"/>
    <w:rsid w:val="002B5EAC"/>
    <w:rsid w:val="002B69C3"/>
    <w:rsid w:val="002C4083"/>
    <w:rsid w:val="002C44FA"/>
    <w:rsid w:val="002C4E34"/>
    <w:rsid w:val="002C565C"/>
    <w:rsid w:val="002C670E"/>
    <w:rsid w:val="002D1208"/>
    <w:rsid w:val="002D14D2"/>
    <w:rsid w:val="002D1D93"/>
    <w:rsid w:val="002D2C9C"/>
    <w:rsid w:val="002D4080"/>
    <w:rsid w:val="002D48A5"/>
    <w:rsid w:val="002D7DCD"/>
    <w:rsid w:val="002D7E24"/>
    <w:rsid w:val="002E1CE9"/>
    <w:rsid w:val="002E3156"/>
    <w:rsid w:val="002E67B4"/>
    <w:rsid w:val="002F0222"/>
    <w:rsid w:val="002F05EF"/>
    <w:rsid w:val="002F39C0"/>
    <w:rsid w:val="002F3B0B"/>
    <w:rsid w:val="002F62C8"/>
    <w:rsid w:val="002F6D16"/>
    <w:rsid w:val="002F70A4"/>
    <w:rsid w:val="00304A9C"/>
    <w:rsid w:val="00311395"/>
    <w:rsid w:val="00311A5D"/>
    <w:rsid w:val="00312C2B"/>
    <w:rsid w:val="00316A59"/>
    <w:rsid w:val="00316B69"/>
    <w:rsid w:val="0032360B"/>
    <w:rsid w:val="00323777"/>
    <w:rsid w:val="003270F6"/>
    <w:rsid w:val="0032773D"/>
    <w:rsid w:val="0033092E"/>
    <w:rsid w:val="00330E32"/>
    <w:rsid w:val="0033140C"/>
    <w:rsid w:val="00336438"/>
    <w:rsid w:val="003409F3"/>
    <w:rsid w:val="0034480A"/>
    <w:rsid w:val="003453DE"/>
    <w:rsid w:val="00351DC0"/>
    <w:rsid w:val="00353BC5"/>
    <w:rsid w:val="00355F7B"/>
    <w:rsid w:val="00356F06"/>
    <w:rsid w:val="00363FE6"/>
    <w:rsid w:val="003645DF"/>
    <w:rsid w:val="00365509"/>
    <w:rsid w:val="00365A30"/>
    <w:rsid w:val="00372DCF"/>
    <w:rsid w:val="0037776B"/>
    <w:rsid w:val="003811DB"/>
    <w:rsid w:val="003814D0"/>
    <w:rsid w:val="00385450"/>
    <w:rsid w:val="00385C06"/>
    <w:rsid w:val="0039192E"/>
    <w:rsid w:val="00392024"/>
    <w:rsid w:val="003938FF"/>
    <w:rsid w:val="003A15C5"/>
    <w:rsid w:val="003A36F3"/>
    <w:rsid w:val="003A6173"/>
    <w:rsid w:val="003A6228"/>
    <w:rsid w:val="003A7492"/>
    <w:rsid w:val="003B1225"/>
    <w:rsid w:val="003B1DC3"/>
    <w:rsid w:val="003B3E43"/>
    <w:rsid w:val="003B64C8"/>
    <w:rsid w:val="003B6A62"/>
    <w:rsid w:val="003C13B4"/>
    <w:rsid w:val="003C2F01"/>
    <w:rsid w:val="003D0879"/>
    <w:rsid w:val="003D0C77"/>
    <w:rsid w:val="003D0ED6"/>
    <w:rsid w:val="003D119A"/>
    <w:rsid w:val="003E2562"/>
    <w:rsid w:val="003E46EB"/>
    <w:rsid w:val="003E7D39"/>
    <w:rsid w:val="004066E0"/>
    <w:rsid w:val="00410E5D"/>
    <w:rsid w:val="0041254D"/>
    <w:rsid w:val="004128FB"/>
    <w:rsid w:val="00412B2E"/>
    <w:rsid w:val="004162FC"/>
    <w:rsid w:val="004174B1"/>
    <w:rsid w:val="00425B4B"/>
    <w:rsid w:val="00426958"/>
    <w:rsid w:val="0043137F"/>
    <w:rsid w:val="00435BEB"/>
    <w:rsid w:val="00435F85"/>
    <w:rsid w:val="00437EB6"/>
    <w:rsid w:val="0044151C"/>
    <w:rsid w:val="00444B86"/>
    <w:rsid w:val="004459D7"/>
    <w:rsid w:val="00445F69"/>
    <w:rsid w:val="00454A17"/>
    <w:rsid w:val="00455B96"/>
    <w:rsid w:val="00461223"/>
    <w:rsid w:val="00467D8D"/>
    <w:rsid w:val="00486B19"/>
    <w:rsid w:val="00486FEA"/>
    <w:rsid w:val="00487C74"/>
    <w:rsid w:val="0049391B"/>
    <w:rsid w:val="00497378"/>
    <w:rsid w:val="004A3CA8"/>
    <w:rsid w:val="004A57ED"/>
    <w:rsid w:val="004B36D3"/>
    <w:rsid w:val="004B4262"/>
    <w:rsid w:val="004B7FA4"/>
    <w:rsid w:val="004D74D6"/>
    <w:rsid w:val="004D76F2"/>
    <w:rsid w:val="004E2BA4"/>
    <w:rsid w:val="004E33F2"/>
    <w:rsid w:val="004E73B6"/>
    <w:rsid w:val="004F2BC5"/>
    <w:rsid w:val="004F3D0C"/>
    <w:rsid w:val="004F5009"/>
    <w:rsid w:val="004F6B5A"/>
    <w:rsid w:val="00501337"/>
    <w:rsid w:val="0050606A"/>
    <w:rsid w:val="00510DA1"/>
    <w:rsid w:val="00512857"/>
    <w:rsid w:val="00512A9C"/>
    <w:rsid w:val="00517873"/>
    <w:rsid w:val="0052467C"/>
    <w:rsid w:val="00527520"/>
    <w:rsid w:val="0053688B"/>
    <w:rsid w:val="005406D0"/>
    <w:rsid w:val="005414F4"/>
    <w:rsid w:val="00541BDF"/>
    <w:rsid w:val="005459FC"/>
    <w:rsid w:val="0055493A"/>
    <w:rsid w:val="005725A7"/>
    <w:rsid w:val="00572E58"/>
    <w:rsid w:val="005741B4"/>
    <w:rsid w:val="00580985"/>
    <w:rsid w:val="00582A25"/>
    <w:rsid w:val="00582E06"/>
    <w:rsid w:val="00582F7C"/>
    <w:rsid w:val="00593C6B"/>
    <w:rsid w:val="005944D5"/>
    <w:rsid w:val="00594860"/>
    <w:rsid w:val="0059532E"/>
    <w:rsid w:val="005956D9"/>
    <w:rsid w:val="005968DC"/>
    <w:rsid w:val="005A199D"/>
    <w:rsid w:val="005A398C"/>
    <w:rsid w:val="005A3F05"/>
    <w:rsid w:val="005B07B7"/>
    <w:rsid w:val="005B4025"/>
    <w:rsid w:val="005B4E1A"/>
    <w:rsid w:val="005B73D2"/>
    <w:rsid w:val="005B7B2F"/>
    <w:rsid w:val="005C3B2A"/>
    <w:rsid w:val="005C3C45"/>
    <w:rsid w:val="005C553C"/>
    <w:rsid w:val="005C58BE"/>
    <w:rsid w:val="005C67F9"/>
    <w:rsid w:val="005D1EA6"/>
    <w:rsid w:val="005D29BC"/>
    <w:rsid w:val="005D32E2"/>
    <w:rsid w:val="005D76E1"/>
    <w:rsid w:val="005E36B6"/>
    <w:rsid w:val="005E3E26"/>
    <w:rsid w:val="005E7F6E"/>
    <w:rsid w:val="005F0F90"/>
    <w:rsid w:val="005F2FDF"/>
    <w:rsid w:val="005F5222"/>
    <w:rsid w:val="005F6195"/>
    <w:rsid w:val="005F62D1"/>
    <w:rsid w:val="005F6662"/>
    <w:rsid w:val="005F78F7"/>
    <w:rsid w:val="00601AEF"/>
    <w:rsid w:val="00601C5D"/>
    <w:rsid w:val="00601D27"/>
    <w:rsid w:val="0060373A"/>
    <w:rsid w:val="00611098"/>
    <w:rsid w:val="00613826"/>
    <w:rsid w:val="00621A60"/>
    <w:rsid w:val="00625935"/>
    <w:rsid w:val="00625B7B"/>
    <w:rsid w:val="00627007"/>
    <w:rsid w:val="00631484"/>
    <w:rsid w:val="006358CD"/>
    <w:rsid w:val="00635C85"/>
    <w:rsid w:val="00640FFF"/>
    <w:rsid w:val="00641709"/>
    <w:rsid w:val="00643F19"/>
    <w:rsid w:val="0064503B"/>
    <w:rsid w:val="006535A3"/>
    <w:rsid w:val="00655AA8"/>
    <w:rsid w:val="00670351"/>
    <w:rsid w:val="0067096B"/>
    <w:rsid w:val="00675513"/>
    <w:rsid w:val="00681A10"/>
    <w:rsid w:val="00685DF0"/>
    <w:rsid w:val="00686332"/>
    <w:rsid w:val="00686D4A"/>
    <w:rsid w:val="0069378B"/>
    <w:rsid w:val="006A02A1"/>
    <w:rsid w:val="006A0E5C"/>
    <w:rsid w:val="006A124C"/>
    <w:rsid w:val="006B052D"/>
    <w:rsid w:val="006B31F7"/>
    <w:rsid w:val="006B4E6B"/>
    <w:rsid w:val="006C1A1B"/>
    <w:rsid w:val="006C4569"/>
    <w:rsid w:val="006C770A"/>
    <w:rsid w:val="006E34C0"/>
    <w:rsid w:val="006E69C3"/>
    <w:rsid w:val="006F3B7A"/>
    <w:rsid w:val="006F4FC4"/>
    <w:rsid w:val="007107EA"/>
    <w:rsid w:val="007133F1"/>
    <w:rsid w:val="00717DE5"/>
    <w:rsid w:val="007251D7"/>
    <w:rsid w:val="007259FA"/>
    <w:rsid w:val="00726C9D"/>
    <w:rsid w:val="00734861"/>
    <w:rsid w:val="00734DA4"/>
    <w:rsid w:val="00737D7A"/>
    <w:rsid w:val="007430EF"/>
    <w:rsid w:val="007500E2"/>
    <w:rsid w:val="007503AA"/>
    <w:rsid w:val="00763049"/>
    <w:rsid w:val="0077160B"/>
    <w:rsid w:val="0077417B"/>
    <w:rsid w:val="0077437A"/>
    <w:rsid w:val="00777077"/>
    <w:rsid w:val="00792529"/>
    <w:rsid w:val="007935DD"/>
    <w:rsid w:val="00795C32"/>
    <w:rsid w:val="007A3C67"/>
    <w:rsid w:val="007A5881"/>
    <w:rsid w:val="007A5BEF"/>
    <w:rsid w:val="007A6912"/>
    <w:rsid w:val="007B0A0C"/>
    <w:rsid w:val="007B118A"/>
    <w:rsid w:val="007B404F"/>
    <w:rsid w:val="007B72AF"/>
    <w:rsid w:val="007B7888"/>
    <w:rsid w:val="007C0719"/>
    <w:rsid w:val="007C2BD4"/>
    <w:rsid w:val="007C5E02"/>
    <w:rsid w:val="007C6AD5"/>
    <w:rsid w:val="007D0676"/>
    <w:rsid w:val="007D1FF5"/>
    <w:rsid w:val="007D3F2E"/>
    <w:rsid w:val="007E0BFC"/>
    <w:rsid w:val="007E0C90"/>
    <w:rsid w:val="007E2B2C"/>
    <w:rsid w:val="007E43B8"/>
    <w:rsid w:val="007E4F74"/>
    <w:rsid w:val="007F1430"/>
    <w:rsid w:val="007F4F22"/>
    <w:rsid w:val="00803FBC"/>
    <w:rsid w:val="008102BE"/>
    <w:rsid w:val="00812B2D"/>
    <w:rsid w:val="008134EC"/>
    <w:rsid w:val="008145B2"/>
    <w:rsid w:val="00814E24"/>
    <w:rsid w:val="00815DA7"/>
    <w:rsid w:val="00817193"/>
    <w:rsid w:val="008205CD"/>
    <w:rsid w:val="0082106C"/>
    <w:rsid w:val="00824002"/>
    <w:rsid w:val="00825C9A"/>
    <w:rsid w:val="0083128C"/>
    <w:rsid w:val="00835FB7"/>
    <w:rsid w:val="0083743B"/>
    <w:rsid w:val="00837B85"/>
    <w:rsid w:val="00841CFF"/>
    <w:rsid w:val="00842857"/>
    <w:rsid w:val="00844533"/>
    <w:rsid w:val="008447C0"/>
    <w:rsid w:val="00846046"/>
    <w:rsid w:val="008475E5"/>
    <w:rsid w:val="0085742A"/>
    <w:rsid w:val="00864162"/>
    <w:rsid w:val="00880D68"/>
    <w:rsid w:val="008816C9"/>
    <w:rsid w:val="00884813"/>
    <w:rsid w:val="00885DCE"/>
    <w:rsid w:val="008873D5"/>
    <w:rsid w:val="00891F0D"/>
    <w:rsid w:val="008943A6"/>
    <w:rsid w:val="008A1318"/>
    <w:rsid w:val="008A6B27"/>
    <w:rsid w:val="008A747A"/>
    <w:rsid w:val="008A75E6"/>
    <w:rsid w:val="008B2A44"/>
    <w:rsid w:val="008B5A9F"/>
    <w:rsid w:val="008C3671"/>
    <w:rsid w:val="008C5817"/>
    <w:rsid w:val="008C7291"/>
    <w:rsid w:val="008C752D"/>
    <w:rsid w:val="008D2E97"/>
    <w:rsid w:val="008F030F"/>
    <w:rsid w:val="008F4EDC"/>
    <w:rsid w:val="008F5917"/>
    <w:rsid w:val="008F72AC"/>
    <w:rsid w:val="008F793A"/>
    <w:rsid w:val="00900F7E"/>
    <w:rsid w:val="00902CAC"/>
    <w:rsid w:val="00903ABC"/>
    <w:rsid w:val="00911028"/>
    <w:rsid w:val="0091171B"/>
    <w:rsid w:val="00914B37"/>
    <w:rsid w:val="009154D7"/>
    <w:rsid w:val="00920EB6"/>
    <w:rsid w:val="009231D8"/>
    <w:rsid w:val="009259B7"/>
    <w:rsid w:val="00925C95"/>
    <w:rsid w:val="009324A6"/>
    <w:rsid w:val="00934A24"/>
    <w:rsid w:val="00937300"/>
    <w:rsid w:val="00942DEA"/>
    <w:rsid w:val="009434FB"/>
    <w:rsid w:val="00943E4F"/>
    <w:rsid w:val="0095203C"/>
    <w:rsid w:val="009533E9"/>
    <w:rsid w:val="0095498A"/>
    <w:rsid w:val="0096316D"/>
    <w:rsid w:val="0097187D"/>
    <w:rsid w:val="009725FB"/>
    <w:rsid w:val="00974BE1"/>
    <w:rsid w:val="00977922"/>
    <w:rsid w:val="009807D2"/>
    <w:rsid w:val="00982D30"/>
    <w:rsid w:val="00983433"/>
    <w:rsid w:val="0098682B"/>
    <w:rsid w:val="00993175"/>
    <w:rsid w:val="00994D1D"/>
    <w:rsid w:val="009959AE"/>
    <w:rsid w:val="00995F3C"/>
    <w:rsid w:val="00997810"/>
    <w:rsid w:val="009A0D95"/>
    <w:rsid w:val="009A2968"/>
    <w:rsid w:val="009A3554"/>
    <w:rsid w:val="009B2651"/>
    <w:rsid w:val="009B3BD5"/>
    <w:rsid w:val="009B3F7C"/>
    <w:rsid w:val="009C070E"/>
    <w:rsid w:val="009C35FA"/>
    <w:rsid w:val="009C7442"/>
    <w:rsid w:val="009D1EA9"/>
    <w:rsid w:val="009D1F46"/>
    <w:rsid w:val="009E6E4A"/>
    <w:rsid w:val="009F2925"/>
    <w:rsid w:val="009F316B"/>
    <w:rsid w:val="009F5323"/>
    <w:rsid w:val="009F6754"/>
    <w:rsid w:val="009F7AD8"/>
    <w:rsid w:val="00A00358"/>
    <w:rsid w:val="00A0453B"/>
    <w:rsid w:val="00A05693"/>
    <w:rsid w:val="00A17448"/>
    <w:rsid w:val="00A1771C"/>
    <w:rsid w:val="00A2065F"/>
    <w:rsid w:val="00A210B2"/>
    <w:rsid w:val="00A2506E"/>
    <w:rsid w:val="00A25664"/>
    <w:rsid w:val="00A25B5D"/>
    <w:rsid w:val="00A26880"/>
    <w:rsid w:val="00A273A9"/>
    <w:rsid w:val="00A303C2"/>
    <w:rsid w:val="00A32E19"/>
    <w:rsid w:val="00A34307"/>
    <w:rsid w:val="00A37EB6"/>
    <w:rsid w:val="00A41459"/>
    <w:rsid w:val="00A542DC"/>
    <w:rsid w:val="00A55B83"/>
    <w:rsid w:val="00A56188"/>
    <w:rsid w:val="00A6127B"/>
    <w:rsid w:val="00A65BB8"/>
    <w:rsid w:val="00A70341"/>
    <w:rsid w:val="00A76A24"/>
    <w:rsid w:val="00A77F92"/>
    <w:rsid w:val="00A80864"/>
    <w:rsid w:val="00A81F11"/>
    <w:rsid w:val="00A82406"/>
    <w:rsid w:val="00A8252E"/>
    <w:rsid w:val="00A8605A"/>
    <w:rsid w:val="00A86AD4"/>
    <w:rsid w:val="00A9189A"/>
    <w:rsid w:val="00A92EBD"/>
    <w:rsid w:val="00AA0B0B"/>
    <w:rsid w:val="00AA0F0A"/>
    <w:rsid w:val="00AA680B"/>
    <w:rsid w:val="00AB2455"/>
    <w:rsid w:val="00AB351F"/>
    <w:rsid w:val="00AB36C9"/>
    <w:rsid w:val="00AB527D"/>
    <w:rsid w:val="00AB6966"/>
    <w:rsid w:val="00AC356B"/>
    <w:rsid w:val="00AC3A60"/>
    <w:rsid w:val="00AC534C"/>
    <w:rsid w:val="00AD2C45"/>
    <w:rsid w:val="00AD4652"/>
    <w:rsid w:val="00AD60F0"/>
    <w:rsid w:val="00AD638F"/>
    <w:rsid w:val="00AE2611"/>
    <w:rsid w:val="00AE3E82"/>
    <w:rsid w:val="00AF2908"/>
    <w:rsid w:val="00B03DA5"/>
    <w:rsid w:val="00B06AC2"/>
    <w:rsid w:val="00B10FAC"/>
    <w:rsid w:val="00B1370F"/>
    <w:rsid w:val="00B21EF0"/>
    <w:rsid w:val="00B26836"/>
    <w:rsid w:val="00B319E3"/>
    <w:rsid w:val="00B31CA4"/>
    <w:rsid w:val="00B32756"/>
    <w:rsid w:val="00B35DA2"/>
    <w:rsid w:val="00B3667A"/>
    <w:rsid w:val="00B406CC"/>
    <w:rsid w:val="00B427D9"/>
    <w:rsid w:val="00B44AF3"/>
    <w:rsid w:val="00B45DB6"/>
    <w:rsid w:val="00B46471"/>
    <w:rsid w:val="00B539E9"/>
    <w:rsid w:val="00B64257"/>
    <w:rsid w:val="00B732F3"/>
    <w:rsid w:val="00B74F83"/>
    <w:rsid w:val="00B75465"/>
    <w:rsid w:val="00B8391B"/>
    <w:rsid w:val="00B870D7"/>
    <w:rsid w:val="00B900F2"/>
    <w:rsid w:val="00B951DB"/>
    <w:rsid w:val="00B9587A"/>
    <w:rsid w:val="00B95D01"/>
    <w:rsid w:val="00B95D21"/>
    <w:rsid w:val="00B9632D"/>
    <w:rsid w:val="00B975D7"/>
    <w:rsid w:val="00BA14F4"/>
    <w:rsid w:val="00BA3044"/>
    <w:rsid w:val="00BA4F24"/>
    <w:rsid w:val="00BA58FA"/>
    <w:rsid w:val="00BA76B6"/>
    <w:rsid w:val="00BB161F"/>
    <w:rsid w:val="00BB2B3D"/>
    <w:rsid w:val="00BB50F5"/>
    <w:rsid w:val="00BB69A9"/>
    <w:rsid w:val="00BC1869"/>
    <w:rsid w:val="00BC201A"/>
    <w:rsid w:val="00BC4E15"/>
    <w:rsid w:val="00BC571A"/>
    <w:rsid w:val="00BC70CC"/>
    <w:rsid w:val="00BD001D"/>
    <w:rsid w:val="00BD3F4B"/>
    <w:rsid w:val="00BD5763"/>
    <w:rsid w:val="00BD7E6D"/>
    <w:rsid w:val="00BE1944"/>
    <w:rsid w:val="00BF1075"/>
    <w:rsid w:val="00BF2B64"/>
    <w:rsid w:val="00BF5EDB"/>
    <w:rsid w:val="00C03264"/>
    <w:rsid w:val="00C05EB1"/>
    <w:rsid w:val="00C10018"/>
    <w:rsid w:val="00C14276"/>
    <w:rsid w:val="00C1548C"/>
    <w:rsid w:val="00C15AC6"/>
    <w:rsid w:val="00C20BC5"/>
    <w:rsid w:val="00C258EF"/>
    <w:rsid w:val="00C2796A"/>
    <w:rsid w:val="00C30746"/>
    <w:rsid w:val="00C3259A"/>
    <w:rsid w:val="00C35D56"/>
    <w:rsid w:val="00C3720D"/>
    <w:rsid w:val="00C414BD"/>
    <w:rsid w:val="00C43133"/>
    <w:rsid w:val="00C447C6"/>
    <w:rsid w:val="00C50843"/>
    <w:rsid w:val="00C52232"/>
    <w:rsid w:val="00C53928"/>
    <w:rsid w:val="00C57080"/>
    <w:rsid w:val="00C613CC"/>
    <w:rsid w:val="00C62DEB"/>
    <w:rsid w:val="00C63713"/>
    <w:rsid w:val="00C706F0"/>
    <w:rsid w:val="00C74169"/>
    <w:rsid w:val="00C743F8"/>
    <w:rsid w:val="00C77C6F"/>
    <w:rsid w:val="00C77FE0"/>
    <w:rsid w:val="00C80125"/>
    <w:rsid w:val="00C80D98"/>
    <w:rsid w:val="00C83BC6"/>
    <w:rsid w:val="00C87B98"/>
    <w:rsid w:val="00C933B2"/>
    <w:rsid w:val="00C933DD"/>
    <w:rsid w:val="00CB2130"/>
    <w:rsid w:val="00CC21B1"/>
    <w:rsid w:val="00CC2992"/>
    <w:rsid w:val="00CC2DAA"/>
    <w:rsid w:val="00CC3B06"/>
    <w:rsid w:val="00CC4EDF"/>
    <w:rsid w:val="00CC6FCA"/>
    <w:rsid w:val="00CD0161"/>
    <w:rsid w:val="00CD01D3"/>
    <w:rsid w:val="00CD306D"/>
    <w:rsid w:val="00CD32C7"/>
    <w:rsid w:val="00CD41D4"/>
    <w:rsid w:val="00CD7B87"/>
    <w:rsid w:val="00CE18F5"/>
    <w:rsid w:val="00CE6E1A"/>
    <w:rsid w:val="00CF23BE"/>
    <w:rsid w:val="00CF2A3A"/>
    <w:rsid w:val="00CF3557"/>
    <w:rsid w:val="00CF3E35"/>
    <w:rsid w:val="00CF4063"/>
    <w:rsid w:val="00D139BE"/>
    <w:rsid w:val="00D15ED0"/>
    <w:rsid w:val="00D20042"/>
    <w:rsid w:val="00D31594"/>
    <w:rsid w:val="00D327B2"/>
    <w:rsid w:val="00D32B30"/>
    <w:rsid w:val="00D32D47"/>
    <w:rsid w:val="00D37321"/>
    <w:rsid w:val="00D4092F"/>
    <w:rsid w:val="00D40D29"/>
    <w:rsid w:val="00D42A0B"/>
    <w:rsid w:val="00D443B0"/>
    <w:rsid w:val="00D478C3"/>
    <w:rsid w:val="00D509AC"/>
    <w:rsid w:val="00D5162B"/>
    <w:rsid w:val="00D57211"/>
    <w:rsid w:val="00D64546"/>
    <w:rsid w:val="00D67F8F"/>
    <w:rsid w:val="00D7047C"/>
    <w:rsid w:val="00D70AE2"/>
    <w:rsid w:val="00D77391"/>
    <w:rsid w:val="00D83132"/>
    <w:rsid w:val="00D84410"/>
    <w:rsid w:val="00D86128"/>
    <w:rsid w:val="00D92413"/>
    <w:rsid w:val="00D935E5"/>
    <w:rsid w:val="00DA6490"/>
    <w:rsid w:val="00DA65CC"/>
    <w:rsid w:val="00DB10DC"/>
    <w:rsid w:val="00DB158A"/>
    <w:rsid w:val="00DB3DC2"/>
    <w:rsid w:val="00DB4B09"/>
    <w:rsid w:val="00DB643B"/>
    <w:rsid w:val="00DB66C0"/>
    <w:rsid w:val="00DB6F5F"/>
    <w:rsid w:val="00DC02CF"/>
    <w:rsid w:val="00DC1E8F"/>
    <w:rsid w:val="00DC628B"/>
    <w:rsid w:val="00DD0146"/>
    <w:rsid w:val="00DD26D2"/>
    <w:rsid w:val="00DD2A46"/>
    <w:rsid w:val="00DD5F76"/>
    <w:rsid w:val="00DD6B87"/>
    <w:rsid w:val="00DD6F30"/>
    <w:rsid w:val="00DE3E81"/>
    <w:rsid w:val="00DE48D0"/>
    <w:rsid w:val="00DF133A"/>
    <w:rsid w:val="00DF15C2"/>
    <w:rsid w:val="00DF1EE5"/>
    <w:rsid w:val="00DF69FF"/>
    <w:rsid w:val="00DF72ED"/>
    <w:rsid w:val="00DF75A4"/>
    <w:rsid w:val="00DF7B70"/>
    <w:rsid w:val="00E0063F"/>
    <w:rsid w:val="00E00809"/>
    <w:rsid w:val="00E032A0"/>
    <w:rsid w:val="00E07559"/>
    <w:rsid w:val="00E1332D"/>
    <w:rsid w:val="00E14CFF"/>
    <w:rsid w:val="00E150BE"/>
    <w:rsid w:val="00E1663A"/>
    <w:rsid w:val="00E2146F"/>
    <w:rsid w:val="00E23514"/>
    <w:rsid w:val="00E300E9"/>
    <w:rsid w:val="00E37539"/>
    <w:rsid w:val="00E44135"/>
    <w:rsid w:val="00E505C6"/>
    <w:rsid w:val="00E51B34"/>
    <w:rsid w:val="00E570B0"/>
    <w:rsid w:val="00E57B3E"/>
    <w:rsid w:val="00E647C2"/>
    <w:rsid w:val="00E65C68"/>
    <w:rsid w:val="00E70B67"/>
    <w:rsid w:val="00E7686B"/>
    <w:rsid w:val="00E77170"/>
    <w:rsid w:val="00E846A3"/>
    <w:rsid w:val="00E87C60"/>
    <w:rsid w:val="00E905E6"/>
    <w:rsid w:val="00EA1969"/>
    <w:rsid w:val="00EA3C43"/>
    <w:rsid w:val="00EA5489"/>
    <w:rsid w:val="00EA648F"/>
    <w:rsid w:val="00EA6AB3"/>
    <w:rsid w:val="00EB0C77"/>
    <w:rsid w:val="00EB1005"/>
    <w:rsid w:val="00EB1248"/>
    <w:rsid w:val="00EB6C67"/>
    <w:rsid w:val="00EC227A"/>
    <w:rsid w:val="00EC6403"/>
    <w:rsid w:val="00EE344E"/>
    <w:rsid w:val="00EE3555"/>
    <w:rsid w:val="00EF6E6E"/>
    <w:rsid w:val="00EF7898"/>
    <w:rsid w:val="00F00BEE"/>
    <w:rsid w:val="00F03327"/>
    <w:rsid w:val="00F03864"/>
    <w:rsid w:val="00F2096C"/>
    <w:rsid w:val="00F21530"/>
    <w:rsid w:val="00F238A7"/>
    <w:rsid w:val="00F26EEB"/>
    <w:rsid w:val="00F27A6A"/>
    <w:rsid w:val="00F32169"/>
    <w:rsid w:val="00F331A4"/>
    <w:rsid w:val="00F33350"/>
    <w:rsid w:val="00F37382"/>
    <w:rsid w:val="00F43475"/>
    <w:rsid w:val="00F4595D"/>
    <w:rsid w:val="00F45CBB"/>
    <w:rsid w:val="00F50238"/>
    <w:rsid w:val="00F52B07"/>
    <w:rsid w:val="00F52FD9"/>
    <w:rsid w:val="00F53126"/>
    <w:rsid w:val="00F5569C"/>
    <w:rsid w:val="00F6167D"/>
    <w:rsid w:val="00F6549E"/>
    <w:rsid w:val="00F7381B"/>
    <w:rsid w:val="00F76578"/>
    <w:rsid w:val="00F7756C"/>
    <w:rsid w:val="00F8664A"/>
    <w:rsid w:val="00F9167F"/>
    <w:rsid w:val="00F931BA"/>
    <w:rsid w:val="00F93427"/>
    <w:rsid w:val="00F93EC7"/>
    <w:rsid w:val="00F94428"/>
    <w:rsid w:val="00F96849"/>
    <w:rsid w:val="00FA1746"/>
    <w:rsid w:val="00FA1CEB"/>
    <w:rsid w:val="00FA2B02"/>
    <w:rsid w:val="00FA435E"/>
    <w:rsid w:val="00FA659F"/>
    <w:rsid w:val="00FA664E"/>
    <w:rsid w:val="00FB2ABF"/>
    <w:rsid w:val="00FB6AB0"/>
    <w:rsid w:val="00FB7157"/>
    <w:rsid w:val="00FC4469"/>
    <w:rsid w:val="00FD2A43"/>
    <w:rsid w:val="00FD43CE"/>
    <w:rsid w:val="00FD4661"/>
    <w:rsid w:val="00FD6E13"/>
    <w:rsid w:val="00FE02A9"/>
    <w:rsid w:val="00FE4A56"/>
    <w:rsid w:val="00FF415E"/>
    <w:rsid w:val="00FF4689"/>
    <w:rsid w:val="00FF627F"/>
    <w:rsid w:val="00FF656C"/>
    <w:rsid w:val="00FF6D00"/>
    <w:rsid w:val="00FF7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BA0"/>
    <w:rPr>
      <w:rFonts w:ascii="Arial" w:hAnsi="Arial"/>
    </w:rPr>
  </w:style>
  <w:style w:type="paragraph" w:styleId="Heading1">
    <w:name w:val="heading 1"/>
    <w:basedOn w:val="Normal"/>
    <w:next w:val="Normal"/>
    <w:link w:val="Heading1Char"/>
    <w:uiPriority w:val="9"/>
    <w:qFormat/>
    <w:rsid w:val="00825C9A"/>
    <w:pPr>
      <w:keepNext/>
      <w:keepLines/>
      <w:spacing w:before="480"/>
      <w:outlineLvl w:val="0"/>
    </w:pPr>
    <w:rPr>
      <w:rFonts w:eastAsiaTheme="majorEastAsia" w:cstheme="majorBidi"/>
      <w:b/>
      <w:bCs/>
      <w:color w:val="4F81BD"/>
      <w:sz w:val="24"/>
      <w:szCs w:val="28"/>
    </w:rPr>
  </w:style>
  <w:style w:type="paragraph" w:styleId="Heading2">
    <w:name w:val="heading 2"/>
    <w:basedOn w:val="Normal"/>
    <w:next w:val="Normal"/>
    <w:link w:val="Heading2Char"/>
    <w:uiPriority w:val="9"/>
    <w:unhideWhenUsed/>
    <w:qFormat/>
    <w:rsid w:val="00825C9A"/>
    <w:pPr>
      <w:keepNext/>
      <w:keepLines/>
      <w:spacing w:before="200"/>
      <w:outlineLvl w:val="1"/>
    </w:pPr>
    <w:rPr>
      <w:rFonts w:eastAsiaTheme="majorEastAsia" w:cstheme="majorBidi"/>
      <w:b/>
      <w:bCs/>
      <w:color w:val="4F81BD"/>
      <w:szCs w:val="26"/>
    </w:rPr>
  </w:style>
  <w:style w:type="paragraph" w:styleId="Heading3">
    <w:name w:val="heading 3"/>
    <w:basedOn w:val="Normal"/>
    <w:next w:val="Normal"/>
    <w:link w:val="Heading3Char"/>
    <w:uiPriority w:val="9"/>
    <w:unhideWhenUsed/>
    <w:qFormat/>
    <w:rsid w:val="00C613CC"/>
    <w:pPr>
      <w:keepNext/>
      <w:keepLines/>
      <w:spacing w:before="200"/>
      <w:outlineLvl w:val="2"/>
    </w:pPr>
    <w:rPr>
      <w:rFonts w:eastAsiaTheme="majorEastAsia" w:cstheme="majorBidi"/>
      <w:bCs/>
      <w: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C9A"/>
    <w:rPr>
      <w:rFonts w:ascii="Arial" w:eastAsiaTheme="majorEastAsia" w:hAnsi="Arial" w:cstheme="majorBidi"/>
      <w:b/>
      <w:bCs/>
      <w:color w:val="4F81BD"/>
      <w:sz w:val="24"/>
      <w:szCs w:val="28"/>
    </w:rPr>
  </w:style>
  <w:style w:type="paragraph" w:styleId="Subtitle">
    <w:name w:val="Subtitle"/>
    <w:basedOn w:val="Normal"/>
    <w:next w:val="Normal"/>
    <w:link w:val="SubtitleChar"/>
    <w:uiPriority w:val="11"/>
    <w:qFormat/>
    <w:rsid w:val="00F8664A"/>
    <w:pPr>
      <w:numPr>
        <w:ilvl w:val="1"/>
      </w:numPr>
      <w:spacing w:line="360" w:lineRule="auto"/>
    </w:pPr>
    <w:rPr>
      <w:rFonts w:eastAsiaTheme="majorEastAsia" w:cstheme="majorBidi"/>
      <w:b/>
      <w:i/>
      <w:iCs/>
      <w:szCs w:val="24"/>
    </w:rPr>
  </w:style>
  <w:style w:type="character" w:customStyle="1" w:styleId="SubtitleChar">
    <w:name w:val="Subtitle Char"/>
    <w:basedOn w:val="DefaultParagraphFont"/>
    <w:link w:val="Subtitle"/>
    <w:uiPriority w:val="11"/>
    <w:rsid w:val="00F8664A"/>
    <w:rPr>
      <w:rFonts w:ascii="Arial" w:eastAsiaTheme="majorEastAsia" w:hAnsi="Arial" w:cstheme="majorBidi"/>
      <w:b/>
      <w:i/>
      <w:iCs/>
      <w:szCs w:val="24"/>
    </w:rPr>
  </w:style>
  <w:style w:type="paragraph" w:styleId="NoSpacing">
    <w:name w:val="No Spacing"/>
    <w:link w:val="NoSpacingChar"/>
    <w:uiPriority w:val="1"/>
    <w:qFormat/>
    <w:rsid w:val="001B3BA0"/>
    <w:pPr>
      <w:spacing w:line="240" w:lineRule="auto"/>
    </w:pPr>
    <w:rPr>
      <w:rFonts w:ascii="Arial" w:hAnsi="Arial"/>
    </w:rPr>
  </w:style>
  <w:style w:type="table" w:styleId="TableGrid">
    <w:name w:val="Table Grid"/>
    <w:basedOn w:val="TableNormal"/>
    <w:uiPriority w:val="59"/>
    <w:rsid w:val="00A6127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B66C0"/>
    <w:pPr>
      <w:spacing w:line="240" w:lineRule="auto"/>
      <w:ind w:left="720"/>
    </w:pPr>
    <w:rPr>
      <w:rFonts w:ascii="Times New Roman" w:eastAsia="Times New Roman" w:hAnsi="Times New Roman" w:cs="Times New Roman"/>
      <w:sz w:val="24"/>
      <w:szCs w:val="24"/>
      <w:lang w:eastAsia="en-GB"/>
    </w:rPr>
  </w:style>
  <w:style w:type="character" w:customStyle="1" w:styleId="ListParagraphChar">
    <w:name w:val="List Paragraph Char"/>
    <w:link w:val="ListParagraph"/>
    <w:uiPriority w:val="34"/>
    <w:locked/>
    <w:rsid w:val="00DB66C0"/>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52FD9"/>
    <w:rPr>
      <w:strike w:val="0"/>
      <w:dstrike w:val="0"/>
      <w:color w:val="8595B6"/>
      <w:u w:val="none"/>
      <w:effect w:val="none"/>
    </w:rPr>
  </w:style>
  <w:style w:type="paragraph" w:customStyle="1" w:styleId="Default">
    <w:name w:val="Default"/>
    <w:rsid w:val="007E4F74"/>
    <w:pPr>
      <w:autoSpaceDE w:val="0"/>
      <w:autoSpaceDN w:val="0"/>
      <w:adjustRightInd w:val="0"/>
      <w:spacing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0F77ED"/>
    <w:pPr>
      <w:spacing w:line="240" w:lineRule="auto"/>
    </w:pPr>
    <w:rPr>
      <w:sz w:val="20"/>
      <w:szCs w:val="20"/>
    </w:rPr>
  </w:style>
  <w:style w:type="character" w:customStyle="1" w:styleId="FootnoteTextChar">
    <w:name w:val="Footnote Text Char"/>
    <w:basedOn w:val="DefaultParagraphFont"/>
    <w:link w:val="FootnoteText"/>
    <w:uiPriority w:val="99"/>
    <w:semiHidden/>
    <w:rsid w:val="000F77ED"/>
    <w:rPr>
      <w:rFonts w:ascii="Arial" w:hAnsi="Arial"/>
      <w:sz w:val="20"/>
      <w:szCs w:val="20"/>
    </w:rPr>
  </w:style>
  <w:style w:type="character" w:styleId="FootnoteReference">
    <w:name w:val="footnote reference"/>
    <w:basedOn w:val="DefaultParagraphFont"/>
    <w:uiPriority w:val="99"/>
    <w:semiHidden/>
    <w:unhideWhenUsed/>
    <w:rsid w:val="000F77ED"/>
    <w:rPr>
      <w:vertAlign w:val="superscript"/>
    </w:rPr>
  </w:style>
  <w:style w:type="paragraph" w:styleId="EndnoteText">
    <w:name w:val="endnote text"/>
    <w:basedOn w:val="Normal"/>
    <w:link w:val="EndnoteTextChar"/>
    <w:uiPriority w:val="99"/>
    <w:unhideWhenUsed/>
    <w:rsid w:val="00FF627F"/>
    <w:pPr>
      <w:spacing w:line="240" w:lineRule="auto"/>
    </w:pPr>
    <w:rPr>
      <w:rFonts w:asciiTheme="minorHAnsi" w:hAnsiTheme="minorHAnsi"/>
      <w:sz w:val="20"/>
      <w:szCs w:val="20"/>
    </w:rPr>
  </w:style>
  <w:style w:type="character" w:customStyle="1" w:styleId="EndnoteTextChar">
    <w:name w:val="Endnote Text Char"/>
    <w:basedOn w:val="DefaultParagraphFont"/>
    <w:link w:val="EndnoteText"/>
    <w:uiPriority w:val="99"/>
    <w:rsid w:val="00FF627F"/>
    <w:rPr>
      <w:sz w:val="20"/>
      <w:szCs w:val="20"/>
    </w:rPr>
  </w:style>
  <w:style w:type="character" w:styleId="EndnoteReference">
    <w:name w:val="endnote reference"/>
    <w:basedOn w:val="DefaultParagraphFont"/>
    <w:semiHidden/>
    <w:unhideWhenUsed/>
    <w:rsid w:val="00FF627F"/>
    <w:rPr>
      <w:vertAlign w:val="superscript"/>
    </w:rPr>
  </w:style>
  <w:style w:type="character" w:customStyle="1" w:styleId="Heading2Char">
    <w:name w:val="Heading 2 Char"/>
    <w:basedOn w:val="DefaultParagraphFont"/>
    <w:link w:val="Heading2"/>
    <w:uiPriority w:val="9"/>
    <w:rsid w:val="00825C9A"/>
    <w:rPr>
      <w:rFonts w:ascii="Arial" w:eastAsiaTheme="majorEastAsia" w:hAnsi="Arial" w:cstheme="majorBidi"/>
      <w:b/>
      <w:bCs/>
      <w:color w:val="4F81BD"/>
      <w:szCs w:val="26"/>
    </w:rPr>
  </w:style>
  <w:style w:type="character" w:styleId="Emphasis">
    <w:name w:val="Emphasis"/>
    <w:basedOn w:val="DefaultParagraphFont"/>
    <w:uiPriority w:val="20"/>
    <w:qFormat/>
    <w:rsid w:val="002D1D93"/>
    <w:rPr>
      <w:i/>
      <w:iCs/>
    </w:rPr>
  </w:style>
  <w:style w:type="paragraph" w:styleId="Header">
    <w:name w:val="header"/>
    <w:basedOn w:val="Normal"/>
    <w:link w:val="HeaderChar"/>
    <w:uiPriority w:val="99"/>
    <w:unhideWhenUsed/>
    <w:rsid w:val="002D1D93"/>
    <w:pPr>
      <w:tabs>
        <w:tab w:val="center" w:pos="4513"/>
        <w:tab w:val="right" w:pos="9026"/>
      </w:tabs>
      <w:spacing w:line="240" w:lineRule="auto"/>
    </w:pPr>
  </w:style>
  <w:style w:type="character" w:customStyle="1" w:styleId="HeaderChar">
    <w:name w:val="Header Char"/>
    <w:basedOn w:val="DefaultParagraphFont"/>
    <w:link w:val="Header"/>
    <w:uiPriority w:val="99"/>
    <w:rsid w:val="002D1D93"/>
    <w:rPr>
      <w:rFonts w:ascii="Arial" w:hAnsi="Arial"/>
    </w:rPr>
  </w:style>
  <w:style w:type="paragraph" w:styleId="Footer">
    <w:name w:val="footer"/>
    <w:basedOn w:val="Normal"/>
    <w:link w:val="FooterChar"/>
    <w:uiPriority w:val="99"/>
    <w:unhideWhenUsed/>
    <w:rsid w:val="002D1D93"/>
    <w:pPr>
      <w:tabs>
        <w:tab w:val="center" w:pos="4513"/>
        <w:tab w:val="right" w:pos="9026"/>
      </w:tabs>
      <w:spacing w:line="240" w:lineRule="auto"/>
    </w:pPr>
  </w:style>
  <w:style w:type="character" w:customStyle="1" w:styleId="FooterChar">
    <w:name w:val="Footer Char"/>
    <w:basedOn w:val="DefaultParagraphFont"/>
    <w:link w:val="Footer"/>
    <w:uiPriority w:val="99"/>
    <w:rsid w:val="002D1D93"/>
    <w:rPr>
      <w:rFonts w:ascii="Arial" w:hAnsi="Arial"/>
    </w:rPr>
  </w:style>
  <w:style w:type="character" w:customStyle="1" w:styleId="NoSpacingChar">
    <w:name w:val="No Spacing Char"/>
    <w:basedOn w:val="DefaultParagraphFont"/>
    <w:link w:val="NoSpacing"/>
    <w:uiPriority w:val="1"/>
    <w:rsid w:val="002D1D93"/>
    <w:rPr>
      <w:rFonts w:ascii="Arial" w:hAnsi="Arial"/>
    </w:rPr>
  </w:style>
  <w:style w:type="paragraph" w:styleId="BalloonText">
    <w:name w:val="Balloon Text"/>
    <w:basedOn w:val="Normal"/>
    <w:link w:val="BalloonTextChar"/>
    <w:uiPriority w:val="99"/>
    <w:semiHidden/>
    <w:unhideWhenUsed/>
    <w:rsid w:val="002D1D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D93"/>
    <w:rPr>
      <w:rFonts w:ascii="Tahoma" w:hAnsi="Tahoma" w:cs="Tahoma"/>
      <w:sz w:val="16"/>
      <w:szCs w:val="16"/>
    </w:rPr>
  </w:style>
  <w:style w:type="character" w:customStyle="1" w:styleId="Heading3Char">
    <w:name w:val="Heading 3 Char"/>
    <w:basedOn w:val="DefaultParagraphFont"/>
    <w:link w:val="Heading3"/>
    <w:uiPriority w:val="9"/>
    <w:rsid w:val="00C613CC"/>
    <w:rPr>
      <w:rFonts w:ascii="Arial" w:eastAsiaTheme="majorEastAsia" w:hAnsi="Arial" w:cstheme="majorBidi"/>
      <w:bCs/>
      <w:i/>
      <w:color w:val="4F81BD" w:themeColor="accent1"/>
    </w:rPr>
  </w:style>
  <w:style w:type="character" w:styleId="FollowedHyperlink">
    <w:name w:val="FollowedHyperlink"/>
    <w:basedOn w:val="DefaultParagraphFont"/>
    <w:uiPriority w:val="99"/>
    <w:semiHidden/>
    <w:unhideWhenUsed/>
    <w:rsid w:val="00631484"/>
    <w:rPr>
      <w:color w:val="800080" w:themeColor="followedHyperlink"/>
      <w:u w:val="single"/>
    </w:rPr>
  </w:style>
  <w:style w:type="paragraph" w:styleId="TOCHeading">
    <w:name w:val="TOC Heading"/>
    <w:basedOn w:val="Heading1"/>
    <w:next w:val="Normal"/>
    <w:uiPriority w:val="39"/>
    <w:semiHidden/>
    <w:unhideWhenUsed/>
    <w:qFormat/>
    <w:rsid w:val="003811DB"/>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3811DB"/>
    <w:pPr>
      <w:spacing w:after="100"/>
    </w:pPr>
  </w:style>
  <w:style w:type="paragraph" w:styleId="TOC2">
    <w:name w:val="toc 2"/>
    <w:basedOn w:val="Normal"/>
    <w:next w:val="Normal"/>
    <w:autoRedefine/>
    <w:uiPriority w:val="39"/>
    <w:unhideWhenUsed/>
    <w:rsid w:val="003811DB"/>
    <w:pPr>
      <w:spacing w:after="100"/>
      <w:ind w:left="220"/>
    </w:pPr>
  </w:style>
  <w:style w:type="character" w:styleId="CommentReference">
    <w:name w:val="annotation reference"/>
    <w:basedOn w:val="DefaultParagraphFont"/>
    <w:uiPriority w:val="99"/>
    <w:semiHidden/>
    <w:unhideWhenUsed/>
    <w:rsid w:val="0044151C"/>
    <w:rPr>
      <w:sz w:val="16"/>
      <w:szCs w:val="16"/>
    </w:rPr>
  </w:style>
  <w:style w:type="paragraph" w:styleId="CommentText">
    <w:name w:val="annotation text"/>
    <w:basedOn w:val="Normal"/>
    <w:link w:val="CommentTextChar"/>
    <w:uiPriority w:val="99"/>
    <w:semiHidden/>
    <w:unhideWhenUsed/>
    <w:rsid w:val="0044151C"/>
    <w:pPr>
      <w:spacing w:line="240" w:lineRule="auto"/>
    </w:pPr>
    <w:rPr>
      <w:sz w:val="20"/>
      <w:szCs w:val="20"/>
    </w:rPr>
  </w:style>
  <w:style w:type="character" w:customStyle="1" w:styleId="CommentTextChar">
    <w:name w:val="Comment Text Char"/>
    <w:basedOn w:val="DefaultParagraphFont"/>
    <w:link w:val="CommentText"/>
    <w:uiPriority w:val="99"/>
    <w:semiHidden/>
    <w:rsid w:val="0044151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4151C"/>
    <w:rPr>
      <w:b/>
      <w:bCs/>
    </w:rPr>
  </w:style>
  <w:style w:type="character" w:customStyle="1" w:styleId="CommentSubjectChar">
    <w:name w:val="Comment Subject Char"/>
    <w:basedOn w:val="CommentTextChar"/>
    <w:link w:val="CommentSubject"/>
    <w:uiPriority w:val="99"/>
    <w:semiHidden/>
    <w:rsid w:val="0044151C"/>
    <w:rPr>
      <w:rFonts w:ascii="Arial" w:hAnsi="Arial"/>
      <w:b/>
      <w:bCs/>
      <w:sz w:val="20"/>
      <w:szCs w:val="20"/>
    </w:rPr>
  </w:style>
  <w:style w:type="table" w:styleId="LightGrid-Accent5">
    <w:name w:val="Light Grid Accent 5"/>
    <w:basedOn w:val="TableNormal"/>
    <w:uiPriority w:val="62"/>
    <w:rsid w:val="00641709"/>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Shading-Accent5">
    <w:name w:val="Light Shading Accent 5"/>
    <w:basedOn w:val="TableNormal"/>
    <w:uiPriority w:val="60"/>
    <w:rsid w:val="00091FB9"/>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1">
    <w:name w:val="Light List Accent 1"/>
    <w:basedOn w:val="TableNormal"/>
    <w:uiPriority w:val="61"/>
    <w:rsid w:val="00091FB9"/>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
    <w:name w:val="Light Shading"/>
    <w:basedOn w:val="TableNormal"/>
    <w:uiPriority w:val="60"/>
    <w:rsid w:val="00CC6FCA"/>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CC6FCA"/>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TOC3">
    <w:name w:val="toc 3"/>
    <w:basedOn w:val="Normal"/>
    <w:next w:val="Normal"/>
    <w:autoRedefine/>
    <w:uiPriority w:val="39"/>
    <w:unhideWhenUsed/>
    <w:rsid w:val="00510DA1"/>
    <w:pPr>
      <w:spacing w:after="100"/>
      <w:ind w:left="440"/>
    </w:pPr>
  </w:style>
  <w:style w:type="paragraph" w:styleId="Revision">
    <w:name w:val="Revision"/>
    <w:hidden/>
    <w:uiPriority w:val="99"/>
    <w:semiHidden/>
    <w:rsid w:val="004162FC"/>
    <w:pPr>
      <w:spacing w:line="240" w:lineRule="auto"/>
    </w:pPr>
    <w:rPr>
      <w:rFonts w:ascii="Arial" w:hAnsi="Arial"/>
    </w:rPr>
  </w:style>
  <w:style w:type="paragraph" w:styleId="Caption">
    <w:name w:val="caption"/>
    <w:basedOn w:val="Normal"/>
    <w:next w:val="Normal"/>
    <w:uiPriority w:val="35"/>
    <w:unhideWhenUsed/>
    <w:qFormat/>
    <w:rsid w:val="00045280"/>
    <w:pPr>
      <w:spacing w:after="200"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BA0"/>
    <w:rPr>
      <w:rFonts w:ascii="Arial" w:hAnsi="Arial"/>
    </w:rPr>
  </w:style>
  <w:style w:type="paragraph" w:styleId="Heading1">
    <w:name w:val="heading 1"/>
    <w:basedOn w:val="Normal"/>
    <w:next w:val="Normal"/>
    <w:link w:val="Heading1Char"/>
    <w:uiPriority w:val="9"/>
    <w:qFormat/>
    <w:rsid w:val="00825C9A"/>
    <w:pPr>
      <w:keepNext/>
      <w:keepLines/>
      <w:spacing w:before="480"/>
      <w:outlineLvl w:val="0"/>
    </w:pPr>
    <w:rPr>
      <w:rFonts w:eastAsiaTheme="majorEastAsia" w:cstheme="majorBidi"/>
      <w:b/>
      <w:bCs/>
      <w:color w:val="4F81BD"/>
      <w:sz w:val="24"/>
      <w:szCs w:val="28"/>
    </w:rPr>
  </w:style>
  <w:style w:type="paragraph" w:styleId="Heading2">
    <w:name w:val="heading 2"/>
    <w:basedOn w:val="Normal"/>
    <w:next w:val="Normal"/>
    <w:link w:val="Heading2Char"/>
    <w:uiPriority w:val="9"/>
    <w:unhideWhenUsed/>
    <w:qFormat/>
    <w:rsid w:val="00825C9A"/>
    <w:pPr>
      <w:keepNext/>
      <w:keepLines/>
      <w:spacing w:before="200"/>
      <w:outlineLvl w:val="1"/>
    </w:pPr>
    <w:rPr>
      <w:rFonts w:eastAsiaTheme="majorEastAsia" w:cstheme="majorBidi"/>
      <w:b/>
      <w:bCs/>
      <w:color w:val="4F81BD"/>
      <w:szCs w:val="26"/>
    </w:rPr>
  </w:style>
  <w:style w:type="paragraph" w:styleId="Heading3">
    <w:name w:val="heading 3"/>
    <w:basedOn w:val="Normal"/>
    <w:next w:val="Normal"/>
    <w:link w:val="Heading3Char"/>
    <w:uiPriority w:val="9"/>
    <w:unhideWhenUsed/>
    <w:qFormat/>
    <w:rsid w:val="00C613CC"/>
    <w:pPr>
      <w:keepNext/>
      <w:keepLines/>
      <w:spacing w:before="200"/>
      <w:outlineLvl w:val="2"/>
    </w:pPr>
    <w:rPr>
      <w:rFonts w:eastAsiaTheme="majorEastAsia" w:cstheme="majorBidi"/>
      <w:bCs/>
      <w: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C9A"/>
    <w:rPr>
      <w:rFonts w:ascii="Arial" w:eastAsiaTheme="majorEastAsia" w:hAnsi="Arial" w:cstheme="majorBidi"/>
      <w:b/>
      <w:bCs/>
      <w:color w:val="4F81BD"/>
      <w:sz w:val="24"/>
      <w:szCs w:val="28"/>
    </w:rPr>
  </w:style>
  <w:style w:type="paragraph" w:styleId="Subtitle">
    <w:name w:val="Subtitle"/>
    <w:basedOn w:val="Normal"/>
    <w:next w:val="Normal"/>
    <w:link w:val="SubtitleChar"/>
    <w:uiPriority w:val="11"/>
    <w:qFormat/>
    <w:rsid w:val="00F8664A"/>
    <w:pPr>
      <w:numPr>
        <w:ilvl w:val="1"/>
      </w:numPr>
      <w:spacing w:line="360" w:lineRule="auto"/>
    </w:pPr>
    <w:rPr>
      <w:rFonts w:eastAsiaTheme="majorEastAsia" w:cstheme="majorBidi"/>
      <w:b/>
      <w:i/>
      <w:iCs/>
      <w:szCs w:val="24"/>
    </w:rPr>
  </w:style>
  <w:style w:type="character" w:customStyle="1" w:styleId="SubtitleChar">
    <w:name w:val="Subtitle Char"/>
    <w:basedOn w:val="DefaultParagraphFont"/>
    <w:link w:val="Subtitle"/>
    <w:uiPriority w:val="11"/>
    <w:rsid w:val="00F8664A"/>
    <w:rPr>
      <w:rFonts w:ascii="Arial" w:eastAsiaTheme="majorEastAsia" w:hAnsi="Arial" w:cstheme="majorBidi"/>
      <w:b/>
      <w:i/>
      <w:iCs/>
      <w:szCs w:val="24"/>
    </w:rPr>
  </w:style>
  <w:style w:type="paragraph" w:styleId="NoSpacing">
    <w:name w:val="No Spacing"/>
    <w:link w:val="NoSpacingChar"/>
    <w:uiPriority w:val="1"/>
    <w:qFormat/>
    <w:rsid w:val="001B3BA0"/>
    <w:pPr>
      <w:spacing w:line="240" w:lineRule="auto"/>
    </w:pPr>
    <w:rPr>
      <w:rFonts w:ascii="Arial" w:hAnsi="Arial"/>
    </w:rPr>
  </w:style>
  <w:style w:type="table" w:styleId="TableGrid">
    <w:name w:val="Table Grid"/>
    <w:basedOn w:val="TableNormal"/>
    <w:uiPriority w:val="59"/>
    <w:rsid w:val="00A6127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B66C0"/>
    <w:pPr>
      <w:spacing w:line="240" w:lineRule="auto"/>
      <w:ind w:left="720"/>
    </w:pPr>
    <w:rPr>
      <w:rFonts w:ascii="Times New Roman" w:eastAsia="Times New Roman" w:hAnsi="Times New Roman" w:cs="Times New Roman"/>
      <w:sz w:val="24"/>
      <w:szCs w:val="24"/>
      <w:lang w:eastAsia="en-GB"/>
    </w:rPr>
  </w:style>
  <w:style w:type="character" w:customStyle="1" w:styleId="ListParagraphChar">
    <w:name w:val="List Paragraph Char"/>
    <w:link w:val="ListParagraph"/>
    <w:uiPriority w:val="34"/>
    <w:locked/>
    <w:rsid w:val="00DB66C0"/>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52FD9"/>
    <w:rPr>
      <w:strike w:val="0"/>
      <w:dstrike w:val="0"/>
      <w:color w:val="8595B6"/>
      <w:u w:val="none"/>
      <w:effect w:val="none"/>
    </w:rPr>
  </w:style>
  <w:style w:type="paragraph" w:customStyle="1" w:styleId="Default">
    <w:name w:val="Default"/>
    <w:rsid w:val="007E4F74"/>
    <w:pPr>
      <w:autoSpaceDE w:val="0"/>
      <w:autoSpaceDN w:val="0"/>
      <w:adjustRightInd w:val="0"/>
      <w:spacing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0F77ED"/>
    <w:pPr>
      <w:spacing w:line="240" w:lineRule="auto"/>
    </w:pPr>
    <w:rPr>
      <w:sz w:val="20"/>
      <w:szCs w:val="20"/>
    </w:rPr>
  </w:style>
  <w:style w:type="character" w:customStyle="1" w:styleId="FootnoteTextChar">
    <w:name w:val="Footnote Text Char"/>
    <w:basedOn w:val="DefaultParagraphFont"/>
    <w:link w:val="FootnoteText"/>
    <w:uiPriority w:val="99"/>
    <w:semiHidden/>
    <w:rsid w:val="000F77ED"/>
    <w:rPr>
      <w:rFonts w:ascii="Arial" w:hAnsi="Arial"/>
      <w:sz w:val="20"/>
      <w:szCs w:val="20"/>
    </w:rPr>
  </w:style>
  <w:style w:type="character" w:styleId="FootnoteReference">
    <w:name w:val="footnote reference"/>
    <w:basedOn w:val="DefaultParagraphFont"/>
    <w:uiPriority w:val="99"/>
    <w:semiHidden/>
    <w:unhideWhenUsed/>
    <w:rsid w:val="000F77ED"/>
    <w:rPr>
      <w:vertAlign w:val="superscript"/>
    </w:rPr>
  </w:style>
  <w:style w:type="paragraph" w:styleId="EndnoteText">
    <w:name w:val="endnote text"/>
    <w:basedOn w:val="Normal"/>
    <w:link w:val="EndnoteTextChar"/>
    <w:uiPriority w:val="99"/>
    <w:unhideWhenUsed/>
    <w:rsid w:val="00FF627F"/>
    <w:pPr>
      <w:spacing w:line="240" w:lineRule="auto"/>
    </w:pPr>
    <w:rPr>
      <w:rFonts w:asciiTheme="minorHAnsi" w:hAnsiTheme="minorHAnsi"/>
      <w:sz w:val="20"/>
      <w:szCs w:val="20"/>
    </w:rPr>
  </w:style>
  <w:style w:type="character" w:customStyle="1" w:styleId="EndnoteTextChar">
    <w:name w:val="Endnote Text Char"/>
    <w:basedOn w:val="DefaultParagraphFont"/>
    <w:link w:val="EndnoteText"/>
    <w:uiPriority w:val="99"/>
    <w:rsid w:val="00FF627F"/>
    <w:rPr>
      <w:sz w:val="20"/>
      <w:szCs w:val="20"/>
    </w:rPr>
  </w:style>
  <w:style w:type="character" w:styleId="EndnoteReference">
    <w:name w:val="endnote reference"/>
    <w:basedOn w:val="DefaultParagraphFont"/>
    <w:semiHidden/>
    <w:unhideWhenUsed/>
    <w:rsid w:val="00FF627F"/>
    <w:rPr>
      <w:vertAlign w:val="superscript"/>
    </w:rPr>
  </w:style>
  <w:style w:type="character" w:customStyle="1" w:styleId="Heading2Char">
    <w:name w:val="Heading 2 Char"/>
    <w:basedOn w:val="DefaultParagraphFont"/>
    <w:link w:val="Heading2"/>
    <w:uiPriority w:val="9"/>
    <w:rsid w:val="00825C9A"/>
    <w:rPr>
      <w:rFonts w:ascii="Arial" w:eastAsiaTheme="majorEastAsia" w:hAnsi="Arial" w:cstheme="majorBidi"/>
      <w:b/>
      <w:bCs/>
      <w:color w:val="4F81BD"/>
      <w:szCs w:val="26"/>
    </w:rPr>
  </w:style>
  <w:style w:type="character" w:styleId="Emphasis">
    <w:name w:val="Emphasis"/>
    <w:basedOn w:val="DefaultParagraphFont"/>
    <w:uiPriority w:val="20"/>
    <w:qFormat/>
    <w:rsid w:val="002D1D93"/>
    <w:rPr>
      <w:i/>
      <w:iCs/>
    </w:rPr>
  </w:style>
  <w:style w:type="paragraph" w:styleId="Header">
    <w:name w:val="header"/>
    <w:basedOn w:val="Normal"/>
    <w:link w:val="HeaderChar"/>
    <w:uiPriority w:val="99"/>
    <w:unhideWhenUsed/>
    <w:rsid w:val="002D1D93"/>
    <w:pPr>
      <w:tabs>
        <w:tab w:val="center" w:pos="4513"/>
        <w:tab w:val="right" w:pos="9026"/>
      </w:tabs>
      <w:spacing w:line="240" w:lineRule="auto"/>
    </w:pPr>
  </w:style>
  <w:style w:type="character" w:customStyle="1" w:styleId="HeaderChar">
    <w:name w:val="Header Char"/>
    <w:basedOn w:val="DefaultParagraphFont"/>
    <w:link w:val="Header"/>
    <w:uiPriority w:val="99"/>
    <w:rsid w:val="002D1D93"/>
    <w:rPr>
      <w:rFonts w:ascii="Arial" w:hAnsi="Arial"/>
    </w:rPr>
  </w:style>
  <w:style w:type="paragraph" w:styleId="Footer">
    <w:name w:val="footer"/>
    <w:basedOn w:val="Normal"/>
    <w:link w:val="FooterChar"/>
    <w:uiPriority w:val="99"/>
    <w:unhideWhenUsed/>
    <w:rsid w:val="002D1D93"/>
    <w:pPr>
      <w:tabs>
        <w:tab w:val="center" w:pos="4513"/>
        <w:tab w:val="right" w:pos="9026"/>
      </w:tabs>
      <w:spacing w:line="240" w:lineRule="auto"/>
    </w:pPr>
  </w:style>
  <w:style w:type="character" w:customStyle="1" w:styleId="FooterChar">
    <w:name w:val="Footer Char"/>
    <w:basedOn w:val="DefaultParagraphFont"/>
    <w:link w:val="Footer"/>
    <w:uiPriority w:val="99"/>
    <w:rsid w:val="002D1D93"/>
    <w:rPr>
      <w:rFonts w:ascii="Arial" w:hAnsi="Arial"/>
    </w:rPr>
  </w:style>
  <w:style w:type="character" w:customStyle="1" w:styleId="NoSpacingChar">
    <w:name w:val="No Spacing Char"/>
    <w:basedOn w:val="DefaultParagraphFont"/>
    <w:link w:val="NoSpacing"/>
    <w:uiPriority w:val="1"/>
    <w:rsid w:val="002D1D93"/>
    <w:rPr>
      <w:rFonts w:ascii="Arial" w:hAnsi="Arial"/>
    </w:rPr>
  </w:style>
  <w:style w:type="paragraph" w:styleId="BalloonText">
    <w:name w:val="Balloon Text"/>
    <w:basedOn w:val="Normal"/>
    <w:link w:val="BalloonTextChar"/>
    <w:uiPriority w:val="99"/>
    <w:semiHidden/>
    <w:unhideWhenUsed/>
    <w:rsid w:val="002D1D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D93"/>
    <w:rPr>
      <w:rFonts w:ascii="Tahoma" w:hAnsi="Tahoma" w:cs="Tahoma"/>
      <w:sz w:val="16"/>
      <w:szCs w:val="16"/>
    </w:rPr>
  </w:style>
  <w:style w:type="character" w:customStyle="1" w:styleId="Heading3Char">
    <w:name w:val="Heading 3 Char"/>
    <w:basedOn w:val="DefaultParagraphFont"/>
    <w:link w:val="Heading3"/>
    <w:uiPriority w:val="9"/>
    <w:rsid w:val="00C613CC"/>
    <w:rPr>
      <w:rFonts w:ascii="Arial" w:eastAsiaTheme="majorEastAsia" w:hAnsi="Arial" w:cstheme="majorBidi"/>
      <w:bCs/>
      <w:i/>
      <w:color w:val="4F81BD" w:themeColor="accent1"/>
    </w:rPr>
  </w:style>
  <w:style w:type="character" w:styleId="FollowedHyperlink">
    <w:name w:val="FollowedHyperlink"/>
    <w:basedOn w:val="DefaultParagraphFont"/>
    <w:uiPriority w:val="99"/>
    <w:semiHidden/>
    <w:unhideWhenUsed/>
    <w:rsid w:val="00631484"/>
    <w:rPr>
      <w:color w:val="800080" w:themeColor="followedHyperlink"/>
      <w:u w:val="single"/>
    </w:rPr>
  </w:style>
  <w:style w:type="paragraph" w:styleId="TOCHeading">
    <w:name w:val="TOC Heading"/>
    <w:basedOn w:val="Heading1"/>
    <w:next w:val="Normal"/>
    <w:uiPriority w:val="39"/>
    <w:semiHidden/>
    <w:unhideWhenUsed/>
    <w:qFormat/>
    <w:rsid w:val="003811DB"/>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3811DB"/>
    <w:pPr>
      <w:spacing w:after="100"/>
    </w:pPr>
  </w:style>
  <w:style w:type="paragraph" w:styleId="TOC2">
    <w:name w:val="toc 2"/>
    <w:basedOn w:val="Normal"/>
    <w:next w:val="Normal"/>
    <w:autoRedefine/>
    <w:uiPriority w:val="39"/>
    <w:unhideWhenUsed/>
    <w:rsid w:val="003811DB"/>
    <w:pPr>
      <w:spacing w:after="100"/>
      <w:ind w:left="220"/>
    </w:pPr>
  </w:style>
  <w:style w:type="character" w:styleId="CommentReference">
    <w:name w:val="annotation reference"/>
    <w:basedOn w:val="DefaultParagraphFont"/>
    <w:uiPriority w:val="99"/>
    <w:semiHidden/>
    <w:unhideWhenUsed/>
    <w:rsid w:val="0044151C"/>
    <w:rPr>
      <w:sz w:val="16"/>
      <w:szCs w:val="16"/>
    </w:rPr>
  </w:style>
  <w:style w:type="paragraph" w:styleId="CommentText">
    <w:name w:val="annotation text"/>
    <w:basedOn w:val="Normal"/>
    <w:link w:val="CommentTextChar"/>
    <w:uiPriority w:val="99"/>
    <w:semiHidden/>
    <w:unhideWhenUsed/>
    <w:rsid w:val="0044151C"/>
    <w:pPr>
      <w:spacing w:line="240" w:lineRule="auto"/>
    </w:pPr>
    <w:rPr>
      <w:sz w:val="20"/>
      <w:szCs w:val="20"/>
    </w:rPr>
  </w:style>
  <w:style w:type="character" w:customStyle="1" w:styleId="CommentTextChar">
    <w:name w:val="Comment Text Char"/>
    <w:basedOn w:val="DefaultParagraphFont"/>
    <w:link w:val="CommentText"/>
    <w:uiPriority w:val="99"/>
    <w:semiHidden/>
    <w:rsid w:val="0044151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4151C"/>
    <w:rPr>
      <w:b/>
      <w:bCs/>
    </w:rPr>
  </w:style>
  <w:style w:type="character" w:customStyle="1" w:styleId="CommentSubjectChar">
    <w:name w:val="Comment Subject Char"/>
    <w:basedOn w:val="CommentTextChar"/>
    <w:link w:val="CommentSubject"/>
    <w:uiPriority w:val="99"/>
    <w:semiHidden/>
    <w:rsid w:val="0044151C"/>
    <w:rPr>
      <w:rFonts w:ascii="Arial" w:hAnsi="Arial"/>
      <w:b/>
      <w:bCs/>
      <w:sz w:val="20"/>
      <w:szCs w:val="20"/>
    </w:rPr>
  </w:style>
  <w:style w:type="table" w:styleId="LightGrid-Accent5">
    <w:name w:val="Light Grid Accent 5"/>
    <w:basedOn w:val="TableNormal"/>
    <w:uiPriority w:val="62"/>
    <w:rsid w:val="00641709"/>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Shading-Accent5">
    <w:name w:val="Light Shading Accent 5"/>
    <w:basedOn w:val="TableNormal"/>
    <w:uiPriority w:val="60"/>
    <w:rsid w:val="00091FB9"/>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1">
    <w:name w:val="Light List Accent 1"/>
    <w:basedOn w:val="TableNormal"/>
    <w:uiPriority w:val="61"/>
    <w:rsid w:val="00091FB9"/>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
    <w:name w:val="Light Shading"/>
    <w:basedOn w:val="TableNormal"/>
    <w:uiPriority w:val="60"/>
    <w:rsid w:val="00CC6FCA"/>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CC6FCA"/>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TOC3">
    <w:name w:val="toc 3"/>
    <w:basedOn w:val="Normal"/>
    <w:next w:val="Normal"/>
    <w:autoRedefine/>
    <w:uiPriority w:val="39"/>
    <w:unhideWhenUsed/>
    <w:rsid w:val="00510DA1"/>
    <w:pPr>
      <w:spacing w:after="100"/>
      <w:ind w:left="440"/>
    </w:pPr>
  </w:style>
  <w:style w:type="paragraph" w:styleId="Revision">
    <w:name w:val="Revision"/>
    <w:hidden/>
    <w:uiPriority w:val="99"/>
    <w:semiHidden/>
    <w:rsid w:val="004162FC"/>
    <w:pPr>
      <w:spacing w:line="240" w:lineRule="auto"/>
    </w:pPr>
    <w:rPr>
      <w:rFonts w:ascii="Arial" w:hAnsi="Arial"/>
    </w:rPr>
  </w:style>
  <w:style w:type="paragraph" w:styleId="Caption">
    <w:name w:val="caption"/>
    <w:basedOn w:val="Normal"/>
    <w:next w:val="Normal"/>
    <w:uiPriority w:val="35"/>
    <w:unhideWhenUsed/>
    <w:qFormat/>
    <w:rsid w:val="00045280"/>
    <w:pPr>
      <w:spacing w:after="200"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155">
      <w:bodyDiv w:val="1"/>
      <w:marLeft w:val="0"/>
      <w:marRight w:val="0"/>
      <w:marTop w:val="0"/>
      <w:marBottom w:val="0"/>
      <w:divBdr>
        <w:top w:val="none" w:sz="0" w:space="0" w:color="auto"/>
        <w:left w:val="none" w:sz="0" w:space="0" w:color="auto"/>
        <w:bottom w:val="none" w:sz="0" w:space="0" w:color="auto"/>
        <w:right w:val="none" w:sz="0" w:space="0" w:color="auto"/>
      </w:divBdr>
    </w:div>
    <w:div w:id="58215424">
      <w:bodyDiv w:val="1"/>
      <w:marLeft w:val="0"/>
      <w:marRight w:val="0"/>
      <w:marTop w:val="0"/>
      <w:marBottom w:val="0"/>
      <w:divBdr>
        <w:top w:val="none" w:sz="0" w:space="0" w:color="auto"/>
        <w:left w:val="none" w:sz="0" w:space="0" w:color="auto"/>
        <w:bottom w:val="none" w:sz="0" w:space="0" w:color="auto"/>
        <w:right w:val="none" w:sz="0" w:space="0" w:color="auto"/>
      </w:divBdr>
    </w:div>
    <w:div w:id="385181116">
      <w:bodyDiv w:val="1"/>
      <w:marLeft w:val="0"/>
      <w:marRight w:val="0"/>
      <w:marTop w:val="0"/>
      <w:marBottom w:val="0"/>
      <w:divBdr>
        <w:top w:val="none" w:sz="0" w:space="0" w:color="auto"/>
        <w:left w:val="none" w:sz="0" w:space="0" w:color="auto"/>
        <w:bottom w:val="none" w:sz="0" w:space="0" w:color="auto"/>
        <w:right w:val="none" w:sz="0" w:space="0" w:color="auto"/>
      </w:divBdr>
    </w:div>
    <w:div w:id="430316563">
      <w:bodyDiv w:val="1"/>
      <w:marLeft w:val="0"/>
      <w:marRight w:val="0"/>
      <w:marTop w:val="0"/>
      <w:marBottom w:val="0"/>
      <w:divBdr>
        <w:top w:val="none" w:sz="0" w:space="0" w:color="auto"/>
        <w:left w:val="none" w:sz="0" w:space="0" w:color="auto"/>
        <w:bottom w:val="none" w:sz="0" w:space="0" w:color="auto"/>
        <w:right w:val="none" w:sz="0" w:space="0" w:color="auto"/>
      </w:divBdr>
    </w:div>
    <w:div w:id="604775240">
      <w:bodyDiv w:val="1"/>
      <w:marLeft w:val="0"/>
      <w:marRight w:val="0"/>
      <w:marTop w:val="0"/>
      <w:marBottom w:val="0"/>
      <w:divBdr>
        <w:top w:val="none" w:sz="0" w:space="0" w:color="auto"/>
        <w:left w:val="none" w:sz="0" w:space="0" w:color="auto"/>
        <w:bottom w:val="none" w:sz="0" w:space="0" w:color="auto"/>
        <w:right w:val="none" w:sz="0" w:space="0" w:color="auto"/>
      </w:divBdr>
    </w:div>
    <w:div w:id="642733647">
      <w:bodyDiv w:val="1"/>
      <w:marLeft w:val="0"/>
      <w:marRight w:val="0"/>
      <w:marTop w:val="0"/>
      <w:marBottom w:val="0"/>
      <w:divBdr>
        <w:top w:val="none" w:sz="0" w:space="0" w:color="auto"/>
        <w:left w:val="none" w:sz="0" w:space="0" w:color="auto"/>
        <w:bottom w:val="none" w:sz="0" w:space="0" w:color="auto"/>
        <w:right w:val="none" w:sz="0" w:space="0" w:color="auto"/>
      </w:divBdr>
    </w:div>
    <w:div w:id="201858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ecscn.nhs.uk/files/9914/0197/3191/SEC_Maternity_Children_and_Young_People_SCN_Plan_on_a_Page.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rcpsych.ac.uk/expertadvice/youthinfo/parentscarers/disorders/adhdhyperkineticdisorder.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5" Type="http://schemas.microsoft.com/office/2007/relationships/stylesWithEffects" Target="stylesWithEffects.xml"/><Relationship Id="rId15" Type="http://schemas.openxmlformats.org/officeDocument/2006/relationships/hyperlink" Target="https://www.gov.uk/government/publications/local-authority-interactive-tool-lait" TargetMode="Externa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4.xml"/></Relationships>
</file>

<file path=word/_rels/footnotes.xml.rels><?xml version="1.0" encoding="UTF-8" standalone="yes"?>
<Relationships xmlns="http://schemas.openxmlformats.org/package/2006/relationships"><Relationship Id="rId8" Type="http://schemas.openxmlformats.org/officeDocument/2006/relationships/hyperlink" Target="http://www.rightcare.nhs.uk/index.php/atlas/children-and-young-adults/" TargetMode="External"/><Relationship Id="rId13" Type="http://schemas.openxmlformats.org/officeDocument/2006/relationships/hyperlink" Target="http://www.esrc.ac.uk/my-esrc/grants/RES-062-23-2883/outputs/Read/6bfc92b2-6d42-4c48-a183-03d5b5a2cfc3" TargetMode="External"/><Relationship Id="rId18" Type="http://schemas.openxmlformats.org/officeDocument/2006/relationships/hyperlink" Target="http://www.hscic.gov.uk/catalogue/PUB13464" TargetMode="External"/><Relationship Id="rId26" Type="http://schemas.openxmlformats.org/officeDocument/2006/relationships/hyperlink" Target="https://www.epilepsy.org.uk/" TargetMode="External"/><Relationship Id="rId3" Type="http://schemas.openxmlformats.org/officeDocument/2006/relationships/hyperlink" Target="http://www.ons.gov.uk/ons/publications/re-reference-tables.html?edition=tcm%3A77-322718" TargetMode="External"/><Relationship Id="rId21" Type="http://schemas.openxmlformats.org/officeDocument/2006/relationships/hyperlink" Target="http://fingertips.phe.org.uk/profile/cyphof" TargetMode="External"/><Relationship Id="rId34" Type="http://schemas.openxmlformats.org/officeDocument/2006/relationships/hyperlink" Target="http://www.cafamily.org.uk/medical-information/conditions/g/global-developmental-delay/" TargetMode="External"/><Relationship Id="rId7" Type="http://schemas.openxmlformats.org/officeDocument/2006/relationships/hyperlink" Target="http://www.learningdisabilities.org.uk/" TargetMode="External"/><Relationship Id="rId12" Type="http://schemas.openxmlformats.org/officeDocument/2006/relationships/hyperlink" Target="http://atlas.chimat.org.uk/IAS/profiles/profile?profileId=46" TargetMode="External"/><Relationship Id="rId17" Type="http://schemas.openxmlformats.org/officeDocument/2006/relationships/hyperlink" Target="http://fingertips.phe.org.uk/profile/learning-disabilities/data" TargetMode="External"/><Relationship Id="rId25" Type="http://schemas.openxmlformats.org/officeDocument/2006/relationships/hyperlink" Target="https://www.rcplondon.ac.uk/projects/national-review-asthma-deaths" TargetMode="External"/><Relationship Id="rId33" Type="http://schemas.openxmlformats.org/officeDocument/2006/relationships/hyperlink" Target="http://www.nice.org.uk/guidance/cg170/chapter/Introduction" TargetMode="External"/><Relationship Id="rId2" Type="http://schemas.openxmlformats.org/officeDocument/2006/relationships/hyperlink" Target="https://www.gov.uk/government/publications/nhs-at-home-childrens-community-nursing-services" TargetMode="External"/><Relationship Id="rId16" Type="http://schemas.openxmlformats.org/officeDocument/2006/relationships/hyperlink" Target="https://www.gov.uk/government/statistics/special-educational-needs-in-england-january-2015" TargetMode="External"/><Relationship Id="rId20" Type="http://schemas.openxmlformats.org/officeDocument/2006/relationships/hyperlink" Target="http://www.hscic.gov.uk/catalogue/PUB09300" TargetMode="External"/><Relationship Id="rId29" Type="http://schemas.openxmlformats.org/officeDocument/2006/relationships/hyperlink" Target="http://www.chimat.org.uk/default.aspx?QN=CHMTDMIT" TargetMode="External"/><Relationship Id="rId1" Type="http://schemas.openxmlformats.org/officeDocument/2006/relationships/hyperlink" Target="https://www.gov.uk/government/publications/send-code-of-practice-0-to-25" TargetMode="External"/><Relationship Id="rId6" Type="http://schemas.openxmlformats.org/officeDocument/2006/relationships/hyperlink" Target="https://www.gov.uk/government/publications/independent-experts-set-out-recommendations-to-improve-children-and-young-people-s-health-results" TargetMode="External"/><Relationship Id="rId11" Type="http://schemas.openxmlformats.org/officeDocument/2006/relationships/hyperlink" Target="http://www.cls.ioe.ac.uk/page.aspx?&amp;sitesectionid=1203&amp;sitesectiontitle=Trajectories+and+transitions+in+the+cognitive+and+educational+development+of+disabled+children+and+young+people" TargetMode="External"/><Relationship Id="rId24" Type="http://schemas.openxmlformats.org/officeDocument/2006/relationships/hyperlink" Target="http://www.chimat.org.uk/default.aspx?QN=CHMTDMIT" TargetMode="External"/><Relationship Id="rId32" Type="http://schemas.openxmlformats.org/officeDocument/2006/relationships/hyperlink" Target="http://fingertips.phe.org.uk/profile/learning-disabilities/data" TargetMode="External"/><Relationship Id="rId37" Type="http://schemas.openxmlformats.org/officeDocument/2006/relationships/hyperlink" Target="http://www.chimat.org.uk/ISTOOLKIT" TargetMode="External"/><Relationship Id="rId5" Type="http://schemas.openxmlformats.org/officeDocument/2006/relationships/hyperlink" Target="http://www.youngpeopleshealth.org.uk/key-data-on-adolescence" TargetMode="External"/><Relationship Id="rId15" Type="http://schemas.openxmlformats.org/officeDocument/2006/relationships/hyperlink" Target="https://www.gov.uk/government/uploads/system/uploads/attachment_data/file/398815/SEND_Code_of_Practice_January_2015.pdf" TargetMode="External"/><Relationship Id="rId23" Type="http://schemas.openxmlformats.org/officeDocument/2006/relationships/hyperlink" Target="http://www.erswhitebook.org/" TargetMode="External"/><Relationship Id="rId28" Type="http://schemas.openxmlformats.org/officeDocument/2006/relationships/hyperlink" Target="https://www.diabetes.org.uk/?gclid=CKjMybL_t8cCFRI6GwodFhkBQA" TargetMode="External"/><Relationship Id="rId36" Type="http://schemas.openxmlformats.org/officeDocument/2006/relationships/hyperlink" Target="http://www.chimat.org.uk/ISTOOLKIT" TargetMode="External"/><Relationship Id="rId10" Type="http://schemas.openxmlformats.org/officeDocument/2006/relationships/hyperlink" Target="http://www.bath.ac.uk/research/pdes/" TargetMode="External"/><Relationship Id="rId19" Type="http://schemas.openxmlformats.org/officeDocument/2006/relationships/hyperlink" Target="https://www.gov.uk/government/publications/nhs-at-home-childrens-community-nursing-services" TargetMode="External"/><Relationship Id="rId31" Type="http://schemas.openxmlformats.org/officeDocument/2006/relationships/hyperlink" Target="http://www.england.nhs.uk/resources/resources-for-ccgs/comm-for-value/" TargetMode="External"/><Relationship Id="rId4" Type="http://schemas.openxmlformats.org/officeDocument/2006/relationships/hyperlink" Target="http://www.hscic.gov.uk/article/2021/Website-Search?productid=18318&amp;q=ccg+code&amp;sort=Relevance&amp;size=10&amp;page=1&amp;area=both" TargetMode="External"/><Relationship Id="rId9" Type="http://schemas.openxmlformats.org/officeDocument/2006/relationships/hyperlink" Target="https://www.gov.uk/government/collections/family-resources-survey--2" TargetMode="External"/><Relationship Id="rId14" Type="http://schemas.openxmlformats.org/officeDocument/2006/relationships/hyperlink" Target="http://atlas.chimat.org.uk/IAS/dataviews/report/fullpage?viewId=493&amp;reportId=535&amp;geoId=4&amp;geoReportId=4618" TargetMode="External"/><Relationship Id="rId22" Type="http://schemas.openxmlformats.org/officeDocument/2006/relationships/hyperlink" Target="https://www.nice.org.uk/guidance/qs25" TargetMode="External"/><Relationship Id="rId27" Type="http://schemas.openxmlformats.org/officeDocument/2006/relationships/hyperlink" Target="http://www.youngepilepsy.org.uk/" TargetMode="External"/><Relationship Id="rId30" Type="http://schemas.openxmlformats.org/officeDocument/2006/relationships/hyperlink" Target="http://atlas.chimat.org.uk/IAS/profiles/profile?profileId=46&amp;geoTypeId=" TargetMode="External"/><Relationship Id="rId35" Type="http://schemas.openxmlformats.org/officeDocument/2006/relationships/hyperlink" Target="http://atlas.chimat.org.uk/IAS/profiles/needsassessment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http://atlas.chimat.org.uk/IAS/Custom/Resources/ChiMat_DMIT_v5_1_Aug2015.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atlas.chimat.org.uk/IAS/Custom/Resources/ChiMat_DMIT_v5_1_Aug2015.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atlas.chimat.org.uk/IAS/Custom/Resources/ChiMat_DMIT_v5_Aug2015.xlsm"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atlas.chimat.org.uk/IAS/Custom/Resources/ChiMat_IST_v1_May2015.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CurrentData!$W$11</c:f>
              <c:strCache>
                <c:ptCount val="1"/>
                <c:pt idx="0">
                  <c:v>4 most similar CCGs</c:v>
                </c:pt>
              </c:strCache>
            </c:strRef>
          </c:tx>
          <c:marker>
            <c:symbol val="none"/>
          </c:marker>
          <c:cat>
            <c:strRef>
              <c:f>ChartHist!$L$35:$L$38</c:f>
              <c:strCache>
                <c:ptCount val="4"/>
                <c:pt idx="0">
                  <c:v>2010/11</c:v>
                </c:pt>
                <c:pt idx="1">
                  <c:v>2011/12</c:v>
                </c:pt>
                <c:pt idx="2">
                  <c:v>2012/13</c:v>
                </c:pt>
                <c:pt idx="3">
                  <c:v>2013/14</c:v>
                </c:pt>
              </c:strCache>
            </c:strRef>
          </c:cat>
          <c:val>
            <c:numRef>
              <c:f>ChartHist!$N$35:$N$38</c:f>
              <c:numCache>
                <c:formatCode>0.0</c:formatCode>
                <c:ptCount val="4"/>
                <c:pt idx="0">
                  <c:v>228.19036439623156</c:v>
                </c:pt>
                <c:pt idx="1">
                  <c:v>213.72055961752528</c:v>
                </c:pt>
                <c:pt idx="2">
                  <c:v>224.42026402037365</c:v>
                </c:pt>
                <c:pt idx="3">
                  <c:v>110.18690028231147</c:v>
                </c:pt>
              </c:numCache>
            </c:numRef>
          </c:val>
          <c:smooth val="0"/>
        </c:ser>
        <c:ser>
          <c:idx val="0"/>
          <c:order val="1"/>
          <c:tx>
            <c:strRef>
              <c:f>ChartHist!$L$27</c:f>
              <c:strCache>
                <c:ptCount val="1"/>
                <c:pt idx="0">
                  <c:v>NHS Medway</c:v>
                </c:pt>
              </c:strCache>
            </c:strRef>
          </c:tx>
          <c:spPr>
            <a:ln>
              <a:prstDash val="dashDot"/>
            </a:ln>
          </c:spPr>
          <c:marker>
            <c:symbol val="none"/>
          </c:marker>
          <c:cat>
            <c:strRef>
              <c:f>ChartHist!$L$35:$L$38</c:f>
              <c:strCache>
                <c:ptCount val="4"/>
                <c:pt idx="0">
                  <c:v>2010/11</c:v>
                </c:pt>
                <c:pt idx="1">
                  <c:v>2011/12</c:v>
                </c:pt>
                <c:pt idx="2">
                  <c:v>2012/13</c:v>
                </c:pt>
                <c:pt idx="3">
                  <c:v>2013/14</c:v>
                </c:pt>
              </c:strCache>
            </c:strRef>
          </c:cat>
          <c:val>
            <c:numRef>
              <c:f>ChartHist!$N$28:$N$31</c:f>
              <c:numCache>
                <c:formatCode>0.0</c:formatCode>
                <c:ptCount val="4"/>
                <c:pt idx="0">
                  <c:v>340.2273878470167</c:v>
                </c:pt>
                <c:pt idx="1">
                  <c:v>284.47694072287408</c:v>
                </c:pt>
                <c:pt idx="2">
                  <c:v>297.64842784792711</c:v>
                </c:pt>
                <c:pt idx="3">
                  <c:v>258.36417737136219</c:v>
                </c:pt>
              </c:numCache>
            </c:numRef>
          </c:val>
          <c:smooth val="0"/>
        </c:ser>
        <c:dLbls>
          <c:showLegendKey val="0"/>
          <c:showVal val="0"/>
          <c:showCatName val="0"/>
          <c:showSerName val="0"/>
          <c:showPercent val="0"/>
          <c:showBubbleSize val="0"/>
        </c:dLbls>
        <c:marker val="1"/>
        <c:smooth val="0"/>
        <c:axId val="223670272"/>
        <c:axId val="223673344"/>
      </c:lineChart>
      <c:catAx>
        <c:axId val="223670272"/>
        <c:scaling>
          <c:orientation val="minMax"/>
        </c:scaling>
        <c:delete val="0"/>
        <c:axPos val="b"/>
        <c:numFmt formatCode="General" sourceLinked="1"/>
        <c:majorTickMark val="out"/>
        <c:minorTickMark val="none"/>
        <c:tickLblPos val="nextTo"/>
        <c:crossAx val="223673344"/>
        <c:crosses val="autoZero"/>
        <c:auto val="1"/>
        <c:lblAlgn val="ctr"/>
        <c:lblOffset val="100"/>
        <c:noMultiLvlLbl val="0"/>
      </c:catAx>
      <c:valAx>
        <c:axId val="223673344"/>
        <c:scaling>
          <c:orientation val="minMax"/>
          <c:min val="0"/>
        </c:scaling>
        <c:delete val="0"/>
        <c:axPos val="l"/>
        <c:majorGridlines/>
        <c:numFmt formatCode="0.0" sourceLinked="1"/>
        <c:majorTickMark val="out"/>
        <c:minorTickMark val="none"/>
        <c:tickLblPos val="nextTo"/>
        <c:crossAx val="223670272"/>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GB" sz="1200">
                <a:latin typeface="Arial" pitchFamily="34" charset="0"/>
                <a:cs typeface="Arial" pitchFamily="34" charset="0"/>
              </a:rPr>
              <a:t>Epilepsy Admissions per 100,000 population</a:t>
            </a:r>
          </a:p>
        </c:rich>
      </c:tx>
      <c:overlay val="0"/>
    </c:title>
    <c:autoTitleDeleted val="0"/>
    <c:plotArea>
      <c:layout/>
      <c:lineChart>
        <c:grouping val="standard"/>
        <c:varyColors val="0"/>
        <c:ser>
          <c:idx val="1"/>
          <c:order val="0"/>
          <c:tx>
            <c:strRef>
              <c:f>CurrentData!$W$11</c:f>
              <c:strCache>
                <c:ptCount val="1"/>
                <c:pt idx="0">
                  <c:v>4 most similar CCGs</c:v>
                </c:pt>
              </c:strCache>
            </c:strRef>
          </c:tx>
          <c:marker>
            <c:symbol val="none"/>
          </c:marker>
          <c:cat>
            <c:strRef>
              <c:f>ChartHist!$L$35:$L$38</c:f>
              <c:strCache>
                <c:ptCount val="4"/>
                <c:pt idx="0">
                  <c:v>2010/11</c:v>
                </c:pt>
                <c:pt idx="1">
                  <c:v>2011/12</c:v>
                </c:pt>
                <c:pt idx="2">
                  <c:v>2012/13</c:v>
                </c:pt>
                <c:pt idx="3">
                  <c:v>2013/14</c:v>
                </c:pt>
              </c:strCache>
            </c:strRef>
          </c:cat>
          <c:val>
            <c:numRef>
              <c:f>ChartHist!$N$35:$N$38</c:f>
              <c:numCache>
                <c:formatCode>0.0</c:formatCode>
                <c:ptCount val="4"/>
                <c:pt idx="0">
                  <c:v>228.19036439623156</c:v>
                </c:pt>
                <c:pt idx="1">
                  <c:v>213.72055961752528</c:v>
                </c:pt>
                <c:pt idx="2">
                  <c:v>224.42026402037365</c:v>
                </c:pt>
                <c:pt idx="3">
                  <c:v>110.18690028231147</c:v>
                </c:pt>
              </c:numCache>
            </c:numRef>
          </c:val>
          <c:smooth val="0"/>
        </c:ser>
        <c:ser>
          <c:idx val="0"/>
          <c:order val="1"/>
          <c:tx>
            <c:strRef>
              <c:f>ChartHist!$L$27</c:f>
              <c:strCache>
                <c:ptCount val="1"/>
                <c:pt idx="0">
                  <c:v>NHS Medway</c:v>
                </c:pt>
              </c:strCache>
            </c:strRef>
          </c:tx>
          <c:spPr>
            <a:ln>
              <a:prstDash val="dashDot"/>
            </a:ln>
          </c:spPr>
          <c:marker>
            <c:symbol val="none"/>
          </c:marker>
          <c:cat>
            <c:strRef>
              <c:f>ChartHist!$L$35:$L$38</c:f>
              <c:strCache>
                <c:ptCount val="4"/>
                <c:pt idx="0">
                  <c:v>2010/11</c:v>
                </c:pt>
                <c:pt idx="1">
                  <c:v>2011/12</c:v>
                </c:pt>
                <c:pt idx="2">
                  <c:v>2012/13</c:v>
                </c:pt>
                <c:pt idx="3">
                  <c:v>2013/14</c:v>
                </c:pt>
              </c:strCache>
            </c:strRef>
          </c:cat>
          <c:val>
            <c:numRef>
              <c:f>ChartHist!$N$28:$N$31</c:f>
              <c:numCache>
                <c:formatCode>0.0</c:formatCode>
                <c:ptCount val="4"/>
                <c:pt idx="0">
                  <c:v>340.2273878470167</c:v>
                </c:pt>
                <c:pt idx="1">
                  <c:v>284.47694072287408</c:v>
                </c:pt>
                <c:pt idx="2">
                  <c:v>297.64842784792711</c:v>
                </c:pt>
                <c:pt idx="3">
                  <c:v>258.36417737136219</c:v>
                </c:pt>
              </c:numCache>
            </c:numRef>
          </c:val>
          <c:smooth val="0"/>
        </c:ser>
        <c:dLbls>
          <c:showLegendKey val="0"/>
          <c:showVal val="0"/>
          <c:showCatName val="0"/>
          <c:showSerName val="0"/>
          <c:showPercent val="0"/>
          <c:showBubbleSize val="0"/>
        </c:dLbls>
        <c:marker val="1"/>
        <c:smooth val="0"/>
        <c:axId val="194986752"/>
        <c:axId val="194988288"/>
      </c:lineChart>
      <c:catAx>
        <c:axId val="194986752"/>
        <c:scaling>
          <c:orientation val="minMax"/>
        </c:scaling>
        <c:delete val="0"/>
        <c:axPos val="b"/>
        <c:numFmt formatCode="General" sourceLinked="1"/>
        <c:majorTickMark val="out"/>
        <c:minorTickMark val="none"/>
        <c:tickLblPos val="nextTo"/>
        <c:crossAx val="194988288"/>
        <c:crosses val="autoZero"/>
        <c:auto val="1"/>
        <c:lblAlgn val="ctr"/>
        <c:lblOffset val="100"/>
        <c:noMultiLvlLbl val="0"/>
      </c:catAx>
      <c:valAx>
        <c:axId val="194988288"/>
        <c:scaling>
          <c:orientation val="minMax"/>
          <c:min val="0"/>
        </c:scaling>
        <c:delete val="0"/>
        <c:axPos val="l"/>
        <c:majorGridlines/>
        <c:numFmt formatCode="0.0" sourceLinked="1"/>
        <c:majorTickMark val="out"/>
        <c:minorTickMark val="none"/>
        <c:tickLblPos val="nextTo"/>
        <c:crossAx val="194986752"/>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0614651480038"/>
          <c:y val="0.16770976000464602"/>
          <c:w val="0.87847826926046013"/>
          <c:h val="0.58374874193357407"/>
        </c:manualLayout>
      </c:layout>
      <c:lineChart>
        <c:grouping val="standard"/>
        <c:varyColors val="0"/>
        <c:ser>
          <c:idx val="1"/>
          <c:order val="0"/>
          <c:tx>
            <c:strRef>
              <c:f>CurrentData!$W$11</c:f>
              <c:strCache>
                <c:ptCount val="1"/>
                <c:pt idx="0">
                  <c:v>South</c:v>
                </c:pt>
              </c:strCache>
            </c:strRef>
          </c:tx>
          <c:marker>
            <c:symbol val="none"/>
          </c:marker>
          <c:cat>
            <c:strRef>
              <c:f>ChartHist!$L$35:$L$38</c:f>
              <c:strCache>
                <c:ptCount val="4"/>
                <c:pt idx="0">
                  <c:v>2010/11</c:v>
                </c:pt>
                <c:pt idx="1">
                  <c:v>2011/12</c:v>
                </c:pt>
                <c:pt idx="2">
                  <c:v>2012/13</c:v>
                </c:pt>
                <c:pt idx="3">
                  <c:v>2013/14</c:v>
                </c:pt>
              </c:strCache>
            </c:strRef>
          </c:cat>
          <c:val>
            <c:numRef>
              <c:f>ChartHist!$N$35:$N$38</c:f>
              <c:numCache>
                <c:formatCode>0.0</c:formatCode>
                <c:ptCount val="4"/>
                <c:pt idx="0">
                  <c:v>57.671295749338817</c:v>
                </c:pt>
                <c:pt idx="1">
                  <c:v>56.460617973881774</c:v>
                </c:pt>
                <c:pt idx="2">
                  <c:v>58.540447511532214</c:v>
                </c:pt>
                <c:pt idx="3">
                  <c:v>59.754571142657042</c:v>
                </c:pt>
              </c:numCache>
            </c:numRef>
          </c:val>
          <c:smooth val="0"/>
        </c:ser>
        <c:ser>
          <c:idx val="0"/>
          <c:order val="1"/>
          <c:tx>
            <c:strRef>
              <c:f>ChartHist!$L$27</c:f>
              <c:strCache>
                <c:ptCount val="1"/>
                <c:pt idx="0">
                  <c:v>NHS Medway</c:v>
                </c:pt>
              </c:strCache>
            </c:strRef>
          </c:tx>
          <c:spPr>
            <a:ln>
              <a:prstDash val="dashDot"/>
            </a:ln>
          </c:spPr>
          <c:marker>
            <c:symbol val="none"/>
          </c:marker>
          <c:cat>
            <c:strRef>
              <c:f>ChartHist!$L$35:$L$38</c:f>
              <c:strCache>
                <c:ptCount val="4"/>
                <c:pt idx="0">
                  <c:v>2010/11</c:v>
                </c:pt>
                <c:pt idx="1">
                  <c:v>2011/12</c:v>
                </c:pt>
                <c:pt idx="2">
                  <c:v>2012/13</c:v>
                </c:pt>
                <c:pt idx="3">
                  <c:v>2013/14</c:v>
                </c:pt>
              </c:strCache>
            </c:strRef>
          </c:cat>
          <c:val>
            <c:numRef>
              <c:f>ChartHist!$N$28:$N$31</c:f>
              <c:numCache>
                <c:formatCode>0.0</c:formatCode>
                <c:ptCount val="4"/>
                <c:pt idx="0">
                  <c:v>65.60438420368483</c:v>
                </c:pt>
                <c:pt idx="1">
                  <c:v>45.395256498330973</c:v>
                </c:pt>
                <c:pt idx="2">
                  <c:v>91.238965320218867</c:v>
                </c:pt>
                <c:pt idx="3">
                  <c:v>74.025691269322877</c:v>
                </c:pt>
              </c:numCache>
            </c:numRef>
          </c:val>
          <c:smooth val="0"/>
        </c:ser>
        <c:dLbls>
          <c:showLegendKey val="0"/>
          <c:showVal val="0"/>
          <c:showCatName val="0"/>
          <c:showSerName val="0"/>
          <c:showPercent val="0"/>
          <c:showBubbleSize val="0"/>
        </c:dLbls>
        <c:marker val="1"/>
        <c:smooth val="0"/>
        <c:axId val="195022208"/>
        <c:axId val="195024000"/>
      </c:lineChart>
      <c:catAx>
        <c:axId val="195022208"/>
        <c:scaling>
          <c:orientation val="minMax"/>
        </c:scaling>
        <c:delete val="0"/>
        <c:axPos val="b"/>
        <c:numFmt formatCode="General" sourceLinked="1"/>
        <c:majorTickMark val="out"/>
        <c:minorTickMark val="none"/>
        <c:tickLblPos val="nextTo"/>
        <c:crossAx val="195024000"/>
        <c:crosses val="autoZero"/>
        <c:auto val="1"/>
        <c:lblAlgn val="ctr"/>
        <c:lblOffset val="100"/>
        <c:noMultiLvlLbl val="0"/>
      </c:catAx>
      <c:valAx>
        <c:axId val="195024000"/>
        <c:scaling>
          <c:orientation val="minMax"/>
          <c:min val="0"/>
        </c:scaling>
        <c:delete val="0"/>
        <c:axPos val="l"/>
        <c:majorGridlines/>
        <c:numFmt formatCode="0.0" sourceLinked="1"/>
        <c:majorTickMark val="out"/>
        <c:minorTickMark val="none"/>
        <c:tickLblPos val="nextTo"/>
        <c:crossAx val="195022208"/>
        <c:crosses val="autoZero"/>
        <c:crossBetween val="between"/>
      </c:valAx>
    </c:plotArea>
    <c:legend>
      <c:legendPos val="b"/>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49221758649801"/>
          <c:y val="9.002437141770539E-2"/>
          <c:w val="0.89514367283950613"/>
          <c:h val="0.68311005534721636"/>
        </c:manualLayout>
      </c:layout>
      <c:lineChart>
        <c:grouping val="standard"/>
        <c:varyColors val="0"/>
        <c:ser>
          <c:idx val="1"/>
          <c:order val="0"/>
          <c:tx>
            <c:strRef>
              <c:f>ChartCCHist!$C$18</c:f>
              <c:strCache>
                <c:ptCount val="1"/>
                <c:pt idx="0">
                  <c:v>NHS Medway</c:v>
                </c:pt>
              </c:strCache>
            </c:strRef>
          </c:tx>
          <c:marker>
            <c:symbol val="none"/>
          </c:marker>
          <c:cat>
            <c:strRef>
              <c:f>ChartLOSHist!$C$18:$C$21</c:f>
              <c:strCache>
                <c:ptCount val="4"/>
                <c:pt idx="0">
                  <c:v>2010/11</c:v>
                </c:pt>
                <c:pt idx="1">
                  <c:v>2011/12</c:v>
                </c:pt>
                <c:pt idx="2">
                  <c:v>2012/13</c:v>
                </c:pt>
                <c:pt idx="3">
                  <c:v>2013/14</c:v>
                </c:pt>
              </c:strCache>
            </c:strRef>
          </c:cat>
          <c:val>
            <c:numRef>
              <c:f>ChartCCHist!$E$19:$E$22</c:f>
              <c:numCache>
                <c:formatCode>#,##0.0</c:formatCode>
                <c:ptCount val="4"/>
                <c:pt idx="0">
                  <c:v>4789.1414187946611</c:v>
                </c:pt>
                <c:pt idx="1">
                  <c:v>4094.2851210618919</c:v>
                </c:pt>
                <c:pt idx="2">
                  <c:v>4674.670160141457</c:v>
                </c:pt>
                <c:pt idx="3">
                  <c:v>6607.6696165191743</c:v>
                </c:pt>
              </c:numCache>
            </c:numRef>
          </c:val>
          <c:smooth val="0"/>
        </c:ser>
        <c:ser>
          <c:idx val="2"/>
          <c:order val="1"/>
          <c:tx>
            <c:strRef>
              <c:f>ChartCCHist!$C$24</c:f>
              <c:strCache>
                <c:ptCount val="1"/>
                <c:pt idx="0">
                  <c:v>South</c:v>
                </c:pt>
              </c:strCache>
            </c:strRef>
          </c:tx>
          <c:marker>
            <c:symbol val="none"/>
          </c:marker>
          <c:cat>
            <c:strRef>
              <c:f>ChartLOSHist!$C$18:$C$21</c:f>
              <c:strCache>
                <c:ptCount val="4"/>
                <c:pt idx="0">
                  <c:v>2010/11</c:v>
                </c:pt>
                <c:pt idx="1">
                  <c:v>2011/12</c:v>
                </c:pt>
                <c:pt idx="2">
                  <c:v>2012/13</c:v>
                </c:pt>
                <c:pt idx="3">
                  <c:v>2013/14</c:v>
                </c:pt>
              </c:strCache>
            </c:strRef>
          </c:cat>
          <c:val>
            <c:numRef>
              <c:f>ChartCCHist!$E$25:$E$28</c:f>
              <c:numCache>
                <c:formatCode>#,##0.0</c:formatCode>
                <c:ptCount val="4"/>
                <c:pt idx="0">
                  <c:v>3891.9881333404428</c:v>
                </c:pt>
                <c:pt idx="1">
                  <c:v>3801.0437166151246</c:v>
                </c:pt>
                <c:pt idx="2">
                  <c:v>3697.5983821690074</c:v>
                </c:pt>
                <c:pt idx="3">
                  <c:v>3963.7608821677368</c:v>
                </c:pt>
              </c:numCache>
            </c:numRef>
          </c:val>
          <c:smooth val="0"/>
        </c:ser>
        <c:dLbls>
          <c:showLegendKey val="0"/>
          <c:showVal val="0"/>
          <c:showCatName val="0"/>
          <c:showSerName val="0"/>
          <c:showPercent val="0"/>
          <c:showBubbleSize val="0"/>
        </c:dLbls>
        <c:marker val="1"/>
        <c:smooth val="0"/>
        <c:axId val="206095488"/>
        <c:axId val="206097024"/>
      </c:lineChart>
      <c:catAx>
        <c:axId val="206095488"/>
        <c:scaling>
          <c:orientation val="minMax"/>
        </c:scaling>
        <c:delete val="0"/>
        <c:axPos val="b"/>
        <c:numFmt formatCode="General" sourceLinked="1"/>
        <c:majorTickMark val="out"/>
        <c:minorTickMark val="none"/>
        <c:tickLblPos val="nextTo"/>
        <c:crossAx val="206097024"/>
        <c:crosses val="autoZero"/>
        <c:auto val="1"/>
        <c:lblAlgn val="ctr"/>
        <c:lblOffset val="100"/>
        <c:noMultiLvlLbl val="0"/>
      </c:catAx>
      <c:valAx>
        <c:axId val="206097024"/>
        <c:scaling>
          <c:orientation val="minMax"/>
          <c:min val="0"/>
        </c:scaling>
        <c:delete val="0"/>
        <c:axPos val="l"/>
        <c:majorGridlines>
          <c:spPr>
            <a:ln>
              <a:solidFill>
                <a:schemeClr val="bg1">
                  <a:lumMod val="85000"/>
                </a:schemeClr>
              </a:solidFill>
            </a:ln>
          </c:spPr>
        </c:majorGridlines>
        <c:numFmt formatCode="#,##0.0" sourceLinked="0"/>
        <c:majorTickMark val="out"/>
        <c:minorTickMark val="none"/>
        <c:tickLblPos val="nextTo"/>
        <c:crossAx val="206095488"/>
        <c:crosses val="autoZero"/>
        <c:crossBetween val="between"/>
      </c:valAx>
    </c:plotArea>
    <c:legend>
      <c:legendPos val="r"/>
      <c:layout>
        <c:manualLayout>
          <c:xMode val="edge"/>
          <c:yMode val="edge"/>
          <c:x val="1.2514969135802469E-2"/>
          <c:y val="0.92921889805851587"/>
          <c:w val="0.97376589506172839"/>
          <c:h val="6.4669999999999991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2015-07-31T00:00:00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79F7E4-C959-4628-8E79-1CDF779C8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17062</Words>
  <Characters>97260</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Needs analysis</vt:lpstr>
    </vt:vector>
  </TitlesOfParts>
  <Company>Partnership Commissioning</Company>
  <LinksUpToDate>false</LinksUpToDate>
  <CharactersWithSpaces>114094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Needs analysis</dc:title>
  <dc:subject>For review of children’s community health services, 2015</dc:subject>
  <dc:creator>Marilyn Morgan</dc:creator>
  <cp:lastModifiedBy>morgan, marilyn</cp:lastModifiedBy>
  <cp:revision>2</cp:revision>
  <cp:lastPrinted>2015-11-11T09:41:00Z</cp:lastPrinted>
  <dcterms:created xsi:type="dcterms:W3CDTF">2017-02-10T14:42:00Z</dcterms:created>
  <dcterms:modified xsi:type="dcterms:W3CDTF">2017-02-10T14:42:00Z</dcterms:modified>
</cp:coreProperties>
</file>