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79" w:rsidRDefault="007931EC" w:rsidP="008F6A28">
      <w:pPr>
        <w:jc w:val="center"/>
        <w:rPr>
          <w:b/>
        </w:rPr>
      </w:pPr>
      <w:r>
        <w:rPr>
          <w:b/>
        </w:rPr>
        <w:t xml:space="preserve">ANNEX B - </w:t>
      </w:r>
      <w:r w:rsidR="008F6A28">
        <w:rPr>
          <w:b/>
        </w:rPr>
        <w:t>TENDER EVALUATION MATRIX</w:t>
      </w:r>
    </w:p>
    <w:p w:rsidR="008F6A28" w:rsidRDefault="008F6A28" w:rsidP="008F6A28">
      <w:pPr>
        <w:jc w:val="center"/>
        <w:rPr>
          <w:b/>
        </w:rPr>
      </w:pPr>
    </w:p>
    <w:p w:rsidR="008F6A28" w:rsidRDefault="008F6A28" w:rsidP="008F6A28">
      <w:pPr>
        <w:pStyle w:val="ListParagraph"/>
        <w:numPr>
          <w:ilvl w:val="0"/>
          <w:numId w:val="48"/>
        </w:numPr>
        <w:rPr>
          <w:b/>
        </w:rPr>
      </w:pPr>
      <w:r>
        <w:rPr>
          <w:b/>
        </w:rPr>
        <w:t>Commercial</w:t>
      </w:r>
    </w:p>
    <w:p w:rsidR="008F6A28" w:rsidRDefault="008F6A28" w:rsidP="008F6A28">
      <w:pPr>
        <w:pStyle w:val="ListParagraph"/>
        <w:rPr>
          <w:b/>
        </w:rPr>
      </w:pPr>
    </w:p>
    <w:p w:rsidR="008F6A28" w:rsidRDefault="008F6A28" w:rsidP="008F6A28">
      <w:pPr>
        <w:pStyle w:val="ListParagraph"/>
      </w:pPr>
      <w:r>
        <w:t>The Commercial evaluation is based on the Bidder obtaining a ‘Pass’ for the Commercial items detailed in the table below.</w:t>
      </w:r>
    </w:p>
    <w:p w:rsidR="008F6A28" w:rsidRDefault="008F6A28" w:rsidP="008F6A28">
      <w:pPr>
        <w:pStyle w:val="ListParagraph"/>
        <w:rPr>
          <w:b/>
        </w:rPr>
      </w:pPr>
    </w:p>
    <w:p w:rsidR="008F6A28" w:rsidRDefault="008F6A28" w:rsidP="008F6A28">
      <w:pPr>
        <w:pStyle w:val="ListParagraph"/>
        <w:numPr>
          <w:ilvl w:val="0"/>
          <w:numId w:val="48"/>
        </w:numPr>
        <w:rPr>
          <w:b/>
        </w:rPr>
      </w:pPr>
      <w:r w:rsidRPr="008F6A28">
        <w:rPr>
          <w:b/>
        </w:rPr>
        <w:t>Technical</w:t>
      </w:r>
    </w:p>
    <w:p w:rsidR="008F6A28" w:rsidRDefault="008F6A28" w:rsidP="008F6A28">
      <w:pPr>
        <w:pStyle w:val="ListParagraph"/>
        <w:rPr>
          <w:b/>
        </w:rPr>
      </w:pPr>
    </w:p>
    <w:p w:rsidR="008F6A28" w:rsidRDefault="008F6A28" w:rsidP="008F6A28">
      <w:pPr>
        <w:pStyle w:val="ListParagraph"/>
      </w:pPr>
      <w:r>
        <w:t>The Technical evaluation is based on the Bidder obtaining a ‘Pass’ for the Technical items detailed in the table below.</w:t>
      </w:r>
    </w:p>
    <w:p w:rsidR="008F6A28" w:rsidRDefault="008F6A28" w:rsidP="008F6A28">
      <w:pPr>
        <w:pStyle w:val="ListParagraph"/>
      </w:pPr>
    </w:p>
    <w:p w:rsidR="008F6A28" w:rsidRDefault="008F6A28" w:rsidP="008F6A28">
      <w:pPr>
        <w:pStyle w:val="ListParagraph"/>
      </w:pPr>
      <w:r>
        <w:t xml:space="preserve">The Technical Evaluation is completed after the Commercial Evaluation; a financial evaluation will only be undertaken </w:t>
      </w:r>
      <w:r w:rsidR="0097273E">
        <w:t>if the</w:t>
      </w:r>
      <w:r>
        <w:t xml:space="preserve"> </w:t>
      </w:r>
      <w:r w:rsidR="0097273E">
        <w:t>Bid is</w:t>
      </w:r>
      <w:r>
        <w:t xml:space="preserve"> deemed to be </w:t>
      </w:r>
      <w:proofErr w:type="gramStart"/>
      <w:r>
        <w:t>Technically</w:t>
      </w:r>
      <w:proofErr w:type="gramEnd"/>
      <w:r>
        <w:t xml:space="preserve"> and Commercially compliant.</w:t>
      </w:r>
    </w:p>
    <w:p w:rsidR="008F6A28" w:rsidRDefault="008F6A28"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r>
        <w:rPr>
          <w:b/>
        </w:rPr>
        <w:t xml:space="preserve">Please complete each of the elements of the Technical and Commercial Evaluation shown in the table below </w:t>
      </w: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tbl>
      <w:tblPr>
        <w:tblpPr w:leftFromText="180" w:rightFromText="180" w:vertAnchor="page" w:horzAnchor="margin" w:tblpY="1994"/>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6095"/>
        <w:gridCol w:w="4468"/>
      </w:tblGrid>
      <w:tr w:rsidR="007931EC" w:rsidRPr="00B07DE9" w:rsidTr="002F72BC">
        <w:tc>
          <w:tcPr>
            <w:tcW w:w="817" w:type="dxa"/>
            <w:tcBorders>
              <w:top w:val="single" w:sz="4" w:space="0" w:color="auto"/>
              <w:left w:val="single" w:sz="4" w:space="0" w:color="auto"/>
              <w:bottom w:val="single" w:sz="4" w:space="0" w:color="auto"/>
              <w:right w:val="single" w:sz="4" w:space="0" w:color="auto"/>
            </w:tcBorders>
            <w:shd w:val="clear" w:color="auto" w:fill="D9D9D9"/>
            <w:hideMark/>
          </w:tcPr>
          <w:p w:rsidR="007931EC" w:rsidRPr="00B07DE9" w:rsidRDefault="007931EC" w:rsidP="002F72BC">
            <w:pPr>
              <w:jc w:val="center"/>
              <w:rPr>
                <w:b/>
              </w:rPr>
            </w:pPr>
            <w:proofErr w:type="spellStart"/>
            <w:r>
              <w:rPr>
                <w:b/>
              </w:rPr>
              <w:t>Ser</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rsidR="007931EC" w:rsidRPr="00B07DE9" w:rsidRDefault="007931EC" w:rsidP="002F72BC">
            <w:pPr>
              <w:rPr>
                <w:b/>
              </w:rPr>
            </w:pPr>
            <w:r>
              <w:rPr>
                <w:b/>
              </w:rPr>
              <w:t>Commercial Element</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rsidR="007931EC" w:rsidRPr="00B07DE9" w:rsidRDefault="007931EC" w:rsidP="002F72BC">
            <w:pPr>
              <w:rPr>
                <w:b/>
              </w:rPr>
            </w:pPr>
            <w:r>
              <w:rPr>
                <w:b/>
              </w:rPr>
              <w:t>Information Required</w:t>
            </w:r>
          </w:p>
        </w:tc>
        <w:tc>
          <w:tcPr>
            <w:tcW w:w="4468" w:type="dxa"/>
            <w:tcBorders>
              <w:top w:val="single" w:sz="4" w:space="0" w:color="auto"/>
              <w:left w:val="single" w:sz="4" w:space="0" w:color="auto"/>
              <w:bottom w:val="single" w:sz="4" w:space="0" w:color="auto"/>
              <w:right w:val="single" w:sz="4" w:space="0" w:color="auto"/>
            </w:tcBorders>
            <w:shd w:val="clear" w:color="auto" w:fill="D9D9D9"/>
            <w:hideMark/>
          </w:tcPr>
          <w:p w:rsidR="007931EC" w:rsidRPr="00B07DE9" w:rsidRDefault="007931EC" w:rsidP="002F72BC">
            <w:pPr>
              <w:rPr>
                <w:b/>
              </w:rPr>
            </w:pPr>
            <w:r>
              <w:rPr>
                <w:b/>
              </w:rPr>
              <w:t>Tenderer’s Response</w:t>
            </w:r>
          </w:p>
          <w:p w:rsidR="007931EC" w:rsidRPr="00B07DE9" w:rsidRDefault="007931EC" w:rsidP="002F72BC">
            <w:pPr>
              <w:jc w:val="center"/>
              <w:rPr>
                <w:b/>
              </w:rPr>
            </w:pPr>
          </w:p>
        </w:tc>
      </w:tr>
      <w:tr w:rsidR="007931EC" w:rsidRPr="0097273E" w:rsidTr="002F72BC">
        <w:tc>
          <w:tcPr>
            <w:tcW w:w="14924" w:type="dxa"/>
            <w:gridSpan w:val="4"/>
            <w:tcBorders>
              <w:top w:val="single" w:sz="4" w:space="0" w:color="auto"/>
              <w:left w:val="single" w:sz="4" w:space="0" w:color="auto"/>
              <w:bottom w:val="single" w:sz="4" w:space="0" w:color="auto"/>
              <w:right w:val="single" w:sz="4" w:space="0" w:color="auto"/>
            </w:tcBorders>
          </w:tcPr>
          <w:p w:rsidR="007931EC" w:rsidRPr="0097273E" w:rsidRDefault="007931EC" w:rsidP="002F72BC">
            <w:pPr>
              <w:rPr>
                <w:b/>
              </w:rPr>
            </w:pPr>
            <w:r w:rsidRPr="0097273E">
              <w:rPr>
                <w:b/>
              </w:rPr>
              <w:t>Technical</w:t>
            </w:r>
          </w:p>
        </w:tc>
      </w:tr>
      <w:tr w:rsidR="007931EC" w:rsidTr="002F72BC">
        <w:tc>
          <w:tcPr>
            <w:tcW w:w="817"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r>
              <w:t>01.</w:t>
            </w:r>
          </w:p>
        </w:tc>
        <w:tc>
          <w:tcPr>
            <w:tcW w:w="3544" w:type="dxa"/>
            <w:tcBorders>
              <w:top w:val="single" w:sz="4" w:space="0" w:color="auto"/>
              <w:left w:val="single" w:sz="4" w:space="0" w:color="auto"/>
              <w:bottom w:val="single" w:sz="4" w:space="0" w:color="auto"/>
              <w:right w:val="single" w:sz="4" w:space="0" w:color="auto"/>
            </w:tcBorders>
          </w:tcPr>
          <w:p w:rsidR="007931EC" w:rsidRDefault="007931EC" w:rsidP="002F72BC">
            <w:r>
              <w:t>Technical Compliance</w:t>
            </w:r>
          </w:p>
        </w:tc>
        <w:tc>
          <w:tcPr>
            <w:tcW w:w="6095" w:type="dxa"/>
            <w:tcBorders>
              <w:top w:val="single" w:sz="4" w:space="0" w:color="auto"/>
              <w:left w:val="single" w:sz="4" w:space="0" w:color="auto"/>
              <w:bottom w:val="single" w:sz="4" w:space="0" w:color="auto"/>
              <w:right w:val="single" w:sz="4" w:space="0" w:color="auto"/>
            </w:tcBorders>
          </w:tcPr>
          <w:p w:rsidR="007931EC" w:rsidRDefault="007931EC" w:rsidP="002F72BC">
            <w:r>
              <w:t>Please</w:t>
            </w:r>
            <w:r>
              <w:t xml:space="preserve"> provide a statement</w:t>
            </w:r>
            <w:r>
              <w:t xml:space="preserve"> confirm</w:t>
            </w:r>
            <w:r>
              <w:t>ing</w:t>
            </w:r>
            <w:r>
              <w:t xml:space="preserve"> you can deliver the Statement of Requirement in its entirety</w:t>
            </w:r>
            <w:r>
              <w:t xml:space="preserve"> (CBPJHQ358-SOR)</w:t>
            </w:r>
          </w:p>
        </w:tc>
        <w:tc>
          <w:tcPr>
            <w:tcW w:w="4468"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p>
        </w:tc>
      </w:tr>
      <w:tr w:rsidR="007931EC" w:rsidRPr="0097273E" w:rsidTr="002F72BC">
        <w:tc>
          <w:tcPr>
            <w:tcW w:w="14924" w:type="dxa"/>
            <w:gridSpan w:val="4"/>
            <w:tcBorders>
              <w:top w:val="single" w:sz="4" w:space="0" w:color="auto"/>
              <w:left w:val="single" w:sz="4" w:space="0" w:color="auto"/>
              <w:bottom w:val="single" w:sz="4" w:space="0" w:color="auto"/>
              <w:right w:val="single" w:sz="4" w:space="0" w:color="auto"/>
            </w:tcBorders>
          </w:tcPr>
          <w:p w:rsidR="007931EC" w:rsidRPr="0097273E" w:rsidRDefault="007931EC" w:rsidP="002F72BC">
            <w:pPr>
              <w:rPr>
                <w:b/>
              </w:rPr>
            </w:pPr>
            <w:r>
              <w:rPr>
                <w:b/>
              </w:rPr>
              <w:t>Commercial</w:t>
            </w:r>
          </w:p>
        </w:tc>
      </w:tr>
      <w:tr w:rsidR="007931EC" w:rsidTr="002F72BC">
        <w:tc>
          <w:tcPr>
            <w:tcW w:w="817" w:type="dxa"/>
            <w:tcBorders>
              <w:top w:val="single" w:sz="4" w:space="0" w:color="auto"/>
              <w:left w:val="single" w:sz="4" w:space="0" w:color="auto"/>
              <w:bottom w:val="single" w:sz="4" w:space="0" w:color="auto"/>
              <w:right w:val="single" w:sz="4" w:space="0" w:color="auto"/>
            </w:tcBorders>
            <w:hideMark/>
          </w:tcPr>
          <w:p w:rsidR="007931EC" w:rsidRDefault="007931EC" w:rsidP="002F72BC">
            <w:pPr>
              <w:jc w:val="center"/>
            </w:pPr>
            <w:r>
              <w:t>01.</w:t>
            </w:r>
          </w:p>
        </w:tc>
        <w:tc>
          <w:tcPr>
            <w:tcW w:w="3544" w:type="dxa"/>
            <w:tcBorders>
              <w:top w:val="single" w:sz="4" w:space="0" w:color="auto"/>
              <w:left w:val="single" w:sz="4" w:space="0" w:color="auto"/>
              <w:bottom w:val="single" w:sz="4" w:space="0" w:color="auto"/>
              <w:right w:val="single" w:sz="4" w:space="0" w:color="auto"/>
            </w:tcBorders>
            <w:hideMark/>
          </w:tcPr>
          <w:p w:rsidR="007931EC" w:rsidRDefault="007931EC" w:rsidP="002F72BC">
            <w:r>
              <w:t>Transparency</w:t>
            </w:r>
          </w:p>
        </w:tc>
        <w:tc>
          <w:tcPr>
            <w:tcW w:w="6095" w:type="dxa"/>
            <w:tcBorders>
              <w:top w:val="single" w:sz="4" w:space="0" w:color="auto"/>
              <w:left w:val="single" w:sz="4" w:space="0" w:color="auto"/>
              <w:bottom w:val="single" w:sz="4" w:space="0" w:color="auto"/>
              <w:right w:val="single" w:sz="4" w:space="0" w:color="auto"/>
            </w:tcBorders>
          </w:tcPr>
          <w:p w:rsidR="007931EC" w:rsidRDefault="007931EC" w:rsidP="007931EC">
            <w:r>
              <w:t>The Tenderer is required to complete the Commercially Sensitive Form as detailed in the SC1A-</w:t>
            </w:r>
            <w:r>
              <w:t>Purchase Order (CBPJHQ358-SC1A-Purchase Order)</w:t>
            </w:r>
          </w:p>
        </w:tc>
        <w:tc>
          <w:tcPr>
            <w:tcW w:w="4468"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p>
        </w:tc>
      </w:tr>
      <w:tr w:rsidR="007931EC" w:rsidTr="002F72BC">
        <w:tc>
          <w:tcPr>
            <w:tcW w:w="817" w:type="dxa"/>
            <w:tcBorders>
              <w:top w:val="single" w:sz="4" w:space="0" w:color="auto"/>
              <w:left w:val="single" w:sz="4" w:space="0" w:color="auto"/>
              <w:bottom w:val="single" w:sz="4" w:space="0" w:color="auto"/>
              <w:right w:val="single" w:sz="4" w:space="0" w:color="auto"/>
            </w:tcBorders>
            <w:hideMark/>
          </w:tcPr>
          <w:p w:rsidR="007931EC" w:rsidRDefault="007931EC" w:rsidP="002F72BC">
            <w:pPr>
              <w:jc w:val="center"/>
            </w:pPr>
            <w:r>
              <w:t>02.</w:t>
            </w:r>
          </w:p>
        </w:tc>
        <w:tc>
          <w:tcPr>
            <w:tcW w:w="3544" w:type="dxa"/>
            <w:tcBorders>
              <w:top w:val="single" w:sz="4" w:space="0" w:color="auto"/>
              <w:left w:val="single" w:sz="4" w:space="0" w:color="auto"/>
              <w:bottom w:val="single" w:sz="4" w:space="0" w:color="auto"/>
              <w:right w:val="single" w:sz="4" w:space="0" w:color="auto"/>
            </w:tcBorders>
            <w:hideMark/>
          </w:tcPr>
          <w:p w:rsidR="007931EC" w:rsidRDefault="007931EC" w:rsidP="002F72BC">
            <w:r>
              <w:t>Conditions of Contract</w:t>
            </w:r>
          </w:p>
        </w:tc>
        <w:tc>
          <w:tcPr>
            <w:tcW w:w="6095" w:type="dxa"/>
            <w:tcBorders>
              <w:top w:val="single" w:sz="4" w:space="0" w:color="auto"/>
              <w:left w:val="single" w:sz="4" w:space="0" w:color="auto"/>
              <w:bottom w:val="single" w:sz="4" w:space="0" w:color="auto"/>
              <w:right w:val="single" w:sz="4" w:space="0" w:color="auto"/>
            </w:tcBorders>
          </w:tcPr>
          <w:p w:rsidR="007931EC" w:rsidRDefault="007931EC" w:rsidP="007931EC">
            <w:r>
              <w:t>Please</w:t>
            </w:r>
            <w:r>
              <w:t xml:space="preserve"> provide a statement that confirms </w:t>
            </w:r>
            <w:r>
              <w:t>you</w:t>
            </w:r>
            <w:r>
              <w:t>r unequivocal acceptance of the Conditions of Contract</w:t>
            </w:r>
            <w:r>
              <w:t xml:space="preserve"> (CBPJHQ358-SC1A-Terms and Conditions)</w:t>
            </w:r>
            <w:r>
              <w:t>.</w:t>
            </w:r>
          </w:p>
        </w:tc>
        <w:tc>
          <w:tcPr>
            <w:tcW w:w="4468"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p>
        </w:tc>
      </w:tr>
      <w:tr w:rsidR="007931EC" w:rsidTr="002F72BC">
        <w:tc>
          <w:tcPr>
            <w:tcW w:w="817" w:type="dxa"/>
            <w:tcBorders>
              <w:top w:val="single" w:sz="4" w:space="0" w:color="auto"/>
              <w:left w:val="single" w:sz="4" w:space="0" w:color="auto"/>
              <w:bottom w:val="single" w:sz="4" w:space="0" w:color="auto"/>
              <w:right w:val="single" w:sz="4" w:space="0" w:color="auto"/>
            </w:tcBorders>
            <w:hideMark/>
          </w:tcPr>
          <w:p w:rsidR="007931EC" w:rsidRDefault="007931EC" w:rsidP="002F72BC">
            <w:pPr>
              <w:jc w:val="center"/>
            </w:pPr>
            <w:r>
              <w:t>03.</w:t>
            </w:r>
          </w:p>
        </w:tc>
        <w:tc>
          <w:tcPr>
            <w:tcW w:w="3544" w:type="dxa"/>
            <w:tcBorders>
              <w:top w:val="single" w:sz="4" w:space="0" w:color="auto"/>
              <w:left w:val="single" w:sz="4" w:space="0" w:color="auto"/>
              <w:bottom w:val="single" w:sz="4" w:space="0" w:color="auto"/>
              <w:right w:val="single" w:sz="4" w:space="0" w:color="auto"/>
            </w:tcBorders>
            <w:hideMark/>
          </w:tcPr>
          <w:p w:rsidR="007931EC" w:rsidRDefault="007931EC" w:rsidP="002F72BC">
            <w:r>
              <w:t>Unequivocal acceptance of term of the contract</w:t>
            </w:r>
          </w:p>
        </w:tc>
        <w:tc>
          <w:tcPr>
            <w:tcW w:w="6095" w:type="dxa"/>
            <w:tcBorders>
              <w:top w:val="single" w:sz="4" w:space="0" w:color="auto"/>
              <w:left w:val="single" w:sz="4" w:space="0" w:color="auto"/>
              <w:bottom w:val="single" w:sz="4" w:space="0" w:color="auto"/>
              <w:right w:val="single" w:sz="4" w:space="0" w:color="auto"/>
            </w:tcBorders>
          </w:tcPr>
          <w:p w:rsidR="007931EC" w:rsidRDefault="007931EC" w:rsidP="007931EC">
            <w:r>
              <w:t>Please</w:t>
            </w:r>
            <w:r>
              <w:t xml:space="preserve"> provide confirmation that </w:t>
            </w:r>
            <w:r>
              <w:t>you</w:t>
            </w:r>
            <w:r>
              <w:t xml:space="preserve"> agree to the term of the contract as detailed in the Statement of Requirement</w:t>
            </w:r>
            <w:r>
              <w:t xml:space="preserve"> (Delivery and Collection dates)</w:t>
            </w:r>
            <w:bookmarkStart w:id="0" w:name="_GoBack"/>
            <w:bookmarkEnd w:id="0"/>
            <w:r>
              <w:t xml:space="preserve">. </w:t>
            </w:r>
          </w:p>
        </w:tc>
        <w:tc>
          <w:tcPr>
            <w:tcW w:w="4468"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p>
        </w:tc>
      </w:tr>
      <w:tr w:rsidR="007931EC" w:rsidTr="002F72BC">
        <w:tc>
          <w:tcPr>
            <w:tcW w:w="817" w:type="dxa"/>
            <w:tcBorders>
              <w:top w:val="single" w:sz="4" w:space="0" w:color="auto"/>
              <w:left w:val="single" w:sz="4" w:space="0" w:color="auto"/>
              <w:bottom w:val="single" w:sz="4" w:space="0" w:color="auto"/>
              <w:right w:val="single" w:sz="4" w:space="0" w:color="auto"/>
            </w:tcBorders>
            <w:hideMark/>
          </w:tcPr>
          <w:p w:rsidR="007931EC" w:rsidRDefault="007931EC" w:rsidP="002F72BC">
            <w:pPr>
              <w:jc w:val="center"/>
            </w:pPr>
            <w:r>
              <w:t>04.</w:t>
            </w:r>
          </w:p>
        </w:tc>
        <w:tc>
          <w:tcPr>
            <w:tcW w:w="3544" w:type="dxa"/>
            <w:tcBorders>
              <w:top w:val="single" w:sz="4" w:space="0" w:color="auto"/>
              <w:left w:val="single" w:sz="4" w:space="0" w:color="auto"/>
              <w:bottom w:val="single" w:sz="4" w:space="0" w:color="auto"/>
              <w:right w:val="single" w:sz="4" w:space="0" w:color="auto"/>
            </w:tcBorders>
            <w:hideMark/>
          </w:tcPr>
          <w:p w:rsidR="007931EC" w:rsidRDefault="007931EC" w:rsidP="002F72BC">
            <w:r>
              <w:t>SC1A-ITT Completeness and Compliance</w:t>
            </w:r>
          </w:p>
        </w:tc>
        <w:tc>
          <w:tcPr>
            <w:tcW w:w="6095" w:type="dxa"/>
            <w:tcBorders>
              <w:top w:val="single" w:sz="4" w:space="0" w:color="auto"/>
              <w:left w:val="single" w:sz="4" w:space="0" w:color="auto"/>
              <w:bottom w:val="single" w:sz="4" w:space="0" w:color="auto"/>
              <w:right w:val="single" w:sz="4" w:space="0" w:color="auto"/>
            </w:tcBorders>
          </w:tcPr>
          <w:p w:rsidR="007931EC" w:rsidRDefault="007931EC" w:rsidP="002F72BC">
            <w:r>
              <w:t>The Tenderer is to provide a completed SC1A-ITT (Offer) which shall be signed by an officer of your company who is authorised to commit your company to contract</w:t>
            </w:r>
            <w:r>
              <w:t xml:space="preserve"> (Annex </w:t>
            </w:r>
            <w:proofErr w:type="gramStart"/>
            <w:r>
              <w:t>A</w:t>
            </w:r>
            <w:proofErr w:type="gramEnd"/>
            <w:r>
              <w:t xml:space="preserve"> in CBPJHQ358-SC1A ITT-Single Source)</w:t>
            </w:r>
            <w:r>
              <w:t>.</w:t>
            </w:r>
          </w:p>
        </w:tc>
        <w:tc>
          <w:tcPr>
            <w:tcW w:w="4468"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p>
        </w:tc>
      </w:tr>
      <w:tr w:rsidR="007931EC" w:rsidTr="002F72BC">
        <w:tc>
          <w:tcPr>
            <w:tcW w:w="817"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r>
              <w:t>05.</w:t>
            </w:r>
          </w:p>
        </w:tc>
        <w:tc>
          <w:tcPr>
            <w:tcW w:w="3544" w:type="dxa"/>
            <w:tcBorders>
              <w:top w:val="single" w:sz="4" w:space="0" w:color="auto"/>
              <w:left w:val="single" w:sz="4" w:space="0" w:color="auto"/>
              <w:bottom w:val="single" w:sz="4" w:space="0" w:color="auto"/>
              <w:right w:val="single" w:sz="4" w:space="0" w:color="auto"/>
            </w:tcBorders>
          </w:tcPr>
          <w:p w:rsidR="007931EC" w:rsidRDefault="007931EC" w:rsidP="002F72BC">
            <w:r>
              <w:t>Commercial information in accordance with SC1A-ITT: Conflicts of Interest.</w:t>
            </w:r>
          </w:p>
        </w:tc>
        <w:tc>
          <w:tcPr>
            <w:tcW w:w="6095" w:type="dxa"/>
            <w:tcBorders>
              <w:top w:val="single" w:sz="4" w:space="0" w:color="auto"/>
              <w:left w:val="single" w:sz="4" w:space="0" w:color="auto"/>
              <w:bottom w:val="single" w:sz="4" w:space="0" w:color="auto"/>
              <w:right w:val="single" w:sz="4" w:space="0" w:color="auto"/>
            </w:tcBorders>
          </w:tcPr>
          <w:p w:rsidR="007931EC" w:rsidRDefault="007931EC" w:rsidP="002F72BC">
            <w:r>
              <w:t xml:space="preserve">Details, including particulars of every instance, of any current or potential Conflicts of Interest relating to the requirement and particulars of every instance.  </w:t>
            </w:r>
          </w:p>
        </w:tc>
        <w:tc>
          <w:tcPr>
            <w:tcW w:w="4468" w:type="dxa"/>
            <w:tcBorders>
              <w:top w:val="single" w:sz="4" w:space="0" w:color="auto"/>
              <w:left w:val="single" w:sz="4" w:space="0" w:color="auto"/>
              <w:bottom w:val="single" w:sz="4" w:space="0" w:color="auto"/>
              <w:right w:val="single" w:sz="4" w:space="0" w:color="auto"/>
            </w:tcBorders>
          </w:tcPr>
          <w:p w:rsidR="007931EC" w:rsidRDefault="007931EC" w:rsidP="002F72BC">
            <w:pPr>
              <w:jc w:val="center"/>
            </w:pPr>
          </w:p>
        </w:tc>
      </w:tr>
    </w:tbl>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7931EC" w:rsidRDefault="007931EC" w:rsidP="008F6A28">
      <w:pPr>
        <w:pStyle w:val="ListParagraph"/>
        <w:rPr>
          <w:b/>
        </w:rPr>
      </w:pPr>
    </w:p>
    <w:p w:rsidR="008F6A28" w:rsidRDefault="008F6A28" w:rsidP="008F6A28">
      <w:pPr>
        <w:pStyle w:val="ListParagraph"/>
      </w:pPr>
    </w:p>
    <w:p w:rsidR="008F6A28" w:rsidRDefault="008F6A28" w:rsidP="008F6A28">
      <w:pPr>
        <w:pStyle w:val="ListParagraph"/>
      </w:pPr>
    </w:p>
    <w:p w:rsidR="008F6A28" w:rsidRPr="008F6A28" w:rsidRDefault="008F6A28" w:rsidP="008F6A28">
      <w:pPr>
        <w:pStyle w:val="ListParagraph"/>
      </w:pPr>
    </w:p>
    <w:sectPr w:rsidR="008F6A28" w:rsidRPr="008F6A28" w:rsidSect="008F6A28">
      <w:headerReference w:type="default" r:id="rId11"/>
      <w:endnotePr>
        <w:numFmt w:val="decimal"/>
      </w:endnotePr>
      <w:pgSz w:w="16840" w:h="11907" w:orient="landscape" w:code="9"/>
      <w:pgMar w:top="1134" w:right="1077" w:bottom="1134" w:left="1077"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28" w:rsidRDefault="008F6A28"/>
  </w:endnote>
  <w:endnote w:type="continuationSeparator" w:id="0">
    <w:p w:rsidR="008F6A28" w:rsidRDefault="008F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28" w:rsidRDefault="008F6A28">
      <w:r>
        <w:continuationSeparator/>
      </w:r>
    </w:p>
  </w:footnote>
  <w:footnote w:type="continuationSeparator" w:id="0">
    <w:p w:rsidR="008F6A28" w:rsidRDefault="008F6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CB" w:rsidRDefault="008F6A28" w:rsidP="008F6A28">
    <w:pPr>
      <w:pStyle w:val="Header"/>
      <w:jc w:val="center"/>
      <w:rPr>
        <w:rStyle w:val="ProtectiveMarking"/>
      </w:rPr>
    </w:pPr>
    <w:r>
      <w:rPr>
        <w:rStyle w:val="ProtectiveMarking"/>
      </w:rPr>
      <w:t>OFFICIAL COMMERCIAL</w:t>
    </w:r>
  </w:p>
  <w:p w:rsidR="008F6A28" w:rsidRPr="00103BCB" w:rsidRDefault="008F6A28" w:rsidP="007931EC">
    <w:pPr>
      <w:pStyle w:val="Header"/>
      <w:jc w:val="right"/>
      <w:rPr>
        <w:rStyle w:val="ProtectiveMarking"/>
      </w:rPr>
    </w:pPr>
    <w:r>
      <w:rPr>
        <w:rStyle w:val="ProtectiveMarking"/>
      </w:rPr>
      <w:t xml:space="preserve">Annex b to </w:t>
    </w:r>
    <w:r w:rsidR="007931EC">
      <w:rPr>
        <w:rStyle w:val="ProtectiveMarking"/>
      </w:rPr>
      <w:t>CONTRACT CB/PJHQ/358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6">
    <w:nsid w:val="64AB2E08"/>
    <w:multiLevelType w:val="hybridMultilevel"/>
    <w:tmpl w:val="B9A6A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0"/>
  </w:num>
  <w:num w:numId="5">
    <w:abstractNumId w:val="0"/>
  </w:num>
  <w:num w:numId="6">
    <w:abstractNumId w:val="0"/>
  </w:num>
  <w:num w:numId="7">
    <w:abstractNumId w:val="0"/>
  </w:num>
  <w:num w:numId="8">
    <w:abstractNumId w:val="5"/>
  </w:num>
  <w:num w:numId="9">
    <w:abstractNumId w:val="5"/>
  </w:num>
  <w:num w:numId="10">
    <w:abstractNumId w:val="5"/>
  </w:num>
  <w:num w:numId="11">
    <w:abstractNumId w:val="5"/>
  </w:num>
  <w:num w:numId="12">
    <w:abstractNumId w:val="5"/>
  </w:num>
  <w:num w:numId="13">
    <w:abstractNumId w:val="4"/>
  </w:num>
  <w:num w:numId="14">
    <w:abstractNumId w:val="4"/>
  </w:num>
  <w:num w:numId="15">
    <w:abstractNumId w:val="4"/>
  </w:num>
  <w:num w:numId="16">
    <w:abstractNumId w:val="4"/>
  </w:num>
  <w:num w:numId="17">
    <w:abstractNumId w:val="4"/>
  </w:num>
  <w:num w:numId="18">
    <w:abstractNumId w:val="2"/>
  </w:num>
  <w:num w:numId="19">
    <w:abstractNumId w:val="2"/>
  </w:num>
  <w:num w:numId="20">
    <w:abstractNumId w:val="2"/>
  </w:num>
  <w:num w:numId="21">
    <w:abstractNumId w:val="2"/>
  </w:num>
  <w:num w:numId="22">
    <w:abstractNumId w:val="2"/>
  </w:num>
  <w:num w:numId="23">
    <w:abstractNumId w:val="1"/>
  </w:num>
  <w:num w:numId="24">
    <w:abstractNumId w:val="5"/>
  </w:num>
  <w:num w:numId="25">
    <w:abstractNumId w:val="5"/>
  </w:num>
  <w:num w:numId="26">
    <w:abstractNumId w:val="5"/>
  </w:num>
  <w:num w:numId="27">
    <w:abstractNumId w:val="5"/>
  </w:num>
  <w:num w:numId="28">
    <w:abstractNumId w:val="5"/>
  </w:num>
  <w:num w:numId="29">
    <w:abstractNumId w:val="2"/>
  </w:num>
  <w:num w:numId="30">
    <w:abstractNumId w:val="2"/>
  </w:num>
  <w:num w:numId="31">
    <w:abstractNumId w:val="2"/>
  </w:num>
  <w:num w:numId="32">
    <w:abstractNumId w:val="2"/>
  </w:num>
  <w:num w:numId="33">
    <w:abstractNumId w:val="2"/>
  </w:num>
  <w:num w:numId="34">
    <w:abstractNumId w:val="5"/>
  </w:num>
  <w:num w:numId="35">
    <w:abstractNumId w:val="5"/>
  </w:num>
  <w:num w:numId="36">
    <w:abstractNumId w:val="5"/>
  </w:num>
  <w:num w:numId="37">
    <w:abstractNumId w:val="5"/>
  </w:num>
  <w:num w:numId="38">
    <w:abstractNumId w:val="5"/>
  </w:num>
  <w:num w:numId="39">
    <w:abstractNumId w:val="3"/>
  </w:num>
  <w:num w:numId="40">
    <w:abstractNumId w:val="3"/>
  </w:num>
  <w:num w:numId="41">
    <w:abstractNumId w:val="5"/>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0"/>
  </w:num>
  <w:num w:numId="45">
    <w:abstractNumId w:val="0"/>
  </w:num>
  <w:num w:numId="46">
    <w:abstractNumId w:val="0"/>
  </w:num>
  <w:num w:numId="47">
    <w:abstractNumId w:val="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8F6A28"/>
    <w:rsid w:val="00103BCB"/>
    <w:rsid w:val="001421DC"/>
    <w:rsid w:val="0020163F"/>
    <w:rsid w:val="00297034"/>
    <w:rsid w:val="00381E4B"/>
    <w:rsid w:val="003F41C0"/>
    <w:rsid w:val="003F7941"/>
    <w:rsid w:val="004201F4"/>
    <w:rsid w:val="00436558"/>
    <w:rsid w:val="00445634"/>
    <w:rsid w:val="0049365B"/>
    <w:rsid w:val="004B0821"/>
    <w:rsid w:val="004E08C9"/>
    <w:rsid w:val="00520223"/>
    <w:rsid w:val="005E6930"/>
    <w:rsid w:val="0060726E"/>
    <w:rsid w:val="006E143A"/>
    <w:rsid w:val="00746779"/>
    <w:rsid w:val="007931EC"/>
    <w:rsid w:val="007C1E81"/>
    <w:rsid w:val="008C6A33"/>
    <w:rsid w:val="008F6A28"/>
    <w:rsid w:val="0097273E"/>
    <w:rsid w:val="00AE0FA7"/>
    <w:rsid w:val="00B20A51"/>
    <w:rsid w:val="00B273F5"/>
    <w:rsid w:val="00BB3196"/>
    <w:rsid w:val="00D51574"/>
    <w:rsid w:val="00D742F8"/>
    <w:rsid w:val="00EC31D9"/>
    <w:rsid w:val="00ED19FA"/>
    <w:rsid w:val="00EE62A6"/>
    <w:rsid w:val="00EF054A"/>
    <w:rsid w:val="00F7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8F6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8F6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3F585B0D-28A0-4CBE-A87C-5962F03B2590}">
  <ds:schemaRefs>
    <ds:schemaRef ds:uri="http://www.w3.org/XML/1998/namespace"/>
    <ds:schemaRef ds:uri="http://schemas.microsoft.com/office/2006/metadata/properties"/>
    <ds:schemaRef ds:uri="http://purl.org/dc/terms/"/>
    <ds:schemaRef ds:uri="http://schemas.microsoft.com/office/2006/documentManagement/types"/>
    <ds:schemaRef ds:uri="http://schemas.microsoft.com/sharepoint/v3"/>
    <ds:schemaRef ds:uri="http://schemas.openxmlformats.org/package/2006/metadata/core-properties"/>
    <ds:schemaRef ds:uri="e926665b-768d-449d-ad3d-58057692d441"/>
    <ds:schemaRef ds:uri="E926665B-768D-449D-AD3D-58057692D441"/>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266</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JenningsL102</dc:creator>
  <cp:lastModifiedBy>JenningsL102</cp:lastModifiedBy>
  <cp:revision>3</cp:revision>
  <cp:lastPrinted>1901-01-01T00:00:00Z</cp:lastPrinted>
  <dcterms:created xsi:type="dcterms:W3CDTF">2017-11-23T15:51:00Z</dcterms:created>
  <dcterms:modified xsi:type="dcterms:W3CDTF">2017-11-30T11:36:00Z</dcterms:modified>
</cp:coreProperties>
</file>