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B62FC" w14:textId="418D8AF1" w:rsidR="000C566D" w:rsidRPr="00A104BA" w:rsidRDefault="00A104BA" w:rsidP="0FC1C680">
      <w:pPr>
        <w:rPr>
          <w:rFonts w:ascii="Calibri" w:eastAsia="Calibri" w:hAnsi="Calibri" w:cs="Calibri"/>
          <w:b/>
          <w:bCs/>
          <w:color w:val="FF0000"/>
          <w:sz w:val="20"/>
          <w:szCs w:val="20"/>
          <w:lang w:val="en-US"/>
        </w:rPr>
      </w:pPr>
      <w:r w:rsidRPr="00A104BA">
        <w:rPr>
          <w:rFonts w:ascii="Calibri" w:eastAsia="Calibri" w:hAnsi="Calibri" w:cs="Calibri"/>
          <w:b/>
          <w:bCs/>
          <w:color w:val="FF0000"/>
          <w:sz w:val="20"/>
          <w:szCs w:val="20"/>
          <w:lang w:val="en-US"/>
        </w:rPr>
        <w:t xml:space="preserve">Version </w:t>
      </w:r>
      <w:r w:rsidR="0034137B">
        <w:rPr>
          <w:rFonts w:ascii="Calibri" w:eastAsia="Calibri" w:hAnsi="Calibri" w:cs="Calibri"/>
          <w:b/>
          <w:bCs/>
          <w:color w:val="FF0000"/>
          <w:sz w:val="20"/>
          <w:szCs w:val="20"/>
          <w:lang w:val="en-US"/>
        </w:rPr>
        <w:t>F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  <w:lang w:val="en-US"/>
        </w:rPr>
        <w:t xml:space="preserve"> </w:t>
      </w:r>
      <w:r w:rsidR="004E0120">
        <w:rPr>
          <w:rFonts w:ascii="Calibri" w:eastAsia="Calibri" w:hAnsi="Calibri" w:cs="Calibri"/>
          <w:b/>
          <w:bCs/>
          <w:color w:val="FF0000"/>
          <w:sz w:val="20"/>
          <w:szCs w:val="20"/>
          <w:lang w:val="en-US"/>
        </w:rPr>
        <w:t xml:space="preserve"> </w:t>
      </w:r>
      <w:r w:rsidR="0034137B">
        <w:rPr>
          <w:rFonts w:ascii="Calibri" w:eastAsia="Calibri" w:hAnsi="Calibri" w:cs="Calibri"/>
          <w:b/>
          <w:bCs/>
          <w:color w:val="FF0000"/>
          <w:sz w:val="20"/>
          <w:szCs w:val="20"/>
          <w:lang w:val="en-US"/>
        </w:rPr>
        <w:t>31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  <w:lang w:val="en-US"/>
        </w:rPr>
        <w:t>/</w:t>
      </w:r>
      <w:r w:rsidR="004E0120">
        <w:rPr>
          <w:rFonts w:ascii="Calibri" w:eastAsia="Calibri" w:hAnsi="Calibri" w:cs="Calibri"/>
          <w:b/>
          <w:bCs/>
          <w:color w:val="FF0000"/>
          <w:sz w:val="20"/>
          <w:szCs w:val="20"/>
          <w:lang w:val="en-US"/>
        </w:rPr>
        <w:t>1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  <w:lang w:val="en-US"/>
        </w:rPr>
        <w:t>/2</w:t>
      </w:r>
      <w:r w:rsidR="0034137B">
        <w:rPr>
          <w:rFonts w:ascii="Calibri" w:eastAsia="Calibri" w:hAnsi="Calibri" w:cs="Calibri"/>
          <w:b/>
          <w:bCs/>
          <w:color w:val="FF0000"/>
          <w:sz w:val="20"/>
          <w:szCs w:val="20"/>
          <w:lang w:val="en-US"/>
        </w:rPr>
        <w:t>3</w:t>
      </w:r>
    </w:p>
    <w:p w14:paraId="6706082A" w14:textId="0CABBAD6" w:rsidR="0FC1C680" w:rsidRDefault="0FC1C680" w:rsidP="0FC1C680">
      <w:pPr>
        <w:rPr>
          <w:rFonts w:ascii="Calibri" w:eastAsia="Calibri" w:hAnsi="Calibri" w:cs="Calibri"/>
          <w:b/>
          <w:bCs/>
          <w:sz w:val="20"/>
          <w:szCs w:val="20"/>
          <w:lang w:val="en-US"/>
        </w:rPr>
      </w:pPr>
      <w:r w:rsidRPr="0FC1C680">
        <w:rPr>
          <w:rFonts w:ascii="Calibri" w:eastAsia="Calibri" w:hAnsi="Calibri" w:cs="Calibri"/>
          <w:b/>
          <w:bCs/>
          <w:sz w:val="20"/>
          <w:szCs w:val="20"/>
          <w:lang w:val="en-US"/>
        </w:rPr>
        <w:t>Table 1 – Key Performance Indicators</w:t>
      </w:r>
    </w:p>
    <w:tbl>
      <w:tblPr>
        <w:tblStyle w:val="TableGrid"/>
        <w:tblW w:w="14105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627"/>
        <w:gridCol w:w="2505"/>
        <w:gridCol w:w="2997"/>
        <w:gridCol w:w="1994"/>
        <w:gridCol w:w="1605"/>
        <w:gridCol w:w="1471"/>
        <w:gridCol w:w="2906"/>
      </w:tblGrid>
      <w:tr w:rsidR="4DF84E5B" w14:paraId="6E244372" w14:textId="77777777" w:rsidTr="006A0D03">
        <w:tc>
          <w:tcPr>
            <w:tcW w:w="627" w:type="dxa"/>
          </w:tcPr>
          <w:p w14:paraId="251CBB4B" w14:textId="47620FDD" w:rsidR="4DF84E5B" w:rsidRDefault="006A0D03" w:rsidP="0FC1C680">
            <w:pPr>
              <w:ind w:left="43" w:hanging="43"/>
              <w:rPr>
                <w:rFonts w:ascii="Calibri" w:eastAsia="Calibri" w:hAnsi="Calibri" w:cs="Calibri"/>
                <w:b/>
                <w:bCs/>
                <w:color w:val="1D3E72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1D3E72"/>
                <w:sz w:val="20"/>
                <w:szCs w:val="20"/>
                <w:lang w:val="en-US"/>
              </w:rPr>
              <w:t>Kpi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1D3E72"/>
                <w:sz w:val="20"/>
                <w:szCs w:val="20"/>
                <w:lang w:val="en-US"/>
              </w:rPr>
              <w:t xml:space="preserve"> </w:t>
            </w:r>
            <w:r w:rsidR="0FC1C680" w:rsidRPr="0FC1C680">
              <w:rPr>
                <w:rFonts w:ascii="Calibri" w:eastAsia="Calibri" w:hAnsi="Calibri" w:cs="Calibri"/>
                <w:b/>
                <w:bCs/>
                <w:color w:val="1D3E72"/>
                <w:sz w:val="20"/>
                <w:szCs w:val="20"/>
                <w:lang w:val="en-US"/>
              </w:rPr>
              <w:t>No</w:t>
            </w:r>
          </w:p>
        </w:tc>
        <w:tc>
          <w:tcPr>
            <w:tcW w:w="2505" w:type="dxa"/>
          </w:tcPr>
          <w:p w14:paraId="63AC5F98" w14:textId="7A556B68" w:rsidR="4DF84E5B" w:rsidRDefault="0FC1C680" w:rsidP="0FC1C680">
            <w:pPr>
              <w:rPr>
                <w:rFonts w:ascii="Calibri" w:eastAsia="Calibri" w:hAnsi="Calibri" w:cs="Calibri"/>
                <w:b/>
                <w:bCs/>
                <w:color w:val="1D3E72"/>
                <w:sz w:val="20"/>
                <w:szCs w:val="20"/>
                <w:lang w:val="en-US"/>
              </w:rPr>
            </w:pPr>
            <w:r w:rsidRPr="0FC1C680">
              <w:rPr>
                <w:rFonts w:ascii="Calibri" w:eastAsia="Calibri" w:hAnsi="Calibri" w:cs="Calibri"/>
                <w:b/>
                <w:bCs/>
                <w:color w:val="1D3E72"/>
                <w:sz w:val="20"/>
                <w:szCs w:val="20"/>
                <w:lang w:val="en-US"/>
              </w:rPr>
              <w:t>Performance measure</w:t>
            </w:r>
          </w:p>
        </w:tc>
        <w:tc>
          <w:tcPr>
            <w:tcW w:w="2997" w:type="dxa"/>
          </w:tcPr>
          <w:p w14:paraId="69DC1A6A" w14:textId="5B954DB0" w:rsidR="4DF84E5B" w:rsidRDefault="0FC1C680" w:rsidP="0FC1C680">
            <w:pPr>
              <w:rPr>
                <w:rFonts w:ascii="Calibri" w:eastAsia="Calibri" w:hAnsi="Calibri" w:cs="Calibri"/>
                <w:b/>
                <w:bCs/>
                <w:color w:val="1D3E72"/>
                <w:sz w:val="20"/>
                <w:szCs w:val="20"/>
                <w:lang w:val="en-US"/>
              </w:rPr>
            </w:pPr>
            <w:r w:rsidRPr="0FC1C680">
              <w:rPr>
                <w:rFonts w:ascii="Calibri" w:eastAsia="Calibri" w:hAnsi="Calibri" w:cs="Calibri"/>
                <w:b/>
                <w:bCs/>
                <w:color w:val="1D3E72"/>
                <w:sz w:val="20"/>
                <w:szCs w:val="20"/>
                <w:lang w:val="en-US"/>
              </w:rPr>
              <w:t>What is measured?</w:t>
            </w:r>
          </w:p>
        </w:tc>
        <w:tc>
          <w:tcPr>
            <w:tcW w:w="1994" w:type="dxa"/>
          </w:tcPr>
          <w:p w14:paraId="1283D58B" w14:textId="5711C5D7" w:rsidR="4DF84E5B" w:rsidRDefault="0FC1C680" w:rsidP="0FC1C680">
            <w:pPr>
              <w:rPr>
                <w:rFonts w:ascii="Calibri" w:eastAsia="Calibri" w:hAnsi="Calibri" w:cs="Calibri"/>
                <w:b/>
                <w:bCs/>
                <w:color w:val="1D3E72"/>
                <w:sz w:val="20"/>
                <w:szCs w:val="20"/>
                <w:lang w:val="en-US"/>
              </w:rPr>
            </w:pPr>
            <w:r w:rsidRPr="0FC1C680">
              <w:rPr>
                <w:rFonts w:ascii="Calibri" w:eastAsia="Calibri" w:hAnsi="Calibri" w:cs="Calibri"/>
                <w:b/>
                <w:bCs/>
                <w:color w:val="1D3E72"/>
                <w:sz w:val="20"/>
                <w:szCs w:val="20"/>
                <w:lang w:val="en-US"/>
              </w:rPr>
              <w:t>When</w:t>
            </w:r>
          </w:p>
        </w:tc>
        <w:tc>
          <w:tcPr>
            <w:tcW w:w="1605" w:type="dxa"/>
          </w:tcPr>
          <w:p w14:paraId="722FA0E6" w14:textId="60C30A45" w:rsidR="4DF84E5B" w:rsidRDefault="0FC1C680" w:rsidP="0FC1C680">
            <w:pPr>
              <w:rPr>
                <w:rFonts w:ascii="Calibri" w:eastAsia="Calibri" w:hAnsi="Calibri" w:cs="Calibri"/>
                <w:b/>
                <w:bCs/>
                <w:color w:val="1D3E72"/>
                <w:sz w:val="20"/>
                <w:szCs w:val="20"/>
                <w:lang w:val="en-US"/>
              </w:rPr>
            </w:pPr>
            <w:r w:rsidRPr="0FC1C680">
              <w:rPr>
                <w:rFonts w:ascii="Calibri" w:eastAsia="Calibri" w:hAnsi="Calibri" w:cs="Calibri"/>
                <w:b/>
                <w:bCs/>
                <w:color w:val="1D3E72"/>
                <w:sz w:val="20"/>
                <w:szCs w:val="20"/>
                <w:lang w:val="en-US"/>
              </w:rPr>
              <w:t>How collected (report</w:t>
            </w:r>
            <w:r w:rsidR="006E41DA">
              <w:rPr>
                <w:rFonts w:ascii="Calibri" w:eastAsia="Calibri" w:hAnsi="Calibri" w:cs="Calibri"/>
                <w:b/>
                <w:bCs/>
                <w:color w:val="1D3E72"/>
                <w:sz w:val="20"/>
                <w:szCs w:val="20"/>
                <w:lang w:val="en-US"/>
              </w:rPr>
              <w:t xml:space="preserve"> </w:t>
            </w:r>
            <w:r w:rsidRPr="0FC1C680">
              <w:rPr>
                <w:rFonts w:ascii="Calibri" w:eastAsia="Calibri" w:hAnsi="Calibri" w:cs="Calibri"/>
                <w:b/>
                <w:bCs/>
                <w:color w:val="1D3E72"/>
                <w:sz w:val="20"/>
                <w:szCs w:val="20"/>
                <w:lang w:val="en-US"/>
              </w:rPr>
              <w:t>/</w:t>
            </w:r>
            <w:r w:rsidR="006E41DA">
              <w:rPr>
                <w:rFonts w:ascii="Calibri" w:eastAsia="Calibri" w:hAnsi="Calibri" w:cs="Calibri"/>
                <w:b/>
                <w:bCs/>
                <w:color w:val="1D3E72"/>
                <w:sz w:val="20"/>
                <w:szCs w:val="20"/>
                <w:lang w:val="en-US"/>
              </w:rPr>
              <w:t xml:space="preserve"> </w:t>
            </w:r>
            <w:r w:rsidRPr="0FC1C680">
              <w:rPr>
                <w:rFonts w:ascii="Calibri" w:eastAsia="Calibri" w:hAnsi="Calibri" w:cs="Calibri"/>
                <w:b/>
                <w:bCs/>
                <w:color w:val="1D3E72"/>
                <w:sz w:val="20"/>
                <w:szCs w:val="20"/>
                <w:lang w:val="en-US"/>
              </w:rPr>
              <w:t>scorecard)</w:t>
            </w:r>
          </w:p>
        </w:tc>
        <w:tc>
          <w:tcPr>
            <w:tcW w:w="1471" w:type="dxa"/>
          </w:tcPr>
          <w:p w14:paraId="26B2BCD2" w14:textId="536ADC83" w:rsidR="4DF84E5B" w:rsidRDefault="0FC1C680" w:rsidP="0FC1C680">
            <w:pPr>
              <w:rPr>
                <w:rFonts w:ascii="Calibri" w:eastAsia="Calibri" w:hAnsi="Calibri" w:cs="Calibri"/>
                <w:b/>
                <w:bCs/>
                <w:color w:val="1D3E72"/>
                <w:sz w:val="20"/>
                <w:szCs w:val="20"/>
                <w:lang w:val="en-US"/>
              </w:rPr>
            </w:pPr>
            <w:r w:rsidRPr="0FC1C680">
              <w:rPr>
                <w:rFonts w:ascii="Calibri" w:eastAsia="Calibri" w:hAnsi="Calibri" w:cs="Calibri"/>
                <w:b/>
                <w:bCs/>
                <w:color w:val="1D3E72"/>
                <w:sz w:val="20"/>
                <w:szCs w:val="20"/>
                <w:lang w:val="en-US"/>
              </w:rPr>
              <w:t>Target</w:t>
            </w:r>
            <w:r w:rsidR="00451867">
              <w:rPr>
                <w:rFonts w:ascii="Calibri" w:eastAsia="Calibri" w:hAnsi="Calibri" w:cs="Calibri"/>
                <w:b/>
                <w:bCs/>
                <w:color w:val="1D3E72"/>
                <w:sz w:val="20"/>
                <w:szCs w:val="20"/>
                <w:lang w:val="en-US"/>
              </w:rPr>
              <w:t xml:space="preserve"> Score</w:t>
            </w:r>
          </w:p>
        </w:tc>
        <w:tc>
          <w:tcPr>
            <w:tcW w:w="2906" w:type="dxa"/>
          </w:tcPr>
          <w:p w14:paraId="241BB59C" w14:textId="70ED5238" w:rsidR="4DF84E5B" w:rsidRDefault="0FC1C680" w:rsidP="0FC1C680">
            <w:pPr>
              <w:rPr>
                <w:rFonts w:ascii="Calibri" w:eastAsia="Calibri" w:hAnsi="Calibri" w:cs="Calibri"/>
                <w:b/>
                <w:bCs/>
                <w:color w:val="1D3E72"/>
                <w:sz w:val="20"/>
                <w:szCs w:val="20"/>
                <w:lang w:val="en-US"/>
              </w:rPr>
            </w:pPr>
            <w:r w:rsidRPr="0FC1C680">
              <w:rPr>
                <w:rFonts w:ascii="Calibri" w:eastAsia="Calibri" w:hAnsi="Calibri" w:cs="Calibri"/>
                <w:b/>
                <w:bCs/>
                <w:color w:val="1D3E72"/>
                <w:sz w:val="20"/>
                <w:szCs w:val="20"/>
                <w:lang w:val="en-US"/>
              </w:rPr>
              <w:t xml:space="preserve">Case for </w:t>
            </w:r>
            <w:r w:rsidR="008F166F">
              <w:rPr>
                <w:rFonts w:ascii="Calibri" w:eastAsia="Calibri" w:hAnsi="Calibri" w:cs="Calibri"/>
                <w:b/>
                <w:bCs/>
                <w:color w:val="1D3E72"/>
                <w:sz w:val="20"/>
                <w:szCs w:val="20"/>
                <w:lang w:val="en-US"/>
              </w:rPr>
              <w:t>Action</w:t>
            </w:r>
          </w:p>
        </w:tc>
      </w:tr>
      <w:tr w:rsidR="00111ECF" w14:paraId="23D32E28" w14:textId="77777777" w:rsidTr="006A0D03">
        <w:tc>
          <w:tcPr>
            <w:tcW w:w="627" w:type="dxa"/>
          </w:tcPr>
          <w:p w14:paraId="7605CA34" w14:textId="6CAF17CE" w:rsidR="00111ECF" w:rsidRPr="0056407A" w:rsidRDefault="006A0D03" w:rsidP="00111ECF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505" w:type="dxa"/>
          </w:tcPr>
          <w:p w14:paraId="572B1590" w14:textId="075D8AC6" w:rsidR="00111ECF" w:rsidRPr="00705188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70518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Project Programme</w:t>
            </w:r>
          </w:p>
        </w:tc>
        <w:tc>
          <w:tcPr>
            <w:tcW w:w="2997" w:type="dxa"/>
          </w:tcPr>
          <w:p w14:paraId="2AE72C13" w14:textId="5556250F" w:rsidR="00111ECF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FC1C680">
              <w:rPr>
                <w:rFonts w:ascii="Calibri" w:eastAsia="Calibri" w:hAnsi="Calibri" w:cs="Calibri"/>
                <w:sz w:val="20"/>
                <w:szCs w:val="20"/>
                <w:lang w:val="en-US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roject progress. Variance between actual progress achieved against agreed timescale milestones </w:t>
            </w:r>
            <w:r w:rsidRPr="00A01F4A">
              <w:rPr>
                <w:rFonts w:ascii="Calibri" w:eastAsia="Calibri" w:hAnsi="Calibri" w:cs="Calibri"/>
                <w:sz w:val="20"/>
                <w:szCs w:val="20"/>
                <w:lang w:val="en-US"/>
              </w:rPr>
              <w:t>as agreed at pre-start meeting.</w:t>
            </w:r>
          </w:p>
        </w:tc>
        <w:tc>
          <w:tcPr>
            <w:tcW w:w="1994" w:type="dxa"/>
          </w:tcPr>
          <w:p w14:paraId="0192AAED" w14:textId="2D5A22B7" w:rsidR="00111ECF" w:rsidRDefault="00111ECF" w:rsidP="00111ECF">
            <w:r w:rsidRPr="00A01F4A">
              <w:rPr>
                <w:rFonts w:ascii="Calibri" w:eastAsia="Calibri" w:hAnsi="Calibri" w:cs="Calibri"/>
                <w:sz w:val="20"/>
                <w:szCs w:val="20"/>
                <w:lang w:val="en-US"/>
              </w:rPr>
              <w:t>Monthly</w:t>
            </w:r>
          </w:p>
        </w:tc>
        <w:tc>
          <w:tcPr>
            <w:tcW w:w="1605" w:type="dxa"/>
          </w:tcPr>
          <w:p w14:paraId="72B3E74A" w14:textId="6253C0F6" w:rsidR="00111ECF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Monthly scorecard for monthly contract meeting. </w:t>
            </w:r>
            <w:r w:rsidRPr="001460BD">
              <w:rPr>
                <w:rFonts w:ascii="Calibri" w:eastAsia="Calibri" w:hAnsi="Calibri" w:cs="Calibri"/>
                <w:sz w:val="20"/>
                <w:szCs w:val="20"/>
                <w:lang w:val="en-US"/>
              </w:rPr>
              <w:t>Consultants and PM to monitor</w:t>
            </w:r>
          </w:p>
        </w:tc>
        <w:tc>
          <w:tcPr>
            <w:tcW w:w="1471" w:type="dxa"/>
          </w:tcPr>
          <w:p w14:paraId="7ABCEDA1" w14:textId="3ED4D819" w:rsidR="00111ECF" w:rsidRPr="002B1196" w:rsidRDefault="00111ECF" w:rsidP="00111ECF">
            <w:pPr>
              <w:rPr>
                <w:sz w:val="20"/>
                <w:szCs w:val="20"/>
              </w:rPr>
            </w:pPr>
            <w:r w:rsidRPr="002B1196">
              <w:rPr>
                <w:sz w:val="20"/>
                <w:szCs w:val="20"/>
              </w:rPr>
              <w:t xml:space="preserve">Score of 10 </w:t>
            </w:r>
            <w:r>
              <w:rPr>
                <w:sz w:val="20"/>
                <w:szCs w:val="20"/>
              </w:rPr>
              <w:t>(performance met expectations – see scorecard)</w:t>
            </w:r>
          </w:p>
        </w:tc>
        <w:tc>
          <w:tcPr>
            <w:tcW w:w="2906" w:type="dxa"/>
          </w:tcPr>
          <w:p w14:paraId="5EAFA50B" w14:textId="77777777" w:rsidR="00111ECF" w:rsidRDefault="00111ECF" w:rsidP="00111EC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&gt; or equal to -5 score</w:t>
            </w:r>
            <w:r w:rsidRPr="0FC1C68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time overrun on a single project, inclusive of 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agreed/signed off </w:t>
            </w:r>
            <w:r w:rsidRPr="0FC1C680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client change(s</w:t>
            </w:r>
            <w:r w:rsidRPr="0069056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) Core group meeting will be called.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135B7D5A" w14:textId="77777777" w:rsidR="00111ECF" w:rsidRDefault="00111ECF" w:rsidP="00111EC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  <w:p w14:paraId="37E49DD1" w14:textId="77777777" w:rsidR="00111ECF" w:rsidRDefault="00111ECF" w:rsidP="00111EC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&gt;  or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equal to -5 score for two consecutive months,</w:t>
            </w:r>
            <w:r w:rsidRPr="4DF84E5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t</w:t>
            </w:r>
            <w:r w:rsidRPr="4DF84E5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he Service Provider will be required to provide an action plan to remedy performance issues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within one month of the second issued failing score scorecard.</w:t>
            </w:r>
            <w:r w:rsidRPr="00D92DB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This may result in a core group meeting to discuss failures.</w:t>
            </w:r>
          </w:p>
          <w:p w14:paraId="588736A3" w14:textId="77777777" w:rsidR="00111ECF" w:rsidRDefault="00111ECF" w:rsidP="00111ECF"/>
          <w:p w14:paraId="5647F1A4" w14:textId="77777777" w:rsidR="00111ECF" w:rsidRDefault="00111ECF" w:rsidP="00111EC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292FD63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Where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,</w:t>
            </w:r>
            <w:r w:rsidRPr="292FD63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after an action plan request and implementation, performance continues to be below the above targets for three subsequent months, 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matter to be escalated to senior management level. This may include the issue of a RBKC formal notice by Director of Housing Management/AD of Property Services</w:t>
            </w:r>
          </w:p>
          <w:p w14:paraId="210E0609" w14:textId="77777777" w:rsidR="00111ECF" w:rsidRDefault="00111ECF" w:rsidP="00111EC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  <w:p w14:paraId="320A3880" w14:textId="77777777" w:rsidR="00111ECF" w:rsidRDefault="00111ECF" w:rsidP="00111EC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This may result in contract termination </w:t>
            </w:r>
            <w:r w:rsidRPr="292FD63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on grounds of poor </w:t>
            </w:r>
            <w:r w:rsidRPr="00725FB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performance.  </w:t>
            </w:r>
          </w:p>
          <w:p w14:paraId="3CF52682" w14:textId="4D2646F0" w:rsidR="00111ECF" w:rsidRDefault="00111ECF" w:rsidP="00111EC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>
              <w:t xml:space="preserve"> </w:t>
            </w:r>
          </w:p>
        </w:tc>
      </w:tr>
      <w:tr w:rsidR="00111ECF" w14:paraId="1B48996E" w14:textId="77777777" w:rsidTr="006A0D03">
        <w:tc>
          <w:tcPr>
            <w:tcW w:w="627" w:type="dxa"/>
          </w:tcPr>
          <w:p w14:paraId="3DCC4744" w14:textId="75EA0B06" w:rsidR="00111ECF" w:rsidRPr="00451867" w:rsidRDefault="001A7116" w:rsidP="00111ECF">
            <w:r w:rsidRPr="001A7116">
              <w:rPr>
                <w:color w:val="FF0000"/>
              </w:rPr>
              <w:lastRenderedPageBreak/>
              <w:t>2a</w:t>
            </w:r>
          </w:p>
        </w:tc>
        <w:tc>
          <w:tcPr>
            <w:tcW w:w="2505" w:type="dxa"/>
          </w:tcPr>
          <w:p w14:paraId="6B0D9191" w14:textId="50824DB3" w:rsidR="00111ECF" w:rsidRDefault="00111ECF" w:rsidP="00111ECF">
            <w:r w:rsidRPr="0070518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Quality (</w:t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Works on Site)</w:t>
            </w:r>
          </w:p>
        </w:tc>
        <w:tc>
          <w:tcPr>
            <w:tcW w:w="2997" w:type="dxa"/>
          </w:tcPr>
          <w:p w14:paraId="2ABD4410" w14:textId="26A95C5A" w:rsidR="00111ECF" w:rsidRDefault="00111ECF" w:rsidP="00111ECF"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Works meeting/exceeding quality standard</w:t>
            </w:r>
          </w:p>
        </w:tc>
        <w:tc>
          <w:tcPr>
            <w:tcW w:w="1994" w:type="dxa"/>
          </w:tcPr>
          <w:p w14:paraId="73E41D3B" w14:textId="304948AA" w:rsidR="00111ECF" w:rsidRDefault="00111ECF" w:rsidP="00111ECF">
            <w:r>
              <w:t>Monthly</w:t>
            </w:r>
          </w:p>
        </w:tc>
        <w:tc>
          <w:tcPr>
            <w:tcW w:w="1605" w:type="dxa"/>
          </w:tcPr>
          <w:p w14:paraId="2548CA90" w14:textId="559D9A55" w:rsidR="00111ECF" w:rsidRDefault="00111ECF" w:rsidP="00111ECF"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Monthly scorecard for monthly contract meeting. </w:t>
            </w:r>
            <w:r w:rsidRPr="001460BD">
              <w:rPr>
                <w:rFonts w:ascii="Calibri" w:eastAsia="Calibri" w:hAnsi="Calibri" w:cs="Calibri"/>
                <w:sz w:val="20"/>
                <w:szCs w:val="20"/>
                <w:lang w:val="en-US"/>
              </w:rPr>
              <w:t>Consultants and PM to monitor</w:t>
            </w:r>
          </w:p>
        </w:tc>
        <w:tc>
          <w:tcPr>
            <w:tcW w:w="1471" w:type="dxa"/>
          </w:tcPr>
          <w:p w14:paraId="24476EE1" w14:textId="7B3F1B72" w:rsidR="00111ECF" w:rsidRPr="002B1196" w:rsidRDefault="00111ECF" w:rsidP="00111ECF">
            <w:pPr>
              <w:rPr>
                <w:sz w:val="20"/>
                <w:szCs w:val="20"/>
              </w:rPr>
            </w:pPr>
            <w:r w:rsidRPr="002B1196">
              <w:rPr>
                <w:sz w:val="20"/>
                <w:szCs w:val="20"/>
              </w:rPr>
              <w:t xml:space="preserve">Score of 10 </w:t>
            </w:r>
            <w:r>
              <w:rPr>
                <w:sz w:val="20"/>
                <w:szCs w:val="20"/>
              </w:rPr>
              <w:t xml:space="preserve">(performance met expectations – see scorecard) </w:t>
            </w:r>
          </w:p>
        </w:tc>
        <w:tc>
          <w:tcPr>
            <w:tcW w:w="2906" w:type="dxa"/>
          </w:tcPr>
          <w:p w14:paraId="3AD3EFE1" w14:textId="6624ED4C" w:rsidR="00111ECF" w:rsidRDefault="00111ECF" w:rsidP="00111EC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&gt; or equal to -5 single score:</w:t>
            </w:r>
          </w:p>
          <w:p w14:paraId="3EA0109C" w14:textId="77777777" w:rsidR="00111ECF" w:rsidRDefault="00111ECF" w:rsidP="00111EC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  <w:p w14:paraId="09E9D494" w14:textId="20424B2D" w:rsidR="00111ECF" w:rsidRDefault="00111ECF" w:rsidP="00111EC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T</w:t>
            </w:r>
            <w:r w:rsidRPr="00D92DB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his may result in a core group meeting to discuss failures.</w:t>
            </w:r>
          </w:p>
          <w:p w14:paraId="4B17A864" w14:textId="77777777" w:rsidR="00111ECF" w:rsidRDefault="00111ECF" w:rsidP="00111EC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  <w:p w14:paraId="3D6439D1" w14:textId="32131515" w:rsidR="00111ECF" w:rsidRDefault="00111ECF" w:rsidP="00111EC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&gt;  or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equal to -5 score for two consecutive months</w:t>
            </w:r>
            <w:r w:rsidRPr="4DF84E5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14:paraId="39013B31" w14:textId="77777777" w:rsidR="00111ECF" w:rsidRDefault="00111ECF" w:rsidP="00111ECF"/>
          <w:p w14:paraId="50EBA11E" w14:textId="605632EA" w:rsidR="00111ECF" w:rsidRDefault="00111ECF" w:rsidP="00111EC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4DF84E5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The Service Provider will be required to provide an action plan to remedy performance issues within one month </w:t>
            </w:r>
            <w:r w:rsidRPr="002D57D9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of the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second</w:t>
            </w:r>
            <w:r w:rsidRPr="002D57D9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issued failing score </w:t>
            </w:r>
            <w:r w:rsidRPr="002D57D9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scorecard</w:t>
            </w:r>
            <w:r w:rsidRPr="00D92DB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. This may result in a core group meeting to discuss failures.</w:t>
            </w:r>
          </w:p>
          <w:p w14:paraId="79CBF816" w14:textId="77777777" w:rsidR="00111ECF" w:rsidRDefault="00111ECF" w:rsidP="00111ECF"/>
          <w:p w14:paraId="441F83B2" w14:textId="77777777" w:rsidR="00111ECF" w:rsidRDefault="00111ECF" w:rsidP="00111EC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292FD63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Where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,</w:t>
            </w:r>
            <w:r w:rsidRPr="292FD63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after an action plan request and implementation, performance continues to be below the above targets for three subsequent months, 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matter to be escalated to senior management level. </w:t>
            </w:r>
          </w:p>
          <w:p w14:paraId="51E925A6" w14:textId="77777777" w:rsidR="00111ECF" w:rsidRDefault="00111ECF" w:rsidP="00111EC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  <w:p w14:paraId="4097EAE7" w14:textId="40622080" w:rsidR="00111ECF" w:rsidRDefault="00111ECF" w:rsidP="00111EC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This may result in contract termination </w:t>
            </w:r>
            <w:r w:rsidRPr="292FD63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on grounds of poor </w:t>
            </w:r>
            <w:r w:rsidRPr="00725FB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performance. </w:t>
            </w:r>
          </w:p>
          <w:p w14:paraId="38008C8C" w14:textId="77777777" w:rsidR="00111ECF" w:rsidRDefault="00111ECF" w:rsidP="00111EC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  <w:p w14:paraId="588D1A96" w14:textId="4D2C0A4A" w:rsidR="00111ECF" w:rsidRDefault="00111ECF" w:rsidP="00111EC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  <w:p w14:paraId="261F9B8B" w14:textId="0F992A17" w:rsidR="00111ECF" w:rsidRDefault="00111ECF" w:rsidP="00111ECF"/>
        </w:tc>
      </w:tr>
      <w:tr w:rsidR="00111ECF" w14:paraId="327F4AF4" w14:textId="77777777" w:rsidTr="006A0D03">
        <w:tc>
          <w:tcPr>
            <w:tcW w:w="627" w:type="dxa"/>
          </w:tcPr>
          <w:p w14:paraId="03E9E046" w14:textId="2BC5FC29" w:rsidR="00111ECF" w:rsidRDefault="00111ECF" w:rsidP="00111ECF">
            <w:r w:rsidRPr="007B7A90">
              <w:rPr>
                <w:rFonts w:ascii="Calibri" w:eastAsia="Calibri" w:hAnsi="Calibri" w:cs="Calibri"/>
                <w:color w:val="FF0000"/>
                <w:sz w:val="20"/>
                <w:szCs w:val="20"/>
                <w:lang w:val="en-US"/>
              </w:rPr>
              <w:lastRenderedPageBreak/>
              <w:t>2</w:t>
            </w:r>
            <w:r w:rsidR="00240FDF">
              <w:rPr>
                <w:rFonts w:ascii="Calibri" w:eastAsia="Calibri" w:hAnsi="Calibri" w:cs="Calibri"/>
                <w:color w:val="FF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2505" w:type="dxa"/>
          </w:tcPr>
          <w:p w14:paraId="6A2EFD6F" w14:textId="6FF0205C" w:rsidR="00111ECF" w:rsidRDefault="00111ECF" w:rsidP="00111ECF">
            <w:r w:rsidRPr="0070518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Quality (</w:t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Defects at Handover</w:t>
            </w:r>
            <w:r w:rsidRPr="0070518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)</w:t>
            </w:r>
          </w:p>
        </w:tc>
        <w:tc>
          <w:tcPr>
            <w:tcW w:w="2997" w:type="dxa"/>
          </w:tcPr>
          <w:p w14:paraId="757656EB" w14:textId="2DF72146" w:rsidR="00111ECF" w:rsidRDefault="00111ECF" w:rsidP="00111ECF">
            <w:r w:rsidRPr="4DF84E5B">
              <w:rPr>
                <w:rFonts w:ascii="Calibri" w:eastAsia="Calibri" w:hAnsi="Calibri" w:cs="Calibri"/>
                <w:sz w:val="20"/>
                <w:szCs w:val="20"/>
                <w:lang w:val="en-US"/>
              </w:rPr>
              <w:t>Clerk of Works/Project Manager</w:t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/Quality Assessment</w:t>
            </w:r>
            <w:r w:rsidRPr="4DF84E5B">
              <w:rPr>
                <w:rFonts w:ascii="Calibri" w:eastAsia="Calibri" w:hAnsi="Calibri" w:cs="Calibri"/>
                <w:sz w:val="20"/>
                <w:szCs w:val="20"/>
                <w:lang w:val="en-US"/>
              </w:rPr>
              <w:t>.</w:t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Quality assessment outcome. The number of defects identified at end of Defects Period and inspection and gravity/nature of defects. All defects recorded in defect documentation.</w:t>
            </w:r>
          </w:p>
        </w:tc>
        <w:tc>
          <w:tcPr>
            <w:tcW w:w="1994" w:type="dxa"/>
          </w:tcPr>
          <w:p w14:paraId="20512AD4" w14:textId="08369C42" w:rsidR="00111ECF" w:rsidRDefault="00111ECF" w:rsidP="00111ECF"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Project on site up to practical completion</w:t>
            </w:r>
            <w:r w:rsidRPr="4DF84E5B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05" w:type="dxa"/>
          </w:tcPr>
          <w:p w14:paraId="48121B47" w14:textId="06107C90" w:rsidR="00111ECF" w:rsidRDefault="00111ECF" w:rsidP="00111ECF"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Monthly scorecard to monthly contract meeting. </w:t>
            </w:r>
            <w:r w:rsidRPr="001460BD">
              <w:rPr>
                <w:rFonts w:ascii="Calibri" w:eastAsia="Calibri" w:hAnsi="Calibri" w:cs="Calibri"/>
                <w:sz w:val="20"/>
                <w:szCs w:val="20"/>
                <w:lang w:val="en-US"/>
              </w:rPr>
              <w:t>Consultants and PM to monitor</w:t>
            </w:r>
          </w:p>
        </w:tc>
        <w:tc>
          <w:tcPr>
            <w:tcW w:w="1471" w:type="dxa"/>
          </w:tcPr>
          <w:p w14:paraId="74395D2F" w14:textId="58C8E860" w:rsidR="00111ECF" w:rsidRDefault="00111ECF" w:rsidP="00111ECF">
            <w:pPr>
              <w:jc w:val="center"/>
            </w:pPr>
            <w:r w:rsidRPr="002B1196">
              <w:rPr>
                <w:sz w:val="20"/>
                <w:szCs w:val="20"/>
              </w:rPr>
              <w:t xml:space="preserve">Score of 10 </w:t>
            </w:r>
            <w:r>
              <w:rPr>
                <w:sz w:val="20"/>
                <w:szCs w:val="20"/>
              </w:rPr>
              <w:t>(performance met expectations – see scorecard)</w:t>
            </w:r>
          </w:p>
        </w:tc>
        <w:tc>
          <w:tcPr>
            <w:tcW w:w="2906" w:type="dxa"/>
          </w:tcPr>
          <w:p w14:paraId="70E53DF8" w14:textId="5B80285E" w:rsidR="00111ECF" w:rsidRDefault="00111ECF" w:rsidP="00111EC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4DF84E5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&gt; or equal to -5 single score:</w:t>
            </w:r>
          </w:p>
          <w:p w14:paraId="515D15E8" w14:textId="77777777" w:rsidR="00111ECF" w:rsidRDefault="00111ECF" w:rsidP="00111EC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  <w:p w14:paraId="1EF9EF3D" w14:textId="3D0AF468" w:rsidR="00111ECF" w:rsidRDefault="00111ECF" w:rsidP="00111EC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T</w:t>
            </w:r>
            <w:r w:rsidRPr="00D92DB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his may result in a core group meeting to discuss failures.</w:t>
            </w:r>
          </w:p>
          <w:p w14:paraId="4916BD4C" w14:textId="755BB6B2" w:rsidR="00111ECF" w:rsidRDefault="00111ECF" w:rsidP="00111EC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  <w:p w14:paraId="0E1CDD65" w14:textId="3D1DA244" w:rsidR="00111ECF" w:rsidRDefault="00111ECF" w:rsidP="00111EC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4DF84E5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&gt;  or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equal to -5 score for two consecutive months</w:t>
            </w:r>
            <w:r w:rsidRPr="4DF84E5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14:paraId="04661940" w14:textId="77777777" w:rsidR="00111ECF" w:rsidRDefault="00111ECF" w:rsidP="00111ECF"/>
          <w:p w14:paraId="5BE37082" w14:textId="2C46FBEB" w:rsidR="00111ECF" w:rsidRDefault="00111ECF" w:rsidP="00111EC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4DF84E5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The Service Provider will be required to provide an action plan to remedy performance issues within one month </w:t>
            </w:r>
            <w:r w:rsidRPr="002D57D9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of the 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second issued failing score </w:t>
            </w:r>
            <w:r w:rsidRPr="002D57D9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scorecard</w:t>
            </w:r>
            <w:r w:rsidRPr="00D92DB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. This may result in a core group meeting to discuss failures.</w:t>
            </w:r>
          </w:p>
          <w:p w14:paraId="3F601746" w14:textId="77777777" w:rsidR="00111ECF" w:rsidRDefault="00111ECF" w:rsidP="00111ECF"/>
          <w:p w14:paraId="73D76B83" w14:textId="718FCB6B" w:rsidR="00111ECF" w:rsidRDefault="00111ECF" w:rsidP="00111EC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292FD63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Where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,</w:t>
            </w:r>
            <w:r w:rsidRPr="292FD63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after an action plan request and implementation, performance continues to be below the above targets for three subsequent months, 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matter to be escalated to senior management level. This may include the issue of a RBKC formal notice by Director of Housing Management/AD of Property Services</w:t>
            </w:r>
          </w:p>
          <w:p w14:paraId="457B97A7" w14:textId="77777777" w:rsidR="00111ECF" w:rsidRDefault="00111ECF" w:rsidP="00111EC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  <w:p w14:paraId="3175BE35" w14:textId="77777777" w:rsidR="00111ECF" w:rsidRDefault="00111ECF" w:rsidP="00111EC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This may result in contract termination </w:t>
            </w:r>
            <w:r w:rsidRPr="292FD63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on grounds of poor </w:t>
            </w:r>
            <w:r w:rsidRPr="00725FB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performance.  </w:t>
            </w:r>
          </w:p>
          <w:p w14:paraId="0D0EB73F" w14:textId="77777777" w:rsidR="00111ECF" w:rsidRDefault="00111ECF" w:rsidP="00111EC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  <w:p w14:paraId="24EF0957" w14:textId="0A1F82A9" w:rsidR="00111ECF" w:rsidRDefault="00111ECF" w:rsidP="00111ECF">
            <w:pPr>
              <w:spacing w:line="254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FC1C680">
              <w:rPr>
                <w:rFonts w:ascii="Calibri" w:eastAsia="Calibri" w:hAnsi="Calibri" w:cs="Calibri"/>
                <w:sz w:val="20"/>
                <w:szCs w:val="20"/>
                <w:lang w:val="en-US"/>
              </w:rPr>
              <w:t>Retention monies not released until satisfactory completion of all Defects Liability works.</w:t>
            </w:r>
          </w:p>
          <w:p w14:paraId="75E43088" w14:textId="77777777" w:rsidR="00111ECF" w:rsidRDefault="00111ECF" w:rsidP="00111ECF">
            <w:pPr>
              <w:spacing w:line="254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  <w:p w14:paraId="7B6510C4" w14:textId="77777777" w:rsidR="00111ECF" w:rsidRDefault="00111ECF" w:rsidP="00111ECF">
            <w:pPr>
              <w:spacing w:line="254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  <w:p w14:paraId="5DB67DC6" w14:textId="01462779" w:rsidR="00111ECF" w:rsidRDefault="00111ECF" w:rsidP="00111ECF">
            <w:pPr>
              <w:spacing w:line="254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FC1C680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509DFB3D" w14:textId="57BC353D" w:rsidR="00111ECF" w:rsidRDefault="00111ECF" w:rsidP="00111ECF">
            <w:pPr>
              <w:spacing w:line="254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  <w:p w14:paraId="41DCE9B9" w14:textId="61A6F94A" w:rsidR="00111ECF" w:rsidRDefault="00111ECF" w:rsidP="00111ECF">
            <w:pPr>
              <w:spacing w:line="254" w:lineRule="auto"/>
            </w:pPr>
            <w:r w:rsidRPr="0FC1C680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 </w:t>
            </w:r>
          </w:p>
        </w:tc>
      </w:tr>
      <w:tr w:rsidR="00111ECF" w14:paraId="1590B09F" w14:textId="77777777" w:rsidTr="006A0D03">
        <w:tc>
          <w:tcPr>
            <w:tcW w:w="627" w:type="dxa"/>
          </w:tcPr>
          <w:p w14:paraId="6E0998E7" w14:textId="1CCF60EC" w:rsidR="00111ECF" w:rsidRPr="4DF84E5B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743125">
              <w:rPr>
                <w:rFonts w:ascii="Calibri" w:eastAsia="Calibri" w:hAnsi="Calibri" w:cs="Calibri"/>
                <w:color w:val="FF0000"/>
                <w:sz w:val="20"/>
                <w:szCs w:val="20"/>
                <w:lang w:val="en-US"/>
              </w:rPr>
              <w:lastRenderedPageBreak/>
              <w:t>2</w:t>
            </w:r>
            <w:r w:rsidR="00050AAE">
              <w:rPr>
                <w:rFonts w:ascii="Calibri" w:eastAsia="Calibri" w:hAnsi="Calibri" w:cs="Calibri"/>
                <w:color w:val="FF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2505" w:type="dxa"/>
          </w:tcPr>
          <w:p w14:paraId="013BB8C1" w14:textId="5359B601" w:rsidR="00111ECF" w:rsidRPr="00705188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Quality (time taken to complete defects)</w:t>
            </w:r>
          </w:p>
        </w:tc>
        <w:tc>
          <w:tcPr>
            <w:tcW w:w="2997" w:type="dxa"/>
          </w:tcPr>
          <w:p w14:paraId="6B15842D" w14:textId="77777777" w:rsidR="00111ECF" w:rsidRPr="006D59D1" w:rsidRDefault="00111ECF" w:rsidP="00111ECF">
            <w:pPr>
              <w:spacing w:line="254" w:lineRule="auto"/>
              <w:rPr>
                <w:sz w:val="20"/>
                <w:szCs w:val="20"/>
              </w:rPr>
            </w:pPr>
            <w:r w:rsidRPr="006D59D1">
              <w:rPr>
                <w:sz w:val="20"/>
                <w:szCs w:val="20"/>
              </w:rPr>
              <w:t xml:space="preserve">To record the average time across the whole project, it takes to complete a defect (avoiding lengthy snagging at project end). </w:t>
            </w:r>
          </w:p>
          <w:p w14:paraId="337C96C1" w14:textId="77777777" w:rsidR="00111ECF" w:rsidRDefault="00111ECF" w:rsidP="00111ECF">
            <w:pPr>
              <w:spacing w:line="254" w:lineRule="auto"/>
            </w:pPr>
          </w:p>
          <w:p w14:paraId="7E2BB94F" w14:textId="77777777" w:rsidR="00111ECF" w:rsidRPr="00697725" w:rsidRDefault="00111ECF" w:rsidP="00111ECF">
            <w:pPr>
              <w:spacing w:line="254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  <w:p w14:paraId="6B2B67B4" w14:textId="01E28BB0" w:rsidR="00111ECF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994" w:type="dxa"/>
          </w:tcPr>
          <w:p w14:paraId="7B3648F1" w14:textId="55190060" w:rsidR="00111ECF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Monthly</w:t>
            </w:r>
          </w:p>
        </w:tc>
        <w:tc>
          <w:tcPr>
            <w:tcW w:w="1605" w:type="dxa"/>
          </w:tcPr>
          <w:p w14:paraId="6C994826" w14:textId="08D15B8B" w:rsidR="00111ECF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Monthly scorecard for monthly contract meeting. </w:t>
            </w:r>
            <w:r w:rsidRPr="001460BD">
              <w:rPr>
                <w:rFonts w:ascii="Calibri" w:eastAsia="Calibri" w:hAnsi="Calibri" w:cs="Calibri"/>
                <w:sz w:val="20"/>
                <w:szCs w:val="20"/>
                <w:lang w:val="en-US"/>
              </w:rPr>
              <w:t>Consultants and PM to monitor</w:t>
            </w:r>
          </w:p>
        </w:tc>
        <w:tc>
          <w:tcPr>
            <w:tcW w:w="1471" w:type="dxa"/>
          </w:tcPr>
          <w:p w14:paraId="4F71CAB9" w14:textId="1322E398" w:rsidR="00111ECF" w:rsidRDefault="00111ECF" w:rsidP="00111ECF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B1196">
              <w:rPr>
                <w:sz w:val="20"/>
                <w:szCs w:val="20"/>
              </w:rPr>
              <w:t xml:space="preserve">Score of 10 </w:t>
            </w:r>
            <w:r>
              <w:rPr>
                <w:sz w:val="20"/>
                <w:szCs w:val="20"/>
              </w:rPr>
              <w:t>(performance met expectations – see scorecard)</w:t>
            </w:r>
          </w:p>
        </w:tc>
        <w:tc>
          <w:tcPr>
            <w:tcW w:w="2906" w:type="dxa"/>
          </w:tcPr>
          <w:p w14:paraId="24249527" w14:textId="37C4D2CF" w:rsidR="00111ECF" w:rsidRDefault="00111ECF" w:rsidP="00111EC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&gt; or equal to -5 single score:</w:t>
            </w:r>
          </w:p>
          <w:p w14:paraId="42C1BF22" w14:textId="77777777" w:rsidR="00111ECF" w:rsidRDefault="00111ECF" w:rsidP="00111EC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  <w:p w14:paraId="1E4ECA7D" w14:textId="4DCF7BEB" w:rsidR="00111ECF" w:rsidRDefault="00111ECF" w:rsidP="00111EC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D92DB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This may result in a core group meeting to discuss failures.</w:t>
            </w:r>
          </w:p>
          <w:p w14:paraId="0DFCBD7D" w14:textId="4FBAD6CE" w:rsidR="00111ECF" w:rsidRDefault="00111ECF" w:rsidP="00111EC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  <w:p w14:paraId="198A7342" w14:textId="1407D748" w:rsidR="00111ECF" w:rsidRDefault="00111ECF" w:rsidP="00111EC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4DF84E5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&gt;  or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equal to -5 score for two consecutive months</w:t>
            </w:r>
            <w:r w:rsidRPr="4DF84E5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14:paraId="4C473FE2" w14:textId="77777777" w:rsidR="00111ECF" w:rsidRDefault="00111ECF" w:rsidP="00111ECF"/>
          <w:p w14:paraId="646A9E76" w14:textId="7B148205" w:rsidR="00111ECF" w:rsidRDefault="00111ECF" w:rsidP="00111EC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4DF84E5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The Service Provider will be required to provide an action plan to remedy performance issues within one month </w:t>
            </w:r>
            <w:r w:rsidRPr="002D57D9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of the 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second issued failing score </w:t>
            </w:r>
            <w:r w:rsidRPr="002D57D9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scorecard</w:t>
            </w:r>
            <w:r w:rsidRPr="00D92DB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. This may result in a core group meeting to discuss failures.</w:t>
            </w:r>
          </w:p>
          <w:p w14:paraId="694DFB24" w14:textId="77777777" w:rsidR="00111ECF" w:rsidRDefault="00111ECF" w:rsidP="00111ECF"/>
          <w:p w14:paraId="490206C5" w14:textId="77777777" w:rsidR="00111ECF" w:rsidRDefault="00111ECF" w:rsidP="00111EC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292FD63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Where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,</w:t>
            </w:r>
            <w:r w:rsidRPr="292FD63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after an action plan request and implementation, performance continues to be below the above targets for three subsequent months, 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matter to be escalated to senior management level. This may include the issue of a RBKC formal notice by Director of Housing Management/AD of Property Services</w:t>
            </w:r>
          </w:p>
          <w:p w14:paraId="30F443D7" w14:textId="77777777" w:rsidR="00111ECF" w:rsidRDefault="00111ECF" w:rsidP="00111EC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  <w:p w14:paraId="25DB4EDF" w14:textId="77777777" w:rsidR="00111ECF" w:rsidRDefault="00111ECF" w:rsidP="00111EC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This may result in contract termination </w:t>
            </w:r>
            <w:r w:rsidRPr="292FD63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on grounds of poor </w:t>
            </w:r>
            <w:r w:rsidRPr="00725FB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performance.  </w:t>
            </w:r>
          </w:p>
          <w:p w14:paraId="592C51C3" w14:textId="77777777" w:rsidR="00111ECF" w:rsidRDefault="00111ECF" w:rsidP="00111ECF"/>
          <w:p w14:paraId="144995DC" w14:textId="77777777" w:rsidR="00111ECF" w:rsidRDefault="00111ECF" w:rsidP="00111ECF">
            <w:pPr>
              <w:spacing w:line="254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FC1C680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Retention monies not released until satisfactory completion of all Defects Liability works. </w:t>
            </w:r>
          </w:p>
          <w:p w14:paraId="07BF13C3" w14:textId="6935ED33" w:rsidR="00111ECF" w:rsidRPr="00697725" w:rsidRDefault="00111ECF" w:rsidP="00111ECF">
            <w:pPr>
              <w:spacing w:line="254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  <w:p w14:paraId="5B7AEADB" w14:textId="23DDE553" w:rsidR="00111ECF" w:rsidRDefault="00111ECF" w:rsidP="00111ECF">
            <w:pPr>
              <w:spacing w:line="254" w:lineRule="auto"/>
            </w:pPr>
          </w:p>
        </w:tc>
      </w:tr>
      <w:tr w:rsidR="00111ECF" w14:paraId="72C647B4" w14:textId="77777777" w:rsidTr="006A0D03">
        <w:tc>
          <w:tcPr>
            <w:tcW w:w="627" w:type="dxa"/>
          </w:tcPr>
          <w:p w14:paraId="785A1CF6" w14:textId="39E72C72" w:rsidR="00111ECF" w:rsidRPr="00F524AF" w:rsidRDefault="00111ECF" w:rsidP="00111ECF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  <w:lang w:val="en-US"/>
              </w:rPr>
              <w:lastRenderedPageBreak/>
              <w:t>2</w:t>
            </w:r>
            <w:r w:rsidR="00E630F4">
              <w:rPr>
                <w:rFonts w:ascii="Calibri" w:eastAsia="Calibri" w:hAnsi="Calibri" w:cs="Calibri"/>
                <w:color w:val="FF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2505" w:type="dxa"/>
          </w:tcPr>
          <w:p w14:paraId="3416024E" w14:textId="31756666" w:rsidR="00111ECF" w:rsidRPr="00705188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Access into Properties</w:t>
            </w:r>
            <w:r w:rsidR="00E630F4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Success</w:t>
            </w:r>
            <w:r w:rsidR="00AB60E4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Rate (</w:t>
            </w:r>
            <w:proofErr w:type="spellStart"/>
            <w:r w:rsidR="00AB60E4">
              <w:rPr>
                <w:rFonts w:ascii="Calibri" w:eastAsia="Calibri" w:hAnsi="Calibri" w:cs="Calibri"/>
                <w:sz w:val="20"/>
                <w:szCs w:val="20"/>
                <w:lang w:val="en-US"/>
              </w:rPr>
              <w:t>Kpi</w:t>
            </w:r>
            <w:proofErr w:type="spellEnd"/>
            <w:r w:rsidR="00AB60E4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measured only on applicable schemes requiring access into homes</w:t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)</w:t>
            </w:r>
          </w:p>
        </w:tc>
        <w:tc>
          <w:tcPr>
            <w:tcW w:w="2997" w:type="dxa"/>
          </w:tcPr>
          <w:p w14:paraId="4B633B55" w14:textId="6967CEBC" w:rsidR="00111ECF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To record the success rate or otherwise of gaining access into homes to undertake work </w:t>
            </w:r>
          </w:p>
        </w:tc>
        <w:tc>
          <w:tcPr>
            <w:tcW w:w="1994" w:type="dxa"/>
          </w:tcPr>
          <w:p w14:paraId="38E81348" w14:textId="1E39E9DC" w:rsidR="00111ECF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Monthly</w:t>
            </w:r>
          </w:p>
        </w:tc>
        <w:tc>
          <w:tcPr>
            <w:tcW w:w="1605" w:type="dxa"/>
          </w:tcPr>
          <w:p w14:paraId="3A387E1C" w14:textId="12A36C38" w:rsidR="00111ECF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Monthly scorecard for monthly contract meeting. </w:t>
            </w:r>
            <w:r w:rsidRPr="001460BD">
              <w:rPr>
                <w:rFonts w:ascii="Calibri" w:eastAsia="Calibri" w:hAnsi="Calibri" w:cs="Calibri"/>
                <w:sz w:val="20"/>
                <w:szCs w:val="20"/>
                <w:lang w:val="en-US"/>
              </w:rPr>
              <w:t>Consultants and PM to monitor</w:t>
            </w:r>
          </w:p>
        </w:tc>
        <w:tc>
          <w:tcPr>
            <w:tcW w:w="1471" w:type="dxa"/>
          </w:tcPr>
          <w:p w14:paraId="244AC08E" w14:textId="2AB99A3B" w:rsidR="00111ECF" w:rsidRDefault="00111ECF" w:rsidP="00111ECF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B1196">
              <w:rPr>
                <w:sz w:val="20"/>
                <w:szCs w:val="20"/>
              </w:rPr>
              <w:t xml:space="preserve">Score of 10 </w:t>
            </w:r>
            <w:r>
              <w:rPr>
                <w:sz w:val="20"/>
                <w:szCs w:val="20"/>
              </w:rPr>
              <w:t>(performance met expectations – see scorecard)</w:t>
            </w:r>
          </w:p>
        </w:tc>
        <w:tc>
          <w:tcPr>
            <w:tcW w:w="2906" w:type="dxa"/>
          </w:tcPr>
          <w:p w14:paraId="18D3D612" w14:textId="77777777" w:rsidR="00111ECF" w:rsidRDefault="00111ECF" w:rsidP="00111EC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&gt; or equal to -5 single score:</w:t>
            </w:r>
          </w:p>
          <w:p w14:paraId="11C83028" w14:textId="77777777" w:rsidR="00111ECF" w:rsidRDefault="00111ECF" w:rsidP="00111EC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  <w:p w14:paraId="47EC2A2D" w14:textId="77777777" w:rsidR="00111ECF" w:rsidRDefault="00111ECF" w:rsidP="00111EC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D92DB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This may result in a core group meeting to discuss failures.</w:t>
            </w:r>
          </w:p>
          <w:p w14:paraId="4A1ACA4D" w14:textId="77777777" w:rsidR="00111ECF" w:rsidRDefault="00111ECF" w:rsidP="00111EC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  <w:p w14:paraId="00CFD088" w14:textId="77777777" w:rsidR="00111ECF" w:rsidRDefault="00111ECF" w:rsidP="00111EC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4DF84E5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&gt;  or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equal to -5 score for two consecutive months</w:t>
            </w:r>
            <w:r w:rsidRPr="4DF84E5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14:paraId="3F7F9BBE" w14:textId="77777777" w:rsidR="00111ECF" w:rsidRDefault="00111ECF" w:rsidP="00111ECF"/>
          <w:p w14:paraId="1D86938E" w14:textId="77777777" w:rsidR="00111ECF" w:rsidRDefault="00111ECF" w:rsidP="00111EC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4DF84E5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The Service Provider will be required to provide an action plan to remedy performance issues within one month </w:t>
            </w:r>
            <w:r w:rsidRPr="002D57D9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of the 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second issued failing score </w:t>
            </w:r>
            <w:r w:rsidRPr="002D57D9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scorecard</w:t>
            </w:r>
            <w:r w:rsidRPr="00D92DB8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. This may result in a core group meeting to discuss failures.</w:t>
            </w:r>
          </w:p>
          <w:p w14:paraId="4ED7711F" w14:textId="77777777" w:rsidR="00111ECF" w:rsidRDefault="00111ECF" w:rsidP="00111ECF"/>
          <w:p w14:paraId="3A1B977E" w14:textId="34237ADB" w:rsidR="00111ECF" w:rsidRDefault="00111ECF" w:rsidP="00111EC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292FD63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Where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,</w:t>
            </w:r>
            <w:r w:rsidRPr="292FD63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after an action plan request and implementation, performance continues to be below the above targets for three subsequent months, 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matter to be escalated to senior management level. This may include the issue of a RBKC formal notice by Director of 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lastRenderedPageBreak/>
              <w:t>Housing Management/AD of Property Services.</w:t>
            </w:r>
          </w:p>
          <w:p w14:paraId="502CEE43" w14:textId="66BD5DD9" w:rsidR="00111ECF" w:rsidRDefault="00111ECF" w:rsidP="00111EC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  <w:p w14:paraId="63D9486F" w14:textId="7FD22078" w:rsidR="00111ECF" w:rsidRDefault="00111ECF" w:rsidP="00111ECF"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This may result in contract termination </w:t>
            </w:r>
            <w:r w:rsidRPr="292FD63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on grounds of poor </w:t>
            </w:r>
            <w:r w:rsidRPr="00725FB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performance. </w:t>
            </w:r>
          </w:p>
          <w:p w14:paraId="62C9CCE5" w14:textId="77777777" w:rsidR="00111ECF" w:rsidRPr="00261FE7" w:rsidRDefault="00111ECF" w:rsidP="00111ECF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111ECF" w14:paraId="0F496FCB" w14:textId="77777777" w:rsidTr="006A0D03">
        <w:tc>
          <w:tcPr>
            <w:tcW w:w="627" w:type="dxa"/>
          </w:tcPr>
          <w:p w14:paraId="20A1F012" w14:textId="12BF0D88" w:rsidR="00111ECF" w:rsidRPr="00F524AF" w:rsidRDefault="00111ECF" w:rsidP="00111ECF">
            <w:pPr>
              <w:rPr>
                <w:color w:val="FF0000"/>
              </w:rPr>
            </w:pPr>
            <w:r w:rsidRPr="00F524AF">
              <w:rPr>
                <w:rFonts w:ascii="Calibri" w:eastAsia="Calibri" w:hAnsi="Calibri" w:cs="Calibri"/>
                <w:color w:val="FF0000"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2505" w:type="dxa"/>
          </w:tcPr>
          <w:p w14:paraId="32567249" w14:textId="7C8C5D26" w:rsidR="00111ECF" w:rsidRDefault="00111ECF" w:rsidP="00111ECF">
            <w:r w:rsidRPr="00705188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Expenditure </w:t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cumulative (based upon monthly committed spend) to date against agreed project forecast cashflow</w:t>
            </w:r>
          </w:p>
        </w:tc>
        <w:tc>
          <w:tcPr>
            <w:tcW w:w="2997" w:type="dxa"/>
          </w:tcPr>
          <w:p w14:paraId="533CB4F9" w14:textId="437BDA97" w:rsidR="00111ECF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Variance between cumulative committed expenditure to date against the agreed project cashflow</w:t>
            </w:r>
          </w:p>
        </w:tc>
        <w:tc>
          <w:tcPr>
            <w:tcW w:w="1994" w:type="dxa"/>
          </w:tcPr>
          <w:p w14:paraId="7410E6A9" w14:textId="6DB35700" w:rsidR="00111ECF" w:rsidRDefault="00111ECF" w:rsidP="00111ECF"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Monthly</w:t>
            </w:r>
            <w:r w:rsidRPr="4DF84E5B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05" w:type="dxa"/>
          </w:tcPr>
          <w:p w14:paraId="423C6772" w14:textId="2F4840B2" w:rsidR="00111ECF" w:rsidRDefault="00111ECF" w:rsidP="00111ECF"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Commercial Team Monthly Financial Reporting</w:t>
            </w:r>
          </w:p>
        </w:tc>
        <w:tc>
          <w:tcPr>
            <w:tcW w:w="1471" w:type="dxa"/>
          </w:tcPr>
          <w:p w14:paraId="765C5DF8" w14:textId="4EBB6658" w:rsidR="00111ECF" w:rsidRDefault="00111ECF" w:rsidP="00111ECF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+ /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- </w:t>
            </w:r>
            <w:r w:rsidRPr="0FC1C680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5</w:t>
            </w:r>
            <w:proofErr w:type="gramEnd"/>
            <w:r w:rsidRPr="0FC1C680">
              <w:rPr>
                <w:rFonts w:ascii="Calibri" w:eastAsia="Calibri" w:hAnsi="Calibri" w:cs="Calibri"/>
                <w:sz w:val="20"/>
                <w:szCs w:val="20"/>
                <w:lang w:val="en-US"/>
              </w:rPr>
              <w:t>%</w:t>
            </w:r>
          </w:p>
        </w:tc>
        <w:tc>
          <w:tcPr>
            <w:tcW w:w="2906" w:type="dxa"/>
          </w:tcPr>
          <w:p w14:paraId="5E604416" w14:textId="28111A00" w:rsidR="00111ECF" w:rsidRPr="00261FE7" w:rsidRDefault="00111ECF" w:rsidP="00111ECF">
            <w:pPr>
              <w:spacing w:line="254" w:lineRule="auto"/>
              <w:rPr>
                <w:sz w:val="20"/>
                <w:szCs w:val="20"/>
              </w:rPr>
            </w:pPr>
            <w:r w:rsidRPr="00261FE7">
              <w:rPr>
                <w:sz w:val="20"/>
                <w:szCs w:val="20"/>
              </w:rPr>
              <w:t>Case for action to be taken where variation + or – 10%</w:t>
            </w:r>
          </w:p>
          <w:p w14:paraId="082E10B3" w14:textId="2F46A2A8" w:rsidR="00111ECF" w:rsidRPr="00261FE7" w:rsidRDefault="00111ECF" w:rsidP="00111ECF">
            <w:pPr>
              <w:rPr>
                <w:sz w:val="20"/>
                <w:szCs w:val="20"/>
              </w:rPr>
            </w:pPr>
            <w:r w:rsidRPr="00261FE7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</w:tr>
      <w:tr w:rsidR="00111ECF" w14:paraId="79FEE0FE" w14:textId="77777777" w:rsidTr="006A0D03">
        <w:tc>
          <w:tcPr>
            <w:tcW w:w="627" w:type="dxa"/>
          </w:tcPr>
          <w:p w14:paraId="3F9964AB" w14:textId="25366DE5" w:rsidR="00111ECF" w:rsidRPr="4DF84E5B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F524AF">
              <w:rPr>
                <w:rFonts w:ascii="Calibri" w:eastAsia="Calibri" w:hAnsi="Calibri" w:cs="Calibri"/>
                <w:color w:val="FF0000"/>
                <w:sz w:val="20"/>
                <w:szCs w:val="20"/>
                <w:lang w:val="en-US"/>
              </w:rPr>
              <w:t>3a</w:t>
            </w:r>
          </w:p>
        </w:tc>
        <w:tc>
          <w:tcPr>
            <w:tcW w:w="2505" w:type="dxa"/>
          </w:tcPr>
          <w:p w14:paraId="7AB7BCE0" w14:textId="1FE660EB" w:rsidR="00111ECF" w:rsidRPr="00705188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Forecast annual expenditure (based upon projected expenditure) against the latest quarterly forecast</w:t>
            </w:r>
          </w:p>
        </w:tc>
        <w:tc>
          <w:tcPr>
            <w:tcW w:w="2997" w:type="dxa"/>
          </w:tcPr>
          <w:p w14:paraId="75D5C586" w14:textId="157F2E30" w:rsidR="00111ECF" w:rsidRPr="0FC1C680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Variance between annual forecast expenditure and the latest quarterly forecast</w:t>
            </w:r>
          </w:p>
        </w:tc>
        <w:tc>
          <w:tcPr>
            <w:tcW w:w="1994" w:type="dxa"/>
          </w:tcPr>
          <w:p w14:paraId="2507921A" w14:textId="59C37750" w:rsidR="00111ECF" w:rsidRPr="4DF84E5B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Monthly</w:t>
            </w:r>
          </w:p>
        </w:tc>
        <w:tc>
          <w:tcPr>
            <w:tcW w:w="1605" w:type="dxa"/>
          </w:tcPr>
          <w:p w14:paraId="2E7CC2FE" w14:textId="5C318926" w:rsidR="00111ECF" w:rsidRPr="4DF84E5B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Commercial Team Monthly Financial Reporting</w:t>
            </w:r>
          </w:p>
        </w:tc>
        <w:tc>
          <w:tcPr>
            <w:tcW w:w="1471" w:type="dxa"/>
          </w:tcPr>
          <w:p w14:paraId="0351520F" w14:textId="38947882" w:rsidR="00111ECF" w:rsidRPr="4DF84E5B" w:rsidRDefault="00111ECF" w:rsidP="00111ECF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+ /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- </w:t>
            </w:r>
            <w:r w:rsidRPr="0FC1C680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5</w:t>
            </w:r>
            <w:proofErr w:type="gramEnd"/>
            <w:r w:rsidRPr="0FC1C680">
              <w:rPr>
                <w:rFonts w:ascii="Calibri" w:eastAsia="Calibri" w:hAnsi="Calibri" w:cs="Calibri"/>
                <w:sz w:val="20"/>
                <w:szCs w:val="20"/>
                <w:lang w:val="en-US"/>
              </w:rPr>
              <w:t>%</w:t>
            </w:r>
          </w:p>
        </w:tc>
        <w:tc>
          <w:tcPr>
            <w:tcW w:w="2906" w:type="dxa"/>
          </w:tcPr>
          <w:p w14:paraId="0765A73A" w14:textId="77777777" w:rsidR="00111ECF" w:rsidRPr="00261FE7" w:rsidRDefault="00111ECF" w:rsidP="00111ECF">
            <w:pPr>
              <w:spacing w:line="254" w:lineRule="auto"/>
              <w:rPr>
                <w:sz w:val="20"/>
                <w:szCs w:val="20"/>
              </w:rPr>
            </w:pPr>
            <w:r w:rsidRPr="00261FE7">
              <w:rPr>
                <w:sz w:val="20"/>
                <w:szCs w:val="20"/>
              </w:rPr>
              <w:t>Case for action to be taken where variation + or – 10%</w:t>
            </w:r>
          </w:p>
          <w:p w14:paraId="6A50F54A" w14:textId="598847E5" w:rsidR="00111ECF" w:rsidRDefault="00111ECF" w:rsidP="00111ECF">
            <w:pPr>
              <w:spacing w:line="254" w:lineRule="auto"/>
              <w:jc w:val="center"/>
            </w:pPr>
          </w:p>
          <w:p w14:paraId="61C5BD5F" w14:textId="77777777" w:rsidR="00111ECF" w:rsidRPr="0FC1C680" w:rsidRDefault="00111ECF" w:rsidP="00111EC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111ECF" w14:paraId="38287D71" w14:textId="77777777" w:rsidTr="006A0D03">
        <w:tc>
          <w:tcPr>
            <w:tcW w:w="627" w:type="dxa"/>
          </w:tcPr>
          <w:p w14:paraId="2E6F5837" w14:textId="7D0C67FF" w:rsidR="00111ECF" w:rsidRDefault="00B6798C" w:rsidP="00111ECF">
            <w:r>
              <w:rPr>
                <w:rFonts w:ascii="Calibri" w:eastAsia="Calibri" w:hAnsi="Calibri" w:cs="Calibri"/>
                <w:color w:val="FF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505" w:type="dxa"/>
          </w:tcPr>
          <w:p w14:paraId="4BF532CE" w14:textId="41E2F939" w:rsidR="00111ECF" w:rsidRDefault="00111ECF" w:rsidP="00111ECF">
            <w:r w:rsidRPr="0070518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Resident Satisfaction</w:t>
            </w:r>
          </w:p>
        </w:tc>
        <w:tc>
          <w:tcPr>
            <w:tcW w:w="2997" w:type="dxa"/>
          </w:tcPr>
          <w:p w14:paraId="123F8F79" w14:textId="011DD4ED" w:rsidR="00111ECF" w:rsidRPr="009C31D3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9C31D3">
              <w:rPr>
                <w:sz w:val="20"/>
                <w:szCs w:val="20"/>
              </w:rPr>
              <w:t xml:space="preserve">Resident satisfaction throughout all the different project stages </w:t>
            </w:r>
          </w:p>
        </w:tc>
        <w:tc>
          <w:tcPr>
            <w:tcW w:w="1994" w:type="dxa"/>
          </w:tcPr>
          <w:p w14:paraId="6E3EBE4E" w14:textId="5CE56576" w:rsidR="00111ECF" w:rsidRPr="00567C85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567C85">
              <w:rPr>
                <w:rFonts w:ascii="Calibri" w:eastAsia="Calibri" w:hAnsi="Calibri" w:cs="Calibri"/>
                <w:sz w:val="20"/>
                <w:szCs w:val="20"/>
                <w:lang w:val="en-US"/>
              </w:rPr>
              <w:t>Quarterly</w:t>
            </w:r>
          </w:p>
        </w:tc>
        <w:tc>
          <w:tcPr>
            <w:tcW w:w="1605" w:type="dxa"/>
          </w:tcPr>
          <w:p w14:paraId="7D77127F" w14:textId="6BF86FB8" w:rsidR="00111ECF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Number of Compliments received</w:t>
            </w:r>
          </w:p>
          <w:p w14:paraId="6433E9B3" w14:textId="77777777" w:rsidR="00111ECF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  <w:p w14:paraId="3D29452F" w14:textId="1D9CD735" w:rsidR="00111ECF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292FD634">
              <w:rPr>
                <w:rFonts w:ascii="Calibri" w:eastAsia="Calibri" w:hAnsi="Calibri" w:cs="Calibri"/>
                <w:sz w:val="20"/>
                <w:szCs w:val="20"/>
                <w:lang w:val="en-US"/>
              </w:rPr>
              <w:t>% Complaints upheld</w:t>
            </w:r>
          </w:p>
        </w:tc>
        <w:tc>
          <w:tcPr>
            <w:tcW w:w="1471" w:type="dxa"/>
          </w:tcPr>
          <w:p w14:paraId="1028571E" w14:textId="7AF46466" w:rsidR="00111ECF" w:rsidRDefault="00111ECF" w:rsidP="00111ECF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  <w:p w14:paraId="00E5614F" w14:textId="6D03487A" w:rsidR="00111ECF" w:rsidRDefault="00111ECF" w:rsidP="00111ECF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  <w:p w14:paraId="39BF4FB3" w14:textId="77777777" w:rsidR="00111ECF" w:rsidRDefault="00111ECF" w:rsidP="00111ECF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  <w:p w14:paraId="614B9D75" w14:textId="77777777" w:rsidR="00111ECF" w:rsidRDefault="00111ECF" w:rsidP="00111ECF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  <w:p w14:paraId="546F4430" w14:textId="77777777" w:rsidR="00111ECF" w:rsidRDefault="00111ECF" w:rsidP="00111ECF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  <w:p w14:paraId="40DB3DE5" w14:textId="315974E4" w:rsidR="00111ECF" w:rsidRDefault="00111ECF" w:rsidP="00111ECF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Zero                  </w:t>
            </w:r>
          </w:p>
        </w:tc>
        <w:tc>
          <w:tcPr>
            <w:tcW w:w="2906" w:type="dxa"/>
          </w:tcPr>
          <w:p w14:paraId="0CD1683F" w14:textId="7ED8C326" w:rsidR="00111ECF" w:rsidRDefault="00111ECF" w:rsidP="00111ECF">
            <w:r w:rsidRPr="292FD63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09C737A8" w14:textId="4E9E6991" w:rsidR="00111ECF" w:rsidRDefault="00111ECF" w:rsidP="00111EC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  <w:p w14:paraId="1321C5AD" w14:textId="38B1789D" w:rsidR="00111ECF" w:rsidRDefault="00111ECF" w:rsidP="00111EC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111ECF" w14:paraId="3662DC94" w14:textId="77777777" w:rsidTr="006A0D03">
        <w:tc>
          <w:tcPr>
            <w:tcW w:w="627" w:type="dxa"/>
          </w:tcPr>
          <w:p w14:paraId="738EC743" w14:textId="43324DDB" w:rsidR="00111ECF" w:rsidRDefault="00B6798C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  <w:lang w:val="en-US"/>
              </w:rPr>
              <w:t>4</w:t>
            </w:r>
            <w:r w:rsidR="00111ECF" w:rsidRPr="00EA57EB">
              <w:rPr>
                <w:rFonts w:ascii="Calibri" w:eastAsia="Calibri" w:hAnsi="Calibri" w:cs="Calibri"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2505" w:type="dxa"/>
          </w:tcPr>
          <w:p w14:paraId="477F39D2" w14:textId="0BCFE484" w:rsidR="00111ECF" w:rsidRPr="00705188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Resident Satisfaction Communication Levels</w:t>
            </w:r>
          </w:p>
        </w:tc>
        <w:tc>
          <w:tcPr>
            <w:tcW w:w="2997" w:type="dxa"/>
          </w:tcPr>
          <w:p w14:paraId="76D9F717" w14:textId="335A8264" w:rsidR="00111ECF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Level of comms taking place</w:t>
            </w:r>
          </w:p>
        </w:tc>
        <w:tc>
          <w:tcPr>
            <w:tcW w:w="1994" w:type="dxa"/>
          </w:tcPr>
          <w:p w14:paraId="22E92A57" w14:textId="1ECB2178" w:rsidR="00111ECF" w:rsidRPr="00567C85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567C85">
              <w:rPr>
                <w:rFonts w:ascii="Calibri" w:eastAsia="Calibri" w:hAnsi="Calibri" w:cs="Calibri"/>
                <w:sz w:val="20"/>
                <w:szCs w:val="20"/>
                <w:lang w:val="en-US"/>
              </w:rPr>
              <w:t>Quarterly</w:t>
            </w:r>
          </w:p>
        </w:tc>
        <w:tc>
          <w:tcPr>
            <w:tcW w:w="1605" w:type="dxa"/>
          </w:tcPr>
          <w:p w14:paraId="6609FE2E" w14:textId="527A5F75" w:rsidR="00111ECF" w:rsidRPr="00567C85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567C85">
              <w:rPr>
                <w:rFonts w:ascii="Calibri" w:eastAsia="Calibri" w:hAnsi="Calibri" w:cs="Calibri"/>
                <w:sz w:val="20"/>
                <w:szCs w:val="20"/>
                <w:lang w:val="en-US"/>
              </w:rPr>
              <w:t>No of / level engagements</w:t>
            </w:r>
          </w:p>
        </w:tc>
        <w:tc>
          <w:tcPr>
            <w:tcW w:w="1471" w:type="dxa"/>
          </w:tcPr>
          <w:p w14:paraId="28691BDB" w14:textId="037E2A29" w:rsidR="00111ECF" w:rsidRDefault="00111ECF" w:rsidP="00111ECF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564C97">
              <w:rPr>
                <w:rFonts w:ascii="Calibri" w:eastAsia="Calibri" w:hAnsi="Calibri" w:cs="Calibri"/>
                <w:sz w:val="20"/>
                <w:szCs w:val="20"/>
                <w:lang w:val="en-US"/>
              </w:rPr>
              <w:t>TBC</w:t>
            </w:r>
          </w:p>
        </w:tc>
        <w:tc>
          <w:tcPr>
            <w:tcW w:w="2906" w:type="dxa"/>
          </w:tcPr>
          <w:p w14:paraId="635E5EAC" w14:textId="77777777" w:rsidR="00111ECF" w:rsidRPr="4DF84E5B" w:rsidRDefault="00111ECF" w:rsidP="00111ECF">
            <w:pPr>
              <w:spacing w:line="254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111ECF" w14:paraId="50F29583" w14:textId="77777777" w:rsidTr="006A0D03">
        <w:tc>
          <w:tcPr>
            <w:tcW w:w="627" w:type="dxa"/>
          </w:tcPr>
          <w:p w14:paraId="58C574AE" w14:textId="189DE38D" w:rsidR="00111ECF" w:rsidRPr="4DF84E5B" w:rsidRDefault="00B6798C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  <w:lang w:val="en-US"/>
              </w:rPr>
              <w:t>4</w:t>
            </w:r>
            <w:r w:rsidR="00111ECF" w:rsidRPr="00EA57EB">
              <w:rPr>
                <w:rFonts w:ascii="Calibri" w:eastAsia="Calibri" w:hAnsi="Calibri" w:cs="Calibri"/>
                <w:color w:val="FF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2505" w:type="dxa"/>
          </w:tcPr>
          <w:p w14:paraId="2A1A1A45" w14:textId="1ACF8A3B" w:rsidR="00111ECF" w:rsidRPr="4DF84E5B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705188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Resident Satisfaction </w:t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Survey </w:t>
            </w:r>
            <w:r w:rsidRPr="0070518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Response Levels</w:t>
            </w:r>
          </w:p>
        </w:tc>
        <w:tc>
          <w:tcPr>
            <w:tcW w:w="2997" w:type="dxa"/>
          </w:tcPr>
          <w:p w14:paraId="466E817D" w14:textId="1BB8BCDF" w:rsidR="00111ECF" w:rsidRPr="4DF84E5B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Level of Resident satisfaction survey response</w:t>
            </w:r>
          </w:p>
        </w:tc>
        <w:tc>
          <w:tcPr>
            <w:tcW w:w="1994" w:type="dxa"/>
          </w:tcPr>
          <w:p w14:paraId="186A69A3" w14:textId="486A378C" w:rsidR="00111ECF" w:rsidRPr="292FD634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Scheme end</w:t>
            </w:r>
          </w:p>
        </w:tc>
        <w:tc>
          <w:tcPr>
            <w:tcW w:w="1605" w:type="dxa"/>
          </w:tcPr>
          <w:p w14:paraId="456341CB" w14:textId="2774FD48" w:rsidR="00111ECF" w:rsidRPr="292FD634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Record of response levels</w:t>
            </w:r>
          </w:p>
        </w:tc>
        <w:tc>
          <w:tcPr>
            <w:tcW w:w="1471" w:type="dxa"/>
          </w:tcPr>
          <w:p w14:paraId="0BDFEFB3" w14:textId="4A939B94" w:rsidR="00111ECF" w:rsidRPr="4DF84E5B" w:rsidRDefault="00111ECF" w:rsidP="00111ECF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70%</w:t>
            </w:r>
          </w:p>
        </w:tc>
        <w:tc>
          <w:tcPr>
            <w:tcW w:w="2906" w:type="dxa"/>
          </w:tcPr>
          <w:p w14:paraId="28FB6F89" w14:textId="2600A505" w:rsidR="00111ECF" w:rsidRPr="4DF84E5B" w:rsidRDefault="00111ECF" w:rsidP="00111ECF">
            <w:pPr>
              <w:spacing w:line="254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Managed and monitored by RLO Team</w:t>
            </w:r>
          </w:p>
        </w:tc>
      </w:tr>
      <w:tr w:rsidR="00111ECF" w14:paraId="5663CF38" w14:textId="77777777" w:rsidTr="006A0D03">
        <w:tc>
          <w:tcPr>
            <w:tcW w:w="627" w:type="dxa"/>
          </w:tcPr>
          <w:p w14:paraId="5501154F" w14:textId="3F1B90D1" w:rsidR="00111ECF" w:rsidRPr="00EA57EB" w:rsidRDefault="00B6798C" w:rsidP="00111ECF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  <w:lang w:val="en-US"/>
              </w:rPr>
              <w:t>4</w:t>
            </w:r>
            <w:r w:rsidR="00111ECF" w:rsidRPr="00EA57EB">
              <w:rPr>
                <w:rFonts w:ascii="Calibri" w:eastAsia="Calibri" w:hAnsi="Calibri" w:cs="Calibri"/>
                <w:color w:val="FF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2505" w:type="dxa"/>
          </w:tcPr>
          <w:p w14:paraId="259B6911" w14:textId="4E5290BA" w:rsidR="00111ECF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Resident Satisfaction Survey</w:t>
            </w:r>
          </w:p>
        </w:tc>
        <w:tc>
          <w:tcPr>
            <w:tcW w:w="2997" w:type="dxa"/>
          </w:tcPr>
          <w:p w14:paraId="561A8432" w14:textId="2C0D6603" w:rsidR="00111ECF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Level of Resident Satisfaction</w:t>
            </w:r>
          </w:p>
        </w:tc>
        <w:tc>
          <w:tcPr>
            <w:tcW w:w="1994" w:type="dxa"/>
          </w:tcPr>
          <w:p w14:paraId="524E55E5" w14:textId="71C224B3" w:rsidR="00111ECF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Scheme end</w:t>
            </w:r>
          </w:p>
        </w:tc>
        <w:tc>
          <w:tcPr>
            <w:tcW w:w="1605" w:type="dxa"/>
          </w:tcPr>
          <w:p w14:paraId="224202F7" w14:textId="1066004B" w:rsidR="00111ECF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Record of Satisfaction level</w:t>
            </w:r>
          </w:p>
        </w:tc>
        <w:tc>
          <w:tcPr>
            <w:tcW w:w="1471" w:type="dxa"/>
          </w:tcPr>
          <w:p w14:paraId="5978903A" w14:textId="7B052DA5" w:rsidR="00111ECF" w:rsidRDefault="00111ECF" w:rsidP="00111ECF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90%</w:t>
            </w:r>
          </w:p>
        </w:tc>
        <w:tc>
          <w:tcPr>
            <w:tcW w:w="2906" w:type="dxa"/>
          </w:tcPr>
          <w:p w14:paraId="0141DA64" w14:textId="6231B773" w:rsidR="00111ECF" w:rsidRPr="4DF84E5B" w:rsidRDefault="00111ECF" w:rsidP="00111ECF">
            <w:pPr>
              <w:spacing w:line="254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Satisfaction score obtained via completion of a satisfaction survey by residents</w:t>
            </w:r>
          </w:p>
        </w:tc>
      </w:tr>
      <w:tr w:rsidR="00111ECF" w14:paraId="157CE04C" w14:textId="77777777" w:rsidTr="006A0D03">
        <w:tc>
          <w:tcPr>
            <w:tcW w:w="627" w:type="dxa"/>
          </w:tcPr>
          <w:p w14:paraId="6EC6F54D" w14:textId="604C4BB3" w:rsidR="00111ECF" w:rsidRDefault="00B6798C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05" w:type="dxa"/>
          </w:tcPr>
          <w:p w14:paraId="61BD80E8" w14:textId="7A20066E" w:rsidR="00111ECF" w:rsidRPr="00CF3A48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highlight w:val="yellow"/>
                <w:lang w:val="en-US"/>
              </w:rPr>
            </w:pPr>
            <w:r w:rsidRPr="009D138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Considerate Contractor Sc</w:t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heme</w:t>
            </w:r>
          </w:p>
        </w:tc>
        <w:tc>
          <w:tcPr>
            <w:tcW w:w="2997" w:type="dxa"/>
          </w:tcPr>
          <w:p w14:paraId="3E0740E3" w14:textId="5AE7F27B" w:rsidR="00111ECF" w:rsidRPr="00CF3A48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highlight w:val="yellow"/>
                <w:lang w:val="en-US"/>
              </w:rPr>
            </w:pPr>
            <w:r w:rsidRPr="003E6603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Industry standard score no less than 35 maintained for the duration of the project. </w:t>
            </w:r>
          </w:p>
        </w:tc>
        <w:tc>
          <w:tcPr>
            <w:tcW w:w="1994" w:type="dxa"/>
          </w:tcPr>
          <w:p w14:paraId="375120ED" w14:textId="53660972" w:rsidR="00111ECF" w:rsidRPr="00353D15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353D15">
              <w:rPr>
                <w:rFonts w:ascii="Calibri" w:eastAsia="Calibri" w:hAnsi="Calibri" w:cs="Calibri"/>
                <w:sz w:val="20"/>
                <w:szCs w:val="20"/>
                <w:lang w:val="en-US"/>
              </w:rPr>
              <w:t>Monthly</w:t>
            </w:r>
          </w:p>
        </w:tc>
        <w:tc>
          <w:tcPr>
            <w:tcW w:w="1605" w:type="dxa"/>
          </w:tcPr>
          <w:p w14:paraId="3E69037B" w14:textId="778F098B" w:rsidR="00111ECF" w:rsidRPr="00353D15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353D15">
              <w:rPr>
                <w:rFonts w:ascii="Calibri" w:eastAsia="Calibri" w:hAnsi="Calibri" w:cs="Calibri"/>
                <w:sz w:val="20"/>
                <w:szCs w:val="20"/>
                <w:lang w:val="en-US"/>
              </w:rPr>
              <w:t>CCS Report/Return</w:t>
            </w:r>
          </w:p>
        </w:tc>
        <w:tc>
          <w:tcPr>
            <w:tcW w:w="1471" w:type="dxa"/>
          </w:tcPr>
          <w:p w14:paraId="5DB7684A" w14:textId="11D33FEF" w:rsidR="00111ECF" w:rsidRPr="00CF3A48" w:rsidRDefault="00111ECF" w:rsidP="00111ECF">
            <w:pPr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  <w:lang w:val="en-US"/>
              </w:rPr>
            </w:pPr>
            <w:r w:rsidRPr="00353D15">
              <w:rPr>
                <w:rFonts w:ascii="Calibri" w:eastAsia="Calibri" w:hAnsi="Calibri" w:cs="Calibri"/>
                <w:sz w:val="20"/>
                <w:szCs w:val="20"/>
                <w:lang w:val="en-US"/>
              </w:rPr>
              <w:t>Score &gt; 40</w:t>
            </w:r>
          </w:p>
        </w:tc>
        <w:tc>
          <w:tcPr>
            <w:tcW w:w="2906" w:type="dxa"/>
          </w:tcPr>
          <w:p w14:paraId="6028BA38" w14:textId="71ADEC06" w:rsidR="00111ECF" w:rsidRPr="4DF84E5B" w:rsidRDefault="00111ECF" w:rsidP="00111ECF">
            <w:pPr>
              <w:spacing w:line="254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9C765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Preferred approach single score value, presented monthly with brief details behind any variation from previous month.</w:t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Return submitted to PM by contractor</w:t>
            </w:r>
          </w:p>
        </w:tc>
      </w:tr>
      <w:tr w:rsidR="00111ECF" w14:paraId="2C0A9F29" w14:textId="77777777" w:rsidTr="006A0D03">
        <w:tc>
          <w:tcPr>
            <w:tcW w:w="627" w:type="dxa"/>
          </w:tcPr>
          <w:p w14:paraId="15E129FE" w14:textId="41B8A60F" w:rsidR="00111ECF" w:rsidRDefault="00B6798C" w:rsidP="00111ECF">
            <w:r>
              <w:rPr>
                <w:color w:val="FF0000"/>
              </w:rPr>
              <w:lastRenderedPageBreak/>
              <w:t>6</w:t>
            </w:r>
          </w:p>
        </w:tc>
        <w:tc>
          <w:tcPr>
            <w:tcW w:w="2505" w:type="dxa"/>
          </w:tcPr>
          <w:p w14:paraId="4D4B58B6" w14:textId="39951188" w:rsidR="00111ECF" w:rsidRDefault="00111ECF" w:rsidP="00111ECF">
            <w:r w:rsidRPr="4DF84E5B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Reportable (RIDDOR) Accidents </w:t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/ Reportable Accidents </w:t>
            </w:r>
            <w:r w:rsidRPr="4DF84E5B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and </w:t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Near Misses</w:t>
            </w:r>
          </w:p>
        </w:tc>
        <w:tc>
          <w:tcPr>
            <w:tcW w:w="2997" w:type="dxa"/>
          </w:tcPr>
          <w:p w14:paraId="4CA8EC6E" w14:textId="77777777" w:rsidR="00111ECF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4DF84E5B">
              <w:rPr>
                <w:rFonts w:ascii="Calibri" w:eastAsia="Calibri" w:hAnsi="Calibri" w:cs="Calibri"/>
                <w:sz w:val="20"/>
                <w:szCs w:val="20"/>
                <w:lang w:val="en-US"/>
              </w:rPr>
              <w:t>Number of reportable accidents</w:t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on site until practical completion.</w:t>
            </w:r>
          </w:p>
          <w:p w14:paraId="0783268F" w14:textId="77777777" w:rsidR="00111ECF" w:rsidRPr="00814D82" w:rsidRDefault="00111ECF" w:rsidP="00111ECF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  <w:lang w:val="en-US"/>
              </w:rPr>
            </w:pPr>
            <w:r w:rsidRPr="00814D82"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  <w:lang w:val="en-US"/>
              </w:rPr>
              <w:t xml:space="preserve">Reportable if </w:t>
            </w:r>
          </w:p>
          <w:p w14:paraId="4D6AF352" w14:textId="77777777" w:rsidR="00111ECF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Death has occurred </w:t>
            </w:r>
          </w:p>
          <w:p w14:paraId="1B05738C" w14:textId="77777777" w:rsidR="00111ECF" w:rsidRDefault="00111ECF" w:rsidP="00111ECF">
            <w:pPr>
              <w:outlineLvl w:val="2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14D8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Over-seven-day incapacitation of a worker</w:t>
            </w:r>
          </w:p>
          <w:p w14:paraId="3B2E84C5" w14:textId="77777777" w:rsidR="00111ECF" w:rsidRDefault="00111ECF" w:rsidP="00111ECF">
            <w:pPr>
              <w:pStyle w:val="Heading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7D6A24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Over-three-day incapacitation</w:t>
            </w:r>
            <w:r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 xml:space="preserve"> must be recorded in the site Accident Book </w:t>
            </w:r>
          </w:p>
          <w:p w14:paraId="02A85B47" w14:textId="77777777" w:rsidR="00111ECF" w:rsidRDefault="00111ECF" w:rsidP="00111ECF">
            <w:pPr>
              <w:pStyle w:val="Heading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30D3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Reportable incidents Specified injuries </w:t>
            </w:r>
          </w:p>
          <w:p w14:paraId="0FC260E1" w14:textId="77777777" w:rsidR="00111ECF" w:rsidRPr="00580F1F" w:rsidRDefault="00111ECF" w:rsidP="00111ECF">
            <w:pPr>
              <w:pStyle w:val="ListParagraph"/>
              <w:numPr>
                <w:ilvl w:val="0"/>
                <w:numId w:val="4"/>
              </w:numPr>
              <w:ind w:left="167" w:hanging="167"/>
              <w:textAlignment w:val="baseline"/>
              <w:rPr>
                <w:rFonts w:eastAsia="Times New Roman" w:cstheme="minorHAnsi"/>
                <w:color w:val="111111"/>
                <w:sz w:val="20"/>
                <w:szCs w:val="20"/>
                <w:lang w:eastAsia="en-GB"/>
              </w:rPr>
            </w:pPr>
            <w:r w:rsidRPr="00580F1F">
              <w:rPr>
                <w:rFonts w:eastAsia="Times New Roman" w:cstheme="minorHAnsi"/>
                <w:color w:val="111111"/>
                <w:sz w:val="20"/>
                <w:szCs w:val="20"/>
                <w:lang w:eastAsia="en-GB"/>
              </w:rPr>
              <w:t>Fractures, other than to fingers, thumbs, and toes</w:t>
            </w:r>
          </w:p>
          <w:p w14:paraId="2F0B400E" w14:textId="77777777" w:rsidR="00111ECF" w:rsidRPr="00580F1F" w:rsidRDefault="00111ECF" w:rsidP="00111ECF">
            <w:pPr>
              <w:pStyle w:val="ListParagraph"/>
              <w:numPr>
                <w:ilvl w:val="0"/>
                <w:numId w:val="4"/>
              </w:numPr>
              <w:ind w:left="167" w:hanging="142"/>
              <w:textAlignment w:val="baseline"/>
              <w:rPr>
                <w:rFonts w:eastAsia="Times New Roman" w:cstheme="minorHAnsi"/>
                <w:color w:val="111111"/>
                <w:sz w:val="20"/>
                <w:szCs w:val="20"/>
                <w:lang w:eastAsia="en-GB"/>
              </w:rPr>
            </w:pPr>
            <w:r w:rsidRPr="00580F1F">
              <w:rPr>
                <w:rFonts w:eastAsia="Times New Roman" w:cstheme="minorHAnsi"/>
                <w:color w:val="111111"/>
                <w:sz w:val="20"/>
                <w:szCs w:val="20"/>
                <w:lang w:eastAsia="en-GB"/>
              </w:rPr>
              <w:t>Amputations</w:t>
            </w:r>
          </w:p>
          <w:p w14:paraId="5DA518EC" w14:textId="77777777" w:rsidR="00111ECF" w:rsidRPr="00393A1B" w:rsidRDefault="00111ECF" w:rsidP="00111ECF">
            <w:pPr>
              <w:pStyle w:val="ListParagraph"/>
              <w:numPr>
                <w:ilvl w:val="0"/>
                <w:numId w:val="4"/>
              </w:numPr>
              <w:ind w:left="167" w:hanging="142"/>
              <w:textAlignment w:val="baseline"/>
              <w:rPr>
                <w:rFonts w:eastAsia="Times New Roman" w:cstheme="minorHAnsi"/>
                <w:color w:val="111111"/>
                <w:sz w:val="20"/>
                <w:szCs w:val="20"/>
                <w:lang w:eastAsia="en-GB"/>
              </w:rPr>
            </w:pPr>
            <w:r w:rsidRPr="00347745">
              <w:rPr>
                <w:rFonts w:eastAsia="Times New Roman" w:cstheme="minorHAnsi"/>
                <w:color w:val="111111"/>
                <w:sz w:val="20"/>
                <w:szCs w:val="20"/>
                <w:lang w:eastAsia="en-GB"/>
              </w:rPr>
              <w:t>any injury likely to lead to permanent loss of sight or reduction in sight</w:t>
            </w:r>
          </w:p>
          <w:p w14:paraId="21BA0CA6" w14:textId="77777777" w:rsidR="00111ECF" w:rsidRPr="00393A1B" w:rsidRDefault="00111ECF" w:rsidP="00111ECF">
            <w:pPr>
              <w:pStyle w:val="ListParagraph"/>
              <w:numPr>
                <w:ilvl w:val="0"/>
                <w:numId w:val="4"/>
              </w:numPr>
              <w:ind w:left="167" w:hanging="142"/>
              <w:textAlignment w:val="baseline"/>
              <w:rPr>
                <w:rFonts w:eastAsia="Times New Roman" w:cstheme="minorHAnsi"/>
                <w:color w:val="111111"/>
                <w:sz w:val="20"/>
                <w:szCs w:val="20"/>
                <w:lang w:eastAsia="en-GB"/>
              </w:rPr>
            </w:pPr>
            <w:r w:rsidRPr="00393A1B">
              <w:rPr>
                <w:rFonts w:eastAsia="Times New Roman" w:cstheme="minorHAnsi"/>
                <w:color w:val="111111"/>
                <w:sz w:val="20"/>
                <w:szCs w:val="20"/>
                <w:lang w:eastAsia="en-GB"/>
              </w:rPr>
              <w:t>any crush injury to the head or torso causing damage to the brain or internal organs</w:t>
            </w:r>
          </w:p>
          <w:p w14:paraId="7983F9E4" w14:textId="77777777" w:rsidR="00111ECF" w:rsidRPr="00393A1B" w:rsidRDefault="00111ECF" w:rsidP="00111ECF">
            <w:pPr>
              <w:pStyle w:val="ListParagraph"/>
              <w:numPr>
                <w:ilvl w:val="0"/>
                <w:numId w:val="4"/>
              </w:numPr>
              <w:ind w:left="167" w:hanging="167"/>
              <w:textAlignment w:val="baseline"/>
              <w:rPr>
                <w:rFonts w:eastAsia="Times New Roman" w:cstheme="minorHAnsi"/>
                <w:color w:val="111111"/>
                <w:sz w:val="20"/>
                <w:szCs w:val="20"/>
                <w:lang w:eastAsia="en-GB"/>
              </w:rPr>
            </w:pPr>
            <w:r w:rsidRPr="00393A1B">
              <w:rPr>
                <w:rFonts w:eastAsia="Times New Roman" w:cstheme="minorHAnsi"/>
                <w:color w:val="111111"/>
                <w:sz w:val="20"/>
                <w:szCs w:val="20"/>
                <w:lang w:eastAsia="en-GB"/>
              </w:rPr>
              <w:t>serious burns (including scalding) which:</w:t>
            </w:r>
          </w:p>
          <w:p w14:paraId="5716ABDE" w14:textId="77777777" w:rsidR="00111ECF" w:rsidRPr="0051629C" w:rsidRDefault="00111ECF" w:rsidP="00111ECF">
            <w:pPr>
              <w:ind w:left="167"/>
              <w:textAlignment w:val="baseline"/>
              <w:rPr>
                <w:rFonts w:eastAsia="Times New Roman" w:cstheme="minorHAnsi"/>
                <w:color w:val="111111"/>
                <w:sz w:val="20"/>
                <w:szCs w:val="20"/>
                <w:lang w:eastAsia="en-GB"/>
              </w:rPr>
            </w:pPr>
            <w:r w:rsidRPr="0051629C">
              <w:rPr>
                <w:rFonts w:eastAsia="Times New Roman" w:cstheme="minorHAnsi"/>
                <w:color w:val="111111"/>
                <w:sz w:val="20"/>
                <w:szCs w:val="20"/>
                <w:lang w:eastAsia="en-GB"/>
              </w:rPr>
              <w:t>covers more than 10% of the body</w:t>
            </w:r>
          </w:p>
          <w:p w14:paraId="1BCC5039" w14:textId="77777777" w:rsidR="00111ECF" w:rsidRPr="0051629C" w:rsidRDefault="00111ECF" w:rsidP="00111ECF">
            <w:pPr>
              <w:ind w:left="167"/>
              <w:textAlignment w:val="baseline"/>
              <w:rPr>
                <w:rFonts w:eastAsia="Times New Roman" w:cstheme="minorHAnsi"/>
                <w:color w:val="111111"/>
                <w:sz w:val="20"/>
                <w:szCs w:val="20"/>
                <w:lang w:eastAsia="en-GB"/>
              </w:rPr>
            </w:pPr>
            <w:r w:rsidRPr="0051629C">
              <w:rPr>
                <w:rFonts w:eastAsia="Times New Roman" w:cstheme="minorHAnsi"/>
                <w:color w:val="111111"/>
                <w:sz w:val="20"/>
                <w:szCs w:val="20"/>
                <w:lang w:eastAsia="en-GB"/>
              </w:rPr>
              <w:t>causes significant damage to the eyes,</w:t>
            </w:r>
            <w:r w:rsidRPr="0051629C">
              <w:rPr>
                <w:rFonts w:ascii="Arial" w:eastAsia="Times New Roman" w:hAnsi="Arial" w:cs="Arial"/>
                <w:color w:val="111111"/>
                <w:sz w:val="20"/>
                <w:szCs w:val="20"/>
                <w:lang w:eastAsia="en-GB"/>
              </w:rPr>
              <w:t xml:space="preserve"> </w:t>
            </w:r>
            <w:r w:rsidRPr="0051629C">
              <w:rPr>
                <w:rFonts w:eastAsia="Times New Roman" w:cstheme="minorHAnsi"/>
                <w:color w:val="111111"/>
                <w:sz w:val="20"/>
                <w:szCs w:val="20"/>
                <w:lang w:eastAsia="en-GB"/>
              </w:rPr>
              <w:t xml:space="preserve">respiratory </w:t>
            </w:r>
            <w:proofErr w:type="gramStart"/>
            <w:r w:rsidRPr="0051629C">
              <w:rPr>
                <w:rFonts w:eastAsia="Times New Roman" w:cstheme="minorHAnsi"/>
                <w:color w:val="111111"/>
                <w:sz w:val="20"/>
                <w:szCs w:val="20"/>
                <w:lang w:eastAsia="en-GB"/>
              </w:rPr>
              <w:t>system</w:t>
            </w:r>
            <w:proofErr w:type="gramEnd"/>
            <w:r w:rsidRPr="0051629C">
              <w:rPr>
                <w:rFonts w:eastAsia="Times New Roman" w:cstheme="minorHAnsi"/>
                <w:color w:val="111111"/>
                <w:sz w:val="20"/>
                <w:szCs w:val="20"/>
                <w:lang w:eastAsia="en-GB"/>
              </w:rPr>
              <w:t xml:space="preserve"> or other vital organs</w:t>
            </w:r>
          </w:p>
          <w:p w14:paraId="082E55C1" w14:textId="77777777" w:rsidR="00111ECF" w:rsidRPr="002D5F72" w:rsidRDefault="00111ECF" w:rsidP="00111ECF">
            <w:pPr>
              <w:pStyle w:val="ListParagraph"/>
              <w:numPr>
                <w:ilvl w:val="0"/>
                <w:numId w:val="4"/>
              </w:numPr>
              <w:ind w:left="167" w:hanging="142"/>
              <w:textAlignment w:val="baseline"/>
              <w:rPr>
                <w:rFonts w:eastAsia="Times New Roman" w:cstheme="minorHAnsi"/>
                <w:color w:val="111111"/>
                <w:sz w:val="20"/>
                <w:szCs w:val="20"/>
                <w:lang w:eastAsia="en-GB"/>
              </w:rPr>
            </w:pPr>
            <w:r w:rsidRPr="002D5F72">
              <w:rPr>
                <w:rFonts w:eastAsia="Times New Roman" w:cstheme="minorHAnsi"/>
                <w:color w:val="111111"/>
                <w:sz w:val="20"/>
                <w:szCs w:val="20"/>
                <w:lang w:eastAsia="en-GB"/>
              </w:rPr>
              <w:t>any scalping requiring hospital treatment</w:t>
            </w:r>
          </w:p>
          <w:p w14:paraId="749C85AE" w14:textId="77777777" w:rsidR="00111ECF" w:rsidRPr="00EA1AF7" w:rsidRDefault="00111ECF" w:rsidP="00111ECF">
            <w:pPr>
              <w:pStyle w:val="ListParagraph"/>
              <w:numPr>
                <w:ilvl w:val="0"/>
                <w:numId w:val="4"/>
              </w:numPr>
              <w:ind w:left="167" w:hanging="142"/>
              <w:textAlignment w:val="baseline"/>
              <w:rPr>
                <w:rFonts w:eastAsia="Times New Roman" w:cstheme="minorHAnsi"/>
                <w:color w:val="111111"/>
                <w:sz w:val="20"/>
                <w:szCs w:val="20"/>
                <w:lang w:eastAsia="en-GB"/>
              </w:rPr>
            </w:pPr>
            <w:r w:rsidRPr="00EA1AF7">
              <w:rPr>
                <w:rFonts w:eastAsia="Times New Roman" w:cstheme="minorHAnsi"/>
                <w:color w:val="111111"/>
                <w:sz w:val="20"/>
                <w:szCs w:val="20"/>
                <w:lang w:eastAsia="en-GB"/>
              </w:rPr>
              <w:t>any loss of consciousness caused by head injury or asphyxia</w:t>
            </w:r>
          </w:p>
          <w:p w14:paraId="33C169BC" w14:textId="77777777" w:rsidR="00111ECF" w:rsidRPr="00EA1AF7" w:rsidRDefault="00111ECF" w:rsidP="00111ECF">
            <w:pPr>
              <w:pStyle w:val="ListParagraph"/>
              <w:numPr>
                <w:ilvl w:val="0"/>
                <w:numId w:val="4"/>
              </w:numPr>
              <w:ind w:left="167" w:hanging="142"/>
              <w:textAlignment w:val="baseline"/>
              <w:rPr>
                <w:rFonts w:eastAsia="Times New Roman" w:cstheme="minorHAnsi"/>
                <w:color w:val="111111"/>
                <w:sz w:val="20"/>
                <w:szCs w:val="20"/>
                <w:lang w:eastAsia="en-GB"/>
              </w:rPr>
            </w:pPr>
            <w:r w:rsidRPr="00EA1AF7">
              <w:rPr>
                <w:rFonts w:eastAsia="Times New Roman" w:cstheme="minorHAnsi"/>
                <w:color w:val="111111"/>
                <w:sz w:val="20"/>
                <w:szCs w:val="20"/>
                <w:lang w:eastAsia="en-GB"/>
              </w:rPr>
              <w:t>any other injury arising from working in an enclosed space which:</w:t>
            </w:r>
          </w:p>
          <w:p w14:paraId="1E021F26" w14:textId="77777777" w:rsidR="00111ECF" w:rsidRPr="0051629C" w:rsidRDefault="00111ECF" w:rsidP="00111ECF">
            <w:pPr>
              <w:ind w:left="167"/>
              <w:textAlignment w:val="baseline"/>
              <w:rPr>
                <w:rFonts w:eastAsia="Times New Roman" w:cstheme="minorHAnsi"/>
                <w:color w:val="111111"/>
                <w:sz w:val="20"/>
                <w:szCs w:val="20"/>
                <w:lang w:eastAsia="en-GB"/>
              </w:rPr>
            </w:pPr>
            <w:r w:rsidRPr="0051629C">
              <w:rPr>
                <w:rFonts w:eastAsia="Times New Roman" w:cstheme="minorHAnsi"/>
                <w:color w:val="111111"/>
                <w:sz w:val="20"/>
                <w:szCs w:val="20"/>
                <w:lang w:eastAsia="en-GB"/>
              </w:rPr>
              <w:lastRenderedPageBreak/>
              <w:t>leads to hypothermia or heat-induced illness</w:t>
            </w:r>
          </w:p>
          <w:p w14:paraId="5271C414" w14:textId="4723BD08" w:rsidR="00111ECF" w:rsidRDefault="00111ECF" w:rsidP="00111ECF">
            <w:pPr>
              <w:ind w:left="167"/>
              <w:textAlignment w:val="baseline"/>
              <w:rPr>
                <w:rFonts w:eastAsia="Times New Roman" w:cstheme="minorHAnsi"/>
                <w:color w:val="111111"/>
                <w:sz w:val="20"/>
                <w:szCs w:val="20"/>
                <w:lang w:eastAsia="en-GB"/>
              </w:rPr>
            </w:pPr>
            <w:r w:rsidRPr="0051629C">
              <w:rPr>
                <w:rFonts w:eastAsia="Times New Roman" w:cstheme="minorHAnsi"/>
                <w:color w:val="111111"/>
                <w:sz w:val="20"/>
                <w:szCs w:val="20"/>
                <w:lang w:eastAsia="en-GB"/>
              </w:rPr>
              <w:t>requires resuscitation or admittance to hospital for more than 24 hours</w:t>
            </w:r>
          </w:p>
          <w:p w14:paraId="4117C5B5" w14:textId="48087683" w:rsidR="00D33FDA" w:rsidRDefault="00D33FDA" w:rsidP="00111ECF">
            <w:pPr>
              <w:ind w:left="167"/>
              <w:textAlignment w:val="baseline"/>
              <w:rPr>
                <w:rFonts w:eastAsia="Times New Roman" w:cstheme="minorHAnsi"/>
                <w:color w:val="111111"/>
                <w:sz w:val="20"/>
                <w:szCs w:val="20"/>
                <w:lang w:eastAsia="en-GB"/>
              </w:rPr>
            </w:pPr>
          </w:p>
          <w:p w14:paraId="07B75D8E" w14:textId="39385ABC" w:rsidR="00D33FDA" w:rsidRDefault="00D33FDA" w:rsidP="00111ECF">
            <w:pPr>
              <w:ind w:left="167"/>
              <w:textAlignment w:val="baseline"/>
              <w:rPr>
                <w:rFonts w:eastAsia="Times New Roman" w:cstheme="minorHAnsi"/>
                <w:color w:val="11111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111111"/>
                <w:sz w:val="20"/>
                <w:szCs w:val="20"/>
                <w:lang w:eastAsia="en-GB"/>
              </w:rPr>
              <w:t>Near Misses</w:t>
            </w:r>
          </w:p>
          <w:p w14:paraId="41FDB6F0" w14:textId="3D5FEA75" w:rsidR="00D33FDA" w:rsidRDefault="00D33FDA" w:rsidP="00111ECF">
            <w:pPr>
              <w:ind w:left="167"/>
              <w:textAlignment w:val="baseline"/>
              <w:rPr>
                <w:rFonts w:eastAsia="Times New Roman" w:cstheme="minorHAnsi"/>
                <w:color w:val="111111"/>
                <w:sz w:val="20"/>
                <w:szCs w:val="20"/>
                <w:lang w:eastAsia="en-GB"/>
              </w:rPr>
            </w:pPr>
          </w:p>
          <w:p w14:paraId="23B2591B" w14:textId="4D63748F" w:rsidR="00D33FDA" w:rsidRPr="0051629C" w:rsidRDefault="00D33FDA" w:rsidP="00111ECF">
            <w:pPr>
              <w:ind w:left="167"/>
              <w:textAlignment w:val="baseline"/>
              <w:rPr>
                <w:rFonts w:eastAsia="Times New Roman" w:cstheme="minorHAnsi"/>
                <w:color w:val="11111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111111"/>
                <w:sz w:val="20"/>
                <w:szCs w:val="20"/>
                <w:lang w:eastAsia="en-GB"/>
              </w:rPr>
              <w:t xml:space="preserve">HSE </w:t>
            </w:r>
            <w:r w:rsidR="00F05075">
              <w:rPr>
                <w:rFonts w:eastAsia="Times New Roman" w:cstheme="minorHAnsi"/>
                <w:color w:val="111111"/>
                <w:sz w:val="20"/>
                <w:szCs w:val="20"/>
                <w:lang w:eastAsia="en-GB"/>
              </w:rPr>
              <w:t>Non-Conformances raised</w:t>
            </w:r>
          </w:p>
          <w:p w14:paraId="717C13D8" w14:textId="77777777" w:rsidR="00111ECF" w:rsidRPr="00930D35" w:rsidRDefault="00111ECF" w:rsidP="00111ECF">
            <w:pPr>
              <w:pStyle w:val="Heading3"/>
              <w:spacing w:before="0" w:beforeAutospacing="0" w:after="0" w:afterAutospacing="0"/>
              <w:outlineLvl w:val="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0124AD7" w14:textId="77777777" w:rsidR="00111ECF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Timelines and competency of Contractors response to incident and mitigations arising from incidents and near misses.</w:t>
            </w:r>
          </w:p>
          <w:p w14:paraId="3D402554" w14:textId="3A5578C8" w:rsidR="00111ECF" w:rsidRDefault="00111ECF" w:rsidP="00111ECF"/>
        </w:tc>
        <w:tc>
          <w:tcPr>
            <w:tcW w:w="1994" w:type="dxa"/>
          </w:tcPr>
          <w:p w14:paraId="23B75CE6" w14:textId="0AA8E543" w:rsidR="00111ECF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292FD634">
              <w:rPr>
                <w:rFonts w:ascii="Calibri" w:eastAsia="Calibri" w:hAnsi="Calibri" w:cs="Calibri"/>
                <w:sz w:val="20"/>
                <w:szCs w:val="20"/>
                <w:lang w:val="en-US"/>
              </w:rPr>
              <w:lastRenderedPageBreak/>
              <w:t xml:space="preserve">Monthly </w:t>
            </w:r>
          </w:p>
        </w:tc>
        <w:tc>
          <w:tcPr>
            <w:tcW w:w="1605" w:type="dxa"/>
          </w:tcPr>
          <w:p w14:paraId="68D1EBBB" w14:textId="206A9167" w:rsidR="00111ECF" w:rsidRDefault="00111ECF" w:rsidP="00111ECF"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Immediate Reporting</w:t>
            </w:r>
          </w:p>
        </w:tc>
        <w:tc>
          <w:tcPr>
            <w:tcW w:w="1471" w:type="dxa"/>
          </w:tcPr>
          <w:p w14:paraId="3AF3FA9B" w14:textId="08745E56" w:rsidR="00111ECF" w:rsidRDefault="00111ECF" w:rsidP="00111ECF">
            <w:pPr>
              <w:jc w:val="center"/>
            </w:pPr>
            <w:r w:rsidRPr="4DF84E5B">
              <w:rPr>
                <w:rFonts w:ascii="Calibri" w:eastAsia="Calibri" w:hAnsi="Calibri" w:cs="Calibri"/>
                <w:sz w:val="20"/>
                <w:szCs w:val="20"/>
                <w:lang w:val="en-US"/>
              </w:rPr>
              <w:t>0</w:t>
            </w:r>
          </w:p>
        </w:tc>
        <w:tc>
          <w:tcPr>
            <w:tcW w:w="2906" w:type="dxa"/>
          </w:tcPr>
          <w:p w14:paraId="188A69D4" w14:textId="1F07044F" w:rsidR="00111ECF" w:rsidRPr="00A006BF" w:rsidRDefault="00111ECF" w:rsidP="00111ECF">
            <w:pPr>
              <w:spacing w:line="254" w:lineRule="auto"/>
              <w:rPr>
                <w:sz w:val="20"/>
                <w:szCs w:val="20"/>
              </w:rPr>
            </w:pPr>
            <w:r w:rsidRPr="00526CCC">
              <w:rPr>
                <w:sz w:val="20"/>
                <w:szCs w:val="20"/>
              </w:rPr>
              <w:t xml:space="preserve">Scorecard approach recommended. Performance measure on reportable incidents and how responded to. Reference to CDM toolkit. </w:t>
            </w:r>
            <w:r>
              <w:rPr>
                <w:sz w:val="20"/>
                <w:szCs w:val="20"/>
              </w:rPr>
              <w:t>Raised with H&amp;S (I Walkling) awaiting response</w:t>
            </w:r>
          </w:p>
          <w:p w14:paraId="4B6C4AF0" w14:textId="4B52D138" w:rsidR="00111ECF" w:rsidRDefault="00111ECF" w:rsidP="00111ECF">
            <w:pPr>
              <w:spacing w:line="254" w:lineRule="auto"/>
            </w:pPr>
            <w:r w:rsidRPr="4DF84E5B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487F04F5" w14:textId="4CDFC577" w:rsidR="00111ECF" w:rsidRDefault="00111ECF" w:rsidP="00111ECF">
            <w:pPr>
              <w:spacing w:line="254" w:lineRule="auto"/>
            </w:pPr>
            <w:r w:rsidRPr="4DF84E5B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</w:tr>
      <w:tr w:rsidR="00111ECF" w14:paraId="48023C5B" w14:textId="77777777" w:rsidTr="006A0D03">
        <w:tc>
          <w:tcPr>
            <w:tcW w:w="627" w:type="dxa"/>
          </w:tcPr>
          <w:p w14:paraId="63F06793" w14:textId="759E3EDC" w:rsidR="00111ECF" w:rsidRDefault="00B6798C" w:rsidP="00111ECF">
            <w:r>
              <w:rPr>
                <w:rFonts w:ascii="Calibri" w:eastAsia="Calibri" w:hAnsi="Calibri" w:cs="Calibri"/>
                <w:color w:val="FF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2505" w:type="dxa"/>
          </w:tcPr>
          <w:p w14:paraId="541E5B26" w14:textId="4EFDF450" w:rsidR="00111ECF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292FD634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Social Value   </w:t>
            </w:r>
          </w:p>
        </w:tc>
        <w:tc>
          <w:tcPr>
            <w:tcW w:w="2997" w:type="dxa"/>
          </w:tcPr>
          <w:p w14:paraId="20289B92" w14:textId="55BB21ED" w:rsidR="00111ECF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292FD634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Progress </w:t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of delivery on </w:t>
            </w:r>
            <w:r w:rsidRPr="292FD634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jointly agreed </w:t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S</w:t>
            </w:r>
            <w:r w:rsidRPr="292FD634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ocial </w:t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V</w:t>
            </w:r>
            <w:r w:rsidRPr="292FD634">
              <w:rPr>
                <w:rFonts w:ascii="Calibri" w:eastAsia="Calibri" w:hAnsi="Calibri" w:cs="Calibri"/>
                <w:sz w:val="20"/>
                <w:szCs w:val="20"/>
                <w:lang w:val="en-US"/>
              </w:rPr>
              <w:t>alue initiatives.</w:t>
            </w:r>
          </w:p>
        </w:tc>
        <w:tc>
          <w:tcPr>
            <w:tcW w:w="1994" w:type="dxa"/>
          </w:tcPr>
          <w:p w14:paraId="55A31E63" w14:textId="6868FBA7" w:rsidR="00111ECF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292FD634">
              <w:rPr>
                <w:rFonts w:ascii="Calibri" w:eastAsia="Calibri" w:hAnsi="Calibri" w:cs="Calibri"/>
                <w:sz w:val="20"/>
                <w:szCs w:val="20"/>
                <w:lang w:val="en-US"/>
              </w:rPr>
              <w:t>Quarterly</w:t>
            </w:r>
          </w:p>
        </w:tc>
        <w:tc>
          <w:tcPr>
            <w:tcW w:w="1605" w:type="dxa"/>
          </w:tcPr>
          <w:p w14:paraId="53B88274" w14:textId="1E4C216E" w:rsidR="00111ECF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292FD634">
              <w:rPr>
                <w:rFonts w:ascii="Calibri" w:eastAsia="Calibri" w:hAnsi="Calibri" w:cs="Calibri"/>
                <w:sz w:val="20"/>
                <w:szCs w:val="20"/>
                <w:lang w:val="en-US"/>
              </w:rPr>
              <w:t>Quarterly report</w:t>
            </w:r>
          </w:p>
        </w:tc>
        <w:tc>
          <w:tcPr>
            <w:tcW w:w="1471" w:type="dxa"/>
          </w:tcPr>
          <w:p w14:paraId="29699B4F" w14:textId="7A4BC09B" w:rsidR="00111ECF" w:rsidRDefault="00111ECF" w:rsidP="00111ECF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100%</w:t>
            </w:r>
            <w:r w:rsidRPr="292FD634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06" w:type="dxa"/>
          </w:tcPr>
          <w:p w14:paraId="28757DEE" w14:textId="60013B99" w:rsidR="00111ECF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292FD634">
              <w:rPr>
                <w:rFonts w:ascii="Calibri" w:eastAsia="Calibri" w:hAnsi="Calibri" w:cs="Calibri"/>
                <w:sz w:val="20"/>
                <w:szCs w:val="20"/>
                <w:lang w:val="en-US"/>
              </w:rPr>
              <w:t>To be set on an individual project basis</w:t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. Agreed at appointment stage forming part of contract service delivery.</w:t>
            </w:r>
          </w:p>
        </w:tc>
      </w:tr>
      <w:tr w:rsidR="00111ECF" w14:paraId="69E880C4" w14:textId="77777777" w:rsidTr="006A0D03">
        <w:tc>
          <w:tcPr>
            <w:tcW w:w="627" w:type="dxa"/>
          </w:tcPr>
          <w:p w14:paraId="62F79AA2" w14:textId="3B743090" w:rsidR="00111ECF" w:rsidRDefault="00B6798C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2505" w:type="dxa"/>
          </w:tcPr>
          <w:p w14:paraId="4FF41CF5" w14:textId="2C174856" w:rsidR="00111ECF" w:rsidRPr="292FD634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Waste Management</w:t>
            </w:r>
          </w:p>
        </w:tc>
        <w:tc>
          <w:tcPr>
            <w:tcW w:w="2997" w:type="dxa"/>
          </w:tcPr>
          <w:p w14:paraId="6307B041" w14:textId="4F7C14DD" w:rsidR="00111ECF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Provide waste management plan and waste certificates including audit trail of waste</w:t>
            </w:r>
          </w:p>
        </w:tc>
        <w:tc>
          <w:tcPr>
            <w:tcW w:w="1994" w:type="dxa"/>
          </w:tcPr>
          <w:p w14:paraId="390191DE" w14:textId="41CF5250" w:rsidR="00111ECF" w:rsidRPr="292FD634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Quarterly</w:t>
            </w:r>
          </w:p>
        </w:tc>
        <w:tc>
          <w:tcPr>
            <w:tcW w:w="1605" w:type="dxa"/>
          </w:tcPr>
          <w:p w14:paraId="0C45CCD7" w14:textId="321B4134" w:rsidR="00111ECF" w:rsidRPr="292FD634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Report</w:t>
            </w:r>
          </w:p>
        </w:tc>
        <w:tc>
          <w:tcPr>
            <w:tcW w:w="1471" w:type="dxa"/>
          </w:tcPr>
          <w:p w14:paraId="6CD009C0" w14:textId="689B959A" w:rsidR="00111ECF" w:rsidRPr="292FD634" w:rsidRDefault="00111ECF" w:rsidP="00111ECF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100%</w:t>
            </w:r>
          </w:p>
        </w:tc>
        <w:tc>
          <w:tcPr>
            <w:tcW w:w="2906" w:type="dxa"/>
          </w:tcPr>
          <w:p w14:paraId="04130D0E" w14:textId="44C1B8DB" w:rsidR="00111ECF" w:rsidRPr="006747DE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6747DE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Link to CDM toolkit. Clear, evidenced audit trail required covering both waste management and what is being diverted from landfill </w:t>
            </w:r>
          </w:p>
        </w:tc>
      </w:tr>
      <w:tr w:rsidR="00111ECF" w14:paraId="266F398D" w14:textId="77777777" w:rsidTr="006A0D03">
        <w:tc>
          <w:tcPr>
            <w:tcW w:w="627" w:type="dxa"/>
          </w:tcPr>
          <w:p w14:paraId="147DBEAB" w14:textId="594D276F" w:rsidR="00111ECF" w:rsidRDefault="00B6798C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  <w:lang w:val="en-US"/>
              </w:rPr>
              <w:t>8</w:t>
            </w:r>
            <w:r w:rsidR="00111ECF" w:rsidRPr="00EA57EB">
              <w:rPr>
                <w:rFonts w:ascii="Calibri" w:eastAsia="Calibri" w:hAnsi="Calibri" w:cs="Calibri"/>
                <w:color w:val="FF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2505" w:type="dxa"/>
          </w:tcPr>
          <w:p w14:paraId="370869C8" w14:textId="54BEAEC5" w:rsidR="00111ECF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Waste Recycling </w:t>
            </w:r>
          </w:p>
        </w:tc>
        <w:tc>
          <w:tcPr>
            <w:tcW w:w="2997" w:type="dxa"/>
          </w:tcPr>
          <w:p w14:paraId="58CEF851" w14:textId="4B671DD7" w:rsidR="00111ECF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Recycling of site materials rather </w:t>
            </w:r>
            <w:r w:rsidRPr="00353D15">
              <w:rPr>
                <w:rFonts w:ascii="Calibri" w:eastAsia="Calibri" w:hAnsi="Calibri" w:cs="Calibri"/>
                <w:sz w:val="20"/>
                <w:szCs w:val="20"/>
                <w:lang w:val="en-US"/>
              </w:rPr>
              <w:t>than just disposal. This would be a percentage based upon the total waste management</w:t>
            </w:r>
          </w:p>
        </w:tc>
        <w:tc>
          <w:tcPr>
            <w:tcW w:w="1994" w:type="dxa"/>
          </w:tcPr>
          <w:p w14:paraId="17193364" w14:textId="409F1DC7" w:rsidR="00111ECF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Quarterly</w:t>
            </w:r>
          </w:p>
        </w:tc>
        <w:tc>
          <w:tcPr>
            <w:tcW w:w="1605" w:type="dxa"/>
          </w:tcPr>
          <w:p w14:paraId="3CD52F63" w14:textId="1C2FAE88" w:rsidR="00111ECF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Report</w:t>
            </w:r>
          </w:p>
        </w:tc>
        <w:tc>
          <w:tcPr>
            <w:tcW w:w="1471" w:type="dxa"/>
          </w:tcPr>
          <w:p w14:paraId="5987BB4F" w14:textId="3E8948C5" w:rsidR="00111ECF" w:rsidRDefault="00111ECF" w:rsidP="00111ECF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1170C2">
              <w:rPr>
                <w:rFonts w:ascii="Calibri" w:eastAsia="Calibri" w:hAnsi="Calibri" w:cs="Calibri"/>
                <w:sz w:val="20"/>
                <w:szCs w:val="20"/>
                <w:lang w:val="en-US"/>
              </w:rPr>
              <w:t>80</w:t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%</w:t>
            </w:r>
          </w:p>
        </w:tc>
        <w:tc>
          <w:tcPr>
            <w:tcW w:w="2906" w:type="dxa"/>
          </w:tcPr>
          <w:p w14:paraId="4729B771" w14:textId="2BF7BA01" w:rsidR="00111ECF" w:rsidRPr="292FD634" w:rsidRDefault="00111E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Target figure sourced from Project Union. Responsibility for setting target levels? At corporate or project level? </w:t>
            </w:r>
          </w:p>
        </w:tc>
      </w:tr>
      <w:tr w:rsidR="00DD6894" w14:paraId="6314FDE7" w14:textId="77777777" w:rsidTr="006A0D03">
        <w:tc>
          <w:tcPr>
            <w:tcW w:w="627" w:type="dxa"/>
          </w:tcPr>
          <w:p w14:paraId="2A7D49D0" w14:textId="375D6BEC" w:rsidR="00DD6894" w:rsidRDefault="00DD6894" w:rsidP="00111ECF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2505" w:type="dxa"/>
          </w:tcPr>
          <w:p w14:paraId="72FD9B9A" w14:textId="77777777" w:rsidR="00DD6894" w:rsidRDefault="00DD6894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Energy efficient retrofit</w:t>
            </w:r>
            <w:r w:rsidR="00AE51CF">
              <w:rPr>
                <w:rFonts w:ascii="Calibri" w:eastAsia="Calibri" w:hAnsi="Calibri" w:cs="Calibri"/>
                <w:sz w:val="20"/>
                <w:szCs w:val="20"/>
                <w:lang w:val="en-US"/>
              </w:rPr>
              <w:t>/</w:t>
            </w:r>
          </w:p>
          <w:p w14:paraId="23856C22" w14:textId="0EBF0B6E" w:rsidR="00AE51CF" w:rsidRDefault="00AE51CF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Low energy retrofit</w:t>
            </w:r>
          </w:p>
        </w:tc>
        <w:tc>
          <w:tcPr>
            <w:tcW w:w="2997" w:type="dxa"/>
          </w:tcPr>
          <w:p w14:paraId="50921756" w14:textId="7EB9B6C9" w:rsidR="00DD6894" w:rsidRDefault="0065731A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No.</w:t>
            </w:r>
            <w:r w:rsidR="00CA41D7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of</w:t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homes have been upgraded to EPC C</w:t>
            </w:r>
          </w:p>
        </w:tc>
        <w:tc>
          <w:tcPr>
            <w:tcW w:w="1994" w:type="dxa"/>
          </w:tcPr>
          <w:p w14:paraId="0F9626EC" w14:textId="621F549B" w:rsidR="00DD6894" w:rsidRDefault="00DD6894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Quarterly</w:t>
            </w:r>
          </w:p>
        </w:tc>
        <w:tc>
          <w:tcPr>
            <w:tcW w:w="1605" w:type="dxa"/>
          </w:tcPr>
          <w:p w14:paraId="0E5FD5B3" w14:textId="07884FBC" w:rsidR="00DD6894" w:rsidRDefault="001954A2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Scorecard</w:t>
            </w:r>
            <w:r w:rsidR="007343D0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71" w:type="dxa"/>
          </w:tcPr>
          <w:p w14:paraId="0D95DCB8" w14:textId="737257A7" w:rsidR="00DD6894" w:rsidRPr="001170C2" w:rsidRDefault="0083695F" w:rsidP="00111ECF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3</w:t>
            </w:r>
            <w:r w:rsidR="0065731A">
              <w:rPr>
                <w:rFonts w:ascii="Calibri" w:eastAsia="Calibri" w:hAnsi="Calibri" w:cs="Calibri"/>
                <w:sz w:val="20"/>
                <w:szCs w:val="20"/>
                <w:lang w:val="en-US"/>
              </w:rPr>
              <w:t>00 / year</w:t>
            </w:r>
          </w:p>
        </w:tc>
        <w:tc>
          <w:tcPr>
            <w:tcW w:w="2906" w:type="dxa"/>
          </w:tcPr>
          <w:p w14:paraId="127835EC" w14:textId="70C93001" w:rsidR="000753B6" w:rsidRPr="000753B6" w:rsidRDefault="000753B6" w:rsidP="000753B6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This is m</w:t>
            </w:r>
            <w:r w:rsidR="0083695F">
              <w:rPr>
                <w:rFonts w:ascii="Calibri" w:eastAsia="Calibri" w:hAnsi="Calibri" w:cs="Calibri"/>
                <w:sz w:val="20"/>
                <w:szCs w:val="20"/>
                <w:lang w:val="en-US"/>
              </w:rPr>
              <w:t>inimum target</w:t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  <w:r w:rsidR="0083695F">
              <w:rPr>
                <w:rFonts w:ascii="Calibri" w:eastAsia="Calibri" w:hAnsi="Calibri" w:cs="Calibri"/>
                <w:sz w:val="20"/>
                <w:szCs w:val="20"/>
                <w:lang w:val="en-US"/>
              </w:rPr>
              <w:t>requirement to meet EPC C by 2030 for social housing providers</w:t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, </w:t>
            </w:r>
            <w:r w:rsidR="005020D5">
              <w:rPr>
                <w:rFonts w:ascii="Calibri" w:eastAsia="Calibri" w:hAnsi="Calibri" w:cs="Calibri"/>
                <w:sz w:val="20"/>
                <w:szCs w:val="20"/>
                <w:lang w:val="en-US"/>
              </w:rPr>
              <w:t>on</w:t>
            </w:r>
            <w:r w:rsidR="00883203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fail</w:t>
            </w:r>
            <w:r w:rsidR="005020D5">
              <w:rPr>
                <w:rFonts w:ascii="Calibri" w:eastAsia="Calibri" w:hAnsi="Calibri" w:cs="Calibri"/>
                <w:sz w:val="20"/>
                <w:szCs w:val="20"/>
                <w:lang w:val="en-US"/>
              </w:rPr>
              <w:t>ing</w:t>
            </w:r>
            <w:r w:rsidR="00883203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to meet this target, </w:t>
            </w:r>
            <w:r w:rsidR="003C69D4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PMs </w:t>
            </w:r>
            <w:r w:rsidRPr="000753B6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will be required to provide an action plan to remedy </w:t>
            </w:r>
            <w:r w:rsidR="0028113D">
              <w:rPr>
                <w:rFonts w:ascii="Calibri" w:eastAsia="Calibri" w:hAnsi="Calibri" w:cs="Calibri"/>
                <w:sz w:val="20"/>
                <w:szCs w:val="20"/>
                <w:lang w:val="en-US"/>
              </w:rPr>
              <w:t>target meeting</w:t>
            </w:r>
            <w:r w:rsidR="00BE4980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. </w:t>
            </w:r>
            <w:r w:rsidRPr="000753B6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This </w:t>
            </w:r>
            <w:r w:rsidRPr="000753B6">
              <w:rPr>
                <w:rFonts w:ascii="Calibri" w:eastAsia="Calibri" w:hAnsi="Calibri" w:cs="Calibri"/>
                <w:sz w:val="20"/>
                <w:szCs w:val="20"/>
                <w:lang w:val="en-US"/>
              </w:rPr>
              <w:lastRenderedPageBreak/>
              <w:t>may result in a core group meeting to discuss failures.</w:t>
            </w:r>
          </w:p>
          <w:p w14:paraId="28B95668" w14:textId="77777777" w:rsidR="000753B6" w:rsidRPr="000753B6" w:rsidRDefault="000753B6" w:rsidP="000753B6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  <w:p w14:paraId="49412428" w14:textId="441F5B4D" w:rsidR="00DD6894" w:rsidRDefault="000753B6" w:rsidP="000753B6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0753B6">
              <w:rPr>
                <w:rFonts w:ascii="Calibri" w:eastAsia="Calibri" w:hAnsi="Calibri" w:cs="Calibri"/>
                <w:sz w:val="20"/>
                <w:szCs w:val="20"/>
                <w:lang w:val="en-US"/>
              </w:rPr>
              <w:t>Where, after an action plan request and implementation, performance continues to be below</w:t>
            </w:r>
            <w:r w:rsidR="00092581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  <w:r w:rsidR="00B1114E" w:rsidRPr="000753B6">
              <w:rPr>
                <w:rFonts w:ascii="Calibri" w:eastAsia="Calibri" w:hAnsi="Calibri" w:cs="Calibri"/>
                <w:sz w:val="20"/>
                <w:szCs w:val="20"/>
                <w:lang w:val="en-US"/>
              </w:rPr>
              <w:t>targeted</w:t>
            </w:r>
            <w:r w:rsidRPr="000753B6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, matter to be escalated to senior management level. </w:t>
            </w:r>
          </w:p>
        </w:tc>
      </w:tr>
      <w:tr w:rsidR="00DD6894" w14:paraId="69752072" w14:textId="77777777" w:rsidTr="006A0D03">
        <w:tc>
          <w:tcPr>
            <w:tcW w:w="627" w:type="dxa"/>
          </w:tcPr>
          <w:p w14:paraId="7E6E3B89" w14:textId="6427FB2B" w:rsidR="00DD6894" w:rsidRDefault="00DD6894" w:rsidP="00111ECF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  <w:lang w:val="en-US"/>
              </w:rPr>
              <w:lastRenderedPageBreak/>
              <w:t>9a</w:t>
            </w:r>
          </w:p>
        </w:tc>
        <w:tc>
          <w:tcPr>
            <w:tcW w:w="2505" w:type="dxa"/>
          </w:tcPr>
          <w:p w14:paraId="3D3E6E07" w14:textId="77777777" w:rsidR="00DD6894" w:rsidRDefault="00DD6894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Net zero target</w:t>
            </w:r>
          </w:p>
          <w:p w14:paraId="65EEEAD5" w14:textId="12CAC21F" w:rsidR="00A06C9E" w:rsidRDefault="00A06C9E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(Caveat on cost)</w:t>
            </w:r>
          </w:p>
        </w:tc>
        <w:tc>
          <w:tcPr>
            <w:tcW w:w="2997" w:type="dxa"/>
          </w:tcPr>
          <w:p w14:paraId="19B3D528" w14:textId="4C390F7B" w:rsidR="00DD6894" w:rsidRDefault="007343D0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CO2</w:t>
            </w:r>
            <w:r w:rsidR="00AE51CF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e</w:t>
            </w:r>
            <w:r w:rsidR="00AE51CF">
              <w:rPr>
                <w:rFonts w:ascii="Calibri" w:eastAsia="Calibri" w:hAnsi="Calibri" w:cs="Calibri"/>
                <w:sz w:val="20"/>
                <w:szCs w:val="20"/>
                <w:lang w:val="en-US"/>
              </w:rPr>
              <w:t>mission</w:t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saving</w:t>
            </w:r>
            <w:r w:rsidR="00AE51CF">
              <w:rPr>
                <w:rFonts w:ascii="Calibri" w:eastAsia="Calibri" w:hAnsi="Calibri" w:cs="Calibri"/>
                <w:sz w:val="20"/>
                <w:szCs w:val="20"/>
                <w:lang w:val="en-US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compared to pre-project</w:t>
            </w:r>
          </w:p>
        </w:tc>
        <w:tc>
          <w:tcPr>
            <w:tcW w:w="1994" w:type="dxa"/>
          </w:tcPr>
          <w:p w14:paraId="230528F7" w14:textId="33C907B6" w:rsidR="00DD6894" w:rsidRDefault="007343D0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Quarterly</w:t>
            </w:r>
          </w:p>
        </w:tc>
        <w:tc>
          <w:tcPr>
            <w:tcW w:w="1605" w:type="dxa"/>
          </w:tcPr>
          <w:p w14:paraId="18013F82" w14:textId="040BE8F1" w:rsidR="00DD6894" w:rsidRDefault="001954A2" w:rsidP="00111ECF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Scorecard</w:t>
            </w:r>
          </w:p>
        </w:tc>
        <w:tc>
          <w:tcPr>
            <w:tcW w:w="1471" w:type="dxa"/>
          </w:tcPr>
          <w:p w14:paraId="02EE256A" w14:textId="58E48617" w:rsidR="00DD6894" w:rsidRPr="001170C2" w:rsidRDefault="007F4D93" w:rsidP="00111ECF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2</w:t>
            </w:r>
            <w:r w:rsidR="0083695F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0% </w:t>
            </w:r>
            <w:r w:rsidR="00775889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CO2 </w:t>
            </w:r>
            <w:r w:rsidR="0083695F">
              <w:rPr>
                <w:rFonts w:ascii="Calibri" w:eastAsia="Calibri" w:hAnsi="Calibri" w:cs="Calibri"/>
                <w:sz w:val="20"/>
                <w:szCs w:val="20"/>
                <w:lang w:val="en-US"/>
              </w:rPr>
              <w:t>savings</w:t>
            </w:r>
          </w:p>
        </w:tc>
        <w:tc>
          <w:tcPr>
            <w:tcW w:w="2906" w:type="dxa"/>
          </w:tcPr>
          <w:p w14:paraId="38C0BC51" w14:textId="24C8895B" w:rsidR="00B1114E" w:rsidRPr="00B1114E" w:rsidRDefault="001F6F8C" w:rsidP="00B1114E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O</w:t>
            </w:r>
            <w:r w:rsidR="00B1114E" w:rsidRPr="00B1114E">
              <w:rPr>
                <w:rFonts w:ascii="Calibri" w:eastAsia="Calibri" w:hAnsi="Calibri" w:cs="Calibri"/>
                <w:sz w:val="20"/>
                <w:szCs w:val="20"/>
                <w:lang w:val="en-US"/>
              </w:rPr>
              <w:t>n failing to meet this target, PMs will be required to provide an action plan to remedy target meeting. This may result in a core group meeting to discuss failures.</w:t>
            </w:r>
          </w:p>
          <w:p w14:paraId="550554A7" w14:textId="77777777" w:rsidR="00B1114E" w:rsidRPr="00B1114E" w:rsidRDefault="00B1114E" w:rsidP="00B1114E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  <w:p w14:paraId="051DF60E" w14:textId="3615D758" w:rsidR="00DD6894" w:rsidRDefault="00B1114E" w:rsidP="00B1114E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B1114E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Where, after an action plan request and implementation, performance continues to be below </w:t>
            </w:r>
            <w:r w:rsidR="00731525" w:rsidRPr="00B1114E">
              <w:rPr>
                <w:rFonts w:ascii="Calibri" w:eastAsia="Calibri" w:hAnsi="Calibri" w:cs="Calibri"/>
                <w:sz w:val="20"/>
                <w:szCs w:val="20"/>
                <w:lang w:val="en-US"/>
              </w:rPr>
              <w:t>targeted</w:t>
            </w:r>
            <w:r w:rsidRPr="00B1114E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, matter to be escalated to senior management level. </w:t>
            </w:r>
          </w:p>
        </w:tc>
      </w:tr>
    </w:tbl>
    <w:p w14:paraId="6484612E" w14:textId="6F304FD5" w:rsidR="4DF84E5B" w:rsidRDefault="4DF84E5B">
      <w:r>
        <w:br/>
      </w:r>
    </w:p>
    <w:p w14:paraId="03E1BC22" w14:textId="0D417402" w:rsidR="4DF84E5B" w:rsidRDefault="292FD634" w:rsidP="292FD634">
      <w:pPr>
        <w:rPr>
          <w:rFonts w:ascii="Calibri" w:eastAsia="Calibri" w:hAnsi="Calibri" w:cs="Calibri"/>
          <w:sz w:val="16"/>
          <w:szCs w:val="16"/>
          <w:lang w:val="en-US"/>
        </w:rPr>
      </w:pPr>
      <w:r w:rsidRPr="292FD634">
        <w:rPr>
          <w:rFonts w:ascii="Calibri" w:eastAsia="Calibri" w:hAnsi="Calibri" w:cs="Calibri"/>
          <w:sz w:val="16"/>
          <w:szCs w:val="16"/>
          <w:lang w:val="en-US"/>
        </w:rPr>
        <w:t xml:space="preserve"> </w:t>
      </w:r>
    </w:p>
    <w:sectPr w:rsidR="4DF84E5B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46AE"/>
    <w:multiLevelType w:val="hybridMultilevel"/>
    <w:tmpl w:val="75383F28"/>
    <w:lvl w:ilvl="0" w:tplc="4CC0B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301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CB2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26F8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E5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902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9CD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8DC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926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F6E52"/>
    <w:multiLevelType w:val="hybridMultilevel"/>
    <w:tmpl w:val="CF765E5E"/>
    <w:lvl w:ilvl="0" w:tplc="0262E4B0">
      <w:start w:val="10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color w:val="000000" w:themeColor="text1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941D4"/>
    <w:multiLevelType w:val="hybridMultilevel"/>
    <w:tmpl w:val="15688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7614E"/>
    <w:multiLevelType w:val="hybridMultilevel"/>
    <w:tmpl w:val="B792E31E"/>
    <w:lvl w:ilvl="0" w:tplc="08BA1E6E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F7628"/>
    <w:multiLevelType w:val="hybridMultilevel"/>
    <w:tmpl w:val="60C84826"/>
    <w:lvl w:ilvl="0" w:tplc="437AE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5A03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DAE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E2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927D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047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4F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569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C83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672962">
    <w:abstractNumId w:val="0"/>
  </w:num>
  <w:num w:numId="2" w16cid:durableId="2141263650">
    <w:abstractNumId w:val="4"/>
  </w:num>
  <w:num w:numId="3" w16cid:durableId="443424270">
    <w:abstractNumId w:val="2"/>
  </w:num>
  <w:num w:numId="4" w16cid:durableId="2042053025">
    <w:abstractNumId w:val="3"/>
  </w:num>
  <w:num w:numId="5" w16cid:durableId="2093307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A4AF07"/>
    <w:rsid w:val="000005E5"/>
    <w:rsid w:val="000117E2"/>
    <w:rsid w:val="00017651"/>
    <w:rsid w:val="0002473F"/>
    <w:rsid w:val="00026827"/>
    <w:rsid w:val="00040F73"/>
    <w:rsid w:val="0004462E"/>
    <w:rsid w:val="00050AAE"/>
    <w:rsid w:val="00064356"/>
    <w:rsid w:val="00064512"/>
    <w:rsid w:val="000712AA"/>
    <w:rsid w:val="000753B6"/>
    <w:rsid w:val="00085D07"/>
    <w:rsid w:val="00092581"/>
    <w:rsid w:val="000963EF"/>
    <w:rsid w:val="00097E88"/>
    <w:rsid w:val="000A2316"/>
    <w:rsid w:val="000A2D3D"/>
    <w:rsid w:val="000A7D88"/>
    <w:rsid w:val="000B529B"/>
    <w:rsid w:val="000C481F"/>
    <w:rsid w:val="000C566D"/>
    <w:rsid w:val="000C63F0"/>
    <w:rsid w:val="000E0EF1"/>
    <w:rsid w:val="000E7BB5"/>
    <w:rsid w:val="000F5916"/>
    <w:rsid w:val="00103BEF"/>
    <w:rsid w:val="00111ECF"/>
    <w:rsid w:val="00116193"/>
    <w:rsid w:val="001170C2"/>
    <w:rsid w:val="00120140"/>
    <w:rsid w:val="00133B02"/>
    <w:rsid w:val="001460BD"/>
    <w:rsid w:val="0015183F"/>
    <w:rsid w:val="00175A8E"/>
    <w:rsid w:val="001819F4"/>
    <w:rsid w:val="00186956"/>
    <w:rsid w:val="001954A2"/>
    <w:rsid w:val="00197A21"/>
    <w:rsid w:val="001A7116"/>
    <w:rsid w:val="001A74F6"/>
    <w:rsid w:val="001A7C42"/>
    <w:rsid w:val="001B0686"/>
    <w:rsid w:val="001B5DDC"/>
    <w:rsid w:val="001C6376"/>
    <w:rsid w:val="001C667E"/>
    <w:rsid w:val="001D0613"/>
    <w:rsid w:val="001E217B"/>
    <w:rsid w:val="001F158B"/>
    <w:rsid w:val="001F614B"/>
    <w:rsid w:val="001F6F8C"/>
    <w:rsid w:val="002318AB"/>
    <w:rsid w:val="00235AD3"/>
    <w:rsid w:val="002402D1"/>
    <w:rsid w:val="00240FDF"/>
    <w:rsid w:val="0024704B"/>
    <w:rsid w:val="00261FE7"/>
    <w:rsid w:val="00274528"/>
    <w:rsid w:val="0028113D"/>
    <w:rsid w:val="0028700A"/>
    <w:rsid w:val="00295C72"/>
    <w:rsid w:val="002A0CFF"/>
    <w:rsid w:val="002A0E61"/>
    <w:rsid w:val="002A0F57"/>
    <w:rsid w:val="002A1134"/>
    <w:rsid w:val="002A1A8A"/>
    <w:rsid w:val="002A5176"/>
    <w:rsid w:val="002B1196"/>
    <w:rsid w:val="002B1B8F"/>
    <w:rsid w:val="002B72DC"/>
    <w:rsid w:val="002B7CB5"/>
    <w:rsid w:val="002C7C6E"/>
    <w:rsid w:val="002D3F31"/>
    <w:rsid w:val="002D5084"/>
    <w:rsid w:val="002D57D9"/>
    <w:rsid w:val="002E0105"/>
    <w:rsid w:val="002E26BD"/>
    <w:rsid w:val="002E6F84"/>
    <w:rsid w:val="002F1BBB"/>
    <w:rsid w:val="002F2DDE"/>
    <w:rsid w:val="002F47D2"/>
    <w:rsid w:val="002F49E7"/>
    <w:rsid w:val="002F6820"/>
    <w:rsid w:val="002F795C"/>
    <w:rsid w:val="00314454"/>
    <w:rsid w:val="00333DF7"/>
    <w:rsid w:val="0033469A"/>
    <w:rsid w:val="00335445"/>
    <w:rsid w:val="00337351"/>
    <w:rsid w:val="0034137B"/>
    <w:rsid w:val="00341D46"/>
    <w:rsid w:val="00345F61"/>
    <w:rsid w:val="00353D15"/>
    <w:rsid w:val="00354C05"/>
    <w:rsid w:val="00356FB2"/>
    <w:rsid w:val="00365D24"/>
    <w:rsid w:val="00367F3D"/>
    <w:rsid w:val="00380F7E"/>
    <w:rsid w:val="003A498B"/>
    <w:rsid w:val="003A6396"/>
    <w:rsid w:val="003B17A9"/>
    <w:rsid w:val="003B52D6"/>
    <w:rsid w:val="003C69D4"/>
    <w:rsid w:val="003D1DF8"/>
    <w:rsid w:val="003E0066"/>
    <w:rsid w:val="003E17EA"/>
    <w:rsid w:val="003E3A48"/>
    <w:rsid w:val="003E41EE"/>
    <w:rsid w:val="003E5A83"/>
    <w:rsid w:val="003E6603"/>
    <w:rsid w:val="00402D7C"/>
    <w:rsid w:val="004036B1"/>
    <w:rsid w:val="00404A06"/>
    <w:rsid w:val="00407A45"/>
    <w:rsid w:val="00411AEA"/>
    <w:rsid w:val="00440931"/>
    <w:rsid w:val="004514B9"/>
    <w:rsid w:val="00451867"/>
    <w:rsid w:val="00451A97"/>
    <w:rsid w:val="00455CF4"/>
    <w:rsid w:val="00456D65"/>
    <w:rsid w:val="00456E4A"/>
    <w:rsid w:val="00464A82"/>
    <w:rsid w:val="004806BB"/>
    <w:rsid w:val="00481FFF"/>
    <w:rsid w:val="004826CB"/>
    <w:rsid w:val="004830D9"/>
    <w:rsid w:val="00486154"/>
    <w:rsid w:val="0048623D"/>
    <w:rsid w:val="00487942"/>
    <w:rsid w:val="004916A9"/>
    <w:rsid w:val="004B6F98"/>
    <w:rsid w:val="004C7AFA"/>
    <w:rsid w:val="004E0120"/>
    <w:rsid w:val="004E0564"/>
    <w:rsid w:val="004E0794"/>
    <w:rsid w:val="004E1854"/>
    <w:rsid w:val="004F0A67"/>
    <w:rsid w:val="004F115E"/>
    <w:rsid w:val="004F5724"/>
    <w:rsid w:val="004F6592"/>
    <w:rsid w:val="005020D5"/>
    <w:rsid w:val="00511A00"/>
    <w:rsid w:val="00513937"/>
    <w:rsid w:val="005210A4"/>
    <w:rsid w:val="00522BA5"/>
    <w:rsid w:val="00526CCC"/>
    <w:rsid w:val="00526ED1"/>
    <w:rsid w:val="00544D66"/>
    <w:rsid w:val="005451B9"/>
    <w:rsid w:val="00547A49"/>
    <w:rsid w:val="00550D82"/>
    <w:rsid w:val="005517F1"/>
    <w:rsid w:val="00555FC5"/>
    <w:rsid w:val="0055621F"/>
    <w:rsid w:val="00560256"/>
    <w:rsid w:val="00562AC0"/>
    <w:rsid w:val="0056407A"/>
    <w:rsid w:val="00564C97"/>
    <w:rsid w:val="00567C85"/>
    <w:rsid w:val="00575F02"/>
    <w:rsid w:val="00576281"/>
    <w:rsid w:val="00585A96"/>
    <w:rsid w:val="00587434"/>
    <w:rsid w:val="005978D4"/>
    <w:rsid w:val="005A13BA"/>
    <w:rsid w:val="005B5577"/>
    <w:rsid w:val="005B5756"/>
    <w:rsid w:val="005C020B"/>
    <w:rsid w:val="005C5FC2"/>
    <w:rsid w:val="005D1840"/>
    <w:rsid w:val="005D572C"/>
    <w:rsid w:val="005D6C2F"/>
    <w:rsid w:val="0061119D"/>
    <w:rsid w:val="00616600"/>
    <w:rsid w:val="006258B9"/>
    <w:rsid w:val="00625B93"/>
    <w:rsid w:val="00631AE7"/>
    <w:rsid w:val="00634E63"/>
    <w:rsid w:val="006514E3"/>
    <w:rsid w:val="006528AB"/>
    <w:rsid w:val="00652CBF"/>
    <w:rsid w:val="0065731A"/>
    <w:rsid w:val="00657EDF"/>
    <w:rsid w:val="00673CE3"/>
    <w:rsid w:val="0067478B"/>
    <w:rsid w:val="006747DE"/>
    <w:rsid w:val="006805BF"/>
    <w:rsid w:val="00683729"/>
    <w:rsid w:val="00690568"/>
    <w:rsid w:val="0069140E"/>
    <w:rsid w:val="00691C35"/>
    <w:rsid w:val="00693083"/>
    <w:rsid w:val="00695163"/>
    <w:rsid w:val="006969E9"/>
    <w:rsid w:val="00697725"/>
    <w:rsid w:val="006A0D03"/>
    <w:rsid w:val="006A1F33"/>
    <w:rsid w:val="006A3877"/>
    <w:rsid w:val="006A4195"/>
    <w:rsid w:val="006A429D"/>
    <w:rsid w:val="006B1606"/>
    <w:rsid w:val="006B63DB"/>
    <w:rsid w:val="006C06A3"/>
    <w:rsid w:val="006C61AB"/>
    <w:rsid w:val="006D59D1"/>
    <w:rsid w:val="006D5CE8"/>
    <w:rsid w:val="006E41DA"/>
    <w:rsid w:val="006F1A8F"/>
    <w:rsid w:val="0070440A"/>
    <w:rsid w:val="00705188"/>
    <w:rsid w:val="00714192"/>
    <w:rsid w:val="00717FFA"/>
    <w:rsid w:val="00725FB2"/>
    <w:rsid w:val="00731525"/>
    <w:rsid w:val="007335C7"/>
    <w:rsid w:val="007343D0"/>
    <w:rsid w:val="007357CF"/>
    <w:rsid w:val="00743125"/>
    <w:rsid w:val="00750A40"/>
    <w:rsid w:val="00755622"/>
    <w:rsid w:val="00757CC1"/>
    <w:rsid w:val="00762E82"/>
    <w:rsid w:val="0076477F"/>
    <w:rsid w:val="00775889"/>
    <w:rsid w:val="00775C1C"/>
    <w:rsid w:val="007874F8"/>
    <w:rsid w:val="007927A7"/>
    <w:rsid w:val="007A17D6"/>
    <w:rsid w:val="007A2797"/>
    <w:rsid w:val="007A73DD"/>
    <w:rsid w:val="007B3415"/>
    <w:rsid w:val="007B5113"/>
    <w:rsid w:val="007B7A90"/>
    <w:rsid w:val="007C3AD7"/>
    <w:rsid w:val="007C4F33"/>
    <w:rsid w:val="007D019F"/>
    <w:rsid w:val="007E18D8"/>
    <w:rsid w:val="007E2268"/>
    <w:rsid w:val="007E2591"/>
    <w:rsid w:val="007E5FA5"/>
    <w:rsid w:val="007F17D2"/>
    <w:rsid w:val="007F4D93"/>
    <w:rsid w:val="007F5AE6"/>
    <w:rsid w:val="008035C7"/>
    <w:rsid w:val="0080380F"/>
    <w:rsid w:val="008169AB"/>
    <w:rsid w:val="008245AA"/>
    <w:rsid w:val="00825001"/>
    <w:rsid w:val="00826571"/>
    <w:rsid w:val="00827F38"/>
    <w:rsid w:val="008336FC"/>
    <w:rsid w:val="0083695F"/>
    <w:rsid w:val="008560FD"/>
    <w:rsid w:val="00860355"/>
    <w:rsid w:val="00863B48"/>
    <w:rsid w:val="00873F07"/>
    <w:rsid w:val="008761F5"/>
    <w:rsid w:val="008802F4"/>
    <w:rsid w:val="00883203"/>
    <w:rsid w:val="00897CD5"/>
    <w:rsid w:val="008B01D5"/>
    <w:rsid w:val="008B1D7E"/>
    <w:rsid w:val="008C0C1D"/>
    <w:rsid w:val="008E4A07"/>
    <w:rsid w:val="008F166F"/>
    <w:rsid w:val="009028AC"/>
    <w:rsid w:val="00904747"/>
    <w:rsid w:val="009104B3"/>
    <w:rsid w:val="00911930"/>
    <w:rsid w:val="00911C1F"/>
    <w:rsid w:val="00916E04"/>
    <w:rsid w:val="00921048"/>
    <w:rsid w:val="0092313D"/>
    <w:rsid w:val="009257C0"/>
    <w:rsid w:val="00947061"/>
    <w:rsid w:val="00951D9D"/>
    <w:rsid w:val="00956F28"/>
    <w:rsid w:val="00960930"/>
    <w:rsid w:val="00967A94"/>
    <w:rsid w:val="00971B3C"/>
    <w:rsid w:val="00972ABA"/>
    <w:rsid w:val="009829A6"/>
    <w:rsid w:val="00987A93"/>
    <w:rsid w:val="009939CD"/>
    <w:rsid w:val="009A15D6"/>
    <w:rsid w:val="009A6F00"/>
    <w:rsid w:val="009C31D3"/>
    <w:rsid w:val="009C7652"/>
    <w:rsid w:val="009D1388"/>
    <w:rsid w:val="009D28AE"/>
    <w:rsid w:val="009D2F8A"/>
    <w:rsid w:val="009D51B3"/>
    <w:rsid w:val="009D6C95"/>
    <w:rsid w:val="009E281E"/>
    <w:rsid w:val="009E35BE"/>
    <w:rsid w:val="009E571F"/>
    <w:rsid w:val="00A006BF"/>
    <w:rsid w:val="00A01F4A"/>
    <w:rsid w:val="00A06C9E"/>
    <w:rsid w:val="00A104BA"/>
    <w:rsid w:val="00A124CC"/>
    <w:rsid w:val="00A20043"/>
    <w:rsid w:val="00A23074"/>
    <w:rsid w:val="00A27038"/>
    <w:rsid w:val="00A729F4"/>
    <w:rsid w:val="00A736CF"/>
    <w:rsid w:val="00A7713F"/>
    <w:rsid w:val="00A8039E"/>
    <w:rsid w:val="00A8620E"/>
    <w:rsid w:val="00A9274E"/>
    <w:rsid w:val="00AA0B38"/>
    <w:rsid w:val="00AA3D01"/>
    <w:rsid w:val="00AB24E7"/>
    <w:rsid w:val="00AB3B1F"/>
    <w:rsid w:val="00AB4233"/>
    <w:rsid w:val="00AB60E4"/>
    <w:rsid w:val="00AC5381"/>
    <w:rsid w:val="00AC6BBB"/>
    <w:rsid w:val="00AC7760"/>
    <w:rsid w:val="00AD6053"/>
    <w:rsid w:val="00AE0B04"/>
    <w:rsid w:val="00AE51CF"/>
    <w:rsid w:val="00AE602F"/>
    <w:rsid w:val="00AF6E5B"/>
    <w:rsid w:val="00AF79F6"/>
    <w:rsid w:val="00B07F16"/>
    <w:rsid w:val="00B1114E"/>
    <w:rsid w:val="00B1431D"/>
    <w:rsid w:val="00B1493B"/>
    <w:rsid w:val="00B219F8"/>
    <w:rsid w:val="00B2272D"/>
    <w:rsid w:val="00B22F27"/>
    <w:rsid w:val="00B23517"/>
    <w:rsid w:val="00B3090E"/>
    <w:rsid w:val="00B342DB"/>
    <w:rsid w:val="00B43FAA"/>
    <w:rsid w:val="00B50960"/>
    <w:rsid w:val="00B54A4C"/>
    <w:rsid w:val="00B55F20"/>
    <w:rsid w:val="00B6510C"/>
    <w:rsid w:val="00B652D8"/>
    <w:rsid w:val="00B6798C"/>
    <w:rsid w:val="00B67EFD"/>
    <w:rsid w:val="00B802EB"/>
    <w:rsid w:val="00B86008"/>
    <w:rsid w:val="00B935E9"/>
    <w:rsid w:val="00BA3216"/>
    <w:rsid w:val="00BB12FA"/>
    <w:rsid w:val="00BB2600"/>
    <w:rsid w:val="00BB745B"/>
    <w:rsid w:val="00BC3BFB"/>
    <w:rsid w:val="00BC6A9C"/>
    <w:rsid w:val="00BD755D"/>
    <w:rsid w:val="00BE4980"/>
    <w:rsid w:val="00BE519C"/>
    <w:rsid w:val="00BF3219"/>
    <w:rsid w:val="00C06ABC"/>
    <w:rsid w:val="00C11487"/>
    <w:rsid w:val="00C12D76"/>
    <w:rsid w:val="00C15D15"/>
    <w:rsid w:val="00C15DC5"/>
    <w:rsid w:val="00C21334"/>
    <w:rsid w:val="00C55F48"/>
    <w:rsid w:val="00C565D4"/>
    <w:rsid w:val="00C667A3"/>
    <w:rsid w:val="00C726B6"/>
    <w:rsid w:val="00C760FE"/>
    <w:rsid w:val="00C80AD0"/>
    <w:rsid w:val="00C86137"/>
    <w:rsid w:val="00C874CE"/>
    <w:rsid w:val="00C8754D"/>
    <w:rsid w:val="00C901B5"/>
    <w:rsid w:val="00C90BA0"/>
    <w:rsid w:val="00C92F99"/>
    <w:rsid w:val="00CA35C6"/>
    <w:rsid w:val="00CA41D7"/>
    <w:rsid w:val="00CA75FA"/>
    <w:rsid w:val="00CB2E99"/>
    <w:rsid w:val="00CC54D2"/>
    <w:rsid w:val="00CC70A1"/>
    <w:rsid w:val="00CE28A5"/>
    <w:rsid w:val="00CF3A48"/>
    <w:rsid w:val="00D0728A"/>
    <w:rsid w:val="00D10D3C"/>
    <w:rsid w:val="00D12288"/>
    <w:rsid w:val="00D12BD3"/>
    <w:rsid w:val="00D14D7C"/>
    <w:rsid w:val="00D1543A"/>
    <w:rsid w:val="00D15D22"/>
    <w:rsid w:val="00D2126D"/>
    <w:rsid w:val="00D24919"/>
    <w:rsid w:val="00D3345A"/>
    <w:rsid w:val="00D33FDA"/>
    <w:rsid w:val="00D36167"/>
    <w:rsid w:val="00D36AFF"/>
    <w:rsid w:val="00D40D37"/>
    <w:rsid w:val="00D43BFB"/>
    <w:rsid w:val="00D5475B"/>
    <w:rsid w:val="00D54E19"/>
    <w:rsid w:val="00D64E92"/>
    <w:rsid w:val="00D73B19"/>
    <w:rsid w:val="00D803B2"/>
    <w:rsid w:val="00D92DB8"/>
    <w:rsid w:val="00D96693"/>
    <w:rsid w:val="00DA037A"/>
    <w:rsid w:val="00DA2DDE"/>
    <w:rsid w:val="00DA33BA"/>
    <w:rsid w:val="00DA3DF1"/>
    <w:rsid w:val="00DA615B"/>
    <w:rsid w:val="00DA6B91"/>
    <w:rsid w:val="00DB3D44"/>
    <w:rsid w:val="00DB5115"/>
    <w:rsid w:val="00DD2AF6"/>
    <w:rsid w:val="00DD4710"/>
    <w:rsid w:val="00DD6894"/>
    <w:rsid w:val="00DE3076"/>
    <w:rsid w:val="00DE44AD"/>
    <w:rsid w:val="00DF0436"/>
    <w:rsid w:val="00DF7D90"/>
    <w:rsid w:val="00E05D3A"/>
    <w:rsid w:val="00E11933"/>
    <w:rsid w:val="00E15DCF"/>
    <w:rsid w:val="00E17B6E"/>
    <w:rsid w:val="00E21F91"/>
    <w:rsid w:val="00E249B1"/>
    <w:rsid w:val="00E45659"/>
    <w:rsid w:val="00E51D7C"/>
    <w:rsid w:val="00E630F4"/>
    <w:rsid w:val="00E667F0"/>
    <w:rsid w:val="00E7093A"/>
    <w:rsid w:val="00E70B54"/>
    <w:rsid w:val="00E71E77"/>
    <w:rsid w:val="00E7291A"/>
    <w:rsid w:val="00E75131"/>
    <w:rsid w:val="00E7552A"/>
    <w:rsid w:val="00E81419"/>
    <w:rsid w:val="00E9763D"/>
    <w:rsid w:val="00EA13B5"/>
    <w:rsid w:val="00EA57EB"/>
    <w:rsid w:val="00EB010E"/>
    <w:rsid w:val="00EB5652"/>
    <w:rsid w:val="00EB619D"/>
    <w:rsid w:val="00EC533B"/>
    <w:rsid w:val="00EE04D7"/>
    <w:rsid w:val="00EE2B31"/>
    <w:rsid w:val="00EE4492"/>
    <w:rsid w:val="00EE5804"/>
    <w:rsid w:val="00EE68B6"/>
    <w:rsid w:val="00EF5A6F"/>
    <w:rsid w:val="00F01F0D"/>
    <w:rsid w:val="00F05075"/>
    <w:rsid w:val="00F12BAE"/>
    <w:rsid w:val="00F17246"/>
    <w:rsid w:val="00F247B6"/>
    <w:rsid w:val="00F25380"/>
    <w:rsid w:val="00F41632"/>
    <w:rsid w:val="00F43D42"/>
    <w:rsid w:val="00F505DC"/>
    <w:rsid w:val="00F524AF"/>
    <w:rsid w:val="00F56E7D"/>
    <w:rsid w:val="00F62011"/>
    <w:rsid w:val="00F62C22"/>
    <w:rsid w:val="00F65535"/>
    <w:rsid w:val="00F711CA"/>
    <w:rsid w:val="00F74DA1"/>
    <w:rsid w:val="00F813A4"/>
    <w:rsid w:val="00F81B27"/>
    <w:rsid w:val="00F8379E"/>
    <w:rsid w:val="00F870C6"/>
    <w:rsid w:val="00FA5F27"/>
    <w:rsid w:val="00FA7DB3"/>
    <w:rsid w:val="00FB52C8"/>
    <w:rsid w:val="00FB79D8"/>
    <w:rsid w:val="00FC3B77"/>
    <w:rsid w:val="00FD09A9"/>
    <w:rsid w:val="00FF029E"/>
    <w:rsid w:val="0FC1C680"/>
    <w:rsid w:val="292FD634"/>
    <w:rsid w:val="3DD66340"/>
    <w:rsid w:val="4DF84E5B"/>
    <w:rsid w:val="77A4A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4AF07"/>
  <w15:chartTrackingRefBased/>
  <w15:docId w15:val="{D2CDB31D-7F75-4FC1-8018-B983A629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826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826C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7DF2F54024A848A47CE7AACF8AD8A3" ma:contentTypeVersion="4" ma:contentTypeDescription="Create a new document." ma:contentTypeScope="" ma:versionID="ec5ca95174496c9b8cbcb79f1f4fefb7">
  <xsd:schema xmlns:xsd="http://www.w3.org/2001/XMLSchema" xmlns:xs="http://www.w3.org/2001/XMLSchema" xmlns:p="http://schemas.microsoft.com/office/2006/metadata/properties" xmlns:ns2="2c7214bb-bed4-4b06-a7cc-b2f070bf2361" xmlns:ns3="1decd653-bdf1-4470-b37f-22cac729b9d3" targetNamespace="http://schemas.microsoft.com/office/2006/metadata/properties" ma:root="true" ma:fieldsID="20a9595d49a0e0f4c9ea3a9c38070fe4" ns2:_="" ns3:_="">
    <xsd:import namespace="2c7214bb-bed4-4b06-a7cc-b2f070bf2361"/>
    <xsd:import namespace="1decd653-bdf1-4470-b37f-22cac729b9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214bb-bed4-4b06-a7cc-b2f070bf2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cd653-bdf1-4470-b37f-22cac729b9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1C14E9-E249-4701-9121-67047F8258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6794C3-E1CB-44B4-A93C-BE038172B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780B13-2964-4A2E-9B5E-16382A2D4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214bb-bed4-4b06-a7cc-b2f070bf2361"/>
    <ds:schemaRef ds:uri="1decd653-bdf1-4470-b37f-22cac729b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1539</Words>
  <Characters>8776</Characters>
  <Application>Microsoft Office Word</Application>
  <DocSecurity>4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Caine, Peta: KCHM: RBKC</dc:creator>
  <cp:keywords/>
  <dc:description/>
  <cp:lastModifiedBy>Raw, Ernest: RBKC</cp:lastModifiedBy>
  <cp:revision>2</cp:revision>
  <dcterms:created xsi:type="dcterms:W3CDTF">2023-02-02T11:22:00Z</dcterms:created>
  <dcterms:modified xsi:type="dcterms:W3CDTF">2023-02-02T11:22:00Z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0x010100607DF2F54024A848A47CE7AACF8AD8A3</vt:lpwstr>
  </property>
</Properties>
</file>