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555B" w14:textId="2DD1FF43" w:rsidR="00D03994" w:rsidRDefault="00821579" w:rsidP="00821579">
      <w:pPr>
        <w:spacing w:before="240"/>
        <w:ind w:left="0"/>
        <w:rPr>
          <w:b/>
          <w:caps/>
          <w:sz w:val="24"/>
          <w:szCs w:val="24"/>
        </w:rPr>
      </w:pPr>
      <w:bookmarkStart w:id="0" w:name="_Hlk114839069"/>
      <w:bookmarkStart w:id="1" w:name="_Hlk114838098"/>
      <w:r>
        <w:rPr>
          <w:noProof/>
        </w:rPr>
        <w:drawing>
          <wp:inline distT="0" distB="0" distL="0" distR="0" wp14:anchorId="6276AB0F" wp14:editId="7D8D3909">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D03994">
        <w:rPr>
          <w:noProof/>
        </w:rPr>
        <w:drawing>
          <wp:anchor distT="0" distB="0" distL="114300" distR="114300" simplePos="0" relativeHeight="251659264" behindDoc="0" locked="0" layoutInCell="1" allowOverlap="1" wp14:anchorId="20D6DAA4" wp14:editId="6C3A83E1">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4676D1D" w14:textId="77777777" w:rsidR="00D03994" w:rsidRDefault="00D03994" w:rsidP="00D03994">
      <w:pPr>
        <w:spacing w:before="240"/>
        <w:jc w:val="center"/>
        <w:rPr>
          <w:b/>
          <w:caps/>
          <w:sz w:val="24"/>
          <w:szCs w:val="24"/>
        </w:rPr>
      </w:pPr>
    </w:p>
    <w:bookmarkEnd w:id="0"/>
    <w:p w14:paraId="0ED197FA" w14:textId="77777777" w:rsidR="00D03994" w:rsidRDefault="00D03994" w:rsidP="00D03994">
      <w:pPr>
        <w:spacing w:before="240"/>
        <w:jc w:val="center"/>
        <w:rPr>
          <w:b/>
          <w:caps/>
          <w:sz w:val="24"/>
          <w:szCs w:val="24"/>
        </w:rPr>
      </w:pPr>
    </w:p>
    <w:p w14:paraId="19C00C44" w14:textId="77777777" w:rsidR="00D03994" w:rsidRPr="002D0ED3" w:rsidRDefault="00D03994" w:rsidP="00D03994">
      <w:pPr>
        <w:spacing w:before="240"/>
        <w:ind w:left="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77A35A40" w14:textId="77777777" w:rsidR="00D03994" w:rsidRPr="002D0ED3" w:rsidRDefault="00D03994" w:rsidP="00D03994">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50CA4960" w14:textId="77777777" w:rsidR="00D03994" w:rsidRPr="002D0ED3" w:rsidRDefault="00D03994" w:rsidP="00D03994">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7B6DD917" w14:textId="77777777" w:rsidR="00D03994" w:rsidRPr="00A33E00" w:rsidRDefault="00D03994" w:rsidP="00D03994">
      <w:pPr>
        <w:spacing w:before="240"/>
        <w:ind w:left="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402E32CE" w14:textId="77777777" w:rsidR="00D03994" w:rsidRPr="002D0ED3" w:rsidRDefault="00D03994" w:rsidP="00D03994">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475FCE98" w14:textId="77777777" w:rsidR="00D03994" w:rsidRPr="002D0ED3" w:rsidRDefault="00D03994" w:rsidP="00D03994">
      <w:pPr>
        <w:spacing w:before="240"/>
        <w:ind w:left="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00000001" w14:textId="7269F057" w:rsidR="00AA1954" w:rsidRDefault="00AA1954">
      <w:pPr>
        <w:keepNext/>
        <w:pBdr>
          <w:top w:val="nil"/>
          <w:left w:val="nil"/>
          <w:bottom w:val="nil"/>
          <w:right w:val="nil"/>
          <w:between w:val="nil"/>
        </w:pBdr>
        <w:ind w:left="0"/>
        <w:jc w:val="left"/>
        <w:rPr>
          <w:b/>
          <w:color w:val="000000"/>
          <w:sz w:val="32"/>
          <w:szCs w:val="32"/>
        </w:rPr>
      </w:pPr>
    </w:p>
    <w:p w14:paraId="65363CF4" w14:textId="77777777" w:rsidR="00AA1954" w:rsidRDefault="00AA1954">
      <w:pPr>
        <w:overflowPunct/>
        <w:autoSpaceDE/>
        <w:autoSpaceDN/>
        <w:adjustRightInd/>
        <w:textAlignment w:val="auto"/>
        <w:rPr>
          <w:b/>
          <w:color w:val="000000"/>
          <w:sz w:val="32"/>
          <w:szCs w:val="32"/>
        </w:rPr>
      </w:pPr>
      <w:r>
        <w:rPr>
          <w:b/>
          <w:color w:val="000000"/>
          <w:sz w:val="32"/>
          <w:szCs w:val="32"/>
        </w:rPr>
        <w:br w:type="page"/>
      </w:r>
    </w:p>
    <w:p w14:paraId="50A2036B" w14:textId="77777777" w:rsidR="00D2585F" w:rsidRPr="00F31152" w:rsidRDefault="00D2585F">
      <w:pPr>
        <w:keepNext/>
        <w:pBdr>
          <w:top w:val="nil"/>
          <w:left w:val="nil"/>
          <w:bottom w:val="nil"/>
          <w:right w:val="nil"/>
          <w:between w:val="nil"/>
        </w:pBdr>
        <w:ind w:left="0"/>
        <w:jc w:val="left"/>
        <w:rPr>
          <w:b/>
          <w:color w:val="000000"/>
          <w:sz w:val="32"/>
          <w:szCs w:val="32"/>
        </w:rPr>
      </w:pPr>
    </w:p>
    <w:p w14:paraId="00000002" w14:textId="77777777" w:rsidR="00D2585F" w:rsidRPr="00F31152" w:rsidRDefault="00665111">
      <w:pPr>
        <w:keepNext/>
        <w:pBdr>
          <w:top w:val="nil"/>
          <w:left w:val="nil"/>
          <w:bottom w:val="nil"/>
          <w:right w:val="nil"/>
          <w:between w:val="nil"/>
        </w:pBdr>
        <w:ind w:left="0"/>
        <w:jc w:val="left"/>
        <w:rPr>
          <w:b/>
          <w:color w:val="000000"/>
          <w:sz w:val="36"/>
          <w:szCs w:val="36"/>
        </w:rPr>
      </w:pPr>
      <w:r w:rsidRPr="00F31152">
        <w:rPr>
          <w:b/>
          <w:color w:val="000000"/>
          <w:sz w:val="36"/>
          <w:szCs w:val="36"/>
        </w:rPr>
        <w:t>Call-Off Schedule 8 (Business Continuity and Disaster Recovery)</w:t>
      </w:r>
    </w:p>
    <w:p w14:paraId="00000003"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bookmarkStart w:id="2" w:name="_heading=h.gjdgxs" w:colFirst="0" w:colLast="0"/>
      <w:bookmarkEnd w:id="2"/>
      <w:r w:rsidRPr="00F31152">
        <w:rPr>
          <w:b/>
          <w:smallCaps/>
          <w:color w:val="000000"/>
          <w:sz w:val="24"/>
          <w:szCs w:val="24"/>
        </w:rPr>
        <w:t>D</w:t>
      </w:r>
      <w:r w:rsidRPr="00F31152">
        <w:rPr>
          <w:rFonts w:eastAsia="Arial Bold"/>
          <w:b/>
          <w:color w:val="000000"/>
          <w:sz w:val="24"/>
          <w:szCs w:val="24"/>
        </w:rPr>
        <w:t>efinitions</w:t>
      </w:r>
    </w:p>
    <w:p w14:paraId="00000004"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In this Schedule, the following words shall have the following meanings and they shall supplement Joint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D2585F" w:rsidRPr="00F31152" w14:paraId="7FF915C5" w14:textId="77777777">
        <w:tc>
          <w:tcPr>
            <w:tcW w:w="3097" w:type="dxa"/>
          </w:tcPr>
          <w:p w14:paraId="00000005"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"BCDR Plan"</w:t>
            </w:r>
          </w:p>
        </w:tc>
        <w:tc>
          <w:tcPr>
            <w:tcW w:w="5075" w:type="dxa"/>
          </w:tcPr>
          <w:p w14:paraId="00000006"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has the meaning given to it in Paragraph 2.2 of this Schedule;</w:t>
            </w:r>
          </w:p>
        </w:tc>
      </w:tr>
      <w:tr w:rsidR="00D2585F" w:rsidRPr="00F31152" w14:paraId="11C534C9" w14:textId="77777777">
        <w:tc>
          <w:tcPr>
            <w:tcW w:w="3097" w:type="dxa"/>
          </w:tcPr>
          <w:p w14:paraId="00000007"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"Business Continuity Plan"</w:t>
            </w:r>
          </w:p>
        </w:tc>
        <w:tc>
          <w:tcPr>
            <w:tcW w:w="5075" w:type="dxa"/>
          </w:tcPr>
          <w:p w14:paraId="00000008"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has the meaning given to it in Paragraph 2.3.2 of this Schedule;</w:t>
            </w:r>
          </w:p>
        </w:tc>
      </w:tr>
      <w:tr w:rsidR="00D2585F" w:rsidRPr="00F31152" w14:paraId="5586AD34" w14:textId="77777777">
        <w:tc>
          <w:tcPr>
            <w:tcW w:w="3097" w:type="dxa"/>
          </w:tcPr>
          <w:p w14:paraId="00000009"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"Disaster"</w:t>
            </w:r>
          </w:p>
        </w:tc>
        <w:tc>
          <w:tcPr>
            <w:tcW w:w="5075" w:type="dxa"/>
          </w:tcPr>
          <w:p w14:paraId="0000000A"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bookmarkStart w:id="3" w:name="_heading=h.30j0zll" w:colFirst="0" w:colLast="0"/>
            <w:bookmarkEnd w:id="3"/>
            <w:r w:rsidRPr="00F31152">
              <w:rPr>
                <w:rFonts w:ascii="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D2585F" w:rsidRPr="00F31152" w14:paraId="2AAF87D9" w14:textId="77777777">
        <w:tc>
          <w:tcPr>
            <w:tcW w:w="3097" w:type="dxa"/>
          </w:tcPr>
          <w:p w14:paraId="0000000B"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"Disaster Recovery Deliverables"</w:t>
            </w:r>
          </w:p>
        </w:tc>
        <w:tc>
          <w:tcPr>
            <w:tcW w:w="5075" w:type="dxa"/>
          </w:tcPr>
          <w:p w14:paraId="0000000C" w14:textId="77777777" w:rsidR="00D2585F" w:rsidRPr="00F31152" w:rsidRDefault="00665111">
            <w:pPr>
              <w:numPr>
                <w:ilvl w:val="0"/>
                <w:numId w:val="7"/>
              </w:numPr>
              <w:pBdr>
                <w:top w:val="nil"/>
                <w:left w:val="nil"/>
                <w:bottom w:val="nil"/>
                <w:right w:val="nil"/>
                <w:between w:val="nil"/>
              </w:pBdr>
              <w:tabs>
                <w:tab w:val="left" w:pos="-9"/>
                <w:tab w:val="left" w:pos="-179"/>
              </w:tabs>
              <w:spacing w:after="120"/>
              <w:jc w:val="left"/>
              <w:rPr>
                <w:rFonts w:ascii="Arial" w:hAnsi="Arial" w:cs="Arial"/>
                <w:color w:val="000000"/>
                <w:sz w:val="24"/>
                <w:szCs w:val="24"/>
              </w:rPr>
            </w:pPr>
            <w:r w:rsidRPr="00F31152">
              <w:rPr>
                <w:rFonts w:ascii="Arial" w:hAnsi="Arial" w:cs="Arial"/>
                <w:color w:val="000000"/>
                <w:sz w:val="24"/>
                <w:szCs w:val="24"/>
              </w:rPr>
              <w:t>the Deliverables embodied in the processes and procedures for restoring the provision of Deliverables following the occurrence of a Disaster;</w:t>
            </w:r>
          </w:p>
        </w:tc>
      </w:tr>
      <w:tr w:rsidR="00D2585F" w:rsidRPr="00F31152" w14:paraId="2AFB4F26" w14:textId="77777777">
        <w:tc>
          <w:tcPr>
            <w:tcW w:w="3097" w:type="dxa"/>
          </w:tcPr>
          <w:p w14:paraId="0000000D"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"Disaster Recovery Plan"</w:t>
            </w:r>
          </w:p>
        </w:tc>
        <w:tc>
          <w:tcPr>
            <w:tcW w:w="5075" w:type="dxa"/>
          </w:tcPr>
          <w:p w14:paraId="0000000E"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has the meaning given to it in Paragraph 2.3.3 of this Schedule;</w:t>
            </w:r>
          </w:p>
        </w:tc>
      </w:tr>
      <w:tr w:rsidR="00D2585F" w:rsidRPr="00F31152" w14:paraId="06182AF1" w14:textId="77777777">
        <w:tc>
          <w:tcPr>
            <w:tcW w:w="3097" w:type="dxa"/>
          </w:tcPr>
          <w:p w14:paraId="0000000F"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"Disaster Recovery System"</w:t>
            </w:r>
          </w:p>
        </w:tc>
        <w:tc>
          <w:tcPr>
            <w:tcW w:w="5075" w:type="dxa"/>
          </w:tcPr>
          <w:p w14:paraId="00000010"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the system embodied in the processes and procedures for restoring the provision of Deliverables following the occurrence of a Disaster;</w:t>
            </w:r>
          </w:p>
        </w:tc>
      </w:tr>
      <w:tr w:rsidR="00D2585F" w:rsidRPr="00F31152" w14:paraId="683413A0" w14:textId="77777777">
        <w:trPr>
          <w:trHeight w:val="567"/>
        </w:trPr>
        <w:tc>
          <w:tcPr>
            <w:tcW w:w="3097" w:type="dxa"/>
          </w:tcPr>
          <w:p w14:paraId="00000011"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"Related Supplier"</w:t>
            </w:r>
          </w:p>
        </w:tc>
        <w:tc>
          <w:tcPr>
            <w:tcW w:w="5075" w:type="dxa"/>
          </w:tcPr>
          <w:p w14:paraId="00000012"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any person who provides Deliverables to the Buyer which are related to the Deliverables from time to time;</w:t>
            </w:r>
          </w:p>
        </w:tc>
      </w:tr>
      <w:tr w:rsidR="00D2585F" w:rsidRPr="00F31152" w14:paraId="30E1C42E" w14:textId="77777777">
        <w:trPr>
          <w:trHeight w:val="567"/>
        </w:trPr>
        <w:tc>
          <w:tcPr>
            <w:tcW w:w="3097" w:type="dxa"/>
          </w:tcPr>
          <w:p w14:paraId="00000013"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"Review Report"</w:t>
            </w:r>
          </w:p>
        </w:tc>
        <w:tc>
          <w:tcPr>
            <w:tcW w:w="5075" w:type="dxa"/>
          </w:tcPr>
          <w:p w14:paraId="00000014"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has the meaning given to it in Paragraph 6.3 of this Schedule;</w:t>
            </w:r>
          </w:p>
        </w:tc>
      </w:tr>
      <w:tr w:rsidR="00D2585F" w:rsidRPr="00F31152" w14:paraId="602FF77E" w14:textId="77777777">
        <w:tc>
          <w:tcPr>
            <w:tcW w:w="3097" w:type="dxa"/>
          </w:tcPr>
          <w:p w14:paraId="00000015"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color w:val="000000"/>
                <w:sz w:val="24"/>
                <w:szCs w:val="24"/>
              </w:rPr>
              <w:t>"Supplier's Proposals"</w:t>
            </w:r>
          </w:p>
        </w:tc>
        <w:tc>
          <w:tcPr>
            <w:tcW w:w="5075" w:type="dxa"/>
          </w:tcPr>
          <w:p w14:paraId="00000016"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color w:val="000000"/>
                <w:sz w:val="24"/>
                <w:szCs w:val="24"/>
              </w:rPr>
              <w:t>has the meaning given to it in Paragraph 6.3 of this Schedule;</w:t>
            </w:r>
          </w:p>
        </w:tc>
      </w:tr>
    </w:tbl>
    <w:p w14:paraId="00000017"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sidRPr="00F31152">
        <w:rPr>
          <w:rFonts w:eastAsia="Arial Bold"/>
          <w:b/>
          <w:color w:val="000000"/>
          <w:sz w:val="24"/>
          <w:szCs w:val="24"/>
        </w:rPr>
        <w:t>BCDR Plan</w:t>
      </w:r>
    </w:p>
    <w:p w14:paraId="00000018"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4" w:name="_heading=h.1fob9te" w:colFirst="0" w:colLast="0"/>
      <w:bookmarkEnd w:id="4"/>
      <w:r w:rsidRPr="00F31152">
        <w:rPr>
          <w:color w:val="000000"/>
          <w:sz w:val="24"/>
          <w:szCs w:val="24"/>
        </w:rPr>
        <w:t>The Buyer and the Supplier recognise that, where specified in Schedule 4 (Framework Management), CCS shall have the right to enforce the Buyer's rights under this Schedule.</w:t>
      </w:r>
    </w:p>
    <w:p w14:paraId="00000019"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lastRenderedPageBreak/>
        <w:t xml:space="preserve">At least ninety (90) Working Days prior to the Start Date the Supplier shall prepare and deliver to the Buyer for the Buyer’s written approval a plan (a </w:t>
      </w:r>
      <w:r w:rsidRPr="00F31152">
        <w:rPr>
          <w:b/>
          <w:color w:val="000000"/>
          <w:sz w:val="24"/>
          <w:szCs w:val="24"/>
        </w:rPr>
        <w:t>“BCDR Plan”</w:t>
      </w:r>
      <w:r w:rsidRPr="00F31152">
        <w:rPr>
          <w:color w:val="000000"/>
          <w:sz w:val="24"/>
          <w:szCs w:val="24"/>
        </w:rPr>
        <w:t>), which shall detail the processes and arrangements that the Supplier shall follow to:</w:t>
      </w:r>
    </w:p>
    <w:p w14:paraId="0000001A"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ensure continuity of the business processes and operations supported by the Services following any failure or disruption of any element of the Deliverables; and</w:t>
      </w:r>
    </w:p>
    <w:p w14:paraId="0000001B"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the recovery of the Deliverables in the event of a Disaster </w:t>
      </w:r>
    </w:p>
    <w:p w14:paraId="0000001C"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BCDR Plan shall be divided into three sections:</w:t>
      </w:r>
    </w:p>
    <w:p w14:paraId="0000001D"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5" w:name="_heading=h.3znysh7" w:colFirst="0" w:colLast="0"/>
      <w:bookmarkEnd w:id="5"/>
      <w:r w:rsidRPr="00F31152">
        <w:rPr>
          <w:color w:val="000000"/>
          <w:sz w:val="24"/>
          <w:szCs w:val="24"/>
        </w:rPr>
        <w:t xml:space="preserve">Section 1 which shall set out general principles applicable to the BCDR Plan; </w:t>
      </w:r>
    </w:p>
    <w:p w14:paraId="0000001E"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6" w:name="_heading=h.2et92p0" w:colFirst="0" w:colLast="0"/>
      <w:bookmarkEnd w:id="6"/>
      <w:r w:rsidRPr="00F31152">
        <w:rPr>
          <w:color w:val="000000"/>
          <w:sz w:val="24"/>
          <w:szCs w:val="24"/>
        </w:rPr>
        <w:t xml:space="preserve">Section 2 which shall relate to business continuity (the </w:t>
      </w:r>
      <w:r w:rsidRPr="00F31152">
        <w:rPr>
          <w:b/>
          <w:color w:val="000000"/>
          <w:sz w:val="24"/>
          <w:szCs w:val="24"/>
        </w:rPr>
        <w:t>"Business Continuity Plan"</w:t>
      </w:r>
      <w:r w:rsidRPr="00F31152">
        <w:rPr>
          <w:color w:val="000000"/>
          <w:sz w:val="24"/>
          <w:szCs w:val="24"/>
        </w:rPr>
        <w:t>); and</w:t>
      </w:r>
    </w:p>
    <w:p w14:paraId="0000001F"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7" w:name="_heading=h.tyjcwt" w:colFirst="0" w:colLast="0"/>
      <w:bookmarkEnd w:id="7"/>
      <w:r w:rsidRPr="00F31152">
        <w:rPr>
          <w:color w:val="000000"/>
          <w:sz w:val="24"/>
          <w:szCs w:val="24"/>
        </w:rPr>
        <w:t xml:space="preserve">Section 3 which shall relate to disaster recovery (the </w:t>
      </w:r>
      <w:r w:rsidRPr="00F31152">
        <w:rPr>
          <w:b/>
          <w:color w:val="000000"/>
          <w:sz w:val="24"/>
          <w:szCs w:val="24"/>
        </w:rPr>
        <w:t>"Disaster Recovery Plan"</w:t>
      </w:r>
      <w:r w:rsidRPr="00F31152">
        <w:rPr>
          <w:color w:val="000000"/>
          <w:sz w:val="24"/>
          <w:szCs w:val="24"/>
        </w:rPr>
        <w:t>).</w:t>
      </w:r>
    </w:p>
    <w:p w14:paraId="00000020"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8" w:name="_heading=h.3dy6vkm" w:colFirst="0" w:colLast="0"/>
      <w:bookmarkEnd w:id="8"/>
      <w:r w:rsidRPr="00F31152">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0000021"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bookmarkStart w:id="9" w:name="_heading=h.1t3h5sf" w:colFirst="0" w:colLast="0"/>
      <w:bookmarkEnd w:id="9"/>
      <w:r w:rsidRPr="00F31152">
        <w:rPr>
          <w:rFonts w:eastAsia="Arial Bold"/>
          <w:b/>
          <w:color w:val="000000"/>
          <w:sz w:val="24"/>
          <w:szCs w:val="24"/>
        </w:rPr>
        <w:t>General Principles of the BCDR Plan (Section 1)</w:t>
      </w:r>
    </w:p>
    <w:p w14:paraId="00000022"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Section 1 of the BCDR Plan shall:</w:t>
      </w:r>
    </w:p>
    <w:p w14:paraId="00000023"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10" w:name="_heading=h.1ci93xb" w:colFirst="0" w:colLast="0"/>
      <w:bookmarkEnd w:id="10"/>
      <w:r w:rsidRPr="00F31152">
        <w:rPr>
          <w:color w:val="000000"/>
          <w:sz w:val="24"/>
          <w:szCs w:val="24"/>
        </w:rPr>
        <w:t>set out how the business continuity and disaster recovery elements of the BCDR Plan link to each other;</w:t>
      </w:r>
    </w:p>
    <w:p w14:paraId="00000024"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provide details of how the invocation of any element of the BCDR Plan may impact upon the provision of the Deliverables and any goods and/or services provided to the Buyer by a Related Supplier;</w:t>
      </w:r>
    </w:p>
    <w:p w14:paraId="00000025"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contain an obligation upon the Supplier to liaise with the Buyer and any Related Suppliers with respect to business continuity and disaster recovery;</w:t>
      </w:r>
    </w:p>
    <w:p w14:paraId="00000026"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00000027"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contain a communication strategy including details of an incident and problem management service and advice and help desk facility which can be accessed via multiple channels;</w:t>
      </w:r>
    </w:p>
    <w:p w14:paraId="00000028" w14:textId="77777777" w:rsidR="00D2585F" w:rsidRPr="00F31152" w:rsidRDefault="00665111">
      <w:pPr>
        <w:keepNext/>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contain a risk analysis, including:</w:t>
      </w:r>
    </w:p>
    <w:p w14:paraId="00000029" w14:textId="77777777" w:rsidR="00D2585F" w:rsidRPr="00F31152" w:rsidRDefault="00665111">
      <w:pPr>
        <w:numPr>
          <w:ilvl w:val="3"/>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failure or disruption scenarios and assessments of likely frequency of occurrence;</w:t>
      </w:r>
    </w:p>
    <w:p w14:paraId="0000002A" w14:textId="77777777" w:rsidR="00D2585F" w:rsidRPr="00F31152" w:rsidRDefault="00665111">
      <w:pPr>
        <w:numPr>
          <w:ilvl w:val="3"/>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lastRenderedPageBreak/>
        <w:t>identification of any single points of failure within the provision of Deliverables and processes for managing those risks;</w:t>
      </w:r>
    </w:p>
    <w:p w14:paraId="0000002B" w14:textId="77777777" w:rsidR="00D2585F" w:rsidRPr="00F31152" w:rsidRDefault="00665111">
      <w:pPr>
        <w:numPr>
          <w:ilvl w:val="3"/>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identification of risks arising from the interaction of the provision of Deliverables with the goods and/or services provided by a Related Supplier; and</w:t>
      </w:r>
    </w:p>
    <w:p w14:paraId="0000002C" w14:textId="77777777" w:rsidR="00D2585F" w:rsidRPr="00F31152" w:rsidRDefault="00665111">
      <w:pPr>
        <w:numPr>
          <w:ilvl w:val="3"/>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a business impact analysis of different anticipated failures or disruptions;</w:t>
      </w:r>
    </w:p>
    <w:p w14:paraId="0000002D"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provide for documentation of processes, including business processes, and procedures;</w:t>
      </w:r>
    </w:p>
    <w:p w14:paraId="0000002E"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set out key contact details for the Supplier (and any Subcontractors) and for the Buyer;</w:t>
      </w:r>
    </w:p>
    <w:p w14:paraId="0000002F"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identify the procedures for reverting to "normal service";</w:t>
      </w:r>
    </w:p>
    <w:p w14:paraId="00000030"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set out method(s) of recovering or updating data collected (or which ought to have been collected) during a failure or disruption to minimise data loss;</w:t>
      </w:r>
    </w:p>
    <w:p w14:paraId="00000031"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identify the responsibilities (if any) that the Buyer has agreed it will assume in the event of the invocation of the BCDR Plan; and</w:t>
      </w:r>
    </w:p>
    <w:p w14:paraId="00000032"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provide for the provision of technical assistance to key contacts at the Buyer as required by the Buyer to inform decisions in support of the Buyer’s business continuity plans.</w:t>
      </w:r>
    </w:p>
    <w:p w14:paraId="00000033"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BCDR Plan shall be designed so as to ensure that:</w:t>
      </w:r>
    </w:p>
    <w:p w14:paraId="00000034"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the Deliverables are provided in accordance with this Contract at all times during and after the invocation of the BCDR Plan;</w:t>
      </w:r>
    </w:p>
    <w:p w14:paraId="00000035"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the adverse impact of any Disaster is minimised as far as reasonably possible; </w:t>
      </w:r>
    </w:p>
    <w:p w14:paraId="00000036"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it complies with the relevant provisions of ISO/IEC 27002; ISO22301/ISO22313   and all other industry standards from time to time in force; and</w:t>
      </w:r>
    </w:p>
    <w:p w14:paraId="00000037"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it details a process for the management of disaster recovery testing.</w:t>
      </w:r>
    </w:p>
    <w:p w14:paraId="00000038"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BCDR Plan shall be upgradeable and sufficiently flexible to support any changes to the Deliverables and the business operations supported by the provision of Deliverables.</w:t>
      </w:r>
    </w:p>
    <w:p w14:paraId="00000039"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0000003A"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sidRPr="00F31152">
        <w:rPr>
          <w:rFonts w:eastAsia="Arial Bold"/>
          <w:b/>
          <w:color w:val="000000"/>
          <w:sz w:val="24"/>
          <w:szCs w:val="24"/>
        </w:rPr>
        <w:t>Business Continuity (Section 2)</w:t>
      </w:r>
    </w:p>
    <w:p w14:paraId="0000003B"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11" w:name="_heading=h.4d34og8" w:colFirst="0" w:colLast="0"/>
      <w:bookmarkEnd w:id="11"/>
      <w:r w:rsidRPr="00F31152">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000003C"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lastRenderedPageBreak/>
        <w:t>the alternative processes, options and responsibilities that may be adopted in the event of a failure in or disruption to the provision of Deliverables; and</w:t>
      </w:r>
    </w:p>
    <w:p w14:paraId="0000003D"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the steps to be taken by the Supplier upon resumption of the provision of Deliverables in order to address the effect of the failure or disruption.</w:t>
      </w:r>
    </w:p>
    <w:p w14:paraId="0000003E"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Business Continuity Plan shall:</w:t>
      </w:r>
    </w:p>
    <w:p w14:paraId="0000003F"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address the various possible levels of failures of or disruptions to the provision of Deliverables;</w:t>
      </w:r>
    </w:p>
    <w:p w14:paraId="00000040"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12" w:name="_heading=h.2s8eyo1" w:colFirst="0" w:colLast="0"/>
      <w:bookmarkEnd w:id="12"/>
      <w:r w:rsidRPr="00F31152">
        <w:rPr>
          <w:color w:val="000000"/>
          <w:sz w:val="24"/>
          <w:szCs w:val="24"/>
        </w:rPr>
        <w:t>set out the goods and/or services to be provided and the steps to be taken to remedy the different levels of failures of and disruption to the Deliverables;</w:t>
      </w:r>
    </w:p>
    <w:p w14:paraId="00000041"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0000042"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set out the circumstances in which the Business Continuity Plan is invoked.</w:t>
      </w:r>
    </w:p>
    <w:p w14:paraId="00000043"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sidRPr="00F31152">
        <w:rPr>
          <w:rFonts w:eastAsia="Arial Bold"/>
          <w:b/>
          <w:color w:val="000000"/>
          <w:sz w:val="24"/>
          <w:szCs w:val="24"/>
        </w:rPr>
        <w:t>Disaster Recovery (Section 3)</w:t>
      </w:r>
    </w:p>
    <w:p w14:paraId="00000044"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13" w:name="_heading=h.17dp8vu" w:colFirst="0" w:colLast="0"/>
      <w:bookmarkEnd w:id="13"/>
      <w:r w:rsidRPr="00F31152">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0000045"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Supplier's BCDR Plan shall include an approach to business continuity and disaster recovery that addresses the following:</w:t>
      </w:r>
    </w:p>
    <w:p w14:paraId="00000046"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loss of access to the Buyer Premises;</w:t>
      </w:r>
    </w:p>
    <w:p w14:paraId="00000047"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loss of utilities to the Buyer Premises;</w:t>
      </w:r>
    </w:p>
    <w:p w14:paraId="00000048"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loss of the Supplier's helpdesk or CAFM system;</w:t>
      </w:r>
    </w:p>
    <w:p w14:paraId="00000049"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loss of a Subcontractor;</w:t>
      </w:r>
    </w:p>
    <w:p w14:paraId="0000004A"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emergency notification and escalation process;</w:t>
      </w:r>
    </w:p>
    <w:p w14:paraId="0000004B"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contact lists;</w:t>
      </w:r>
    </w:p>
    <w:p w14:paraId="0000004C"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staff training and awareness;</w:t>
      </w:r>
    </w:p>
    <w:p w14:paraId="0000004D"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BCDR Plan testing; </w:t>
      </w:r>
    </w:p>
    <w:p w14:paraId="0000004E"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post implementation review process; </w:t>
      </w:r>
    </w:p>
    <w:p w14:paraId="0000004F"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any applicable Performance Indicators (PI’s) with respect to the provision of the disaster recovery services and details of any agreed relaxation to the Performance Indicators (PI’s) or Service Levels in </w:t>
      </w:r>
      <w:r w:rsidRPr="00F31152">
        <w:rPr>
          <w:color w:val="000000"/>
          <w:sz w:val="24"/>
          <w:szCs w:val="24"/>
        </w:rPr>
        <w:lastRenderedPageBreak/>
        <w:t>respect of the provision of other Deliverables during any period of invocation of the Disaster Recovery Plan;</w:t>
      </w:r>
    </w:p>
    <w:p w14:paraId="00000050"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details of how the Supplier shall ensure compliance with security standards ensuring that compliance is maintained for any period during which the Disaster Recovery Plan is invoked;</w:t>
      </w:r>
    </w:p>
    <w:p w14:paraId="00000051"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access controls to any disaster recovery sites used by the Supplier in relation to its obligations pursuant to this Schedule; and</w:t>
      </w:r>
    </w:p>
    <w:p w14:paraId="00000052"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testing and management arrangements.</w:t>
      </w:r>
    </w:p>
    <w:p w14:paraId="00000053"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sidRPr="00F31152">
        <w:rPr>
          <w:rFonts w:eastAsia="Arial Bold"/>
          <w:b/>
          <w:color w:val="000000"/>
          <w:sz w:val="24"/>
          <w:szCs w:val="24"/>
        </w:rPr>
        <w:t>Review and changing the BCDR Plan</w:t>
      </w:r>
    </w:p>
    <w:p w14:paraId="00000054"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bookmarkStart w:id="14" w:name="_heading=h.3rdcrjn" w:colFirst="0" w:colLast="0"/>
      <w:bookmarkEnd w:id="14"/>
      <w:r w:rsidRPr="00F31152">
        <w:rPr>
          <w:color w:val="000000"/>
          <w:sz w:val="24"/>
          <w:szCs w:val="24"/>
        </w:rPr>
        <w:t>The Supplier shall review the BCDR Plan:</w:t>
      </w:r>
    </w:p>
    <w:p w14:paraId="00000055"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15" w:name="_heading=h.26in1rg" w:colFirst="0" w:colLast="0"/>
      <w:bookmarkEnd w:id="15"/>
      <w:r w:rsidRPr="00F31152">
        <w:rPr>
          <w:color w:val="000000"/>
          <w:sz w:val="24"/>
          <w:szCs w:val="24"/>
        </w:rPr>
        <w:t>on a regular basis and as a minimum once every six (6) Months;</w:t>
      </w:r>
    </w:p>
    <w:p w14:paraId="00000056"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16" w:name="_heading=h.lnxbz9" w:colFirst="0" w:colLast="0"/>
      <w:bookmarkEnd w:id="16"/>
      <w:r w:rsidRPr="00F31152">
        <w:rPr>
          <w:color w:val="000000"/>
          <w:sz w:val="24"/>
          <w:szCs w:val="24"/>
        </w:rPr>
        <w:t>within three (3) calendar Months of the BCDR Plan (or any part) having been invoked pursuant to Paragraph 7; and</w:t>
      </w:r>
    </w:p>
    <w:p w14:paraId="00000057"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bookmarkStart w:id="17" w:name="_heading=h.35nkun2" w:colFirst="0" w:colLast="0"/>
      <w:bookmarkEnd w:id="17"/>
      <w:r w:rsidRPr="00F31152">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00000058"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18" w:name="_heading=h.1ksv4uv" w:colFirst="0" w:colLast="0"/>
      <w:bookmarkEnd w:id="18"/>
      <w:r w:rsidRPr="00F31152">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0000059"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19" w:name="_heading=h.44sinio" w:colFirst="0" w:colLast="0"/>
      <w:bookmarkEnd w:id="19"/>
      <w:r w:rsidRPr="00F31152">
        <w:rPr>
          <w:color w:val="000000"/>
          <w:sz w:val="24"/>
          <w:szCs w:val="24"/>
        </w:rPr>
        <w:t xml:space="preserve">The Supplier shall, within twenty (20) Working Days of the conclusion of each such review of the BCDR Plan, provide to the Buyer a report (a </w:t>
      </w:r>
      <w:r w:rsidRPr="00F31152">
        <w:rPr>
          <w:b/>
          <w:color w:val="000000"/>
          <w:sz w:val="24"/>
          <w:szCs w:val="24"/>
        </w:rPr>
        <w:t>"Review Report"</w:t>
      </w:r>
      <w:r w:rsidRPr="00F31152">
        <w:rPr>
          <w:color w:val="000000"/>
          <w:sz w:val="24"/>
          <w:szCs w:val="24"/>
        </w:rPr>
        <w:t xml:space="preserve">) setting out the Supplier's proposals (the </w:t>
      </w:r>
      <w:r w:rsidRPr="00F31152">
        <w:rPr>
          <w:b/>
          <w:color w:val="000000"/>
          <w:sz w:val="24"/>
          <w:szCs w:val="24"/>
        </w:rPr>
        <w:t>"Supplier's Proposals"</w:t>
      </w:r>
      <w:r w:rsidRPr="00F31152">
        <w:rPr>
          <w:color w:val="000000"/>
          <w:sz w:val="24"/>
          <w:szCs w:val="24"/>
        </w:rPr>
        <w:t>) for addressing any changes in the risk profile and its proposals for amendments to the BCDR Plan.</w:t>
      </w:r>
    </w:p>
    <w:p w14:paraId="0000005A"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20" w:name="_heading=h.2jxsxqh" w:colFirst="0" w:colLast="0"/>
      <w:bookmarkEnd w:id="20"/>
      <w:r w:rsidRPr="00F31152">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0000005B"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lastRenderedPageBreak/>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000005C" w14:textId="77777777" w:rsidR="00D2585F" w:rsidRPr="00F31152" w:rsidRDefault="00665111">
      <w:pPr>
        <w:keepNext/>
        <w:numPr>
          <w:ilvl w:val="0"/>
          <w:numId w:val="6"/>
        </w:numPr>
        <w:pBdr>
          <w:top w:val="nil"/>
          <w:left w:val="nil"/>
          <w:bottom w:val="nil"/>
          <w:right w:val="nil"/>
          <w:between w:val="nil"/>
        </w:pBdr>
        <w:tabs>
          <w:tab w:val="left" w:pos="0"/>
        </w:tabs>
        <w:spacing w:before="240"/>
        <w:ind w:left="504"/>
        <w:jc w:val="left"/>
        <w:rPr>
          <w:rFonts w:eastAsia="Arial Bold"/>
          <w:b/>
          <w:color w:val="000000"/>
          <w:sz w:val="24"/>
          <w:szCs w:val="24"/>
        </w:rPr>
      </w:pPr>
      <w:bookmarkStart w:id="21" w:name="_heading=h.z337ya" w:colFirst="0" w:colLast="0"/>
      <w:bookmarkEnd w:id="21"/>
      <w:r w:rsidRPr="00F31152">
        <w:rPr>
          <w:rFonts w:eastAsia="Arial Bold"/>
          <w:b/>
          <w:color w:val="000000"/>
          <w:sz w:val="24"/>
          <w:szCs w:val="24"/>
        </w:rPr>
        <w:t>Testing the BCDR Plan</w:t>
      </w:r>
    </w:p>
    <w:p w14:paraId="0000005D"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bookmarkStart w:id="22" w:name="_heading=h.3j2qqm3" w:colFirst="0" w:colLast="0"/>
      <w:bookmarkEnd w:id="22"/>
      <w:r w:rsidRPr="00F31152">
        <w:rPr>
          <w:color w:val="000000"/>
          <w:sz w:val="24"/>
          <w:szCs w:val="24"/>
        </w:rPr>
        <w:t xml:space="preserve">The Supplier shall test the BCDR Plan: </w:t>
      </w:r>
    </w:p>
    <w:p w14:paraId="0000005E"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regularly and in any event not less than once in every Contract Year;</w:t>
      </w:r>
    </w:p>
    <w:p w14:paraId="0000005F"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in the event of any major reconfiguration of the Deliverables</w:t>
      </w:r>
    </w:p>
    <w:p w14:paraId="00000060"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 xml:space="preserve">at any time where the Buyer considers it necessary (acting in its sole discretion).  </w:t>
      </w:r>
    </w:p>
    <w:p w14:paraId="00000061"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23" w:name="_heading=h.1y810tw" w:colFirst="0" w:colLast="0"/>
      <w:bookmarkEnd w:id="23"/>
      <w:r w:rsidRPr="00F31152">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00000062"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0000063"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00000064" w14:textId="77777777" w:rsidR="00D2585F" w:rsidRPr="00F31152" w:rsidRDefault="00665111">
      <w:pPr>
        <w:keepNext/>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The Supplier shall, within twenty (20) Working Days of the conclusion of each test, provide to the Buyer a report setting out:</w:t>
      </w:r>
    </w:p>
    <w:p w14:paraId="00000065"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the outcome of the test;</w:t>
      </w:r>
    </w:p>
    <w:p w14:paraId="00000066"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any failures in the BCDR Plan (including the BCDR Plan's procedures) revealed by the test; and</w:t>
      </w:r>
    </w:p>
    <w:p w14:paraId="00000067" w14:textId="77777777" w:rsidR="00D2585F" w:rsidRPr="00F31152" w:rsidRDefault="00665111">
      <w:pPr>
        <w:numPr>
          <w:ilvl w:val="2"/>
          <w:numId w:val="6"/>
        </w:numPr>
        <w:pBdr>
          <w:top w:val="nil"/>
          <w:left w:val="nil"/>
          <w:bottom w:val="nil"/>
          <w:right w:val="nil"/>
          <w:between w:val="nil"/>
        </w:pBdr>
        <w:tabs>
          <w:tab w:val="left" w:pos="1985"/>
          <w:tab w:val="left" w:pos="2127"/>
        </w:tabs>
        <w:spacing w:before="120" w:after="120"/>
        <w:jc w:val="left"/>
        <w:rPr>
          <w:color w:val="000000"/>
          <w:sz w:val="24"/>
          <w:szCs w:val="24"/>
        </w:rPr>
      </w:pPr>
      <w:r w:rsidRPr="00F31152">
        <w:rPr>
          <w:color w:val="000000"/>
          <w:sz w:val="24"/>
          <w:szCs w:val="24"/>
        </w:rPr>
        <w:t>the Supplier's proposals for remedying any such failures.</w:t>
      </w:r>
    </w:p>
    <w:p w14:paraId="00000068"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bookmarkStart w:id="24" w:name="_heading=h.4i7ojhp" w:colFirst="0" w:colLast="0"/>
      <w:bookmarkEnd w:id="24"/>
      <w:r w:rsidRPr="00F31152">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0000069" w14:textId="77777777" w:rsidR="00D2585F" w:rsidRPr="00F31152" w:rsidRDefault="00665111">
      <w:pPr>
        <w:keepNext/>
        <w:numPr>
          <w:ilvl w:val="0"/>
          <w:numId w:val="6"/>
        </w:numPr>
        <w:pBdr>
          <w:top w:val="nil"/>
          <w:left w:val="nil"/>
          <w:bottom w:val="nil"/>
          <w:right w:val="nil"/>
          <w:between w:val="nil"/>
        </w:pBdr>
        <w:tabs>
          <w:tab w:val="left" w:pos="0"/>
        </w:tabs>
        <w:spacing w:before="240"/>
        <w:jc w:val="left"/>
        <w:rPr>
          <w:rFonts w:eastAsia="Arial Bold"/>
          <w:b/>
          <w:color w:val="000000"/>
          <w:sz w:val="24"/>
          <w:szCs w:val="24"/>
        </w:rPr>
      </w:pPr>
      <w:bookmarkStart w:id="25" w:name="_heading=h.2xcytpi" w:colFirst="0" w:colLast="0"/>
      <w:bookmarkEnd w:id="25"/>
      <w:r w:rsidRPr="00F31152">
        <w:rPr>
          <w:rFonts w:eastAsia="Arial Bold"/>
          <w:b/>
          <w:color w:val="000000"/>
          <w:sz w:val="24"/>
          <w:szCs w:val="24"/>
        </w:rPr>
        <w:t>Invoking the BCDR Plan</w:t>
      </w:r>
    </w:p>
    <w:p w14:paraId="0000006A"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000006B" w14:textId="77777777" w:rsidR="00D2585F" w:rsidRPr="00F31152" w:rsidRDefault="00665111">
      <w:pPr>
        <w:keepNext/>
        <w:numPr>
          <w:ilvl w:val="0"/>
          <w:numId w:val="6"/>
        </w:numPr>
        <w:pBdr>
          <w:top w:val="nil"/>
          <w:left w:val="nil"/>
          <w:bottom w:val="nil"/>
          <w:right w:val="nil"/>
          <w:between w:val="nil"/>
        </w:pBdr>
        <w:tabs>
          <w:tab w:val="left" w:pos="0"/>
        </w:tabs>
        <w:spacing w:before="240"/>
        <w:ind w:left="504"/>
        <w:jc w:val="left"/>
        <w:rPr>
          <w:b/>
          <w:smallCaps/>
          <w:color w:val="000000"/>
          <w:sz w:val="24"/>
          <w:szCs w:val="24"/>
        </w:rPr>
      </w:pPr>
      <w:r w:rsidRPr="00F31152">
        <w:rPr>
          <w:b/>
          <w:smallCaps/>
          <w:color w:val="000000"/>
          <w:sz w:val="24"/>
          <w:szCs w:val="24"/>
        </w:rPr>
        <w:lastRenderedPageBreak/>
        <w:t>C</w:t>
      </w:r>
      <w:r w:rsidRPr="00F31152">
        <w:rPr>
          <w:rFonts w:eastAsia="Arial Bold"/>
          <w:b/>
          <w:color w:val="000000"/>
          <w:sz w:val="24"/>
          <w:szCs w:val="24"/>
        </w:rPr>
        <w:t>ircumstances beyond your control</w:t>
      </w:r>
    </w:p>
    <w:p w14:paraId="0000006C"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000006D" w14:textId="77777777" w:rsidR="00D2585F" w:rsidRPr="00F31152" w:rsidRDefault="00665111">
      <w:pPr>
        <w:keepNext/>
        <w:numPr>
          <w:ilvl w:val="0"/>
          <w:numId w:val="6"/>
        </w:numPr>
        <w:pBdr>
          <w:top w:val="nil"/>
          <w:left w:val="nil"/>
          <w:bottom w:val="nil"/>
          <w:right w:val="nil"/>
          <w:between w:val="nil"/>
        </w:pBdr>
        <w:tabs>
          <w:tab w:val="left" w:pos="0"/>
        </w:tabs>
        <w:spacing w:before="240"/>
        <w:ind w:left="504"/>
        <w:jc w:val="left"/>
        <w:rPr>
          <w:rFonts w:eastAsia="Arial Bold"/>
          <w:b/>
          <w:color w:val="000000"/>
          <w:sz w:val="24"/>
          <w:szCs w:val="24"/>
        </w:rPr>
      </w:pPr>
      <w:r w:rsidRPr="00F31152">
        <w:rPr>
          <w:rFonts w:eastAsia="Arial Bold"/>
          <w:b/>
          <w:color w:val="000000"/>
          <w:sz w:val="24"/>
          <w:szCs w:val="24"/>
        </w:rPr>
        <w:t>Optional Clauses</w:t>
      </w:r>
    </w:p>
    <w:p w14:paraId="0000006E" w14:textId="77777777" w:rsidR="00D2585F" w:rsidRPr="00F31152" w:rsidRDefault="00665111">
      <w:pPr>
        <w:numPr>
          <w:ilvl w:val="1"/>
          <w:numId w:val="6"/>
        </w:numPr>
        <w:pBdr>
          <w:top w:val="nil"/>
          <w:left w:val="nil"/>
          <w:bottom w:val="nil"/>
          <w:right w:val="nil"/>
          <w:between w:val="nil"/>
        </w:pBdr>
        <w:spacing w:before="120" w:after="120"/>
        <w:jc w:val="left"/>
        <w:rPr>
          <w:color w:val="000000"/>
          <w:sz w:val="24"/>
          <w:szCs w:val="24"/>
        </w:rPr>
      </w:pPr>
      <w:r w:rsidRPr="00F31152">
        <w:rPr>
          <w:color w:val="000000"/>
          <w:sz w:val="24"/>
          <w:szCs w:val="24"/>
        </w:rPr>
        <w:t>Where a Buyer’s Call-Off Contract is a Gold Contract,</w:t>
      </w:r>
      <w:sdt>
        <w:sdtPr>
          <w:tag w:val="goog_rdk_0"/>
          <w:id w:val="1449971659"/>
        </w:sdtPr>
        <w:sdtEndPr/>
        <w:sdtContent/>
      </w:sdt>
      <w:r w:rsidRPr="00F31152">
        <w:rPr>
          <w:color w:val="000000"/>
          <w:sz w:val="24"/>
          <w:szCs w:val="24"/>
        </w:rPr>
        <w:t xml:space="preserve"> if specified in the Order Form, the terms at Annex 1 shall apply to the Call-Off Contract in addition to this Call-Off Schedule 8. </w:t>
      </w:r>
    </w:p>
    <w:p w14:paraId="0000006F" w14:textId="77777777" w:rsidR="00D2585F" w:rsidRPr="00F31152" w:rsidRDefault="00665111">
      <w:pPr>
        <w:ind w:firstLine="1418"/>
        <w:rPr>
          <w:color w:val="000000"/>
          <w:sz w:val="24"/>
          <w:szCs w:val="24"/>
        </w:rPr>
      </w:pPr>
      <w:r w:rsidRPr="00F31152">
        <w:br w:type="page"/>
      </w:r>
    </w:p>
    <w:p w14:paraId="00000070" w14:textId="77777777" w:rsidR="00D2585F" w:rsidRPr="00F31152" w:rsidRDefault="00665111">
      <w:pPr>
        <w:pBdr>
          <w:top w:val="nil"/>
          <w:left w:val="nil"/>
          <w:bottom w:val="nil"/>
          <w:right w:val="nil"/>
          <w:between w:val="nil"/>
        </w:pBdr>
        <w:spacing w:before="120" w:after="120"/>
        <w:ind w:left="0"/>
        <w:jc w:val="left"/>
        <w:rPr>
          <w:b/>
          <w:color w:val="000000"/>
          <w:sz w:val="24"/>
          <w:szCs w:val="24"/>
        </w:rPr>
      </w:pPr>
      <w:r w:rsidRPr="00F31152">
        <w:rPr>
          <w:b/>
          <w:color w:val="000000"/>
          <w:sz w:val="32"/>
          <w:szCs w:val="32"/>
        </w:rPr>
        <w:lastRenderedPageBreak/>
        <w:t>Annex 1: Optional Provisions for Gold Contracts</w:t>
      </w:r>
    </w:p>
    <w:p w14:paraId="00000071" w14:textId="77777777" w:rsidR="00D2585F" w:rsidRPr="00F31152" w:rsidRDefault="00665111">
      <w:pPr>
        <w:keepNext/>
        <w:numPr>
          <w:ilvl w:val="0"/>
          <w:numId w:val="4"/>
        </w:numPr>
        <w:pBdr>
          <w:top w:val="nil"/>
          <w:left w:val="nil"/>
          <w:bottom w:val="nil"/>
          <w:right w:val="nil"/>
          <w:between w:val="nil"/>
        </w:pBdr>
        <w:tabs>
          <w:tab w:val="left" w:pos="0"/>
        </w:tabs>
        <w:spacing w:before="240"/>
        <w:jc w:val="left"/>
        <w:rPr>
          <w:rFonts w:eastAsia="Arial Bold"/>
          <w:b/>
          <w:smallCaps/>
          <w:color w:val="000000"/>
          <w:sz w:val="24"/>
          <w:szCs w:val="24"/>
        </w:rPr>
      </w:pPr>
      <w:r w:rsidRPr="00F31152">
        <w:rPr>
          <w:rFonts w:eastAsia="Arial Bold"/>
          <w:b/>
          <w:smallCaps/>
          <w:color w:val="000000"/>
          <w:sz w:val="24"/>
          <w:szCs w:val="24"/>
        </w:rPr>
        <w:t>Definitions</w:t>
      </w:r>
    </w:p>
    <w:p w14:paraId="00000072" w14:textId="77777777" w:rsidR="00D2585F" w:rsidRPr="00F31152" w:rsidRDefault="00665111">
      <w:pPr>
        <w:keepNext/>
        <w:numPr>
          <w:ilvl w:val="1"/>
          <w:numId w:val="4"/>
        </w:numPr>
        <w:pBdr>
          <w:top w:val="nil"/>
          <w:left w:val="nil"/>
          <w:bottom w:val="nil"/>
          <w:right w:val="nil"/>
          <w:between w:val="nil"/>
        </w:pBdr>
        <w:spacing w:before="120" w:after="120"/>
        <w:jc w:val="left"/>
        <w:rPr>
          <w:color w:val="000000"/>
          <w:sz w:val="24"/>
          <w:szCs w:val="24"/>
        </w:rPr>
      </w:pPr>
      <w:r w:rsidRPr="00F31152">
        <w:rPr>
          <w:color w:val="000000"/>
          <w:sz w:val="24"/>
          <w:szCs w:val="24"/>
        </w:rPr>
        <w:t>In this Annex 1, the following words shall have the following meanings and they shall supplement Joint Schedule 1 (Definitions) and Paragraph 1.1 of Call-Off Schedule 8:</w:t>
      </w:r>
    </w:p>
    <w:tbl>
      <w:tblPr>
        <w:tblStyle w:val="a1"/>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D2585F" w:rsidRPr="00F31152" w14:paraId="73124D5D" w14:textId="77777777">
        <w:tc>
          <w:tcPr>
            <w:tcW w:w="3097" w:type="dxa"/>
          </w:tcPr>
          <w:p w14:paraId="00000073"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“Annual Revenue”</w:t>
            </w:r>
          </w:p>
        </w:tc>
        <w:tc>
          <w:tcPr>
            <w:tcW w:w="5075" w:type="dxa"/>
          </w:tcPr>
          <w:p w14:paraId="00000074"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000075" w14:textId="77777777" w:rsidR="00D2585F" w:rsidRPr="00F31152" w:rsidRDefault="00665111">
            <w:pPr>
              <w:numPr>
                <w:ilvl w:val="0"/>
                <w:numId w:val="2"/>
              </w:numPr>
              <w:pBdr>
                <w:top w:val="nil"/>
                <w:left w:val="nil"/>
                <w:bottom w:val="nil"/>
                <w:right w:val="nil"/>
                <w:between w:val="nil"/>
              </w:pBdr>
              <w:spacing w:after="240"/>
              <w:rPr>
                <w:rFonts w:ascii="Arial" w:hAnsi="Arial" w:cs="Arial"/>
              </w:rPr>
            </w:pPr>
            <w:r w:rsidRPr="00F31152">
              <w:rPr>
                <w:rFonts w:ascii="Arial" w:eastAsia="Arial" w:hAnsi="Arial" w:cs="Arial"/>
                <w:color w:val="000000"/>
                <w:sz w:val="22"/>
                <w:szCs w:val="22"/>
              </w:rPr>
              <w:t>figures for accounting periods of other than 12 months should be scaled pro rata to produce a proforma figure for a 12 month period; and</w:t>
            </w:r>
          </w:p>
          <w:p w14:paraId="00000076"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D2585F" w:rsidRPr="00F31152" w14:paraId="202ED236" w14:textId="77777777">
        <w:tc>
          <w:tcPr>
            <w:tcW w:w="3097" w:type="dxa"/>
          </w:tcPr>
          <w:p w14:paraId="00000077"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sz w:val="24"/>
                <w:szCs w:val="24"/>
              </w:rPr>
              <w:t>“Associates”</w:t>
            </w:r>
          </w:p>
        </w:tc>
        <w:tc>
          <w:tcPr>
            <w:tcW w:w="5075" w:type="dxa"/>
          </w:tcPr>
          <w:p w14:paraId="00000078"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D2585F" w:rsidRPr="00F31152" w14:paraId="3F432AF9" w14:textId="77777777">
        <w:tc>
          <w:tcPr>
            <w:tcW w:w="3097" w:type="dxa"/>
          </w:tcPr>
          <w:p w14:paraId="00000079"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“Class 1 Transaction”</w:t>
            </w:r>
          </w:p>
        </w:tc>
        <w:tc>
          <w:tcPr>
            <w:tcW w:w="5075" w:type="dxa"/>
          </w:tcPr>
          <w:p w14:paraId="0000007A"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sz w:val="24"/>
                <w:szCs w:val="24"/>
              </w:rPr>
              <w:t>has the meaning set out in the listing rules issued by the UK Listing Authority;</w:t>
            </w:r>
          </w:p>
        </w:tc>
      </w:tr>
      <w:tr w:rsidR="00D2585F" w:rsidRPr="00F31152" w14:paraId="0ED465A1" w14:textId="77777777">
        <w:tc>
          <w:tcPr>
            <w:tcW w:w="3097" w:type="dxa"/>
          </w:tcPr>
          <w:p w14:paraId="0000007B"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“Control”</w:t>
            </w:r>
          </w:p>
        </w:tc>
        <w:tc>
          <w:tcPr>
            <w:tcW w:w="5075" w:type="dxa"/>
          </w:tcPr>
          <w:p w14:paraId="0000007C"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sidRPr="00F31152">
              <w:rPr>
                <w:rFonts w:ascii="Arial" w:hAnsi="Arial" w:cs="Arial"/>
                <w:b/>
                <w:sz w:val="24"/>
                <w:szCs w:val="24"/>
              </w:rPr>
              <w:t>Controls</w:t>
            </w:r>
            <w:r w:rsidRPr="00F31152">
              <w:rPr>
                <w:rFonts w:ascii="Arial" w:hAnsi="Arial" w:cs="Arial"/>
                <w:sz w:val="24"/>
                <w:szCs w:val="24"/>
              </w:rPr>
              <w:t>” and “</w:t>
            </w:r>
            <w:r w:rsidRPr="00F31152">
              <w:rPr>
                <w:rFonts w:ascii="Arial" w:hAnsi="Arial" w:cs="Arial"/>
                <w:b/>
                <w:sz w:val="24"/>
                <w:szCs w:val="24"/>
              </w:rPr>
              <w:t>Controlled</w:t>
            </w:r>
            <w:r w:rsidRPr="00F31152">
              <w:rPr>
                <w:rFonts w:ascii="Arial" w:hAnsi="Arial" w:cs="Arial"/>
                <w:sz w:val="24"/>
                <w:szCs w:val="24"/>
              </w:rPr>
              <w:t>” shall be interpreted accordingly;</w:t>
            </w:r>
          </w:p>
        </w:tc>
      </w:tr>
      <w:tr w:rsidR="00D2585F" w:rsidRPr="00F31152" w14:paraId="054B9CCC" w14:textId="77777777">
        <w:tc>
          <w:tcPr>
            <w:tcW w:w="3097" w:type="dxa"/>
          </w:tcPr>
          <w:p w14:paraId="0000007D"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“Corporate Change Event”</w:t>
            </w:r>
          </w:p>
        </w:tc>
        <w:tc>
          <w:tcPr>
            <w:tcW w:w="5075" w:type="dxa"/>
          </w:tcPr>
          <w:p w14:paraId="0000007E"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means:</w:t>
            </w:r>
          </w:p>
          <w:p w14:paraId="0000007F" w14:textId="77777777" w:rsidR="00D2585F" w:rsidRPr="00F31152" w:rsidRDefault="00665111">
            <w:pPr>
              <w:numPr>
                <w:ilvl w:val="0"/>
                <w:numId w:val="2"/>
              </w:numPr>
              <w:pBdr>
                <w:top w:val="nil"/>
                <w:left w:val="nil"/>
                <w:bottom w:val="nil"/>
                <w:right w:val="nil"/>
                <w:between w:val="nil"/>
              </w:pBdr>
              <w:spacing w:after="240"/>
              <w:rPr>
                <w:rFonts w:ascii="Arial" w:hAnsi="Arial" w:cs="Arial"/>
              </w:rPr>
            </w:pPr>
            <w:r w:rsidRPr="00F31152">
              <w:rPr>
                <w:rFonts w:ascii="Arial" w:eastAsia="Arial" w:hAnsi="Arial" w:cs="Arial"/>
                <w:color w:val="000000"/>
                <w:sz w:val="22"/>
                <w:szCs w:val="22"/>
              </w:rPr>
              <w:lastRenderedPageBreak/>
              <w:t>any change of Control of the Supplier or a Parent Undertaking of the Supplier;</w:t>
            </w:r>
          </w:p>
          <w:p w14:paraId="00000080"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00000081"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00000082"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00000083"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bookmarkStart w:id="26" w:name="_heading=h.3whwml4" w:colFirst="0" w:colLast="0"/>
            <w:bookmarkEnd w:id="26"/>
            <w:r w:rsidRPr="00F31152">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00000084"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payment of dividends by the Supplier or the ultimate Parent Undertaking of the Supplier Group exceeding 25% of the Net Asset Value of the Supplier or the ultimate Parent Undertaking of the Supplier Group respectively in any 12 month period;</w:t>
            </w:r>
          </w:p>
          <w:p w14:paraId="00000085"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bookmarkStart w:id="27" w:name="_heading=h.2bn6wsx" w:colFirst="0" w:colLast="0"/>
            <w:bookmarkEnd w:id="27"/>
            <w:r w:rsidRPr="00F31152">
              <w:rPr>
                <w:rFonts w:ascii="Arial" w:eastAsia="Arial" w:hAnsi="Arial" w:cs="Arial"/>
                <w:color w:val="000000"/>
                <w:sz w:val="24"/>
                <w:szCs w:val="24"/>
              </w:rPr>
              <w:t xml:space="preserve">an order is made or an effective resolution is passed for the winding up of any member of the Supplier Group; </w:t>
            </w:r>
          </w:p>
          <w:p w14:paraId="00000086"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bookmarkStart w:id="28" w:name="_heading=h.qsh70q" w:colFirst="0" w:colLast="0"/>
            <w:bookmarkEnd w:id="28"/>
            <w:r w:rsidRPr="00F31152">
              <w:rPr>
                <w:rFonts w:ascii="Arial" w:eastAsia="Arial" w:hAnsi="Arial" w:cs="Arial"/>
                <w:color w:val="000000"/>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00000087"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00000088"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bookmarkStart w:id="29" w:name="_heading=h.3as4poj" w:colFirst="0" w:colLast="0"/>
            <w:bookmarkEnd w:id="29"/>
            <w:r w:rsidRPr="00F31152">
              <w:rPr>
                <w:rFonts w:ascii="Arial" w:eastAsia="Arial" w:hAnsi="Arial" w:cs="Arial"/>
                <w:color w:val="000000"/>
                <w:sz w:val="24"/>
                <w:szCs w:val="24"/>
              </w:rPr>
              <w:lastRenderedPageBreak/>
              <w:t>any process or events with an effect analogous to those in paragraphs (e) to (g) inclusive above occurring to a member of the Supplier Group in a jurisdiction outside England and Wales;</w:t>
            </w:r>
          </w:p>
        </w:tc>
      </w:tr>
      <w:tr w:rsidR="00D2585F" w:rsidRPr="00F31152" w14:paraId="40CAE047" w14:textId="77777777">
        <w:tc>
          <w:tcPr>
            <w:tcW w:w="3097" w:type="dxa"/>
          </w:tcPr>
          <w:p w14:paraId="00000089"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lastRenderedPageBreak/>
              <w:t>“Critical National Infrastructure”</w:t>
            </w:r>
          </w:p>
        </w:tc>
        <w:tc>
          <w:tcPr>
            <w:tcW w:w="5075" w:type="dxa"/>
          </w:tcPr>
          <w:p w14:paraId="0000008A"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0000008B" w14:textId="77777777" w:rsidR="00D2585F" w:rsidRPr="00F31152" w:rsidRDefault="00665111">
            <w:pPr>
              <w:numPr>
                <w:ilvl w:val="0"/>
                <w:numId w:val="2"/>
              </w:numPr>
              <w:pBdr>
                <w:top w:val="nil"/>
                <w:left w:val="nil"/>
                <w:bottom w:val="nil"/>
                <w:right w:val="nil"/>
                <w:between w:val="nil"/>
              </w:pBdr>
              <w:spacing w:after="240"/>
              <w:rPr>
                <w:rFonts w:ascii="Arial" w:hAnsi="Arial" w:cs="Arial"/>
              </w:rPr>
            </w:pPr>
            <w:r w:rsidRPr="00F31152">
              <w:rPr>
                <w:rFonts w:ascii="Arial" w:eastAsia="Arial" w:hAnsi="Arial" w:cs="Arial"/>
                <w:color w:val="000000"/>
                <w:sz w:val="22"/>
                <w:szCs w:val="22"/>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0000008C"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sz w:val="24"/>
                <w:szCs w:val="24"/>
              </w:rPr>
              <w:t>significant impact on the national security, national defence, or the functioning of the UK;</w:t>
            </w:r>
          </w:p>
        </w:tc>
      </w:tr>
      <w:tr w:rsidR="00D2585F" w:rsidRPr="00F31152" w14:paraId="420AD70A" w14:textId="77777777">
        <w:tc>
          <w:tcPr>
            <w:tcW w:w="3097" w:type="dxa"/>
          </w:tcPr>
          <w:p w14:paraId="0000008D"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“Critical Service Contract”</w:t>
            </w:r>
          </w:p>
        </w:tc>
        <w:tc>
          <w:tcPr>
            <w:tcW w:w="5075" w:type="dxa"/>
          </w:tcPr>
          <w:p w14:paraId="0000008E"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sz w:val="24"/>
                <w:szCs w:val="24"/>
              </w:rPr>
              <w:t>a service contract which the Buyer has categorised as a Gold Contract or which the Buyer otherwise considers should be classed as a Critical Service Contract;</w:t>
            </w:r>
          </w:p>
        </w:tc>
      </w:tr>
      <w:tr w:rsidR="00D2585F" w:rsidRPr="00F31152" w14:paraId="34E86CE8" w14:textId="77777777">
        <w:tc>
          <w:tcPr>
            <w:tcW w:w="3097" w:type="dxa"/>
          </w:tcPr>
          <w:p w14:paraId="0000008F"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“CRP Information”</w:t>
            </w:r>
          </w:p>
        </w:tc>
        <w:tc>
          <w:tcPr>
            <w:tcW w:w="5075" w:type="dxa"/>
          </w:tcPr>
          <w:p w14:paraId="00000090" w14:textId="77777777" w:rsidR="00D2585F" w:rsidRPr="00F31152" w:rsidRDefault="00665111">
            <w:pPr>
              <w:pBdr>
                <w:top w:val="nil"/>
                <w:left w:val="nil"/>
                <w:bottom w:val="nil"/>
                <w:right w:val="nil"/>
                <w:between w:val="nil"/>
              </w:pBdr>
              <w:spacing w:before="100" w:after="200"/>
              <w:ind w:left="0"/>
              <w:jc w:val="left"/>
              <w:rPr>
                <w:rFonts w:ascii="Arial" w:eastAsia="Arial" w:hAnsi="Arial" w:cs="Arial"/>
                <w:color w:val="000000"/>
                <w:sz w:val="24"/>
                <w:szCs w:val="24"/>
              </w:rPr>
            </w:pPr>
            <w:r w:rsidRPr="00F31152">
              <w:rPr>
                <w:rFonts w:ascii="Arial" w:eastAsia="Arial" w:hAnsi="Arial" w:cs="Arial"/>
                <w:color w:val="000000"/>
                <w:sz w:val="24"/>
                <w:szCs w:val="24"/>
              </w:rPr>
              <w:t>means, together, the:</w:t>
            </w:r>
          </w:p>
          <w:p w14:paraId="00000091" w14:textId="77777777" w:rsidR="00D2585F" w:rsidRPr="00F31152" w:rsidRDefault="00665111">
            <w:pPr>
              <w:numPr>
                <w:ilvl w:val="0"/>
                <w:numId w:val="2"/>
              </w:numPr>
              <w:pBdr>
                <w:top w:val="nil"/>
                <w:left w:val="nil"/>
                <w:bottom w:val="nil"/>
                <w:right w:val="nil"/>
                <w:between w:val="nil"/>
              </w:pBdr>
              <w:spacing w:after="240"/>
              <w:rPr>
                <w:rFonts w:ascii="Arial" w:hAnsi="Arial" w:cs="Arial"/>
              </w:rPr>
            </w:pPr>
            <w:r w:rsidRPr="00F31152">
              <w:rPr>
                <w:rFonts w:ascii="Arial" w:eastAsia="Arial" w:hAnsi="Arial" w:cs="Arial"/>
                <w:color w:val="000000"/>
                <w:sz w:val="22"/>
                <w:szCs w:val="22"/>
              </w:rPr>
              <w:t>Group Structure Information and Resolution Commentary; and</w:t>
            </w:r>
          </w:p>
          <w:p w14:paraId="00000092"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r w:rsidRPr="00F31152">
              <w:rPr>
                <w:rFonts w:ascii="Arial" w:hAnsi="Arial" w:cs="Arial"/>
              </w:rPr>
              <w:t>UK Public Sector and CNI Contract Information;</w:t>
            </w:r>
          </w:p>
        </w:tc>
      </w:tr>
      <w:tr w:rsidR="00D2585F" w:rsidRPr="00F31152" w14:paraId="53A6C4B1" w14:textId="77777777">
        <w:tc>
          <w:tcPr>
            <w:tcW w:w="3097" w:type="dxa"/>
          </w:tcPr>
          <w:p w14:paraId="00000093"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sz w:val="24"/>
                <w:szCs w:val="24"/>
              </w:rPr>
              <w:t>“Dependent Parent Undertaking”</w:t>
            </w:r>
          </w:p>
        </w:tc>
        <w:tc>
          <w:tcPr>
            <w:tcW w:w="5075" w:type="dxa"/>
          </w:tcPr>
          <w:p w14:paraId="00000094"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D2585F" w:rsidRPr="00F31152" w14:paraId="3FD48DEC" w14:textId="77777777">
        <w:tc>
          <w:tcPr>
            <w:tcW w:w="3097" w:type="dxa"/>
          </w:tcPr>
          <w:p w14:paraId="00000095"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lastRenderedPageBreak/>
              <w:t>“Group Structure Information and Resolution Commentary”</w:t>
            </w:r>
          </w:p>
        </w:tc>
        <w:tc>
          <w:tcPr>
            <w:tcW w:w="5075" w:type="dxa"/>
          </w:tcPr>
          <w:p w14:paraId="00000096"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bookmarkStart w:id="30" w:name="_heading=h.1pxezwc" w:colFirst="0" w:colLast="0"/>
            <w:bookmarkEnd w:id="30"/>
            <w:r w:rsidRPr="00F31152">
              <w:rPr>
                <w:rFonts w:ascii="Arial" w:hAnsi="Arial" w:cs="Arial"/>
                <w:sz w:val="24"/>
                <w:szCs w:val="24"/>
              </w:rPr>
              <w:t>means the information relating to the Supplier Group to be provided by the Supplier in accordance with Paragraphs 3 to 5 and Appendix 1 to Part B of Annex 1;</w:t>
            </w:r>
          </w:p>
        </w:tc>
      </w:tr>
      <w:tr w:rsidR="00D2585F" w:rsidRPr="00F31152" w14:paraId="5855657C" w14:textId="77777777">
        <w:tc>
          <w:tcPr>
            <w:tcW w:w="3097" w:type="dxa"/>
          </w:tcPr>
          <w:p w14:paraId="00000097"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sz w:val="24"/>
                <w:szCs w:val="24"/>
              </w:rPr>
              <w:t>“Parent Undertaking”</w:t>
            </w:r>
          </w:p>
        </w:tc>
        <w:tc>
          <w:tcPr>
            <w:tcW w:w="5075" w:type="dxa"/>
          </w:tcPr>
          <w:p w14:paraId="00000098"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sz w:val="24"/>
                <w:szCs w:val="24"/>
              </w:rPr>
              <w:t>has the meaning set out in section 1162 of the Companies Act 2006;</w:t>
            </w:r>
          </w:p>
        </w:tc>
      </w:tr>
      <w:tr w:rsidR="00D2585F" w:rsidRPr="00F31152" w14:paraId="6D43D919" w14:textId="77777777">
        <w:tc>
          <w:tcPr>
            <w:tcW w:w="3097" w:type="dxa"/>
          </w:tcPr>
          <w:p w14:paraId="00000099"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“Public Sector Dependent Supplier”</w:t>
            </w:r>
          </w:p>
        </w:tc>
        <w:tc>
          <w:tcPr>
            <w:tcW w:w="5075" w:type="dxa"/>
          </w:tcPr>
          <w:p w14:paraId="0000009A" w14:textId="77777777" w:rsidR="00D2585F" w:rsidRPr="00F31152" w:rsidRDefault="00A83015">
            <w:pPr>
              <w:numPr>
                <w:ilvl w:val="0"/>
                <w:numId w:val="7"/>
              </w:numPr>
              <w:pBdr>
                <w:top w:val="nil"/>
                <w:left w:val="nil"/>
                <w:bottom w:val="nil"/>
                <w:right w:val="nil"/>
                <w:between w:val="nil"/>
              </w:pBdr>
              <w:tabs>
                <w:tab w:val="left" w:pos="-9"/>
              </w:tabs>
              <w:spacing w:after="120"/>
              <w:jc w:val="left"/>
              <w:rPr>
                <w:rFonts w:ascii="Arial" w:hAnsi="Arial" w:cs="Arial"/>
                <w:sz w:val="24"/>
                <w:szCs w:val="24"/>
              </w:rPr>
            </w:pPr>
            <w:sdt>
              <w:sdtPr>
                <w:tag w:val="goog_rdk_1"/>
                <w:id w:val="-1102724613"/>
              </w:sdtPr>
              <w:sdtEndPr/>
              <w:sdtContent/>
            </w:sdt>
            <w:r w:rsidR="00665111" w:rsidRPr="00F31152">
              <w:rPr>
                <w:rFonts w:ascii="Arial" w:hAnsi="Arial" w:cs="Arial"/>
                <w:sz w:val="24"/>
                <w:szCs w:val="24"/>
              </w:rPr>
              <w:t>means a supplier where that supplier, or that supplier’s group has Annual Revenue of £50 million or more of which over 50% is generated from UK Public Sector Business;</w:t>
            </w:r>
          </w:p>
        </w:tc>
      </w:tr>
      <w:tr w:rsidR="00D2585F" w:rsidRPr="00F31152" w14:paraId="5EEC72F1" w14:textId="77777777">
        <w:tc>
          <w:tcPr>
            <w:tcW w:w="3097" w:type="dxa"/>
          </w:tcPr>
          <w:p w14:paraId="0000009B"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bookmarkStart w:id="31" w:name="_heading=h.49x2ik5" w:colFirst="0" w:colLast="0"/>
            <w:bookmarkEnd w:id="31"/>
            <w:r w:rsidRPr="00F31152">
              <w:rPr>
                <w:rFonts w:ascii="Arial" w:hAnsi="Arial" w:cs="Arial"/>
                <w:b/>
                <w:sz w:val="24"/>
                <w:szCs w:val="24"/>
              </w:rPr>
              <w:t>“Relevant Authority” or “Relevant Authorities”</w:t>
            </w:r>
          </w:p>
        </w:tc>
        <w:tc>
          <w:tcPr>
            <w:tcW w:w="5075" w:type="dxa"/>
          </w:tcPr>
          <w:p w14:paraId="0000009C"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bookmarkStart w:id="32" w:name="_heading=h.2p2csry" w:colFirst="0" w:colLast="0"/>
            <w:bookmarkEnd w:id="32"/>
            <w:r w:rsidRPr="00F31152">
              <w:rPr>
                <w:rFonts w:ascii="Arial" w:hAnsi="Arial" w:cs="Arial"/>
                <w:sz w:val="24"/>
                <w:szCs w:val="24"/>
              </w:rPr>
              <w:t>means the Buyer and the Cabinet Office Markets and Suppliers Team or, where the Supplier is a Strategic Supplier, the Cabinet Office Markets and Suppliers Team;</w:t>
            </w:r>
          </w:p>
        </w:tc>
      </w:tr>
      <w:tr w:rsidR="00D2585F" w:rsidRPr="00F31152" w14:paraId="30025FE4" w14:textId="77777777">
        <w:trPr>
          <w:trHeight w:val="567"/>
        </w:trPr>
        <w:tc>
          <w:tcPr>
            <w:tcW w:w="3097" w:type="dxa"/>
          </w:tcPr>
          <w:p w14:paraId="0000009D"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sz w:val="24"/>
                <w:szCs w:val="24"/>
              </w:rPr>
              <w:t>“Subsidiary Undertaking”</w:t>
            </w:r>
          </w:p>
        </w:tc>
        <w:tc>
          <w:tcPr>
            <w:tcW w:w="5075" w:type="dxa"/>
          </w:tcPr>
          <w:p w14:paraId="0000009E"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sz w:val="24"/>
                <w:szCs w:val="24"/>
              </w:rPr>
              <w:t>has the meaning set out in section 1162 of the Companies Act 2006;</w:t>
            </w:r>
          </w:p>
        </w:tc>
      </w:tr>
      <w:tr w:rsidR="00D2585F" w:rsidRPr="00F31152" w14:paraId="66258D96" w14:textId="77777777">
        <w:trPr>
          <w:trHeight w:val="567"/>
        </w:trPr>
        <w:tc>
          <w:tcPr>
            <w:tcW w:w="3097" w:type="dxa"/>
          </w:tcPr>
          <w:p w14:paraId="0000009F" w14:textId="77777777" w:rsidR="00D2585F" w:rsidRPr="00F31152" w:rsidRDefault="00665111">
            <w:pPr>
              <w:pBdr>
                <w:top w:val="nil"/>
                <w:left w:val="nil"/>
                <w:bottom w:val="nil"/>
                <w:right w:val="nil"/>
                <w:between w:val="nil"/>
              </w:pBdr>
              <w:spacing w:after="120"/>
              <w:ind w:left="-108"/>
              <w:jc w:val="left"/>
              <w:rPr>
                <w:rFonts w:ascii="Arial" w:hAnsi="Arial" w:cs="Arial"/>
                <w:b/>
                <w:color w:val="000000"/>
                <w:sz w:val="24"/>
                <w:szCs w:val="24"/>
              </w:rPr>
            </w:pPr>
            <w:r w:rsidRPr="00F31152">
              <w:rPr>
                <w:rFonts w:ascii="Arial" w:hAnsi="Arial" w:cs="Arial"/>
                <w:b/>
                <w:sz w:val="24"/>
                <w:szCs w:val="24"/>
              </w:rPr>
              <w:t>“Supplier Group”</w:t>
            </w:r>
          </w:p>
        </w:tc>
        <w:tc>
          <w:tcPr>
            <w:tcW w:w="5075" w:type="dxa"/>
          </w:tcPr>
          <w:p w14:paraId="000000A0"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color w:val="000000"/>
                <w:sz w:val="24"/>
                <w:szCs w:val="24"/>
              </w:rPr>
            </w:pPr>
            <w:r w:rsidRPr="00F31152">
              <w:rPr>
                <w:rFonts w:ascii="Arial" w:hAnsi="Arial" w:cs="Arial"/>
                <w:sz w:val="24"/>
                <w:szCs w:val="24"/>
              </w:rPr>
              <w:t>means the Supplier, its Dependent Parent Undertakings and all Subsidiary Undertakings and Associates of such Dependent Parent Undertakings;</w:t>
            </w:r>
          </w:p>
        </w:tc>
      </w:tr>
      <w:tr w:rsidR="00D2585F" w:rsidRPr="00F31152" w14:paraId="49B59293" w14:textId="77777777">
        <w:trPr>
          <w:trHeight w:val="567"/>
        </w:trPr>
        <w:tc>
          <w:tcPr>
            <w:tcW w:w="3097" w:type="dxa"/>
          </w:tcPr>
          <w:p w14:paraId="000000A1"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“UK Public Sector Business”</w:t>
            </w:r>
          </w:p>
        </w:tc>
        <w:tc>
          <w:tcPr>
            <w:tcW w:w="5075" w:type="dxa"/>
          </w:tcPr>
          <w:p w14:paraId="000000A2"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bookmarkStart w:id="33" w:name="_heading=h.147n2zr" w:colFirst="0" w:colLast="0"/>
            <w:bookmarkEnd w:id="33"/>
            <w:r w:rsidRPr="00F31152">
              <w:rPr>
                <w:rFonts w:ascii="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w:t>
            </w:r>
          </w:p>
        </w:tc>
      </w:tr>
      <w:tr w:rsidR="00D2585F" w:rsidRPr="00F31152" w14:paraId="55C4FE7F" w14:textId="77777777">
        <w:trPr>
          <w:trHeight w:val="567"/>
        </w:trPr>
        <w:tc>
          <w:tcPr>
            <w:tcW w:w="3097" w:type="dxa"/>
          </w:tcPr>
          <w:p w14:paraId="000000A3" w14:textId="77777777" w:rsidR="00D2585F" w:rsidRPr="00F31152" w:rsidRDefault="00665111">
            <w:pPr>
              <w:pBdr>
                <w:top w:val="nil"/>
                <w:left w:val="nil"/>
                <w:bottom w:val="nil"/>
                <w:right w:val="nil"/>
                <w:between w:val="nil"/>
              </w:pBdr>
              <w:spacing w:after="120"/>
              <w:ind w:left="-108"/>
              <w:jc w:val="left"/>
              <w:rPr>
                <w:rFonts w:ascii="Arial" w:hAnsi="Arial" w:cs="Arial"/>
                <w:b/>
                <w:sz w:val="24"/>
                <w:szCs w:val="24"/>
              </w:rPr>
            </w:pPr>
            <w:r w:rsidRPr="00F31152">
              <w:rPr>
                <w:rFonts w:ascii="Arial" w:hAnsi="Arial" w:cs="Arial"/>
                <w:b/>
                <w:sz w:val="24"/>
                <w:szCs w:val="24"/>
              </w:rPr>
              <w:t>“UK Public Sector / CNI Contract Information”</w:t>
            </w:r>
          </w:p>
        </w:tc>
        <w:tc>
          <w:tcPr>
            <w:tcW w:w="5075" w:type="dxa"/>
          </w:tcPr>
          <w:p w14:paraId="000000A4" w14:textId="77777777" w:rsidR="00D2585F" w:rsidRPr="00F31152" w:rsidRDefault="00665111">
            <w:pPr>
              <w:numPr>
                <w:ilvl w:val="0"/>
                <w:numId w:val="7"/>
              </w:numPr>
              <w:pBdr>
                <w:top w:val="nil"/>
                <w:left w:val="nil"/>
                <w:bottom w:val="nil"/>
                <w:right w:val="nil"/>
                <w:between w:val="nil"/>
              </w:pBdr>
              <w:tabs>
                <w:tab w:val="left" w:pos="-9"/>
              </w:tabs>
              <w:spacing w:after="120"/>
              <w:jc w:val="left"/>
              <w:rPr>
                <w:rFonts w:ascii="Arial" w:hAnsi="Arial" w:cs="Arial"/>
                <w:sz w:val="24"/>
                <w:szCs w:val="24"/>
              </w:rPr>
            </w:pPr>
            <w:bookmarkStart w:id="34" w:name="_heading=h.3o7alnk" w:colFirst="0" w:colLast="0"/>
            <w:bookmarkEnd w:id="34"/>
            <w:r w:rsidRPr="00F31152">
              <w:rPr>
                <w:rFonts w:ascii="Arial" w:hAnsi="Arial" w:cs="Arial"/>
                <w:sz w:val="24"/>
                <w:szCs w:val="24"/>
              </w:rPr>
              <w:t>means the information relating to the Supplier Group to be provided by the Supplier in accordance with Paragraphs 3 to 5 and Appendix 2 of Part B of Annex 1;</w:t>
            </w:r>
          </w:p>
        </w:tc>
      </w:tr>
    </w:tbl>
    <w:p w14:paraId="000000A5" w14:textId="77777777" w:rsidR="00D2585F" w:rsidRPr="00F31152" w:rsidRDefault="00A83015">
      <w:pPr>
        <w:pBdr>
          <w:top w:val="nil"/>
          <w:left w:val="nil"/>
          <w:bottom w:val="nil"/>
          <w:right w:val="nil"/>
          <w:between w:val="nil"/>
        </w:pBdr>
        <w:spacing w:before="120" w:after="120"/>
        <w:ind w:left="0"/>
        <w:jc w:val="left"/>
        <w:rPr>
          <w:b/>
          <w:color w:val="000000"/>
          <w:sz w:val="32"/>
          <w:szCs w:val="32"/>
        </w:rPr>
      </w:pPr>
      <w:sdt>
        <w:sdtPr>
          <w:tag w:val="goog_rdk_2"/>
          <w:id w:val="46725663"/>
        </w:sdtPr>
        <w:sdtEndPr/>
        <w:sdtContent/>
      </w:sdt>
      <w:r w:rsidR="00665111" w:rsidRPr="00F31152">
        <w:rPr>
          <w:b/>
          <w:color w:val="000000"/>
          <w:sz w:val="32"/>
          <w:szCs w:val="32"/>
        </w:rPr>
        <w:t>Part A: Insolvency Continuity Plan</w:t>
      </w:r>
    </w:p>
    <w:p w14:paraId="000000A6" w14:textId="77777777" w:rsidR="00D2585F" w:rsidRPr="00F31152" w:rsidRDefault="00665111">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sidRPr="00F31152">
        <w:rPr>
          <w:rFonts w:eastAsia="Arial"/>
          <w:b/>
          <w:color w:val="000000"/>
          <w:sz w:val="24"/>
          <w:szCs w:val="24"/>
        </w:rPr>
        <w:t>Service Continuity Plan: Section 4 – Insolvency Continuity Plan</w:t>
      </w:r>
    </w:p>
    <w:p w14:paraId="000000A7"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In addition to the sections detailed in Paragraph 2.3 of Call-Off Schedule 8, the BCDR plan shall have a Section 4 which shall relate to an Insolvency Event of the Supplier, and Key-Subcontractors and/or any Supplier Group member (the “</w:t>
      </w:r>
      <w:r w:rsidRPr="00F31152">
        <w:rPr>
          <w:rFonts w:eastAsia="Arial"/>
          <w:b/>
          <w:color w:val="000000"/>
          <w:sz w:val="24"/>
          <w:szCs w:val="24"/>
        </w:rPr>
        <w:t>Insolvency Continuity Plan</w:t>
      </w:r>
      <w:r w:rsidRPr="00F31152">
        <w:rPr>
          <w:rFonts w:eastAsia="Arial"/>
          <w:color w:val="000000"/>
          <w:sz w:val="24"/>
          <w:szCs w:val="24"/>
        </w:rPr>
        <w:t xml:space="preserve">”). </w:t>
      </w:r>
    </w:p>
    <w:p w14:paraId="000000A8"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w:t>
      </w:r>
      <w:r w:rsidRPr="00F31152">
        <w:rPr>
          <w:rFonts w:eastAsia="Arial"/>
          <w:color w:val="000000"/>
          <w:sz w:val="24"/>
          <w:szCs w:val="24"/>
        </w:rPr>
        <w:lastRenderedPageBreak/>
        <w:t>of the Supplier, any Key Sub-contractor and/or any Supplier Group member with, as far as reasonably possible, minimal adverse impact.</w:t>
      </w:r>
    </w:p>
    <w:p w14:paraId="000000A9"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Insolvency Continuity Plan shall include the following:</w:t>
      </w:r>
    </w:p>
    <w:p w14:paraId="000000AA"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000000AB"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000000AC"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plans to manage and mitigate identified risks;</w:t>
      </w:r>
    </w:p>
    <w:p w14:paraId="000000AD"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details of the roles and responsibilities of the Supplier, Key Subcontractors and/or Supplier Group members to minimise and mitigate the effects of an Insolvency Event of such persons on the Deliverables;</w:t>
      </w:r>
    </w:p>
    <w:p w14:paraId="000000AE"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details of the recovery team to be put in place by the Supplier (which may include representatives of the Supplier, Key Subcontractors and Supplier Group members); and</w:t>
      </w:r>
    </w:p>
    <w:p w14:paraId="000000AF" w14:textId="77777777" w:rsidR="00D2585F" w:rsidRPr="00F31152" w:rsidRDefault="00665111">
      <w:pPr>
        <w:numPr>
          <w:ilvl w:val="2"/>
          <w:numId w:val="1"/>
        </w:numPr>
        <w:pBdr>
          <w:top w:val="nil"/>
          <w:left w:val="nil"/>
          <w:bottom w:val="nil"/>
          <w:right w:val="nil"/>
          <w:between w:val="nil"/>
        </w:pBdr>
        <w:tabs>
          <w:tab w:val="left" w:pos="1985"/>
          <w:tab w:val="left" w:pos="2127"/>
        </w:tabs>
        <w:spacing w:before="120" w:after="120"/>
        <w:rPr>
          <w:rFonts w:eastAsia="Arial"/>
          <w:color w:val="000000"/>
          <w:sz w:val="24"/>
          <w:szCs w:val="24"/>
        </w:rPr>
      </w:pPr>
      <w:r w:rsidRPr="00F31152">
        <w:rPr>
          <w:rFonts w:eastAsia="Arial"/>
          <w:color w:val="000000"/>
          <w:sz w:val="24"/>
          <w:szCs w:val="24"/>
        </w:rPr>
        <w:t>sufficient detail to enable an appointed insolvency practitioner to invoke the plan in the event of an Insolvency Event of the Supplier.</w:t>
      </w:r>
    </w:p>
    <w:p w14:paraId="000000B0" w14:textId="77777777" w:rsidR="00D2585F" w:rsidRPr="00F31152" w:rsidRDefault="00665111">
      <w:pPr>
        <w:keepNext/>
        <w:numPr>
          <w:ilvl w:val="2"/>
          <w:numId w:val="1"/>
        </w:numPr>
        <w:pBdr>
          <w:top w:val="nil"/>
          <w:left w:val="nil"/>
          <w:bottom w:val="nil"/>
          <w:right w:val="nil"/>
          <w:between w:val="nil"/>
        </w:pBdr>
        <w:spacing w:before="120" w:after="120"/>
        <w:jc w:val="left"/>
        <w:rPr>
          <w:color w:val="000000"/>
          <w:sz w:val="24"/>
          <w:szCs w:val="24"/>
        </w:rPr>
      </w:pPr>
      <w:r w:rsidRPr="00F31152">
        <w:rPr>
          <w:sz w:val="24"/>
          <w:szCs w:val="24"/>
        </w:rPr>
        <w:t xml:space="preserve">In addition to the provisions of Paragraph 3.1.1 of Call-Off Schedule 8, </w:t>
      </w:r>
      <w:r w:rsidRPr="00F31152">
        <w:rPr>
          <w:color w:val="000000"/>
          <w:sz w:val="24"/>
          <w:szCs w:val="24"/>
        </w:rPr>
        <w:t>Section 1 of the BCDR Plan shall:</w:t>
      </w:r>
    </w:p>
    <w:p w14:paraId="000000B1"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000000B2"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contain an obligation upon the Supplier to liaise with the Buyer and (at the Buyer’s request) any Related Supplier with respect to issues concerning insolvency continuity where applicable; and</w:t>
      </w:r>
    </w:p>
    <w:p w14:paraId="000000B3"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detail how the BCDR Plan links and interoperates with any overarching and/or connected insolvency continuity plan of the Buyer and any of its other Related Service Suppliers in each case as notified to the Supplier by the Buyer from time to time.</w:t>
      </w:r>
    </w:p>
    <w:p w14:paraId="000000B4"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The Insolvency Continuity Plan element of the BCDR Plan, including any linked elements in other parts of the BCDR Plan, shall be invoked by the Supplier:</w:t>
      </w:r>
    </w:p>
    <w:p w14:paraId="000000B5"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where an Insolvency Event of a Key Sub-contractor and/or Supplier Group member (other than the Supplier) could reasonably be expected to adversely affect delivery of the Deliverables; and/or</w:t>
      </w:r>
    </w:p>
    <w:p w14:paraId="000000B6"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where there is an Insolvency Event of the Supplier and the insolvency arrangements enable the Supplier to invoke the plan.</w:t>
      </w:r>
    </w:p>
    <w:p w14:paraId="000000B7" w14:textId="77777777" w:rsidR="00D2585F" w:rsidRPr="00F31152" w:rsidRDefault="00665111">
      <w:pPr>
        <w:ind w:firstLine="1418"/>
        <w:rPr>
          <w:rFonts w:eastAsia="Calibri"/>
        </w:rPr>
      </w:pPr>
      <w:r w:rsidRPr="00F31152">
        <w:lastRenderedPageBreak/>
        <w:br w:type="page"/>
      </w:r>
    </w:p>
    <w:p w14:paraId="000000B8" w14:textId="77777777" w:rsidR="00D2585F" w:rsidRPr="00F31152" w:rsidRDefault="00665111">
      <w:pPr>
        <w:pBdr>
          <w:top w:val="nil"/>
          <w:left w:val="nil"/>
          <w:bottom w:val="nil"/>
          <w:right w:val="nil"/>
          <w:between w:val="nil"/>
        </w:pBdr>
        <w:spacing w:before="120" w:after="120"/>
        <w:ind w:left="720" w:hanging="720"/>
        <w:rPr>
          <w:rFonts w:eastAsia="Arial"/>
          <w:b/>
          <w:color w:val="000000"/>
          <w:sz w:val="32"/>
          <w:szCs w:val="32"/>
        </w:rPr>
      </w:pPr>
      <w:r w:rsidRPr="00F31152">
        <w:rPr>
          <w:rFonts w:eastAsia="Arial"/>
          <w:b/>
          <w:color w:val="000000"/>
          <w:sz w:val="32"/>
          <w:szCs w:val="32"/>
        </w:rPr>
        <w:lastRenderedPageBreak/>
        <w:t>Part B:  Corporate Resolution Planning</w:t>
      </w:r>
    </w:p>
    <w:p w14:paraId="000000B9" w14:textId="77777777" w:rsidR="00D2585F" w:rsidRPr="00F31152" w:rsidRDefault="00665111">
      <w:pPr>
        <w:keepNext/>
        <w:numPr>
          <w:ilvl w:val="0"/>
          <w:numId w:val="1"/>
        </w:numPr>
        <w:pBdr>
          <w:top w:val="nil"/>
          <w:left w:val="nil"/>
          <w:bottom w:val="nil"/>
          <w:right w:val="nil"/>
          <w:between w:val="nil"/>
        </w:pBdr>
        <w:tabs>
          <w:tab w:val="left" w:pos="0"/>
        </w:tabs>
        <w:spacing w:before="240"/>
        <w:jc w:val="left"/>
        <w:rPr>
          <w:rFonts w:eastAsia="Arial"/>
          <w:b/>
          <w:color w:val="000000"/>
          <w:sz w:val="24"/>
          <w:szCs w:val="24"/>
        </w:rPr>
      </w:pPr>
      <w:r w:rsidRPr="00F31152">
        <w:rPr>
          <w:rFonts w:eastAsia="Arial"/>
          <w:b/>
          <w:color w:val="000000"/>
          <w:sz w:val="24"/>
          <w:szCs w:val="24"/>
        </w:rPr>
        <w:t>Service Status and Supplier Status</w:t>
      </w:r>
    </w:p>
    <w:p w14:paraId="000000BA" w14:textId="012243CB"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 xml:space="preserve">This Contract </w:t>
      </w:r>
      <w:r w:rsidRPr="00813569">
        <w:rPr>
          <w:rFonts w:eastAsia="Arial"/>
          <w:color w:val="000000"/>
          <w:sz w:val="24"/>
          <w:szCs w:val="24"/>
        </w:rPr>
        <w:t>is</w:t>
      </w:r>
      <w:r w:rsidRPr="00F31152">
        <w:rPr>
          <w:rFonts w:eastAsia="Arial"/>
          <w:color w:val="000000"/>
          <w:sz w:val="24"/>
          <w:szCs w:val="24"/>
        </w:rPr>
        <w:t xml:space="preserve"> a Critical Service Contract.</w:t>
      </w:r>
    </w:p>
    <w:p w14:paraId="000000BB"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000000BC" w14:textId="77777777" w:rsidR="00D2585F" w:rsidRPr="00F31152" w:rsidRDefault="00665111">
      <w:pPr>
        <w:keepNext/>
        <w:numPr>
          <w:ilvl w:val="0"/>
          <w:numId w:val="1"/>
        </w:numPr>
        <w:pBdr>
          <w:top w:val="nil"/>
          <w:left w:val="nil"/>
          <w:bottom w:val="nil"/>
          <w:right w:val="nil"/>
          <w:between w:val="nil"/>
        </w:pBdr>
        <w:tabs>
          <w:tab w:val="left" w:pos="0"/>
        </w:tabs>
        <w:spacing w:before="240"/>
        <w:jc w:val="left"/>
        <w:rPr>
          <w:rFonts w:eastAsia="Arial"/>
          <w:b/>
          <w:color w:val="000000"/>
          <w:sz w:val="24"/>
          <w:szCs w:val="24"/>
        </w:rPr>
      </w:pPr>
      <w:r w:rsidRPr="00F31152">
        <w:rPr>
          <w:rFonts w:eastAsia="Arial"/>
          <w:b/>
          <w:color w:val="000000"/>
          <w:sz w:val="24"/>
          <w:szCs w:val="24"/>
        </w:rPr>
        <w:t>Provision of Corporate Resolution Planning Information</w:t>
      </w:r>
    </w:p>
    <w:p w14:paraId="000000BD"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Paragraphs 3 to 5 of this Part B shall apply if the Contract has been specified as a Critical Service Contract under Paragraph 2.1 of this Part B or the Supplier is or becomes a Public Sector Dependent Supplier.</w:t>
      </w:r>
    </w:p>
    <w:p w14:paraId="000000BE"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Subject to Paragraphs 3.6, 3.10 and 3.11 of this Part B:</w:t>
      </w:r>
    </w:p>
    <w:p w14:paraId="000000BF"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where the Contract is a Critical Service Contract, the Supplier shall provide the Relevant Authority or Relevant Authorities</w:t>
      </w:r>
      <w:r w:rsidRPr="00F31152">
        <w:rPr>
          <w:sz w:val="28"/>
          <w:szCs w:val="28"/>
        </w:rPr>
        <w:t xml:space="preserve"> </w:t>
      </w:r>
      <w:r w:rsidRPr="00F31152">
        <w:rPr>
          <w:sz w:val="24"/>
          <w:szCs w:val="24"/>
        </w:rPr>
        <w:t>with the CRP Information within 60 days of the Effective Date; and</w:t>
      </w:r>
    </w:p>
    <w:p w14:paraId="000000C0"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except where it has already been provided in accordance with Paragraph 11.2(a) of this Part B, where the Supplier is a Public Sector Dependent Supplier, it shall provide the Relevant Authority or Relevant Authorities with the CRP Information within 60 days of the date of the Relevant Authority’s or Relevant Authorities’ request.</w:t>
      </w:r>
    </w:p>
    <w:p w14:paraId="000000C1"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Supplier shall ensure that the CRP Information provided pursuant to Paragraphs 3.2, 3.8 and 3.9 of this Part B:</w:t>
      </w:r>
    </w:p>
    <w:p w14:paraId="000000C2"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is full, comprehensive, accurate and up to date;</w:t>
      </w:r>
    </w:p>
    <w:p w14:paraId="000000C3"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is split into two parts:</w:t>
      </w:r>
    </w:p>
    <w:p w14:paraId="000000C4"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Group Structure Information and Resolution Commentary;</w:t>
      </w:r>
    </w:p>
    <w:p w14:paraId="000000C5"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000000C6"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incorporates any additional commentary, supporting documents and evidence which would reasonably be required by the Relevant Authority or Relevant Authorities to understand and consider the information for approval;</w:t>
      </w:r>
    </w:p>
    <w:p w14:paraId="000000C7"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 xml:space="preserve">provides a clear description and explanation of the Supplier Group members that have agreements for goods, services or works provision </w:t>
      </w:r>
      <w:r w:rsidRPr="00F31152">
        <w:rPr>
          <w:sz w:val="24"/>
          <w:szCs w:val="24"/>
        </w:rPr>
        <w:lastRenderedPageBreak/>
        <w:t>in respect of UK Public Sector Business and/or Critical National Infrastructure and the nature of those agreements; and</w:t>
      </w:r>
    </w:p>
    <w:p w14:paraId="000000C8"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complies with the requirements set out at Appendix 1 (Group Structure Information and Resolution Commentary) and Appendix 2 (UK Public Sector / CNI Contract Information) respectively.</w:t>
      </w:r>
    </w:p>
    <w:p w14:paraId="000000C9"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Following receipt by the Relevant Authority or Relevant Authorities of the CRP Information pursuant to Paragraphs 3.2, 3.8 and 3.9 of this Part B, the Buyer shall procure that the Relevant Authority or Relevant Authorities shall discuss in good faith the contents of the CRP Information with the Supplier and no later than 60 days after the date on which the CRP Information was delivered by the Supplier either provide an Assurance to the Supplier that the Relevant Authority or Relevant Authorities approves the CRP Information or that the Relevant Authority or Relevant Authorities rejects the CRP Information.</w:t>
      </w:r>
    </w:p>
    <w:p w14:paraId="000000CA"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If the Relevant Authority or Relevant Authorities rejects the CRP Information:</w:t>
      </w:r>
    </w:p>
    <w:p w14:paraId="000000CB"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the Buyer shall (and shall procure that the Cabinet Office Markets and Suppliers Team shall) inform the Supplier in writing of its reasons for its rejection; and</w:t>
      </w:r>
    </w:p>
    <w:p w14:paraId="000000CC"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the Supplier shall revise the CRP Information, taking reasonable account of the Relevant Authority’s or Relevant Authorities’ comments, and shall re-submit the CRP Information to the Relevant Authority or Relevant Authorities for approval within 30 days of the date of the Relevant Authority’s or Relevant Authorities’ rejection. The provisions of paragraph 3.3 to 3.5 of this Part B shall apply again to any resubmitted CRP Information provided that either Party may refer any disputed matters for resolution by the Dispute Resolution Procedure under Clause 34 of the Core Terms at any time.</w:t>
      </w:r>
    </w:p>
    <w:p w14:paraId="000000CD"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Relevant Authority or Relevant Authorities on or before the date on which the CRP Information would otherwise have been required.</w:t>
      </w:r>
    </w:p>
    <w:p w14:paraId="000000CE"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An Assurance shall be deemed Valid for the purposes of Paragraph 3.6 of this Part B if:</w:t>
      </w:r>
    </w:p>
    <w:p w14:paraId="000000CF"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 xml:space="preserve">the Assurance is within the validity period stated in the Assurance (or, if no validity period is stated, no more than 12 months has elapsed since it was issued and no more than 18 months has elapsed since the </w:t>
      </w:r>
      <w:r w:rsidRPr="00F31152">
        <w:rPr>
          <w:sz w:val="24"/>
          <w:szCs w:val="24"/>
        </w:rPr>
        <w:lastRenderedPageBreak/>
        <w:t>Accounting Reference Date on which the CRP Information was based); and</w:t>
      </w:r>
    </w:p>
    <w:p w14:paraId="000000D0"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000000D1"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If the Contract is a Critical Service Contract, the Supplier shall provide an updated version of the CRP Information (or, in the case of Paragraph 3.8(c) of this Part B its initial CRP Information) to the Relevant Authority or Relevant Authorities:</w:t>
      </w:r>
    </w:p>
    <w:p w14:paraId="000000D2"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within 14 days of the occurrence of a Financial Distress Event (along with any additional highly confidential information no longer exempted from disclosure under Paragraph 3.11 of this Part B) unless the Supplier is relieved of the consequences of the Financial Distress Event under Paragraph 7.1 of Annex 3 to Joint Schedule 7 (Financial Distress) (if applicable);</w:t>
      </w:r>
    </w:p>
    <w:p w14:paraId="000000D3"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within 30 days of a Corporate Change Event unless not required pursuant to Paragraph 3.10;</w:t>
      </w:r>
    </w:p>
    <w:p w14:paraId="000000D4"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within 30 days of the date that:</w:t>
      </w:r>
    </w:p>
    <w:p w14:paraId="000000D5"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the credit rating(s) of each of the Supplier and its Parent Undertakings fail to meet any of the criteria specified in Paragraph 3.10; or</w:t>
      </w:r>
    </w:p>
    <w:p w14:paraId="000000D6"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none of the credit rating agencies specified at Paragraph 3.10 hold a public credit rating for the Supplier or any of its Parent Undertakings; and</w:t>
      </w:r>
    </w:p>
    <w:p w14:paraId="000000D7"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in any event, within 6 months after each Accounting Reference Date or within 15 months of the date of the previous Assurance received from the Relevant Authority (whichever is the earlier), unless:</w:t>
      </w:r>
    </w:p>
    <w:p w14:paraId="000000D8"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updated CRP Information has been provided under any of Paragraphs 38(a) 3.8(b) or 3.8(c) since the most recent Accounting Reference Date (being no more than 12 months previously) within the timescales that would ordinarily be required for the provision of that information under this Paragraph 3.8(d); or</w:t>
      </w:r>
    </w:p>
    <w:p w14:paraId="000000D9"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unless not required pursuant to Paragraph 3.10.</w:t>
      </w:r>
    </w:p>
    <w:p w14:paraId="000000DA"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Where the Supplier is a Public Sector Dependent Supplier and the Contract is not a Critical Service Contract, then on the occurrence of any of the events   specified in Paragraphs 3.8(a) to (d) of this Part B, the Supplier shall provide at the request of the Relevant Authority or Relevant Authorities and within the applicable timescales for each event as set out in Paragraph 3.8 (or such longer timescales as may be notified to the Supplier by the Buyer), the CRP Information to the Relevant Authority or Relevant Authorities.</w:t>
      </w:r>
    </w:p>
    <w:p w14:paraId="000000DB"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Where the Supplier or a Parent Undertaking of the Supplier has a credit rating of either:</w:t>
      </w:r>
    </w:p>
    <w:p w14:paraId="000000DC"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lastRenderedPageBreak/>
        <w:t>Aa3 or better from Moody’s;</w:t>
      </w:r>
    </w:p>
    <w:p w14:paraId="000000DD"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AA- or better from Standard and Poors;</w:t>
      </w:r>
    </w:p>
    <w:p w14:paraId="000000DE"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AA- or better from Fitch;</w:t>
      </w:r>
    </w:p>
    <w:p w14:paraId="000000DF" w14:textId="77777777" w:rsidR="00D2585F" w:rsidRPr="00F31152" w:rsidRDefault="00665111">
      <w:pPr>
        <w:keepNext/>
        <w:pBdr>
          <w:top w:val="nil"/>
          <w:left w:val="nil"/>
          <w:bottom w:val="nil"/>
          <w:right w:val="nil"/>
          <w:between w:val="nil"/>
        </w:pBdr>
        <w:spacing w:before="120" w:after="120"/>
        <w:ind w:left="720"/>
        <w:jc w:val="left"/>
        <w:rPr>
          <w:sz w:val="24"/>
          <w:szCs w:val="24"/>
        </w:rPr>
      </w:pPr>
      <w:r w:rsidRPr="00F31152">
        <w:rPr>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3.10, in which cases the Supplier shall provide the updated version of the CRP Information in accordance with paragraph 3.8.</w:t>
      </w:r>
    </w:p>
    <w:p w14:paraId="000000E0"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Subject to Paragraph 5, where the Supplier demonstrates to the reasonable satisfaction of the Relevant Authority or Relevant Authorities that a particular item of CRP Information is highly confidential, the Supplier may, having orally disclosed and discussed that information with the Relevant Authority or Relevant Authorities, redact or omit that information from the CRP Information provided that if a Financial Distress Event occurs, this exemption shall no longer apply and the Supplier shall promptly provide the relevant information to the Relevant Authority or Relevant Authorities to the extent required under Paragraph 3.8.</w:t>
      </w:r>
    </w:p>
    <w:p w14:paraId="000000E1" w14:textId="77777777" w:rsidR="00D2585F" w:rsidRPr="00F31152" w:rsidRDefault="00665111">
      <w:pPr>
        <w:keepNext/>
        <w:numPr>
          <w:ilvl w:val="0"/>
          <w:numId w:val="1"/>
        </w:numPr>
        <w:pBdr>
          <w:top w:val="nil"/>
          <w:left w:val="nil"/>
          <w:bottom w:val="nil"/>
          <w:right w:val="nil"/>
          <w:between w:val="nil"/>
        </w:pBdr>
        <w:tabs>
          <w:tab w:val="left" w:pos="0"/>
        </w:tabs>
        <w:spacing w:before="240"/>
        <w:jc w:val="left"/>
        <w:rPr>
          <w:rFonts w:eastAsia="Arial"/>
          <w:b/>
          <w:color w:val="000000"/>
          <w:sz w:val="24"/>
          <w:szCs w:val="24"/>
        </w:rPr>
      </w:pPr>
      <w:r w:rsidRPr="00F31152">
        <w:rPr>
          <w:rFonts w:eastAsia="Arial"/>
          <w:b/>
          <w:color w:val="000000"/>
          <w:sz w:val="24"/>
          <w:szCs w:val="24"/>
        </w:rPr>
        <w:t>Termination Rights</w:t>
      </w:r>
    </w:p>
    <w:p w14:paraId="000000E2" w14:textId="77777777" w:rsidR="00D2585F" w:rsidRPr="00F31152" w:rsidRDefault="00A83015">
      <w:pPr>
        <w:numPr>
          <w:ilvl w:val="1"/>
          <w:numId w:val="1"/>
        </w:numPr>
        <w:pBdr>
          <w:top w:val="nil"/>
          <w:left w:val="nil"/>
          <w:bottom w:val="nil"/>
          <w:right w:val="nil"/>
          <w:between w:val="nil"/>
        </w:pBdr>
        <w:spacing w:before="120" w:after="120"/>
        <w:rPr>
          <w:rFonts w:eastAsia="Arial"/>
          <w:color w:val="000000"/>
          <w:sz w:val="24"/>
          <w:szCs w:val="24"/>
        </w:rPr>
      </w:pPr>
      <w:sdt>
        <w:sdtPr>
          <w:tag w:val="goog_rdk_3"/>
          <w:id w:val="-1108580373"/>
        </w:sdtPr>
        <w:sdtEndPr/>
        <w:sdtContent/>
      </w:sdt>
      <w:r w:rsidR="00665111" w:rsidRPr="00F31152">
        <w:rPr>
          <w:rFonts w:eastAsia="Arial"/>
          <w:color w:val="000000"/>
          <w:sz w:val="24"/>
          <w:szCs w:val="24"/>
        </w:rPr>
        <w:t>The Buyer shall be entitled to terminate the Contract if the Supplier is required to provide CRP Information under Paragraph 3 of this Part B and either:</w:t>
      </w:r>
    </w:p>
    <w:p w14:paraId="000000E3"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the Supplier fails to provide the CRP Information within 4 months of the Effective Date if this is a Critical Service Contract or otherwise within 4 months of the Relevant Authority’s or Relevant Authorities’ request; or</w:t>
      </w:r>
    </w:p>
    <w:p w14:paraId="000000E4"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the Supplier fails to obtain an Assurance from the Relevant Authority or Relevant Authorities within 4 months of the date that it was first required to provide the CRP Information under the Contract,</w:t>
      </w:r>
    </w:p>
    <w:p w14:paraId="000000E5" w14:textId="77777777" w:rsidR="00D2585F" w:rsidRPr="00F31152" w:rsidRDefault="00665111">
      <w:pPr>
        <w:pBdr>
          <w:top w:val="nil"/>
          <w:left w:val="nil"/>
          <w:bottom w:val="nil"/>
          <w:right w:val="nil"/>
          <w:between w:val="nil"/>
        </w:pBdr>
        <w:spacing w:before="120" w:after="120"/>
        <w:ind w:left="720" w:hanging="720"/>
        <w:rPr>
          <w:rFonts w:eastAsia="Arial"/>
          <w:color w:val="000000"/>
          <w:sz w:val="24"/>
          <w:szCs w:val="24"/>
        </w:rPr>
      </w:pPr>
      <w:r w:rsidRPr="00F31152">
        <w:rPr>
          <w:rFonts w:eastAsia="Arial"/>
          <w:color w:val="000000"/>
          <w:sz w:val="24"/>
          <w:szCs w:val="24"/>
        </w:rPr>
        <w:t>which shall be deemed to be an event to which Clause 10.4.1 of the Core Terms applies and Clauses 10.6.1 and 10.6.2 of the Core Terms shall apply accordingly.</w:t>
      </w:r>
    </w:p>
    <w:p w14:paraId="000000E6" w14:textId="77777777" w:rsidR="00D2585F" w:rsidRPr="00F31152" w:rsidRDefault="00665111">
      <w:pPr>
        <w:keepNext/>
        <w:numPr>
          <w:ilvl w:val="0"/>
          <w:numId w:val="1"/>
        </w:numPr>
        <w:pBdr>
          <w:top w:val="nil"/>
          <w:left w:val="nil"/>
          <w:bottom w:val="nil"/>
          <w:right w:val="nil"/>
          <w:between w:val="nil"/>
        </w:pBdr>
        <w:tabs>
          <w:tab w:val="left" w:pos="0"/>
        </w:tabs>
        <w:spacing w:before="240"/>
        <w:jc w:val="left"/>
        <w:rPr>
          <w:rFonts w:eastAsia="Arial"/>
          <w:b/>
          <w:color w:val="000000"/>
          <w:sz w:val="24"/>
          <w:szCs w:val="24"/>
        </w:rPr>
      </w:pPr>
      <w:r w:rsidRPr="00F31152">
        <w:rPr>
          <w:rFonts w:eastAsia="Arial"/>
          <w:b/>
          <w:color w:val="000000"/>
          <w:sz w:val="24"/>
          <w:szCs w:val="24"/>
        </w:rPr>
        <w:t>Confidentiality and usage of CRP Information</w:t>
      </w:r>
    </w:p>
    <w:p w14:paraId="000000E7"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00000E8"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bookmarkStart w:id="35" w:name="_heading=h.23ckvvd" w:colFirst="0" w:colLast="0"/>
      <w:bookmarkEnd w:id="35"/>
      <w:r w:rsidRPr="00F31152">
        <w:rPr>
          <w:rFonts w:eastAsia="Arial"/>
          <w:color w:val="000000"/>
          <w:sz w:val="24"/>
          <w:szCs w:val="24"/>
        </w:rPr>
        <w:t xml:space="preserve">Where the Relevant Authority is the Cabinet Office Markets and Suppliers Team, at the Supplier’s request, the Buyer shall use reasonable endeavours to procure that the Cabinet Office enters into a confidentiality and usage agreement with the Supplier containing terms no less stringent than those </w:t>
      </w:r>
      <w:r w:rsidRPr="00F31152">
        <w:rPr>
          <w:rFonts w:eastAsia="Arial"/>
          <w:color w:val="000000"/>
          <w:sz w:val="24"/>
          <w:szCs w:val="24"/>
        </w:rPr>
        <w:lastRenderedPageBreak/>
        <w:t>placed on the Buyer under paragraph 5.1 of this Part B and Clause 15 of the Core Terms.</w:t>
      </w:r>
    </w:p>
    <w:p w14:paraId="000000E9"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Supplier shall use reasonable endeavours to obtain consent from any third party which has restricted the disclosure of the CRP Information to enable disclosure of that information to the Relevant Authority or Relevant Authorities pursuant to Paragraph 3 of this Part B subject, where necessary, to the Relevant Authority or Relevant Authorities entering into an appropriate confidentiality agreement in the form required by the third party.</w:t>
      </w:r>
    </w:p>
    <w:p w14:paraId="000000EA"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Where the Supplier is unable to procure consent pursuant to Paragraph 5.3 of this Part B, the Supplier shall use all reasonable endeavours to disclose the CRP Information to the fullest extent possible by limiting the amount of information it withholds including by:</w:t>
      </w:r>
    </w:p>
    <w:p w14:paraId="000000EB"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redacting only those parts of the information which are subject to such obligations of confidentiality;</w:t>
      </w:r>
    </w:p>
    <w:p w14:paraId="000000EC" w14:textId="77777777" w:rsidR="00D2585F" w:rsidRPr="00F31152" w:rsidRDefault="00665111">
      <w:pPr>
        <w:keepNext/>
        <w:numPr>
          <w:ilvl w:val="2"/>
          <w:numId w:val="1"/>
        </w:numPr>
        <w:pBdr>
          <w:top w:val="nil"/>
          <w:left w:val="nil"/>
          <w:bottom w:val="nil"/>
          <w:right w:val="nil"/>
          <w:between w:val="nil"/>
        </w:pBdr>
        <w:spacing w:before="120" w:after="120"/>
        <w:jc w:val="left"/>
        <w:rPr>
          <w:sz w:val="24"/>
          <w:szCs w:val="24"/>
        </w:rPr>
      </w:pPr>
      <w:r w:rsidRPr="00F31152">
        <w:rPr>
          <w:sz w:val="24"/>
          <w:szCs w:val="24"/>
        </w:rPr>
        <w:t>providing the information in a form that does not breach its obligations of confidentiality including (where possible) by:</w:t>
      </w:r>
    </w:p>
    <w:p w14:paraId="000000ED"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summarising the information;</w:t>
      </w:r>
    </w:p>
    <w:p w14:paraId="000000EE"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grouping the information;</w:t>
      </w:r>
    </w:p>
    <w:p w14:paraId="000000EF"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anonymising the information; and</w:t>
      </w:r>
    </w:p>
    <w:p w14:paraId="000000F0" w14:textId="77777777" w:rsidR="00D2585F" w:rsidRPr="00F31152" w:rsidRDefault="00665111">
      <w:pPr>
        <w:numPr>
          <w:ilvl w:val="3"/>
          <w:numId w:val="1"/>
        </w:numPr>
        <w:pBdr>
          <w:top w:val="nil"/>
          <w:left w:val="nil"/>
          <w:bottom w:val="nil"/>
          <w:right w:val="nil"/>
          <w:between w:val="nil"/>
        </w:pBdr>
        <w:tabs>
          <w:tab w:val="left" w:pos="1985"/>
          <w:tab w:val="left" w:pos="2127"/>
        </w:tabs>
        <w:spacing w:before="120" w:after="120"/>
        <w:ind w:left="2127"/>
        <w:rPr>
          <w:rFonts w:eastAsia="Arial"/>
          <w:color w:val="000000"/>
          <w:sz w:val="24"/>
          <w:szCs w:val="24"/>
        </w:rPr>
      </w:pPr>
      <w:r w:rsidRPr="00F31152">
        <w:rPr>
          <w:rFonts w:eastAsia="Arial"/>
          <w:color w:val="000000"/>
          <w:sz w:val="24"/>
          <w:szCs w:val="24"/>
        </w:rPr>
        <w:t>presenting the information in general terms</w:t>
      </w:r>
    </w:p>
    <w:p w14:paraId="000000F1" w14:textId="77777777" w:rsidR="00D2585F" w:rsidRPr="00F31152" w:rsidRDefault="00665111">
      <w:pPr>
        <w:numPr>
          <w:ilvl w:val="1"/>
          <w:numId w:val="1"/>
        </w:numPr>
        <w:pBdr>
          <w:top w:val="nil"/>
          <w:left w:val="nil"/>
          <w:bottom w:val="nil"/>
          <w:right w:val="nil"/>
          <w:between w:val="nil"/>
        </w:pBdr>
        <w:spacing w:before="120" w:after="120"/>
        <w:rPr>
          <w:rFonts w:eastAsia="Arial"/>
          <w:color w:val="000000"/>
          <w:sz w:val="24"/>
          <w:szCs w:val="24"/>
        </w:rPr>
      </w:pPr>
      <w:r w:rsidRPr="00F31152">
        <w:rPr>
          <w:rFonts w:eastAsia="Arial"/>
          <w:color w:val="000000"/>
          <w:sz w:val="24"/>
          <w:szCs w:val="24"/>
        </w:rPr>
        <w:t>The Supplier shall provide the Relevant Authority or Relevant Authorities with contact details of any third party which has not provided consent to disclose CRP Information where that third party is also a public sector body and where the Supplier is legally permitted to do so.</w:t>
      </w:r>
    </w:p>
    <w:p w14:paraId="000000F2" w14:textId="77777777" w:rsidR="00D2585F" w:rsidRPr="00F31152" w:rsidRDefault="00D2585F">
      <w:pPr>
        <w:pBdr>
          <w:top w:val="nil"/>
          <w:left w:val="nil"/>
          <w:bottom w:val="nil"/>
          <w:right w:val="nil"/>
          <w:between w:val="nil"/>
        </w:pBdr>
        <w:spacing w:before="120" w:after="120"/>
        <w:ind w:left="720" w:hanging="720"/>
        <w:rPr>
          <w:rFonts w:eastAsia="Calibri"/>
          <w:color w:val="000000"/>
        </w:rPr>
      </w:pPr>
    </w:p>
    <w:p w14:paraId="000000F3" w14:textId="77777777" w:rsidR="00D2585F" w:rsidRPr="00F31152" w:rsidRDefault="00665111">
      <w:pPr>
        <w:ind w:firstLine="1418"/>
      </w:pPr>
      <w:r w:rsidRPr="00F31152">
        <w:br w:type="page"/>
      </w:r>
    </w:p>
    <w:p w14:paraId="000000F4" w14:textId="77777777" w:rsidR="00D2585F" w:rsidRPr="00F31152" w:rsidRDefault="00665111">
      <w:pPr>
        <w:ind w:left="0"/>
        <w:rPr>
          <w:b/>
          <w:sz w:val="32"/>
          <w:szCs w:val="32"/>
        </w:rPr>
      </w:pPr>
      <w:r w:rsidRPr="00F31152">
        <w:rPr>
          <w:b/>
          <w:sz w:val="32"/>
          <w:szCs w:val="32"/>
        </w:rPr>
        <w:lastRenderedPageBreak/>
        <w:t>Appendix 1: Group structure information and resolution commentary</w:t>
      </w:r>
    </w:p>
    <w:p w14:paraId="000000F5" w14:textId="77777777" w:rsidR="00D2585F" w:rsidRPr="00F31152" w:rsidRDefault="00665111">
      <w:pPr>
        <w:numPr>
          <w:ilvl w:val="0"/>
          <w:numId w:val="3"/>
        </w:numPr>
        <w:pBdr>
          <w:top w:val="nil"/>
          <w:left w:val="nil"/>
          <w:bottom w:val="nil"/>
          <w:right w:val="nil"/>
          <w:between w:val="nil"/>
        </w:pBdr>
        <w:rPr>
          <w:rFonts w:eastAsia="Arial"/>
          <w:color w:val="000000"/>
          <w:sz w:val="24"/>
          <w:szCs w:val="24"/>
        </w:rPr>
      </w:pPr>
      <w:r w:rsidRPr="00F31152">
        <w:rPr>
          <w:rFonts w:eastAsia="Arial"/>
          <w:color w:val="000000"/>
          <w:sz w:val="24"/>
          <w:szCs w:val="24"/>
        </w:rPr>
        <w:t>The Supplier shall:</w:t>
      </w:r>
    </w:p>
    <w:p w14:paraId="000000F6" w14:textId="77777777" w:rsidR="00D2585F" w:rsidRPr="00F31152" w:rsidRDefault="00665111">
      <w:pPr>
        <w:numPr>
          <w:ilvl w:val="1"/>
          <w:numId w:val="3"/>
        </w:numPr>
        <w:pBdr>
          <w:top w:val="nil"/>
          <w:left w:val="nil"/>
          <w:bottom w:val="nil"/>
          <w:right w:val="nil"/>
          <w:between w:val="nil"/>
        </w:pBdr>
        <w:ind w:left="1134"/>
        <w:rPr>
          <w:rFonts w:eastAsia="Arial"/>
          <w:color w:val="000000"/>
          <w:sz w:val="24"/>
          <w:szCs w:val="24"/>
        </w:rPr>
      </w:pPr>
      <w:r w:rsidRPr="00F31152">
        <w:rPr>
          <w:rFonts w:eastAsia="Arial"/>
          <w:color w:val="000000"/>
          <w:sz w:val="24"/>
          <w:szCs w:val="24"/>
        </w:rPr>
        <w:t>provide sufficient information to allow the Relevant Authority to understand the implications on the Supplier Group’s UK Public Sector Business and CNI contracts listed pursuant to Appendix 2 if the Supplier or another member of the Supplier Group is subject to an Insolvency Event;</w:t>
      </w:r>
    </w:p>
    <w:p w14:paraId="000000F7" w14:textId="77777777" w:rsidR="00D2585F" w:rsidRPr="00F31152" w:rsidRDefault="00665111">
      <w:pPr>
        <w:numPr>
          <w:ilvl w:val="1"/>
          <w:numId w:val="3"/>
        </w:numPr>
        <w:pBdr>
          <w:top w:val="nil"/>
          <w:left w:val="nil"/>
          <w:bottom w:val="nil"/>
          <w:right w:val="nil"/>
          <w:between w:val="nil"/>
        </w:pBdr>
        <w:ind w:left="1134"/>
        <w:rPr>
          <w:rFonts w:eastAsia="Arial"/>
          <w:color w:val="000000"/>
          <w:sz w:val="24"/>
          <w:szCs w:val="24"/>
        </w:rPr>
      </w:pPr>
      <w:r w:rsidRPr="00F31152">
        <w:rPr>
          <w:rFonts w:eastAsia="Arial"/>
          <w:color w:val="000000"/>
          <w:sz w:val="24"/>
          <w:szCs w:val="24"/>
        </w:rPr>
        <w:t>ensure that the information is presented so as to provide a simple, effective and easily understood overview of the Supplier Group; and</w:t>
      </w:r>
    </w:p>
    <w:p w14:paraId="000000F8" w14:textId="77777777" w:rsidR="00D2585F" w:rsidRPr="00F31152" w:rsidRDefault="00665111">
      <w:pPr>
        <w:numPr>
          <w:ilvl w:val="1"/>
          <w:numId w:val="3"/>
        </w:numPr>
        <w:pBdr>
          <w:top w:val="nil"/>
          <w:left w:val="nil"/>
          <w:bottom w:val="nil"/>
          <w:right w:val="nil"/>
          <w:between w:val="nil"/>
        </w:pBdr>
        <w:ind w:left="1134"/>
        <w:rPr>
          <w:rFonts w:eastAsia="Arial"/>
          <w:color w:val="000000"/>
          <w:sz w:val="24"/>
          <w:szCs w:val="24"/>
        </w:rPr>
      </w:pPr>
      <w:r w:rsidRPr="00F31152">
        <w:rPr>
          <w:rFonts w:eastAsia="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000000F9" w14:textId="77777777" w:rsidR="00D2585F" w:rsidRPr="00F31152" w:rsidRDefault="00665111">
      <w:pPr>
        <w:ind w:firstLine="1418"/>
      </w:pPr>
      <w:r w:rsidRPr="00F31152">
        <w:br w:type="page"/>
      </w:r>
    </w:p>
    <w:p w14:paraId="000000FA" w14:textId="77777777" w:rsidR="00D2585F" w:rsidRPr="00F31152" w:rsidRDefault="00665111">
      <w:pPr>
        <w:ind w:left="0"/>
        <w:rPr>
          <w:b/>
          <w:sz w:val="32"/>
          <w:szCs w:val="32"/>
        </w:rPr>
      </w:pPr>
      <w:r w:rsidRPr="00F31152">
        <w:rPr>
          <w:b/>
          <w:sz w:val="32"/>
          <w:szCs w:val="32"/>
        </w:rPr>
        <w:lastRenderedPageBreak/>
        <w:t>Appendix 2: UK Public Sector / CNI Contract Information</w:t>
      </w:r>
    </w:p>
    <w:p w14:paraId="000000FB" w14:textId="77777777" w:rsidR="00D2585F" w:rsidRPr="00F31152" w:rsidRDefault="00665111">
      <w:pPr>
        <w:numPr>
          <w:ilvl w:val="0"/>
          <w:numId w:val="5"/>
        </w:numPr>
        <w:pBdr>
          <w:top w:val="nil"/>
          <w:left w:val="nil"/>
          <w:bottom w:val="nil"/>
          <w:right w:val="nil"/>
          <w:between w:val="nil"/>
        </w:pBdr>
        <w:rPr>
          <w:rFonts w:eastAsia="Arial"/>
          <w:color w:val="000000"/>
          <w:sz w:val="24"/>
          <w:szCs w:val="24"/>
        </w:rPr>
      </w:pPr>
      <w:r w:rsidRPr="00F31152">
        <w:rPr>
          <w:rFonts w:eastAsia="Arial"/>
          <w:color w:val="000000"/>
          <w:sz w:val="24"/>
          <w:szCs w:val="24"/>
        </w:rPr>
        <w:t>The Supplier shall:</w:t>
      </w:r>
    </w:p>
    <w:p w14:paraId="000000FC" w14:textId="77777777" w:rsidR="00D2585F" w:rsidRPr="00F31152" w:rsidRDefault="00665111">
      <w:pPr>
        <w:numPr>
          <w:ilvl w:val="1"/>
          <w:numId w:val="3"/>
        </w:numPr>
        <w:pBdr>
          <w:top w:val="nil"/>
          <w:left w:val="nil"/>
          <w:bottom w:val="nil"/>
          <w:right w:val="nil"/>
          <w:between w:val="nil"/>
        </w:pBdr>
        <w:ind w:left="1134"/>
        <w:rPr>
          <w:rFonts w:eastAsia="Arial"/>
          <w:color w:val="000000"/>
          <w:sz w:val="24"/>
          <w:szCs w:val="24"/>
        </w:rPr>
      </w:pPr>
      <w:r w:rsidRPr="00F31152">
        <w:rPr>
          <w:rFonts w:eastAsia="Arial"/>
          <w:color w:val="000000"/>
          <w:sz w:val="24"/>
          <w:szCs w:val="24"/>
        </w:rPr>
        <w:t>provide details of all agreements held by members of the Supplier Group where those agreements are for goods, services or works provision and:</w:t>
      </w:r>
    </w:p>
    <w:p w14:paraId="000000FD" w14:textId="77777777" w:rsidR="00D2585F" w:rsidRPr="00F31152" w:rsidRDefault="00665111">
      <w:pPr>
        <w:numPr>
          <w:ilvl w:val="2"/>
          <w:numId w:val="3"/>
        </w:numPr>
        <w:pBdr>
          <w:top w:val="nil"/>
          <w:left w:val="nil"/>
          <w:bottom w:val="nil"/>
          <w:right w:val="nil"/>
          <w:between w:val="nil"/>
        </w:pBdr>
        <w:rPr>
          <w:rFonts w:eastAsia="Arial"/>
          <w:color w:val="000000"/>
          <w:sz w:val="24"/>
          <w:szCs w:val="24"/>
        </w:rPr>
      </w:pPr>
      <w:r w:rsidRPr="00F31152">
        <w:rPr>
          <w:rFonts w:eastAsia="Arial"/>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000000FE" w14:textId="77777777" w:rsidR="00D2585F" w:rsidRPr="00F31152" w:rsidRDefault="00665111">
      <w:pPr>
        <w:numPr>
          <w:ilvl w:val="2"/>
          <w:numId w:val="3"/>
        </w:numPr>
        <w:pBdr>
          <w:top w:val="nil"/>
          <w:left w:val="nil"/>
          <w:bottom w:val="nil"/>
          <w:right w:val="nil"/>
          <w:between w:val="nil"/>
        </w:pBdr>
        <w:rPr>
          <w:rFonts w:eastAsia="Arial"/>
          <w:color w:val="000000"/>
          <w:sz w:val="24"/>
          <w:szCs w:val="24"/>
        </w:rPr>
      </w:pPr>
      <w:r w:rsidRPr="00F31152">
        <w:rPr>
          <w:rFonts w:eastAsia="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00000FF" w14:textId="77777777" w:rsidR="00D2585F" w:rsidRPr="00F31152" w:rsidRDefault="00665111">
      <w:pPr>
        <w:numPr>
          <w:ilvl w:val="2"/>
          <w:numId w:val="3"/>
        </w:numPr>
        <w:pBdr>
          <w:top w:val="nil"/>
          <w:left w:val="nil"/>
          <w:bottom w:val="nil"/>
          <w:right w:val="nil"/>
          <w:between w:val="nil"/>
        </w:pBdr>
        <w:rPr>
          <w:rFonts w:eastAsia="Arial"/>
          <w:color w:val="000000"/>
          <w:sz w:val="24"/>
          <w:szCs w:val="24"/>
        </w:rPr>
      </w:pPr>
      <w:r w:rsidRPr="00F31152">
        <w:rPr>
          <w:rFonts w:eastAsia="Arial"/>
          <w:color w:val="000000"/>
          <w:sz w:val="24"/>
          <w:szCs w:val="24"/>
        </w:rPr>
        <w:t>involve or could reasonably be considered to involve CNI;</w:t>
      </w:r>
    </w:p>
    <w:p w14:paraId="00000100" w14:textId="77777777" w:rsidR="00D2585F" w:rsidRPr="00F31152" w:rsidRDefault="00665111">
      <w:pPr>
        <w:numPr>
          <w:ilvl w:val="1"/>
          <w:numId w:val="3"/>
        </w:numPr>
        <w:pBdr>
          <w:top w:val="nil"/>
          <w:left w:val="nil"/>
          <w:bottom w:val="nil"/>
          <w:right w:val="nil"/>
          <w:between w:val="nil"/>
        </w:pBdr>
        <w:ind w:left="1134"/>
        <w:rPr>
          <w:rFonts w:eastAsia="Arial"/>
          <w:color w:val="000000"/>
          <w:sz w:val="24"/>
          <w:szCs w:val="24"/>
        </w:rPr>
      </w:pPr>
      <w:r w:rsidRPr="00F31152">
        <w:rPr>
          <w:rFonts w:eastAsia="Arial"/>
          <w:color w:val="000000"/>
          <w:sz w:val="24"/>
          <w:szCs w:val="24"/>
        </w:rPr>
        <w:t>provide the Relevant Authority with a copy of the latest version of each underlying contract worth more than £5m per contract year and their related key sub-contracts, which shall be included as embedded documents within the CRP Information or via a directly accessible link.</w:t>
      </w:r>
    </w:p>
    <w:sectPr w:rsidR="00D2585F" w:rsidRPr="00F3115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85FD" w14:textId="77777777" w:rsidR="001913F6" w:rsidRDefault="001913F6">
      <w:pPr>
        <w:spacing w:after="0"/>
      </w:pPr>
      <w:r>
        <w:separator/>
      </w:r>
    </w:p>
  </w:endnote>
  <w:endnote w:type="continuationSeparator" w:id="0">
    <w:p w14:paraId="45217C33" w14:textId="77777777" w:rsidR="001913F6" w:rsidRDefault="00191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366" w14:textId="77777777" w:rsidR="00DC5E87" w:rsidRDefault="00DC5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p w14:paraId="1A1702AF" w14:textId="77777777" w:rsidR="00AA1954" w:rsidRDefault="00AA1954" w:rsidP="00AA19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18BFA4BE" w14:textId="77777777" w:rsidR="00AA1954" w:rsidRDefault="00AA1954" w:rsidP="00AA1954">
    <w:pPr>
      <w:tabs>
        <w:tab w:val="center" w:pos="4513"/>
        <w:tab w:val="right" w:pos="9026"/>
      </w:tabs>
      <w:spacing w:after="0"/>
      <w:ind w:left="0"/>
      <w:jc w:val="left"/>
      <w:rPr>
        <w:sz w:val="20"/>
        <w:szCs w:val="20"/>
      </w:rPr>
    </w:pPr>
    <w:bookmarkStart w:id="36" w:name="_Hlk114839142"/>
    <w:bookmarkStart w:id="37" w:name="_Hlk114839143"/>
    <w:bookmarkStart w:id="38" w:name="_Hlk115854819"/>
    <w:bookmarkStart w:id="39" w:name="_Hlk115854820"/>
    <w:bookmarkStart w:id="40" w:name="_Hlk115854823"/>
    <w:bookmarkStart w:id="41" w:name="_Hlk115854824"/>
    <w:bookmarkStart w:id="42" w:name="_Hlk115854973"/>
    <w:bookmarkStart w:id="43" w:name="_Hlk115854974"/>
    <w:bookmarkStart w:id="44" w:name="_Hlk115854979"/>
    <w:bookmarkStart w:id="45" w:name="_Hlk115854980"/>
    <w:bookmarkStart w:id="46" w:name="_Hlk115855441"/>
    <w:bookmarkStart w:id="47" w:name="_Hlk115855442"/>
    <w:bookmarkStart w:id="48" w:name="_Hlk115855632"/>
    <w:bookmarkStart w:id="49" w:name="_Hlk115855633"/>
    <w:bookmarkStart w:id="50" w:name="_Hlk115856000"/>
    <w:bookmarkStart w:id="51" w:name="_Hlk115856001"/>
    <w:bookmarkStart w:id="52" w:name="_Hlk115856177"/>
    <w:bookmarkStart w:id="53" w:name="_Hlk115856178"/>
    <w:bookmarkStart w:id="54" w:name="_Hlk115856528"/>
    <w:bookmarkStart w:id="55" w:name="_Hlk115856529"/>
    <w:bookmarkStart w:id="56" w:name="_Hlk115856798"/>
    <w:bookmarkStart w:id="57" w:name="_Hlk115856799"/>
    <w:bookmarkStart w:id="58" w:name="_Hlk115856929"/>
    <w:bookmarkStart w:id="59" w:name="_Hlk115856930"/>
    <w:bookmarkStart w:id="60" w:name="_Hlk115857133"/>
    <w:bookmarkStart w:id="61" w:name="_Hlk115857134"/>
    <w:bookmarkStart w:id="62" w:name="_Hlk115857353"/>
    <w:bookmarkStart w:id="63" w:name="_Hlk115857354"/>
    <w:r>
      <w:rPr>
        <w:b/>
        <w:sz w:val="20"/>
        <w:szCs w:val="20"/>
      </w:rPr>
      <w:t>Call-Off Schedule 8 (Business Continuity and Disaster Recovery)</w:t>
    </w:r>
  </w:p>
  <w:p w14:paraId="35EB6F65" w14:textId="77777777" w:rsidR="00AA1954" w:rsidRDefault="00AA1954" w:rsidP="00AA1954">
    <w:pPr>
      <w:spacing w:after="0"/>
      <w:ind w:left="0"/>
      <w:rPr>
        <w:rFonts w:eastAsia="Arial"/>
        <w:sz w:val="20"/>
        <w:szCs w:val="20"/>
      </w:rPr>
    </w:pPr>
    <w:r>
      <w:rPr>
        <w:rFonts w:eastAsia="Arial"/>
        <w:sz w:val="20"/>
        <w:szCs w:val="20"/>
      </w:rPr>
      <w:t>Ref: RM6232</w:t>
    </w:r>
    <w:r>
      <w:rPr>
        <w:rFonts w:eastAsia="Arial"/>
        <w:sz w:val="20"/>
        <w:szCs w:val="20"/>
      </w:rPr>
      <w:tab/>
      <w:t xml:space="preserve">                                           </w:t>
    </w:r>
  </w:p>
  <w:p w14:paraId="00000108" w14:textId="47BD6A49" w:rsidR="00D2585F" w:rsidRPr="00AA1954" w:rsidRDefault="00AA1954" w:rsidP="00AA1954">
    <w:pPr>
      <w:spacing w:after="0"/>
      <w:ind w:left="0"/>
    </w:pPr>
    <w:r>
      <w:rPr>
        <w:rFonts w:eastAsia="Arial"/>
        <w:color w:val="000000"/>
        <w:sz w:val="20"/>
        <w:szCs w:val="20"/>
      </w:rPr>
      <w:t xml:space="preserve">Crown Copyright </w:t>
    </w:r>
    <w:r>
      <w:rPr>
        <w:rFonts w:eastAsia="Arial"/>
        <w:sz w:val="20"/>
        <w:szCs w:val="20"/>
      </w:rPr>
      <w:t>2022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D2585F" w:rsidRDefault="0066511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0000010A" w14:textId="77777777" w:rsidR="00D2585F" w:rsidRDefault="0066511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14:paraId="0000010B" w14:textId="77777777" w:rsidR="00D2585F" w:rsidRDefault="0066511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4360" w14:textId="77777777" w:rsidR="001913F6" w:rsidRDefault="001913F6">
      <w:pPr>
        <w:spacing w:after="0"/>
      </w:pPr>
      <w:r>
        <w:separator/>
      </w:r>
    </w:p>
  </w:footnote>
  <w:footnote w:type="continuationSeparator" w:id="0">
    <w:p w14:paraId="22C7DB11" w14:textId="77777777" w:rsidR="001913F6" w:rsidRDefault="00191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A67D" w14:textId="77777777" w:rsidR="00DC5E87" w:rsidRDefault="00DC5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3" w14:textId="3F248795" w:rsidR="00D2585F" w:rsidRPr="00AA1954" w:rsidRDefault="00AA1954" w:rsidP="00AA1954">
    <w:pPr>
      <w:tabs>
        <w:tab w:val="center" w:pos="4513"/>
        <w:tab w:val="right" w:pos="9026"/>
      </w:tabs>
      <w:spacing w:after="0"/>
      <w:ind w:left="0"/>
      <w:jc w:val="center"/>
      <w:rPr>
        <w:b/>
        <w:sz w:val="20"/>
        <w:szCs w:val="20"/>
      </w:rPr>
    </w:pPr>
    <w:r w:rsidRPr="00AA1954">
      <w:rPr>
        <w:b/>
        <w:sz w:val="20"/>
        <w:szCs w:val="20"/>
      </w:rPr>
      <w:t>OFFICIAL SENSITIVE</w:t>
    </w:r>
  </w:p>
  <w:p w14:paraId="00000104" w14:textId="77777777" w:rsidR="00D2585F" w:rsidRDefault="00D2585F">
    <w:pPr>
      <w:tabs>
        <w:tab w:val="center" w:pos="4513"/>
        <w:tab w:val="right" w:pos="9026"/>
      </w:tabs>
      <w:spacing w:after="0"/>
      <w:ind w:left="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A7C" w14:textId="77777777" w:rsidR="00DC5E87" w:rsidRDefault="00DC5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65D"/>
    <w:multiLevelType w:val="multilevel"/>
    <w:tmpl w:val="AAE0F804"/>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18E00FBD"/>
    <w:multiLevelType w:val="multilevel"/>
    <w:tmpl w:val="D58294B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2BF35698"/>
    <w:multiLevelType w:val="multilevel"/>
    <w:tmpl w:val="75DABCE0"/>
    <w:lvl w:ilvl="0">
      <w:start w:val="1"/>
      <w:numFmt w:val="decimal"/>
      <w:pStyle w:val="ScheduleText1"/>
      <w:lvlText w:val="%1"/>
      <w:lvlJc w:val="left"/>
      <w:pPr>
        <w:ind w:left="170" w:hanging="170"/>
      </w:pPr>
      <w:rPr>
        <w:rFonts w:ascii="Arial" w:eastAsia="Arial" w:hAnsi="Arial" w:cs="Arial"/>
        <w:sz w:val="22"/>
        <w:szCs w:val="22"/>
      </w:rPr>
    </w:lvl>
    <w:lvl w:ilvl="1">
      <w:start w:val="1"/>
      <w:numFmt w:val="lowerLetter"/>
      <w:pStyle w:val="ScheduleText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ScheduleText3"/>
      <w:lvlText w:val="%3)"/>
      <w:lvlJc w:val="left"/>
      <w:pPr>
        <w:ind w:left="1080" w:hanging="360"/>
      </w:pPr>
      <w:rPr>
        <w:rFonts w:ascii="Arial" w:eastAsia="Arial" w:hAnsi="Arial" w:cs="Arial"/>
        <w:sz w:val="22"/>
        <w:szCs w:val="22"/>
      </w:rPr>
    </w:lvl>
    <w:lvl w:ilvl="3">
      <w:start w:val="1"/>
      <w:numFmt w:val="decimal"/>
      <w:pStyle w:val="ScheduleText4"/>
      <w:lvlText w:val="(%4)"/>
      <w:lvlJc w:val="left"/>
      <w:pPr>
        <w:ind w:left="1440" w:hanging="360"/>
      </w:pPr>
    </w:lvl>
    <w:lvl w:ilvl="4">
      <w:start w:val="1"/>
      <w:numFmt w:val="lowerLetter"/>
      <w:pStyle w:val="ScheduleText5"/>
      <w:lvlText w:val="(%5)"/>
      <w:lvlJc w:val="left"/>
      <w:pPr>
        <w:ind w:left="1800" w:hanging="360"/>
      </w:pPr>
    </w:lvl>
    <w:lvl w:ilvl="5">
      <w:start w:val="1"/>
      <w:numFmt w:val="lowerRoman"/>
      <w:pStyle w:val="ScheduleText6"/>
      <w:lvlText w:val="(%6)"/>
      <w:lvlJc w:val="left"/>
      <w:pPr>
        <w:ind w:left="2160" w:hanging="360"/>
      </w:pPr>
    </w:lvl>
    <w:lvl w:ilvl="6">
      <w:start w:val="1"/>
      <w:numFmt w:val="decimal"/>
      <w:pStyle w:val="ScheduleText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3A7494"/>
    <w:multiLevelType w:val="multilevel"/>
    <w:tmpl w:val="3200A372"/>
    <w:lvl w:ilvl="0">
      <w:start w:val="1"/>
      <w:numFmt w:val="decimal"/>
      <w:pStyle w:val="GPsDefinition"/>
      <w:lvlText w:val="%1."/>
      <w:lvlJc w:val="left"/>
      <w:pPr>
        <w:ind w:left="720" w:hanging="720"/>
      </w:pPr>
    </w:lvl>
    <w:lvl w:ilvl="1">
      <w:start w:val="1"/>
      <w:numFmt w:val="decimal"/>
      <w:pStyle w:val="GPSDefinitionL2"/>
      <w:lvlText w:val="%1.%2"/>
      <w:lvlJc w:val="left"/>
      <w:pPr>
        <w:ind w:left="720" w:hanging="720"/>
      </w:pPr>
    </w:lvl>
    <w:lvl w:ilvl="2">
      <w:start w:val="1"/>
      <w:numFmt w:val="decimal"/>
      <w:pStyle w:val="GPSDefinitionL3"/>
      <w:lvlText w:val="%1.%2.%3"/>
      <w:lvlJc w:val="left"/>
      <w:pPr>
        <w:ind w:left="1803" w:hanging="1083"/>
      </w:pPr>
    </w:lvl>
    <w:lvl w:ilvl="3">
      <w:start w:val="1"/>
      <w:numFmt w:val="lowerLetter"/>
      <w:pStyle w:val="GPSDefinitionL4"/>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 w15:restartNumberingAfterBreak="0">
    <w:nsid w:val="3ECB2628"/>
    <w:multiLevelType w:val="multilevel"/>
    <w:tmpl w:val="08F8708A"/>
    <w:lvl w:ilvl="0">
      <w:start w:val="1"/>
      <w:numFmt w:val="decimal"/>
      <w:pStyle w:val="BulletsBody"/>
      <w:lvlText w:val="%1."/>
      <w:lvlJc w:val="left"/>
      <w:pPr>
        <w:tabs>
          <w:tab w:val="num" w:pos="720"/>
        </w:tabs>
        <w:ind w:left="720" w:hanging="720"/>
      </w:pPr>
    </w:lvl>
    <w:lvl w:ilvl="1">
      <w:start w:val="1"/>
      <w:numFmt w:val="decimal"/>
      <w:pStyle w:val="BulletsLevel1"/>
      <w:lvlText w:val="%2."/>
      <w:lvlJc w:val="left"/>
      <w:pPr>
        <w:tabs>
          <w:tab w:val="num" w:pos="1440"/>
        </w:tabs>
        <w:ind w:left="1440" w:hanging="720"/>
      </w:pPr>
    </w:lvl>
    <w:lvl w:ilvl="2">
      <w:start w:val="1"/>
      <w:numFmt w:val="decimal"/>
      <w:pStyle w:val="BulletsLevel2"/>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3F29B9"/>
    <w:multiLevelType w:val="multilevel"/>
    <w:tmpl w:val="CA9EA2C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 w15:restartNumberingAfterBreak="0">
    <w:nsid w:val="6B126109"/>
    <w:multiLevelType w:val="multilevel"/>
    <w:tmpl w:val="DD86FE14"/>
    <w:lvl w:ilvl="0">
      <w:start w:val="1"/>
      <w:numFmt w:val="decimal"/>
      <w:pStyle w:val="GPSL1CLAUSEHEADING"/>
      <w:lvlText w:val="%1."/>
      <w:lvlJc w:val="left"/>
      <w:pPr>
        <w:ind w:left="720" w:hanging="720"/>
      </w:pPr>
      <w:rPr>
        <w:smallCaps w:val="0"/>
        <w:strike w:val="0"/>
        <w:color w:val="000000"/>
        <w:u w:val="none"/>
        <w:vertAlign w:val="baseline"/>
      </w:rPr>
    </w:lvl>
    <w:lvl w:ilvl="1">
      <w:start w:val="1"/>
      <w:numFmt w:val="decimal"/>
      <w:pStyle w:val="GPSL2numberedclause"/>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L3numberedclause"/>
      <w:lvlText w:val="%1.%2.%3"/>
      <w:lvlJc w:val="left"/>
      <w:pPr>
        <w:ind w:left="1440" w:hanging="720"/>
      </w:pPr>
      <w:rPr>
        <w:i w:val="0"/>
        <w:smallCaps w:val="0"/>
        <w:strike w:val="0"/>
        <w:color w:val="000000"/>
        <w:u w:val="none"/>
        <w:vertAlign w:val="baseline"/>
      </w:rPr>
    </w:lvl>
    <w:lvl w:ilvl="3">
      <w:start w:val="1"/>
      <w:numFmt w:val="lowerLetter"/>
      <w:pStyle w:val="GPSL4numberedclause"/>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 w15:restartNumberingAfterBreak="0">
    <w:nsid w:val="6F363A1C"/>
    <w:multiLevelType w:val="multilevel"/>
    <w:tmpl w:val="26B65FB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1981182046">
    <w:abstractNumId w:val="0"/>
  </w:num>
  <w:num w:numId="2" w16cid:durableId="1479805288">
    <w:abstractNumId w:val="3"/>
  </w:num>
  <w:num w:numId="3" w16cid:durableId="1258950042">
    <w:abstractNumId w:val="5"/>
  </w:num>
  <w:num w:numId="4" w16cid:durableId="862283241">
    <w:abstractNumId w:val="6"/>
  </w:num>
  <w:num w:numId="5" w16cid:durableId="1003513799">
    <w:abstractNumId w:val="7"/>
  </w:num>
  <w:num w:numId="6" w16cid:durableId="45882068">
    <w:abstractNumId w:val="1"/>
  </w:num>
  <w:num w:numId="7" w16cid:durableId="160432403">
    <w:abstractNumId w:val="2"/>
  </w:num>
  <w:num w:numId="8" w16cid:durableId="857962974">
    <w:abstractNumId w:val="4"/>
  </w:num>
  <w:num w:numId="9" w16cid:durableId="544605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4517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601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5F"/>
    <w:rsid w:val="001913F6"/>
    <w:rsid w:val="00336C59"/>
    <w:rsid w:val="00346CFD"/>
    <w:rsid w:val="003A3C52"/>
    <w:rsid w:val="003C060F"/>
    <w:rsid w:val="00665111"/>
    <w:rsid w:val="007F2B56"/>
    <w:rsid w:val="00813569"/>
    <w:rsid w:val="00821579"/>
    <w:rsid w:val="008A5B7C"/>
    <w:rsid w:val="00975A61"/>
    <w:rsid w:val="00A83015"/>
    <w:rsid w:val="00AA1954"/>
    <w:rsid w:val="00C45A95"/>
    <w:rsid w:val="00D03994"/>
    <w:rsid w:val="00D2585F"/>
    <w:rsid w:val="00DC5E87"/>
    <w:rsid w:val="00F3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431E"/>
  <w15:docId w15:val="{6BA5C182-0980-2344-BF5A-2BD001FC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4"/>
      </w:numPr>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L2NumberedBoldHeading">
    <w:name w:val="GPS L2 Numbered Bold Heading"/>
    <w:basedOn w:val="Normal"/>
    <w:qFormat/>
    <w:rsid w:val="00831E6E"/>
    <w:pPr>
      <w:tabs>
        <w:tab w:val="left" w:pos="1134"/>
      </w:tabs>
      <w:overflowPunct/>
      <w:autoSpaceDE/>
      <w:autoSpaceDN/>
      <w:spacing w:before="120" w:after="120"/>
      <w:ind w:left="644" w:hanging="218"/>
      <w:textAlignment w:val="auto"/>
    </w:pPr>
    <w:rPr>
      <w:rFonts w:ascii="Calibri" w:hAnsi="Calibri"/>
      <w:b/>
      <w:lang w:eastAsia="zh-CN"/>
    </w:rPr>
  </w:style>
  <w:style w:type="paragraph" w:customStyle="1" w:styleId="GPSL2Numbered">
    <w:name w:val="GPS L2 Numbered"/>
    <w:basedOn w:val="GPSL2NumberedBoldHeading"/>
    <w:link w:val="GPSL2NumberedChar"/>
    <w:qFormat/>
    <w:rsid w:val="00831E6E"/>
    <w:pPr>
      <w:tabs>
        <w:tab w:val="clear" w:pos="1134"/>
      </w:tabs>
      <w:ind w:hanging="360"/>
    </w:pPr>
    <w:rPr>
      <w:b w:val="0"/>
    </w:rPr>
  </w:style>
  <w:style w:type="character" w:customStyle="1" w:styleId="GPSL2NumberedChar">
    <w:name w:val="GPS L2 Numbered Char"/>
    <w:link w:val="GPSL2Numbered"/>
    <w:locked/>
    <w:rsid w:val="00831E6E"/>
    <w:rPr>
      <w:rFonts w:ascii="Calibri" w:eastAsia="Times New Roman" w:hAnsi="Calibri"/>
      <w:lang w:eastAsia="zh-CN"/>
    </w:rPr>
  </w:style>
  <w:style w:type="paragraph" w:customStyle="1" w:styleId="ScheduleText1">
    <w:name w:val="Schedule Text 1"/>
    <w:basedOn w:val="Normal"/>
    <w:next w:val="Normal"/>
    <w:rsid w:val="003C22E1"/>
    <w:pPr>
      <w:numPr>
        <w:numId w:val="7"/>
      </w:numPr>
      <w:overflowPunct/>
      <w:autoSpaceDE/>
      <w:autoSpaceDN/>
      <w:adjustRightInd/>
      <w:spacing w:before="100" w:after="200"/>
      <w:jc w:val="left"/>
      <w:textAlignment w:val="auto"/>
    </w:pPr>
    <w:rPr>
      <w:rFonts w:cs="Times New Roman"/>
      <w:b/>
      <w:sz w:val="24"/>
      <w:szCs w:val="24"/>
    </w:rPr>
  </w:style>
  <w:style w:type="paragraph" w:customStyle="1" w:styleId="ScheduleText2">
    <w:name w:val="Schedule Text 2"/>
    <w:basedOn w:val="ScheduleText1"/>
    <w:next w:val="Normal"/>
    <w:rsid w:val="003C22E1"/>
    <w:pPr>
      <w:numPr>
        <w:ilvl w:val="1"/>
      </w:numPr>
    </w:pPr>
    <w:rPr>
      <w:b w:val="0"/>
    </w:rPr>
  </w:style>
  <w:style w:type="paragraph" w:customStyle="1" w:styleId="ScheduleText3">
    <w:name w:val="Schedule Text 3"/>
    <w:basedOn w:val="Normal"/>
    <w:next w:val="Normal"/>
    <w:rsid w:val="003C22E1"/>
    <w:pPr>
      <w:numPr>
        <w:ilvl w:val="2"/>
        <w:numId w:val="7"/>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4">
    <w:name w:val="Schedule Text 4"/>
    <w:basedOn w:val="Normal"/>
    <w:next w:val="Normal"/>
    <w:rsid w:val="003C22E1"/>
    <w:pPr>
      <w:numPr>
        <w:ilvl w:val="3"/>
        <w:numId w:val="7"/>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5">
    <w:name w:val="Schedule Text 5"/>
    <w:basedOn w:val="Normal"/>
    <w:next w:val="Normal"/>
    <w:rsid w:val="003C22E1"/>
    <w:pPr>
      <w:numPr>
        <w:ilvl w:val="4"/>
        <w:numId w:val="7"/>
      </w:numPr>
      <w:tabs>
        <w:tab w:val="left" w:pos="720"/>
        <w:tab w:val="left" w:pos="2523"/>
      </w:tabs>
      <w:overflowPunct/>
      <w:autoSpaceDE/>
      <w:autoSpaceDN/>
      <w:adjustRightInd/>
      <w:spacing w:before="100" w:after="200"/>
      <w:jc w:val="left"/>
      <w:textAlignment w:val="auto"/>
    </w:pPr>
    <w:rPr>
      <w:rFonts w:cs="Times New Roman"/>
      <w:sz w:val="24"/>
      <w:szCs w:val="24"/>
    </w:rPr>
  </w:style>
  <w:style w:type="paragraph" w:customStyle="1" w:styleId="ScheduleText6">
    <w:name w:val="Schedule Text 6"/>
    <w:basedOn w:val="ScheduleText5"/>
    <w:rsid w:val="003C22E1"/>
    <w:pPr>
      <w:numPr>
        <w:ilvl w:val="5"/>
      </w:numPr>
    </w:pPr>
  </w:style>
  <w:style w:type="paragraph" w:customStyle="1" w:styleId="ScheduleText7">
    <w:name w:val="Schedule Text 7"/>
    <w:basedOn w:val="ScheduleText6"/>
    <w:rsid w:val="003C22E1"/>
    <w:pPr>
      <w:numPr>
        <w:ilvl w:val="6"/>
      </w:numPr>
    </w:pPr>
  </w:style>
  <w:style w:type="paragraph" w:customStyle="1" w:styleId="BulletsBody">
    <w:name w:val="Bullets Body"/>
    <w:basedOn w:val="Normal"/>
    <w:rsid w:val="009009FB"/>
    <w:pPr>
      <w:numPr>
        <w:numId w:val="8"/>
      </w:numPr>
      <w:overflowPunct/>
      <w:autoSpaceDE/>
      <w:autoSpaceDN/>
      <w:adjustRightInd/>
      <w:spacing w:before="100" w:after="200"/>
      <w:jc w:val="left"/>
      <w:textAlignment w:val="auto"/>
    </w:pPr>
    <w:rPr>
      <w:rFonts w:cs="Times New Roman"/>
      <w:sz w:val="24"/>
      <w:szCs w:val="24"/>
    </w:rPr>
  </w:style>
  <w:style w:type="paragraph" w:customStyle="1" w:styleId="BulletsLevel1">
    <w:name w:val="Bullets Level 1"/>
    <w:basedOn w:val="Normal"/>
    <w:rsid w:val="009009FB"/>
    <w:pPr>
      <w:numPr>
        <w:ilvl w:val="1"/>
        <w:numId w:val="8"/>
      </w:numPr>
      <w:tabs>
        <w:tab w:val="left" w:pos="1797"/>
      </w:tabs>
      <w:overflowPunct/>
      <w:autoSpaceDE/>
      <w:autoSpaceDN/>
      <w:adjustRightInd/>
      <w:spacing w:before="100" w:after="200"/>
      <w:jc w:val="left"/>
      <w:textAlignment w:val="auto"/>
    </w:pPr>
    <w:rPr>
      <w:rFonts w:cs="Times New Roman"/>
      <w:sz w:val="24"/>
      <w:szCs w:val="24"/>
    </w:rPr>
  </w:style>
  <w:style w:type="paragraph" w:customStyle="1" w:styleId="BulletsLevel2">
    <w:name w:val="Bullets Level 2"/>
    <w:basedOn w:val="BulletsLevel1"/>
    <w:rsid w:val="009009FB"/>
    <w:pPr>
      <w:numPr>
        <w:ilvl w:val="2"/>
      </w:numPr>
      <w:tabs>
        <w:tab w:val="clear" w:pos="1797"/>
      </w:tabs>
    </w:pPr>
  </w:style>
  <w:style w:type="numbering" w:customStyle="1" w:styleId="Scheduleheading">
    <w:name w:val="Schedule heading"/>
    <w:uiPriority w:val="99"/>
    <w:rsid w:val="004E1995"/>
  </w:style>
  <w:style w:type="paragraph" w:customStyle="1" w:styleId="AnnexHeading">
    <w:name w:val="Annex Heading"/>
    <w:basedOn w:val="Normal"/>
    <w:next w:val="Normal"/>
    <w:rsid w:val="004E1995"/>
    <w:pPr>
      <w:tabs>
        <w:tab w:val="num" w:pos="720"/>
      </w:tabs>
      <w:overflowPunct/>
      <w:autoSpaceDE/>
      <w:autoSpaceDN/>
      <w:adjustRightInd/>
      <w:spacing w:before="100" w:after="300"/>
      <w:ind w:left="720" w:hanging="720"/>
      <w:jc w:val="center"/>
      <w:textAlignment w:val="auto"/>
    </w:pPr>
    <w:rPr>
      <w:rFonts w:ascii="Arial Bold" w:hAnsi="Arial Bold" w:cs="Times New Roman"/>
      <w:b/>
      <w:caps/>
      <w:sz w:val="24"/>
      <w:szCs w:val="24"/>
    </w:rPr>
  </w:style>
  <w:style w:type="paragraph" w:customStyle="1" w:styleId="StdBodyText">
    <w:name w:val="Std Body Text"/>
    <w:basedOn w:val="Normal"/>
    <w:qFormat/>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
    <w:name w:val="Definition List"/>
    <w:basedOn w:val="Normal"/>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Level1">
    <w:name w:val="Definition List Level 1"/>
    <w:basedOn w:val="DefinitionList"/>
    <w:rsid w:val="004E1995"/>
  </w:style>
  <w:style w:type="paragraph" w:customStyle="1" w:styleId="DefinitionListLevel2">
    <w:name w:val="Definition List Level 2"/>
    <w:basedOn w:val="DefinitionListLevel1"/>
    <w:rsid w:val="004E1995"/>
  </w:style>
  <w:style w:type="paragraph" w:customStyle="1" w:styleId="StdBodyTextBold">
    <w:name w:val="Std Body Text Bold"/>
    <w:basedOn w:val="Normal"/>
    <w:next w:val="StdBodyText"/>
    <w:link w:val="StdBodyTextBoldChar"/>
    <w:qFormat/>
    <w:rsid w:val="00B74DBD"/>
    <w:pPr>
      <w:overflowPunct/>
      <w:autoSpaceDE/>
      <w:autoSpaceDN/>
      <w:adjustRightInd/>
      <w:spacing w:before="100" w:after="200"/>
      <w:ind w:left="0"/>
      <w:jc w:val="left"/>
      <w:textAlignment w:val="auto"/>
    </w:pPr>
    <w:rPr>
      <w:rFonts w:cs="Times New Roman"/>
      <w:b/>
      <w:sz w:val="24"/>
      <w:szCs w:val="24"/>
    </w:rPr>
  </w:style>
  <w:style w:type="character" w:customStyle="1" w:styleId="StdBodyTextBoldChar">
    <w:name w:val="Std Body Text Bold Char"/>
    <w:basedOn w:val="DefaultParagraphFont"/>
    <w:link w:val="StdBodyTextBold"/>
    <w:rsid w:val="00B74DBD"/>
    <w:rPr>
      <w:rFonts w:eastAsia="Times New Roman" w:cs="Times New Roman"/>
      <w:b/>
      <w:sz w:val="24"/>
      <w:szCs w:val="24"/>
    </w:rPr>
  </w:style>
  <w:style w:type="paragraph" w:customStyle="1" w:styleId="AppendixText1">
    <w:name w:val="Appendix Text 1"/>
    <w:basedOn w:val="Normal"/>
    <w:rsid w:val="00666034"/>
    <w:pPr>
      <w:tabs>
        <w:tab w:val="num" w:pos="720"/>
      </w:tabs>
      <w:ind w:left="720" w:hanging="720"/>
    </w:pPr>
  </w:style>
  <w:style w:type="paragraph" w:customStyle="1" w:styleId="AppendixText2">
    <w:name w:val="Appendix Text 2"/>
    <w:basedOn w:val="Normal"/>
    <w:rsid w:val="00666034"/>
    <w:pPr>
      <w:tabs>
        <w:tab w:val="num" w:pos="1440"/>
      </w:tabs>
      <w:ind w:left="1440" w:hanging="720"/>
    </w:pPr>
  </w:style>
  <w:style w:type="paragraph" w:customStyle="1" w:styleId="AppendixText3">
    <w:name w:val="Appendix Text 3"/>
    <w:basedOn w:val="Normal"/>
    <w:rsid w:val="00666034"/>
    <w:pPr>
      <w:tabs>
        <w:tab w:val="num" w:pos="2160"/>
      </w:tabs>
      <w:ind w:left="2160" w:hanging="720"/>
    </w:pPr>
  </w:style>
  <w:style w:type="paragraph" w:customStyle="1" w:styleId="AppendixText4">
    <w:name w:val="Appendix Text 4"/>
    <w:basedOn w:val="Normal"/>
    <w:rsid w:val="00666034"/>
    <w:pPr>
      <w:numPr>
        <w:ilvl w:val="3"/>
        <w:numId w:val="11"/>
      </w:numPr>
    </w:pPr>
  </w:style>
  <w:style w:type="paragraph" w:customStyle="1" w:styleId="AppendixText5">
    <w:name w:val="Appendix Text 5"/>
    <w:basedOn w:val="Normal"/>
    <w:rsid w:val="00666034"/>
    <w:pPr>
      <w:numPr>
        <w:ilvl w:val="4"/>
        <w:numId w:val="11"/>
      </w:numPr>
    </w:p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nEhLYyNgrXqjs4BhZ75HfTVs6TQ==">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14A4D-A718-4532-800E-692F7CB6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D77AA-01F1-4C81-9FE3-40E3B95535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CC94EF4-F571-4A9B-81D7-2B5F024BD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5593</Words>
  <Characters>31881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Nicola Congreve</cp:lastModifiedBy>
  <cp:revision>2</cp:revision>
  <dcterms:created xsi:type="dcterms:W3CDTF">2024-05-09T08:41:00Z</dcterms:created>
  <dcterms:modified xsi:type="dcterms:W3CDTF">2024-05-09T08:41:00Z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0x0101008324F918D5154B40ADCFADD50BD2479E</vt:lpwstr>
  </property>
</Properties>
</file>