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DB" w:rsidRDefault="006150DB" w:rsidP="006150DB">
      <w:pPr>
        <w:jc w:val="center"/>
        <w:rPr>
          <w:rFonts w:ascii="Arial" w:hAnsi="Arial" w:cs="Arial"/>
          <w:b/>
        </w:rPr>
      </w:pPr>
      <w:r w:rsidRPr="006150DB">
        <w:rPr>
          <w:rFonts w:ascii="Arial" w:hAnsi="Arial" w:cs="Arial"/>
          <w:b/>
        </w:rPr>
        <w:t>Initial Teacher Training (ITT) Provision Expansion pilot</w:t>
      </w:r>
    </w:p>
    <w:p w:rsidR="006150DB" w:rsidRDefault="006150DB" w:rsidP="006150DB">
      <w:pPr>
        <w:jc w:val="center"/>
        <w:rPr>
          <w:rFonts w:ascii="Arial" w:hAnsi="Arial" w:cs="Arial"/>
          <w:b/>
        </w:rPr>
      </w:pPr>
    </w:p>
    <w:p w:rsidR="006150DB" w:rsidRPr="00C326FE" w:rsidRDefault="006150DB" w:rsidP="006150DB">
      <w:pPr>
        <w:rPr>
          <w:rFonts w:ascii="Arial" w:hAnsi="Arial" w:cs="Arial"/>
          <w:b/>
          <w:bCs/>
          <w:sz w:val="36"/>
          <w:szCs w:val="36"/>
          <w:lang w:val="en"/>
        </w:rPr>
      </w:pPr>
      <w:r w:rsidRPr="00C326FE">
        <w:rPr>
          <w:rFonts w:ascii="Arial" w:hAnsi="Arial" w:cs="Arial"/>
          <w:b/>
          <w:color w:val="365F91"/>
          <w:sz w:val="28"/>
          <w:szCs w:val="28"/>
        </w:rPr>
        <w:t>Overview</w:t>
      </w:r>
    </w:p>
    <w:p w:rsidR="006150DB" w:rsidRPr="00DB463F" w:rsidRDefault="006150DB" w:rsidP="006150DB">
      <w:pPr>
        <w:rPr>
          <w:rFonts w:ascii="Arial" w:hAnsi="Arial" w:cs="Arial"/>
          <w:lang w:val="en"/>
        </w:rPr>
      </w:pPr>
      <w:r w:rsidRPr="00DB463F">
        <w:rPr>
          <w:rFonts w:ascii="Arial" w:hAnsi="Arial" w:cs="Arial"/>
          <w:lang w:val="en"/>
        </w:rPr>
        <w:t xml:space="preserve">The Department for Education is launching a pilot to extend the reach of ‘Outstanding’ Initial Teacher Training providers into challenging areas of the country.  </w:t>
      </w:r>
    </w:p>
    <w:p w:rsidR="006150DB" w:rsidRPr="00DB463F" w:rsidRDefault="006150DB" w:rsidP="006150DB">
      <w:pPr>
        <w:rPr>
          <w:rFonts w:ascii="Arial" w:hAnsi="Arial" w:cs="Arial"/>
          <w:i/>
          <w:iCs/>
        </w:rPr>
      </w:pPr>
      <w:r w:rsidRPr="00DB463F">
        <w:rPr>
          <w:rFonts w:ascii="Arial" w:hAnsi="Arial" w:cs="Arial"/>
          <w:lang w:val="en"/>
        </w:rPr>
        <w:t>W</w:t>
      </w:r>
      <w:r w:rsidRPr="00DB463F">
        <w:rPr>
          <w:rFonts w:ascii="Arial" w:hAnsi="Arial" w:cs="Arial"/>
        </w:rPr>
        <w:t xml:space="preserve">e announced in an October 2017 </w:t>
      </w:r>
      <w:hyperlink r:id="rId5" w:history="1">
        <w:r w:rsidRPr="00DB463F">
          <w:rPr>
            <w:rStyle w:val="Hyperlink"/>
            <w:rFonts w:ascii="Arial" w:hAnsi="Arial" w:cs="Arial"/>
          </w:rPr>
          <w:t>Press Release</w:t>
        </w:r>
      </w:hyperlink>
      <w:r w:rsidRPr="00DB463F">
        <w:rPr>
          <w:rFonts w:ascii="Arial" w:hAnsi="Arial" w:cs="Arial"/>
        </w:rPr>
        <w:t xml:space="preserve"> that we would, </w:t>
      </w:r>
      <w:r w:rsidRPr="00DB463F">
        <w:rPr>
          <w:rFonts w:ascii="Arial" w:hAnsi="Arial" w:cs="Arial"/>
          <w:i/>
          <w:iCs/>
        </w:rPr>
        <w:t>“Support our best teacher trainer providers … to expand their reach into challenging areas … so more areas benefit from excellent teacher training, and help increase the supply of great teachers to the schools that need them the most.”</w:t>
      </w:r>
    </w:p>
    <w:p w:rsidR="006150DB" w:rsidRDefault="006150DB" w:rsidP="006150DB">
      <w:pPr>
        <w:rPr>
          <w:rFonts w:ascii="Arial" w:hAnsi="Arial" w:cs="Arial"/>
        </w:rPr>
      </w:pPr>
      <w:r w:rsidRPr="00152892">
        <w:rPr>
          <w:rFonts w:ascii="Arial" w:hAnsi="Arial" w:cs="Arial"/>
        </w:rPr>
        <w:t>Currently there are variations in teacher supply challenges across the country, often at school level, including (but not exclusively) some poor-performing schools struggling to recruit the teachers they need to improve their outcomes. While expansion in school-led teacher training provision has been successful, the increase in national training capacity has not yet delivered new supply to some schools most in need of new teachers.</w:t>
      </w:r>
    </w:p>
    <w:p w:rsidR="006150DB" w:rsidRPr="00152892" w:rsidRDefault="006150DB" w:rsidP="006150DB">
      <w:pPr>
        <w:rPr>
          <w:rFonts w:ascii="Arial" w:hAnsi="Arial" w:cs="Arial"/>
        </w:rPr>
      </w:pPr>
    </w:p>
    <w:p w:rsidR="006150DB" w:rsidRDefault="006150DB" w:rsidP="006150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B109C4">
        <w:rPr>
          <w:rFonts w:ascii="Arial" w:hAnsi="Arial" w:cs="Arial"/>
          <w:bCs/>
        </w:rPr>
        <w:t xml:space="preserve">he Department intends to </w:t>
      </w:r>
      <w:r>
        <w:rPr>
          <w:rFonts w:ascii="Arial" w:hAnsi="Arial" w:cs="Arial"/>
          <w:bCs/>
        </w:rPr>
        <w:t>support</w:t>
      </w:r>
      <w:r w:rsidRPr="00B109C4">
        <w:rPr>
          <w:rFonts w:ascii="Arial" w:hAnsi="Arial" w:cs="Arial"/>
          <w:bCs/>
        </w:rPr>
        <w:t xml:space="preserve"> ‘Outstanding’ ITT providers to expand their provision in challenging areas for teacher recruitment</w:t>
      </w:r>
      <w:r>
        <w:rPr>
          <w:rFonts w:ascii="Arial" w:hAnsi="Arial" w:cs="Arial"/>
          <w:bCs/>
        </w:rPr>
        <w:t>,</w:t>
      </w:r>
      <w:r w:rsidRPr="00B109C4">
        <w:rPr>
          <w:rFonts w:ascii="Arial" w:hAnsi="Arial" w:cs="Arial"/>
          <w:bCs/>
        </w:rPr>
        <w:t xml:space="preserve"> including to schools not currently involved in ITT that are Ofsted Category 3 or 4. This </w:t>
      </w:r>
      <w:proofErr w:type="gramStart"/>
      <w:r w:rsidRPr="00B109C4">
        <w:rPr>
          <w:rFonts w:ascii="Arial" w:hAnsi="Arial" w:cs="Arial"/>
          <w:bCs/>
        </w:rPr>
        <w:t>is intended</w:t>
      </w:r>
      <w:proofErr w:type="gramEnd"/>
      <w:r w:rsidRPr="00B109C4">
        <w:rPr>
          <w:rFonts w:ascii="Arial" w:hAnsi="Arial" w:cs="Arial"/>
          <w:bCs/>
        </w:rPr>
        <w:t xml:space="preserve"> to improve the supply of trainee teachers, promote school improvement through ITT, support teacher </w:t>
      </w:r>
      <w:r>
        <w:rPr>
          <w:rFonts w:ascii="Arial" w:hAnsi="Arial" w:cs="Arial"/>
          <w:bCs/>
        </w:rPr>
        <w:t xml:space="preserve">recruitment and </w:t>
      </w:r>
      <w:r w:rsidRPr="00B109C4">
        <w:rPr>
          <w:rFonts w:ascii="Arial" w:hAnsi="Arial" w:cs="Arial"/>
          <w:bCs/>
        </w:rPr>
        <w:t xml:space="preserve">retention, and remove obstacles to social mobility in these regions and their schools. </w:t>
      </w:r>
    </w:p>
    <w:p w:rsidR="006150DB" w:rsidRPr="00B109C4" w:rsidRDefault="006150DB" w:rsidP="006150DB">
      <w:pPr>
        <w:rPr>
          <w:rFonts w:ascii="Arial" w:hAnsi="Arial" w:cs="Arial"/>
          <w:bCs/>
        </w:rPr>
      </w:pPr>
    </w:p>
    <w:p w:rsidR="006150DB" w:rsidRDefault="006150DB" w:rsidP="006150DB">
      <w:pPr>
        <w:rPr>
          <w:rFonts w:ascii="Arial" w:hAnsi="Arial" w:cs="Arial"/>
          <w:bCs/>
        </w:rPr>
      </w:pPr>
      <w:r w:rsidRPr="00B109C4">
        <w:rPr>
          <w:rFonts w:ascii="Arial" w:hAnsi="Arial" w:cs="Arial"/>
          <w:bCs/>
        </w:rPr>
        <w:t xml:space="preserve">Bids might target one or more of the category 5 and 6 </w:t>
      </w:r>
      <w:hyperlink r:id="rId6" w:history="1">
        <w:r w:rsidRPr="00B109C4">
          <w:rPr>
            <w:rStyle w:val="Hyperlink"/>
            <w:rFonts w:ascii="Arial" w:hAnsi="Arial" w:cs="Arial"/>
            <w:bCs/>
          </w:rPr>
          <w:t>‘Achieving Excellence Areas’</w:t>
        </w:r>
      </w:hyperlink>
      <w:r w:rsidRPr="00B109C4">
        <w:rPr>
          <w:rFonts w:ascii="Arial" w:hAnsi="Arial" w:cs="Arial"/>
          <w:bCs/>
        </w:rPr>
        <w:t xml:space="preserve"> and/or one or more of the 12 </w:t>
      </w:r>
      <w:hyperlink r:id="rId7" w:history="1">
        <w:r w:rsidRPr="00B109C4">
          <w:rPr>
            <w:rStyle w:val="Hyperlink"/>
            <w:rFonts w:ascii="Arial" w:hAnsi="Arial" w:cs="Arial"/>
            <w:bCs/>
          </w:rPr>
          <w:t>Opportunity areas</w:t>
        </w:r>
      </w:hyperlink>
      <w:r w:rsidRPr="00B109C4">
        <w:rPr>
          <w:rFonts w:ascii="Arial" w:hAnsi="Arial" w:cs="Arial"/>
          <w:bCs/>
        </w:rPr>
        <w:t xml:space="preserve">. Providers may also propose any other area provided </w:t>
      </w:r>
      <w:r>
        <w:rPr>
          <w:rFonts w:ascii="Arial" w:hAnsi="Arial" w:cs="Arial"/>
          <w:bCs/>
        </w:rPr>
        <w:t>they</w:t>
      </w:r>
      <w:r w:rsidRPr="00B109C4">
        <w:rPr>
          <w:rFonts w:ascii="Arial" w:hAnsi="Arial" w:cs="Arial"/>
          <w:bCs/>
        </w:rPr>
        <w:t xml:space="preserve"> supply compelling evidence of teacher supply need and impact in </w:t>
      </w:r>
      <w:r>
        <w:rPr>
          <w:rFonts w:ascii="Arial" w:hAnsi="Arial" w:cs="Arial"/>
          <w:bCs/>
        </w:rPr>
        <w:t>their</w:t>
      </w:r>
      <w:r w:rsidRPr="00B109C4">
        <w:rPr>
          <w:rFonts w:ascii="Arial" w:hAnsi="Arial" w:cs="Arial"/>
          <w:bCs/>
        </w:rPr>
        <w:t xml:space="preserve"> bid</w:t>
      </w:r>
      <w:r>
        <w:rPr>
          <w:rFonts w:ascii="Arial" w:hAnsi="Arial" w:cs="Arial"/>
          <w:bCs/>
        </w:rPr>
        <w:t>s</w:t>
      </w:r>
      <w:r w:rsidRPr="00B109C4">
        <w:rPr>
          <w:rFonts w:ascii="Arial" w:hAnsi="Arial" w:cs="Arial"/>
          <w:bCs/>
        </w:rPr>
        <w:t xml:space="preserve">.  Providers should ensure that they utilise current published data, including, but not limited to the recently published </w:t>
      </w:r>
      <w:hyperlink r:id="rId8" w:history="1">
        <w:r w:rsidRPr="00B109C4">
          <w:rPr>
            <w:rStyle w:val="Hyperlink"/>
            <w:rFonts w:ascii="Arial" w:hAnsi="Arial" w:cs="Arial"/>
            <w:bCs/>
          </w:rPr>
          <w:t>Teachers Analysis Compendium 3</w:t>
        </w:r>
      </w:hyperlink>
      <w:r w:rsidRPr="00B109C4">
        <w:rPr>
          <w:rFonts w:ascii="Arial" w:hAnsi="Arial" w:cs="Arial"/>
          <w:bCs/>
        </w:rPr>
        <w:t>.</w:t>
      </w:r>
    </w:p>
    <w:p w:rsidR="006150DB" w:rsidRPr="00B109C4" w:rsidRDefault="006150DB" w:rsidP="006150DB">
      <w:pPr>
        <w:rPr>
          <w:rFonts w:ascii="Arial" w:hAnsi="Arial" w:cs="Arial"/>
          <w:bCs/>
        </w:rPr>
      </w:pPr>
    </w:p>
    <w:p w:rsidR="006150DB" w:rsidRPr="00C326FE" w:rsidRDefault="006150DB" w:rsidP="006150DB">
      <w:pPr>
        <w:rPr>
          <w:rFonts w:ascii="Arial" w:hAnsi="Arial" w:cs="Arial"/>
          <w:b/>
          <w:bCs/>
          <w:sz w:val="36"/>
          <w:szCs w:val="36"/>
          <w:lang w:val="en"/>
        </w:rPr>
      </w:pPr>
      <w:r w:rsidRPr="00C326FE">
        <w:rPr>
          <w:rFonts w:ascii="Arial" w:hAnsi="Arial" w:cs="Arial"/>
          <w:b/>
          <w:color w:val="365F91"/>
          <w:sz w:val="28"/>
          <w:szCs w:val="28"/>
        </w:rPr>
        <w:t>Eligibility</w:t>
      </w:r>
    </w:p>
    <w:p w:rsidR="006150DB" w:rsidRPr="00DB463F" w:rsidRDefault="006150DB" w:rsidP="006150DB">
      <w:pPr>
        <w:spacing w:after="100" w:afterAutospacing="1"/>
        <w:rPr>
          <w:rFonts w:ascii="Arial" w:hAnsi="Arial" w:cs="Arial"/>
          <w:lang w:val="en"/>
        </w:rPr>
      </w:pPr>
      <w:r w:rsidRPr="00DB463F">
        <w:rPr>
          <w:rFonts w:ascii="Arial" w:hAnsi="Arial" w:cs="Arial"/>
          <w:lang w:val="en"/>
        </w:rPr>
        <w:t>To be eligible:</w:t>
      </w:r>
    </w:p>
    <w:p w:rsidR="006150DB" w:rsidRPr="009C78DB" w:rsidRDefault="006150DB" w:rsidP="006150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cs="Arial"/>
          <w:sz w:val="24"/>
          <w:lang w:val="en"/>
        </w:rPr>
      </w:pPr>
      <w:r w:rsidRPr="009C78DB">
        <w:rPr>
          <w:rFonts w:cs="Arial"/>
          <w:sz w:val="24"/>
          <w:lang w:val="en"/>
        </w:rPr>
        <w:t xml:space="preserve">you must be an accredited provider of ITT in England, rated </w:t>
      </w:r>
      <w:proofErr w:type="spellStart"/>
      <w:r w:rsidRPr="009C78DB">
        <w:rPr>
          <w:rFonts w:cs="Arial"/>
          <w:sz w:val="24"/>
          <w:lang w:val="en"/>
        </w:rPr>
        <w:t>Ofsted</w:t>
      </w:r>
      <w:proofErr w:type="spellEnd"/>
      <w:r w:rsidRPr="009C78DB">
        <w:rPr>
          <w:rFonts w:cs="Arial"/>
          <w:sz w:val="24"/>
          <w:lang w:val="en"/>
        </w:rPr>
        <w:t xml:space="preserve"> ‘Outstanding’ for either primary, or secondary provision</w:t>
      </w:r>
    </w:p>
    <w:p w:rsidR="006150DB" w:rsidRPr="009C78DB" w:rsidRDefault="006150DB" w:rsidP="006150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cs="Arial"/>
          <w:sz w:val="24"/>
          <w:lang w:val="en"/>
        </w:rPr>
      </w:pPr>
      <w:proofErr w:type="gramStart"/>
      <w:r w:rsidRPr="009C78DB">
        <w:rPr>
          <w:rFonts w:cs="Arial"/>
          <w:sz w:val="24"/>
          <w:lang w:val="en"/>
        </w:rPr>
        <w:t>you</w:t>
      </w:r>
      <w:proofErr w:type="gramEnd"/>
      <w:r w:rsidRPr="009C78DB">
        <w:rPr>
          <w:rFonts w:cs="Arial"/>
          <w:sz w:val="24"/>
          <w:lang w:val="en"/>
        </w:rPr>
        <w:t xml:space="preserve"> must be able to commit to undertake implementation work in 2018 to deliver your proposal from 2019.</w:t>
      </w:r>
    </w:p>
    <w:p w:rsidR="006150DB" w:rsidRPr="00DB463F" w:rsidRDefault="006150DB" w:rsidP="006150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cs="Arial"/>
          <w:lang w:val="en"/>
        </w:rPr>
      </w:pPr>
      <w:r w:rsidRPr="009C78DB">
        <w:rPr>
          <w:rFonts w:cs="Arial"/>
          <w:sz w:val="24"/>
          <w:lang w:val="en"/>
        </w:rPr>
        <w:t>your proposal must comply with all the current ITT criteria, and use only existing ITT routes</w:t>
      </w:r>
    </w:p>
    <w:p w:rsidR="006150DB" w:rsidRPr="00C326FE" w:rsidRDefault="006150DB" w:rsidP="006150DB">
      <w:pPr>
        <w:rPr>
          <w:rFonts w:ascii="Arial" w:hAnsi="Arial" w:cs="Arial"/>
          <w:b/>
          <w:bCs/>
          <w:sz w:val="36"/>
          <w:szCs w:val="36"/>
          <w:lang w:val="en"/>
        </w:rPr>
      </w:pPr>
      <w:r w:rsidRPr="00C326FE">
        <w:rPr>
          <w:rFonts w:ascii="Arial" w:hAnsi="Arial" w:cs="Arial"/>
          <w:b/>
          <w:color w:val="365F91"/>
          <w:sz w:val="28"/>
          <w:szCs w:val="28"/>
        </w:rPr>
        <w:t>Objectives</w:t>
      </w:r>
    </w:p>
    <w:p w:rsidR="006150DB" w:rsidRPr="00C326FE" w:rsidRDefault="006150DB" w:rsidP="006150DB">
      <w:pPr>
        <w:rPr>
          <w:rFonts w:ascii="Arial" w:hAnsi="Arial" w:cs="Arial"/>
        </w:rPr>
      </w:pPr>
      <w:r w:rsidRPr="00C326FE">
        <w:rPr>
          <w:rFonts w:ascii="Arial" w:hAnsi="Arial" w:cs="Arial"/>
        </w:rPr>
        <w:t xml:space="preserve">The content of your bid must address the objectives of this exercise. The Department intends to </w:t>
      </w:r>
      <w:r>
        <w:rPr>
          <w:rFonts w:ascii="Arial" w:hAnsi="Arial" w:cs="Arial"/>
        </w:rPr>
        <w:t>support</w:t>
      </w:r>
      <w:r w:rsidRPr="00C326FE">
        <w:rPr>
          <w:rFonts w:ascii="Arial" w:hAnsi="Arial" w:cs="Arial"/>
        </w:rPr>
        <w:t xml:space="preserve"> providers </w:t>
      </w:r>
      <w:proofErr w:type="gramStart"/>
      <w:r w:rsidRPr="00C326FE">
        <w:rPr>
          <w:rFonts w:ascii="Arial" w:hAnsi="Arial" w:cs="Arial"/>
        </w:rPr>
        <w:t>to</w:t>
      </w:r>
      <w:proofErr w:type="gramEnd"/>
      <w:r w:rsidRPr="00C326FE">
        <w:rPr>
          <w:rFonts w:ascii="Arial" w:hAnsi="Arial" w:cs="Arial"/>
        </w:rPr>
        <w:t>:</w:t>
      </w:r>
    </w:p>
    <w:p w:rsidR="006150DB" w:rsidRPr="009C78DB" w:rsidRDefault="006150DB" w:rsidP="006150DB">
      <w:pPr>
        <w:pStyle w:val="ListParagraph"/>
        <w:numPr>
          <w:ilvl w:val="0"/>
          <w:numId w:val="1"/>
        </w:numPr>
        <w:spacing w:after="160" w:line="259" w:lineRule="auto"/>
        <w:rPr>
          <w:rFonts w:cs="Arial"/>
          <w:sz w:val="24"/>
        </w:rPr>
      </w:pPr>
      <w:r w:rsidRPr="009C78DB">
        <w:rPr>
          <w:rFonts w:cs="Arial"/>
          <w:sz w:val="24"/>
        </w:rPr>
        <w:t>increase trainee supply in areas of poor teacher recruitment and retention</w:t>
      </w:r>
    </w:p>
    <w:p w:rsidR="006150DB" w:rsidRPr="009C78DB" w:rsidRDefault="006150DB" w:rsidP="006150DB">
      <w:pPr>
        <w:pStyle w:val="ListParagraph"/>
        <w:numPr>
          <w:ilvl w:val="0"/>
          <w:numId w:val="1"/>
        </w:numPr>
        <w:spacing w:after="160" w:line="259" w:lineRule="auto"/>
        <w:rPr>
          <w:rFonts w:cs="Arial"/>
          <w:sz w:val="24"/>
        </w:rPr>
      </w:pPr>
      <w:r w:rsidRPr="009C78DB">
        <w:rPr>
          <w:rFonts w:cs="Arial"/>
          <w:sz w:val="24"/>
        </w:rPr>
        <w:t xml:space="preserve">improve the supply of newly qualified teachers to category 3 and 4 schools located in challenging areas </w:t>
      </w:r>
    </w:p>
    <w:p w:rsidR="006150DB" w:rsidRPr="009C78DB" w:rsidRDefault="006150DB" w:rsidP="006150DB">
      <w:pPr>
        <w:pStyle w:val="ListParagraph"/>
        <w:numPr>
          <w:ilvl w:val="0"/>
          <w:numId w:val="1"/>
        </w:numPr>
        <w:spacing w:after="160" w:line="259" w:lineRule="auto"/>
        <w:rPr>
          <w:rFonts w:cs="Arial"/>
          <w:sz w:val="24"/>
        </w:rPr>
      </w:pPr>
      <w:r w:rsidRPr="009C78DB">
        <w:rPr>
          <w:rFonts w:cs="Arial"/>
          <w:sz w:val="24"/>
        </w:rPr>
        <w:t>promote category 3 and 4 school improvement through their involvement in ITT</w:t>
      </w:r>
    </w:p>
    <w:p w:rsidR="006150DB" w:rsidRPr="009C78DB" w:rsidRDefault="006150DB" w:rsidP="006150DB">
      <w:pPr>
        <w:pStyle w:val="ListParagraph"/>
        <w:numPr>
          <w:ilvl w:val="0"/>
          <w:numId w:val="1"/>
        </w:numPr>
        <w:spacing w:after="0" w:line="259" w:lineRule="auto"/>
        <w:rPr>
          <w:rFonts w:cs="Arial"/>
          <w:sz w:val="24"/>
        </w:rPr>
      </w:pPr>
      <w:r w:rsidRPr="009C78DB">
        <w:rPr>
          <w:rFonts w:cs="Arial"/>
          <w:sz w:val="24"/>
        </w:rPr>
        <w:t>remove obstacles to social mobility</w:t>
      </w:r>
    </w:p>
    <w:p w:rsidR="006150DB" w:rsidRDefault="006150DB" w:rsidP="006150DB">
      <w:pPr>
        <w:rPr>
          <w:rFonts w:ascii="Arial" w:hAnsi="Arial" w:cs="Arial"/>
        </w:rPr>
      </w:pPr>
    </w:p>
    <w:p w:rsidR="006150DB" w:rsidRPr="00F97EA4" w:rsidRDefault="006150DB" w:rsidP="006150DB">
      <w:pPr>
        <w:rPr>
          <w:rFonts w:ascii="Arial" w:hAnsi="Arial" w:cs="Arial"/>
        </w:rPr>
      </w:pPr>
      <w:r w:rsidRPr="00F97EA4">
        <w:rPr>
          <w:rFonts w:ascii="Arial" w:hAnsi="Arial" w:cs="Arial"/>
          <w:b/>
          <w:color w:val="365F91"/>
          <w:sz w:val="28"/>
          <w:szCs w:val="28"/>
        </w:rPr>
        <w:t>Process</w:t>
      </w:r>
    </w:p>
    <w:p w:rsidR="006150DB" w:rsidRPr="00F97EA4" w:rsidRDefault="006150DB" w:rsidP="006150DB">
      <w:pPr>
        <w:rPr>
          <w:rFonts w:ascii="Arial" w:hAnsi="Arial" w:cs="Arial"/>
          <w:b/>
          <w:szCs w:val="28"/>
        </w:rPr>
      </w:pPr>
      <w:r w:rsidRPr="00F97EA4">
        <w:rPr>
          <w:rFonts w:ascii="Arial" w:hAnsi="Arial" w:cs="Arial"/>
          <w:b/>
          <w:szCs w:val="28"/>
        </w:rPr>
        <w:t>Expression of Intent</w:t>
      </w:r>
    </w:p>
    <w:p w:rsidR="006150DB" w:rsidRPr="00F97EA4" w:rsidRDefault="006150DB" w:rsidP="006150DB">
      <w:pPr>
        <w:pBdr>
          <w:bottom w:val="single" w:sz="4" w:space="1" w:color="auto"/>
        </w:pBdr>
        <w:spacing w:line="288" w:lineRule="auto"/>
        <w:rPr>
          <w:rFonts w:ascii="Arial" w:hAnsi="Arial" w:cs="Arial"/>
        </w:rPr>
      </w:pPr>
      <w:r w:rsidRPr="00F97EA4">
        <w:rPr>
          <w:rFonts w:ascii="Arial" w:hAnsi="Arial" w:cs="Arial"/>
        </w:rPr>
        <w:t xml:space="preserve">In order to be eligible to make a submission, you must first submit an Expression of Intent form to </w:t>
      </w:r>
      <w:hyperlink r:id="rId9" w:history="1">
        <w:r w:rsidRPr="00C326FE">
          <w:rPr>
            <w:rFonts w:ascii="Arial" w:hAnsi="Arial" w:cs="Arial"/>
            <w:color w:val="0000FF"/>
            <w:u w:val="single"/>
          </w:rPr>
          <w:t>ITT.INNOVATION@education.gov.uk</w:t>
        </w:r>
      </w:hyperlink>
      <w:r w:rsidRPr="00F97EA4">
        <w:rPr>
          <w:rFonts w:ascii="Arial" w:hAnsi="Arial" w:cs="Arial"/>
        </w:rPr>
        <w:t xml:space="preserve">, stating your accredited provider name, target expansion region/partner schools </w:t>
      </w:r>
      <w:r w:rsidRPr="00F97EA4">
        <w:rPr>
          <w:rFonts w:ascii="Arial" w:hAnsi="Arial" w:cs="Arial"/>
          <w:i/>
          <w:iCs/>
        </w:rPr>
        <w:t>(where known)</w:t>
      </w:r>
      <w:r w:rsidRPr="00F97EA4">
        <w:rPr>
          <w:rFonts w:ascii="Arial" w:hAnsi="Arial" w:cs="Arial"/>
          <w:iCs/>
        </w:rPr>
        <w:t>,</w:t>
      </w:r>
      <w:r w:rsidRPr="00F97EA4">
        <w:rPr>
          <w:rFonts w:ascii="Arial" w:hAnsi="Arial" w:cs="Arial"/>
        </w:rPr>
        <w:t xml:space="preserve"> and provider contact information.</w:t>
      </w:r>
    </w:p>
    <w:p w:rsidR="006150DB" w:rsidRDefault="006150DB" w:rsidP="006150DB">
      <w:pPr>
        <w:pBdr>
          <w:bottom w:val="single" w:sz="4" w:space="1" w:color="auto"/>
        </w:pBdr>
        <w:spacing w:line="288" w:lineRule="auto"/>
        <w:rPr>
          <w:rFonts w:ascii="Arial" w:hAnsi="Arial" w:cs="Arial"/>
        </w:rPr>
      </w:pPr>
    </w:p>
    <w:p w:rsidR="006150DB" w:rsidRPr="00F97EA4" w:rsidRDefault="006150DB" w:rsidP="006150DB">
      <w:pPr>
        <w:pBdr>
          <w:bottom w:val="single" w:sz="4" w:space="1" w:color="auto"/>
        </w:pBdr>
        <w:spacing w:line="288" w:lineRule="auto"/>
        <w:rPr>
          <w:rFonts w:ascii="Arial" w:hAnsi="Arial" w:cs="Arial"/>
        </w:rPr>
      </w:pPr>
      <w:r w:rsidRPr="00F97EA4">
        <w:rPr>
          <w:rFonts w:ascii="Arial" w:hAnsi="Arial" w:cs="Arial"/>
        </w:rPr>
        <w:t xml:space="preserve">The Expression of Intent form confirms that you have consulted with colleagues and potential </w:t>
      </w:r>
      <w:proofErr w:type="gramStart"/>
      <w:r w:rsidRPr="00F97EA4">
        <w:rPr>
          <w:rFonts w:ascii="Arial" w:hAnsi="Arial" w:cs="Arial"/>
        </w:rPr>
        <w:t>partners including schools, and that you will be working on a submission for this exercise</w:t>
      </w:r>
      <w:proofErr w:type="gramEnd"/>
      <w:r w:rsidRPr="00F97EA4">
        <w:rPr>
          <w:rFonts w:ascii="Arial" w:hAnsi="Arial" w:cs="Arial"/>
        </w:rPr>
        <w:t>. You are not obligated to submit a bid if you express intent, but you cannot submit a bid if you have not submitted the expression of intent form by the stated deadline.</w:t>
      </w:r>
    </w:p>
    <w:p w:rsidR="006150DB" w:rsidRDefault="006150DB" w:rsidP="006150DB">
      <w:pPr>
        <w:pBdr>
          <w:bottom w:val="single" w:sz="4" w:space="1" w:color="auto"/>
        </w:pBdr>
        <w:spacing w:line="288" w:lineRule="auto"/>
        <w:rPr>
          <w:rFonts w:ascii="Arial" w:hAnsi="Arial" w:cs="Arial"/>
        </w:rPr>
      </w:pPr>
    </w:p>
    <w:p w:rsidR="006150DB" w:rsidRPr="00F97EA4" w:rsidRDefault="006150DB" w:rsidP="006150DB">
      <w:pPr>
        <w:pBdr>
          <w:bottom w:val="single" w:sz="4" w:space="1" w:color="auto"/>
        </w:pBdr>
        <w:spacing w:line="288" w:lineRule="auto"/>
        <w:rPr>
          <w:rFonts w:ascii="Arial" w:hAnsi="Arial" w:cs="Arial"/>
        </w:rPr>
      </w:pPr>
      <w:r w:rsidRPr="00F97EA4">
        <w:rPr>
          <w:rFonts w:ascii="Arial" w:hAnsi="Arial" w:cs="Arial"/>
        </w:rPr>
        <w:t xml:space="preserve">The Expression of Intent form </w:t>
      </w:r>
      <w:proofErr w:type="gramStart"/>
      <w:r w:rsidRPr="00F97EA4">
        <w:rPr>
          <w:rFonts w:ascii="Arial" w:hAnsi="Arial" w:cs="Arial"/>
        </w:rPr>
        <w:t>should be submitted</w:t>
      </w:r>
      <w:proofErr w:type="gramEnd"/>
      <w:r w:rsidRPr="00F97EA4">
        <w:rPr>
          <w:rFonts w:ascii="Arial" w:hAnsi="Arial" w:cs="Arial"/>
        </w:rPr>
        <w:t xml:space="preserve"> to the Department by 30</w:t>
      </w:r>
      <w:r w:rsidRPr="00F97E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2018, and is available in the bidding documentation.</w:t>
      </w:r>
    </w:p>
    <w:p w:rsidR="006150DB" w:rsidRPr="00F97EA4" w:rsidRDefault="006150DB" w:rsidP="006150DB">
      <w:pPr>
        <w:rPr>
          <w:rFonts w:ascii="Arial" w:hAnsi="Arial" w:cs="Arial"/>
          <w:b/>
        </w:rPr>
      </w:pPr>
      <w:r w:rsidRPr="00F97EA4">
        <w:rPr>
          <w:rFonts w:ascii="Arial" w:hAnsi="Arial" w:cs="Arial"/>
          <w:b/>
          <w:szCs w:val="28"/>
        </w:rPr>
        <w:t>Submission</w:t>
      </w:r>
    </w:p>
    <w:p w:rsidR="006150DB" w:rsidRPr="00F97EA4" w:rsidRDefault="006150DB" w:rsidP="006150DB">
      <w:pPr>
        <w:spacing w:line="288" w:lineRule="auto"/>
        <w:rPr>
          <w:rFonts w:ascii="Arial" w:hAnsi="Arial" w:cs="Arial"/>
        </w:rPr>
      </w:pPr>
      <w:r w:rsidRPr="00F97EA4">
        <w:rPr>
          <w:rFonts w:ascii="Arial" w:hAnsi="Arial" w:cs="Arial"/>
        </w:rPr>
        <w:t xml:space="preserve">This is a </w:t>
      </w:r>
      <w:r w:rsidRPr="00F97EA4">
        <w:rPr>
          <w:rFonts w:ascii="Arial" w:hAnsi="Arial" w:cs="Arial"/>
          <w:b/>
        </w:rPr>
        <w:t xml:space="preserve">single stage submission </w:t>
      </w:r>
      <w:r w:rsidRPr="00F97EA4">
        <w:rPr>
          <w:rFonts w:ascii="Arial" w:hAnsi="Arial" w:cs="Arial"/>
        </w:rPr>
        <w:t>-</w:t>
      </w:r>
      <w:r w:rsidRPr="00F97EA4">
        <w:rPr>
          <w:rFonts w:ascii="Arial" w:hAnsi="Arial" w:cs="Arial"/>
          <w:b/>
        </w:rPr>
        <w:t xml:space="preserve"> </w:t>
      </w:r>
      <w:r w:rsidRPr="00F97EA4">
        <w:rPr>
          <w:rFonts w:ascii="Arial" w:hAnsi="Arial" w:cs="Arial"/>
        </w:rPr>
        <w:t xml:space="preserve">you must complete all sections </w:t>
      </w:r>
      <w:r>
        <w:rPr>
          <w:rFonts w:ascii="Arial" w:hAnsi="Arial" w:cs="Arial"/>
        </w:rPr>
        <w:t>in the bidding documentation</w:t>
      </w:r>
      <w:r w:rsidRPr="00F97EA4">
        <w:rPr>
          <w:rFonts w:ascii="Arial" w:hAnsi="Arial" w:cs="Arial"/>
        </w:rPr>
        <w:t>.</w:t>
      </w:r>
    </w:p>
    <w:p w:rsidR="006150DB" w:rsidRDefault="006150DB" w:rsidP="006150DB">
      <w:pPr>
        <w:rPr>
          <w:rFonts w:ascii="Arial" w:hAnsi="Arial" w:cs="Arial"/>
          <w:b/>
          <w:color w:val="2E74B5"/>
          <w:sz w:val="28"/>
          <w:szCs w:val="28"/>
        </w:rPr>
      </w:pPr>
    </w:p>
    <w:p w:rsidR="006150DB" w:rsidRPr="008F3413" w:rsidRDefault="006150DB" w:rsidP="006150DB">
      <w:pPr>
        <w:rPr>
          <w:rFonts w:ascii="Arial" w:hAnsi="Arial" w:cs="Arial"/>
          <w:b/>
          <w:color w:val="2E74B5"/>
          <w:sz w:val="28"/>
          <w:szCs w:val="28"/>
        </w:rPr>
      </w:pPr>
      <w:r w:rsidRPr="00E51006">
        <w:rPr>
          <w:rFonts w:ascii="Arial" w:hAnsi="Arial" w:cs="Arial"/>
          <w:b/>
          <w:color w:val="365F91"/>
          <w:sz w:val="28"/>
          <w:szCs w:val="28"/>
        </w:rPr>
        <w:t>Timings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2055"/>
      </w:tblGrid>
      <w:tr w:rsidR="006150DB" w:rsidRPr="00C326FE" w:rsidTr="008863BA">
        <w:tc>
          <w:tcPr>
            <w:tcW w:w="7508" w:type="dxa"/>
            <w:shd w:val="clear" w:color="auto" w:fill="5887C0"/>
          </w:tcPr>
          <w:p w:rsidR="006150DB" w:rsidRPr="001A0DAB" w:rsidRDefault="006150DB" w:rsidP="008863BA">
            <w:pPr>
              <w:rPr>
                <w:rFonts w:ascii="Arial" w:hAnsi="Arial" w:cs="Arial"/>
                <w:b/>
                <w:color w:val="FFFFFF"/>
              </w:rPr>
            </w:pPr>
            <w:r w:rsidRPr="001A0DAB">
              <w:rPr>
                <w:rFonts w:ascii="Arial" w:hAnsi="Arial" w:cs="Arial"/>
                <w:b/>
                <w:color w:val="FFFFFF"/>
              </w:rPr>
              <w:t>Process</w:t>
            </w:r>
          </w:p>
        </w:tc>
        <w:tc>
          <w:tcPr>
            <w:tcW w:w="2126" w:type="dxa"/>
            <w:shd w:val="clear" w:color="auto" w:fill="5887C0"/>
          </w:tcPr>
          <w:p w:rsidR="006150DB" w:rsidRPr="001A0DAB" w:rsidRDefault="006150DB" w:rsidP="008863BA">
            <w:pPr>
              <w:rPr>
                <w:rFonts w:ascii="Arial" w:hAnsi="Arial" w:cs="Arial"/>
                <w:b/>
                <w:color w:val="FFFFFF"/>
              </w:rPr>
            </w:pPr>
            <w:r w:rsidRPr="001A0DAB">
              <w:rPr>
                <w:rFonts w:ascii="Arial" w:hAnsi="Arial" w:cs="Arial"/>
                <w:b/>
                <w:color w:val="FFFFFF"/>
              </w:rPr>
              <w:t>Date</w:t>
            </w:r>
          </w:p>
        </w:tc>
      </w:tr>
      <w:tr w:rsidR="006150DB" w:rsidRPr="00C326FE" w:rsidTr="008863BA">
        <w:tc>
          <w:tcPr>
            <w:tcW w:w="7508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Expression of Intent deadline</w:t>
            </w:r>
          </w:p>
        </w:tc>
        <w:tc>
          <w:tcPr>
            <w:tcW w:w="2126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30/04/18</w:t>
            </w:r>
          </w:p>
        </w:tc>
      </w:tr>
      <w:tr w:rsidR="006150DB" w:rsidRPr="00C326FE" w:rsidTr="008863BA">
        <w:tc>
          <w:tcPr>
            <w:tcW w:w="7508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Submission deadline</w:t>
            </w:r>
          </w:p>
        </w:tc>
        <w:tc>
          <w:tcPr>
            <w:tcW w:w="2126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03/06/17</w:t>
            </w:r>
          </w:p>
        </w:tc>
      </w:tr>
      <w:tr w:rsidR="006150DB" w:rsidRPr="00C326FE" w:rsidTr="008863BA">
        <w:tc>
          <w:tcPr>
            <w:tcW w:w="7508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DfE assessment – additional information may be requested</w:t>
            </w:r>
          </w:p>
        </w:tc>
        <w:tc>
          <w:tcPr>
            <w:tcW w:w="2126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Up to 29/06/18</w:t>
            </w:r>
          </w:p>
        </w:tc>
      </w:tr>
      <w:tr w:rsidR="006150DB" w:rsidRPr="00C326FE" w:rsidTr="008863BA">
        <w:tc>
          <w:tcPr>
            <w:tcW w:w="7508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DfE confirms approval to successful providers once all requested information has been supplied</w:t>
            </w:r>
          </w:p>
        </w:tc>
        <w:tc>
          <w:tcPr>
            <w:tcW w:w="2126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w/c 02/07/18</w:t>
            </w:r>
          </w:p>
        </w:tc>
      </w:tr>
      <w:tr w:rsidR="006150DB" w:rsidRPr="00C326FE" w:rsidTr="008863BA">
        <w:tc>
          <w:tcPr>
            <w:tcW w:w="7508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Seed funding awarded to successful providers</w:t>
            </w:r>
          </w:p>
        </w:tc>
        <w:tc>
          <w:tcPr>
            <w:tcW w:w="2126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2018 TBC</w:t>
            </w:r>
          </w:p>
        </w:tc>
      </w:tr>
      <w:tr w:rsidR="006150DB" w:rsidRPr="00C326FE" w:rsidTr="008863BA">
        <w:tc>
          <w:tcPr>
            <w:tcW w:w="7508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Implementation stage</w:t>
            </w:r>
          </w:p>
        </w:tc>
        <w:tc>
          <w:tcPr>
            <w:tcW w:w="2126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July 2018 – August 2019</w:t>
            </w:r>
          </w:p>
        </w:tc>
      </w:tr>
      <w:tr w:rsidR="006150DB" w:rsidRPr="00C326FE" w:rsidTr="008863BA">
        <w:tc>
          <w:tcPr>
            <w:tcW w:w="7508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Delivery under new model</w:t>
            </w:r>
          </w:p>
        </w:tc>
        <w:tc>
          <w:tcPr>
            <w:tcW w:w="2126" w:type="dxa"/>
            <w:shd w:val="clear" w:color="auto" w:fill="auto"/>
          </w:tcPr>
          <w:p w:rsidR="006150DB" w:rsidRPr="001A0DAB" w:rsidRDefault="006150DB" w:rsidP="008863BA">
            <w:pPr>
              <w:rPr>
                <w:rFonts w:ascii="Arial" w:hAnsi="Arial" w:cs="Arial"/>
              </w:rPr>
            </w:pPr>
            <w:r w:rsidRPr="001A0DAB">
              <w:rPr>
                <w:rFonts w:ascii="Arial" w:hAnsi="Arial" w:cs="Arial"/>
              </w:rPr>
              <w:t>From September 2019</w:t>
            </w:r>
          </w:p>
        </w:tc>
      </w:tr>
    </w:tbl>
    <w:p w:rsidR="006150DB" w:rsidRDefault="006150DB" w:rsidP="006150DB">
      <w:pPr>
        <w:rPr>
          <w:rFonts w:ascii="Arial" w:hAnsi="Arial" w:cs="Arial"/>
          <w:b/>
          <w:color w:val="365F91"/>
          <w:sz w:val="28"/>
          <w:szCs w:val="28"/>
        </w:rPr>
      </w:pPr>
    </w:p>
    <w:p w:rsidR="006150DB" w:rsidRPr="00C326FE" w:rsidRDefault="006150DB" w:rsidP="006150DB">
      <w:pPr>
        <w:rPr>
          <w:rFonts w:ascii="Arial" w:hAnsi="Arial" w:cs="Arial"/>
          <w:b/>
          <w:color w:val="365F91"/>
          <w:sz w:val="28"/>
          <w:szCs w:val="28"/>
        </w:rPr>
      </w:pPr>
      <w:r w:rsidRPr="00C326FE">
        <w:rPr>
          <w:rFonts w:ascii="Arial" w:hAnsi="Arial" w:cs="Arial"/>
          <w:b/>
          <w:color w:val="365F91"/>
          <w:sz w:val="28"/>
          <w:szCs w:val="28"/>
        </w:rPr>
        <w:t>Successful bids</w:t>
      </w:r>
    </w:p>
    <w:p w:rsidR="006150DB" w:rsidRPr="00152892" w:rsidRDefault="006150DB" w:rsidP="006150DB">
      <w:pPr>
        <w:rPr>
          <w:rFonts w:ascii="Arial" w:hAnsi="Arial" w:cs="Arial"/>
          <w:bCs/>
        </w:rPr>
      </w:pPr>
      <w:r w:rsidRPr="00152892">
        <w:rPr>
          <w:rFonts w:ascii="Arial" w:hAnsi="Arial" w:cs="Arial"/>
          <w:bCs/>
        </w:rPr>
        <w:t xml:space="preserve">Partnerships whose bids are successful will start implementation work in July 2018 to deliver under the new model from the 2019 trainee cohort. </w:t>
      </w:r>
    </w:p>
    <w:p w:rsidR="006150DB" w:rsidRDefault="006150DB" w:rsidP="006150DB">
      <w:pPr>
        <w:rPr>
          <w:rFonts w:ascii="Arial" w:hAnsi="Arial" w:cs="Arial"/>
        </w:rPr>
      </w:pPr>
    </w:p>
    <w:p w:rsidR="006150DB" w:rsidRPr="00B109C4" w:rsidRDefault="006150DB" w:rsidP="006150DB">
      <w:pPr>
        <w:rPr>
          <w:rFonts w:ascii="Arial" w:hAnsi="Arial" w:cs="Arial"/>
          <w:bCs/>
        </w:rPr>
      </w:pPr>
      <w:r w:rsidRPr="00B109C4">
        <w:rPr>
          <w:rFonts w:ascii="Arial" w:hAnsi="Arial" w:cs="Arial"/>
          <w:bCs/>
        </w:rPr>
        <w:t>Support for those who are successful will include:</w:t>
      </w:r>
    </w:p>
    <w:p w:rsidR="006150DB" w:rsidRPr="009C78DB" w:rsidRDefault="006150DB" w:rsidP="006150DB">
      <w:pPr>
        <w:pStyle w:val="ListParagraph"/>
        <w:numPr>
          <w:ilvl w:val="0"/>
          <w:numId w:val="2"/>
        </w:numPr>
        <w:rPr>
          <w:sz w:val="24"/>
        </w:rPr>
      </w:pPr>
      <w:r w:rsidRPr="009C78DB">
        <w:rPr>
          <w:sz w:val="24"/>
        </w:rPr>
        <w:t xml:space="preserve">assistance from a DfE associate </w:t>
      </w:r>
    </w:p>
    <w:p w:rsidR="006150DB" w:rsidRPr="009C78DB" w:rsidRDefault="006150DB" w:rsidP="006150DB">
      <w:pPr>
        <w:pStyle w:val="ListParagraph"/>
        <w:numPr>
          <w:ilvl w:val="0"/>
          <w:numId w:val="2"/>
        </w:numPr>
        <w:rPr>
          <w:sz w:val="24"/>
        </w:rPr>
      </w:pPr>
      <w:proofErr w:type="gramStart"/>
      <w:r w:rsidRPr="009C78DB">
        <w:rPr>
          <w:sz w:val="24"/>
        </w:rPr>
        <w:t>funding</w:t>
      </w:r>
      <w:proofErr w:type="gramEnd"/>
      <w:r w:rsidRPr="009C78DB">
        <w:rPr>
          <w:sz w:val="24"/>
        </w:rPr>
        <w:t>, as set out in the bidding documentation.:</w:t>
      </w:r>
    </w:p>
    <w:p w:rsidR="006150DB" w:rsidRPr="00C326FE" w:rsidRDefault="006150DB" w:rsidP="006150DB">
      <w:pPr>
        <w:rPr>
          <w:rFonts w:ascii="Arial" w:hAnsi="Arial" w:cs="Arial"/>
          <w:b/>
          <w:bCs/>
          <w:sz w:val="36"/>
          <w:szCs w:val="36"/>
          <w:lang w:val="en"/>
        </w:rPr>
      </w:pPr>
      <w:r w:rsidRPr="00A2411F">
        <w:rPr>
          <w:rFonts w:ascii="Arial" w:hAnsi="Arial" w:cs="Arial"/>
          <w:b/>
          <w:color w:val="365F91"/>
          <w:sz w:val="28"/>
          <w:szCs w:val="28"/>
        </w:rPr>
        <w:t>Contact</w:t>
      </w:r>
    </w:p>
    <w:p w:rsidR="006150DB" w:rsidRPr="00644B98" w:rsidRDefault="006150DB" w:rsidP="006150DB">
      <w:pPr>
        <w:rPr>
          <w:rFonts w:ascii="Arial" w:hAnsi="Arial" w:cs="Arial"/>
        </w:rPr>
      </w:pPr>
      <w:r w:rsidRPr="00152892">
        <w:rPr>
          <w:rFonts w:ascii="Arial" w:hAnsi="Arial" w:cs="Arial"/>
          <w:lang w:val="en"/>
        </w:rPr>
        <w:t xml:space="preserve">Email: </w:t>
      </w:r>
      <w:hyperlink r:id="rId10" w:history="1">
        <w:r>
          <w:rPr>
            <w:rFonts w:ascii="Arial" w:hAnsi="Arial" w:cs="Arial"/>
            <w:color w:val="0000FF"/>
            <w:u w:val="single"/>
            <w:lang w:val="en"/>
          </w:rPr>
          <w:t>ITT.INNOVATION@education.gov.uk</w:t>
        </w:r>
      </w:hyperlink>
      <w:bookmarkStart w:id="0" w:name="_GoBack"/>
      <w:bookmarkEnd w:id="0"/>
    </w:p>
    <w:p w:rsidR="006150DB" w:rsidRPr="006150DB" w:rsidRDefault="006150DB" w:rsidP="006150DB"/>
    <w:p w:rsidR="00934F8C" w:rsidRDefault="00934F8C"/>
    <w:sectPr w:rsidR="00934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4E3"/>
    <w:multiLevelType w:val="hybridMultilevel"/>
    <w:tmpl w:val="7732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7621F"/>
    <w:multiLevelType w:val="hybridMultilevel"/>
    <w:tmpl w:val="2C70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7885"/>
    <w:multiLevelType w:val="hybridMultilevel"/>
    <w:tmpl w:val="CAF6B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3423DC"/>
    <w:multiLevelType w:val="hybridMultilevel"/>
    <w:tmpl w:val="F36A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DB"/>
    <w:rsid w:val="006150DB"/>
    <w:rsid w:val="00934F8C"/>
    <w:rsid w:val="009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A827"/>
  <w15:chartTrackingRefBased/>
  <w15:docId w15:val="{B86DECF1-BE8A-42D2-BAA8-3BABF1B6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50D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150DB"/>
    <w:pPr>
      <w:spacing w:after="240" w:line="288" w:lineRule="auto"/>
      <w:contextualSpacing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statistics/teachers-analysis-compendium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ocial-mobility-and-opportunity-are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educational-excellence-everywhe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uk/government/news/new-education-and-skills-measures-announced" TargetMode="External"/><Relationship Id="rId10" Type="http://schemas.openxmlformats.org/officeDocument/2006/relationships/hyperlink" Target="mailto:itt.innovation@educati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T.INNOVATION@educat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2</cp:revision>
  <dcterms:created xsi:type="dcterms:W3CDTF">2018-03-23T10:43:00Z</dcterms:created>
  <dcterms:modified xsi:type="dcterms:W3CDTF">2018-03-23T10:46:00Z</dcterms:modified>
</cp:coreProperties>
</file>