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1E9AA" w14:textId="77777777" w:rsidR="00375F5D" w:rsidRPr="00333C55" w:rsidRDefault="00375F5D" w:rsidP="00375F5D">
      <w:pPr>
        <w:pStyle w:val="Heading3"/>
        <w:keepNext w:val="0"/>
        <w:spacing w:after="120"/>
      </w:pPr>
      <w:r w:rsidRPr="00DA1113">
        <w:rPr>
          <w:iCs/>
        </w:rPr>
        <w:t xml:space="preserve">Section B – Key Tendering Activities </w:t>
      </w:r>
    </w:p>
    <w:p w14:paraId="573BFB09" w14:textId="77777777" w:rsidR="00375F5D" w:rsidRDefault="00375F5D" w:rsidP="00375F5D">
      <w:pPr>
        <w:tabs>
          <w:tab w:val="left" w:pos="8070"/>
        </w:tabs>
        <w:spacing w:before="120" w:after="120"/>
        <w:jc w:val="both"/>
        <w:rPr>
          <w:rFonts w:cs="Arial"/>
          <w:b/>
          <w:szCs w:val="22"/>
        </w:rPr>
      </w:pPr>
      <w:r>
        <w:t xml:space="preserve">The key dates for this procurement are currently anticipated to be as follows: </w:t>
      </w:r>
      <w:r>
        <w:tab/>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099"/>
        <w:gridCol w:w="1272"/>
        <w:gridCol w:w="3326"/>
      </w:tblGrid>
      <w:tr w:rsidR="00375F5D" w:rsidRPr="00CB6197" w14:paraId="1E0DA721" w14:textId="77777777" w:rsidTr="7499E84D">
        <w:tc>
          <w:tcPr>
            <w:tcW w:w="2432" w:type="dxa"/>
          </w:tcPr>
          <w:p w14:paraId="1FE7A217" w14:textId="77777777" w:rsidR="00375F5D" w:rsidRPr="00CB6197" w:rsidRDefault="00375F5D" w:rsidP="000C2ED0">
            <w:pPr>
              <w:spacing w:before="120" w:after="120"/>
              <w:jc w:val="both"/>
              <w:rPr>
                <w:rFonts w:cs="Arial"/>
                <w:b/>
                <w:szCs w:val="22"/>
              </w:rPr>
            </w:pPr>
            <w:r w:rsidRPr="00CB6197">
              <w:rPr>
                <w:rFonts w:cs="Arial"/>
                <w:b/>
                <w:szCs w:val="22"/>
              </w:rPr>
              <w:t>Stage</w:t>
            </w:r>
          </w:p>
        </w:tc>
        <w:tc>
          <w:tcPr>
            <w:tcW w:w="2099" w:type="dxa"/>
            <w:shd w:val="clear" w:color="auto" w:fill="auto"/>
          </w:tcPr>
          <w:p w14:paraId="30218825" w14:textId="2BD02488" w:rsidR="00375F5D" w:rsidRPr="00CB6197" w:rsidRDefault="00375F5D" w:rsidP="000C2ED0">
            <w:pPr>
              <w:spacing w:before="120" w:after="120"/>
              <w:jc w:val="both"/>
              <w:rPr>
                <w:rFonts w:cs="Arial"/>
                <w:b/>
                <w:szCs w:val="22"/>
              </w:rPr>
            </w:pPr>
            <w:r w:rsidRPr="00CB6197">
              <w:rPr>
                <w:rFonts w:cs="Arial"/>
                <w:b/>
                <w:szCs w:val="22"/>
              </w:rPr>
              <w:t xml:space="preserve">Date </w:t>
            </w:r>
          </w:p>
        </w:tc>
        <w:tc>
          <w:tcPr>
            <w:tcW w:w="1272" w:type="dxa"/>
            <w:shd w:val="clear" w:color="auto" w:fill="auto"/>
          </w:tcPr>
          <w:p w14:paraId="1ED296E3" w14:textId="77777777" w:rsidR="00375F5D" w:rsidRPr="00CB6197" w:rsidRDefault="00375F5D" w:rsidP="000C2ED0">
            <w:pPr>
              <w:spacing w:before="120" w:after="120"/>
              <w:jc w:val="both"/>
              <w:rPr>
                <w:rFonts w:cs="Arial"/>
                <w:b/>
                <w:szCs w:val="22"/>
              </w:rPr>
            </w:pPr>
            <w:r w:rsidRPr="00CB6197">
              <w:rPr>
                <w:rFonts w:cs="Arial"/>
                <w:b/>
                <w:szCs w:val="22"/>
              </w:rPr>
              <w:t>Initiated By</w:t>
            </w:r>
          </w:p>
        </w:tc>
        <w:tc>
          <w:tcPr>
            <w:tcW w:w="3326" w:type="dxa"/>
            <w:shd w:val="clear" w:color="auto" w:fill="auto"/>
          </w:tcPr>
          <w:p w14:paraId="26D19432" w14:textId="77777777" w:rsidR="00375F5D" w:rsidRPr="00CB6197" w:rsidRDefault="00375F5D" w:rsidP="000C2ED0">
            <w:pPr>
              <w:spacing w:before="120" w:after="120"/>
              <w:jc w:val="both"/>
              <w:rPr>
                <w:rFonts w:cs="Arial"/>
                <w:b/>
                <w:szCs w:val="22"/>
              </w:rPr>
            </w:pPr>
            <w:r w:rsidRPr="00CB6197">
              <w:rPr>
                <w:rFonts w:cs="Arial"/>
                <w:b/>
                <w:szCs w:val="22"/>
              </w:rPr>
              <w:t>Submit to:</w:t>
            </w:r>
          </w:p>
        </w:tc>
      </w:tr>
      <w:tr w:rsidR="00375F5D" w:rsidRPr="00CB6197" w14:paraId="23B0735D" w14:textId="77777777" w:rsidTr="7499E84D">
        <w:tc>
          <w:tcPr>
            <w:tcW w:w="2432" w:type="dxa"/>
          </w:tcPr>
          <w:p w14:paraId="6556304B" w14:textId="4A2E9E55" w:rsidR="00375F5D" w:rsidRPr="00525F7C" w:rsidRDefault="00E05D54" w:rsidP="000C2ED0">
            <w:pPr>
              <w:spacing w:after="120"/>
              <w:jc w:val="both"/>
              <w:rPr>
                <w:rFonts w:cs="Arial"/>
                <w:szCs w:val="22"/>
                <w:vertAlign w:val="superscript"/>
              </w:rPr>
            </w:pPr>
            <w:r w:rsidRPr="00525F7C">
              <w:rPr>
                <w:rFonts w:cs="Arial"/>
                <w:szCs w:val="22"/>
              </w:rPr>
              <w:t>Confirmation that Tender</w:t>
            </w:r>
            <w:r w:rsidR="0070748B" w:rsidRPr="00525F7C">
              <w:rPr>
                <w:rFonts w:cs="Arial"/>
                <w:szCs w:val="22"/>
              </w:rPr>
              <w:t>er wishes to remain in the PPC Competition</w:t>
            </w:r>
            <w:r w:rsidR="00E72728" w:rsidRPr="00525F7C">
              <w:rPr>
                <w:rFonts w:cs="Arial"/>
                <w:szCs w:val="22"/>
              </w:rPr>
              <w:t xml:space="preserve"> and </w:t>
            </w:r>
            <w:r w:rsidR="00D677F4">
              <w:rPr>
                <w:rFonts w:cs="Arial"/>
                <w:szCs w:val="22"/>
              </w:rPr>
              <w:t xml:space="preserve">to provide </w:t>
            </w:r>
            <w:r w:rsidR="00E72728" w:rsidRPr="00525F7C">
              <w:rPr>
                <w:rFonts w:cs="Arial"/>
                <w:szCs w:val="22"/>
              </w:rPr>
              <w:t>dates for Authority Visits</w:t>
            </w:r>
            <w:r w:rsidR="004D65B3" w:rsidRPr="00525F7C">
              <w:rPr>
                <w:rFonts w:cs="Arial"/>
                <w:szCs w:val="22"/>
                <w:vertAlign w:val="superscript"/>
              </w:rPr>
              <w:t>1</w:t>
            </w:r>
          </w:p>
        </w:tc>
        <w:tc>
          <w:tcPr>
            <w:tcW w:w="2099" w:type="dxa"/>
            <w:shd w:val="clear" w:color="auto" w:fill="auto"/>
          </w:tcPr>
          <w:p w14:paraId="136593D1" w14:textId="07371C90" w:rsidR="00375F5D" w:rsidRPr="00525F7C" w:rsidRDefault="0049087A" w:rsidP="678C9961">
            <w:pPr>
              <w:spacing w:after="120"/>
              <w:rPr>
                <w:rFonts w:cs="Arial"/>
              </w:rPr>
            </w:pPr>
            <w:r>
              <w:rPr>
                <w:rFonts w:cs="Arial"/>
              </w:rPr>
              <w:t>9</w:t>
            </w:r>
            <w:r w:rsidRPr="0049087A">
              <w:rPr>
                <w:rFonts w:cs="Arial"/>
                <w:vertAlign w:val="superscript"/>
              </w:rPr>
              <w:t>th</w:t>
            </w:r>
            <w:r>
              <w:rPr>
                <w:rFonts w:cs="Arial"/>
              </w:rPr>
              <w:t xml:space="preserve"> </w:t>
            </w:r>
            <w:bookmarkStart w:id="0" w:name="_GoBack"/>
            <w:bookmarkEnd w:id="0"/>
            <w:r w:rsidR="004860F5" w:rsidRPr="00525F7C">
              <w:rPr>
                <w:rFonts w:cs="Arial"/>
              </w:rPr>
              <w:t>October 2019</w:t>
            </w:r>
          </w:p>
        </w:tc>
        <w:tc>
          <w:tcPr>
            <w:tcW w:w="1272" w:type="dxa"/>
            <w:shd w:val="clear" w:color="auto" w:fill="auto"/>
          </w:tcPr>
          <w:p w14:paraId="16631912" w14:textId="77777777" w:rsidR="00375F5D" w:rsidRPr="00525F7C" w:rsidDel="00A40B93" w:rsidRDefault="00375F5D" w:rsidP="000C2ED0">
            <w:pPr>
              <w:spacing w:after="120"/>
              <w:jc w:val="both"/>
              <w:rPr>
                <w:rFonts w:cs="Arial"/>
                <w:szCs w:val="22"/>
              </w:rPr>
            </w:pPr>
            <w:r w:rsidRPr="00525F7C">
              <w:rPr>
                <w:rFonts w:cs="Arial"/>
                <w:szCs w:val="22"/>
              </w:rPr>
              <w:t>Tenderers</w:t>
            </w:r>
          </w:p>
        </w:tc>
        <w:tc>
          <w:tcPr>
            <w:tcW w:w="3326" w:type="dxa"/>
            <w:shd w:val="clear" w:color="auto" w:fill="auto"/>
          </w:tcPr>
          <w:p w14:paraId="0950C704" w14:textId="77777777" w:rsidR="00375F5D" w:rsidRPr="00525F7C" w:rsidRDefault="00375F5D" w:rsidP="000C2ED0">
            <w:pPr>
              <w:spacing w:after="120"/>
              <w:jc w:val="both"/>
              <w:rPr>
                <w:rFonts w:cs="Arial"/>
                <w:bCs/>
                <w:szCs w:val="22"/>
              </w:rPr>
            </w:pPr>
            <w:r w:rsidRPr="00525F7C">
              <w:rPr>
                <w:rFonts w:cs="Arial"/>
                <w:bCs/>
                <w:szCs w:val="22"/>
              </w:rPr>
              <w:t>Michael Hazel</w:t>
            </w:r>
          </w:p>
          <w:p w14:paraId="0CD9A8F7" w14:textId="77777777" w:rsidR="00375F5D" w:rsidRPr="00525F7C" w:rsidRDefault="00375F5D" w:rsidP="000C2ED0">
            <w:pPr>
              <w:spacing w:after="120"/>
              <w:jc w:val="both"/>
              <w:rPr>
                <w:rFonts w:cs="Arial"/>
                <w:bCs/>
                <w:szCs w:val="22"/>
              </w:rPr>
            </w:pPr>
            <w:r w:rsidRPr="00525F7C">
              <w:rPr>
                <w:rFonts w:cs="Arial"/>
                <w:bCs/>
                <w:szCs w:val="22"/>
              </w:rPr>
              <w:t xml:space="preserve">Michael.Hazel479@mod.gov.uk </w:t>
            </w:r>
          </w:p>
        </w:tc>
      </w:tr>
      <w:tr w:rsidR="678C9961" w14:paraId="2E113BBD" w14:textId="77777777" w:rsidTr="7499E84D">
        <w:tc>
          <w:tcPr>
            <w:tcW w:w="2432" w:type="dxa"/>
          </w:tcPr>
          <w:p w14:paraId="7160D981" w14:textId="3CA852E8" w:rsidR="678C9961" w:rsidRPr="00525F7C" w:rsidRDefault="678C9961" w:rsidP="678C9961">
            <w:pPr>
              <w:jc w:val="both"/>
              <w:rPr>
                <w:rFonts w:cs="Arial"/>
                <w:vertAlign w:val="superscript"/>
              </w:rPr>
            </w:pPr>
            <w:r w:rsidRPr="00525F7C">
              <w:rPr>
                <w:rFonts w:cs="Arial"/>
              </w:rPr>
              <w:t>Authority Visits</w:t>
            </w:r>
            <w:r w:rsidR="004D65B3" w:rsidRPr="00525F7C">
              <w:rPr>
                <w:rFonts w:cs="Arial"/>
                <w:vertAlign w:val="superscript"/>
              </w:rPr>
              <w:t>2</w:t>
            </w:r>
          </w:p>
        </w:tc>
        <w:tc>
          <w:tcPr>
            <w:tcW w:w="2099" w:type="dxa"/>
            <w:shd w:val="clear" w:color="auto" w:fill="auto"/>
          </w:tcPr>
          <w:p w14:paraId="36D68530" w14:textId="43120073" w:rsidR="678C9961" w:rsidRPr="00525F7C" w:rsidRDefault="004D65B3" w:rsidP="678C9961">
            <w:pPr>
              <w:rPr>
                <w:rFonts w:cs="Arial"/>
              </w:rPr>
            </w:pPr>
            <w:r w:rsidRPr="00525F7C">
              <w:rPr>
                <w:rFonts w:cs="Arial"/>
              </w:rPr>
              <w:t>Week Commencing 14</w:t>
            </w:r>
            <w:r w:rsidRPr="00525F7C">
              <w:rPr>
                <w:rFonts w:cs="Arial"/>
                <w:vertAlign w:val="superscript"/>
              </w:rPr>
              <w:t>th</w:t>
            </w:r>
            <w:r w:rsidRPr="00525F7C">
              <w:rPr>
                <w:rFonts w:cs="Arial"/>
              </w:rPr>
              <w:t xml:space="preserve"> October 2019</w:t>
            </w:r>
          </w:p>
        </w:tc>
        <w:tc>
          <w:tcPr>
            <w:tcW w:w="1272" w:type="dxa"/>
            <w:shd w:val="clear" w:color="auto" w:fill="auto"/>
          </w:tcPr>
          <w:p w14:paraId="65A4C95F" w14:textId="23353E12" w:rsidR="678C9961" w:rsidRPr="00525F7C" w:rsidRDefault="678C9961" w:rsidP="678C9961">
            <w:pPr>
              <w:jc w:val="both"/>
              <w:rPr>
                <w:rFonts w:cs="Arial"/>
              </w:rPr>
            </w:pPr>
            <w:r w:rsidRPr="00525F7C">
              <w:rPr>
                <w:rFonts w:cs="Arial"/>
              </w:rPr>
              <w:t>The Authority</w:t>
            </w:r>
          </w:p>
        </w:tc>
        <w:tc>
          <w:tcPr>
            <w:tcW w:w="3326" w:type="dxa"/>
            <w:shd w:val="clear" w:color="auto" w:fill="auto"/>
          </w:tcPr>
          <w:p w14:paraId="06368D0A" w14:textId="44E411A1" w:rsidR="678C9961" w:rsidRPr="00525F7C" w:rsidRDefault="678C9961" w:rsidP="678C9961">
            <w:pPr>
              <w:jc w:val="both"/>
              <w:rPr>
                <w:rFonts w:cs="Arial"/>
              </w:rPr>
            </w:pPr>
            <w:r w:rsidRPr="00525F7C">
              <w:rPr>
                <w:rFonts w:cs="Arial"/>
              </w:rPr>
              <w:t>All Tenderers</w:t>
            </w:r>
          </w:p>
        </w:tc>
      </w:tr>
      <w:tr w:rsidR="00375F5D" w:rsidRPr="00CB6197" w14:paraId="257BFCCA" w14:textId="77777777" w:rsidTr="7499E84D">
        <w:tc>
          <w:tcPr>
            <w:tcW w:w="2432" w:type="dxa"/>
          </w:tcPr>
          <w:p w14:paraId="5CDC94FC" w14:textId="77777777" w:rsidR="00375F5D" w:rsidRPr="00CB6197" w:rsidRDefault="00375F5D" w:rsidP="000C2ED0">
            <w:pPr>
              <w:spacing w:after="120"/>
              <w:jc w:val="both"/>
              <w:rPr>
                <w:rFonts w:cs="Arial"/>
                <w:szCs w:val="22"/>
              </w:rPr>
            </w:pPr>
            <w:r w:rsidRPr="00CB6197">
              <w:rPr>
                <w:rFonts w:cs="Arial"/>
                <w:szCs w:val="22"/>
              </w:rPr>
              <w:t>Final date for Clarification Questions / Requests for additional information</w:t>
            </w:r>
          </w:p>
        </w:tc>
        <w:tc>
          <w:tcPr>
            <w:tcW w:w="2099" w:type="dxa"/>
            <w:shd w:val="clear" w:color="auto" w:fill="auto"/>
          </w:tcPr>
          <w:p w14:paraId="3CF0CBCA" w14:textId="10C31B6C" w:rsidR="00375F5D" w:rsidRPr="00C031BB" w:rsidRDefault="7499E84D" w:rsidP="7499E84D">
            <w:pPr>
              <w:spacing w:after="120"/>
              <w:rPr>
                <w:rFonts w:cs="Arial"/>
                <w:szCs w:val="22"/>
              </w:rPr>
            </w:pPr>
            <w:r w:rsidRPr="7499E84D">
              <w:rPr>
                <w:rFonts w:cs="Arial"/>
              </w:rPr>
              <w:t>13</w:t>
            </w:r>
            <w:r w:rsidRPr="7499E84D">
              <w:rPr>
                <w:rFonts w:cs="Arial"/>
                <w:vertAlign w:val="superscript"/>
              </w:rPr>
              <w:t>th</w:t>
            </w:r>
            <w:r w:rsidRPr="7499E84D">
              <w:rPr>
                <w:rFonts w:cs="Arial"/>
              </w:rPr>
              <w:t xml:space="preserve"> December 2019</w:t>
            </w:r>
          </w:p>
        </w:tc>
        <w:tc>
          <w:tcPr>
            <w:tcW w:w="1272" w:type="dxa"/>
            <w:shd w:val="clear" w:color="auto" w:fill="auto"/>
          </w:tcPr>
          <w:p w14:paraId="30A54647" w14:textId="77777777" w:rsidR="00375F5D" w:rsidRPr="00CB6197" w:rsidRDefault="00375F5D" w:rsidP="000C2ED0">
            <w:pPr>
              <w:spacing w:after="120"/>
              <w:jc w:val="both"/>
              <w:rPr>
                <w:rFonts w:cs="Arial"/>
                <w:szCs w:val="22"/>
              </w:rPr>
            </w:pPr>
            <w:r w:rsidRPr="00CB6197">
              <w:rPr>
                <w:rFonts w:cs="Arial"/>
                <w:szCs w:val="22"/>
              </w:rPr>
              <w:t>Tenderers</w:t>
            </w:r>
          </w:p>
        </w:tc>
        <w:tc>
          <w:tcPr>
            <w:tcW w:w="3326" w:type="dxa"/>
            <w:shd w:val="clear" w:color="auto" w:fill="auto"/>
          </w:tcPr>
          <w:p w14:paraId="0E4709B6" w14:textId="77777777" w:rsidR="00375F5D" w:rsidRDefault="00375F5D" w:rsidP="000C2ED0">
            <w:pPr>
              <w:spacing w:after="120"/>
              <w:jc w:val="both"/>
              <w:rPr>
                <w:rFonts w:cs="Arial"/>
                <w:bCs/>
                <w:szCs w:val="22"/>
              </w:rPr>
            </w:pPr>
            <w:r>
              <w:rPr>
                <w:rFonts w:cs="Arial"/>
                <w:bCs/>
                <w:szCs w:val="22"/>
              </w:rPr>
              <w:t>Michael Hazel</w:t>
            </w:r>
          </w:p>
          <w:p w14:paraId="7CB1E0B2" w14:textId="77777777" w:rsidR="00375F5D" w:rsidRPr="00FF1320" w:rsidRDefault="00375F5D" w:rsidP="000C2ED0">
            <w:pPr>
              <w:spacing w:after="120"/>
              <w:jc w:val="both"/>
              <w:rPr>
                <w:rFonts w:cs="Arial"/>
                <w:bCs/>
                <w:szCs w:val="22"/>
              </w:rPr>
            </w:pPr>
            <w:r>
              <w:rPr>
                <w:rFonts w:cs="Arial"/>
                <w:bCs/>
                <w:szCs w:val="22"/>
              </w:rPr>
              <w:t xml:space="preserve">Michael.Hazel479@mod.gov.uk </w:t>
            </w:r>
          </w:p>
        </w:tc>
      </w:tr>
      <w:tr w:rsidR="00375F5D" w:rsidRPr="00CB6197" w14:paraId="39CA0B3E" w14:textId="77777777" w:rsidTr="7499E84D">
        <w:tc>
          <w:tcPr>
            <w:tcW w:w="2432" w:type="dxa"/>
          </w:tcPr>
          <w:p w14:paraId="3F297EAD" w14:textId="6F8A5601" w:rsidR="00375F5D" w:rsidRPr="004D65B3" w:rsidRDefault="00375F5D" w:rsidP="000C2ED0">
            <w:pPr>
              <w:spacing w:after="120"/>
              <w:jc w:val="both"/>
              <w:rPr>
                <w:rFonts w:cs="Arial"/>
                <w:szCs w:val="22"/>
                <w:vertAlign w:val="superscript"/>
              </w:rPr>
            </w:pPr>
            <w:r w:rsidRPr="00A44BA8">
              <w:rPr>
                <w:rFonts w:cs="Arial"/>
                <w:szCs w:val="22"/>
              </w:rPr>
              <w:t>Final Date for Requests for Extension</w:t>
            </w:r>
            <w:r>
              <w:rPr>
                <w:rFonts w:cs="Arial"/>
                <w:szCs w:val="22"/>
              </w:rPr>
              <w:t xml:space="preserve"> </w:t>
            </w:r>
            <w:r w:rsidRPr="00C33037">
              <w:rPr>
                <w:rFonts w:cs="Arial"/>
                <w:szCs w:val="22"/>
              </w:rPr>
              <w:t>to return date</w:t>
            </w:r>
            <w:r w:rsidR="004D65B3">
              <w:rPr>
                <w:rFonts w:cs="Arial"/>
                <w:szCs w:val="22"/>
                <w:vertAlign w:val="superscript"/>
              </w:rPr>
              <w:t>3</w:t>
            </w:r>
          </w:p>
        </w:tc>
        <w:tc>
          <w:tcPr>
            <w:tcW w:w="2099" w:type="dxa"/>
            <w:shd w:val="clear" w:color="auto" w:fill="auto"/>
          </w:tcPr>
          <w:p w14:paraId="26D9FC5E" w14:textId="6671DC48" w:rsidR="00375F5D" w:rsidRPr="00C031BB" w:rsidRDefault="7499E84D" w:rsidP="7499E84D">
            <w:pPr>
              <w:spacing w:after="120"/>
              <w:rPr>
                <w:rFonts w:cs="Arial"/>
              </w:rPr>
            </w:pPr>
            <w:r w:rsidRPr="7499E84D">
              <w:rPr>
                <w:rFonts w:cs="Arial"/>
              </w:rPr>
              <w:t>13</w:t>
            </w:r>
            <w:r w:rsidRPr="7499E84D">
              <w:rPr>
                <w:rFonts w:cs="Arial"/>
                <w:vertAlign w:val="superscript"/>
              </w:rPr>
              <w:t>th</w:t>
            </w:r>
            <w:r w:rsidRPr="7499E84D">
              <w:rPr>
                <w:rFonts w:cs="Arial"/>
              </w:rPr>
              <w:t xml:space="preserve"> December 2019</w:t>
            </w:r>
          </w:p>
        </w:tc>
        <w:tc>
          <w:tcPr>
            <w:tcW w:w="1272" w:type="dxa"/>
            <w:shd w:val="clear" w:color="auto" w:fill="auto"/>
          </w:tcPr>
          <w:p w14:paraId="6B87CE86" w14:textId="77777777" w:rsidR="00375F5D" w:rsidRPr="00CB6197" w:rsidRDefault="00375F5D" w:rsidP="000C2ED0">
            <w:pPr>
              <w:spacing w:after="120"/>
              <w:jc w:val="both"/>
              <w:rPr>
                <w:rFonts w:cs="Arial"/>
                <w:szCs w:val="22"/>
              </w:rPr>
            </w:pPr>
            <w:r>
              <w:rPr>
                <w:rFonts w:cs="Arial"/>
                <w:szCs w:val="22"/>
              </w:rPr>
              <w:t>Tenderers</w:t>
            </w:r>
          </w:p>
        </w:tc>
        <w:tc>
          <w:tcPr>
            <w:tcW w:w="3326" w:type="dxa"/>
            <w:shd w:val="clear" w:color="auto" w:fill="auto"/>
          </w:tcPr>
          <w:p w14:paraId="71F18DD1" w14:textId="77777777" w:rsidR="00375F5D" w:rsidRDefault="00375F5D" w:rsidP="000C2ED0">
            <w:pPr>
              <w:spacing w:after="120"/>
              <w:jc w:val="both"/>
              <w:rPr>
                <w:rFonts w:cs="Arial"/>
                <w:bCs/>
                <w:szCs w:val="22"/>
              </w:rPr>
            </w:pPr>
            <w:r>
              <w:rPr>
                <w:rFonts w:cs="Arial"/>
                <w:bCs/>
                <w:szCs w:val="22"/>
              </w:rPr>
              <w:t>Michael Hazel</w:t>
            </w:r>
          </w:p>
          <w:p w14:paraId="0D0E00FE" w14:textId="77777777" w:rsidR="00375F5D" w:rsidRPr="00FF1320" w:rsidRDefault="00375F5D" w:rsidP="000C2ED0">
            <w:pPr>
              <w:spacing w:after="120"/>
              <w:jc w:val="both"/>
              <w:rPr>
                <w:rFonts w:cs="Arial"/>
                <w:bCs/>
                <w:szCs w:val="22"/>
              </w:rPr>
            </w:pPr>
            <w:r>
              <w:rPr>
                <w:rFonts w:cs="Arial"/>
                <w:bCs/>
                <w:szCs w:val="22"/>
              </w:rPr>
              <w:t xml:space="preserve">Michael.Hazel479@mod.gov.uk </w:t>
            </w:r>
          </w:p>
        </w:tc>
      </w:tr>
      <w:tr w:rsidR="00375F5D" w:rsidRPr="00CB6197" w14:paraId="15437699" w14:textId="77777777" w:rsidTr="7499E84D">
        <w:tc>
          <w:tcPr>
            <w:tcW w:w="2432" w:type="dxa"/>
          </w:tcPr>
          <w:p w14:paraId="11661495" w14:textId="77777777" w:rsidR="00375F5D" w:rsidRPr="00CB6197" w:rsidRDefault="00375F5D" w:rsidP="000C2ED0">
            <w:pPr>
              <w:spacing w:after="120"/>
              <w:jc w:val="both"/>
              <w:rPr>
                <w:rFonts w:cs="Arial"/>
                <w:szCs w:val="22"/>
              </w:rPr>
            </w:pPr>
            <w:r w:rsidRPr="00CB6197">
              <w:rPr>
                <w:rFonts w:cs="Arial"/>
                <w:szCs w:val="22"/>
              </w:rPr>
              <w:t>The Authority issues</w:t>
            </w:r>
            <w:r>
              <w:rPr>
                <w:rFonts w:cs="Arial"/>
                <w:szCs w:val="22"/>
              </w:rPr>
              <w:t xml:space="preserve"> Final Clarification Answers</w:t>
            </w:r>
          </w:p>
        </w:tc>
        <w:tc>
          <w:tcPr>
            <w:tcW w:w="2099" w:type="dxa"/>
            <w:shd w:val="clear" w:color="auto" w:fill="auto"/>
          </w:tcPr>
          <w:p w14:paraId="101C81F2" w14:textId="21BE9B7E" w:rsidR="00375F5D" w:rsidRPr="00C031BB" w:rsidRDefault="7499E84D" w:rsidP="7499E84D">
            <w:pPr>
              <w:spacing w:after="120"/>
              <w:rPr>
                <w:rFonts w:cs="Arial"/>
              </w:rPr>
            </w:pPr>
            <w:r w:rsidRPr="7499E84D">
              <w:rPr>
                <w:rFonts w:cs="Arial"/>
              </w:rPr>
              <w:t>20</w:t>
            </w:r>
            <w:r w:rsidRPr="7499E84D">
              <w:rPr>
                <w:rFonts w:cs="Arial"/>
                <w:vertAlign w:val="superscript"/>
              </w:rPr>
              <w:t>th</w:t>
            </w:r>
            <w:r w:rsidRPr="7499E84D">
              <w:rPr>
                <w:rFonts w:cs="Arial"/>
              </w:rPr>
              <w:t xml:space="preserve"> December 2019</w:t>
            </w:r>
          </w:p>
        </w:tc>
        <w:tc>
          <w:tcPr>
            <w:tcW w:w="1272" w:type="dxa"/>
            <w:shd w:val="clear" w:color="auto" w:fill="auto"/>
          </w:tcPr>
          <w:p w14:paraId="223B8A56" w14:textId="77777777" w:rsidR="00375F5D" w:rsidRPr="00CB6197" w:rsidRDefault="00375F5D" w:rsidP="000C2ED0">
            <w:pPr>
              <w:spacing w:after="120"/>
              <w:jc w:val="both"/>
              <w:rPr>
                <w:rFonts w:cs="Arial"/>
                <w:szCs w:val="22"/>
              </w:rPr>
            </w:pPr>
            <w:r w:rsidRPr="00CB6197">
              <w:rPr>
                <w:rFonts w:cs="Arial"/>
                <w:szCs w:val="22"/>
              </w:rPr>
              <w:t>The Authority</w:t>
            </w:r>
          </w:p>
        </w:tc>
        <w:tc>
          <w:tcPr>
            <w:tcW w:w="3326" w:type="dxa"/>
            <w:shd w:val="clear" w:color="auto" w:fill="auto"/>
          </w:tcPr>
          <w:p w14:paraId="105C35D4" w14:textId="77777777" w:rsidR="00375F5D" w:rsidRPr="00CB6197" w:rsidRDefault="00375F5D" w:rsidP="000C2ED0">
            <w:pPr>
              <w:spacing w:after="120"/>
              <w:jc w:val="both"/>
              <w:rPr>
                <w:rFonts w:cs="Arial"/>
                <w:szCs w:val="22"/>
              </w:rPr>
            </w:pPr>
            <w:r w:rsidRPr="00CB6197">
              <w:rPr>
                <w:rFonts w:cs="Arial"/>
                <w:szCs w:val="22"/>
              </w:rPr>
              <w:t>All Tenderers</w:t>
            </w:r>
          </w:p>
        </w:tc>
      </w:tr>
      <w:tr w:rsidR="00375F5D" w:rsidRPr="00CB6197" w14:paraId="69DAB0D0" w14:textId="77777777" w:rsidTr="7499E84D">
        <w:tc>
          <w:tcPr>
            <w:tcW w:w="2432" w:type="dxa"/>
          </w:tcPr>
          <w:p w14:paraId="37A4580F" w14:textId="77777777" w:rsidR="00375F5D" w:rsidRPr="006F5DA8" w:rsidRDefault="00375F5D" w:rsidP="000C2ED0">
            <w:pPr>
              <w:spacing w:after="120"/>
              <w:jc w:val="both"/>
              <w:rPr>
                <w:rFonts w:cs="Arial"/>
                <w:szCs w:val="22"/>
              </w:rPr>
            </w:pPr>
            <w:r w:rsidRPr="006F5DA8">
              <w:rPr>
                <w:rFonts w:cs="Arial"/>
                <w:szCs w:val="22"/>
              </w:rPr>
              <w:t>Tender Return</w:t>
            </w:r>
          </w:p>
          <w:p w14:paraId="672A6659" w14:textId="77777777" w:rsidR="00375F5D" w:rsidRPr="006F5DA8" w:rsidRDefault="00375F5D" w:rsidP="000C2ED0">
            <w:pPr>
              <w:spacing w:after="120"/>
              <w:jc w:val="both"/>
              <w:rPr>
                <w:rFonts w:cs="Arial"/>
                <w:szCs w:val="22"/>
              </w:rPr>
            </w:pPr>
          </w:p>
        </w:tc>
        <w:tc>
          <w:tcPr>
            <w:tcW w:w="2099" w:type="dxa"/>
            <w:shd w:val="clear" w:color="auto" w:fill="auto"/>
          </w:tcPr>
          <w:p w14:paraId="12D4B898" w14:textId="10F10E65" w:rsidR="00375F5D" w:rsidRPr="004D65B3" w:rsidRDefault="14A010F0" w:rsidP="14A010F0">
            <w:pPr>
              <w:spacing w:after="120"/>
              <w:rPr>
                <w:rFonts w:cs="Arial"/>
              </w:rPr>
            </w:pPr>
            <w:r w:rsidRPr="14A010F0">
              <w:rPr>
                <w:rFonts w:cs="Arial"/>
              </w:rPr>
              <w:t>10am 16 January 2020</w:t>
            </w:r>
          </w:p>
        </w:tc>
        <w:tc>
          <w:tcPr>
            <w:tcW w:w="1272" w:type="dxa"/>
            <w:shd w:val="clear" w:color="auto" w:fill="auto"/>
          </w:tcPr>
          <w:p w14:paraId="4E141A00" w14:textId="77777777" w:rsidR="00375F5D" w:rsidRPr="006F5DA8" w:rsidRDefault="00375F5D" w:rsidP="000C2ED0">
            <w:pPr>
              <w:spacing w:after="120"/>
              <w:jc w:val="both"/>
              <w:rPr>
                <w:rFonts w:cs="Arial"/>
                <w:szCs w:val="22"/>
              </w:rPr>
            </w:pPr>
            <w:r w:rsidRPr="006F5DA8">
              <w:rPr>
                <w:rFonts w:cs="Arial"/>
                <w:szCs w:val="22"/>
              </w:rPr>
              <w:t>Tenderers</w:t>
            </w:r>
          </w:p>
        </w:tc>
        <w:tc>
          <w:tcPr>
            <w:tcW w:w="3326" w:type="dxa"/>
            <w:shd w:val="clear" w:color="auto" w:fill="auto"/>
          </w:tcPr>
          <w:p w14:paraId="6EF391FA" w14:textId="77777777" w:rsidR="00375F5D" w:rsidRPr="006F5DA8" w:rsidRDefault="00375F5D" w:rsidP="000C2ED0">
            <w:pPr>
              <w:spacing w:after="120"/>
              <w:jc w:val="both"/>
              <w:rPr>
                <w:rFonts w:cs="Arial"/>
                <w:szCs w:val="22"/>
              </w:rPr>
            </w:pPr>
            <w:r w:rsidRPr="006F5DA8">
              <w:rPr>
                <w:rFonts w:cs="Arial"/>
                <w:szCs w:val="22"/>
              </w:rPr>
              <w:t>The Tender Board, using DEFFORM 28</w:t>
            </w:r>
          </w:p>
        </w:tc>
      </w:tr>
      <w:tr w:rsidR="00375F5D" w:rsidRPr="00CB6197" w14:paraId="64B27E62" w14:textId="77777777" w:rsidTr="7499E84D">
        <w:tc>
          <w:tcPr>
            <w:tcW w:w="2432" w:type="dxa"/>
          </w:tcPr>
          <w:p w14:paraId="0F30533A" w14:textId="222D9BEE" w:rsidR="00375F5D" w:rsidRPr="00FF1320" w:rsidRDefault="52BA3D40" w:rsidP="52BA3D40">
            <w:pPr>
              <w:spacing w:after="120"/>
              <w:jc w:val="both"/>
              <w:rPr>
                <w:rFonts w:cs="Arial"/>
              </w:rPr>
            </w:pPr>
            <w:r w:rsidRPr="52BA3D40">
              <w:rPr>
                <w:rFonts w:cs="Arial"/>
              </w:rPr>
              <w:t>Negotiations /Clarifications/ Clarification meetings</w:t>
            </w:r>
          </w:p>
        </w:tc>
        <w:tc>
          <w:tcPr>
            <w:tcW w:w="2099" w:type="dxa"/>
            <w:shd w:val="clear" w:color="auto" w:fill="auto"/>
          </w:tcPr>
          <w:p w14:paraId="7B02471A" w14:textId="0D5C04A4" w:rsidR="00375F5D" w:rsidRPr="004D65B3" w:rsidRDefault="14A010F0" w:rsidP="14A010F0">
            <w:pPr>
              <w:spacing w:after="120"/>
              <w:rPr>
                <w:rFonts w:cs="Arial"/>
              </w:rPr>
            </w:pPr>
            <w:r w:rsidRPr="14A010F0">
              <w:rPr>
                <w:rFonts w:cs="Arial"/>
              </w:rPr>
              <w:t>March 2020</w:t>
            </w:r>
          </w:p>
        </w:tc>
        <w:tc>
          <w:tcPr>
            <w:tcW w:w="1272" w:type="dxa"/>
            <w:shd w:val="clear" w:color="auto" w:fill="auto"/>
          </w:tcPr>
          <w:p w14:paraId="41419DA4" w14:textId="77777777" w:rsidR="00375F5D" w:rsidRPr="00CB6197" w:rsidRDefault="00375F5D" w:rsidP="000C2ED0">
            <w:pPr>
              <w:spacing w:after="120"/>
              <w:jc w:val="both"/>
              <w:rPr>
                <w:rFonts w:cs="Arial"/>
                <w:szCs w:val="22"/>
              </w:rPr>
            </w:pPr>
            <w:r>
              <w:rPr>
                <w:rFonts w:cs="Arial"/>
                <w:szCs w:val="22"/>
              </w:rPr>
              <w:t>The Authority</w:t>
            </w:r>
          </w:p>
        </w:tc>
        <w:tc>
          <w:tcPr>
            <w:tcW w:w="3326" w:type="dxa"/>
            <w:shd w:val="clear" w:color="auto" w:fill="auto"/>
          </w:tcPr>
          <w:p w14:paraId="6068FFDA" w14:textId="77777777" w:rsidR="00375F5D" w:rsidRPr="00CB6197" w:rsidRDefault="00375F5D" w:rsidP="000C2ED0">
            <w:pPr>
              <w:spacing w:after="120"/>
              <w:jc w:val="both"/>
              <w:rPr>
                <w:rFonts w:cs="Arial"/>
                <w:szCs w:val="22"/>
              </w:rPr>
            </w:pPr>
            <w:r>
              <w:rPr>
                <w:rFonts w:cs="Arial"/>
                <w:szCs w:val="22"/>
              </w:rPr>
              <w:t>All Tenderers</w:t>
            </w:r>
          </w:p>
        </w:tc>
      </w:tr>
      <w:tr w:rsidR="00375F5D" w:rsidRPr="00CB6197" w14:paraId="201BAEAA" w14:textId="77777777" w:rsidTr="7499E84D">
        <w:tc>
          <w:tcPr>
            <w:tcW w:w="2432" w:type="dxa"/>
          </w:tcPr>
          <w:p w14:paraId="2DCAFA24" w14:textId="77777777" w:rsidR="00375F5D" w:rsidRPr="00A44BA8" w:rsidRDefault="00375F5D" w:rsidP="000C2ED0">
            <w:pPr>
              <w:spacing w:after="120"/>
              <w:jc w:val="both"/>
              <w:rPr>
                <w:rFonts w:cs="Arial"/>
                <w:szCs w:val="22"/>
              </w:rPr>
            </w:pPr>
            <w:r>
              <w:rPr>
                <w:rFonts w:cs="Arial"/>
                <w:szCs w:val="22"/>
              </w:rPr>
              <w:t>Up-Issued of Tendered Documents</w:t>
            </w:r>
          </w:p>
        </w:tc>
        <w:tc>
          <w:tcPr>
            <w:tcW w:w="2099" w:type="dxa"/>
            <w:shd w:val="clear" w:color="auto" w:fill="FFFFFF" w:themeFill="background1"/>
          </w:tcPr>
          <w:p w14:paraId="628747C3" w14:textId="3F5701F4" w:rsidR="00375F5D" w:rsidRPr="004D65B3" w:rsidRDefault="14A010F0" w:rsidP="14A010F0">
            <w:pPr>
              <w:spacing w:after="120"/>
              <w:rPr>
                <w:rFonts w:cs="Arial"/>
              </w:rPr>
            </w:pPr>
            <w:r w:rsidRPr="14A010F0">
              <w:rPr>
                <w:rFonts w:cs="Arial"/>
              </w:rPr>
              <w:t>April 2020</w:t>
            </w:r>
          </w:p>
        </w:tc>
        <w:tc>
          <w:tcPr>
            <w:tcW w:w="1272" w:type="dxa"/>
            <w:shd w:val="clear" w:color="auto" w:fill="auto"/>
          </w:tcPr>
          <w:p w14:paraId="33CE8770" w14:textId="77777777" w:rsidR="00375F5D" w:rsidRDefault="00375F5D" w:rsidP="000C2ED0">
            <w:pPr>
              <w:spacing w:after="120"/>
              <w:jc w:val="both"/>
              <w:rPr>
                <w:rFonts w:cs="Arial"/>
                <w:szCs w:val="22"/>
              </w:rPr>
            </w:pPr>
            <w:r>
              <w:rPr>
                <w:rFonts w:cs="Arial"/>
                <w:szCs w:val="22"/>
              </w:rPr>
              <w:t>Tenderers</w:t>
            </w:r>
          </w:p>
        </w:tc>
        <w:tc>
          <w:tcPr>
            <w:tcW w:w="3326" w:type="dxa"/>
            <w:shd w:val="clear" w:color="auto" w:fill="auto"/>
          </w:tcPr>
          <w:p w14:paraId="59BB26F8" w14:textId="77777777" w:rsidR="00375F5D" w:rsidRDefault="00375F5D" w:rsidP="000C2ED0">
            <w:pPr>
              <w:spacing w:after="120"/>
              <w:jc w:val="both"/>
              <w:rPr>
                <w:rFonts w:cs="Arial"/>
                <w:szCs w:val="22"/>
              </w:rPr>
            </w:pPr>
            <w:r w:rsidRPr="00CB6197">
              <w:rPr>
                <w:rFonts w:cs="Arial"/>
                <w:szCs w:val="22"/>
              </w:rPr>
              <w:t>The Tender Board, using DEFFORM 28</w:t>
            </w:r>
          </w:p>
        </w:tc>
      </w:tr>
      <w:tr w:rsidR="00375F5D" w:rsidRPr="00CB6197" w14:paraId="570F29C1" w14:textId="77777777" w:rsidTr="7499E84D">
        <w:tc>
          <w:tcPr>
            <w:tcW w:w="2432" w:type="dxa"/>
          </w:tcPr>
          <w:p w14:paraId="0881220B" w14:textId="6A5A0F7D" w:rsidR="00375F5D" w:rsidRPr="00A44BA8" w:rsidRDefault="52BA3D40" w:rsidP="52BA3D40">
            <w:pPr>
              <w:spacing w:after="120"/>
              <w:jc w:val="both"/>
              <w:rPr>
                <w:rFonts w:cs="Arial"/>
              </w:rPr>
            </w:pPr>
            <w:r w:rsidRPr="52BA3D40">
              <w:rPr>
                <w:rFonts w:cs="Arial"/>
              </w:rPr>
              <w:t xml:space="preserve">Best </w:t>
            </w:r>
            <w:proofErr w:type="gramStart"/>
            <w:r w:rsidRPr="52BA3D40">
              <w:rPr>
                <w:rFonts w:cs="Arial"/>
              </w:rPr>
              <w:t>And</w:t>
            </w:r>
            <w:proofErr w:type="gramEnd"/>
            <w:r w:rsidRPr="52BA3D40">
              <w:rPr>
                <w:rFonts w:cs="Arial"/>
              </w:rPr>
              <w:t xml:space="preserve"> Final Offers</w:t>
            </w:r>
          </w:p>
        </w:tc>
        <w:tc>
          <w:tcPr>
            <w:tcW w:w="2099" w:type="dxa"/>
            <w:shd w:val="clear" w:color="auto" w:fill="FFFFFF" w:themeFill="background1"/>
          </w:tcPr>
          <w:p w14:paraId="49CD47B5" w14:textId="1E8FAE9D" w:rsidR="00375F5D" w:rsidRPr="004D65B3" w:rsidRDefault="14A010F0" w:rsidP="14A010F0">
            <w:pPr>
              <w:spacing w:after="120"/>
              <w:rPr>
                <w:rFonts w:cs="Arial"/>
              </w:rPr>
            </w:pPr>
            <w:r w:rsidRPr="14A010F0">
              <w:rPr>
                <w:rFonts w:cs="Arial"/>
              </w:rPr>
              <w:t>July 2020</w:t>
            </w:r>
          </w:p>
        </w:tc>
        <w:tc>
          <w:tcPr>
            <w:tcW w:w="1272" w:type="dxa"/>
            <w:shd w:val="clear" w:color="auto" w:fill="auto"/>
          </w:tcPr>
          <w:p w14:paraId="3E3CDD84" w14:textId="77777777" w:rsidR="00375F5D" w:rsidRDefault="00375F5D" w:rsidP="000C2ED0">
            <w:pPr>
              <w:spacing w:after="120"/>
              <w:jc w:val="both"/>
              <w:rPr>
                <w:rFonts w:cs="Arial"/>
                <w:szCs w:val="22"/>
              </w:rPr>
            </w:pPr>
            <w:r>
              <w:rPr>
                <w:rFonts w:cs="Arial"/>
                <w:szCs w:val="22"/>
              </w:rPr>
              <w:t>The Authority</w:t>
            </w:r>
          </w:p>
        </w:tc>
        <w:tc>
          <w:tcPr>
            <w:tcW w:w="3326" w:type="dxa"/>
            <w:shd w:val="clear" w:color="auto" w:fill="auto"/>
          </w:tcPr>
          <w:p w14:paraId="113A7C55" w14:textId="77777777" w:rsidR="00375F5D" w:rsidRDefault="00375F5D" w:rsidP="000C2ED0">
            <w:pPr>
              <w:spacing w:after="120"/>
              <w:jc w:val="both"/>
              <w:rPr>
                <w:rFonts w:cs="Arial"/>
                <w:szCs w:val="22"/>
              </w:rPr>
            </w:pPr>
            <w:r w:rsidRPr="00CB6197">
              <w:rPr>
                <w:rFonts w:cs="Arial"/>
                <w:szCs w:val="22"/>
              </w:rPr>
              <w:t>The Tender Board, using DEFFORM 28</w:t>
            </w:r>
          </w:p>
        </w:tc>
      </w:tr>
      <w:tr w:rsidR="00375F5D" w:rsidRPr="00CB6197" w14:paraId="3C76BD63" w14:textId="77777777" w:rsidTr="7499E84D">
        <w:tc>
          <w:tcPr>
            <w:tcW w:w="2432" w:type="dxa"/>
          </w:tcPr>
          <w:p w14:paraId="5CE0B849" w14:textId="77777777" w:rsidR="00375F5D" w:rsidRDefault="00375F5D" w:rsidP="000C2ED0">
            <w:pPr>
              <w:spacing w:after="120"/>
              <w:jc w:val="both"/>
              <w:rPr>
                <w:rFonts w:cs="Arial"/>
                <w:szCs w:val="22"/>
              </w:rPr>
            </w:pPr>
            <w:r>
              <w:rPr>
                <w:rFonts w:cs="Arial"/>
                <w:szCs w:val="22"/>
              </w:rPr>
              <w:t>Contract Award</w:t>
            </w:r>
          </w:p>
        </w:tc>
        <w:tc>
          <w:tcPr>
            <w:tcW w:w="2099" w:type="dxa"/>
            <w:shd w:val="clear" w:color="auto" w:fill="FFFFFF" w:themeFill="background1"/>
          </w:tcPr>
          <w:p w14:paraId="15286265" w14:textId="2FF12F5A" w:rsidR="00375F5D" w:rsidRPr="004D65B3" w:rsidRDefault="14A010F0" w:rsidP="14A010F0">
            <w:pPr>
              <w:spacing w:after="120"/>
              <w:rPr>
                <w:rFonts w:cs="Arial"/>
              </w:rPr>
            </w:pPr>
            <w:r w:rsidRPr="14A010F0">
              <w:rPr>
                <w:rFonts w:cs="Arial"/>
              </w:rPr>
              <w:t>December 2020</w:t>
            </w:r>
          </w:p>
        </w:tc>
        <w:tc>
          <w:tcPr>
            <w:tcW w:w="1272" w:type="dxa"/>
            <w:shd w:val="clear" w:color="auto" w:fill="auto"/>
          </w:tcPr>
          <w:p w14:paraId="04DB0254" w14:textId="77777777" w:rsidR="00375F5D" w:rsidRDefault="00375F5D" w:rsidP="000C2ED0">
            <w:pPr>
              <w:spacing w:after="120"/>
              <w:jc w:val="both"/>
              <w:rPr>
                <w:rFonts w:cs="Arial"/>
                <w:szCs w:val="22"/>
              </w:rPr>
            </w:pPr>
            <w:r>
              <w:rPr>
                <w:rFonts w:cs="Arial"/>
                <w:szCs w:val="22"/>
              </w:rPr>
              <w:t>The Authority</w:t>
            </w:r>
          </w:p>
        </w:tc>
        <w:tc>
          <w:tcPr>
            <w:tcW w:w="3326" w:type="dxa"/>
            <w:shd w:val="clear" w:color="auto" w:fill="auto"/>
          </w:tcPr>
          <w:p w14:paraId="67431589" w14:textId="77777777" w:rsidR="00375F5D" w:rsidRDefault="00375F5D" w:rsidP="000C2ED0">
            <w:pPr>
              <w:spacing w:after="120"/>
              <w:jc w:val="both"/>
              <w:rPr>
                <w:rFonts w:cs="Arial"/>
                <w:szCs w:val="22"/>
              </w:rPr>
            </w:pPr>
            <w:r>
              <w:rPr>
                <w:rFonts w:cs="Arial"/>
                <w:szCs w:val="22"/>
              </w:rPr>
              <w:t>The winning Tenderer</w:t>
            </w:r>
          </w:p>
        </w:tc>
      </w:tr>
    </w:tbl>
    <w:p w14:paraId="25546E3C" w14:textId="77777777" w:rsidR="00375F5D" w:rsidRPr="009056FE" w:rsidRDefault="00375F5D" w:rsidP="00375F5D">
      <w:pPr>
        <w:spacing w:before="120"/>
        <w:jc w:val="both"/>
        <w:rPr>
          <w:rFonts w:cs="Arial"/>
          <w:b/>
          <w:szCs w:val="22"/>
        </w:rPr>
      </w:pPr>
      <w:r w:rsidRPr="009056FE">
        <w:rPr>
          <w:rFonts w:cs="Arial"/>
          <w:b/>
          <w:szCs w:val="22"/>
        </w:rPr>
        <w:t>Notes</w:t>
      </w:r>
    </w:p>
    <w:p w14:paraId="281296DE" w14:textId="0C3589BA" w:rsidR="004860F5" w:rsidRPr="004860F5" w:rsidRDefault="004860F5" w:rsidP="678C9961">
      <w:pPr>
        <w:pStyle w:val="ListParagraph"/>
        <w:numPr>
          <w:ilvl w:val="0"/>
          <w:numId w:val="1"/>
        </w:numPr>
        <w:spacing w:before="120" w:after="120"/>
        <w:jc w:val="both"/>
        <w:rPr>
          <w:szCs w:val="22"/>
        </w:rPr>
      </w:pPr>
      <w:r>
        <w:rPr>
          <w:szCs w:val="22"/>
        </w:rPr>
        <w:t>Tenderers wishing to remain in the competition following its restart are</w:t>
      </w:r>
      <w:r w:rsidR="00DF346F">
        <w:rPr>
          <w:szCs w:val="22"/>
        </w:rPr>
        <w:t xml:space="preserve"> requested</w:t>
      </w:r>
      <w:r>
        <w:rPr>
          <w:szCs w:val="22"/>
        </w:rPr>
        <w:t xml:space="preserve"> to email the </w:t>
      </w:r>
      <w:r w:rsidR="001313EE">
        <w:rPr>
          <w:szCs w:val="22"/>
        </w:rPr>
        <w:t>Commercial Officer name</w:t>
      </w:r>
      <w:r w:rsidR="004C4659">
        <w:rPr>
          <w:szCs w:val="22"/>
        </w:rPr>
        <w:t>d</w:t>
      </w:r>
      <w:r w:rsidR="001313EE">
        <w:rPr>
          <w:szCs w:val="22"/>
        </w:rPr>
        <w:t xml:space="preserve"> in A</w:t>
      </w:r>
      <w:r w:rsidR="004C4659">
        <w:rPr>
          <w:szCs w:val="22"/>
        </w:rPr>
        <w:t>.25 to confirm their intentio</w:t>
      </w:r>
      <w:r w:rsidR="00DF346F">
        <w:rPr>
          <w:szCs w:val="22"/>
        </w:rPr>
        <w:t>n.</w:t>
      </w:r>
    </w:p>
    <w:p w14:paraId="235B34E6" w14:textId="5815D90C" w:rsidR="678C9961" w:rsidRPr="004D65B3" w:rsidRDefault="52BA3D40" w:rsidP="52BA3D40">
      <w:pPr>
        <w:pStyle w:val="ListParagraph"/>
        <w:numPr>
          <w:ilvl w:val="0"/>
          <w:numId w:val="1"/>
        </w:numPr>
        <w:spacing w:before="120" w:after="120"/>
        <w:jc w:val="both"/>
      </w:pPr>
      <w:r w:rsidRPr="52BA3D40">
        <w:rPr>
          <w:rFonts w:cs="Arial"/>
        </w:rPr>
        <w:t>Concurrently during the ITN response period the Authority will visit the premises where the work is to be carried out. This visit will not affect the scoring of the Tenderers proposal, the purpose of this visit is to investigate matters including but not limited to:</w:t>
      </w:r>
      <w:r w:rsidRPr="52BA3D40">
        <w:rPr>
          <w:rFonts w:eastAsia="Arial" w:cs="Arial"/>
        </w:rPr>
        <w:t xml:space="preserve"> </w:t>
      </w:r>
    </w:p>
    <w:p w14:paraId="7F5972A1" w14:textId="0C9CE634" w:rsidR="678C9961" w:rsidRPr="004D65B3" w:rsidRDefault="678C9961" w:rsidP="678C9961">
      <w:pPr>
        <w:pStyle w:val="ListParagraph"/>
        <w:numPr>
          <w:ilvl w:val="1"/>
          <w:numId w:val="1"/>
        </w:numPr>
        <w:spacing w:after="240"/>
        <w:jc w:val="both"/>
        <w:rPr>
          <w:szCs w:val="22"/>
        </w:rPr>
      </w:pPr>
      <w:r w:rsidRPr="004D65B3">
        <w:rPr>
          <w:rFonts w:eastAsia="Arial" w:cs="Arial"/>
          <w:szCs w:val="22"/>
        </w:rPr>
        <w:t>Capacity, capabilities, experience and training of staff in relation to the proposed contract;</w:t>
      </w:r>
    </w:p>
    <w:p w14:paraId="0AAA45CA" w14:textId="49E1A251" w:rsidR="678C9961" w:rsidRPr="004D65B3" w:rsidRDefault="678C9961" w:rsidP="678C9961">
      <w:pPr>
        <w:pStyle w:val="ListParagraph"/>
        <w:numPr>
          <w:ilvl w:val="1"/>
          <w:numId w:val="1"/>
        </w:numPr>
        <w:spacing w:after="240"/>
        <w:jc w:val="both"/>
        <w:rPr>
          <w:szCs w:val="22"/>
        </w:rPr>
      </w:pPr>
      <w:r w:rsidRPr="004D65B3">
        <w:rPr>
          <w:rFonts w:eastAsia="Arial" w:cs="Arial"/>
          <w:szCs w:val="22"/>
        </w:rPr>
        <w:t>The quality control system and Quality Assurance (QA) documentation;</w:t>
      </w:r>
    </w:p>
    <w:p w14:paraId="51F5D255" w14:textId="2035BBBA" w:rsidR="678C9961" w:rsidRPr="004D65B3" w:rsidRDefault="678C9961" w:rsidP="678C9961">
      <w:pPr>
        <w:pStyle w:val="ListParagraph"/>
        <w:numPr>
          <w:ilvl w:val="1"/>
          <w:numId w:val="1"/>
        </w:numPr>
        <w:spacing w:after="240"/>
        <w:jc w:val="both"/>
        <w:rPr>
          <w:szCs w:val="22"/>
        </w:rPr>
      </w:pPr>
      <w:r w:rsidRPr="004D65B3">
        <w:rPr>
          <w:rFonts w:eastAsia="Arial" w:cs="Arial"/>
          <w:szCs w:val="22"/>
        </w:rPr>
        <w:lastRenderedPageBreak/>
        <w:t>The proposed organisation and operating methods; what work may be dealt with in-house and what may be subcontracted; and how (in relation to subcontract work in particular) this will be managed, controlled and validated;</w:t>
      </w:r>
    </w:p>
    <w:p w14:paraId="2CD4A463" w14:textId="69DB9AB0" w:rsidR="678C9961" w:rsidRPr="004D65B3" w:rsidRDefault="678C9961" w:rsidP="678C9961">
      <w:pPr>
        <w:pStyle w:val="ListParagraph"/>
        <w:numPr>
          <w:ilvl w:val="1"/>
          <w:numId w:val="1"/>
        </w:numPr>
        <w:spacing w:after="240"/>
        <w:jc w:val="both"/>
        <w:rPr>
          <w:szCs w:val="22"/>
        </w:rPr>
      </w:pPr>
      <w:r w:rsidRPr="004D65B3">
        <w:rPr>
          <w:rFonts w:eastAsia="Arial" w:cs="Arial"/>
          <w:szCs w:val="22"/>
        </w:rPr>
        <w:t xml:space="preserve">The risks to </w:t>
      </w:r>
      <w:proofErr w:type="gramStart"/>
      <w:r w:rsidRPr="004D65B3">
        <w:rPr>
          <w:rFonts w:eastAsia="Arial" w:cs="Arial"/>
          <w:szCs w:val="22"/>
        </w:rPr>
        <w:t>other</w:t>
      </w:r>
      <w:proofErr w:type="gramEnd"/>
      <w:r w:rsidRPr="004D65B3">
        <w:rPr>
          <w:rFonts w:eastAsia="Arial" w:cs="Arial"/>
          <w:szCs w:val="22"/>
        </w:rPr>
        <w:t xml:space="preserve"> MOD work being undertaken by the Tenderer if his tender is accepted.</w:t>
      </w:r>
    </w:p>
    <w:p w14:paraId="5ECBDFC0" w14:textId="77777777" w:rsidR="004D65B3" w:rsidRDefault="004D65B3" w:rsidP="004D65B3">
      <w:pPr>
        <w:pStyle w:val="ListParagraph"/>
        <w:numPr>
          <w:ilvl w:val="0"/>
          <w:numId w:val="1"/>
        </w:numPr>
        <w:spacing w:before="120" w:after="120"/>
        <w:jc w:val="both"/>
        <w:rPr>
          <w:szCs w:val="22"/>
        </w:rPr>
      </w:pPr>
      <w:r w:rsidRPr="678C9961">
        <w:rPr>
          <w:rFonts w:cs="Arial"/>
        </w:rPr>
        <w:t xml:space="preserve">The Tenderer must make requests for an extension in writing (email is sufficient) to the </w:t>
      </w:r>
      <w:proofErr w:type="gramStart"/>
      <w:r w:rsidRPr="678C9961">
        <w:rPr>
          <w:rFonts w:cs="Arial"/>
        </w:rPr>
        <w:t>above named</w:t>
      </w:r>
      <w:proofErr w:type="gramEnd"/>
      <w:r w:rsidRPr="678C9961">
        <w:rPr>
          <w:rFonts w:cs="Arial"/>
        </w:rPr>
        <w:t xml:space="preserve"> contact, by the date and time shown. Any extension is at the sole discretion of the Authority and if granted will be granted to all Tenderers.</w:t>
      </w:r>
    </w:p>
    <w:p w14:paraId="4905BF90" w14:textId="06D96473" w:rsidR="678C9961" w:rsidRDefault="678C9961" w:rsidP="678C9961">
      <w:pPr>
        <w:spacing w:before="120" w:after="120"/>
        <w:jc w:val="both"/>
        <w:rPr>
          <w:rFonts w:cs="Arial"/>
        </w:rPr>
      </w:pPr>
    </w:p>
    <w:sectPr w:rsidR="678C996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25708" w14:textId="77777777" w:rsidR="00EF4BE9" w:rsidRDefault="00EF4BE9" w:rsidP="00375F5D">
      <w:r>
        <w:separator/>
      </w:r>
    </w:p>
  </w:endnote>
  <w:endnote w:type="continuationSeparator" w:id="0">
    <w:p w14:paraId="1C838818" w14:textId="77777777" w:rsidR="00EF4BE9" w:rsidRDefault="00EF4BE9" w:rsidP="0037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5B93" w14:textId="77777777" w:rsidR="00EF4BE9" w:rsidRDefault="00EF4BE9" w:rsidP="00375F5D">
      <w:r>
        <w:separator/>
      </w:r>
    </w:p>
  </w:footnote>
  <w:footnote w:type="continuationSeparator" w:id="0">
    <w:p w14:paraId="56EFC49F" w14:textId="77777777" w:rsidR="00EF4BE9" w:rsidRDefault="00EF4BE9" w:rsidP="0037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3CB9" w14:textId="77777777" w:rsidR="00375F5D" w:rsidRPr="00C6407C" w:rsidRDefault="00375F5D" w:rsidP="00375F5D">
    <w:pPr>
      <w:pStyle w:val="Header"/>
      <w:jc w:val="right"/>
      <w:rPr>
        <w:b/>
        <w:sz w:val="23"/>
        <w:szCs w:val="23"/>
      </w:rPr>
    </w:pPr>
    <w:r w:rsidRPr="00C6407C">
      <w:rPr>
        <w:b/>
        <w:sz w:val="23"/>
        <w:szCs w:val="23"/>
      </w:rPr>
      <w:t>DEFFORM 47</w:t>
    </w:r>
  </w:p>
  <w:p w14:paraId="22E47269" w14:textId="77777777" w:rsidR="00375F5D" w:rsidRDefault="00375F5D" w:rsidP="00375F5D">
    <w:pPr>
      <w:pStyle w:val="Header"/>
      <w:jc w:val="right"/>
    </w:pPr>
    <w:r>
      <w:rPr>
        <w:b/>
        <w:bCs/>
        <w:sz w:val="23"/>
        <w:szCs w:val="23"/>
      </w:rPr>
      <w:t>(</w:t>
    </w:r>
    <w:proofErr w:type="spellStart"/>
    <w:r>
      <w:rPr>
        <w:b/>
        <w:bCs/>
        <w:sz w:val="23"/>
        <w:szCs w:val="23"/>
      </w:rPr>
      <w:t>Edn</w:t>
    </w:r>
    <w:proofErr w:type="spellEnd"/>
    <w:r>
      <w:rPr>
        <w:b/>
        <w:bCs/>
        <w:sz w:val="23"/>
        <w:szCs w:val="23"/>
      </w:rPr>
      <w:t xml:space="preserve"> 07</w:t>
    </w:r>
    <w:r w:rsidRPr="001C2D3C">
      <w:rPr>
        <w:b/>
        <w:bCs/>
        <w:sz w:val="23"/>
        <w:szCs w:val="23"/>
      </w:rPr>
      <w:t>/1</w:t>
    </w:r>
    <w:r>
      <w:rPr>
        <w:b/>
        <w:bCs/>
        <w:sz w:val="23"/>
        <w:szCs w:val="23"/>
      </w:rPr>
      <w:t>8)</w:t>
    </w:r>
  </w:p>
  <w:p w14:paraId="0A37501D" w14:textId="77777777" w:rsidR="00375F5D" w:rsidRDefault="00375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016F"/>
    <w:multiLevelType w:val="hybridMultilevel"/>
    <w:tmpl w:val="33CEE2E0"/>
    <w:lvl w:ilvl="0" w:tplc="FFFFFFF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1FF4506"/>
    <w:multiLevelType w:val="hybridMultilevel"/>
    <w:tmpl w:val="9168F11A"/>
    <w:lvl w:ilvl="0" w:tplc="1DD28C72">
      <w:start w:val="1"/>
      <w:numFmt w:val="decimal"/>
      <w:lvlText w:val="%1."/>
      <w:lvlJc w:val="left"/>
      <w:pPr>
        <w:ind w:left="720" w:hanging="360"/>
      </w:pPr>
    </w:lvl>
    <w:lvl w:ilvl="1" w:tplc="8068A81A">
      <w:start w:val="1"/>
      <w:numFmt w:val="lowerLetter"/>
      <w:lvlText w:val="%2."/>
      <w:lvlJc w:val="left"/>
      <w:pPr>
        <w:ind w:left="1440" w:hanging="360"/>
      </w:pPr>
    </w:lvl>
    <w:lvl w:ilvl="2" w:tplc="86667922">
      <w:start w:val="1"/>
      <w:numFmt w:val="lowerRoman"/>
      <w:lvlText w:val="%3."/>
      <w:lvlJc w:val="right"/>
      <w:pPr>
        <w:ind w:left="2160" w:hanging="180"/>
      </w:pPr>
    </w:lvl>
    <w:lvl w:ilvl="3" w:tplc="7DC0B154">
      <w:start w:val="1"/>
      <w:numFmt w:val="decimal"/>
      <w:lvlText w:val="%4."/>
      <w:lvlJc w:val="left"/>
      <w:pPr>
        <w:ind w:left="2880" w:hanging="360"/>
      </w:pPr>
    </w:lvl>
    <w:lvl w:ilvl="4" w:tplc="711A589E">
      <w:start w:val="1"/>
      <w:numFmt w:val="lowerLetter"/>
      <w:lvlText w:val="%5."/>
      <w:lvlJc w:val="left"/>
      <w:pPr>
        <w:ind w:left="3600" w:hanging="360"/>
      </w:pPr>
    </w:lvl>
    <w:lvl w:ilvl="5" w:tplc="3864D526">
      <w:start w:val="1"/>
      <w:numFmt w:val="lowerRoman"/>
      <w:lvlText w:val="%6."/>
      <w:lvlJc w:val="right"/>
      <w:pPr>
        <w:ind w:left="4320" w:hanging="180"/>
      </w:pPr>
    </w:lvl>
    <w:lvl w:ilvl="6" w:tplc="9386EC78">
      <w:start w:val="1"/>
      <w:numFmt w:val="decimal"/>
      <w:lvlText w:val="%7."/>
      <w:lvlJc w:val="left"/>
      <w:pPr>
        <w:ind w:left="5040" w:hanging="360"/>
      </w:pPr>
    </w:lvl>
    <w:lvl w:ilvl="7" w:tplc="48B49BAA">
      <w:start w:val="1"/>
      <w:numFmt w:val="lowerLetter"/>
      <w:lvlText w:val="%8."/>
      <w:lvlJc w:val="left"/>
      <w:pPr>
        <w:ind w:left="5760" w:hanging="360"/>
      </w:pPr>
    </w:lvl>
    <w:lvl w:ilvl="8" w:tplc="787A7D5C">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5D"/>
    <w:rsid w:val="0001700F"/>
    <w:rsid w:val="000210AF"/>
    <w:rsid w:val="00042025"/>
    <w:rsid w:val="001313EE"/>
    <w:rsid w:val="0016520C"/>
    <w:rsid w:val="002B267E"/>
    <w:rsid w:val="00375F5D"/>
    <w:rsid w:val="00381A18"/>
    <w:rsid w:val="004860F5"/>
    <w:rsid w:val="0049087A"/>
    <w:rsid w:val="004C4659"/>
    <w:rsid w:val="004D65B3"/>
    <w:rsid w:val="00525F7C"/>
    <w:rsid w:val="005555CB"/>
    <w:rsid w:val="006A6388"/>
    <w:rsid w:val="006F5DA8"/>
    <w:rsid w:val="0070748B"/>
    <w:rsid w:val="00836637"/>
    <w:rsid w:val="00873BBD"/>
    <w:rsid w:val="009B3237"/>
    <w:rsid w:val="009B43DB"/>
    <w:rsid w:val="00BD030E"/>
    <w:rsid w:val="00C031BB"/>
    <w:rsid w:val="00D00D03"/>
    <w:rsid w:val="00D677F4"/>
    <w:rsid w:val="00DF346F"/>
    <w:rsid w:val="00E05D54"/>
    <w:rsid w:val="00E27540"/>
    <w:rsid w:val="00E72728"/>
    <w:rsid w:val="00EF4BE9"/>
    <w:rsid w:val="14A010F0"/>
    <w:rsid w:val="519F503E"/>
    <w:rsid w:val="52BA3D40"/>
    <w:rsid w:val="678C9961"/>
    <w:rsid w:val="6BD3063A"/>
    <w:rsid w:val="7499E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90C9"/>
  <w15:chartTrackingRefBased/>
  <w15:docId w15:val="{09C9E85F-90F2-417C-AE7E-B6B4E53A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F5D"/>
    <w:pPr>
      <w:spacing w:after="0" w:line="240" w:lineRule="auto"/>
    </w:pPr>
    <w:rPr>
      <w:rFonts w:ascii="Arial" w:eastAsia="Times New Roman" w:hAnsi="Arial" w:cs="Times New Roman"/>
      <w:szCs w:val="24"/>
    </w:rPr>
  </w:style>
  <w:style w:type="paragraph" w:styleId="Heading3">
    <w:name w:val="heading 3"/>
    <w:basedOn w:val="Normal"/>
    <w:next w:val="Normal"/>
    <w:link w:val="Heading3Char"/>
    <w:qFormat/>
    <w:rsid w:val="00375F5D"/>
    <w:pPr>
      <w:keepNext/>
      <w:overflowPunct w:val="0"/>
      <w:autoSpaceDE w:val="0"/>
      <w:autoSpaceDN w:val="0"/>
      <w:adjustRightInd w:val="0"/>
      <w:spacing w:before="240" w:after="60"/>
      <w:textAlignment w:val="baseline"/>
      <w:outlineLvl w:val="2"/>
    </w:pPr>
    <w:rPr>
      <w:b/>
      <w:kern w:val="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5F5D"/>
    <w:rPr>
      <w:rFonts w:ascii="Arial" w:eastAsia="Times New Roman" w:hAnsi="Arial" w:cs="Times New Roman"/>
      <w:b/>
      <w:kern w:val="22"/>
      <w:sz w:val="26"/>
      <w:szCs w:val="20"/>
    </w:rPr>
  </w:style>
  <w:style w:type="paragraph" w:styleId="Header">
    <w:name w:val="header"/>
    <w:basedOn w:val="Normal"/>
    <w:link w:val="HeaderChar"/>
    <w:unhideWhenUsed/>
    <w:rsid w:val="00375F5D"/>
    <w:pPr>
      <w:tabs>
        <w:tab w:val="center" w:pos="4513"/>
        <w:tab w:val="right" w:pos="9026"/>
      </w:tabs>
    </w:pPr>
  </w:style>
  <w:style w:type="character" w:customStyle="1" w:styleId="HeaderChar">
    <w:name w:val="Header Char"/>
    <w:basedOn w:val="DefaultParagraphFont"/>
    <w:link w:val="Header"/>
    <w:uiPriority w:val="99"/>
    <w:rsid w:val="00375F5D"/>
    <w:rPr>
      <w:rFonts w:ascii="Arial" w:eastAsia="Times New Roman" w:hAnsi="Arial" w:cs="Times New Roman"/>
      <w:szCs w:val="24"/>
    </w:rPr>
  </w:style>
  <w:style w:type="paragraph" w:styleId="Footer">
    <w:name w:val="footer"/>
    <w:basedOn w:val="Normal"/>
    <w:link w:val="FooterChar"/>
    <w:uiPriority w:val="99"/>
    <w:unhideWhenUsed/>
    <w:rsid w:val="00375F5D"/>
    <w:pPr>
      <w:tabs>
        <w:tab w:val="center" w:pos="4513"/>
        <w:tab w:val="right" w:pos="9026"/>
      </w:tabs>
    </w:pPr>
  </w:style>
  <w:style w:type="character" w:customStyle="1" w:styleId="FooterChar">
    <w:name w:val="Footer Char"/>
    <w:basedOn w:val="DefaultParagraphFont"/>
    <w:link w:val="Footer"/>
    <w:uiPriority w:val="99"/>
    <w:rsid w:val="00375F5D"/>
    <w:rPr>
      <w:rFonts w:ascii="Arial" w:eastAsia="Times New Roman" w:hAnsi="Arial" w:cs="Times New Roman"/>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55833cfb2f649a3baf7928be5934ba9 xmlns="7345e1af-3397-4a68-ad99-146ccd565869">
      <Terms xmlns="http://schemas.microsoft.com/office/infopath/2007/PartnerControls"/>
    </k55833cfb2f649a3baf7928be5934ba9>
    <TaxCatchAll xmlns="04738c6d-ecc8-46f1-821f-82e308eab3d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A7231-18E9-4B96-8C76-C6B184038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e1af-3397-4a68-ad99-146ccd565869"/>
    <ds:schemaRef ds:uri="04738c6d-ecc8-46f1-821f-82e308eab3d9"/>
    <ds:schemaRef ds:uri="3a00fe44-1c0e-46f4-b473-dcf98be1cf49"/>
    <ds:schemaRef ds:uri="ed08f280-d38d-4d9d-98f6-8b960c98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BE2A6-98A8-4598-ADDE-DB0A916A0D65}">
  <ds:schemaRefs>
    <ds:schemaRef ds:uri="http://schemas.microsoft.com/office/2006/metadata/properties"/>
    <ds:schemaRef ds:uri="http://schemas.microsoft.com/office/infopath/2007/PartnerControls"/>
    <ds:schemaRef ds:uri="7345e1af-3397-4a68-ad99-146ccd565869"/>
    <ds:schemaRef ds:uri="04738c6d-ecc8-46f1-821f-82e308eab3d9"/>
  </ds:schemaRefs>
</ds:datastoreItem>
</file>

<file path=customXml/itemProps3.xml><?xml version="1.0" encoding="utf-8"?>
<ds:datastoreItem xmlns:ds="http://schemas.openxmlformats.org/officeDocument/2006/customXml" ds:itemID="{A8A457EA-9C68-46E3-A56B-4F1690C7E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Michael C2 (DES Ships Comrcl-CSS-3c)</dc:creator>
  <cp:keywords/>
  <dc:description/>
  <cp:lastModifiedBy>Hazel, Michael C2 (DES Ships Comrcl-CSS-3c)</cp:lastModifiedBy>
  <cp:revision>27</cp:revision>
  <cp:lastPrinted>2019-09-23T12:56:00Z</cp:lastPrinted>
  <dcterms:created xsi:type="dcterms:W3CDTF">2019-06-05T14:15:00Z</dcterms:created>
  <dcterms:modified xsi:type="dcterms:W3CDTF">2019-10-02T08:19:00Z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0x01010052ADBDF22A02EC45B6CBF0D0705B2A67</vt:lpwstr>
  </property>
  <property fmtid="{D5CDD505-2E9C-101B-9397-08002B2CF9AE}" pid="3" name="BoatsKeywords">
    <vt:lpwstr/>
  </property>
</Properties>
</file>