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AD57" w14:textId="1E7098A9" w:rsidR="00265E97" w:rsidRPr="00265E97" w:rsidRDefault="00CD2062" w:rsidP="00265E97">
      <w:pPr>
        <w:rPr>
          <w:b/>
          <w:sz w:val="36"/>
          <w:szCs w:val="36"/>
        </w:rPr>
      </w:pPr>
      <w:r w:rsidRPr="00F311B4">
        <w:rPr>
          <w:b/>
          <w:sz w:val="40"/>
          <w:szCs w:val="36"/>
        </w:rPr>
        <w:t>Framework Schedule 1 (Specification</w:t>
      </w:r>
      <w:r w:rsidR="00F311B4" w:rsidRPr="00F311B4">
        <w:rPr>
          <w:b/>
          <w:sz w:val="40"/>
          <w:szCs w:val="36"/>
        </w:rPr>
        <w:t>)</w:t>
      </w:r>
    </w:p>
    <w:p w14:paraId="2B918121" w14:textId="77777777" w:rsidR="00F311B4" w:rsidRDefault="00F311B4">
      <w:pPr>
        <w:rPr>
          <w:b/>
        </w:rPr>
      </w:pPr>
    </w:p>
    <w:sdt>
      <w:sdtPr>
        <w:rPr>
          <w:rFonts w:ascii="Arial" w:eastAsia="Arial" w:hAnsi="Arial" w:cs="Arial"/>
          <w:color w:val="auto"/>
          <w:sz w:val="22"/>
          <w:szCs w:val="22"/>
          <w:lang w:val="en-GB" w:eastAsia="en-GB"/>
        </w:rPr>
        <w:id w:val="-1465804986"/>
        <w:docPartObj>
          <w:docPartGallery w:val="Table of Contents"/>
          <w:docPartUnique/>
        </w:docPartObj>
      </w:sdtPr>
      <w:sdtEndPr>
        <w:rPr>
          <w:b/>
          <w:bCs/>
          <w:noProof/>
        </w:rPr>
      </w:sdtEndPr>
      <w:sdtContent>
        <w:p w14:paraId="327757E0" w14:textId="4CEE2D64" w:rsidR="00095B09" w:rsidRDefault="00095B09">
          <w:pPr>
            <w:pStyle w:val="TOCHeading"/>
          </w:pPr>
          <w:r>
            <w:t>Contents</w:t>
          </w:r>
        </w:p>
        <w:p w14:paraId="49BD9932" w14:textId="77777777" w:rsidR="00095B09" w:rsidRDefault="00095B09">
          <w:pPr>
            <w:pStyle w:val="TOC1"/>
            <w:tabs>
              <w:tab w:val="right" w:leader="dot" w:pos="9019"/>
            </w:tabs>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42588617" w:history="1">
            <w:r w:rsidRPr="001E05F8">
              <w:rPr>
                <w:rStyle w:val="Hyperlink"/>
                <w:b/>
                <w:noProof/>
              </w:rPr>
              <w:t>Scope:</w:t>
            </w:r>
            <w:r>
              <w:rPr>
                <w:noProof/>
                <w:webHidden/>
              </w:rPr>
              <w:tab/>
            </w:r>
            <w:r>
              <w:rPr>
                <w:noProof/>
                <w:webHidden/>
              </w:rPr>
              <w:fldChar w:fldCharType="begin"/>
            </w:r>
            <w:r>
              <w:rPr>
                <w:noProof/>
                <w:webHidden/>
              </w:rPr>
              <w:instrText xml:space="preserve"> PAGEREF _Toc42588617 \h </w:instrText>
            </w:r>
            <w:r>
              <w:rPr>
                <w:noProof/>
                <w:webHidden/>
              </w:rPr>
            </w:r>
            <w:r>
              <w:rPr>
                <w:noProof/>
                <w:webHidden/>
              </w:rPr>
              <w:fldChar w:fldCharType="separate"/>
            </w:r>
            <w:r>
              <w:rPr>
                <w:noProof/>
                <w:webHidden/>
              </w:rPr>
              <w:t>1</w:t>
            </w:r>
            <w:r>
              <w:rPr>
                <w:noProof/>
                <w:webHidden/>
              </w:rPr>
              <w:fldChar w:fldCharType="end"/>
            </w:r>
          </w:hyperlink>
        </w:p>
        <w:p w14:paraId="09AAE570" w14:textId="77777777" w:rsidR="00095B09" w:rsidRDefault="0038003A">
          <w:pPr>
            <w:pStyle w:val="TOC1"/>
            <w:tabs>
              <w:tab w:val="right" w:leader="dot" w:pos="9019"/>
            </w:tabs>
            <w:rPr>
              <w:rFonts w:asciiTheme="minorHAnsi" w:eastAsiaTheme="minorEastAsia" w:hAnsiTheme="minorHAnsi" w:cstheme="minorBidi"/>
              <w:noProof/>
            </w:rPr>
          </w:pPr>
          <w:hyperlink w:anchor="_Toc42588618" w:history="1">
            <w:r w:rsidR="00095B09" w:rsidRPr="001E05F8">
              <w:rPr>
                <w:rStyle w:val="Hyperlink"/>
                <w:b/>
                <w:noProof/>
              </w:rPr>
              <w:t>Exclusions:</w:t>
            </w:r>
            <w:r w:rsidR="00095B09">
              <w:rPr>
                <w:noProof/>
                <w:webHidden/>
              </w:rPr>
              <w:tab/>
            </w:r>
            <w:r w:rsidR="00095B09">
              <w:rPr>
                <w:noProof/>
                <w:webHidden/>
              </w:rPr>
              <w:fldChar w:fldCharType="begin"/>
            </w:r>
            <w:r w:rsidR="00095B09">
              <w:rPr>
                <w:noProof/>
                <w:webHidden/>
              </w:rPr>
              <w:instrText xml:space="preserve"> PAGEREF _Toc42588618 \h </w:instrText>
            </w:r>
            <w:r w:rsidR="00095B09">
              <w:rPr>
                <w:noProof/>
                <w:webHidden/>
              </w:rPr>
            </w:r>
            <w:r w:rsidR="00095B09">
              <w:rPr>
                <w:noProof/>
                <w:webHidden/>
              </w:rPr>
              <w:fldChar w:fldCharType="separate"/>
            </w:r>
            <w:r w:rsidR="00095B09">
              <w:rPr>
                <w:noProof/>
                <w:webHidden/>
              </w:rPr>
              <w:t>2</w:t>
            </w:r>
            <w:r w:rsidR="00095B09">
              <w:rPr>
                <w:noProof/>
                <w:webHidden/>
              </w:rPr>
              <w:fldChar w:fldCharType="end"/>
            </w:r>
          </w:hyperlink>
        </w:p>
        <w:p w14:paraId="7C30BE18" w14:textId="77777777" w:rsidR="00095B09" w:rsidRDefault="0038003A">
          <w:pPr>
            <w:pStyle w:val="TOC1"/>
            <w:tabs>
              <w:tab w:val="left" w:pos="440"/>
              <w:tab w:val="right" w:leader="dot" w:pos="9019"/>
            </w:tabs>
            <w:rPr>
              <w:rFonts w:asciiTheme="minorHAnsi" w:eastAsiaTheme="minorEastAsia" w:hAnsiTheme="minorHAnsi" w:cstheme="minorBidi"/>
              <w:noProof/>
            </w:rPr>
          </w:pPr>
          <w:hyperlink w:anchor="_Toc42588619" w:history="1">
            <w:r w:rsidR="00095B09" w:rsidRPr="001E05F8">
              <w:rPr>
                <w:rStyle w:val="Hyperlink"/>
                <w:b/>
                <w:noProof/>
              </w:rPr>
              <w:t>1.</w:t>
            </w:r>
            <w:r w:rsidR="00095B09">
              <w:rPr>
                <w:rFonts w:asciiTheme="minorHAnsi" w:eastAsiaTheme="minorEastAsia" w:hAnsiTheme="minorHAnsi" w:cstheme="minorBidi"/>
                <w:noProof/>
              </w:rPr>
              <w:tab/>
            </w:r>
            <w:r w:rsidR="00095B09" w:rsidRPr="001E05F8">
              <w:rPr>
                <w:rStyle w:val="Hyperlink"/>
                <w:b/>
                <w:noProof/>
              </w:rPr>
              <w:t>Our social value priorities</w:t>
            </w:r>
            <w:r w:rsidR="00095B09">
              <w:rPr>
                <w:noProof/>
                <w:webHidden/>
              </w:rPr>
              <w:tab/>
            </w:r>
            <w:r w:rsidR="00095B09">
              <w:rPr>
                <w:noProof/>
                <w:webHidden/>
              </w:rPr>
              <w:fldChar w:fldCharType="begin"/>
            </w:r>
            <w:r w:rsidR="00095B09">
              <w:rPr>
                <w:noProof/>
                <w:webHidden/>
              </w:rPr>
              <w:instrText xml:space="preserve"> PAGEREF _Toc42588619 \h </w:instrText>
            </w:r>
            <w:r w:rsidR="00095B09">
              <w:rPr>
                <w:noProof/>
                <w:webHidden/>
              </w:rPr>
            </w:r>
            <w:r w:rsidR="00095B09">
              <w:rPr>
                <w:noProof/>
                <w:webHidden/>
              </w:rPr>
              <w:fldChar w:fldCharType="separate"/>
            </w:r>
            <w:r w:rsidR="00095B09">
              <w:rPr>
                <w:noProof/>
                <w:webHidden/>
              </w:rPr>
              <w:t>2</w:t>
            </w:r>
            <w:r w:rsidR="00095B09">
              <w:rPr>
                <w:noProof/>
                <w:webHidden/>
              </w:rPr>
              <w:fldChar w:fldCharType="end"/>
            </w:r>
          </w:hyperlink>
        </w:p>
        <w:p w14:paraId="74F998B3" w14:textId="77777777" w:rsidR="00095B09" w:rsidRDefault="0038003A">
          <w:pPr>
            <w:pStyle w:val="TOC1"/>
            <w:tabs>
              <w:tab w:val="right" w:leader="dot" w:pos="9019"/>
            </w:tabs>
            <w:rPr>
              <w:rFonts w:asciiTheme="minorHAnsi" w:eastAsiaTheme="minorEastAsia" w:hAnsiTheme="minorHAnsi" w:cstheme="minorBidi"/>
              <w:noProof/>
            </w:rPr>
          </w:pPr>
          <w:hyperlink w:anchor="_Toc42588620" w:history="1">
            <w:r w:rsidR="00095B09" w:rsidRPr="001E05F8">
              <w:rPr>
                <w:rStyle w:val="Hyperlink"/>
                <w:b/>
                <w:noProof/>
              </w:rPr>
              <w:t>1.1 Modern Slavery</w:t>
            </w:r>
            <w:r w:rsidR="00095B09">
              <w:rPr>
                <w:noProof/>
                <w:webHidden/>
              </w:rPr>
              <w:tab/>
            </w:r>
            <w:r w:rsidR="00095B09">
              <w:rPr>
                <w:noProof/>
                <w:webHidden/>
              </w:rPr>
              <w:fldChar w:fldCharType="begin"/>
            </w:r>
            <w:r w:rsidR="00095B09">
              <w:rPr>
                <w:noProof/>
                <w:webHidden/>
              </w:rPr>
              <w:instrText xml:space="preserve"> PAGEREF _Toc42588620 \h </w:instrText>
            </w:r>
            <w:r w:rsidR="00095B09">
              <w:rPr>
                <w:noProof/>
                <w:webHidden/>
              </w:rPr>
            </w:r>
            <w:r w:rsidR="00095B09">
              <w:rPr>
                <w:noProof/>
                <w:webHidden/>
              </w:rPr>
              <w:fldChar w:fldCharType="separate"/>
            </w:r>
            <w:r w:rsidR="00095B09">
              <w:rPr>
                <w:noProof/>
                <w:webHidden/>
              </w:rPr>
              <w:t>2</w:t>
            </w:r>
            <w:r w:rsidR="00095B09">
              <w:rPr>
                <w:noProof/>
                <w:webHidden/>
              </w:rPr>
              <w:fldChar w:fldCharType="end"/>
            </w:r>
          </w:hyperlink>
        </w:p>
        <w:p w14:paraId="26640024" w14:textId="77777777" w:rsidR="00095B09" w:rsidRDefault="0038003A">
          <w:pPr>
            <w:pStyle w:val="TOC1"/>
            <w:tabs>
              <w:tab w:val="right" w:leader="dot" w:pos="9019"/>
            </w:tabs>
            <w:rPr>
              <w:rFonts w:asciiTheme="minorHAnsi" w:eastAsiaTheme="minorEastAsia" w:hAnsiTheme="minorHAnsi" w:cstheme="minorBidi"/>
              <w:noProof/>
            </w:rPr>
          </w:pPr>
          <w:hyperlink w:anchor="_Toc42588621" w:history="1">
            <w:r w:rsidR="00095B09" w:rsidRPr="001E05F8">
              <w:rPr>
                <w:rStyle w:val="Hyperlink"/>
                <w:b/>
                <w:noProof/>
              </w:rPr>
              <w:t>1.2 Prompt Payment</w:t>
            </w:r>
            <w:r w:rsidR="00095B09">
              <w:rPr>
                <w:noProof/>
                <w:webHidden/>
              </w:rPr>
              <w:tab/>
            </w:r>
            <w:r w:rsidR="00095B09">
              <w:rPr>
                <w:noProof/>
                <w:webHidden/>
              </w:rPr>
              <w:fldChar w:fldCharType="begin"/>
            </w:r>
            <w:r w:rsidR="00095B09">
              <w:rPr>
                <w:noProof/>
                <w:webHidden/>
              </w:rPr>
              <w:instrText xml:space="preserve"> PAGEREF _Toc42588621 \h </w:instrText>
            </w:r>
            <w:r w:rsidR="00095B09">
              <w:rPr>
                <w:noProof/>
                <w:webHidden/>
              </w:rPr>
            </w:r>
            <w:r w:rsidR="00095B09">
              <w:rPr>
                <w:noProof/>
                <w:webHidden/>
              </w:rPr>
              <w:fldChar w:fldCharType="separate"/>
            </w:r>
            <w:r w:rsidR="00095B09">
              <w:rPr>
                <w:noProof/>
                <w:webHidden/>
              </w:rPr>
              <w:t>3</w:t>
            </w:r>
            <w:r w:rsidR="00095B09">
              <w:rPr>
                <w:noProof/>
                <w:webHidden/>
              </w:rPr>
              <w:fldChar w:fldCharType="end"/>
            </w:r>
          </w:hyperlink>
        </w:p>
        <w:p w14:paraId="65663B52" w14:textId="77777777" w:rsidR="00095B09" w:rsidRDefault="0038003A">
          <w:pPr>
            <w:pStyle w:val="TOC1"/>
            <w:tabs>
              <w:tab w:val="right" w:leader="dot" w:pos="9019"/>
            </w:tabs>
            <w:rPr>
              <w:rFonts w:asciiTheme="minorHAnsi" w:eastAsiaTheme="minorEastAsia" w:hAnsiTheme="minorHAnsi" w:cstheme="minorBidi"/>
              <w:noProof/>
            </w:rPr>
          </w:pPr>
          <w:hyperlink w:anchor="_Toc42588622" w:history="1">
            <w:r w:rsidR="00095B09" w:rsidRPr="001E05F8">
              <w:rPr>
                <w:rStyle w:val="Hyperlink"/>
                <w:b/>
                <w:noProof/>
              </w:rPr>
              <w:t>1.3 Energy Efficiency</w:t>
            </w:r>
            <w:r w:rsidR="00095B09">
              <w:rPr>
                <w:noProof/>
                <w:webHidden/>
              </w:rPr>
              <w:tab/>
            </w:r>
            <w:r w:rsidR="00095B09">
              <w:rPr>
                <w:noProof/>
                <w:webHidden/>
              </w:rPr>
              <w:fldChar w:fldCharType="begin"/>
            </w:r>
            <w:r w:rsidR="00095B09">
              <w:rPr>
                <w:noProof/>
                <w:webHidden/>
              </w:rPr>
              <w:instrText xml:space="preserve"> PAGEREF _Toc42588622 \h </w:instrText>
            </w:r>
            <w:r w:rsidR="00095B09">
              <w:rPr>
                <w:noProof/>
                <w:webHidden/>
              </w:rPr>
            </w:r>
            <w:r w:rsidR="00095B09">
              <w:rPr>
                <w:noProof/>
                <w:webHidden/>
              </w:rPr>
              <w:fldChar w:fldCharType="separate"/>
            </w:r>
            <w:r w:rsidR="00095B09">
              <w:rPr>
                <w:noProof/>
                <w:webHidden/>
              </w:rPr>
              <w:t>3</w:t>
            </w:r>
            <w:r w:rsidR="00095B09">
              <w:rPr>
                <w:noProof/>
                <w:webHidden/>
              </w:rPr>
              <w:fldChar w:fldCharType="end"/>
            </w:r>
          </w:hyperlink>
        </w:p>
        <w:p w14:paraId="1DFE9541" w14:textId="77777777" w:rsidR="00095B09" w:rsidRDefault="0038003A">
          <w:pPr>
            <w:pStyle w:val="TOC1"/>
            <w:tabs>
              <w:tab w:val="right" w:leader="dot" w:pos="9019"/>
            </w:tabs>
            <w:rPr>
              <w:rFonts w:asciiTheme="minorHAnsi" w:eastAsiaTheme="minorEastAsia" w:hAnsiTheme="minorHAnsi" w:cstheme="minorBidi"/>
              <w:noProof/>
            </w:rPr>
          </w:pPr>
          <w:hyperlink w:anchor="_Toc42588623" w:history="1">
            <w:r w:rsidR="00095B09" w:rsidRPr="001E05F8">
              <w:rPr>
                <w:rStyle w:val="Hyperlink"/>
                <w:b/>
                <w:noProof/>
              </w:rPr>
              <w:t>1.4 Waste Management</w:t>
            </w:r>
            <w:r w:rsidR="00095B09">
              <w:rPr>
                <w:noProof/>
                <w:webHidden/>
              </w:rPr>
              <w:tab/>
            </w:r>
            <w:r w:rsidR="00095B09">
              <w:rPr>
                <w:noProof/>
                <w:webHidden/>
              </w:rPr>
              <w:fldChar w:fldCharType="begin"/>
            </w:r>
            <w:r w:rsidR="00095B09">
              <w:rPr>
                <w:noProof/>
                <w:webHidden/>
              </w:rPr>
              <w:instrText xml:space="preserve"> PAGEREF _Toc42588623 \h </w:instrText>
            </w:r>
            <w:r w:rsidR="00095B09">
              <w:rPr>
                <w:noProof/>
                <w:webHidden/>
              </w:rPr>
            </w:r>
            <w:r w:rsidR="00095B09">
              <w:rPr>
                <w:noProof/>
                <w:webHidden/>
              </w:rPr>
              <w:fldChar w:fldCharType="separate"/>
            </w:r>
            <w:r w:rsidR="00095B09">
              <w:rPr>
                <w:noProof/>
                <w:webHidden/>
              </w:rPr>
              <w:t>3</w:t>
            </w:r>
            <w:r w:rsidR="00095B09">
              <w:rPr>
                <w:noProof/>
                <w:webHidden/>
              </w:rPr>
              <w:fldChar w:fldCharType="end"/>
            </w:r>
          </w:hyperlink>
        </w:p>
        <w:p w14:paraId="4AB097A2" w14:textId="77777777" w:rsidR="00095B09" w:rsidRDefault="0038003A">
          <w:pPr>
            <w:pStyle w:val="TOC1"/>
            <w:tabs>
              <w:tab w:val="right" w:leader="dot" w:pos="9019"/>
            </w:tabs>
            <w:rPr>
              <w:rFonts w:asciiTheme="minorHAnsi" w:eastAsiaTheme="minorEastAsia" w:hAnsiTheme="minorHAnsi" w:cstheme="minorBidi"/>
              <w:noProof/>
            </w:rPr>
          </w:pPr>
          <w:hyperlink w:anchor="_Toc42588624" w:history="1">
            <w:r w:rsidR="00095B09" w:rsidRPr="001E05F8">
              <w:rPr>
                <w:rStyle w:val="Hyperlink"/>
                <w:b/>
                <w:noProof/>
              </w:rPr>
              <w:t>2. General Requirements</w:t>
            </w:r>
            <w:r w:rsidR="00095B09">
              <w:rPr>
                <w:noProof/>
                <w:webHidden/>
              </w:rPr>
              <w:tab/>
            </w:r>
            <w:r w:rsidR="00095B09">
              <w:rPr>
                <w:noProof/>
                <w:webHidden/>
              </w:rPr>
              <w:fldChar w:fldCharType="begin"/>
            </w:r>
            <w:r w:rsidR="00095B09">
              <w:rPr>
                <w:noProof/>
                <w:webHidden/>
              </w:rPr>
              <w:instrText xml:space="preserve"> PAGEREF _Toc42588624 \h </w:instrText>
            </w:r>
            <w:r w:rsidR="00095B09">
              <w:rPr>
                <w:noProof/>
                <w:webHidden/>
              </w:rPr>
            </w:r>
            <w:r w:rsidR="00095B09">
              <w:rPr>
                <w:noProof/>
                <w:webHidden/>
              </w:rPr>
              <w:fldChar w:fldCharType="separate"/>
            </w:r>
            <w:r w:rsidR="00095B09">
              <w:rPr>
                <w:noProof/>
                <w:webHidden/>
              </w:rPr>
              <w:t>3</w:t>
            </w:r>
            <w:r w:rsidR="00095B09">
              <w:rPr>
                <w:noProof/>
                <w:webHidden/>
              </w:rPr>
              <w:fldChar w:fldCharType="end"/>
            </w:r>
          </w:hyperlink>
        </w:p>
        <w:p w14:paraId="73B60474" w14:textId="77777777" w:rsidR="00095B09" w:rsidRDefault="0038003A">
          <w:pPr>
            <w:pStyle w:val="TOC1"/>
            <w:tabs>
              <w:tab w:val="right" w:leader="dot" w:pos="9019"/>
            </w:tabs>
            <w:rPr>
              <w:rFonts w:asciiTheme="minorHAnsi" w:eastAsiaTheme="minorEastAsia" w:hAnsiTheme="minorHAnsi" w:cstheme="minorBidi"/>
              <w:noProof/>
            </w:rPr>
          </w:pPr>
          <w:hyperlink w:anchor="_Toc42588625" w:history="1">
            <w:r w:rsidR="00095B09" w:rsidRPr="001E05F8">
              <w:rPr>
                <w:rStyle w:val="Hyperlink"/>
                <w:b/>
                <w:noProof/>
              </w:rPr>
              <w:t>2.1 General</w:t>
            </w:r>
            <w:r w:rsidR="00095B09">
              <w:rPr>
                <w:noProof/>
                <w:webHidden/>
              </w:rPr>
              <w:tab/>
            </w:r>
            <w:r w:rsidR="00095B09">
              <w:rPr>
                <w:noProof/>
                <w:webHidden/>
              </w:rPr>
              <w:fldChar w:fldCharType="begin"/>
            </w:r>
            <w:r w:rsidR="00095B09">
              <w:rPr>
                <w:noProof/>
                <w:webHidden/>
              </w:rPr>
              <w:instrText xml:space="preserve"> PAGEREF _Toc42588625 \h </w:instrText>
            </w:r>
            <w:r w:rsidR="00095B09">
              <w:rPr>
                <w:noProof/>
                <w:webHidden/>
              </w:rPr>
            </w:r>
            <w:r w:rsidR="00095B09">
              <w:rPr>
                <w:noProof/>
                <w:webHidden/>
              </w:rPr>
              <w:fldChar w:fldCharType="separate"/>
            </w:r>
            <w:r w:rsidR="00095B09">
              <w:rPr>
                <w:noProof/>
                <w:webHidden/>
              </w:rPr>
              <w:t>4</w:t>
            </w:r>
            <w:r w:rsidR="00095B09">
              <w:rPr>
                <w:noProof/>
                <w:webHidden/>
              </w:rPr>
              <w:fldChar w:fldCharType="end"/>
            </w:r>
          </w:hyperlink>
        </w:p>
        <w:p w14:paraId="28D5D7D8" w14:textId="77777777" w:rsidR="00095B09" w:rsidRDefault="0038003A">
          <w:pPr>
            <w:pStyle w:val="TOC1"/>
            <w:tabs>
              <w:tab w:val="right" w:leader="dot" w:pos="9019"/>
            </w:tabs>
            <w:rPr>
              <w:rFonts w:asciiTheme="minorHAnsi" w:eastAsiaTheme="minorEastAsia" w:hAnsiTheme="minorHAnsi" w:cstheme="minorBidi"/>
              <w:noProof/>
            </w:rPr>
          </w:pPr>
          <w:hyperlink w:anchor="_Toc42588626" w:history="1">
            <w:r w:rsidR="00095B09" w:rsidRPr="001E05F8">
              <w:rPr>
                <w:rStyle w:val="Hyperlink"/>
                <w:b/>
                <w:noProof/>
              </w:rPr>
              <w:t>2.2 Pricing Transparency</w:t>
            </w:r>
            <w:r w:rsidR="00095B09">
              <w:rPr>
                <w:noProof/>
                <w:webHidden/>
              </w:rPr>
              <w:tab/>
            </w:r>
            <w:r w:rsidR="00095B09">
              <w:rPr>
                <w:noProof/>
                <w:webHidden/>
              </w:rPr>
              <w:fldChar w:fldCharType="begin"/>
            </w:r>
            <w:r w:rsidR="00095B09">
              <w:rPr>
                <w:noProof/>
                <w:webHidden/>
              </w:rPr>
              <w:instrText xml:space="preserve"> PAGEREF _Toc42588626 \h </w:instrText>
            </w:r>
            <w:r w:rsidR="00095B09">
              <w:rPr>
                <w:noProof/>
                <w:webHidden/>
              </w:rPr>
            </w:r>
            <w:r w:rsidR="00095B09">
              <w:rPr>
                <w:noProof/>
                <w:webHidden/>
              </w:rPr>
              <w:fldChar w:fldCharType="separate"/>
            </w:r>
            <w:r w:rsidR="00095B09">
              <w:rPr>
                <w:noProof/>
                <w:webHidden/>
              </w:rPr>
              <w:t>4</w:t>
            </w:r>
            <w:r w:rsidR="00095B09">
              <w:rPr>
                <w:noProof/>
                <w:webHidden/>
              </w:rPr>
              <w:fldChar w:fldCharType="end"/>
            </w:r>
          </w:hyperlink>
        </w:p>
        <w:p w14:paraId="2EC63D21" w14:textId="77777777" w:rsidR="00095B09" w:rsidRDefault="0038003A">
          <w:pPr>
            <w:pStyle w:val="TOC1"/>
            <w:tabs>
              <w:tab w:val="right" w:leader="dot" w:pos="9019"/>
            </w:tabs>
            <w:rPr>
              <w:rFonts w:asciiTheme="minorHAnsi" w:eastAsiaTheme="minorEastAsia" w:hAnsiTheme="minorHAnsi" w:cstheme="minorBidi"/>
              <w:noProof/>
            </w:rPr>
          </w:pPr>
          <w:hyperlink w:anchor="_Toc42588627" w:history="1">
            <w:r w:rsidR="00095B09" w:rsidRPr="001E05F8">
              <w:rPr>
                <w:rStyle w:val="Hyperlink"/>
                <w:b/>
                <w:noProof/>
              </w:rPr>
              <w:t>2.3 Continuous Improvement – Best Practice/Standards</w:t>
            </w:r>
            <w:r w:rsidR="00095B09">
              <w:rPr>
                <w:noProof/>
                <w:webHidden/>
              </w:rPr>
              <w:tab/>
            </w:r>
            <w:r w:rsidR="00095B09">
              <w:rPr>
                <w:noProof/>
                <w:webHidden/>
              </w:rPr>
              <w:fldChar w:fldCharType="begin"/>
            </w:r>
            <w:r w:rsidR="00095B09">
              <w:rPr>
                <w:noProof/>
                <w:webHidden/>
              </w:rPr>
              <w:instrText xml:space="preserve"> PAGEREF _Toc42588627 \h </w:instrText>
            </w:r>
            <w:r w:rsidR="00095B09">
              <w:rPr>
                <w:noProof/>
                <w:webHidden/>
              </w:rPr>
            </w:r>
            <w:r w:rsidR="00095B09">
              <w:rPr>
                <w:noProof/>
                <w:webHidden/>
              </w:rPr>
              <w:fldChar w:fldCharType="separate"/>
            </w:r>
            <w:r w:rsidR="00095B09">
              <w:rPr>
                <w:noProof/>
                <w:webHidden/>
              </w:rPr>
              <w:t>4</w:t>
            </w:r>
            <w:r w:rsidR="00095B09">
              <w:rPr>
                <w:noProof/>
                <w:webHidden/>
              </w:rPr>
              <w:fldChar w:fldCharType="end"/>
            </w:r>
          </w:hyperlink>
        </w:p>
        <w:p w14:paraId="0623F5A8" w14:textId="77777777" w:rsidR="00095B09" w:rsidRDefault="0038003A">
          <w:pPr>
            <w:pStyle w:val="TOC1"/>
            <w:tabs>
              <w:tab w:val="right" w:leader="dot" w:pos="9019"/>
            </w:tabs>
            <w:rPr>
              <w:rFonts w:asciiTheme="minorHAnsi" w:eastAsiaTheme="minorEastAsia" w:hAnsiTheme="minorHAnsi" w:cstheme="minorBidi"/>
              <w:noProof/>
            </w:rPr>
          </w:pPr>
          <w:hyperlink w:anchor="_Toc42588628" w:history="1">
            <w:r w:rsidR="00095B09" w:rsidRPr="001E05F8">
              <w:rPr>
                <w:rStyle w:val="Hyperlink"/>
                <w:b/>
                <w:noProof/>
              </w:rPr>
              <w:t>2.4 Customer Service</w:t>
            </w:r>
            <w:r w:rsidR="00095B09">
              <w:rPr>
                <w:noProof/>
                <w:webHidden/>
              </w:rPr>
              <w:tab/>
            </w:r>
            <w:r w:rsidR="00095B09">
              <w:rPr>
                <w:noProof/>
                <w:webHidden/>
              </w:rPr>
              <w:fldChar w:fldCharType="begin"/>
            </w:r>
            <w:r w:rsidR="00095B09">
              <w:rPr>
                <w:noProof/>
                <w:webHidden/>
              </w:rPr>
              <w:instrText xml:space="preserve"> PAGEREF _Toc42588628 \h </w:instrText>
            </w:r>
            <w:r w:rsidR="00095B09">
              <w:rPr>
                <w:noProof/>
                <w:webHidden/>
              </w:rPr>
            </w:r>
            <w:r w:rsidR="00095B09">
              <w:rPr>
                <w:noProof/>
                <w:webHidden/>
              </w:rPr>
              <w:fldChar w:fldCharType="separate"/>
            </w:r>
            <w:r w:rsidR="00095B09">
              <w:rPr>
                <w:noProof/>
                <w:webHidden/>
              </w:rPr>
              <w:t>4</w:t>
            </w:r>
            <w:r w:rsidR="00095B09">
              <w:rPr>
                <w:noProof/>
                <w:webHidden/>
              </w:rPr>
              <w:fldChar w:fldCharType="end"/>
            </w:r>
          </w:hyperlink>
        </w:p>
        <w:p w14:paraId="2C93D944" w14:textId="77777777" w:rsidR="00095B09" w:rsidRDefault="0038003A">
          <w:pPr>
            <w:pStyle w:val="TOC1"/>
            <w:tabs>
              <w:tab w:val="right" w:leader="dot" w:pos="9019"/>
            </w:tabs>
            <w:rPr>
              <w:rFonts w:asciiTheme="minorHAnsi" w:eastAsiaTheme="minorEastAsia" w:hAnsiTheme="minorHAnsi" w:cstheme="minorBidi"/>
              <w:noProof/>
            </w:rPr>
          </w:pPr>
          <w:hyperlink w:anchor="_Toc42588629" w:history="1">
            <w:r w:rsidR="00095B09" w:rsidRPr="001E05F8">
              <w:rPr>
                <w:rStyle w:val="Hyperlink"/>
                <w:b/>
                <w:noProof/>
              </w:rPr>
              <w:t>2.5 Quality</w:t>
            </w:r>
            <w:r w:rsidR="00095B09">
              <w:rPr>
                <w:noProof/>
                <w:webHidden/>
              </w:rPr>
              <w:tab/>
            </w:r>
            <w:r w:rsidR="00095B09">
              <w:rPr>
                <w:noProof/>
                <w:webHidden/>
              </w:rPr>
              <w:fldChar w:fldCharType="begin"/>
            </w:r>
            <w:r w:rsidR="00095B09">
              <w:rPr>
                <w:noProof/>
                <w:webHidden/>
              </w:rPr>
              <w:instrText xml:space="preserve"> PAGEREF _Toc42588629 \h </w:instrText>
            </w:r>
            <w:r w:rsidR="00095B09">
              <w:rPr>
                <w:noProof/>
                <w:webHidden/>
              </w:rPr>
            </w:r>
            <w:r w:rsidR="00095B09">
              <w:rPr>
                <w:noProof/>
                <w:webHidden/>
              </w:rPr>
              <w:fldChar w:fldCharType="separate"/>
            </w:r>
            <w:r w:rsidR="00095B09">
              <w:rPr>
                <w:noProof/>
                <w:webHidden/>
              </w:rPr>
              <w:t>5</w:t>
            </w:r>
            <w:r w:rsidR="00095B09">
              <w:rPr>
                <w:noProof/>
                <w:webHidden/>
              </w:rPr>
              <w:fldChar w:fldCharType="end"/>
            </w:r>
          </w:hyperlink>
        </w:p>
        <w:p w14:paraId="3F02D820" w14:textId="77777777" w:rsidR="00095B09" w:rsidRDefault="0038003A">
          <w:pPr>
            <w:pStyle w:val="TOC1"/>
            <w:tabs>
              <w:tab w:val="right" w:leader="dot" w:pos="9019"/>
            </w:tabs>
            <w:rPr>
              <w:rFonts w:asciiTheme="minorHAnsi" w:eastAsiaTheme="minorEastAsia" w:hAnsiTheme="minorHAnsi" w:cstheme="minorBidi"/>
              <w:noProof/>
            </w:rPr>
          </w:pPr>
          <w:hyperlink w:anchor="_Toc42588630" w:history="1">
            <w:r w:rsidR="00095B09" w:rsidRPr="001E05F8">
              <w:rPr>
                <w:rStyle w:val="Hyperlink"/>
                <w:b/>
                <w:noProof/>
              </w:rPr>
              <w:t>2.6 Catalogue Requirements</w:t>
            </w:r>
            <w:r w:rsidR="00095B09" w:rsidRPr="001E05F8">
              <w:rPr>
                <w:rStyle w:val="Hyperlink"/>
                <w:noProof/>
              </w:rPr>
              <w:t>:</w:t>
            </w:r>
            <w:r w:rsidR="00095B09">
              <w:rPr>
                <w:noProof/>
                <w:webHidden/>
              </w:rPr>
              <w:tab/>
            </w:r>
            <w:r w:rsidR="00095B09">
              <w:rPr>
                <w:noProof/>
                <w:webHidden/>
              </w:rPr>
              <w:fldChar w:fldCharType="begin"/>
            </w:r>
            <w:r w:rsidR="00095B09">
              <w:rPr>
                <w:noProof/>
                <w:webHidden/>
              </w:rPr>
              <w:instrText xml:space="preserve"> PAGEREF _Toc42588630 \h </w:instrText>
            </w:r>
            <w:r w:rsidR="00095B09">
              <w:rPr>
                <w:noProof/>
                <w:webHidden/>
              </w:rPr>
            </w:r>
            <w:r w:rsidR="00095B09">
              <w:rPr>
                <w:noProof/>
                <w:webHidden/>
              </w:rPr>
              <w:fldChar w:fldCharType="separate"/>
            </w:r>
            <w:r w:rsidR="00095B09">
              <w:rPr>
                <w:noProof/>
                <w:webHidden/>
              </w:rPr>
              <w:t>5</w:t>
            </w:r>
            <w:r w:rsidR="00095B09">
              <w:rPr>
                <w:noProof/>
                <w:webHidden/>
              </w:rPr>
              <w:fldChar w:fldCharType="end"/>
            </w:r>
          </w:hyperlink>
        </w:p>
        <w:p w14:paraId="6B2A15F8" w14:textId="77777777" w:rsidR="00095B09" w:rsidRDefault="0038003A">
          <w:pPr>
            <w:pStyle w:val="TOC1"/>
            <w:tabs>
              <w:tab w:val="right" w:leader="dot" w:pos="9019"/>
            </w:tabs>
            <w:rPr>
              <w:rFonts w:asciiTheme="minorHAnsi" w:eastAsiaTheme="minorEastAsia" w:hAnsiTheme="minorHAnsi" w:cstheme="minorBidi"/>
              <w:noProof/>
            </w:rPr>
          </w:pPr>
          <w:hyperlink w:anchor="_Toc42588631" w:history="1">
            <w:r w:rsidR="00095B09" w:rsidRPr="00095B09">
              <w:rPr>
                <w:rStyle w:val="Hyperlink"/>
                <w:b/>
                <w:noProof/>
              </w:rPr>
              <w:t>Annex 1</w:t>
            </w:r>
            <w:r w:rsidR="00095B09">
              <w:rPr>
                <w:noProof/>
                <w:webHidden/>
              </w:rPr>
              <w:tab/>
            </w:r>
            <w:r w:rsidR="00095B09">
              <w:rPr>
                <w:noProof/>
                <w:webHidden/>
              </w:rPr>
              <w:fldChar w:fldCharType="begin"/>
            </w:r>
            <w:r w:rsidR="00095B09">
              <w:rPr>
                <w:noProof/>
                <w:webHidden/>
              </w:rPr>
              <w:instrText xml:space="preserve"> PAGEREF _Toc42588631 \h </w:instrText>
            </w:r>
            <w:r w:rsidR="00095B09">
              <w:rPr>
                <w:noProof/>
                <w:webHidden/>
              </w:rPr>
            </w:r>
            <w:r w:rsidR="00095B09">
              <w:rPr>
                <w:noProof/>
                <w:webHidden/>
              </w:rPr>
              <w:fldChar w:fldCharType="separate"/>
            </w:r>
            <w:r w:rsidR="00095B09">
              <w:rPr>
                <w:noProof/>
                <w:webHidden/>
              </w:rPr>
              <w:t>7</w:t>
            </w:r>
            <w:r w:rsidR="00095B09">
              <w:rPr>
                <w:noProof/>
                <w:webHidden/>
              </w:rPr>
              <w:fldChar w:fldCharType="end"/>
            </w:r>
          </w:hyperlink>
        </w:p>
        <w:p w14:paraId="277305D7" w14:textId="4899BCD6" w:rsidR="00095B09" w:rsidRDefault="00095B09">
          <w:r>
            <w:rPr>
              <w:b/>
              <w:bCs/>
              <w:noProof/>
            </w:rPr>
            <w:fldChar w:fldCharType="end"/>
          </w:r>
        </w:p>
      </w:sdtContent>
    </w:sdt>
    <w:p w14:paraId="15812D60" w14:textId="77777777" w:rsidR="001B56FE" w:rsidRDefault="001B56FE">
      <w:pPr>
        <w:rPr>
          <w:b/>
        </w:rPr>
      </w:pPr>
    </w:p>
    <w:p w14:paraId="17B6895B" w14:textId="77777777" w:rsidR="001B56FE" w:rsidRDefault="001B56FE">
      <w:pPr>
        <w:rPr>
          <w:b/>
        </w:rPr>
      </w:pPr>
    </w:p>
    <w:p w14:paraId="00000002" w14:textId="77777777" w:rsidR="00DF0C77" w:rsidRPr="00F311B4" w:rsidRDefault="00CD2062">
      <w:pPr>
        <w:rPr>
          <w:sz w:val="24"/>
        </w:rPr>
      </w:pPr>
      <w:r w:rsidRPr="00F311B4">
        <w:rPr>
          <w:sz w:val="24"/>
        </w:rPr>
        <w:t xml:space="preserve">This Schedule sets out what we and our Buyers want. </w:t>
      </w:r>
    </w:p>
    <w:p w14:paraId="00000003" w14:textId="77777777" w:rsidR="00DF0C77" w:rsidRPr="00F311B4" w:rsidRDefault="00CD2062">
      <w:pPr>
        <w:rPr>
          <w:sz w:val="24"/>
        </w:rPr>
      </w:pPr>
      <w:r w:rsidRPr="00F311B4">
        <w:rPr>
          <w:sz w:val="24"/>
        </w:rPr>
        <w:t xml:space="preserve">The Supplier must only provide the Deliverables within scope of this framework. </w:t>
      </w:r>
    </w:p>
    <w:p w14:paraId="00000004" w14:textId="77777777" w:rsidR="00DF0C77" w:rsidRPr="00F311B4" w:rsidRDefault="00CD2062">
      <w:pPr>
        <w:rPr>
          <w:sz w:val="24"/>
        </w:rPr>
      </w:pPr>
      <w:r w:rsidRPr="00F311B4">
        <w:rPr>
          <w:sz w:val="24"/>
        </w:rPr>
        <w:t>For all Deliverables, the Supplier must help Buyers comply with any specific applicable Standards of the Buyer.</w:t>
      </w:r>
    </w:p>
    <w:p w14:paraId="00000005" w14:textId="77777777" w:rsidR="00DF0C77" w:rsidRDefault="00DF0C77"/>
    <w:p w14:paraId="081396B3" w14:textId="77777777" w:rsidR="00F311B4" w:rsidRDefault="00F311B4"/>
    <w:p w14:paraId="00000006" w14:textId="2488652E" w:rsidR="00DF0C77" w:rsidRPr="00370C70" w:rsidRDefault="00CD2062" w:rsidP="001B56FE">
      <w:pPr>
        <w:pStyle w:val="Heading1"/>
        <w:rPr>
          <w:sz w:val="28"/>
          <w:szCs w:val="28"/>
        </w:rPr>
      </w:pPr>
      <w:bookmarkStart w:id="0" w:name="_Toc42588617"/>
      <w:r w:rsidRPr="00370C70">
        <w:rPr>
          <w:b/>
          <w:sz w:val="28"/>
          <w:szCs w:val="28"/>
        </w:rPr>
        <w:t>Scope:</w:t>
      </w:r>
      <w:bookmarkEnd w:id="0"/>
      <w:r w:rsidRPr="00370C70">
        <w:rPr>
          <w:sz w:val="28"/>
          <w:szCs w:val="28"/>
        </w:rPr>
        <w:t xml:space="preserve"> </w:t>
      </w:r>
    </w:p>
    <w:p w14:paraId="00000007" w14:textId="77777777" w:rsidR="00DF0C77" w:rsidRPr="00F311B4" w:rsidRDefault="00CD2062">
      <w:pPr>
        <w:rPr>
          <w:sz w:val="24"/>
        </w:rPr>
      </w:pPr>
      <w:r w:rsidRPr="00F311B4">
        <w:rPr>
          <w:sz w:val="24"/>
        </w:rPr>
        <w:t xml:space="preserve">This Framework will enable suppliers to provide Buyers with a range of commoditised technology hardware and software products via an online catalogue. </w:t>
      </w:r>
    </w:p>
    <w:p w14:paraId="00000008" w14:textId="77777777" w:rsidR="00DF0C77" w:rsidRPr="00F311B4" w:rsidRDefault="00CD2062">
      <w:pPr>
        <w:rPr>
          <w:sz w:val="24"/>
        </w:rPr>
      </w:pPr>
      <w:r w:rsidRPr="00F311B4">
        <w:rPr>
          <w:sz w:val="24"/>
        </w:rPr>
        <w:t>Products should be standard and not built to order.</w:t>
      </w:r>
    </w:p>
    <w:p w14:paraId="00000009" w14:textId="77777777" w:rsidR="00DF0C77" w:rsidRPr="00F311B4" w:rsidRDefault="00CD2062">
      <w:pPr>
        <w:rPr>
          <w:sz w:val="24"/>
        </w:rPr>
      </w:pPr>
      <w:r w:rsidRPr="00F311B4">
        <w:rPr>
          <w:sz w:val="24"/>
        </w:rPr>
        <w:t>Products should be sold with a warranty, the minimum acceptable warranty is 90 days.</w:t>
      </w:r>
    </w:p>
    <w:p w14:paraId="0000000A" w14:textId="77777777" w:rsidR="00DF0C77" w:rsidRPr="00F311B4" w:rsidRDefault="00CD2062">
      <w:pPr>
        <w:rPr>
          <w:sz w:val="24"/>
        </w:rPr>
      </w:pPr>
      <w:r w:rsidRPr="00F311B4">
        <w:rPr>
          <w:sz w:val="24"/>
        </w:rPr>
        <w:t>Products include but are not limited to;</w:t>
      </w:r>
    </w:p>
    <w:p w14:paraId="0000000B" w14:textId="77777777" w:rsidR="00DF0C77" w:rsidRPr="00F311B4" w:rsidRDefault="00CD2062">
      <w:pPr>
        <w:numPr>
          <w:ilvl w:val="0"/>
          <w:numId w:val="1"/>
        </w:numPr>
        <w:rPr>
          <w:sz w:val="24"/>
        </w:rPr>
      </w:pPr>
      <w:r w:rsidRPr="00F311B4">
        <w:rPr>
          <w:sz w:val="24"/>
        </w:rPr>
        <w:t xml:space="preserve">Laptops, </w:t>
      </w:r>
    </w:p>
    <w:p w14:paraId="0000000C" w14:textId="77777777" w:rsidR="00DF0C77" w:rsidRPr="00F311B4" w:rsidRDefault="00CD2062">
      <w:pPr>
        <w:numPr>
          <w:ilvl w:val="0"/>
          <w:numId w:val="1"/>
        </w:numPr>
        <w:rPr>
          <w:sz w:val="24"/>
        </w:rPr>
      </w:pPr>
      <w:r w:rsidRPr="00F311B4">
        <w:rPr>
          <w:sz w:val="24"/>
        </w:rPr>
        <w:t xml:space="preserve">Desktops, </w:t>
      </w:r>
    </w:p>
    <w:p w14:paraId="0000000D" w14:textId="77777777" w:rsidR="00DF0C77" w:rsidRPr="00F311B4" w:rsidRDefault="00CD2062">
      <w:pPr>
        <w:numPr>
          <w:ilvl w:val="0"/>
          <w:numId w:val="1"/>
        </w:numPr>
        <w:rPr>
          <w:sz w:val="24"/>
        </w:rPr>
      </w:pPr>
      <w:r w:rsidRPr="00F311B4">
        <w:rPr>
          <w:sz w:val="24"/>
        </w:rPr>
        <w:lastRenderedPageBreak/>
        <w:t>Screens and other related peripherals.</w:t>
      </w:r>
    </w:p>
    <w:p w14:paraId="0000000E" w14:textId="77777777" w:rsidR="00DF0C77" w:rsidRPr="00F311B4" w:rsidRDefault="00CD2062">
      <w:pPr>
        <w:numPr>
          <w:ilvl w:val="0"/>
          <w:numId w:val="1"/>
        </w:numPr>
        <w:rPr>
          <w:sz w:val="24"/>
        </w:rPr>
      </w:pPr>
      <w:r w:rsidRPr="00F311B4">
        <w:rPr>
          <w:sz w:val="24"/>
        </w:rPr>
        <w:t xml:space="preserve">Servers, </w:t>
      </w:r>
    </w:p>
    <w:p w14:paraId="0000000F" w14:textId="77777777" w:rsidR="00DF0C77" w:rsidRPr="00F311B4" w:rsidRDefault="00CD2062">
      <w:pPr>
        <w:numPr>
          <w:ilvl w:val="0"/>
          <w:numId w:val="1"/>
        </w:numPr>
        <w:rPr>
          <w:sz w:val="24"/>
        </w:rPr>
      </w:pPr>
      <w:r w:rsidRPr="00F311B4">
        <w:rPr>
          <w:sz w:val="24"/>
        </w:rPr>
        <w:t xml:space="preserve">Switches, </w:t>
      </w:r>
    </w:p>
    <w:p w14:paraId="00000010" w14:textId="77777777" w:rsidR="00DF0C77" w:rsidRPr="00F311B4" w:rsidRDefault="00CD2062">
      <w:pPr>
        <w:numPr>
          <w:ilvl w:val="0"/>
          <w:numId w:val="1"/>
        </w:numPr>
        <w:rPr>
          <w:sz w:val="24"/>
        </w:rPr>
      </w:pPr>
      <w:r w:rsidRPr="00F311B4">
        <w:rPr>
          <w:sz w:val="24"/>
        </w:rPr>
        <w:t xml:space="preserve">Routers, </w:t>
      </w:r>
    </w:p>
    <w:p w14:paraId="00000011" w14:textId="77777777" w:rsidR="00DF0C77" w:rsidRPr="00F311B4" w:rsidRDefault="00CD2062">
      <w:pPr>
        <w:numPr>
          <w:ilvl w:val="0"/>
          <w:numId w:val="1"/>
        </w:numPr>
        <w:rPr>
          <w:sz w:val="24"/>
        </w:rPr>
      </w:pPr>
      <w:r w:rsidRPr="00F311B4">
        <w:rPr>
          <w:sz w:val="24"/>
        </w:rPr>
        <w:t>Cables and other related infrastructure hardware</w:t>
      </w:r>
    </w:p>
    <w:p w14:paraId="00000012" w14:textId="77777777" w:rsidR="00DF0C77" w:rsidRPr="00F311B4" w:rsidRDefault="00CD2062">
      <w:pPr>
        <w:numPr>
          <w:ilvl w:val="0"/>
          <w:numId w:val="1"/>
        </w:numPr>
        <w:rPr>
          <w:sz w:val="24"/>
        </w:rPr>
      </w:pPr>
      <w:r w:rsidRPr="00F311B4">
        <w:rPr>
          <w:sz w:val="24"/>
        </w:rPr>
        <w:t xml:space="preserve">Mobile phones, </w:t>
      </w:r>
    </w:p>
    <w:p w14:paraId="00000013" w14:textId="77777777" w:rsidR="00DF0C77" w:rsidRPr="00F311B4" w:rsidRDefault="00CD2062">
      <w:pPr>
        <w:numPr>
          <w:ilvl w:val="0"/>
          <w:numId w:val="1"/>
        </w:numPr>
        <w:rPr>
          <w:sz w:val="24"/>
        </w:rPr>
      </w:pPr>
      <w:r w:rsidRPr="00F311B4">
        <w:rPr>
          <w:sz w:val="24"/>
        </w:rPr>
        <w:t>Tablets and related hardware.</w:t>
      </w:r>
    </w:p>
    <w:p w14:paraId="00000014" w14:textId="149ECFAB" w:rsidR="00DF0C77" w:rsidRPr="00F311B4" w:rsidRDefault="00CD2062">
      <w:pPr>
        <w:numPr>
          <w:ilvl w:val="0"/>
          <w:numId w:val="1"/>
        </w:numPr>
        <w:rPr>
          <w:sz w:val="24"/>
        </w:rPr>
      </w:pPr>
      <w:r w:rsidRPr="00F311B4">
        <w:rPr>
          <w:sz w:val="24"/>
        </w:rPr>
        <w:t xml:space="preserve">Audio visual hardware such as telephone handsets, screens and conference calls </w:t>
      </w:r>
      <w:r w:rsidR="00F311B4" w:rsidRPr="00F311B4">
        <w:rPr>
          <w:sz w:val="24"/>
        </w:rPr>
        <w:t>equipment</w:t>
      </w:r>
    </w:p>
    <w:p w14:paraId="00000015" w14:textId="77777777" w:rsidR="00DF0C77" w:rsidRPr="00F311B4" w:rsidRDefault="00CD2062">
      <w:pPr>
        <w:numPr>
          <w:ilvl w:val="0"/>
          <w:numId w:val="1"/>
        </w:numPr>
        <w:rPr>
          <w:sz w:val="24"/>
        </w:rPr>
      </w:pPr>
      <w:r w:rsidRPr="00F311B4">
        <w:rPr>
          <w:sz w:val="24"/>
        </w:rPr>
        <w:t xml:space="preserve">Commercial off the shelf Software (COTS Software), Open Source Software, software licenses </w:t>
      </w:r>
    </w:p>
    <w:p w14:paraId="00000016" w14:textId="77777777" w:rsidR="00DF0C77" w:rsidRDefault="00CD2062">
      <w:pPr>
        <w:numPr>
          <w:ilvl w:val="0"/>
          <w:numId w:val="1"/>
        </w:numPr>
      </w:pPr>
      <w:r w:rsidRPr="00F311B4">
        <w:rPr>
          <w:sz w:val="24"/>
        </w:rPr>
        <w:t>Related commodisable services, including support packs, extended warranties, delivery and imaging</w:t>
      </w:r>
    </w:p>
    <w:p w14:paraId="00000017" w14:textId="77777777" w:rsidR="00DF0C77" w:rsidRDefault="00DF0C77">
      <w:pPr>
        <w:rPr>
          <w:b/>
        </w:rPr>
      </w:pPr>
    </w:p>
    <w:p w14:paraId="00000018" w14:textId="77777777" w:rsidR="00DF0C77" w:rsidRPr="00370C70" w:rsidRDefault="00CD2062" w:rsidP="001B56FE">
      <w:pPr>
        <w:pStyle w:val="Heading1"/>
        <w:rPr>
          <w:sz w:val="32"/>
        </w:rPr>
      </w:pPr>
      <w:bookmarkStart w:id="1" w:name="_Toc42588618"/>
      <w:r w:rsidRPr="00370C70">
        <w:rPr>
          <w:b/>
          <w:sz w:val="28"/>
        </w:rPr>
        <w:t>Exclusions:</w:t>
      </w:r>
      <w:bookmarkEnd w:id="1"/>
      <w:r w:rsidRPr="00370C70">
        <w:rPr>
          <w:sz w:val="32"/>
        </w:rPr>
        <w:t xml:space="preserve"> </w:t>
      </w:r>
    </w:p>
    <w:p w14:paraId="00000019" w14:textId="77777777" w:rsidR="00DF0C77" w:rsidRPr="00F311B4" w:rsidRDefault="00CD2062">
      <w:pPr>
        <w:rPr>
          <w:sz w:val="24"/>
        </w:rPr>
      </w:pPr>
      <w:r w:rsidRPr="00F311B4">
        <w:rPr>
          <w:sz w:val="24"/>
        </w:rPr>
        <w:t xml:space="preserve">The following services and goods are outside the scope of this Lot: </w:t>
      </w:r>
    </w:p>
    <w:p w14:paraId="0000001A" w14:textId="77777777" w:rsidR="00DF0C77" w:rsidRPr="00F311B4" w:rsidRDefault="00CD2062">
      <w:pPr>
        <w:rPr>
          <w:sz w:val="24"/>
        </w:rPr>
      </w:pPr>
      <w:r w:rsidRPr="00F311B4">
        <w:rPr>
          <w:sz w:val="24"/>
        </w:rPr>
        <w:t xml:space="preserve">(a) IT managed services – Full outsourced managed non-commoditised Services are (with the exception of commoditised services, e.g. support packs and extended warranties) not within scope of this Lot. </w:t>
      </w:r>
    </w:p>
    <w:p w14:paraId="0000001B" w14:textId="77777777" w:rsidR="00DF0C77" w:rsidRPr="00F311B4" w:rsidRDefault="00CD2062">
      <w:pPr>
        <w:rPr>
          <w:sz w:val="24"/>
        </w:rPr>
      </w:pPr>
      <w:r w:rsidRPr="00F311B4">
        <w:rPr>
          <w:sz w:val="24"/>
        </w:rPr>
        <w:t xml:space="preserve">(b) Chargeable consultancy (for example but not limited to stand alone consultancy, or pre-sales design) </w:t>
      </w:r>
    </w:p>
    <w:p w14:paraId="0000001C" w14:textId="77777777" w:rsidR="00DF0C77" w:rsidRPr="00F311B4" w:rsidRDefault="00CD2062">
      <w:pPr>
        <w:rPr>
          <w:sz w:val="24"/>
        </w:rPr>
      </w:pPr>
      <w:r w:rsidRPr="00F311B4">
        <w:rPr>
          <w:sz w:val="24"/>
        </w:rPr>
        <w:t>(c) Non COTS Software</w:t>
      </w:r>
    </w:p>
    <w:p w14:paraId="0000001D" w14:textId="77777777" w:rsidR="00DF0C77" w:rsidRDefault="00DF0C77"/>
    <w:p w14:paraId="0000001E" w14:textId="77777777" w:rsidR="00DF0C77" w:rsidRDefault="00DF0C77"/>
    <w:p w14:paraId="0000001F" w14:textId="317485F4" w:rsidR="00DF0C77" w:rsidRPr="00370C70" w:rsidRDefault="00CD2062" w:rsidP="001B56FE">
      <w:pPr>
        <w:pStyle w:val="Heading1"/>
        <w:numPr>
          <w:ilvl w:val="0"/>
          <w:numId w:val="4"/>
        </w:numPr>
        <w:rPr>
          <w:b/>
          <w:sz w:val="28"/>
          <w:szCs w:val="28"/>
        </w:rPr>
      </w:pPr>
      <w:bookmarkStart w:id="2" w:name="_Toc42588619"/>
      <w:r w:rsidRPr="00370C70">
        <w:rPr>
          <w:b/>
          <w:sz w:val="28"/>
          <w:szCs w:val="28"/>
        </w:rPr>
        <w:t>Our social value priorities</w:t>
      </w:r>
      <w:bookmarkEnd w:id="2"/>
      <w:r w:rsidRPr="00370C70">
        <w:rPr>
          <w:b/>
          <w:sz w:val="28"/>
          <w:szCs w:val="28"/>
        </w:rPr>
        <w:t xml:space="preserve"> </w:t>
      </w:r>
    </w:p>
    <w:p w14:paraId="00000020" w14:textId="77777777" w:rsidR="00DF0C77" w:rsidRDefault="00DF0C77"/>
    <w:p w14:paraId="00000021" w14:textId="77777777" w:rsidR="00DF0C77" w:rsidRPr="00F311B4" w:rsidRDefault="00CD2062">
      <w:pPr>
        <w:rPr>
          <w:sz w:val="24"/>
        </w:rPr>
      </w:pPr>
      <w:r w:rsidRPr="00F311B4">
        <w:rPr>
          <w:sz w:val="24"/>
        </w:rPr>
        <w:t xml:space="preserve">These are our priorities in this procurement:  </w:t>
      </w:r>
    </w:p>
    <w:p w14:paraId="00000022" w14:textId="77777777" w:rsidR="00DF0C77" w:rsidRPr="00F311B4" w:rsidRDefault="00CD2062">
      <w:pPr>
        <w:numPr>
          <w:ilvl w:val="0"/>
          <w:numId w:val="2"/>
        </w:numPr>
        <w:rPr>
          <w:sz w:val="24"/>
        </w:rPr>
      </w:pPr>
      <w:r w:rsidRPr="00F311B4">
        <w:rPr>
          <w:sz w:val="24"/>
        </w:rPr>
        <w:t>Modern Slavery</w:t>
      </w:r>
    </w:p>
    <w:p w14:paraId="00000023" w14:textId="77777777" w:rsidR="00DF0C77" w:rsidRPr="00F311B4" w:rsidRDefault="00CD2062">
      <w:pPr>
        <w:numPr>
          <w:ilvl w:val="0"/>
          <w:numId w:val="2"/>
        </w:numPr>
        <w:rPr>
          <w:sz w:val="24"/>
        </w:rPr>
      </w:pPr>
      <w:r w:rsidRPr="00F311B4">
        <w:rPr>
          <w:sz w:val="24"/>
        </w:rPr>
        <w:t xml:space="preserve">Prompt payment </w:t>
      </w:r>
    </w:p>
    <w:p w14:paraId="00000024" w14:textId="77777777" w:rsidR="00DF0C77" w:rsidRPr="00F311B4" w:rsidRDefault="00CD2062">
      <w:pPr>
        <w:numPr>
          <w:ilvl w:val="0"/>
          <w:numId w:val="2"/>
        </w:numPr>
        <w:rPr>
          <w:sz w:val="24"/>
        </w:rPr>
      </w:pPr>
      <w:r w:rsidRPr="00F311B4">
        <w:rPr>
          <w:sz w:val="24"/>
        </w:rPr>
        <w:t>Energy Efficiency</w:t>
      </w:r>
    </w:p>
    <w:p w14:paraId="00000025" w14:textId="77777777" w:rsidR="00DF0C77" w:rsidRPr="00F311B4" w:rsidRDefault="00CD2062">
      <w:pPr>
        <w:numPr>
          <w:ilvl w:val="0"/>
          <w:numId w:val="2"/>
        </w:numPr>
        <w:rPr>
          <w:sz w:val="24"/>
        </w:rPr>
      </w:pPr>
      <w:r w:rsidRPr="00F311B4">
        <w:rPr>
          <w:sz w:val="24"/>
        </w:rPr>
        <w:t>Waste Management</w:t>
      </w:r>
    </w:p>
    <w:p w14:paraId="00000026" w14:textId="77777777" w:rsidR="00DF0C77" w:rsidRDefault="00DF0C77"/>
    <w:p w14:paraId="00000027" w14:textId="57FEB9C1" w:rsidR="00DF0C77" w:rsidRPr="00B159DB" w:rsidRDefault="00CD2062" w:rsidP="001B56FE">
      <w:pPr>
        <w:pStyle w:val="Heading1"/>
        <w:rPr>
          <w:b/>
        </w:rPr>
      </w:pPr>
      <w:bookmarkStart w:id="3" w:name="_Toc42588620"/>
      <w:r w:rsidRPr="00B159DB">
        <w:rPr>
          <w:b/>
          <w:sz w:val="28"/>
        </w:rPr>
        <w:t>1.1 M</w:t>
      </w:r>
      <w:r w:rsidR="001B56FE">
        <w:rPr>
          <w:b/>
          <w:sz w:val="28"/>
        </w:rPr>
        <w:t>odern Slavery</w:t>
      </w:r>
      <w:bookmarkEnd w:id="3"/>
    </w:p>
    <w:p w14:paraId="00000028" w14:textId="77777777" w:rsidR="00DF0C77" w:rsidRDefault="00CD2062">
      <w:pPr>
        <w:tabs>
          <w:tab w:val="left" w:pos="2127"/>
        </w:tabs>
        <w:spacing w:before="120" w:after="120" w:line="240" w:lineRule="auto"/>
        <w:jc w:val="both"/>
      </w:pPr>
      <w:r>
        <w:t>1.1.1. The Suppliers shall at all times be compliant with the provisions of the Modern Slavery Act 2015.</w:t>
      </w:r>
    </w:p>
    <w:p w14:paraId="00000029" w14:textId="77777777" w:rsidR="00DF0C77" w:rsidRDefault="0038003A">
      <w:pPr>
        <w:tabs>
          <w:tab w:val="left" w:pos="2127"/>
        </w:tabs>
        <w:spacing w:before="120" w:after="120" w:line="240" w:lineRule="auto"/>
        <w:jc w:val="both"/>
      </w:pPr>
      <w:hyperlink r:id="rId8">
        <w:r w:rsidR="00CD2062">
          <w:rPr>
            <w:u w:val="single"/>
          </w:rPr>
          <w:t>https://www.crowncommercial.gov.uk/agreements/RM3804</w:t>
        </w:r>
      </w:hyperlink>
    </w:p>
    <w:p w14:paraId="0000002A" w14:textId="2FEBE221" w:rsidR="00DF0C77" w:rsidRDefault="00CD2062">
      <w:pPr>
        <w:tabs>
          <w:tab w:val="left" w:pos="2127"/>
        </w:tabs>
        <w:spacing w:before="120" w:after="120" w:line="240" w:lineRule="auto"/>
        <w:jc w:val="both"/>
      </w:pPr>
      <w:r>
        <w:t>1.1.2. The Suppliers shall annually complete the Modern Slavery Asses</w:t>
      </w:r>
      <w:r w:rsidR="00113BD3">
        <w:t>s</w:t>
      </w:r>
      <w:r>
        <w:t>ment Tool as directed by CCS.</w:t>
      </w:r>
    </w:p>
    <w:p w14:paraId="0000002B" w14:textId="77777777" w:rsidR="00DF0C77" w:rsidRDefault="0038003A">
      <w:pPr>
        <w:tabs>
          <w:tab w:val="left" w:pos="2127"/>
        </w:tabs>
        <w:spacing w:before="120" w:after="120" w:line="240" w:lineRule="auto"/>
        <w:jc w:val="both"/>
      </w:pPr>
      <w:hyperlink r:id="rId9">
        <w:r w:rsidR="00CD2062">
          <w:rPr>
            <w:u w:val="single"/>
          </w:rPr>
          <w:t>https://supplierregistration.cabinetoffice.gov.uk/msat</w:t>
        </w:r>
      </w:hyperlink>
    </w:p>
    <w:p w14:paraId="0000002C" w14:textId="77777777" w:rsidR="00DF0C77" w:rsidRDefault="00CD2062">
      <w:pPr>
        <w:tabs>
          <w:tab w:val="left" w:pos="2127"/>
        </w:tabs>
        <w:spacing w:before="120" w:after="120" w:line="240" w:lineRule="auto"/>
        <w:jc w:val="both"/>
      </w:pPr>
      <w:r>
        <w:t>1.1.3. The Suppliers shall make the outcomes of their Modern Slavery Assessment to Buyers when requested.</w:t>
      </w:r>
    </w:p>
    <w:p w14:paraId="0000002D" w14:textId="77777777" w:rsidR="00DF0C77" w:rsidRDefault="00CD2062">
      <w:pPr>
        <w:tabs>
          <w:tab w:val="left" w:pos="2127"/>
        </w:tabs>
        <w:spacing w:before="120" w:after="120" w:line="240" w:lineRule="auto"/>
        <w:jc w:val="both"/>
      </w:pPr>
      <w:r>
        <w:t>1.1.4. The Suppliers shall use the outputs of the Modern Slavery Assessment within their Continuous Improvement Plan</w:t>
      </w:r>
    </w:p>
    <w:p w14:paraId="0000002E" w14:textId="77777777" w:rsidR="00DF0C77" w:rsidRDefault="00DF0C77"/>
    <w:p w14:paraId="0000002F" w14:textId="4A8EA1F0" w:rsidR="00DF0C77" w:rsidRPr="00B159DB" w:rsidRDefault="00CD2062" w:rsidP="001B56FE">
      <w:pPr>
        <w:pStyle w:val="Heading1"/>
        <w:rPr>
          <w:b/>
          <w:sz w:val="28"/>
        </w:rPr>
      </w:pPr>
      <w:bookmarkStart w:id="4" w:name="_Toc42588621"/>
      <w:r w:rsidRPr="00B159DB">
        <w:rPr>
          <w:b/>
          <w:sz w:val="28"/>
        </w:rPr>
        <w:t xml:space="preserve">1.2 </w:t>
      </w:r>
      <w:r w:rsidR="001B56FE" w:rsidRPr="00B159DB">
        <w:rPr>
          <w:b/>
          <w:sz w:val="28"/>
        </w:rPr>
        <w:t>Prompt Payment</w:t>
      </w:r>
      <w:bookmarkEnd w:id="4"/>
    </w:p>
    <w:p w14:paraId="00000030" w14:textId="77777777" w:rsidR="00DF0C77" w:rsidRPr="00B159DB" w:rsidRDefault="0038003A">
      <w:pPr>
        <w:tabs>
          <w:tab w:val="left" w:pos="2127"/>
        </w:tabs>
        <w:spacing w:before="120" w:after="120" w:line="240" w:lineRule="auto"/>
        <w:jc w:val="both"/>
        <w:rPr>
          <w:sz w:val="24"/>
        </w:rPr>
      </w:pPr>
      <w:hyperlink r:id="rId10">
        <w:r w:rsidR="00CD2062" w:rsidRPr="00B159DB">
          <w:rPr>
            <w:sz w:val="24"/>
            <w:u w:val="single"/>
          </w:rPr>
          <w:t>https://www.gov.uk/guidance/prompt-payment-policy</w:t>
        </w:r>
      </w:hyperlink>
    </w:p>
    <w:p w14:paraId="00000031" w14:textId="77777777" w:rsidR="00DF0C77" w:rsidRDefault="00DF0C77"/>
    <w:p w14:paraId="00000032" w14:textId="2E44EFC3" w:rsidR="00DF0C77" w:rsidRPr="00B159DB" w:rsidRDefault="00CD2062" w:rsidP="001B56FE">
      <w:pPr>
        <w:pStyle w:val="Heading1"/>
        <w:rPr>
          <w:b/>
          <w:sz w:val="28"/>
        </w:rPr>
      </w:pPr>
      <w:bookmarkStart w:id="5" w:name="_Toc42588622"/>
      <w:r w:rsidRPr="00B159DB">
        <w:rPr>
          <w:b/>
          <w:sz w:val="28"/>
        </w:rPr>
        <w:t xml:space="preserve">1.3 </w:t>
      </w:r>
      <w:r w:rsidR="001B56FE" w:rsidRPr="00B159DB">
        <w:rPr>
          <w:b/>
          <w:sz w:val="28"/>
        </w:rPr>
        <w:t>Energy Efficiency</w:t>
      </w:r>
      <w:bookmarkEnd w:id="5"/>
    </w:p>
    <w:p w14:paraId="00000033" w14:textId="77777777" w:rsidR="00DF0C77" w:rsidRPr="00B159DB" w:rsidRDefault="00CD2062">
      <w:pPr>
        <w:tabs>
          <w:tab w:val="left" w:pos="2127"/>
        </w:tabs>
        <w:spacing w:before="120" w:after="120" w:line="240" w:lineRule="auto"/>
        <w:jc w:val="both"/>
        <w:rPr>
          <w:sz w:val="24"/>
        </w:rPr>
      </w:pPr>
      <w:r w:rsidRPr="00B159DB">
        <w:rPr>
          <w:sz w:val="24"/>
        </w:rPr>
        <w:t>1.3.1 Suppliers shall consider the energy efficiency of all Goods and/or Services offered to Buyers and provide appropriate solutions and advice:</w:t>
      </w:r>
    </w:p>
    <w:p w14:paraId="00000034" w14:textId="77777777" w:rsidR="00DF0C77" w:rsidRPr="00B159DB" w:rsidRDefault="00CD2062">
      <w:pPr>
        <w:spacing w:before="120" w:after="120" w:line="240" w:lineRule="auto"/>
        <w:jc w:val="both"/>
        <w:rPr>
          <w:b/>
          <w:sz w:val="24"/>
        </w:rPr>
      </w:pPr>
      <w:r w:rsidRPr="00B159DB">
        <w:rPr>
          <w:sz w:val="24"/>
        </w:rPr>
        <w:t xml:space="preserve">DEFRA: </w:t>
      </w:r>
      <w:hyperlink r:id="rId11">
        <w:r w:rsidRPr="00B159DB">
          <w:rPr>
            <w:sz w:val="24"/>
          </w:rPr>
          <w:t>https://www.gov.uk/government/publications/sustainability-in-information-and-communication-technology-ict-a-defra-guide</w:t>
        </w:r>
      </w:hyperlink>
    </w:p>
    <w:p w14:paraId="00000035" w14:textId="77777777" w:rsidR="00DF0C77" w:rsidRPr="00B159DB" w:rsidRDefault="00DF0C77">
      <w:pPr>
        <w:spacing w:before="120" w:after="120" w:line="240" w:lineRule="auto"/>
        <w:jc w:val="both"/>
        <w:rPr>
          <w:b/>
          <w:sz w:val="24"/>
        </w:rPr>
      </w:pPr>
    </w:p>
    <w:p w14:paraId="00000036" w14:textId="40ED7E8C" w:rsidR="00DF0C77" w:rsidRPr="00B159DB" w:rsidRDefault="00CD2062" w:rsidP="001B56FE">
      <w:pPr>
        <w:pStyle w:val="Heading1"/>
        <w:rPr>
          <w:b/>
          <w:sz w:val="32"/>
        </w:rPr>
      </w:pPr>
      <w:bookmarkStart w:id="6" w:name="_Toc42588623"/>
      <w:r w:rsidRPr="00B159DB">
        <w:rPr>
          <w:b/>
          <w:sz w:val="28"/>
        </w:rPr>
        <w:t xml:space="preserve">1.4 </w:t>
      </w:r>
      <w:r w:rsidR="001B56FE" w:rsidRPr="00B159DB">
        <w:rPr>
          <w:b/>
          <w:sz w:val="28"/>
        </w:rPr>
        <w:t>Waste Management</w:t>
      </w:r>
      <w:bookmarkEnd w:id="6"/>
    </w:p>
    <w:p w14:paraId="00000037" w14:textId="77777777" w:rsidR="00DF0C77" w:rsidRPr="00B159DB" w:rsidRDefault="00CD2062">
      <w:pPr>
        <w:spacing w:before="120" w:after="120" w:line="240" w:lineRule="auto"/>
        <w:jc w:val="both"/>
        <w:rPr>
          <w:sz w:val="24"/>
        </w:rPr>
      </w:pPr>
      <w:r w:rsidRPr="00B159DB">
        <w:rPr>
          <w:sz w:val="24"/>
        </w:rPr>
        <w:t>1.4.1</w:t>
      </w:r>
      <w:r w:rsidRPr="00B159DB">
        <w:rPr>
          <w:sz w:val="24"/>
        </w:rPr>
        <w:tab/>
        <w:t>Suppliers shall seek to minimise any waste associated with the products sold</w:t>
      </w:r>
    </w:p>
    <w:p w14:paraId="00000038" w14:textId="77777777" w:rsidR="00DF0C77" w:rsidRPr="00B159DB" w:rsidRDefault="00CD2062">
      <w:pPr>
        <w:spacing w:before="120" w:after="120" w:line="240" w:lineRule="auto"/>
        <w:jc w:val="both"/>
        <w:rPr>
          <w:sz w:val="24"/>
        </w:rPr>
      </w:pPr>
      <w:r w:rsidRPr="00B159DB">
        <w:rPr>
          <w:sz w:val="24"/>
        </w:rPr>
        <w:t>1.4.2</w:t>
      </w:r>
      <w:r w:rsidRPr="00B159DB">
        <w:rPr>
          <w:sz w:val="24"/>
        </w:rPr>
        <w:tab/>
        <w:t>Suppliers shall where requested provide Buyers with a waste management strategy for the Services including refresh, refurbishment or reuse of equipment and environmental recovery, recycling or disposal options.</w:t>
      </w:r>
    </w:p>
    <w:p w14:paraId="00000039" w14:textId="77777777" w:rsidR="00DF0C77" w:rsidRPr="00B159DB" w:rsidRDefault="00CD2062">
      <w:pPr>
        <w:spacing w:before="120" w:after="120" w:line="240" w:lineRule="auto"/>
        <w:jc w:val="both"/>
        <w:rPr>
          <w:sz w:val="24"/>
        </w:rPr>
      </w:pPr>
      <w:r w:rsidRPr="00B159DB">
        <w:rPr>
          <w:sz w:val="24"/>
        </w:rPr>
        <w:t>External links for guidance:</w:t>
      </w:r>
    </w:p>
    <w:p w14:paraId="0000003A" w14:textId="77777777" w:rsidR="00DF0C77" w:rsidRPr="00B159DB" w:rsidRDefault="00CD2062">
      <w:pPr>
        <w:spacing w:before="120" w:after="120" w:line="240" w:lineRule="auto"/>
        <w:jc w:val="both"/>
        <w:rPr>
          <w:sz w:val="24"/>
        </w:rPr>
      </w:pPr>
      <w:r w:rsidRPr="00B159DB">
        <w:rPr>
          <w:sz w:val="24"/>
        </w:rPr>
        <w:t>WEEE Directive:</w:t>
      </w:r>
    </w:p>
    <w:p w14:paraId="0000003B" w14:textId="77777777" w:rsidR="00DF0C77" w:rsidRPr="00B159DB" w:rsidRDefault="0038003A">
      <w:pPr>
        <w:spacing w:before="120" w:after="120" w:line="240" w:lineRule="auto"/>
        <w:jc w:val="both"/>
        <w:rPr>
          <w:sz w:val="24"/>
        </w:rPr>
      </w:pPr>
      <w:hyperlink r:id="rId12">
        <w:r w:rsidR="00CD2062" w:rsidRPr="00B159DB">
          <w:rPr>
            <w:sz w:val="24"/>
            <w:u w:val="single"/>
          </w:rPr>
          <w:t>http://www.environment-agency.gov.uk/business/topics/waste/32084.aspx</w:t>
        </w:r>
      </w:hyperlink>
    </w:p>
    <w:p w14:paraId="0000003C" w14:textId="77777777" w:rsidR="00DF0C77" w:rsidRDefault="00DF0C77">
      <w:pPr>
        <w:spacing w:before="120" w:after="120" w:line="240" w:lineRule="auto"/>
        <w:jc w:val="both"/>
        <w:rPr>
          <w:u w:val="single"/>
        </w:rPr>
      </w:pPr>
    </w:p>
    <w:p w14:paraId="0000003D" w14:textId="77777777" w:rsidR="00DF0C77" w:rsidRDefault="00DF0C77">
      <w:pPr>
        <w:spacing w:before="120" w:after="120" w:line="240" w:lineRule="auto"/>
        <w:jc w:val="both"/>
        <w:rPr>
          <w:b/>
        </w:rPr>
      </w:pPr>
    </w:p>
    <w:p w14:paraId="0000003E" w14:textId="77777777" w:rsidR="00DF0C77" w:rsidRDefault="00DF0C77">
      <w:pPr>
        <w:spacing w:before="120" w:after="120" w:line="240" w:lineRule="auto"/>
        <w:jc w:val="both"/>
        <w:rPr>
          <w:b/>
        </w:rPr>
      </w:pPr>
    </w:p>
    <w:p w14:paraId="00000040" w14:textId="77777777" w:rsidR="00DF0C77" w:rsidRDefault="00DF0C77">
      <w:pPr>
        <w:spacing w:before="120" w:after="120" w:line="240" w:lineRule="auto"/>
        <w:jc w:val="both"/>
        <w:rPr>
          <w:b/>
        </w:rPr>
      </w:pPr>
    </w:p>
    <w:p w14:paraId="00000041" w14:textId="77777777" w:rsidR="00DF0C77" w:rsidRDefault="00DF0C77">
      <w:pPr>
        <w:rPr>
          <w:b/>
        </w:rPr>
      </w:pPr>
    </w:p>
    <w:p w14:paraId="00000042" w14:textId="77777777" w:rsidR="00DF0C77" w:rsidRDefault="00DF0C77">
      <w:pPr>
        <w:rPr>
          <w:b/>
        </w:rPr>
      </w:pPr>
    </w:p>
    <w:p w14:paraId="00000043" w14:textId="4F78AA6A" w:rsidR="00DF0C77" w:rsidRPr="00B159DB" w:rsidRDefault="00CD2062" w:rsidP="001B56FE">
      <w:pPr>
        <w:pStyle w:val="Heading1"/>
        <w:rPr>
          <w:b/>
          <w:sz w:val="28"/>
        </w:rPr>
      </w:pPr>
      <w:bookmarkStart w:id="7" w:name="_Toc42588624"/>
      <w:r w:rsidRPr="00B159DB">
        <w:rPr>
          <w:b/>
          <w:sz w:val="28"/>
        </w:rPr>
        <w:t xml:space="preserve">2. </w:t>
      </w:r>
      <w:r w:rsidR="001B56FE" w:rsidRPr="00B159DB">
        <w:rPr>
          <w:b/>
          <w:sz w:val="28"/>
        </w:rPr>
        <w:t>General Requirements</w:t>
      </w:r>
      <w:bookmarkEnd w:id="7"/>
    </w:p>
    <w:p w14:paraId="00000044" w14:textId="77777777" w:rsidR="00DF0C77" w:rsidRPr="00B159DB" w:rsidRDefault="00CD2062">
      <w:pPr>
        <w:rPr>
          <w:sz w:val="24"/>
        </w:rPr>
      </w:pPr>
      <w:r w:rsidRPr="00B159DB">
        <w:rPr>
          <w:sz w:val="24"/>
        </w:rPr>
        <w:t>These are our general requirements.  Supplier responsibilities shall include:</w:t>
      </w:r>
    </w:p>
    <w:p w14:paraId="00000045" w14:textId="77777777" w:rsidR="00DF0C77" w:rsidRDefault="00DF0C77">
      <w:pPr>
        <w:rPr>
          <w:sz w:val="24"/>
        </w:rPr>
      </w:pPr>
    </w:p>
    <w:p w14:paraId="1DEAD541" w14:textId="77777777" w:rsidR="00B159DB" w:rsidRPr="00B159DB" w:rsidRDefault="00B159DB">
      <w:pPr>
        <w:rPr>
          <w:sz w:val="24"/>
        </w:rPr>
      </w:pPr>
    </w:p>
    <w:p w14:paraId="00000046" w14:textId="0875BC3C" w:rsidR="00DF0C77" w:rsidRPr="00B159DB" w:rsidRDefault="00CD2062" w:rsidP="001B56FE">
      <w:pPr>
        <w:pStyle w:val="Heading1"/>
        <w:rPr>
          <w:b/>
          <w:sz w:val="28"/>
        </w:rPr>
      </w:pPr>
      <w:bookmarkStart w:id="8" w:name="_Toc42588625"/>
      <w:r w:rsidRPr="00B159DB">
        <w:rPr>
          <w:b/>
          <w:sz w:val="28"/>
        </w:rPr>
        <w:lastRenderedPageBreak/>
        <w:t xml:space="preserve">2.1 </w:t>
      </w:r>
      <w:r w:rsidR="001B56FE" w:rsidRPr="00B159DB">
        <w:rPr>
          <w:b/>
          <w:sz w:val="28"/>
        </w:rPr>
        <w:t>General</w:t>
      </w:r>
      <w:bookmarkEnd w:id="8"/>
    </w:p>
    <w:p w14:paraId="00000047" w14:textId="76C9151E" w:rsidR="00DF0C77" w:rsidRPr="00B159DB" w:rsidRDefault="00CD2062">
      <w:pPr>
        <w:rPr>
          <w:sz w:val="24"/>
        </w:rPr>
      </w:pPr>
      <w:r w:rsidRPr="00B159DB">
        <w:rPr>
          <w:sz w:val="24"/>
        </w:rPr>
        <w:t>2.1</w:t>
      </w:r>
      <w:r w:rsidR="00113BD3">
        <w:rPr>
          <w:sz w:val="24"/>
        </w:rPr>
        <w:t>.1</w:t>
      </w:r>
      <w:r w:rsidR="00113BD3">
        <w:rPr>
          <w:sz w:val="24"/>
        </w:rPr>
        <w:tab/>
        <w:t>Taking orders for the Products</w:t>
      </w:r>
      <w:r w:rsidRPr="00B159DB">
        <w:rPr>
          <w:sz w:val="24"/>
        </w:rPr>
        <w:t xml:space="preserve"> from Buyers;</w:t>
      </w:r>
    </w:p>
    <w:p w14:paraId="00000048" w14:textId="77777777" w:rsidR="00DF0C77" w:rsidRPr="00B159DB" w:rsidRDefault="00CD2062">
      <w:pPr>
        <w:rPr>
          <w:sz w:val="24"/>
        </w:rPr>
      </w:pPr>
      <w:r w:rsidRPr="00B159DB">
        <w:rPr>
          <w:sz w:val="24"/>
        </w:rPr>
        <w:t>2.1.2</w:t>
      </w:r>
      <w:r w:rsidRPr="00B159DB">
        <w:rPr>
          <w:sz w:val="24"/>
        </w:rPr>
        <w:tab/>
        <w:t>Undertaking any billing requirements;</w:t>
      </w:r>
    </w:p>
    <w:p w14:paraId="00000049" w14:textId="77777777" w:rsidR="00DF0C77" w:rsidRPr="00B159DB" w:rsidRDefault="00CD2062">
      <w:pPr>
        <w:rPr>
          <w:sz w:val="24"/>
        </w:rPr>
      </w:pPr>
      <w:r w:rsidRPr="00B159DB">
        <w:rPr>
          <w:sz w:val="24"/>
        </w:rPr>
        <w:t>2.1.3</w:t>
      </w:r>
      <w:r w:rsidRPr="00B159DB">
        <w:rPr>
          <w:sz w:val="24"/>
        </w:rPr>
        <w:tab/>
        <w:t>Undertaking to meet all Buyer requirements as agreed;</w:t>
      </w:r>
    </w:p>
    <w:p w14:paraId="0000004A" w14:textId="77777777" w:rsidR="00DF0C77" w:rsidRPr="00B159DB" w:rsidRDefault="00CD2062">
      <w:pPr>
        <w:rPr>
          <w:sz w:val="24"/>
        </w:rPr>
      </w:pPr>
      <w:r w:rsidRPr="00B159DB">
        <w:rPr>
          <w:sz w:val="24"/>
        </w:rPr>
        <w:t>2.1.4</w:t>
      </w:r>
      <w:r w:rsidRPr="00B159DB">
        <w:rPr>
          <w:sz w:val="24"/>
        </w:rPr>
        <w:tab/>
        <w:t xml:space="preserve">Providing a support function to deal with Buyer enquiries and issues; </w:t>
      </w:r>
    </w:p>
    <w:p w14:paraId="0000004B" w14:textId="1B928BE9" w:rsidR="00DF0C77" w:rsidRPr="00B159DB" w:rsidRDefault="00CD2062">
      <w:pPr>
        <w:rPr>
          <w:sz w:val="24"/>
        </w:rPr>
      </w:pPr>
      <w:r w:rsidRPr="00B159DB">
        <w:rPr>
          <w:sz w:val="24"/>
        </w:rPr>
        <w:t>2.1.5</w:t>
      </w:r>
      <w:r w:rsidRPr="00B159DB">
        <w:rPr>
          <w:sz w:val="24"/>
        </w:rPr>
        <w:tab/>
        <w:t>Complying with Fram</w:t>
      </w:r>
      <w:r w:rsidR="00D16EC9">
        <w:rPr>
          <w:sz w:val="24"/>
        </w:rPr>
        <w:t>ework Contract PIs,</w:t>
      </w:r>
      <w:r w:rsidRPr="00B159DB">
        <w:rPr>
          <w:sz w:val="24"/>
        </w:rPr>
        <w:t xml:space="preserve"> Call-Off Contract service levels and any reporting requirements;</w:t>
      </w:r>
    </w:p>
    <w:p w14:paraId="0000004C" w14:textId="77777777" w:rsidR="00DF0C77" w:rsidRPr="00B159DB" w:rsidRDefault="00CD2062">
      <w:pPr>
        <w:rPr>
          <w:sz w:val="24"/>
        </w:rPr>
      </w:pPr>
      <w:r w:rsidRPr="00B159DB">
        <w:rPr>
          <w:sz w:val="24"/>
        </w:rPr>
        <w:t>2.1.6</w:t>
      </w:r>
      <w:r w:rsidRPr="00B159DB">
        <w:rPr>
          <w:sz w:val="24"/>
        </w:rPr>
        <w:tab/>
        <w:t>Providing a dedicated Supplier Framework Manager to manage the relationship between CCS and the Supplier under this Framework Contract, to resolve any issues arising from this Framework Contract and to implement any improvements/innovations during the Framework Contract Period; and</w:t>
      </w:r>
    </w:p>
    <w:p w14:paraId="0000004D" w14:textId="77777777" w:rsidR="00DF0C77" w:rsidRPr="00B159DB" w:rsidRDefault="00CD2062">
      <w:pPr>
        <w:rPr>
          <w:sz w:val="24"/>
        </w:rPr>
      </w:pPr>
      <w:r w:rsidRPr="00B159DB">
        <w:rPr>
          <w:sz w:val="24"/>
        </w:rPr>
        <w:t>2.1.7</w:t>
      </w:r>
      <w:r w:rsidRPr="00B159DB">
        <w:rPr>
          <w:sz w:val="24"/>
        </w:rPr>
        <w:tab/>
        <w:t>Complying with the CCS Management Information requirements.</w:t>
      </w:r>
    </w:p>
    <w:p w14:paraId="0000004E" w14:textId="77777777" w:rsidR="00DF0C77" w:rsidRPr="00B159DB" w:rsidRDefault="00DF0C77">
      <w:pPr>
        <w:rPr>
          <w:sz w:val="24"/>
        </w:rPr>
      </w:pPr>
    </w:p>
    <w:p w14:paraId="0000004F" w14:textId="7D5BC508" w:rsidR="00DF0C77" w:rsidRPr="00B159DB" w:rsidRDefault="00CD2062" w:rsidP="001B56FE">
      <w:pPr>
        <w:pStyle w:val="Heading1"/>
        <w:rPr>
          <w:b/>
          <w:sz w:val="24"/>
        </w:rPr>
      </w:pPr>
      <w:bookmarkStart w:id="9" w:name="_Toc42588626"/>
      <w:r w:rsidRPr="00B159DB">
        <w:rPr>
          <w:b/>
          <w:sz w:val="28"/>
        </w:rPr>
        <w:t xml:space="preserve">2.2 </w:t>
      </w:r>
      <w:r w:rsidR="001B56FE" w:rsidRPr="00B159DB">
        <w:rPr>
          <w:b/>
          <w:sz w:val="28"/>
        </w:rPr>
        <w:t>Pricing Transparency</w:t>
      </w:r>
      <w:bookmarkEnd w:id="9"/>
    </w:p>
    <w:p w14:paraId="00000050" w14:textId="77777777" w:rsidR="00DF0C77" w:rsidRPr="00B159DB" w:rsidRDefault="00CD2062">
      <w:pPr>
        <w:rPr>
          <w:sz w:val="24"/>
        </w:rPr>
      </w:pPr>
      <w:r w:rsidRPr="00B159DB">
        <w:rPr>
          <w:sz w:val="24"/>
        </w:rPr>
        <w:t xml:space="preserve">2.2.1 </w:t>
      </w:r>
      <w:r w:rsidRPr="00B159DB">
        <w:rPr>
          <w:sz w:val="24"/>
        </w:rPr>
        <w:tab/>
        <w:t>When responding to a Further Competition Procedure the Supplier shall provide information as required by the Buyer to enable the Buyer to both understand the overall cost of the key components of the Supplier’s offer under the Further Competition Procedure and the overall value for money this provides for the period of the Call-Off Contract.</w:t>
      </w:r>
    </w:p>
    <w:p w14:paraId="00000051" w14:textId="77777777" w:rsidR="00DF0C77" w:rsidRPr="00B159DB" w:rsidRDefault="00DF0C77">
      <w:pPr>
        <w:rPr>
          <w:sz w:val="24"/>
        </w:rPr>
      </w:pPr>
    </w:p>
    <w:p w14:paraId="00000052" w14:textId="31BD89C4" w:rsidR="00DF0C77" w:rsidRPr="00B159DB" w:rsidRDefault="00CD2062" w:rsidP="001B56FE">
      <w:pPr>
        <w:pStyle w:val="Heading1"/>
        <w:rPr>
          <w:b/>
          <w:sz w:val="28"/>
        </w:rPr>
      </w:pPr>
      <w:bookmarkStart w:id="10" w:name="_Toc42588627"/>
      <w:r w:rsidRPr="00B159DB">
        <w:rPr>
          <w:b/>
          <w:sz w:val="28"/>
        </w:rPr>
        <w:t xml:space="preserve">2.3 </w:t>
      </w:r>
      <w:r w:rsidR="001B56FE" w:rsidRPr="00B159DB">
        <w:rPr>
          <w:b/>
          <w:sz w:val="28"/>
        </w:rPr>
        <w:t>Continuous Improvement – Best Practice/Standards</w:t>
      </w:r>
      <w:bookmarkEnd w:id="10"/>
    </w:p>
    <w:p w14:paraId="00000053" w14:textId="77777777" w:rsidR="00DF0C77" w:rsidRPr="00B159DB" w:rsidRDefault="00CD2062">
      <w:pPr>
        <w:rPr>
          <w:sz w:val="24"/>
        </w:rPr>
      </w:pPr>
      <w:r w:rsidRPr="00B159DB">
        <w:rPr>
          <w:sz w:val="24"/>
        </w:rPr>
        <w:t>2.3.1 The Supplier must where possible apply continuous improvement disciplines and techniques to the Services. Any future changes to the Framework for ICT Technical Support (FITS) and ITIL processes and best practices must where relevant be adopted.</w:t>
      </w:r>
    </w:p>
    <w:p w14:paraId="00000054" w14:textId="77777777" w:rsidR="00DF0C77" w:rsidRPr="00B159DB" w:rsidRDefault="00DF0C77">
      <w:pPr>
        <w:rPr>
          <w:sz w:val="24"/>
        </w:rPr>
      </w:pPr>
    </w:p>
    <w:p w14:paraId="00000055" w14:textId="70C81E0E" w:rsidR="00DF0C77" w:rsidRPr="00B159DB" w:rsidRDefault="00CD2062" w:rsidP="001B56FE">
      <w:pPr>
        <w:pStyle w:val="Heading1"/>
        <w:rPr>
          <w:b/>
          <w:sz w:val="28"/>
        </w:rPr>
      </w:pPr>
      <w:bookmarkStart w:id="11" w:name="_Toc42588628"/>
      <w:r w:rsidRPr="00B159DB">
        <w:rPr>
          <w:b/>
          <w:sz w:val="28"/>
        </w:rPr>
        <w:t xml:space="preserve">2.4 </w:t>
      </w:r>
      <w:r w:rsidR="001B56FE" w:rsidRPr="00B159DB">
        <w:rPr>
          <w:b/>
          <w:sz w:val="28"/>
        </w:rPr>
        <w:t>Customer Service</w:t>
      </w:r>
      <w:bookmarkEnd w:id="11"/>
    </w:p>
    <w:p w14:paraId="00000056" w14:textId="77777777" w:rsidR="00DF0C77" w:rsidRPr="00B159DB" w:rsidRDefault="00CD2062">
      <w:pPr>
        <w:rPr>
          <w:sz w:val="24"/>
        </w:rPr>
      </w:pPr>
      <w:r w:rsidRPr="00B159DB">
        <w:rPr>
          <w:sz w:val="24"/>
        </w:rPr>
        <w:t>2.4.1. The Supplier commits to reference and measure their processes and procedures against the requirements of BS8477:2014 with the intention of gaining approval to the standard (if not already approved) within 18 months of the Framework Contract Start Date.</w:t>
      </w:r>
    </w:p>
    <w:p w14:paraId="00000057" w14:textId="77777777" w:rsidR="00DF0C77" w:rsidRPr="00B159DB" w:rsidRDefault="00DF0C77">
      <w:pPr>
        <w:rPr>
          <w:sz w:val="24"/>
        </w:rPr>
      </w:pPr>
    </w:p>
    <w:p w14:paraId="00000058" w14:textId="5698D95B" w:rsidR="00DF0C77" w:rsidRPr="00D50299" w:rsidRDefault="00CD2062" w:rsidP="001B56FE">
      <w:pPr>
        <w:pStyle w:val="Heading1"/>
        <w:rPr>
          <w:b/>
          <w:sz w:val="28"/>
          <w:szCs w:val="28"/>
        </w:rPr>
      </w:pPr>
      <w:bookmarkStart w:id="12" w:name="_Toc42588629"/>
      <w:r w:rsidRPr="00D50299">
        <w:rPr>
          <w:b/>
          <w:sz w:val="28"/>
          <w:szCs w:val="28"/>
        </w:rPr>
        <w:lastRenderedPageBreak/>
        <w:t xml:space="preserve">2.5 </w:t>
      </w:r>
      <w:r w:rsidR="001B56FE" w:rsidRPr="00D50299">
        <w:rPr>
          <w:b/>
          <w:sz w:val="28"/>
          <w:szCs w:val="28"/>
        </w:rPr>
        <w:t>Quality</w:t>
      </w:r>
      <w:bookmarkEnd w:id="12"/>
    </w:p>
    <w:p w14:paraId="00000059" w14:textId="77777777" w:rsidR="00DF0C77" w:rsidRPr="00B159DB" w:rsidRDefault="00CD2062">
      <w:pPr>
        <w:rPr>
          <w:sz w:val="24"/>
        </w:rPr>
      </w:pPr>
      <w:r w:rsidRPr="00B159DB">
        <w:rPr>
          <w:sz w:val="24"/>
        </w:rPr>
        <w:t>2.5.1 The Supplier must commit to applying quality standards either to an official ISO standardisation or via evidence that quality standard processes and reporting are in place.</w:t>
      </w:r>
    </w:p>
    <w:p w14:paraId="0000005A" w14:textId="77777777" w:rsidR="00DF0C77" w:rsidRPr="00B159DB" w:rsidRDefault="00CD2062">
      <w:pPr>
        <w:rPr>
          <w:sz w:val="24"/>
        </w:rPr>
      </w:pPr>
      <w:r w:rsidRPr="00B159DB">
        <w:rPr>
          <w:sz w:val="24"/>
        </w:rPr>
        <w:t xml:space="preserve">2.5.2 The Supplier must have processes in place for handling DOA issues and failures. </w:t>
      </w:r>
    </w:p>
    <w:p w14:paraId="0000005B" w14:textId="286DEA3E" w:rsidR="00DF0C77" w:rsidRPr="00B159DB" w:rsidRDefault="00CD2062">
      <w:pPr>
        <w:rPr>
          <w:sz w:val="24"/>
        </w:rPr>
      </w:pPr>
      <w:r w:rsidRPr="00B159DB">
        <w:rPr>
          <w:sz w:val="24"/>
        </w:rPr>
        <w:t xml:space="preserve">2.5.3 The Supplier must offer a range of warranties, subject to </w:t>
      </w:r>
      <w:r w:rsidR="00D16EC9">
        <w:rPr>
          <w:sz w:val="24"/>
        </w:rPr>
        <w:t>Buyer</w:t>
      </w:r>
      <w:r w:rsidRPr="00B159DB">
        <w:rPr>
          <w:sz w:val="24"/>
        </w:rPr>
        <w:t xml:space="preserve"> requirements, including extended product warranties with processes in place to perform repairs under warranty and to expedite product returns and/or replacement. </w:t>
      </w:r>
    </w:p>
    <w:p w14:paraId="0000005C" w14:textId="77777777" w:rsidR="00DF0C77" w:rsidRDefault="00DF0C77"/>
    <w:p w14:paraId="0000005D" w14:textId="77777777" w:rsidR="00DF0C77" w:rsidRDefault="00DF0C77"/>
    <w:p w14:paraId="00000061" w14:textId="77777777" w:rsidR="00DF0C77" w:rsidRPr="00D50299" w:rsidRDefault="00CD2062" w:rsidP="001B56FE">
      <w:pPr>
        <w:pStyle w:val="Heading1"/>
        <w:rPr>
          <w:sz w:val="28"/>
          <w:szCs w:val="28"/>
        </w:rPr>
      </w:pPr>
      <w:bookmarkStart w:id="13" w:name="_Toc42588630"/>
      <w:r w:rsidRPr="00D50299">
        <w:rPr>
          <w:b/>
          <w:sz w:val="28"/>
          <w:szCs w:val="28"/>
        </w:rPr>
        <w:t>2.6 Catalogue Requirements</w:t>
      </w:r>
      <w:r w:rsidRPr="00D50299">
        <w:rPr>
          <w:sz w:val="28"/>
          <w:szCs w:val="28"/>
        </w:rPr>
        <w:t>:</w:t>
      </w:r>
      <w:bookmarkEnd w:id="13"/>
      <w:r w:rsidRPr="00D50299">
        <w:rPr>
          <w:sz w:val="28"/>
          <w:szCs w:val="28"/>
        </w:rPr>
        <w:t xml:space="preserve"> </w:t>
      </w:r>
    </w:p>
    <w:p w14:paraId="00000062" w14:textId="77777777" w:rsidR="00DF0C77" w:rsidRPr="00B159DB" w:rsidRDefault="00DF0C77">
      <w:pPr>
        <w:rPr>
          <w:sz w:val="24"/>
        </w:rPr>
      </w:pPr>
    </w:p>
    <w:p w14:paraId="00000063" w14:textId="77777777" w:rsidR="00DF0C77" w:rsidRPr="00B159DB" w:rsidRDefault="00CD2062">
      <w:pPr>
        <w:rPr>
          <w:sz w:val="24"/>
        </w:rPr>
      </w:pPr>
      <w:r w:rsidRPr="00B159DB">
        <w:rPr>
          <w:sz w:val="24"/>
        </w:rPr>
        <w:t>These are our requirements specific to providing a catalogue of products.</w:t>
      </w:r>
    </w:p>
    <w:p w14:paraId="00000064" w14:textId="77777777" w:rsidR="00DF0C77" w:rsidRPr="00B159DB" w:rsidRDefault="00DF0C77">
      <w:pPr>
        <w:rPr>
          <w:sz w:val="24"/>
        </w:rPr>
      </w:pPr>
    </w:p>
    <w:p w14:paraId="00000065" w14:textId="77777777" w:rsidR="00DF0C77" w:rsidRPr="00B159DB" w:rsidRDefault="00CD2062">
      <w:pPr>
        <w:rPr>
          <w:sz w:val="24"/>
        </w:rPr>
      </w:pPr>
      <w:r w:rsidRPr="00B159DB">
        <w:rPr>
          <w:sz w:val="24"/>
        </w:rPr>
        <w:t>2.6.1</w:t>
      </w:r>
      <w:r w:rsidRPr="00B159DB">
        <w:rPr>
          <w:sz w:val="24"/>
        </w:rPr>
        <w:tab/>
        <w:t xml:space="preserve">The Supplier shall have the capability to provide sufficient information, as specified by the Authority, to enable Supplier pricing and, where practical, stock information to be matched and attached to a common specification of a wide range of commodity technology products. This may include (but is not limited to) :- </w:t>
      </w:r>
    </w:p>
    <w:p w14:paraId="00000066" w14:textId="77777777" w:rsidR="00DF0C77" w:rsidRPr="00B159DB" w:rsidRDefault="00CD2062">
      <w:pPr>
        <w:ind w:firstLine="720"/>
        <w:rPr>
          <w:sz w:val="24"/>
        </w:rPr>
      </w:pPr>
      <w:r w:rsidRPr="00B159DB">
        <w:rPr>
          <w:sz w:val="24"/>
        </w:rPr>
        <w:t xml:space="preserve">(i) Manufacturer name </w:t>
      </w:r>
    </w:p>
    <w:p w14:paraId="00000067" w14:textId="77777777" w:rsidR="00DF0C77" w:rsidRPr="00B159DB" w:rsidRDefault="00CD2062">
      <w:pPr>
        <w:ind w:firstLine="720"/>
        <w:rPr>
          <w:sz w:val="24"/>
        </w:rPr>
      </w:pPr>
      <w:r w:rsidRPr="00B159DB">
        <w:rPr>
          <w:sz w:val="24"/>
        </w:rPr>
        <w:t xml:space="preserve">(ii) Manufacturer part no/SKU </w:t>
      </w:r>
    </w:p>
    <w:p w14:paraId="00000068" w14:textId="77777777" w:rsidR="00DF0C77" w:rsidRPr="00B159DB" w:rsidRDefault="00CD2062">
      <w:pPr>
        <w:ind w:firstLine="720"/>
        <w:rPr>
          <w:sz w:val="24"/>
        </w:rPr>
      </w:pPr>
      <w:r w:rsidRPr="00B159DB">
        <w:rPr>
          <w:sz w:val="24"/>
        </w:rPr>
        <w:t xml:space="preserve">(iii) CNET ID (if available to the Supplier under their own licence) </w:t>
      </w:r>
    </w:p>
    <w:p w14:paraId="00000069" w14:textId="77777777" w:rsidR="00DF0C77" w:rsidRPr="00B159DB" w:rsidRDefault="00CD2062">
      <w:pPr>
        <w:ind w:left="1133" w:hanging="435"/>
        <w:rPr>
          <w:sz w:val="24"/>
        </w:rPr>
      </w:pPr>
      <w:r w:rsidRPr="00B159DB">
        <w:rPr>
          <w:sz w:val="24"/>
        </w:rPr>
        <w:t xml:space="preserve">(iv) An accurate UNSPSC and unaltered manufacturer part code will be provided if no CNET code is available </w:t>
      </w:r>
    </w:p>
    <w:p w14:paraId="0000006A" w14:textId="77777777" w:rsidR="00DF0C77" w:rsidRPr="00B159DB" w:rsidRDefault="00CD2062">
      <w:pPr>
        <w:ind w:firstLine="720"/>
        <w:rPr>
          <w:sz w:val="24"/>
        </w:rPr>
      </w:pPr>
      <w:r w:rsidRPr="00B159DB">
        <w:rPr>
          <w:sz w:val="24"/>
        </w:rPr>
        <w:t xml:space="preserve">(v) Description of product </w:t>
      </w:r>
    </w:p>
    <w:p w14:paraId="0000006B" w14:textId="77777777" w:rsidR="00DF0C77" w:rsidRPr="00B159DB" w:rsidRDefault="00CD2062">
      <w:pPr>
        <w:ind w:firstLine="720"/>
        <w:rPr>
          <w:sz w:val="24"/>
        </w:rPr>
      </w:pPr>
      <w:r w:rsidRPr="00B159DB">
        <w:rPr>
          <w:sz w:val="24"/>
        </w:rPr>
        <w:t xml:space="preserve">(vi) Price (single unit) </w:t>
      </w:r>
    </w:p>
    <w:p w14:paraId="0000006C" w14:textId="77777777" w:rsidR="00DF0C77" w:rsidRPr="00B159DB" w:rsidRDefault="00CD2062">
      <w:pPr>
        <w:ind w:firstLine="720"/>
        <w:rPr>
          <w:sz w:val="24"/>
        </w:rPr>
      </w:pPr>
      <w:r w:rsidRPr="00B159DB">
        <w:rPr>
          <w:sz w:val="24"/>
        </w:rPr>
        <w:t xml:space="preserve">(vii) Price (banded for multiple unit volume discounts) </w:t>
      </w:r>
    </w:p>
    <w:p w14:paraId="0000006D" w14:textId="77777777" w:rsidR="00DF0C77" w:rsidRPr="00B159DB" w:rsidRDefault="00CD2062">
      <w:pPr>
        <w:ind w:firstLine="720"/>
        <w:rPr>
          <w:sz w:val="24"/>
        </w:rPr>
      </w:pPr>
      <w:r w:rsidRPr="00B159DB">
        <w:rPr>
          <w:sz w:val="24"/>
        </w:rPr>
        <w:t xml:space="preserve">(viii) Delivery options </w:t>
      </w:r>
    </w:p>
    <w:p w14:paraId="0000006E" w14:textId="77777777" w:rsidR="00DF0C77" w:rsidRPr="00B159DB" w:rsidRDefault="00CD2062">
      <w:pPr>
        <w:ind w:firstLine="720"/>
        <w:rPr>
          <w:sz w:val="24"/>
        </w:rPr>
      </w:pPr>
      <w:r w:rsidRPr="00B159DB">
        <w:rPr>
          <w:sz w:val="24"/>
        </w:rPr>
        <w:t xml:space="preserve">(ix) Delivery charge(s) linked to delivery options </w:t>
      </w:r>
    </w:p>
    <w:p w14:paraId="0000006F" w14:textId="77777777" w:rsidR="00DF0C77" w:rsidRPr="00B159DB" w:rsidRDefault="00CD2062">
      <w:pPr>
        <w:ind w:firstLine="720"/>
        <w:rPr>
          <w:sz w:val="24"/>
        </w:rPr>
      </w:pPr>
      <w:r w:rsidRPr="00B159DB">
        <w:rPr>
          <w:sz w:val="24"/>
        </w:rPr>
        <w:t xml:space="preserve">(x) Stock volume held (where held by the Supplier directly) </w:t>
      </w:r>
    </w:p>
    <w:p w14:paraId="00000070" w14:textId="77777777" w:rsidR="00DF0C77" w:rsidRPr="00B159DB" w:rsidRDefault="00CD2062">
      <w:pPr>
        <w:rPr>
          <w:sz w:val="24"/>
        </w:rPr>
      </w:pPr>
      <w:r w:rsidRPr="00B159DB">
        <w:rPr>
          <w:sz w:val="24"/>
        </w:rPr>
        <w:t>2.6.2</w:t>
      </w:r>
      <w:r w:rsidRPr="00B159DB">
        <w:rPr>
          <w:sz w:val="24"/>
        </w:rPr>
        <w:tab/>
        <w:t xml:space="preserve">Price and stock information will be subject to (maximum) hourly upload by the Supplier, either by manual or automated upload processes. </w:t>
      </w:r>
    </w:p>
    <w:p w14:paraId="00000071" w14:textId="77777777" w:rsidR="00DF0C77" w:rsidRPr="00B159DB" w:rsidRDefault="00CD2062">
      <w:pPr>
        <w:rPr>
          <w:sz w:val="24"/>
        </w:rPr>
      </w:pPr>
      <w:r w:rsidRPr="00B159DB">
        <w:rPr>
          <w:sz w:val="24"/>
        </w:rPr>
        <w:t>2.6.3</w:t>
      </w:r>
      <w:r w:rsidRPr="00B159DB">
        <w:rPr>
          <w:sz w:val="24"/>
        </w:rPr>
        <w:tab/>
        <w:t>The Suppliers prices will be fixed at point of customer order (checkout) or system generated quote (for subsequent input to customer P2P/ Enterprise Resource Planning (ERP) systems for authorisation and purchase order production) and must be honoured for a period of up to thirty (30) days to allow for customer authorisation processes.</w:t>
      </w:r>
    </w:p>
    <w:p w14:paraId="00000072" w14:textId="76BFFF9C" w:rsidR="00DF0C77" w:rsidRPr="00BF61B0" w:rsidRDefault="00CD2062">
      <w:pPr>
        <w:rPr>
          <w:sz w:val="24"/>
        </w:rPr>
      </w:pPr>
      <w:r w:rsidRPr="00B159DB">
        <w:rPr>
          <w:sz w:val="24"/>
        </w:rPr>
        <w:t>2.6.4</w:t>
      </w:r>
      <w:r w:rsidRPr="00B159DB">
        <w:rPr>
          <w:sz w:val="24"/>
        </w:rPr>
        <w:tab/>
        <w:t>The Supplier will be a ‘prime’ contractor under this Framewor</w:t>
      </w:r>
      <w:r w:rsidR="00113BD3">
        <w:rPr>
          <w:sz w:val="24"/>
        </w:rPr>
        <w:t>k Agreement and subsequent Call-</w:t>
      </w:r>
      <w:r w:rsidRPr="00B159DB">
        <w:rPr>
          <w:sz w:val="24"/>
        </w:rPr>
        <w:t xml:space="preserve">Off Agreements. Use of sub-contractors is permissible but key subcontractors must be notified to the </w:t>
      </w:r>
      <w:r w:rsidR="00D16EC9">
        <w:rPr>
          <w:sz w:val="24"/>
        </w:rPr>
        <w:t>Buyer</w:t>
      </w:r>
      <w:r w:rsidRPr="00B159DB">
        <w:rPr>
          <w:sz w:val="24"/>
        </w:rPr>
        <w:t xml:space="preserve"> as specified in Joint Schedule 6. The </w:t>
      </w:r>
      <w:r w:rsidRPr="00BF61B0">
        <w:rPr>
          <w:sz w:val="24"/>
        </w:rPr>
        <w:lastRenderedPageBreak/>
        <w:t xml:space="preserve">Supplier as a prime contractor will take overall responsibility for delivery of all orders under the Framework Agreement. </w:t>
      </w:r>
    </w:p>
    <w:p w14:paraId="00000073" w14:textId="77777777" w:rsidR="00DF0C77" w:rsidRPr="00BF61B0" w:rsidRDefault="00CD2062">
      <w:pPr>
        <w:rPr>
          <w:sz w:val="24"/>
        </w:rPr>
      </w:pPr>
      <w:r w:rsidRPr="00BF61B0">
        <w:rPr>
          <w:sz w:val="24"/>
        </w:rPr>
        <w:t>2.6.5</w:t>
      </w:r>
      <w:r w:rsidRPr="00BF61B0">
        <w:rPr>
          <w:sz w:val="24"/>
        </w:rPr>
        <w:tab/>
        <w:t xml:space="preserve">Have flexible logistics and delivery capability throughout the United Kingdom to service Buyer requirements and ensure all deliveries are within normal working office hours unless requested specifically by the Buyer. </w:t>
      </w:r>
    </w:p>
    <w:p w14:paraId="00000074" w14:textId="3166B741" w:rsidR="00DF0C77" w:rsidRPr="00B159DB" w:rsidRDefault="00CD2062">
      <w:pPr>
        <w:rPr>
          <w:sz w:val="24"/>
        </w:rPr>
      </w:pPr>
      <w:r w:rsidRPr="00BF61B0">
        <w:rPr>
          <w:sz w:val="24"/>
        </w:rPr>
        <w:t>2.6</w:t>
      </w:r>
      <w:r w:rsidRPr="00BF61B0">
        <w:rPr>
          <w:sz w:val="24"/>
          <w:szCs w:val="24"/>
        </w:rPr>
        <w:t>.6</w:t>
      </w:r>
      <w:r w:rsidRPr="00BF61B0">
        <w:rPr>
          <w:sz w:val="24"/>
          <w:szCs w:val="24"/>
        </w:rPr>
        <w:tab/>
        <w:t xml:space="preserve">Account Management – the Supplier shall provide at all times to </w:t>
      </w:r>
      <w:r w:rsidR="00D16EC9" w:rsidRPr="00BF61B0">
        <w:rPr>
          <w:sz w:val="24"/>
          <w:szCs w:val="24"/>
        </w:rPr>
        <w:t xml:space="preserve">Buyers </w:t>
      </w:r>
      <w:r w:rsidRPr="00BF61B0">
        <w:rPr>
          <w:sz w:val="24"/>
          <w:szCs w:val="24"/>
        </w:rPr>
        <w:t>a single point of contact, via a registered generic (i.e. non-personal) email address and telephone number. The minimum acceptable timescale for a response is 2 Working Days.  The single point of contact will be required to perform</w:t>
      </w:r>
      <w:r w:rsidRPr="00B159DB">
        <w:rPr>
          <w:sz w:val="24"/>
        </w:rPr>
        <w:t xml:space="preserve">: </w:t>
      </w:r>
    </w:p>
    <w:p w14:paraId="00000075" w14:textId="77777777" w:rsidR="00DF0C77" w:rsidRPr="00B159DB" w:rsidRDefault="00CD2062">
      <w:pPr>
        <w:ind w:firstLine="720"/>
        <w:rPr>
          <w:sz w:val="24"/>
        </w:rPr>
      </w:pPr>
      <w:r w:rsidRPr="00B159DB">
        <w:rPr>
          <w:sz w:val="24"/>
        </w:rPr>
        <w:t xml:space="preserve">(i) Query management </w:t>
      </w:r>
    </w:p>
    <w:p w14:paraId="00000076" w14:textId="19DB633B" w:rsidR="00DF0C77" w:rsidRPr="00B159DB" w:rsidRDefault="00113BD3">
      <w:pPr>
        <w:ind w:firstLine="720"/>
        <w:rPr>
          <w:sz w:val="24"/>
        </w:rPr>
      </w:pPr>
      <w:r>
        <w:rPr>
          <w:sz w:val="24"/>
        </w:rPr>
        <w:t>(ii) I</w:t>
      </w:r>
      <w:r w:rsidR="00CD2062" w:rsidRPr="00B159DB">
        <w:rPr>
          <w:sz w:val="24"/>
        </w:rPr>
        <w:t xml:space="preserve">ssue resolution </w:t>
      </w:r>
    </w:p>
    <w:p w14:paraId="00000077" w14:textId="4A601094" w:rsidR="00DF0C77" w:rsidRPr="00B159DB" w:rsidRDefault="00CD2062">
      <w:pPr>
        <w:ind w:firstLine="720"/>
        <w:rPr>
          <w:sz w:val="24"/>
        </w:rPr>
      </w:pPr>
      <w:r w:rsidRPr="00B159DB">
        <w:rPr>
          <w:sz w:val="24"/>
        </w:rPr>
        <w:t xml:space="preserve">(iii) </w:t>
      </w:r>
      <w:r w:rsidR="00113BD3">
        <w:rPr>
          <w:sz w:val="24"/>
        </w:rPr>
        <w:t>E</w:t>
      </w:r>
      <w:r w:rsidRPr="00B159DB">
        <w:rPr>
          <w:sz w:val="24"/>
        </w:rPr>
        <w:t xml:space="preserve">nsuring accuracy and details of catalogue content </w:t>
      </w:r>
    </w:p>
    <w:p w14:paraId="00000078" w14:textId="6C017D05" w:rsidR="00DF0C77" w:rsidRPr="00B159DB" w:rsidRDefault="00113BD3">
      <w:pPr>
        <w:ind w:firstLine="720"/>
        <w:rPr>
          <w:sz w:val="24"/>
        </w:rPr>
      </w:pPr>
      <w:r>
        <w:rPr>
          <w:sz w:val="24"/>
        </w:rPr>
        <w:t>(iv) H</w:t>
      </w:r>
      <w:r w:rsidR="00CD2062" w:rsidRPr="00B159DB">
        <w:rPr>
          <w:sz w:val="24"/>
        </w:rPr>
        <w:t xml:space="preserve">andling complaints and customer feedback. </w:t>
      </w:r>
    </w:p>
    <w:p w14:paraId="00000079" w14:textId="215FA964" w:rsidR="00DF0C77" w:rsidRPr="00B159DB" w:rsidRDefault="00113BD3">
      <w:pPr>
        <w:ind w:firstLine="720"/>
        <w:rPr>
          <w:sz w:val="24"/>
        </w:rPr>
      </w:pPr>
      <w:r>
        <w:rPr>
          <w:sz w:val="24"/>
        </w:rPr>
        <w:t>(v) P</w:t>
      </w:r>
      <w:r w:rsidR="00CD2062" w:rsidRPr="00B159DB">
        <w:rPr>
          <w:sz w:val="24"/>
        </w:rPr>
        <w:t xml:space="preserve">roof of product descriptions </w:t>
      </w:r>
    </w:p>
    <w:p w14:paraId="0000007A" w14:textId="77777777" w:rsidR="00DF0C77" w:rsidRPr="00B159DB" w:rsidRDefault="00CD2062">
      <w:pPr>
        <w:rPr>
          <w:sz w:val="24"/>
        </w:rPr>
      </w:pPr>
      <w:r w:rsidRPr="00B159DB">
        <w:rPr>
          <w:sz w:val="24"/>
        </w:rPr>
        <w:t>2.6.7</w:t>
      </w:r>
      <w:r w:rsidRPr="00B159DB">
        <w:rPr>
          <w:sz w:val="24"/>
        </w:rPr>
        <w:tab/>
        <w:t xml:space="preserve">Have in place processes for rapid resolution of invoicing queries with defined acknowledgment times and resolution timescales.  </w:t>
      </w:r>
    </w:p>
    <w:p w14:paraId="0000007B" w14:textId="2280E826" w:rsidR="00DF0C77" w:rsidRPr="00B159DB" w:rsidRDefault="00CD2062">
      <w:pPr>
        <w:rPr>
          <w:sz w:val="24"/>
        </w:rPr>
      </w:pPr>
      <w:r w:rsidRPr="00B159DB">
        <w:rPr>
          <w:sz w:val="24"/>
        </w:rPr>
        <w:t>2.6.8</w:t>
      </w:r>
      <w:r w:rsidRPr="00B159DB">
        <w:rPr>
          <w:sz w:val="24"/>
        </w:rPr>
        <w:tab/>
        <w:t xml:space="preserve">Purchase to Pay – if required by a </w:t>
      </w:r>
      <w:r w:rsidR="00D16EC9">
        <w:rPr>
          <w:sz w:val="24"/>
        </w:rPr>
        <w:t>Buyer,</w:t>
      </w:r>
      <w:r w:rsidRPr="00B159DB">
        <w:rPr>
          <w:sz w:val="24"/>
        </w:rPr>
        <w:t xml:space="preserve"> a Supplier shall provide Supplier catalogue content for a </w:t>
      </w:r>
      <w:r w:rsidR="00D16EC9">
        <w:rPr>
          <w:sz w:val="24"/>
        </w:rPr>
        <w:t>Buyer</w:t>
      </w:r>
      <w:r w:rsidRPr="00B159DB">
        <w:rPr>
          <w:sz w:val="24"/>
        </w:rPr>
        <w:t xml:space="preserve"> to use in their own P2P system to facilitate on-line order management, including by way of punch-out capability. </w:t>
      </w:r>
    </w:p>
    <w:p w14:paraId="0000007C" w14:textId="41B9247D" w:rsidR="00DF0C77" w:rsidRPr="00B159DB" w:rsidRDefault="00CD2062">
      <w:pPr>
        <w:rPr>
          <w:sz w:val="24"/>
        </w:rPr>
      </w:pPr>
      <w:r w:rsidRPr="00B159DB">
        <w:rPr>
          <w:sz w:val="24"/>
        </w:rPr>
        <w:t>2.6.9</w:t>
      </w:r>
      <w:r w:rsidRPr="00B159DB">
        <w:rPr>
          <w:sz w:val="24"/>
        </w:rPr>
        <w:tab/>
        <w:t xml:space="preserve">Where required by a </w:t>
      </w:r>
      <w:r w:rsidR="00D16EC9">
        <w:rPr>
          <w:sz w:val="24"/>
        </w:rPr>
        <w:t>Buyer</w:t>
      </w:r>
      <w:r w:rsidRPr="00B159DB">
        <w:rPr>
          <w:sz w:val="24"/>
        </w:rPr>
        <w:t xml:space="preserve">, the supplier will provide enhanced web capability external to P2P systems, for example, provision of </w:t>
      </w:r>
      <w:r w:rsidR="00D16EC9">
        <w:rPr>
          <w:sz w:val="24"/>
        </w:rPr>
        <w:t>Buyer</w:t>
      </w:r>
      <w:r w:rsidRPr="00B159DB">
        <w:rPr>
          <w:sz w:val="24"/>
        </w:rPr>
        <w:t xml:space="preserve"> specific catalogues. </w:t>
      </w:r>
    </w:p>
    <w:p w14:paraId="0000007D" w14:textId="4ACFD73C" w:rsidR="00DF0C77" w:rsidRPr="00B159DB" w:rsidRDefault="00CD2062">
      <w:pPr>
        <w:rPr>
          <w:sz w:val="24"/>
        </w:rPr>
      </w:pPr>
      <w:r w:rsidRPr="00B159DB">
        <w:rPr>
          <w:sz w:val="24"/>
        </w:rPr>
        <w:t>2.6.10</w:t>
      </w:r>
      <w:r w:rsidRPr="00B159DB">
        <w:rPr>
          <w:sz w:val="24"/>
        </w:rPr>
        <w:tab/>
        <w:t xml:space="preserve">Payment - Contacting Bodies will require payment to be made either by credit/debit card (directly to the Supplier) or through credit accounts and purchase orders - either electronically or manually as specified by the Authority and/or the </w:t>
      </w:r>
      <w:r w:rsidR="00D16EC9">
        <w:rPr>
          <w:sz w:val="24"/>
        </w:rPr>
        <w:t>Buyer</w:t>
      </w:r>
      <w:r w:rsidRPr="00B159DB">
        <w:rPr>
          <w:sz w:val="24"/>
        </w:rPr>
        <w:t>.  The supplier will have the ability to accept credit/debit card payments, and the ability to invoice correctly against customer purchase orders.</w:t>
      </w:r>
    </w:p>
    <w:p w14:paraId="0000007E" w14:textId="77777777" w:rsidR="00DF0C77" w:rsidRPr="00B159DB" w:rsidRDefault="00CD2062">
      <w:pPr>
        <w:rPr>
          <w:sz w:val="24"/>
        </w:rPr>
      </w:pPr>
      <w:r w:rsidRPr="00B159DB">
        <w:rPr>
          <w:sz w:val="24"/>
        </w:rPr>
        <w:t>2.6.11</w:t>
      </w:r>
      <w:r w:rsidRPr="00B159DB">
        <w:rPr>
          <w:sz w:val="24"/>
        </w:rPr>
        <w:tab/>
        <w:t xml:space="preserve">As required from time to time, the supplier will provide additional catalogue content/information/functionality at the request of the Authority as the catalogue platform develops over the term of this Framework Agreement. </w:t>
      </w:r>
    </w:p>
    <w:p w14:paraId="0000007F" w14:textId="77777777" w:rsidR="00DF0C77" w:rsidRPr="00B159DB" w:rsidRDefault="00DF0C77">
      <w:pPr>
        <w:rPr>
          <w:b/>
          <w:sz w:val="24"/>
        </w:rPr>
      </w:pPr>
    </w:p>
    <w:p w14:paraId="00000080" w14:textId="77777777" w:rsidR="00DF0C77" w:rsidRPr="00B159DB" w:rsidRDefault="00CD2062">
      <w:pPr>
        <w:rPr>
          <w:sz w:val="24"/>
        </w:rPr>
      </w:pPr>
      <w:r w:rsidRPr="00B159DB">
        <w:rPr>
          <w:sz w:val="24"/>
        </w:rPr>
        <w:t>2.7 Platform Requirements</w:t>
      </w:r>
    </w:p>
    <w:p w14:paraId="00000081" w14:textId="77777777" w:rsidR="00DF0C77" w:rsidRPr="00B159DB" w:rsidRDefault="00CD2062">
      <w:pPr>
        <w:rPr>
          <w:sz w:val="24"/>
        </w:rPr>
      </w:pPr>
      <w:r w:rsidRPr="00B159DB">
        <w:rPr>
          <w:sz w:val="24"/>
        </w:rPr>
        <w:t>These are our requirements specific to engaging with the platform for this framework.</w:t>
      </w:r>
    </w:p>
    <w:p w14:paraId="00000082" w14:textId="26979A07" w:rsidR="00DF0C77" w:rsidRPr="00B159DB" w:rsidRDefault="00CD2062">
      <w:pPr>
        <w:rPr>
          <w:sz w:val="24"/>
        </w:rPr>
      </w:pPr>
      <w:r w:rsidRPr="00B159DB">
        <w:rPr>
          <w:sz w:val="24"/>
        </w:rPr>
        <w:t>2.7.1</w:t>
      </w:r>
      <w:r w:rsidRPr="00B159DB">
        <w:rPr>
          <w:sz w:val="24"/>
        </w:rPr>
        <w:tab/>
        <w:t>The Supplier will have the ability and capacity to interact with the cat</w:t>
      </w:r>
      <w:r w:rsidR="00BE045B" w:rsidRPr="00B159DB">
        <w:rPr>
          <w:sz w:val="24"/>
        </w:rPr>
        <w:t>alogue platform.   D</w:t>
      </w:r>
      <w:r w:rsidRPr="00B159DB">
        <w:rPr>
          <w:sz w:val="24"/>
        </w:rPr>
        <w:t>etails of the platform requirements including the onboarding process and the supplier feed attributes required for uploading price li</w:t>
      </w:r>
      <w:r w:rsidR="00BF61B0">
        <w:rPr>
          <w:sz w:val="24"/>
        </w:rPr>
        <w:t>sts can be found in the document</w:t>
      </w:r>
      <w:r w:rsidRPr="00B159DB">
        <w:rPr>
          <w:sz w:val="24"/>
        </w:rPr>
        <w:t xml:space="preserve"> ‘</w:t>
      </w:r>
      <w:hyperlink r:id="rId13" w:anchor="gid=0">
        <w:r w:rsidRPr="00BF61B0">
          <w:rPr>
            <w:sz w:val="24"/>
          </w:rPr>
          <w:t>Tech Products Platform Attributes</w:t>
        </w:r>
      </w:hyperlink>
      <w:r w:rsidRPr="00B159DB">
        <w:rPr>
          <w:sz w:val="24"/>
        </w:rPr>
        <w:t>’</w:t>
      </w:r>
      <w:r w:rsidR="00BF61B0">
        <w:rPr>
          <w:sz w:val="24"/>
        </w:rPr>
        <w:t xml:space="preserve"> at Annex 1 below</w:t>
      </w:r>
      <w:r w:rsidRPr="00B159DB">
        <w:rPr>
          <w:sz w:val="24"/>
        </w:rPr>
        <w:t>.  Suppliers will be required to engage with the platform for testing within 10 workin</w:t>
      </w:r>
      <w:r w:rsidR="00BF61B0">
        <w:rPr>
          <w:sz w:val="24"/>
        </w:rPr>
        <w:t>g days of receiving the Intention t</w:t>
      </w:r>
      <w:r w:rsidRPr="00B159DB">
        <w:rPr>
          <w:sz w:val="24"/>
        </w:rPr>
        <w:t xml:space="preserve">o Award letter. </w:t>
      </w:r>
    </w:p>
    <w:p w14:paraId="00000083" w14:textId="77777777" w:rsidR="00DF0C77" w:rsidRPr="00B159DB" w:rsidRDefault="00DF0C77">
      <w:pPr>
        <w:rPr>
          <w:b/>
          <w:sz w:val="24"/>
        </w:rPr>
      </w:pPr>
    </w:p>
    <w:p w14:paraId="00000084" w14:textId="77777777" w:rsidR="00DF0C77" w:rsidRDefault="00DF0C77"/>
    <w:p w14:paraId="00000085" w14:textId="77777777" w:rsidR="00DF0C77" w:rsidRDefault="00DF0C77"/>
    <w:p w14:paraId="00000086" w14:textId="298E478F" w:rsidR="00DF0C77" w:rsidRPr="00050382" w:rsidRDefault="00095B09" w:rsidP="00050382">
      <w:pPr>
        <w:pStyle w:val="Heading1"/>
        <w:jc w:val="center"/>
        <w:rPr>
          <w:b/>
        </w:rPr>
      </w:pPr>
      <w:bookmarkStart w:id="14" w:name="_Toc42588631"/>
      <w:r w:rsidRPr="00050382">
        <w:rPr>
          <w:b/>
        </w:rPr>
        <w:lastRenderedPageBreak/>
        <w:t>Annex 1</w:t>
      </w:r>
      <w:bookmarkEnd w:id="14"/>
    </w:p>
    <w:p w14:paraId="2AB980C8" w14:textId="77777777" w:rsidR="00095B09" w:rsidRDefault="00095B09"/>
    <w:bookmarkStart w:id="15" w:name="_GoBack"/>
    <w:p w14:paraId="525BF6B0" w14:textId="2AAA1D31" w:rsidR="00095B09" w:rsidRDefault="00646AAC" w:rsidP="00095B09">
      <w:pPr>
        <w:jc w:val="center"/>
      </w:pPr>
      <w:r>
        <w:object w:dxaOrig="1301" w:dyaOrig="850" w14:anchorId="11938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pt;height:42.5pt" o:ole="">
            <v:imagedata r:id="rId14" o:title=""/>
          </v:shape>
          <o:OLEObject Type="Embed" ProgID="Excel.Sheet.12" ShapeID="_x0000_i1029" DrawAspect="Icon" ObjectID="_1653711969" r:id="rId15"/>
        </w:object>
      </w:r>
      <w:bookmarkEnd w:id="15"/>
    </w:p>
    <w:sectPr w:rsidR="00095B09">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5CF07" w14:textId="77777777" w:rsidR="0038003A" w:rsidRDefault="0038003A">
      <w:pPr>
        <w:spacing w:line="240" w:lineRule="auto"/>
      </w:pPr>
      <w:r>
        <w:separator/>
      </w:r>
    </w:p>
  </w:endnote>
  <w:endnote w:type="continuationSeparator" w:id="0">
    <w:p w14:paraId="21A80D8A" w14:textId="77777777" w:rsidR="0038003A" w:rsidRDefault="00380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A" w14:textId="77777777" w:rsidR="00DF0C77" w:rsidRDefault="00CD2062">
    <w:pPr>
      <w:rPr>
        <w:sz w:val="18"/>
        <w:szCs w:val="18"/>
      </w:rPr>
    </w:pPr>
    <w:r>
      <w:rPr>
        <w:sz w:val="18"/>
        <w:szCs w:val="18"/>
      </w:rPr>
      <w:t>Framework Ref: RM 6147</w:t>
    </w:r>
  </w:p>
  <w:p w14:paraId="0000008B" w14:textId="77777777" w:rsidR="00DF0C77" w:rsidRDefault="00CD2062">
    <w:pPr>
      <w:rPr>
        <w:sz w:val="18"/>
        <w:szCs w:val="18"/>
      </w:rPr>
    </w:pPr>
    <w:r>
      <w:rPr>
        <w:sz w:val="18"/>
        <w:szCs w:val="18"/>
      </w:rPr>
      <w:t xml:space="preserve">Project Version: v1.0 </w:t>
    </w:r>
  </w:p>
  <w:p w14:paraId="0000008C" w14:textId="77777777" w:rsidR="00DF0C77" w:rsidRDefault="00CD2062">
    <w:pPr>
      <w:rPr>
        <w:sz w:val="18"/>
        <w:szCs w:val="18"/>
      </w:rPr>
    </w:pPr>
    <w:r>
      <w:rPr>
        <w:sz w:val="18"/>
        <w:szCs w:val="18"/>
      </w:rPr>
      <w:t>Model Version: v3.2</w:t>
    </w:r>
  </w:p>
  <w:p w14:paraId="0000008D" w14:textId="2D3B8A06" w:rsidR="00DF0C77" w:rsidRDefault="00CD2062">
    <w:pPr>
      <w:jc w:val="right"/>
      <w:rPr>
        <w:sz w:val="18"/>
        <w:szCs w:val="18"/>
      </w:rPr>
    </w:pPr>
    <w:r>
      <w:rPr>
        <w:sz w:val="18"/>
        <w:szCs w:val="18"/>
      </w:rPr>
      <w:fldChar w:fldCharType="begin"/>
    </w:r>
    <w:r>
      <w:rPr>
        <w:sz w:val="18"/>
        <w:szCs w:val="18"/>
      </w:rPr>
      <w:instrText>PAGE</w:instrText>
    </w:r>
    <w:r>
      <w:rPr>
        <w:sz w:val="18"/>
        <w:szCs w:val="18"/>
      </w:rPr>
      <w:fldChar w:fldCharType="separate"/>
    </w:r>
    <w:r w:rsidR="00646AA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AE21" w14:textId="77777777" w:rsidR="0038003A" w:rsidRDefault="0038003A">
      <w:pPr>
        <w:spacing w:line="240" w:lineRule="auto"/>
      </w:pPr>
      <w:r>
        <w:separator/>
      </w:r>
    </w:p>
  </w:footnote>
  <w:footnote w:type="continuationSeparator" w:id="0">
    <w:p w14:paraId="5E6FEF81" w14:textId="77777777" w:rsidR="0038003A" w:rsidRDefault="00380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DF0C77" w:rsidRDefault="00CD2062">
    <w:pPr>
      <w:rPr>
        <w:sz w:val="20"/>
        <w:szCs w:val="20"/>
      </w:rPr>
    </w:pPr>
    <w:r>
      <w:rPr>
        <w:sz w:val="20"/>
        <w:szCs w:val="20"/>
      </w:rPr>
      <w:t xml:space="preserve">Framework Schedule 1 (Specification) </w:t>
    </w:r>
  </w:p>
  <w:p w14:paraId="00000088" w14:textId="55AA96AF" w:rsidR="00DF0C77" w:rsidRDefault="008F4273">
    <w:pPr>
      <w:rPr>
        <w:sz w:val="20"/>
        <w:szCs w:val="20"/>
      </w:rPr>
    </w:pPr>
    <w:r>
      <w:rPr>
        <w:sz w:val="20"/>
        <w:szCs w:val="20"/>
      </w:rPr>
      <w:t>Crown Copyright 2020</w:t>
    </w:r>
    <w:r w:rsidR="00CD2062">
      <w:rPr>
        <w:sz w:val="20"/>
        <w:szCs w:val="20"/>
      </w:rPr>
      <w:t xml:space="preserve"> </w:t>
    </w:r>
  </w:p>
  <w:p w14:paraId="00000089" w14:textId="77777777" w:rsidR="00DF0C77" w:rsidRDefault="00DF0C7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159"/>
    <w:multiLevelType w:val="multilevel"/>
    <w:tmpl w:val="BFFEF70A"/>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3A7499"/>
    <w:multiLevelType w:val="multilevel"/>
    <w:tmpl w:val="C0F87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436858"/>
    <w:multiLevelType w:val="hybridMultilevel"/>
    <w:tmpl w:val="129E9E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EBF16F5"/>
    <w:multiLevelType w:val="multilevel"/>
    <w:tmpl w:val="E7C05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77"/>
    <w:rsid w:val="00050382"/>
    <w:rsid w:val="00095B09"/>
    <w:rsid w:val="00113BD3"/>
    <w:rsid w:val="00187A64"/>
    <w:rsid w:val="001B56FE"/>
    <w:rsid w:val="00260AD5"/>
    <w:rsid w:val="00265E97"/>
    <w:rsid w:val="00370C70"/>
    <w:rsid w:val="0038003A"/>
    <w:rsid w:val="0041494F"/>
    <w:rsid w:val="00482EA4"/>
    <w:rsid w:val="004A20B6"/>
    <w:rsid w:val="00646AAC"/>
    <w:rsid w:val="00755191"/>
    <w:rsid w:val="007E5697"/>
    <w:rsid w:val="008F4273"/>
    <w:rsid w:val="00B159DB"/>
    <w:rsid w:val="00BE045B"/>
    <w:rsid w:val="00BF61B0"/>
    <w:rsid w:val="00C972E4"/>
    <w:rsid w:val="00CD2062"/>
    <w:rsid w:val="00D16EC9"/>
    <w:rsid w:val="00D50299"/>
    <w:rsid w:val="00DF0C77"/>
    <w:rsid w:val="00F311B4"/>
    <w:rsid w:val="00F72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357E"/>
  <w15:docId w15:val="{F681F85F-D3A7-4417-8D36-8A863938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159DB"/>
    <w:pPr>
      <w:ind w:left="720"/>
      <w:contextualSpacing/>
    </w:pPr>
  </w:style>
  <w:style w:type="paragraph" w:styleId="Header">
    <w:name w:val="header"/>
    <w:basedOn w:val="Normal"/>
    <w:link w:val="HeaderChar"/>
    <w:uiPriority w:val="99"/>
    <w:unhideWhenUsed/>
    <w:rsid w:val="008F4273"/>
    <w:pPr>
      <w:tabs>
        <w:tab w:val="center" w:pos="4513"/>
        <w:tab w:val="right" w:pos="9026"/>
      </w:tabs>
      <w:spacing w:line="240" w:lineRule="auto"/>
    </w:pPr>
  </w:style>
  <w:style w:type="character" w:customStyle="1" w:styleId="HeaderChar">
    <w:name w:val="Header Char"/>
    <w:basedOn w:val="DefaultParagraphFont"/>
    <w:link w:val="Header"/>
    <w:uiPriority w:val="99"/>
    <w:rsid w:val="008F4273"/>
  </w:style>
  <w:style w:type="paragraph" w:styleId="Footer">
    <w:name w:val="footer"/>
    <w:basedOn w:val="Normal"/>
    <w:link w:val="FooterChar"/>
    <w:uiPriority w:val="99"/>
    <w:unhideWhenUsed/>
    <w:rsid w:val="008F4273"/>
    <w:pPr>
      <w:tabs>
        <w:tab w:val="center" w:pos="4513"/>
        <w:tab w:val="right" w:pos="9026"/>
      </w:tabs>
      <w:spacing w:line="240" w:lineRule="auto"/>
    </w:pPr>
  </w:style>
  <w:style w:type="character" w:customStyle="1" w:styleId="FooterChar">
    <w:name w:val="Footer Char"/>
    <w:basedOn w:val="DefaultParagraphFont"/>
    <w:link w:val="Footer"/>
    <w:uiPriority w:val="99"/>
    <w:rsid w:val="008F4273"/>
  </w:style>
  <w:style w:type="paragraph" w:styleId="TOCHeading">
    <w:name w:val="TOC Heading"/>
    <w:basedOn w:val="Heading1"/>
    <w:next w:val="Normal"/>
    <w:uiPriority w:val="39"/>
    <w:unhideWhenUsed/>
    <w:qFormat/>
    <w:rsid w:val="00265E9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1B56FE"/>
    <w:pPr>
      <w:spacing w:after="100"/>
    </w:pPr>
  </w:style>
  <w:style w:type="character" w:styleId="Hyperlink">
    <w:name w:val="Hyperlink"/>
    <w:basedOn w:val="DefaultParagraphFont"/>
    <w:uiPriority w:val="99"/>
    <w:unhideWhenUsed/>
    <w:rsid w:val="001B5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3804" TargetMode="External"/><Relationship Id="rId13" Type="http://schemas.openxmlformats.org/officeDocument/2006/relationships/hyperlink" Target="https://docs.google.com/spreadsheets/d/1I-OlG-yhd-WspvdisnJcdOLSdN1vG_BGv9GHR704bm4/edit?ts=5eabc0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vironment-agency.gov.uk/business/topics/waste/32084.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ility-in-information-and-communication-technology-ict-a-defra-guide" TargetMode="Externa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yperlink" Target="https://www.gov.uk/guidance/prompt-payment-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lierregistration.cabinetoffice.gov.uk/msat"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EA1A-DAD5-435B-8225-8788B699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Ackers</dc:creator>
  <cp:lastModifiedBy>Philip Ackers</cp:lastModifiedBy>
  <cp:revision>2</cp:revision>
  <dcterms:created xsi:type="dcterms:W3CDTF">2020-06-15T06:40:00Z</dcterms:created>
  <dcterms:modified xsi:type="dcterms:W3CDTF">2020-06-15T06:40:00Z</dcterms:modified>
</cp:coreProperties>
</file>