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E1599FF" w:rsidR="00A57128" w:rsidRPr="007E0083" w:rsidRDefault="00A57128" w:rsidP="00EE71A2">
      <w:pPr>
        <w:pStyle w:val="Heading1"/>
      </w:pPr>
      <w:r w:rsidRPr="007E0083">
        <w:t>Title:</w:t>
      </w:r>
      <w:r w:rsidR="00E12130" w:rsidRPr="00E12130">
        <w:t xml:space="preserve"> </w:t>
      </w:r>
      <w:r w:rsidR="00DE58EB">
        <w:t>T Level</w:t>
      </w:r>
      <w:r w:rsidR="00E12130" w:rsidRPr="00944D69">
        <w:t>s Transition Programme Phased Implementation Research</w:t>
      </w:r>
    </w:p>
    <w:p w14:paraId="2B434E3D" w14:textId="3AE325B8" w:rsidR="00A57128" w:rsidRPr="007E0083" w:rsidRDefault="00A57128" w:rsidP="00A57128">
      <w:pPr>
        <w:rPr>
          <w:b/>
        </w:rPr>
      </w:pPr>
      <w:r w:rsidRPr="007E0083">
        <w:rPr>
          <w:b/>
        </w:rPr>
        <w:t xml:space="preserve">Project reference: </w:t>
      </w:r>
      <w:r w:rsidR="00A854BE">
        <w:rPr>
          <w:b/>
        </w:rPr>
        <w:t>DFERPPU/2019/012</w:t>
      </w:r>
    </w:p>
    <w:p w14:paraId="501D40E4" w14:textId="6CD4A43A" w:rsidR="00A57128" w:rsidRDefault="00A57128" w:rsidP="00A57128">
      <w:pPr>
        <w:rPr>
          <w:b/>
        </w:rPr>
      </w:pPr>
      <w:r w:rsidRPr="007E0083">
        <w:rPr>
          <w:b/>
        </w:rPr>
        <w:t>Deadline for expressions of interest:</w:t>
      </w:r>
      <w:r w:rsidR="00E12130">
        <w:rPr>
          <w:b/>
        </w:rPr>
        <w:t xml:space="preserve"> 5pm on 12/08/19</w:t>
      </w:r>
    </w:p>
    <w:p w14:paraId="34AD335E" w14:textId="4E93D9AE" w:rsidR="00DE58EB" w:rsidRPr="007E0083" w:rsidRDefault="00DE58EB" w:rsidP="00A57128">
      <w:pPr>
        <w:rPr>
          <w:b/>
        </w:rPr>
      </w:pPr>
      <w:r>
        <w:rPr>
          <w:b/>
        </w:rPr>
        <w:t>Word limit: 1,000</w:t>
      </w:r>
    </w:p>
    <w:p w14:paraId="0CFBF484" w14:textId="5A1520E7" w:rsidR="00A57128" w:rsidRPr="00BA6392" w:rsidRDefault="00A57128" w:rsidP="001F2CE2">
      <w:pPr>
        <w:pStyle w:val="Heading2"/>
        <w:rPr>
          <w:rFonts w:cs="Arial"/>
        </w:rPr>
      </w:pPr>
      <w:r w:rsidRPr="00BA6392">
        <w:rPr>
          <w:rFonts w:cs="Arial"/>
        </w:rPr>
        <w:t>Summary</w:t>
      </w:r>
    </w:p>
    <w:p w14:paraId="720D3948" w14:textId="70B55496" w:rsidR="00C23B18" w:rsidRPr="00BA6392" w:rsidRDefault="001568EE" w:rsidP="000B264C">
      <w:pPr>
        <w:pStyle w:val="Default"/>
        <w:spacing w:line="276" w:lineRule="auto"/>
        <w:rPr>
          <w:sz w:val="22"/>
        </w:rPr>
      </w:pPr>
      <w:r>
        <w:rPr>
          <w:bCs/>
          <w:sz w:val="22"/>
        </w:rPr>
        <w:t xml:space="preserve">EOIs are being sought for research into the </w:t>
      </w:r>
      <w:r w:rsidR="0090500D">
        <w:rPr>
          <w:bCs/>
          <w:sz w:val="22"/>
        </w:rPr>
        <w:t xml:space="preserve">T Level </w:t>
      </w:r>
      <w:r w:rsidR="001E7E29">
        <w:rPr>
          <w:bCs/>
          <w:sz w:val="22"/>
        </w:rPr>
        <w:t>T</w:t>
      </w:r>
      <w:r w:rsidR="0090500D">
        <w:rPr>
          <w:bCs/>
          <w:sz w:val="22"/>
        </w:rPr>
        <w:t xml:space="preserve">ransition </w:t>
      </w:r>
      <w:r w:rsidR="001E7E29">
        <w:rPr>
          <w:bCs/>
          <w:sz w:val="22"/>
        </w:rPr>
        <w:t>P</w:t>
      </w:r>
      <w:r w:rsidR="0090500D">
        <w:rPr>
          <w:bCs/>
          <w:sz w:val="22"/>
        </w:rPr>
        <w:t>rogramme</w:t>
      </w:r>
      <w:r w:rsidR="00C12457">
        <w:rPr>
          <w:bCs/>
          <w:sz w:val="22"/>
        </w:rPr>
        <w:t xml:space="preserve"> to</w:t>
      </w:r>
      <w:r>
        <w:rPr>
          <w:bCs/>
          <w:sz w:val="22"/>
        </w:rPr>
        <w:t xml:space="preserve"> inform future roll out. </w:t>
      </w:r>
      <w:r w:rsidR="00306368" w:rsidRPr="00BA6392">
        <w:rPr>
          <w:bCs/>
          <w:sz w:val="22"/>
        </w:rPr>
        <w:t xml:space="preserve">The </w:t>
      </w:r>
      <w:r>
        <w:rPr>
          <w:bCs/>
          <w:sz w:val="22"/>
        </w:rPr>
        <w:t xml:space="preserve">research will focus specifically on </w:t>
      </w:r>
      <w:r>
        <w:rPr>
          <w:sz w:val="22"/>
        </w:rPr>
        <w:t xml:space="preserve">providers views </w:t>
      </w:r>
      <w:r w:rsidR="004577E6">
        <w:rPr>
          <w:sz w:val="22"/>
        </w:rPr>
        <w:t xml:space="preserve">of </w:t>
      </w:r>
      <w:r>
        <w:rPr>
          <w:sz w:val="22"/>
        </w:rPr>
        <w:t>the preparation and implementation phases of phased implementation, including the</w:t>
      </w:r>
      <w:r w:rsidR="0090500D">
        <w:rPr>
          <w:sz w:val="22"/>
        </w:rPr>
        <w:t xml:space="preserve"> provider</w:t>
      </w:r>
      <w:r>
        <w:rPr>
          <w:sz w:val="22"/>
        </w:rPr>
        <w:t xml:space="preserve"> support package, early adopter </w:t>
      </w:r>
      <w:r w:rsidR="003C5F1F">
        <w:rPr>
          <w:sz w:val="22"/>
        </w:rPr>
        <w:t xml:space="preserve">development </w:t>
      </w:r>
      <w:r>
        <w:rPr>
          <w:sz w:val="22"/>
        </w:rPr>
        <w:t xml:space="preserve">fund and level of support </w:t>
      </w:r>
      <w:r w:rsidR="0090500D">
        <w:rPr>
          <w:sz w:val="22"/>
        </w:rPr>
        <w:t xml:space="preserve">providers </w:t>
      </w:r>
      <w:proofErr w:type="spellStart"/>
      <w:r>
        <w:rPr>
          <w:sz w:val="22"/>
        </w:rPr>
        <w:t>recieved</w:t>
      </w:r>
      <w:proofErr w:type="spellEnd"/>
      <w:r>
        <w:rPr>
          <w:sz w:val="22"/>
        </w:rPr>
        <w:t xml:space="preserve">. Alongside </w:t>
      </w:r>
      <w:r w:rsidR="007F3AA2">
        <w:rPr>
          <w:sz w:val="22"/>
        </w:rPr>
        <w:t>this the research will also ex</w:t>
      </w:r>
      <w:r w:rsidR="00377C93">
        <w:rPr>
          <w:sz w:val="22"/>
        </w:rPr>
        <w:t xml:space="preserve">plore </w:t>
      </w:r>
      <w:r>
        <w:rPr>
          <w:sz w:val="22"/>
        </w:rPr>
        <w:t>the views of learners</w:t>
      </w:r>
      <w:r w:rsidR="0090500D">
        <w:rPr>
          <w:sz w:val="22"/>
        </w:rPr>
        <w:t xml:space="preserve"> and those implementing the programme</w:t>
      </w:r>
      <w:r>
        <w:rPr>
          <w:sz w:val="22"/>
        </w:rPr>
        <w:t xml:space="preserve">. </w:t>
      </w:r>
    </w:p>
    <w:p w14:paraId="0BF9ADD3" w14:textId="46CAADE6" w:rsidR="00A57128" w:rsidRPr="00BA6392" w:rsidRDefault="00A57128" w:rsidP="001F2CE2">
      <w:pPr>
        <w:pStyle w:val="Heading2"/>
        <w:rPr>
          <w:rFonts w:cs="Arial"/>
        </w:rPr>
      </w:pPr>
      <w:r w:rsidRPr="00BA6392">
        <w:rPr>
          <w:rFonts w:cs="Arial"/>
        </w:rPr>
        <w:t>Background</w:t>
      </w:r>
    </w:p>
    <w:p w14:paraId="30BDDC36" w14:textId="0FD7F162" w:rsidR="000B264C" w:rsidRPr="00BA6392" w:rsidRDefault="00DE58EB" w:rsidP="000B264C">
      <w:pPr>
        <w:pStyle w:val="Numbered"/>
        <w:spacing w:line="276" w:lineRule="auto"/>
        <w:rPr>
          <w:rFonts w:cs="Arial"/>
          <w:color w:val="000000"/>
          <w:sz w:val="20"/>
          <w:szCs w:val="22"/>
        </w:rPr>
      </w:pPr>
      <w:r>
        <w:rPr>
          <w:rFonts w:cs="Arial"/>
          <w:color w:val="000000"/>
          <w:sz w:val="22"/>
          <w:szCs w:val="22"/>
        </w:rPr>
        <w:t>T Level</w:t>
      </w:r>
      <w:r w:rsidR="000B264C" w:rsidRPr="00BA6392">
        <w:rPr>
          <w:rFonts w:cs="Arial"/>
          <w:color w:val="000000"/>
          <w:sz w:val="22"/>
          <w:szCs w:val="22"/>
        </w:rPr>
        <w:t xml:space="preserve">s are new </w:t>
      </w:r>
      <w:proofErr w:type="gramStart"/>
      <w:r w:rsidR="000B264C" w:rsidRPr="00BA6392">
        <w:rPr>
          <w:rFonts w:cs="Arial"/>
          <w:color w:val="000000"/>
          <w:sz w:val="22"/>
          <w:szCs w:val="22"/>
        </w:rPr>
        <w:t>two year</w:t>
      </w:r>
      <w:proofErr w:type="gramEnd"/>
      <w:r w:rsidR="000B264C" w:rsidRPr="00BA6392">
        <w:rPr>
          <w:rFonts w:cs="Arial"/>
          <w:color w:val="000000"/>
          <w:sz w:val="22"/>
          <w:szCs w:val="22"/>
        </w:rPr>
        <w:t xml:space="preserve"> technical programmes </w:t>
      </w:r>
      <w:r w:rsidR="00127748">
        <w:rPr>
          <w:rFonts w:cs="Arial"/>
          <w:color w:val="000000"/>
          <w:sz w:val="22"/>
          <w:szCs w:val="22"/>
        </w:rPr>
        <w:t xml:space="preserve">being introduced from 2020 </w:t>
      </w:r>
      <w:r w:rsidR="000B264C" w:rsidRPr="00BA6392">
        <w:rPr>
          <w:rFonts w:cs="Arial"/>
          <w:color w:val="000000"/>
          <w:sz w:val="22"/>
          <w:szCs w:val="22"/>
        </w:rPr>
        <w:t xml:space="preserve">for young people aged 16 to 19 in England. They have been developed with employers and will combine classroom study with workplace experience, from which students can progress directly into work or further study. </w:t>
      </w:r>
      <w:r>
        <w:rPr>
          <w:rFonts w:cs="Arial"/>
          <w:color w:val="000000"/>
          <w:sz w:val="22"/>
          <w:szCs w:val="22"/>
        </w:rPr>
        <w:t>T Level</w:t>
      </w:r>
      <w:r w:rsidR="000B264C" w:rsidRPr="00BA6392">
        <w:rPr>
          <w:rFonts w:cs="Arial"/>
          <w:color w:val="000000"/>
          <w:sz w:val="22"/>
          <w:szCs w:val="22"/>
        </w:rPr>
        <w:t>s, alongside apprenticeships, will provide young people with a high-quality technical alternative to A levels</w:t>
      </w:r>
      <w:r w:rsidR="00514682">
        <w:rPr>
          <w:rStyle w:val="FootnoteReference"/>
          <w:rFonts w:cs="Arial"/>
          <w:color w:val="000000"/>
          <w:sz w:val="22"/>
          <w:szCs w:val="22"/>
        </w:rPr>
        <w:footnoteReference w:id="1"/>
      </w:r>
      <w:r w:rsidR="000B264C" w:rsidRPr="00BA6392">
        <w:rPr>
          <w:rFonts w:cs="Arial"/>
          <w:color w:val="000000"/>
          <w:sz w:val="22"/>
          <w:szCs w:val="22"/>
        </w:rPr>
        <w:t>.</w:t>
      </w:r>
      <w:r w:rsidR="00CB0D03" w:rsidRPr="00BA6392">
        <w:rPr>
          <w:rFonts w:cs="Arial"/>
          <w:color w:val="000000"/>
          <w:sz w:val="22"/>
          <w:szCs w:val="22"/>
        </w:rPr>
        <w:t xml:space="preserve"> </w:t>
      </w:r>
      <w:r w:rsidR="000B264C" w:rsidRPr="00BA6392">
        <w:rPr>
          <w:rFonts w:cs="Arial"/>
          <w:sz w:val="22"/>
          <w:lang w:val="en-US"/>
        </w:rPr>
        <w:t xml:space="preserve">Not all young people will be ready to start a </w:t>
      </w:r>
      <w:r>
        <w:rPr>
          <w:rFonts w:cs="Arial"/>
          <w:sz w:val="22"/>
          <w:lang w:val="en-US"/>
        </w:rPr>
        <w:t>T Level</w:t>
      </w:r>
      <w:r w:rsidR="000B264C" w:rsidRPr="00BA6392">
        <w:rPr>
          <w:rFonts w:cs="Arial"/>
          <w:sz w:val="22"/>
          <w:lang w:val="en-US"/>
        </w:rPr>
        <w:t xml:space="preserve"> at age 16. </w:t>
      </w:r>
      <w:r w:rsidR="000B264C" w:rsidRPr="00BA6392">
        <w:rPr>
          <w:rFonts w:cs="Arial"/>
          <w:sz w:val="22"/>
        </w:rPr>
        <w:t xml:space="preserve">A tailored transition programme for </w:t>
      </w:r>
      <w:r>
        <w:rPr>
          <w:rFonts w:cs="Arial"/>
          <w:sz w:val="22"/>
        </w:rPr>
        <w:t>T Level</w:t>
      </w:r>
      <w:r w:rsidR="000B264C" w:rsidRPr="00BA6392">
        <w:rPr>
          <w:rFonts w:cs="Arial"/>
          <w:sz w:val="22"/>
        </w:rPr>
        <w:t xml:space="preserve">s will provide a solid preparation phase that will give students the opportunity to develop the academic skills, technical skills, knowledge and behaviours required to progress to a </w:t>
      </w:r>
      <w:r>
        <w:rPr>
          <w:rFonts w:cs="Arial"/>
          <w:sz w:val="22"/>
        </w:rPr>
        <w:t>T Level</w:t>
      </w:r>
      <w:r w:rsidR="000B264C" w:rsidRPr="00BA6392">
        <w:rPr>
          <w:rFonts w:cs="Arial"/>
          <w:sz w:val="22"/>
        </w:rPr>
        <w:t xml:space="preserve">, and to successfully complete it. This will ensure that students who would not otherwise have been able to access a </w:t>
      </w:r>
      <w:r>
        <w:rPr>
          <w:rFonts w:cs="Arial"/>
          <w:sz w:val="22"/>
        </w:rPr>
        <w:t>T Level</w:t>
      </w:r>
      <w:r w:rsidR="000B264C" w:rsidRPr="00BA6392">
        <w:rPr>
          <w:rFonts w:cs="Arial"/>
          <w:sz w:val="22"/>
        </w:rPr>
        <w:t xml:space="preserve"> are well prepared to commence their chosen </w:t>
      </w:r>
      <w:r>
        <w:rPr>
          <w:rFonts w:cs="Arial"/>
          <w:sz w:val="22"/>
        </w:rPr>
        <w:t>T Level</w:t>
      </w:r>
      <w:r w:rsidR="000B264C" w:rsidRPr="00BA6392">
        <w:rPr>
          <w:rFonts w:cs="Arial"/>
          <w:sz w:val="22"/>
        </w:rPr>
        <w:t xml:space="preserve"> and are more likely to successfully complete it</w:t>
      </w:r>
      <w:r w:rsidR="008F0633">
        <w:rPr>
          <w:rStyle w:val="FootnoteReference"/>
          <w:rFonts w:cs="Arial"/>
          <w:sz w:val="22"/>
        </w:rPr>
        <w:footnoteReference w:id="2"/>
      </w:r>
      <w:r w:rsidR="000B264C" w:rsidRPr="00BA6392">
        <w:rPr>
          <w:rFonts w:cs="Arial"/>
          <w:sz w:val="22"/>
        </w:rPr>
        <w:t xml:space="preserve">. </w:t>
      </w:r>
    </w:p>
    <w:p w14:paraId="202BF821" w14:textId="467A137E" w:rsidR="000B264C" w:rsidRPr="00BA6392" w:rsidRDefault="000B264C" w:rsidP="00394482">
      <w:pPr>
        <w:pStyle w:val="DeptBullets"/>
        <w:numPr>
          <w:ilvl w:val="0"/>
          <w:numId w:val="0"/>
        </w:numPr>
        <w:spacing w:after="0" w:line="276" w:lineRule="auto"/>
        <w:rPr>
          <w:rFonts w:cs="Arial"/>
          <w:sz w:val="22"/>
        </w:rPr>
      </w:pPr>
      <w:r w:rsidRPr="00BA6392">
        <w:rPr>
          <w:rFonts w:cs="Arial"/>
          <w:sz w:val="22"/>
        </w:rPr>
        <w:t xml:space="preserve">The Department intends to provide a guiding framework which will set out key components that are nationally set, with flexibility for providers to package their </w:t>
      </w:r>
      <w:r w:rsidR="00DE58EB">
        <w:rPr>
          <w:rFonts w:cs="Arial"/>
          <w:sz w:val="22"/>
        </w:rPr>
        <w:t>T Level</w:t>
      </w:r>
      <w:r w:rsidRPr="00BA6392">
        <w:rPr>
          <w:rFonts w:cs="Arial"/>
          <w:sz w:val="22"/>
        </w:rPr>
        <w:t xml:space="preserve"> Transition Programme at a local </w:t>
      </w:r>
      <w:r w:rsidRPr="00BA6392">
        <w:rPr>
          <w:rFonts w:cs="Arial"/>
          <w:sz w:val="22"/>
        </w:rPr>
        <w:lastRenderedPageBreak/>
        <w:t>level to meet the needs of their students</w:t>
      </w:r>
      <w:r w:rsidR="005D2CD5">
        <w:rPr>
          <w:rFonts w:cs="Arial"/>
          <w:sz w:val="22"/>
        </w:rPr>
        <w:t xml:space="preserve">. </w:t>
      </w:r>
      <w:r w:rsidRPr="00BA6392">
        <w:rPr>
          <w:rFonts w:cs="Arial"/>
          <w:sz w:val="22"/>
        </w:rPr>
        <w:t xml:space="preserve">  </w:t>
      </w:r>
      <w:r w:rsidRPr="00BA6392">
        <w:rPr>
          <w:rFonts w:eastAsia="Arial" w:cs="Arial"/>
          <w:sz w:val="22"/>
          <w:szCs w:val="24"/>
        </w:rPr>
        <w:t>As with other study programmes it will be available for young people aged 16 to 19 and for young people with Education, Health and Care Plans up to academic age 25.</w:t>
      </w:r>
    </w:p>
    <w:p w14:paraId="0E57BF35" w14:textId="77777777" w:rsidR="000B264C" w:rsidRPr="00BA6392" w:rsidRDefault="000B264C" w:rsidP="00394482">
      <w:pPr>
        <w:pStyle w:val="DeptBullets"/>
        <w:numPr>
          <w:ilvl w:val="0"/>
          <w:numId w:val="0"/>
        </w:numPr>
        <w:spacing w:after="0" w:line="276" w:lineRule="auto"/>
        <w:rPr>
          <w:rFonts w:cs="Arial"/>
          <w:b/>
          <w:sz w:val="22"/>
        </w:rPr>
      </w:pPr>
    </w:p>
    <w:p w14:paraId="51DACC73" w14:textId="4A68B3E2" w:rsidR="000B264C" w:rsidRPr="00BA6392" w:rsidRDefault="000B264C" w:rsidP="00394482">
      <w:pPr>
        <w:pStyle w:val="DeptBullets"/>
        <w:numPr>
          <w:ilvl w:val="0"/>
          <w:numId w:val="0"/>
        </w:numPr>
        <w:spacing w:after="0" w:line="276" w:lineRule="auto"/>
        <w:rPr>
          <w:rFonts w:cs="Arial"/>
          <w:b/>
          <w:sz w:val="22"/>
        </w:rPr>
      </w:pPr>
      <w:r w:rsidRPr="00BA6392">
        <w:rPr>
          <w:rFonts w:cs="Arial"/>
          <w:sz w:val="22"/>
        </w:rPr>
        <w:t xml:space="preserve">The programme will be introduced through a phased implementation approach, working with the early </w:t>
      </w:r>
      <w:r w:rsidR="00DE58EB">
        <w:rPr>
          <w:rFonts w:cs="Arial"/>
          <w:sz w:val="22"/>
        </w:rPr>
        <w:t>T Level</w:t>
      </w:r>
      <w:r w:rsidRPr="00BA6392">
        <w:rPr>
          <w:rFonts w:cs="Arial"/>
          <w:sz w:val="22"/>
        </w:rPr>
        <w:t xml:space="preserve"> providers, to explore the effectiveness of different approaches. Initially we will have two rounds of phased implementation, leading up to delivery in September 2020 and September 2021, ahead of national roll out. Each round will consist of 3 phases: advisory panels, provider preparation year and implementation year. </w:t>
      </w:r>
      <w:r w:rsidR="00921AD1">
        <w:rPr>
          <w:rFonts w:cs="Arial"/>
          <w:sz w:val="22"/>
        </w:rPr>
        <w:t>Thirty-seven</w:t>
      </w:r>
      <w:r w:rsidR="00921AD1" w:rsidRPr="00BA6392">
        <w:rPr>
          <w:rFonts w:cs="Arial"/>
          <w:sz w:val="22"/>
        </w:rPr>
        <w:t xml:space="preserve"> </w:t>
      </w:r>
      <w:r w:rsidRPr="00BA6392">
        <w:rPr>
          <w:rFonts w:cs="Arial"/>
          <w:sz w:val="22"/>
        </w:rPr>
        <w:t>providers have signed up to be involved in the first round. The Association of Colleges (</w:t>
      </w:r>
      <w:proofErr w:type="spellStart"/>
      <w:r w:rsidRPr="00BA6392">
        <w:rPr>
          <w:rFonts w:cs="Arial"/>
          <w:sz w:val="22"/>
        </w:rPr>
        <w:t>AoC</w:t>
      </w:r>
      <w:proofErr w:type="spellEnd"/>
      <w:r w:rsidRPr="00BA6392">
        <w:rPr>
          <w:rFonts w:cs="Arial"/>
          <w:sz w:val="22"/>
        </w:rPr>
        <w:t>), working with their partners, The Challenge Network, have been appointed as the delivery agent to help support phased implementation</w:t>
      </w:r>
      <w:r w:rsidR="00B9348C">
        <w:rPr>
          <w:rFonts w:cs="Arial"/>
          <w:sz w:val="22"/>
        </w:rPr>
        <w:t>;</w:t>
      </w:r>
      <w:r w:rsidR="004242A7">
        <w:rPr>
          <w:rFonts w:cs="Arial"/>
          <w:sz w:val="22"/>
        </w:rPr>
        <w:t xml:space="preserve"> their role is to provide support to providers in preparing for and delivering the programme</w:t>
      </w:r>
      <w:r w:rsidRPr="00BA6392">
        <w:rPr>
          <w:rFonts w:cs="Arial"/>
          <w:sz w:val="22"/>
        </w:rPr>
        <w:t xml:space="preserve">. </w:t>
      </w:r>
      <w:r w:rsidR="00F567B3">
        <w:rPr>
          <w:rFonts w:cs="Arial"/>
          <w:sz w:val="22"/>
          <w:szCs w:val="22"/>
        </w:rPr>
        <w:t>An</w:t>
      </w:r>
      <w:r w:rsidR="00F567B3" w:rsidRPr="008F0633">
        <w:rPr>
          <w:rFonts w:cs="Arial"/>
          <w:sz w:val="22"/>
          <w:szCs w:val="22"/>
        </w:rPr>
        <w:t xml:space="preserve"> </w:t>
      </w:r>
      <w:r w:rsidR="00D37E4E" w:rsidRPr="008F0633">
        <w:rPr>
          <w:rFonts w:cs="Arial"/>
          <w:sz w:val="22"/>
          <w:szCs w:val="22"/>
        </w:rPr>
        <w:t>Early Adopter</w:t>
      </w:r>
      <w:r w:rsidR="003C5F1F">
        <w:rPr>
          <w:rFonts w:cs="Arial"/>
          <w:sz w:val="22"/>
          <w:szCs w:val="22"/>
        </w:rPr>
        <w:t xml:space="preserve"> Development </w:t>
      </w:r>
      <w:r w:rsidR="00D37E4E" w:rsidRPr="008F0633">
        <w:rPr>
          <w:rFonts w:cs="Arial"/>
          <w:sz w:val="22"/>
          <w:szCs w:val="22"/>
        </w:rPr>
        <w:t>Fund will also be available to providers</w:t>
      </w:r>
      <w:r w:rsidR="000108B2">
        <w:rPr>
          <w:rFonts w:cs="Arial"/>
          <w:sz w:val="22"/>
          <w:szCs w:val="22"/>
        </w:rPr>
        <w:t xml:space="preserve"> </w:t>
      </w:r>
      <w:r w:rsidR="001E7E29">
        <w:rPr>
          <w:rFonts w:cs="Arial"/>
          <w:sz w:val="22"/>
          <w:szCs w:val="22"/>
        </w:rPr>
        <w:t xml:space="preserve">taking part in this first round of </w:t>
      </w:r>
      <w:proofErr w:type="spellStart"/>
      <w:r w:rsidR="001E7E29">
        <w:rPr>
          <w:rFonts w:cs="Arial"/>
          <w:sz w:val="22"/>
          <w:szCs w:val="22"/>
        </w:rPr>
        <w:t>phasesd</w:t>
      </w:r>
      <w:proofErr w:type="spellEnd"/>
      <w:r w:rsidR="001E7E29">
        <w:rPr>
          <w:rFonts w:cs="Arial"/>
          <w:sz w:val="22"/>
          <w:szCs w:val="22"/>
        </w:rPr>
        <w:t xml:space="preserve"> implementation</w:t>
      </w:r>
      <w:r w:rsidR="00EE518B">
        <w:rPr>
          <w:rFonts w:cs="Arial"/>
          <w:sz w:val="22"/>
          <w:szCs w:val="22"/>
        </w:rPr>
        <w:t xml:space="preserve">. </w:t>
      </w:r>
      <w:r w:rsidR="00EE518B">
        <w:rPr>
          <w:sz w:val="22"/>
          <w:szCs w:val="22"/>
        </w:rPr>
        <w:t>T</w:t>
      </w:r>
      <w:r w:rsidR="00D37E4E" w:rsidRPr="008F0633">
        <w:rPr>
          <w:sz w:val="22"/>
          <w:szCs w:val="22"/>
        </w:rPr>
        <w:t>he funding is for one year only, to enable the</w:t>
      </w:r>
      <w:r w:rsidR="001E7E29">
        <w:rPr>
          <w:sz w:val="22"/>
          <w:szCs w:val="22"/>
        </w:rPr>
        <w:t>se</w:t>
      </w:r>
      <w:r w:rsidR="00D37E4E" w:rsidRPr="008F0633">
        <w:rPr>
          <w:sz w:val="22"/>
          <w:szCs w:val="22"/>
        </w:rPr>
        <w:t xml:space="preserve"> early providers to support the Department to co-create high quality courses</w:t>
      </w:r>
      <w:r w:rsidR="00D37E4E">
        <w:rPr>
          <w:sz w:val="22"/>
          <w:szCs w:val="22"/>
        </w:rPr>
        <w:t xml:space="preserve">. </w:t>
      </w:r>
    </w:p>
    <w:p w14:paraId="51E23609" w14:textId="77777777" w:rsidR="000B264C" w:rsidRPr="00BA6392" w:rsidRDefault="000B264C" w:rsidP="000B264C">
      <w:pPr>
        <w:pStyle w:val="Default"/>
        <w:spacing w:line="276" w:lineRule="auto"/>
        <w:rPr>
          <w:sz w:val="22"/>
        </w:rPr>
      </w:pPr>
    </w:p>
    <w:p w14:paraId="6E3FE470" w14:textId="77777777" w:rsidR="000B264C" w:rsidRPr="00BA6392" w:rsidRDefault="000B264C" w:rsidP="000B264C">
      <w:pPr>
        <w:pStyle w:val="Default"/>
        <w:spacing w:line="276" w:lineRule="auto"/>
        <w:rPr>
          <w:b/>
          <w:sz w:val="22"/>
        </w:rPr>
      </w:pPr>
      <w:r w:rsidRPr="00BA6392">
        <w:rPr>
          <w:b/>
          <w:sz w:val="22"/>
        </w:rPr>
        <w:t xml:space="preserve">Phased implementation approaches for round one and round two: </w:t>
      </w:r>
    </w:p>
    <w:p w14:paraId="242B8F7B" w14:textId="77777777" w:rsidR="000B264C" w:rsidRPr="00BA6392" w:rsidRDefault="000B264C" w:rsidP="000B264C">
      <w:pPr>
        <w:pStyle w:val="Default"/>
        <w:rPr>
          <w:b/>
        </w:rPr>
      </w:pPr>
    </w:p>
    <w:p w14:paraId="687E32A2" w14:textId="0F9E0614" w:rsidR="000B264C" w:rsidRPr="00BA6392" w:rsidRDefault="000B264C" w:rsidP="000B264C">
      <w:pPr>
        <w:pStyle w:val="Default"/>
        <w:rPr>
          <w:b/>
        </w:rPr>
      </w:pPr>
      <w:r w:rsidRPr="00BA6392">
        <w:rPr>
          <w:noProof/>
          <w:lang w:eastAsia="en-GB"/>
        </w:rPr>
        <w:drawing>
          <wp:inline distT="0" distB="0" distL="0" distR="0" wp14:anchorId="4F2957C2" wp14:editId="001889CB">
            <wp:extent cx="6400800" cy="1684748"/>
            <wp:effectExtent l="0" t="0" r="0" b="0"/>
            <wp:docPr id="5" name="Picture 5" descr="cid:image003.jpg@01D53BB3.8645B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3BB3.8645BE0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400800" cy="1684748"/>
                    </a:xfrm>
                    <a:prstGeom prst="rect">
                      <a:avLst/>
                    </a:prstGeom>
                    <a:noFill/>
                    <a:ln>
                      <a:noFill/>
                    </a:ln>
                  </pic:spPr>
                </pic:pic>
              </a:graphicData>
            </a:graphic>
          </wp:inline>
        </w:drawing>
      </w:r>
    </w:p>
    <w:p w14:paraId="2DA3BB87" w14:textId="31BE8D4C" w:rsidR="00A57128" w:rsidRPr="00BA6392" w:rsidRDefault="000B264C" w:rsidP="001F2CE2">
      <w:pPr>
        <w:pStyle w:val="Heading2"/>
        <w:rPr>
          <w:rFonts w:cs="Arial"/>
        </w:rPr>
      </w:pPr>
      <w:r w:rsidRPr="00BA6392">
        <w:rPr>
          <w:rFonts w:cs="Arial"/>
        </w:rPr>
        <w:t>Research</w:t>
      </w:r>
      <w:r w:rsidR="00A57128" w:rsidRPr="00BA6392">
        <w:rPr>
          <w:rFonts w:cs="Arial"/>
        </w:rPr>
        <w:t xml:space="preserve"> aims</w:t>
      </w:r>
    </w:p>
    <w:p w14:paraId="00861586" w14:textId="0C01DD6D" w:rsidR="000B264C" w:rsidRPr="00DE58EB" w:rsidRDefault="000B264C" w:rsidP="000B264C">
      <w:pPr>
        <w:pStyle w:val="DeptBullets"/>
        <w:numPr>
          <w:ilvl w:val="0"/>
          <w:numId w:val="0"/>
        </w:numPr>
        <w:tabs>
          <w:tab w:val="left" w:pos="720"/>
        </w:tabs>
        <w:spacing w:before="60" w:after="60"/>
        <w:rPr>
          <w:rFonts w:cs="Arial"/>
          <w:b/>
          <w:sz w:val="22"/>
          <w:szCs w:val="22"/>
        </w:rPr>
      </w:pPr>
      <w:r w:rsidRPr="00DE58EB">
        <w:rPr>
          <w:rFonts w:cs="Arial"/>
          <w:sz w:val="22"/>
          <w:szCs w:val="22"/>
        </w:rPr>
        <w:t xml:space="preserve">The overarching aim of this research is to understand how the </w:t>
      </w:r>
      <w:r w:rsidR="00DE58EB">
        <w:rPr>
          <w:rFonts w:cs="Arial"/>
          <w:sz w:val="22"/>
          <w:szCs w:val="22"/>
        </w:rPr>
        <w:t>T Level</w:t>
      </w:r>
      <w:r w:rsidRPr="00DE58EB">
        <w:rPr>
          <w:rFonts w:cs="Arial"/>
          <w:sz w:val="22"/>
          <w:szCs w:val="22"/>
        </w:rPr>
        <w:t xml:space="preserve"> Transition Programme support package (including the guiding framework, the delivery agent’s support and the early adopter fund) is being used by providers to plan, design and implement their </w:t>
      </w:r>
      <w:r w:rsidR="00DE58EB">
        <w:rPr>
          <w:rFonts w:cs="Arial"/>
          <w:sz w:val="22"/>
          <w:szCs w:val="22"/>
        </w:rPr>
        <w:t>T Level</w:t>
      </w:r>
      <w:r w:rsidRPr="00DE58EB">
        <w:rPr>
          <w:rFonts w:cs="Arial"/>
          <w:sz w:val="22"/>
          <w:szCs w:val="22"/>
        </w:rPr>
        <w:t xml:space="preserve"> Transition Programme.</w:t>
      </w:r>
    </w:p>
    <w:p w14:paraId="32F46483" w14:textId="77777777" w:rsidR="000B264C" w:rsidRPr="00DE58EB" w:rsidRDefault="000B264C" w:rsidP="000B264C">
      <w:pPr>
        <w:pStyle w:val="DeptBullets"/>
        <w:numPr>
          <w:ilvl w:val="0"/>
          <w:numId w:val="0"/>
        </w:numPr>
        <w:tabs>
          <w:tab w:val="left" w:pos="720"/>
        </w:tabs>
        <w:spacing w:before="60" w:after="60"/>
        <w:rPr>
          <w:rFonts w:cs="Arial"/>
          <w:sz w:val="22"/>
          <w:szCs w:val="22"/>
        </w:rPr>
      </w:pPr>
    </w:p>
    <w:p w14:paraId="64C0BD38" w14:textId="45942ADD" w:rsidR="000B264C" w:rsidRPr="00DE58EB" w:rsidRDefault="000B264C" w:rsidP="000B264C">
      <w:pPr>
        <w:pStyle w:val="DeptBullets"/>
        <w:numPr>
          <w:ilvl w:val="0"/>
          <w:numId w:val="0"/>
        </w:numPr>
        <w:tabs>
          <w:tab w:val="left" w:pos="720"/>
        </w:tabs>
        <w:spacing w:before="60" w:after="60"/>
        <w:rPr>
          <w:rFonts w:cs="Arial"/>
          <w:sz w:val="22"/>
          <w:szCs w:val="22"/>
        </w:rPr>
      </w:pPr>
      <w:r w:rsidRPr="00DE58EB">
        <w:rPr>
          <w:rFonts w:cs="Arial"/>
          <w:sz w:val="22"/>
          <w:szCs w:val="22"/>
        </w:rPr>
        <w:t xml:space="preserve">The </w:t>
      </w:r>
      <w:r w:rsidR="00393ADD" w:rsidRPr="00DE58EB">
        <w:rPr>
          <w:rFonts w:cs="Arial"/>
          <w:sz w:val="22"/>
          <w:szCs w:val="22"/>
        </w:rPr>
        <w:t xml:space="preserve">high level aims for this research </w:t>
      </w:r>
      <w:r w:rsidRPr="00DE58EB">
        <w:rPr>
          <w:rFonts w:cs="Arial"/>
          <w:sz w:val="22"/>
          <w:szCs w:val="22"/>
        </w:rPr>
        <w:t>are:</w:t>
      </w:r>
    </w:p>
    <w:p w14:paraId="51280B8F" w14:textId="1AE4BD09" w:rsidR="000B264C" w:rsidRPr="00DE58EB" w:rsidRDefault="000B264C" w:rsidP="000B264C">
      <w:pPr>
        <w:pStyle w:val="DeptBullets"/>
        <w:numPr>
          <w:ilvl w:val="0"/>
          <w:numId w:val="0"/>
        </w:numPr>
        <w:tabs>
          <w:tab w:val="left" w:pos="720"/>
        </w:tabs>
        <w:spacing w:before="60" w:after="60"/>
        <w:rPr>
          <w:rFonts w:cs="Arial"/>
          <w:sz w:val="22"/>
          <w:szCs w:val="22"/>
        </w:rPr>
      </w:pPr>
      <w:r w:rsidRPr="00DE58EB">
        <w:rPr>
          <w:rFonts w:cs="Arial"/>
          <w:b/>
          <w:sz w:val="22"/>
          <w:szCs w:val="22"/>
        </w:rPr>
        <w:t>Provider preparation year</w:t>
      </w:r>
    </w:p>
    <w:p w14:paraId="08505900" w14:textId="5E468A6E" w:rsidR="000B264C" w:rsidRPr="00DE58EB" w:rsidRDefault="00393ADD" w:rsidP="000B264C">
      <w:pPr>
        <w:pStyle w:val="DeptBullets"/>
        <w:widowControl/>
        <w:numPr>
          <w:ilvl w:val="0"/>
          <w:numId w:val="19"/>
        </w:numPr>
        <w:tabs>
          <w:tab w:val="left" w:pos="720"/>
        </w:tabs>
        <w:adjustRightInd/>
        <w:spacing w:before="60" w:after="60"/>
        <w:textAlignment w:val="auto"/>
        <w:rPr>
          <w:rFonts w:cs="Arial"/>
          <w:sz w:val="22"/>
          <w:szCs w:val="22"/>
        </w:rPr>
      </w:pPr>
      <w:r w:rsidRPr="00DE58EB">
        <w:rPr>
          <w:rFonts w:cs="Arial"/>
          <w:sz w:val="22"/>
          <w:szCs w:val="22"/>
        </w:rPr>
        <w:t xml:space="preserve">To understand providers views on the usefulness of the advisory panels and the guiding framework which the panels produced. </w:t>
      </w:r>
    </w:p>
    <w:p w14:paraId="533992C6" w14:textId="37A00E2A" w:rsidR="00393ADD" w:rsidRPr="00DE58EB" w:rsidRDefault="00393ADD" w:rsidP="000B264C">
      <w:pPr>
        <w:pStyle w:val="DeptBullets"/>
        <w:widowControl/>
        <w:numPr>
          <w:ilvl w:val="0"/>
          <w:numId w:val="19"/>
        </w:numPr>
        <w:tabs>
          <w:tab w:val="left" w:pos="720"/>
        </w:tabs>
        <w:adjustRightInd/>
        <w:spacing w:before="60" w:after="60"/>
        <w:textAlignment w:val="auto"/>
        <w:rPr>
          <w:rFonts w:cs="Arial"/>
          <w:sz w:val="22"/>
          <w:szCs w:val="22"/>
        </w:rPr>
      </w:pPr>
      <w:r w:rsidRPr="00DE58EB">
        <w:rPr>
          <w:rFonts w:cs="Arial"/>
          <w:sz w:val="22"/>
          <w:szCs w:val="22"/>
        </w:rPr>
        <w:t>To understand how providers felt about the support programme, including whether they felt ready at the end of the preparation year</w:t>
      </w:r>
      <w:r w:rsidR="00A86918" w:rsidRPr="00DE58EB">
        <w:rPr>
          <w:rFonts w:cs="Arial"/>
          <w:sz w:val="22"/>
          <w:szCs w:val="22"/>
        </w:rPr>
        <w:t xml:space="preserve"> for implementation</w:t>
      </w:r>
      <w:r w:rsidRPr="00DE58EB">
        <w:rPr>
          <w:rFonts w:cs="Arial"/>
          <w:sz w:val="22"/>
          <w:szCs w:val="22"/>
        </w:rPr>
        <w:t>.</w:t>
      </w:r>
    </w:p>
    <w:p w14:paraId="22544242" w14:textId="1354272E" w:rsidR="00393ADD" w:rsidRPr="00DE58EB" w:rsidRDefault="00393ADD" w:rsidP="000B264C">
      <w:pPr>
        <w:pStyle w:val="DeptBullets"/>
        <w:widowControl/>
        <w:numPr>
          <w:ilvl w:val="0"/>
          <w:numId w:val="19"/>
        </w:numPr>
        <w:tabs>
          <w:tab w:val="left" w:pos="720"/>
        </w:tabs>
        <w:adjustRightInd/>
        <w:spacing w:before="60" w:after="60"/>
        <w:textAlignment w:val="auto"/>
        <w:rPr>
          <w:rFonts w:cs="Arial"/>
          <w:sz w:val="22"/>
          <w:szCs w:val="22"/>
        </w:rPr>
      </w:pPr>
      <w:r w:rsidRPr="00DE58EB">
        <w:rPr>
          <w:rFonts w:cs="Arial"/>
          <w:sz w:val="22"/>
          <w:szCs w:val="22"/>
        </w:rPr>
        <w:t xml:space="preserve">To understand the challenges providers faced in implementing the </w:t>
      </w:r>
      <w:r w:rsidR="001E7E29">
        <w:rPr>
          <w:rFonts w:cs="Arial"/>
          <w:sz w:val="22"/>
          <w:szCs w:val="22"/>
        </w:rPr>
        <w:t>T Level T</w:t>
      </w:r>
      <w:r w:rsidRPr="00DE58EB">
        <w:rPr>
          <w:rFonts w:cs="Arial"/>
          <w:sz w:val="22"/>
          <w:szCs w:val="22"/>
        </w:rPr>
        <w:t xml:space="preserve">ransition </w:t>
      </w:r>
      <w:r w:rsidR="001E7E29">
        <w:rPr>
          <w:rFonts w:cs="Arial"/>
          <w:sz w:val="22"/>
          <w:szCs w:val="22"/>
        </w:rPr>
        <w:t>P</w:t>
      </w:r>
      <w:r w:rsidRPr="00DE58EB">
        <w:rPr>
          <w:rFonts w:cs="Arial"/>
          <w:sz w:val="22"/>
          <w:szCs w:val="22"/>
        </w:rPr>
        <w:t>rogramme.</w:t>
      </w:r>
    </w:p>
    <w:p w14:paraId="24075848" w14:textId="6C764D7E" w:rsidR="000B264C" w:rsidRPr="00DE58EB" w:rsidRDefault="00393ADD" w:rsidP="00393ADD">
      <w:pPr>
        <w:pStyle w:val="DeptBullets"/>
        <w:widowControl/>
        <w:numPr>
          <w:ilvl w:val="0"/>
          <w:numId w:val="19"/>
        </w:numPr>
        <w:tabs>
          <w:tab w:val="left" w:pos="720"/>
        </w:tabs>
        <w:adjustRightInd/>
        <w:spacing w:before="60" w:after="60"/>
        <w:textAlignment w:val="auto"/>
        <w:rPr>
          <w:rFonts w:cs="Arial"/>
          <w:b/>
          <w:bCs/>
          <w:sz w:val="22"/>
          <w:szCs w:val="22"/>
        </w:rPr>
      </w:pPr>
      <w:r w:rsidRPr="00DE58EB">
        <w:rPr>
          <w:rFonts w:cs="Arial"/>
          <w:sz w:val="22"/>
          <w:szCs w:val="22"/>
        </w:rPr>
        <w:t xml:space="preserve">To understand how providers felt about the early adopter fund and what they spent it on. </w:t>
      </w:r>
    </w:p>
    <w:p w14:paraId="4D3F764A" w14:textId="4D31AA52" w:rsidR="000B264C" w:rsidRPr="008F0633" w:rsidRDefault="009A16AF" w:rsidP="000B264C">
      <w:pPr>
        <w:pStyle w:val="DeptBullets"/>
        <w:widowControl/>
        <w:numPr>
          <w:ilvl w:val="0"/>
          <w:numId w:val="19"/>
        </w:numPr>
        <w:tabs>
          <w:tab w:val="left" w:pos="720"/>
        </w:tabs>
        <w:adjustRightInd/>
        <w:spacing w:before="60" w:after="60"/>
        <w:textAlignment w:val="auto"/>
        <w:rPr>
          <w:rFonts w:cs="Arial"/>
          <w:b/>
          <w:bCs/>
          <w:sz w:val="22"/>
          <w:szCs w:val="22"/>
        </w:rPr>
      </w:pPr>
      <w:r w:rsidRPr="00DE58EB">
        <w:rPr>
          <w:rFonts w:cs="Arial"/>
          <w:sz w:val="22"/>
          <w:szCs w:val="22"/>
        </w:rPr>
        <w:t xml:space="preserve">To understand the </w:t>
      </w:r>
      <w:r w:rsidR="000B264C" w:rsidRPr="00DE58EB">
        <w:rPr>
          <w:rFonts w:cs="Arial"/>
          <w:bCs/>
          <w:sz w:val="22"/>
          <w:szCs w:val="22"/>
        </w:rPr>
        <w:t>systems and processes providers put in place to bui</w:t>
      </w:r>
      <w:r w:rsidRPr="00DE58EB">
        <w:rPr>
          <w:rFonts w:cs="Arial"/>
          <w:bCs/>
          <w:sz w:val="22"/>
          <w:szCs w:val="22"/>
        </w:rPr>
        <w:t xml:space="preserve">ld readiness for implementation. </w:t>
      </w:r>
    </w:p>
    <w:p w14:paraId="16A9DA57" w14:textId="77777777" w:rsidR="000B264C" w:rsidRPr="00DE58EB" w:rsidRDefault="000B264C" w:rsidP="000B264C">
      <w:pPr>
        <w:pStyle w:val="DeptBullets"/>
        <w:numPr>
          <w:ilvl w:val="0"/>
          <w:numId w:val="0"/>
        </w:numPr>
        <w:tabs>
          <w:tab w:val="left" w:pos="720"/>
        </w:tabs>
        <w:spacing w:before="60" w:after="60"/>
        <w:rPr>
          <w:rFonts w:cs="Arial"/>
          <w:b/>
          <w:sz w:val="22"/>
          <w:szCs w:val="22"/>
        </w:rPr>
      </w:pPr>
    </w:p>
    <w:p w14:paraId="0D29ECD6" w14:textId="40C728B9" w:rsidR="000B264C" w:rsidRPr="00DE58EB" w:rsidRDefault="000B264C" w:rsidP="000B264C">
      <w:pPr>
        <w:pStyle w:val="DeptBullets"/>
        <w:numPr>
          <w:ilvl w:val="0"/>
          <w:numId w:val="0"/>
        </w:numPr>
        <w:tabs>
          <w:tab w:val="left" w:pos="720"/>
        </w:tabs>
        <w:spacing w:before="60" w:after="60"/>
        <w:rPr>
          <w:rFonts w:cs="Arial"/>
          <w:sz w:val="22"/>
          <w:szCs w:val="22"/>
        </w:rPr>
      </w:pPr>
      <w:r w:rsidRPr="00DE58EB">
        <w:rPr>
          <w:rFonts w:cs="Arial"/>
          <w:b/>
          <w:sz w:val="22"/>
          <w:szCs w:val="22"/>
        </w:rPr>
        <w:t>Implementation year</w:t>
      </w:r>
      <w:r w:rsidRPr="00DE58EB">
        <w:rPr>
          <w:rFonts w:cs="Arial"/>
          <w:sz w:val="22"/>
          <w:szCs w:val="22"/>
        </w:rPr>
        <w:t xml:space="preserve"> </w:t>
      </w:r>
    </w:p>
    <w:p w14:paraId="1C6F8E2F" w14:textId="44198D83" w:rsidR="000B264C" w:rsidRPr="00DE58EB" w:rsidRDefault="00DE2899" w:rsidP="000B264C">
      <w:pPr>
        <w:pStyle w:val="DeptBullets"/>
        <w:numPr>
          <w:ilvl w:val="0"/>
          <w:numId w:val="19"/>
        </w:numPr>
        <w:tabs>
          <w:tab w:val="left" w:pos="720"/>
        </w:tabs>
        <w:spacing w:before="60" w:after="60"/>
        <w:rPr>
          <w:rFonts w:cs="Arial"/>
          <w:b/>
          <w:sz w:val="22"/>
          <w:szCs w:val="22"/>
        </w:rPr>
      </w:pPr>
      <w:r w:rsidRPr="00DE58EB">
        <w:rPr>
          <w:rFonts w:cs="Arial"/>
          <w:sz w:val="22"/>
          <w:szCs w:val="22"/>
        </w:rPr>
        <w:t xml:space="preserve">To understand </w:t>
      </w:r>
      <w:r w:rsidR="000B264C" w:rsidRPr="00DE58EB">
        <w:rPr>
          <w:rFonts w:cs="Arial"/>
          <w:sz w:val="22"/>
          <w:szCs w:val="22"/>
        </w:rPr>
        <w:t xml:space="preserve">provider’s views on the perceived usefulness of the guiding framework </w:t>
      </w:r>
      <w:r w:rsidRPr="00DE58EB">
        <w:rPr>
          <w:rFonts w:cs="Arial"/>
          <w:sz w:val="22"/>
          <w:szCs w:val="22"/>
        </w:rPr>
        <w:t xml:space="preserve">in the implementation year. </w:t>
      </w:r>
    </w:p>
    <w:p w14:paraId="7EAE5CA4" w14:textId="07EA59F5" w:rsidR="000B264C" w:rsidRPr="00DE58EB" w:rsidRDefault="00DE2899" w:rsidP="000B264C">
      <w:pPr>
        <w:pStyle w:val="DeptBullets"/>
        <w:widowControl/>
        <w:numPr>
          <w:ilvl w:val="0"/>
          <w:numId w:val="19"/>
        </w:numPr>
        <w:tabs>
          <w:tab w:val="left" w:pos="720"/>
        </w:tabs>
        <w:adjustRightInd/>
        <w:spacing w:before="60" w:after="60"/>
        <w:textAlignment w:val="auto"/>
        <w:rPr>
          <w:rFonts w:cs="Arial"/>
          <w:b/>
          <w:sz w:val="22"/>
          <w:szCs w:val="22"/>
        </w:rPr>
      </w:pPr>
      <w:r w:rsidRPr="00DE58EB">
        <w:rPr>
          <w:rFonts w:cs="Arial"/>
          <w:sz w:val="22"/>
          <w:szCs w:val="22"/>
        </w:rPr>
        <w:lastRenderedPageBreak/>
        <w:t xml:space="preserve">To understand the </w:t>
      </w:r>
      <w:proofErr w:type="spellStart"/>
      <w:r w:rsidR="000B264C" w:rsidRPr="00DE58EB">
        <w:rPr>
          <w:rFonts w:cs="Arial"/>
          <w:sz w:val="22"/>
          <w:szCs w:val="22"/>
        </w:rPr>
        <w:t>the</w:t>
      </w:r>
      <w:proofErr w:type="spellEnd"/>
      <w:r w:rsidR="000B264C" w:rsidRPr="00DE58EB">
        <w:rPr>
          <w:rFonts w:cs="Arial"/>
          <w:sz w:val="22"/>
          <w:szCs w:val="22"/>
        </w:rPr>
        <w:t xml:space="preserve"> challenges providers faced in implementing the </w:t>
      </w:r>
      <w:r w:rsidR="00DE58EB">
        <w:rPr>
          <w:rFonts w:cs="Arial"/>
          <w:sz w:val="22"/>
          <w:szCs w:val="22"/>
        </w:rPr>
        <w:t>T Level</w:t>
      </w:r>
      <w:r w:rsidR="000B264C" w:rsidRPr="00DE58EB">
        <w:rPr>
          <w:rFonts w:cs="Arial"/>
          <w:sz w:val="22"/>
          <w:szCs w:val="22"/>
        </w:rPr>
        <w:t xml:space="preserve"> Transition Programme</w:t>
      </w:r>
      <w:r w:rsidRPr="00DE58EB">
        <w:rPr>
          <w:rFonts w:cs="Arial"/>
          <w:sz w:val="22"/>
          <w:szCs w:val="22"/>
        </w:rPr>
        <w:t xml:space="preserve">, including lessons learnt to inform their approach going forwards. </w:t>
      </w:r>
    </w:p>
    <w:p w14:paraId="0224E8EE" w14:textId="46A86E5E" w:rsidR="000B264C" w:rsidRPr="008F0633" w:rsidRDefault="00DE2899" w:rsidP="000B264C">
      <w:pPr>
        <w:pStyle w:val="DeptBullets"/>
        <w:widowControl/>
        <w:numPr>
          <w:ilvl w:val="0"/>
          <w:numId w:val="19"/>
        </w:numPr>
        <w:tabs>
          <w:tab w:val="left" w:pos="720"/>
        </w:tabs>
        <w:adjustRightInd/>
        <w:spacing w:before="60" w:after="60"/>
        <w:textAlignment w:val="auto"/>
        <w:rPr>
          <w:rFonts w:cs="Arial"/>
          <w:b/>
          <w:bCs/>
          <w:sz w:val="22"/>
          <w:szCs w:val="22"/>
        </w:rPr>
      </w:pPr>
      <w:r w:rsidRPr="00DE58EB">
        <w:rPr>
          <w:rFonts w:cs="Arial"/>
          <w:sz w:val="22"/>
          <w:szCs w:val="22"/>
        </w:rPr>
        <w:t xml:space="preserve">To </w:t>
      </w:r>
      <w:r w:rsidR="00753AB2" w:rsidRPr="00DE58EB">
        <w:rPr>
          <w:rFonts w:cs="Arial"/>
          <w:sz w:val="22"/>
          <w:szCs w:val="22"/>
        </w:rPr>
        <w:t xml:space="preserve">understand </w:t>
      </w:r>
      <w:r w:rsidRPr="00DE58EB">
        <w:rPr>
          <w:rFonts w:cs="Arial"/>
          <w:sz w:val="22"/>
          <w:szCs w:val="22"/>
        </w:rPr>
        <w:t>providers provider</w:t>
      </w:r>
      <w:r w:rsidR="00753AB2" w:rsidRPr="00DE58EB">
        <w:rPr>
          <w:rFonts w:cs="Arial"/>
          <w:sz w:val="22"/>
          <w:szCs w:val="22"/>
        </w:rPr>
        <w:t>’</w:t>
      </w:r>
      <w:r w:rsidRPr="00DE58EB">
        <w:rPr>
          <w:rFonts w:cs="Arial"/>
          <w:sz w:val="22"/>
          <w:szCs w:val="22"/>
        </w:rPr>
        <w:t xml:space="preserve">s views on the level of support they received during the implementation year. </w:t>
      </w:r>
    </w:p>
    <w:p w14:paraId="469EE709" w14:textId="3FFB157C" w:rsidR="008F0633" w:rsidRPr="008F0633" w:rsidRDefault="008F0633" w:rsidP="008F0633">
      <w:pPr>
        <w:pStyle w:val="DeptBullets"/>
        <w:widowControl/>
        <w:numPr>
          <w:ilvl w:val="0"/>
          <w:numId w:val="19"/>
        </w:numPr>
        <w:tabs>
          <w:tab w:val="left" w:pos="720"/>
        </w:tabs>
        <w:adjustRightInd/>
        <w:spacing w:before="60" w:after="60"/>
        <w:textAlignment w:val="auto"/>
        <w:rPr>
          <w:rFonts w:cs="Arial"/>
          <w:bCs/>
          <w:sz w:val="22"/>
          <w:szCs w:val="22"/>
        </w:rPr>
      </w:pPr>
      <w:r w:rsidRPr="008F0633">
        <w:rPr>
          <w:rFonts w:cs="Arial"/>
          <w:bCs/>
          <w:sz w:val="22"/>
          <w:szCs w:val="22"/>
        </w:rPr>
        <w:t xml:space="preserve">To understand providers views on the different approaches to the </w:t>
      </w:r>
      <w:r w:rsidR="001E7E29">
        <w:rPr>
          <w:rFonts w:cs="Arial"/>
          <w:bCs/>
          <w:sz w:val="22"/>
          <w:szCs w:val="22"/>
        </w:rPr>
        <w:t>T Level T</w:t>
      </w:r>
      <w:r w:rsidRPr="008F0633">
        <w:rPr>
          <w:rFonts w:cs="Arial"/>
          <w:bCs/>
          <w:sz w:val="22"/>
          <w:szCs w:val="22"/>
        </w:rPr>
        <w:t xml:space="preserve">ransition </w:t>
      </w:r>
      <w:r w:rsidR="001E7E29">
        <w:rPr>
          <w:rFonts w:cs="Arial"/>
          <w:bCs/>
          <w:sz w:val="22"/>
          <w:szCs w:val="22"/>
        </w:rPr>
        <w:t>P</w:t>
      </w:r>
      <w:r w:rsidRPr="008F0633">
        <w:rPr>
          <w:rFonts w:cs="Arial"/>
          <w:bCs/>
          <w:sz w:val="22"/>
          <w:szCs w:val="22"/>
        </w:rPr>
        <w:t xml:space="preserve">rogramme, including level of support needed </w:t>
      </w:r>
      <w:r>
        <w:rPr>
          <w:rFonts w:cs="Arial"/>
          <w:bCs/>
          <w:sz w:val="22"/>
          <w:szCs w:val="22"/>
        </w:rPr>
        <w:t>for each approach.</w:t>
      </w:r>
    </w:p>
    <w:p w14:paraId="763F7399" w14:textId="5609DFC7" w:rsidR="000B264C" w:rsidRPr="00DE58EB" w:rsidRDefault="00DE2899" w:rsidP="000B264C">
      <w:pPr>
        <w:pStyle w:val="DeptBullets"/>
        <w:widowControl/>
        <w:numPr>
          <w:ilvl w:val="0"/>
          <w:numId w:val="19"/>
        </w:numPr>
        <w:tabs>
          <w:tab w:val="left" w:pos="720"/>
        </w:tabs>
        <w:adjustRightInd/>
        <w:spacing w:before="60" w:after="60"/>
        <w:textAlignment w:val="auto"/>
        <w:rPr>
          <w:rFonts w:cs="Arial"/>
          <w:b/>
          <w:sz w:val="22"/>
          <w:szCs w:val="22"/>
        </w:rPr>
      </w:pPr>
      <w:r w:rsidRPr="00DE58EB">
        <w:rPr>
          <w:rFonts w:cs="Arial"/>
          <w:sz w:val="22"/>
          <w:szCs w:val="22"/>
        </w:rPr>
        <w:t xml:space="preserve">To understand </w:t>
      </w:r>
      <w:r w:rsidR="000B264C" w:rsidRPr="00DE58EB">
        <w:rPr>
          <w:rFonts w:cs="Arial"/>
          <w:sz w:val="22"/>
          <w:szCs w:val="22"/>
        </w:rPr>
        <w:t xml:space="preserve">learner’s views on the </w:t>
      </w:r>
      <w:r w:rsidR="001E7E29">
        <w:rPr>
          <w:rFonts w:cs="Arial"/>
          <w:sz w:val="22"/>
          <w:szCs w:val="22"/>
        </w:rPr>
        <w:t xml:space="preserve">T Level </w:t>
      </w:r>
      <w:r w:rsidR="000B264C" w:rsidRPr="00DE58EB">
        <w:rPr>
          <w:rFonts w:cs="Arial"/>
          <w:sz w:val="22"/>
          <w:szCs w:val="22"/>
        </w:rPr>
        <w:t>Transition</w:t>
      </w:r>
      <w:r w:rsidRPr="00DE58EB">
        <w:rPr>
          <w:rFonts w:cs="Arial"/>
          <w:sz w:val="22"/>
          <w:szCs w:val="22"/>
        </w:rPr>
        <w:t xml:space="preserve"> Programme. </w:t>
      </w:r>
    </w:p>
    <w:p w14:paraId="0E6B3F4B" w14:textId="2751E8B4" w:rsidR="004A600B" w:rsidRPr="00BA6392" w:rsidRDefault="004A600B" w:rsidP="001F2CE2">
      <w:pPr>
        <w:pStyle w:val="Heading2"/>
        <w:rPr>
          <w:rFonts w:cs="Arial"/>
        </w:rPr>
      </w:pPr>
      <w:r w:rsidRPr="00BA6392">
        <w:rPr>
          <w:rFonts w:cs="Arial"/>
        </w:rPr>
        <w:t>Methodology</w:t>
      </w:r>
    </w:p>
    <w:p w14:paraId="0C44720F" w14:textId="28F1A89A" w:rsidR="004D7681" w:rsidRPr="00DE58EB" w:rsidRDefault="00190C03" w:rsidP="00190C03">
      <w:pPr>
        <w:pStyle w:val="Default"/>
        <w:rPr>
          <w:color w:val="auto"/>
          <w:sz w:val="22"/>
        </w:rPr>
      </w:pPr>
      <w:r w:rsidRPr="00DE58EB">
        <w:rPr>
          <w:color w:val="auto"/>
          <w:sz w:val="22"/>
        </w:rPr>
        <w:t>The department has set out a proposed approach for this research</w:t>
      </w:r>
      <w:r w:rsidR="00E45BF9" w:rsidRPr="00DE58EB">
        <w:rPr>
          <w:color w:val="auto"/>
          <w:sz w:val="22"/>
        </w:rPr>
        <w:t xml:space="preserve"> below</w:t>
      </w:r>
      <w:r w:rsidRPr="00DE58EB">
        <w:rPr>
          <w:color w:val="auto"/>
          <w:sz w:val="22"/>
        </w:rPr>
        <w:t xml:space="preserve">. However, we </w:t>
      </w:r>
      <w:r w:rsidR="00A14046" w:rsidRPr="00DE58EB">
        <w:rPr>
          <w:color w:val="auto"/>
          <w:sz w:val="22"/>
        </w:rPr>
        <w:t xml:space="preserve">will </w:t>
      </w:r>
      <w:r w:rsidRPr="00DE58EB">
        <w:rPr>
          <w:color w:val="auto"/>
          <w:sz w:val="22"/>
        </w:rPr>
        <w:t>invite potential bidders to propose an alternative approach to meet the aims of the project</w:t>
      </w:r>
      <w:r w:rsidR="006710EC" w:rsidRPr="00DE58EB">
        <w:rPr>
          <w:color w:val="auto"/>
          <w:sz w:val="22"/>
        </w:rPr>
        <w:t xml:space="preserve"> at full tender stage</w:t>
      </w:r>
      <w:r w:rsidRPr="00DE58EB">
        <w:rPr>
          <w:color w:val="auto"/>
          <w:sz w:val="22"/>
        </w:rPr>
        <w:t xml:space="preserve">. </w:t>
      </w:r>
    </w:p>
    <w:p w14:paraId="7D066D74" w14:textId="77777777" w:rsidR="004D7681" w:rsidRPr="00BA6392" w:rsidRDefault="004D7681" w:rsidP="00190C03">
      <w:pPr>
        <w:pStyle w:val="Default"/>
        <w:rPr>
          <w:color w:val="auto"/>
        </w:rPr>
      </w:pPr>
    </w:p>
    <w:p w14:paraId="221920C7" w14:textId="7CFB7435" w:rsidR="00D85A78" w:rsidRPr="00CE3B7D" w:rsidRDefault="00D85A78" w:rsidP="00CD7B81">
      <w:pPr>
        <w:pStyle w:val="Heading2"/>
        <w:spacing w:before="0"/>
        <w:rPr>
          <w:rFonts w:cs="Arial"/>
          <w:sz w:val="28"/>
          <w:szCs w:val="28"/>
        </w:rPr>
      </w:pPr>
      <w:r w:rsidRPr="00CE3B7D">
        <w:rPr>
          <w:rFonts w:cs="Arial"/>
          <w:sz w:val="28"/>
          <w:szCs w:val="28"/>
        </w:rPr>
        <w:t>Round 1</w:t>
      </w:r>
      <w:r w:rsidR="00B7583E" w:rsidRPr="00CE3B7D">
        <w:rPr>
          <w:rFonts w:cs="Arial"/>
          <w:sz w:val="28"/>
          <w:szCs w:val="28"/>
        </w:rPr>
        <w:t xml:space="preserve"> of phased impl</w:t>
      </w:r>
      <w:r w:rsidR="004752D9">
        <w:rPr>
          <w:rFonts w:cs="Arial"/>
          <w:sz w:val="28"/>
          <w:szCs w:val="28"/>
        </w:rPr>
        <w:t>eme</w:t>
      </w:r>
      <w:r w:rsidR="00B7583E" w:rsidRPr="00CE3B7D">
        <w:rPr>
          <w:rFonts w:cs="Arial"/>
          <w:sz w:val="28"/>
          <w:szCs w:val="28"/>
        </w:rPr>
        <w:t xml:space="preserve">ntation </w:t>
      </w:r>
    </w:p>
    <w:p w14:paraId="1E05D1CD" w14:textId="77777777" w:rsidR="00190C03" w:rsidRPr="00DE58EB" w:rsidRDefault="00190C03" w:rsidP="00190C03">
      <w:pPr>
        <w:pStyle w:val="Default"/>
        <w:rPr>
          <w:b/>
          <w:color w:val="auto"/>
          <w:sz w:val="22"/>
        </w:rPr>
      </w:pPr>
      <w:r w:rsidRPr="00DE58EB">
        <w:rPr>
          <w:b/>
          <w:color w:val="auto"/>
          <w:sz w:val="22"/>
        </w:rPr>
        <w:t>Provider preparation year (September 2019 – July 2020)</w:t>
      </w:r>
    </w:p>
    <w:p w14:paraId="604E7798" w14:textId="2A2B9E10" w:rsidR="00190C03" w:rsidRPr="00DE58EB" w:rsidRDefault="00494097" w:rsidP="00190C03">
      <w:pPr>
        <w:pStyle w:val="Default"/>
        <w:rPr>
          <w:color w:val="auto"/>
          <w:sz w:val="22"/>
        </w:rPr>
      </w:pPr>
      <w:r w:rsidRPr="00DE58EB">
        <w:rPr>
          <w:color w:val="auto"/>
          <w:sz w:val="22"/>
        </w:rPr>
        <w:t>We expect t</w:t>
      </w:r>
      <w:r w:rsidR="00190C03" w:rsidRPr="00DE58EB">
        <w:rPr>
          <w:color w:val="auto"/>
          <w:sz w:val="22"/>
        </w:rPr>
        <w:t>he fieldwork in the provider preparation year will be</w:t>
      </w:r>
      <w:r w:rsidR="0039664E" w:rsidRPr="00DE58EB">
        <w:rPr>
          <w:color w:val="auto"/>
          <w:sz w:val="22"/>
        </w:rPr>
        <w:t xml:space="preserve"> conducted</w:t>
      </w:r>
      <w:r w:rsidR="00190C03" w:rsidRPr="00DE58EB">
        <w:rPr>
          <w:color w:val="auto"/>
          <w:sz w:val="22"/>
        </w:rPr>
        <w:t xml:space="preserve"> in two phases: </w:t>
      </w:r>
    </w:p>
    <w:p w14:paraId="3D4EDF0E" w14:textId="77777777" w:rsidR="00190C03" w:rsidRPr="00DE58EB" w:rsidRDefault="00190C03" w:rsidP="00190C03">
      <w:pPr>
        <w:pStyle w:val="Default"/>
        <w:rPr>
          <w:b/>
          <w:color w:val="auto"/>
          <w:sz w:val="22"/>
        </w:rPr>
      </w:pPr>
    </w:p>
    <w:p w14:paraId="15CFF7F3" w14:textId="77777777" w:rsidR="00190C03" w:rsidRPr="00DE58EB" w:rsidRDefault="00190C03" w:rsidP="00CE3B7D">
      <w:pPr>
        <w:pStyle w:val="Default"/>
        <w:numPr>
          <w:ilvl w:val="0"/>
          <w:numId w:val="21"/>
        </w:numPr>
        <w:rPr>
          <w:b/>
          <w:color w:val="auto"/>
          <w:sz w:val="22"/>
        </w:rPr>
      </w:pPr>
      <w:r w:rsidRPr="00DE58EB">
        <w:rPr>
          <w:b/>
          <w:color w:val="auto"/>
          <w:sz w:val="22"/>
        </w:rPr>
        <w:t>Initial interviews (Late November – December 2019)</w:t>
      </w:r>
    </w:p>
    <w:p w14:paraId="6667F347" w14:textId="271F45BA" w:rsidR="00190C03" w:rsidRPr="00DE58EB" w:rsidRDefault="00190C03" w:rsidP="00CE3B7D">
      <w:pPr>
        <w:pStyle w:val="Default"/>
        <w:ind w:left="360"/>
        <w:rPr>
          <w:color w:val="auto"/>
          <w:sz w:val="22"/>
        </w:rPr>
      </w:pPr>
      <w:r w:rsidRPr="00DE58EB">
        <w:rPr>
          <w:color w:val="auto"/>
          <w:sz w:val="22"/>
        </w:rPr>
        <w:t xml:space="preserve">We </w:t>
      </w:r>
      <w:r w:rsidR="00494097" w:rsidRPr="00DE58EB">
        <w:rPr>
          <w:color w:val="auto"/>
          <w:sz w:val="22"/>
        </w:rPr>
        <w:t xml:space="preserve">envisage </w:t>
      </w:r>
      <w:r w:rsidRPr="00DE58EB">
        <w:rPr>
          <w:color w:val="auto"/>
          <w:sz w:val="22"/>
        </w:rPr>
        <w:t>an initial phase of hour-long face to face interviews with a sample of providers</w:t>
      </w:r>
      <w:r w:rsidR="00A71FD9" w:rsidRPr="00DE58EB">
        <w:rPr>
          <w:color w:val="auto"/>
          <w:sz w:val="22"/>
        </w:rPr>
        <w:t xml:space="preserve"> who have </w:t>
      </w:r>
      <w:r w:rsidR="004310D3" w:rsidRPr="00DE58EB">
        <w:rPr>
          <w:color w:val="auto"/>
          <w:sz w:val="22"/>
        </w:rPr>
        <w:t>signed up to be involved in the first round</w:t>
      </w:r>
      <w:r w:rsidRPr="00DE58EB">
        <w:rPr>
          <w:color w:val="auto"/>
          <w:sz w:val="22"/>
        </w:rPr>
        <w:t xml:space="preserve"> in late November/December. The purpose of this stage of interviews is to </w:t>
      </w:r>
      <w:r w:rsidR="004310D3" w:rsidRPr="00DE58EB">
        <w:rPr>
          <w:color w:val="auto"/>
          <w:sz w:val="22"/>
        </w:rPr>
        <w:t>explore</w:t>
      </w:r>
      <w:r w:rsidRPr="00DE58EB">
        <w:rPr>
          <w:color w:val="auto"/>
          <w:sz w:val="22"/>
        </w:rPr>
        <w:t xml:space="preserve"> provider’s views of the guiding framework examples and the </w:t>
      </w:r>
      <w:r w:rsidR="00FA09FE" w:rsidRPr="00DE58EB">
        <w:rPr>
          <w:color w:val="auto"/>
          <w:sz w:val="22"/>
        </w:rPr>
        <w:t xml:space="preserve">role of the </w:t>
      </w:r>
      <w:r w:rsidRPr="00DE58EB">
        <w:rPr>
          <w:color w:val="auto"/>
          <w:sz w:val="22"/>
        </w:rPr>
        <w:t>panels</w:t>
      </w:r>
      <w:r w:rsidR="00FA09FE" w:rsidRPr="00DE58EB">
        <w:rPr>
          <w:color w:val="auto"/>
          <w:sz w:val="22"/>
        </w:rPr>
        <w:t>.</w:t>
      </w:r>
      <w:r w:rsidRPr="00DE58EB">
        <w:rPr>
          <w:color w:val="auto"/>
          <w:sz w:val="22"/>
        </w:rPr>
        <w:t xml:space="preserve"> </w:t>
      </w:r>
    </w:p>
    <w:p w14:paraId="3CECC801" w14:textId="77777777" w:rsidR="00190C03" w:rsidRPr="00DE58EB" w:rsidRDefault="00190C03" w:rsidP="00190C03">
      <w:pPr>
        <w:pStyle w:val="Default"/>
        <w:rPr>
          <w:b/>
          <w:color w:val="auto"/>
          <w:sz w:val="22"/>
        </w:rPr>
      </w:pPr>
    </w:p>
    <w:p w14:paraId="62C1A6B4" w14:textId="77777777" w:rsidR="00190C03" w:rsidRPr="00DE58EB" w:rsidRDefault="00190C03" w:rsidP="00CE3B7D">
      <w:pPr>
        <w:pStyle w:val="Default"/>
        <w:numPr>
          <w:ilvl w:val="0"/>
          <w:numId w:val="21"/>
        </w:numPr>
        <w:rPr>
          <w:b/>
          <w:color w:val="auto"/>
          <w:sz w:val="22"/>
        </w:rPr>
      </w:pPr>
      <w:r w:rsidRPr="00DE58EB">
        <w:rPr>
          <w:b/>
          <w:color w:val="auto"/>
          <w:sz w:val="22"/>
        </w:rPr>
        <w:t>End of year interviews (May – July 2020)</w:t>
      </w:r>
    </w:p>
    <w:p w14:paraId="3A252726" w14:textId="75C2AC96" w:rsidR="00190C03" w:rsidRPr="00DE58EB" w:rsidRDefault="00190C03" w:rsidP="00CE3B7D">
      <w:pPr>
        <w:pStyle w:val="Default"/>
        <w:ind w:left="360"/>
        <w:rPr>
          <w:color w:val="auto"/>
          <w:sz w:val="22"/>
        </w:rPr>
      </w:pPr>
      <w:r w:rsidRPr="00DE58EB">
        <w:rPr>
          <w:color w:val="auto"/>
          <w:sz w:val="22"/>
        </w:rPr>
        <w:t>We propose hour</w:t>
      </w:r>
      <w:r w:rsidR="00FA09FE" w:rsidRPr="00DE58EB">
        <w:rPr>
          <w:color w:val="auto"/>
          <w:sz w:val="22"/>
        </w:rPr>
        <w:t>-</w:t>
      </w:r>
      <w:r w:rsidRPr="00DE58EB">
        <w:rPr>
          <w:color w:val="auto"/>
          <w:sz w:val="22"/>
        </w:rPr>
        <w:t>long telephone interviews with</w:t>
      </w:r>
      <w:r w:rsidR="00C445DA" w:rsidRPr="00DE58EB">
        <w:rPr>
          <w:color w:val="auto"/>
          <w:sz w:val="22"/>
        </w:rPr>
        <w:t xml:space="preserve"> a target sample of</w:t>
      </w:r>
      <w:r w:rsidRPr="00DE58EB">
        <w:rPr>
          <w:color w:val="auto"/>
          <w:sz w:val="22"/>
        </w:rPr>
        <w:t xml:space="preserve"> all 37 providers at the end of the preparation year and with a sample of the delivery agent support staff. These interviews will find out about provider’s views on the challenges of preparation, providers perceived preparation levels and the spending of the early adopter fund. </w:t>
      </w:r>
    </w:p>
    <w:p w14:paraId="3E5BBBE4" w14:textId="77777777" w:rsidR="00190C03" w:rsidRPr="00DE58EB" w:rsidRDefault="00190C03" w:rsidP="00190C03">
      <w:pPr>
        <w:pStyle w:val="Default"/>
        <w:rPr>
          <w:color w:val="auto"/>
          <w:sz w:val="22"/>
        </w:rPr>
      </w:pPr>
    </w:p>
    <w:p w14:paraId="6185A304" w14:textId="77777777" w:rsidR="00190C03" w:rsidRPr="00DE58EB" w:rsidRDefault="00190C03" w:rsidP="00190C03">
      <w:pPr>
        <w:pStyle w:val="Default"/>
        <w:rPr>
          <w:b/>
          <w:color w:val="auto"/>
          <w:sz w:val="22"/>
        </w:rPr>
      </w:pPr>
      <w:r w:rsidRPr="00DE58EB">
        <w:rPr>
          <w:b/>
          <w:color w:val="auto"/>
          <w:sz w:val="22"/>
        </w:rPr>
        <w:t>Implementation year (September 2020 – July 2021)</w:t>
      </w:r>
    </w:p>
    <w:p w14:paraId="47818336" w14:textId="4863E34A" w:rsidR="00190C03" w:rsidRPr="00DE58EB" w:rsidRDefault="00190C03" w:rsidP="00190C03">
      <w:pPr>
        <w:pStyle w:val="Default"/>
        <w:rPr>
          <w:color w:val="auto"/>
          <w:sz w:val="22"/>
        </w:rPr>
      </w:pPr>
      <w:r w:rsidRPr="00DE58EB">
        <w:rPr>
          <w:color w:val="auto"/>
          <w:sz w:val="22"/>
        </w:rPr>
        <w:t xml:space="preserve">We </w:t>
      </w:r>
      <w:r w:rsidR="003B1F17" w:rsidRPr="00DE58EB">
        <w:rPr>
          <w:color w:val="auto"/>
          <w:sz w:val="22"/>
        </w:rPr>
        <w:t xml:space="preserve">envisage </w:t>
      </w:r>
      <w:r w:rsidRPr="00DE58EB">
        <w:rPr>
          <w:color w:val="auto"/>
          <w:sz w:val="22"/>
        </w:rPr>
        <w:t xml:space="preserve">telephone interviews with </w:t>
      </w:r>
      <w:r w:rsidR="007423A1" w:rsidRPr="00DE58EB">
        <w:rPr>
          <w:color w:val="auto"/>
          <w:sz w:val="22"/>
        </w:rPr>
        <w:t xml:space="preserve">a target sample of </w:t>
      </w:r>
      <w:r w:rsidRPr="00DE58EB">
        <w:rPr>
          <w:color w:val="auto"/>
          <w:sz w:val="22"/>
        </w:rPr>
        <w:t xml:space="preserve">all 37 providers at the end of the implementation year and a sample of the delivery support agent staff to understand the challenges of implementation and the usefulness of the providing framework. Focus groups with learners across the three main approaches for the programme being tested are also suggested. </w:t>
      </w:r>
    </w:p>
    <w:p w14:paraId="4B7B2A6B" w14:textId="443E25C4" w:rsidR="004A4259" w:rsidRPr="00DE58EB" w:rsidRDefault="004A4259" w:rsidP="00190C03">
      <w:pPr>
        <w:pStyle w:val="Default"/>
        <w:rPr>
          <w:color w:val="auto"/>
          <w:sz w:val="22"/>
        </w:rPr>
      </w:pPr>
    </w:p>
    <w:p w14:paraId="79A5DAA3" w14:textId="0349F137" w:rsidR="00D12560" w:rsidRDefault="000B3184" w:rsidP="008F0633">
      <w:pPr>
        <w:pStyle w:val="Default"/>
        <w:rPr>
          <w:color w:val="auto"/>
          <w:sz w:val="22"/>
        </w:rPr>
      </w:pPr>
      <w:r w:rsidRPr="00DE58EB">
        <w:rPr>
          <w:color w:val="auto"/>
          <w:sz w:val="22"/>
        </w:rPr>
        <w:t xml:space="preserve">The department anticipates the successful contractor will analyse the data from the interviews and focus groups thematically. </w:t>
      </w:r>
      <w:r w:rsidR="004A4259" w:rsidRPr="00DE58EB">
        <w:rPr>
          <w:color w:val="auto"/>
          <w:sz w:val="22"/>
        </w:rPr>
        <w:t>Management information will also be analysed across both phases of work, the delivery agent</w:t>
      </w:r>
      <w:r w:rsidR="003B1F17" w:rsidRPr="00DE58EB">
        <w:rPr>
          <w:color w:val="auto"/>
          <w:sz w:val="22"/>
        </w:rPr>
        <w:t xml:space="preserve"> and </w:t>
      </w:r>
      <w:r w:rsidR="004E5BD6" w:rsidRPr="00DE58EB">
        <w:rPr>
          <w:color w:val="auto"/>
          <w:sz w:val="22"/>
        </w:rPr>
        <w:t>Education and Skills Funding Agency (ESFA)</w:t>
      </w:r>
      <w:r w:rsidR="004A4259" w:rsidRPr="00DE58EB">
        <w:rPr>
          <w:color w:val="auto"/>
          <w:sz w:val="22"/>
        </w:rPr>
        <w:t xml:space="preserve"> will collect this information and provide </w:t>
      </w:r>
      <w:r w:rsidR="003B1F17" w:rsidRPr="00DE58EB">
        <w:rPr>
          <w:color w:val="auto"/>
          <w:sz w:val="22"/>
        </w:rPr>
        <w:t xml:space="preserve">this </w:t>
      </w:r>
      <w:r w:rsidR="004A4259" w:rsidRPr="00DE58EB">
        <w:rPr>
          <w:color w:val="auto"/>
          <w:sz w:val="22"/>
        </w:rPr>
        <w:t xml:space="preserve">to the </w:t>
      </w:r>
      <w:proofErr w:type="spellStart"/>
      <w:r w:rsidR="004A4259" w:rsidRPr="00DE58EB">
        <w:rPr>
          <w:color w:val="auto"/>
          <w:sz w:val="22"/>
        </w:rPr>
        <w:t>the</w:t>
      </w:r>
      <w:proofErr w:type="spellEnd"/>
      <w:r w:rsidR="004A4259" w:rsidRPr="00DE58EB">
        <w:rPr>
          <w:color w:val="auto"/>
          <w:sz w:val="22"/>
        </w:rPr>
        <w:t xml:space="preserve"> </w:t>
      </w:r>
      <w:r w:rsidR="00BA6392" w:rsidRPr="00DE58EB">
        <w:rPr>
          <w:color w:val="auto"/>
          <w:sz w:val="22"/>
        </w:rPr>
        <w:t xml:space="preserve">successful </w:t>
      </w:r>
      <w:r w:rsidR="004A4259" w:rsidRPr="00DE58EB">
        <w:rPr>
          <w:color w:val="auto"/>
          <w:sz w:val="22"/>
        </w:rPr>
        <w:t>contractor</w:t>
      </w:r>
      <w:r w:rsidR="004E5BD6" w:rsidRPr="00DE58EB">
        <w:rPr>
          <w:color w:val="auto"/>
          <w:sz w:val="22"/>
        </w:rPr>
        <w:t xml:space="preserve"> for analysis</w:t>
      </w:r>
      <w:r w:rsidR="004A4259" w:rsidRPr="00DE58EB">
        <w:rPr>
          <w:color w:val="auto"/>
          <w:sz w:val="22"/>
        </w:rPr>
        <w:t xml:space="preserve">. </w:t>
      </w:r>
    </w:p>
    <w:p w14:paraId="46B77B9C" w14:textId="77777777" w:rsidR="00901E8C" w:rsidRDefault="00901E8C" w:rsidP="008F0633">
      <w:pPr>
        <w:pStyle w:val="Default"/>
        <w:rPr>
          <w:sz w:val="28"/>
          <w:szCs w:val="28"/>
        </w:rPr>
      </w:pPr>
    </w:p>
    <w:p w14:paraId="6AC18CC2" w14:textId="5FEA77DA" w:rsidR="00D12560" w:rsidRPr="00CE3B7D" w:rsidRDefault="00D12560" w:rsidP="00D12560">
      <w:pPr>
        <w:pStyle w:val="Heading2"/>
        <w:spacing w:before="0"/>
        <w:rPr>
          <w:rFonts w:cs="Arial"/>
          <w:sz w:val="28"/>
          <w:szCs w:val="28"/>
        </w:rPr>
      </w:pPr>
      <w:r w:rsidRPr="00CE3B7D">
        <w:rPr>
          <w:rFonts w:cs="Arial"/>
          <w:sz w:val="28"/>
          <w:szCs w:val="28"/>
        </w:rPr>
        <w:t xml:space="preserve">Round </w:t>
      </w:r>
      <w:r>
        <w:rPr>
          <w:rFonts w:cs="Arial"/>
          <w:sz w:val="28"/>
          <w:szCs w:val="28"/>
        </w:rPr>
        <w:t>2</w:t>
      </w:r>
      <w:r w:rsidRPr="00CE3B7D">
        <w:rPr>
          <w:rFonts w:cs="Arial"/>
          <w:sz w:val="28"/>
          <w:szCs w:val="28"/>
        </w:rPr>
        <w:t xml:space="preserve"> of phased impl</w:t>
      </w:r>
      <w:r>
        <w:rPr>
          <w:rFonts w:cs="Arial"/>
          <w:sz w:val="28"/>
          <w:szCs w:val="28"/>
        </w:rPr>
        <w:t>eme</w:t>
      </w:r>
      <w:r w:rsidRPr="00CE3B7D">
        <w:rPr>
          <w:rFonts w:cs="Arial"/>
          <w:sz w:val="28"/>
          <w:szCs w:val="28"/>
        </w:rPr>
        <w:t xml:space="preserve">ntation </w:t>
      </w:r>
    </w:p>
    <w:p w14:paraId="372FE47C" w14:textId="068685F7" w:rsidR="00190C03" w:rsidRPr="00DE58EB" w:rsidRDefault="00190C03" w:rsidP="00901E8C">
      <w:pPr>
        <w:pStyle w:val="Default"/>
        <w:rPr>
          <w:b/>
          <w:color w:val="auto"/>
          <w:sz w:val="22"/>
        </w:rPr>
      </w:pPr>
      <w:r w:rsidRPr="00DE58EB">
        <w:rPr>
          <w:color w:val="auto"/>
          <w:sz w:val="22"/>
        </w:rPr>
        <w:t xml:space="preserve">We envisage the approach for </w:t>
      </w:r>
      <w:r w:rsidR="00BC1EA5" w:rsidRPr="00DE58EB">
        <w:rPr>
          <w:color w:val="auto"/>
          <w:sz w:val="22"/>
        </w:rPr>
        <w:t xml:space="preserve">the </w:t>
      </w:r>
      <w:r w:rsidR="00A462FD" w:rsidRPr="00DE58EB">
        <w:rPr>
          <w:color w:val="auto"/>
          <w:sz w:val="22"/>
        </w:rPr>
        <w:t xml:space="preserve">research into </w:t>
      </w:r>
      <w:r w:rsidRPr="00DE58EB">
        <w:rPr>
          <w:color w:val="auto"/>
          <w:sz w:val="22"/>
        </w:rPr>
        <w:t xml:space="preserve">round 2 </w:t>
      </w:r>
      <w:r w:rsidR="00A462FD" w:rsidRPr="00DE58EB">
        <w:rPr>
          <w:color w:val="auto"/>
          <w:sz w:val="22"/>
        </w:rPr>
        <w:t xml:space="preserve">of phased implementation </w:t>
      </w:r>
      <w:r w:rsidRPr="00DE58EB">
        <w:rPr>
          <w:color w:val="auto"/>
          <w:sz w:val="22"/>
        </w:rPr>
        <w:t>will be light</w:t>
      </w:r>
      <w:r w:rsidR="00A462FD" w:rsidRPr="00DE58EB">
        <w:rPr>
          <w:color w:val="auto"/>
          <w:sz w:val="22"/>
        </w:rPr>
        <w:t>er</w:t>
      </w:r>
      <w:r w:rsidRPr="00DE58EB">
        <w:rPr>
          <w:color w:val="auto"/>
          <w:sz w:val="22"/>
        </w:rPr>
        <w:t xml:space="preserve"> touch</w:t>
      </w:r>
      <w:r w:rsidR="00BC1EA5" w:rsidRPr="00DE58EB">
        <w:rPr>
          <w:color w:val="auto"/>
          <w:sz w:val="22"/>
        </w:rPr>
        <w:t>. W</w:t>
      </w:r>
      <w:r w:rsidR="004A4259" w:rsidRPr="00DE58EB">
        <w:rPr>
          <w:color w:val="auto"/>
          <w:sz w:val="22"/>
        </w:rPr>
        <w:t xml:space="preserve">e will provide the specification </w:t>
      </w:r>
      <w:r w:rsidR="00BC1EA5" w:rsidRPr="00DE58EB">
        <w:rPr>
          <w:color w:val="auto"/>
          <w:sz w:val="22"/>
        </w:rPr>
        <w:t xml:space="preserve">for research for round 2 </w:t>
      </w:r>
      <w:r w:rsidR="004A4259" w:rsidRPr="00DE58EB">
        <w:rPr>
          <w:color w:val="auto"/>
          <w:sz w:val="22"/>
        </w:rPr>
        <w:t xml:space="preserve">to the contractor in </w:t>
      </w:r>
      <w:r w:rsidRPr="00DE58EB">
        <w:rPr>
          <w:color w:val="auto"/>
          <w:sz w:val="22"/>
        </w:rPr>
        <w:t>early</w:t>
      </w:r>
      <w:r w:rsidR="004A4259" w:rsidRPr="00DE58EB">
        <w:rPr>
          <w:color w:val="auto"/>
          <w:sz w:val="22"/>
        </w:rPr>
        <w:t xml:space="preserve"> 2020</w:t>
      </w:r>
      <w:r w:rsidR="00BC1EA5" w:rsidRPr="00DE58EB">
        <w:rPr>
          <w:color w:val="auto"/>
          <w:sz w:val="22"/>
        </w:rPr>
        <w:t xml:space="preserve"> </w:t>
      </w:r>
      <w:proofErr w:type="gramStart"/>
      <w:r w:rsidR="00BC1EA5" w:rsidRPr="00DE58EB">
        <w:rPr>
          <w:color w:val="auto"/>
          <w:sz w:val="22"/>
        </w:rPr>
        <w:t>and</w:t>
      </w:r>
      <w:r w:rsidR="00581B01" w:rsidRPr="00DE58EB">
        <w:rPr>
          <w:color w:val="auto"/>
          <w:sz w:val="22"/>
        </w:rPr>
        <w:t xml:space="preserve">  will</w:t>
      </w:r>
      <w:proofErr w:type="gramEnd"/>
      <w:r w:rsidR="00581B01" w:rsidRPr="00DE58EB">
        <w:rPr>
          <w:color w:val="auto"/>
          <w:sz w:val="22"/>
        </w:rPr>
        <w:t xml:space="preserve"> </w:t>
      </w:r>
      <w:r w:rsidR="00BC1EA5" w:rsidRPr="00DE58EB">
        <w:rPr>
          <w:color w:val="auto"/>
          <w:sz w:val="22"/>
        </w:rPr>
        <w:t xml:space="preserve">invite </w:t>
      </w:r>
      <w:r w:rsidR="00581B01" w:rsidRPr="00DE58EB">
        <w:rPr>
          <w:color w:val="auto"/>
          <w:sz w:val="22"/>
        </w:rPr>
        <w:t xml:space="preserve">suggestions </w:t>
      </w:r>
      <w:r w:rsidR="00BC1EA5" w:rsidRPr="00DE58EB">
        <w:rPr>
          <w:color w:val="auto"/>
          <w:sz w:val="22"/>
        </w:rPr>
        <w:t xml:space="preserve">for </w:t>
      </w:r>
      <w:r w:rsidR="00581B01" w:rsidRPr="00DE58EB">
        <w:rPr>
          <w:color w:val="auto"/>
          <w:sz w:val="22"/>
        </w:rPr>
        <w:t>methodological approaches at that point</w:t>
      </w:r>
      <w:r w:rsidRPr="00DE58EB">
        <w:rPr>
          <w:color w:val="auto"/>
          <w:sz w:val="22"/>
        </w:rPr>
        <w:t xml:space="preserve">. </w:t>
      </w:r>
      <w:r w:rsidR="008E474C" w:rsidRPr="00DE58EB">
        <w:rPr>
          <w:color w:val="auto"/>
          <w:sz w:val="22"/>
        </w:rPr>
        <w:t xml:space="preserve">We envisage that this would involve some qualitative data </w:t>
      </w:r>
      <w:r w:rsidR="00BC3154" w:rsidRPr="00DE58EB">
        <w:rPr>
          <w:color w:val="auto"/>
          <w:sz w:val="22"/>
        </w:rPr>
        <w:t xml:space="preserve">collection and analysis as well as analysis of management information. </w:t>
      </w:r>
    </w:p>
    <w:p w14:paraId="435D2C08" w14:textId="77777777" w:rsidR="00190C03" w:rsidRPr="00BA6392" w:rsidRDefault="00190C03" w:rsidP="00190C03">
      <w:pPr>
        <w:pStyle w:val="Default"/>
        <w:rPr>
          <w:color w:val="auto"/>
        </w:rPr>
      </w:pPr>
    </w:p>
    <w:p w14:paraId="502BE6FA" w14:textId="2AEB23E8" w:rsidR="004A600B" w:rsidRDefault="004A600B" w:rsidP="001F2CE2">
      <w:pPr>
        <w:pStyle w:val="Heading2"/>
        <w:rPr>
          <w:rFonts w:cs="Arial"/>
        </w:rPr>
      </w:pPr>
      <w:r w:rsidRPr="00BA6392">
        <w:rPr>
          <w:rFonts w:cs="Arial"/>
        </w:rPr>
        <w:lastRenderedPageBreak/>
        <w:t>Timing</w:t>
      </w:r>
    </w:p>
    <w:p w14:paraId="4B81C92B" w14:textId="0FD58DCC" w:rsidR="0090500D" w:rsidRPr="00BA6392" w:rsidRDefault="0090500D" w:rsidP="0090500D">
      <w:pPr>
        <w:pStyle w:val="FootnoteText"/>
        <w:spacing w:line="276" w:lineRule="auto"/>
        <w:rPr>
          <w:rFonts w:ascii="Arial" w:hAnsi="Arial" w:cs="Arial"/>
          <w:b w:val="0"/>
          <w:sz w:val="22"/>
          <w:szCs w:val="22"/>
          <w:lang w:val="en-GB"/>
        </w:rPr>
      </w:pPr>
      <w:r>
        <w:rPr>
          <w:rFonts w:ascii="Arial" w:hAnsi="Arial" w:cs="Arial"/>
          <w:b w:val="0"/>
          <w:sz w:val="22"/>
          <w:szCs w:val="22"/>
        </w:rPr>
        <w:t>The department is</w:t>
      </w:r>
      <w:r w:rsidRPr="00BA6392">
        <w:rPr>
          <w:rFonts w:ascii="Arial" w:hAnsi="Arial" w:cs="Arial"/>
          <w:b w:val="0"/>
          <w:sz w:val="22"/>
          <w:szCs w:val="22"/>
        </w:rPr>
        <w:t xml:space="preserve"> procuring a contractor to cover round one and two of phased implementation. There will be </w:t>
      </w:r>
      <w:r>
        <w:rPr>
          <w:rFonts w:ascii="Arial" w:hAnsi="Arial" w:cs="Arial"/>
          <w:b w:val="0"/>
          <w:sz w:val="22"/>
          <w:szCs w:val="22"/>
        </w:rPr>
        <w:t xml:space="preserve">two </w:t>
      </w:r>
      <w:r w:rsidR="001C4D0F">
        <w:rPr>
          <w:rFonts w:ascii="Arial" w:hAnsi="Arial" w:cs="Arial"/>
          <w:b w:val="0"/>
          <w:sz w:val="22"/>
          <w:szCs w:val="22"/>
        </w:rPr>
        <w:t xml:space="preserve">review </w:t>
      </w:r>
      <w:r w:rsidRPr="00BA6392">
        <w:rPr>
          <w:rFonts w:ascii="Arial" w:hAnsi="Arial" w:cs="Arial"/>
          <w:b w:val="0"/>
          <w:sz w:val="22"/>
          <w:szCs w:val="22"/>
        </w:rPr>
        <w:t xml:space="preserve">clauses in the contract where the department will reserve the right to decide whether to take the contract forwards. The first </w:t>
      </w:r>
      <w:r w:rsidR="001C4D0F">
        <w:rPr>
          <w:rFonts w:ascii="Arial" w:hAnsi="Arial" w:cs="Arial"/>
          <w:b w:val="0"/>
          <w:sz w:val="22"/>
          <w:szCs w:val="22"/>
        </w:rPr>
        <w:t xml:space="preserve">review </w:t>
      </w:r>
      <w:r w:rsidRPr="00BA6392">
        <w:rPr>
          <w:rFonts w:ascii="Arial" w:hAnsi="Arial" w:cs="Arial"/>
          <w:b w:val="0"/>
          <w:sz w:val="22"/>
          <w:szCs w:val="22"/>
        </w:rPr>
        <w:t xml:space="preserve">clause will be in early 2020 and the second will be in September 2021 where the department will decide </w:t>
      </w:r>
      <w:r>
        <w:rPr>
          <w:rFonts w:ascii="Arial" w:hAnsi="Arial" w:cs="Arial"/>
          <w:b w:val="0"/>
          <w:sz w:val="22"/>
          <w:szCs w:val="22"/>
        </w:rPr>
        <w:t xml:space="preserve">whether </w:t>
      </w:r>
      <w:r w:rsidRPr="00BA6392">
        <w:rPr>
          <w:rFonts w:ascii="Arial" w:hAnsi="Arial" w:cs="Arial"/>
          <w:b w:val="0"/>
          <w:sz w:val="22"/>
          <w:szCs w:val="22"/>
        </w:rPr>
        <w:t xml:space="preserve">to extend the contract to September 2022, subject to the spending review. </w:t>
      </w:r>
    </w:p>
    <w:p w14:paraId="19CD3FB2" w14:textId="77777777" w:rsidR="0090500D" w:rsidRPr="0090500D" w:rsidRDefault="0090500D" w:rsidP="008F0633"/>
    <w:tbl>
      <w:tblPr>
        <w:tblStyle w:val="TableGrid"/>
        <w:tblW w:w="0" w:type="auto"/>
        <w:tblLook w:val="04A0" w:firstRow="1" w:lastRow="0" w:firstColumn="1" w:lastColumn="0" w:noHBand="0" w:noVBand="1"/>
      </w:tblPr>
      <w:tblGrid>
        <w:gridCol w:w="4882"/>
        <w:gridCol w:w="4860"/>
      </w:tblGrid>
      <w:tr w:rsidR="00190C03" w:rsidRPr="00BA6392" w14:paraId="48966066" w14:textId="77777777" w:rsidTr="00DE58EB">
        <w:tc>
          <w:tcPr>
            <w:tcW w:w="4882" w:type="dxa"/>
          </w:tcPr>
          <w:p w14:paraId="1ED4CBD1" w14:textId="77777777" w:rsidR="00190C03" w:rsidRPr="00BA6392" w:rsidRDefault="00190C03" w:rsidP="00A65645">
            <w:pPr>
              <w:pStyle w:val="Default"/>
              <w:rPr>
                <w:b/>
                <w:color w:val="auto"/>
              </w:rPr>
            </w:pPr>
            <w:r w:rsidRPr="00BA6392">
              <w:rPr>
                <w:b/>
                <w:color w:val="auto"/>
              </w:rPr>
              <w:t xml:space="preserve">Activity </w:t>
            </w:r>
          </w:p>
        </w:tc>
        <w:tc>
          <w:tcPr>
            <w:tcW w:w="4860" w:type="dxa"/>
          </w:tcPr>
          <w:p w14:paraId="649BD063" w14:textId="77777777" w:rsidR="00190C03" w:rsidRPr="00BA6392" w:rsidRDefault="00190C03" w:rsidP="00A65645">
            <w:pPr>
              <w:pStyle w:val="Default"/>
              <w:rPr>
                <w:b/>
                <w:color w:val="auto"/>
              </w:rPr>
            </w:pPr>
            <w:r w:rsidRPr="00BA6392">
              <w:rPr>
                <w:b/>
                <w:color w:val="auto"/>
              </w:rPr>
              <w:t xml:space="preserve">Timing </w:t>
            </w:r>
          </w:p>
        </w:tc>
      </w:tr>
      <w:tr w:rsidR="00190C03" w:rsidRPr="00BA6392" w14:paraId="7C6BB2D3" w14:textId="77777777" w:rsidTr="00DE58EB">
        <w:tc>
          <w:tcPr>
            <w:tcW w:w="4882" w:type="dxa"/>
          </w:tcPr>
          <w:p w14:paraId="4BFCFB40" w14:textId="77777777" w:rsidR="00190C03" w:rsidRPr="00BA6392" w:rsidRDefault="00190C03" w:rsidP="00A65645">
            <w:pPr>
              <w:pStyle w:val="Default"/>
              <w:rPr>
                <w:color w:val="auto"/>
              </w:rPr>
            </w:pPr>
            <w:r w:rsidRPr="00BA6392">
              <w:rPr>
                <w:color w:val="auto"/>
              </w:rPr>
              <w:t xml:space="preserve">Expression of interest (EOI) issued </w:t>
            </w:r>
          </w:p>
        </w:tc>
        <w:tc>
          <w:tcPr>
            <w:tcW w:w="4860" w:type="dxa"/>
          </w:tcPr>
          <w:p w14:paraId="433FAA0E" w14:textId="15A8C5A5" w:rsidR="00190C03" w:rsidRPr="00BA6392" w:rsidRDefault="00C02775" w:rsidP="00A65645">
            <w:pPr>
              <w:pStyle w:val="Default"/>
              <w:rPr>
                <w:color w:val="auto"/>
              </w:rPr>
            </w:pPr>
            <w:r>
              <w:rPr>
                <w:color w:val="auto"/>
              </w:rPr>
              <w:t>31</w:t>
            </w:r>
            <w:r w:rsidR="00190C03" w:rsidRPr="00BA6392">
              <w:rPr>
                <w:color w:val="auto"/>
              </w:rPr>
              <w:t>/0</w:t>
            </w:r>
            <w:r>
              <w:rPr>
                <w:color w:val="auto"/>
              </w:rPr>
              <w:t>7</w:t>
            </w:r>
            <w:r w:rsidR="00240703">
              <w:rPr>
                <w:color w:val="auto"/>
              </w:rPr>
              <w:t>/19</w:t>
            </w:r>
            <w:r w:rsidR="00190C03" w:rsidRPr="00BA6392">
              <w:rPr>
                <w:color w:val="auto"/>
              </w:rPr>
              <w:t xml:space="preserve"> </w:t>
            </w:r>
          </w:p>
        </w:tc>
      </w:tr>
      <w:tr w:rsidR="00190C03" w:rsidRPr="00BA6392" w14:paraId="48A4E64B" w14:textId="77777777" w:rsidTr="00DE58EB">
        <w:tc>
          <w:tcPr>
            <w:tcW w:w="4882" w:type="dxa"/>
          </w:tcPr>
          <w:p w14:paraId="4AB83D64" w14:textId="77777777" w:rsidR="00190C03" w:rsidRPr="00BA6392" w:rsidRDefault="00190C03" w:rsidP="00A65645">
            <w:pPr>
              <w:pStyle w:val="Default"/>
              <w:rPr>
                <w:color w:val="auto"/>
              </w:rPr>
            </w:pPr>
            <w:r w:rsidRPr="00BA6392">
              <w:rPr>
                <w:color w:val="auto"/>
              </w:rPr>
              <w:t>Deadline for EOIs</w:t>
            </w:r>
          </w:p>
        </w:tc>
        <w:tc>
          <w:tcPr>
            <w:tcW w:w="4860" w:type="dxa"/>
          </w:tcPr>
          <w:p w14:paraId="1917FF2B" w14:textId="54BF6DED" w:rsidR="00190C03" w:rsidRPr="00BA6392" w:rsidRDefault="00190C03" w:rsidP="00A65645">
            <w:pPr>
              <w:pStyle w:val="Default"/>
              <w:rPr>
                <w:color w:val="auto"/>
              </w:rPr>
            </w:pPr>
            <w:r w:rsidRPr="00BA6392">
              <w:rPr>
                <w:color w:val="auto"/>
              </w:rPr>
              <w:t>12/08</w:t>
            </w:r>
            <w:r w:rsidR="00240703">
              <w:rPr>
                <w:color w:val="auto"/>
              </w:rPr>
              <w:t>/19</w:t>
            </w:r>
            <w:r w:rsidR="00D01677">
              <w:rPr>
                <w:color w:val="auto"/>
              </w:rPr>
              <w:t xml:space="preserve"> (5pm)</w:t>
            </w:r>
          </w:p>
        </w:tc>
      </w:tr>
      <w:tr w:rsidR="00190C03" w:rsidRPr="00BA6392" w14:paraId="4775EDCE" w14:textId="77777777" w:rsidTr="00DE58EB">
        <w:tc>
          <w:tcPr>
            <w:tcW w:w="4882" w:type="dxa"/>
          </w:tcPr>
          <w:p w14:paraId="7923A4A2" w14:textId="5316E01F" w:rsidR="00190C03" w:rsidRPr="00BA6392" w:rsidRDefault="00190C03" w:rsidP="00A65645">
            <w:pPr>
              <w:pStyle w:val="Default"/>
              <w:rPr>
                <w:color w:val="auto"/>
              </w:rPr>
            </w:pPr>
            <w:r w:rsidRPr="00BA6392">
              <w:rPr>
                <w:color w:val="auto"/>
              </w:rPr>
              <w:t>Invitations to tender issued (ITT)</w:t>
            </w:r>
            <w:r w:rsidR="00F94D71">
              <w:rPr>
                <w:color w:val="auto"/>
              </w:rPr>
              <w:t xml:space="preserve"> to shortlisted </w:t>
            </w:r>
            <w:r w:rsidR="00683A5E">
              <w:rPr>
                <w:color w:val="auto"/>
              </w:rPr>
              <w:t xml:space="preserve">organisations </w:t>
            </w:r>
          </w:p>
        </w:tc>
        <w:tc>
          <w:tcPr>
            <w:tcW w:w="4860" w:type="dxa"/>
          </w:tcPr>
          <w:p w14:paraId="676FCF70" w14:textId="4D8CACB9" w:rsidR="00190C03" w:rsidRPr="00BA6392" w:rsidRDefault="00190C03" w:rsidP="00A65645">
            <w:pPr>
              <w:pStyle w:val="Default"/>
              <w:rPr>
                <w:color w:val="auto"/>
              </w:rPr>
            </w:pPr>
            <w:r w:rsidRPr="00BA6392">
              <w:rPr>
                <w:color w:val="auto"/>
              </w:rPr>
              <w:t>19/08</w:t>
            </w:r>
            <w:r w:rsidR="00240703">
              <w:rPr>
                <w:color w:val="auto"/>
              </w:rPr>
              <w:t>/19</w:t>
            </w:r>
          </w:p>
        </w:tc>
      </w:tr>
      <w:tr w:rsidR="00190C03" w:rsidRPr="00BA6392" w14:paraId="492660EF" w14:textId="77777777" w:rsidTr="00DE58EB">
        <w:tc>
          <w:tcPr>
            <w:tcW w:w="4882" w:type="dxa"/>
          </w:tcPr>
          <w:p w14:paraId="1230C3D1" w14:textId="71CE09A1" w:rsidR="00190C03" w:rsidRPr="00BA6392" w:rsidRDefault="00190C03" w:rsidP="00A65645">
            <w:pPr>
              <w:pStyle w:val="Default"/>
              <w:rPr>
                <w:color w:val="auto"/>
              </w:rPr>
            </w:pPr>
            <w:r w:rsidRPr="00BA6392">
              <w:rPr>
                <w:color w:val="auto"/>
              </w:rPr>
              <w:t xml:space="preserve">Deadline for </w:t>
            </w:r>
            <w:r w:rsidR="00E61533">
              <w:rPr>
                <w:color w:val="auto"/>
              </w:rPr>
              <w:t xml:space="preserve">tenders to be submitted </w:t>
            </w:r>
          </w:p>
        </w:tc>
        <w:tc>
          <w:tcPr>
            <w:tcW w:w="4860" w:type="dxa"/>
          </w:tcPr>
          <w:p w14:paraId="73D4E371" w14:textId="7F5CB8B6" w:rsidR="00190C03" w:rsidRPr="00BA6392" w:rsidRDefault="002A2B9F" w:rsidP="00A65645">
            <w:pPr>
              <w:pStyle w:val="Default"/>
              <w:rPr>
                <w:color w:val="auto"/>
              </w:rPr>
            </w:pPr>
            <w:r w:rsidRPr="00A854BE">
              <w:rPr>
                <w:color w:val="auto"/>
              </w:rPr>
              <w:t>0</w:t>
            </w:r>
            <w:r w:rsidR="00A854BE" w:rsidRPr="00A854BE">
              <w:rPr>
                <w:color w:val="auto"/>
              </w:rPr>
              <w:t>9</w:t>
            </w:r>
            <w:r w:rsidR="00190C03" w:rsidRPr="00A854BE">
              <w:rPr>
                <w:color w:val="auto"/>
              </w:rPr>
              <w:t>/09</w:t>
            </w:r>
            <w:r w:rsidRPr="00A854BE">
              <w:rPr>
                <w:color w:val="auto"/>
              </w:rPr>
              <w:t>/19</w:t>
            </w:r>
            <w:r w:rsidR="00E159D1" w:rsidRPr="00A854BE">
              <w:rPr>
                <w:color w:val="auto"/>
              </w:rPr>
              <w:t xml:space="preserve"> (5pm)</w:t>
            </w:r>
          </w:p>
        </w:tc>
      </w:tr>
      <w:tr w:rsidR="00190C03" w:rsidRPr="00BA6392" w14:paraId="2D38C47A" w14:textId="77777777" w:rsidTr="00DE58EB">
        <w:tc>
          <w:tcPr>
            <w:tcW w:w="4882" w:type="dxa"/>
          </w:tcPr>
          <w:p w14:paraId="60618677" w14:textId="77777777" w:rsidR="00190C03" w:rsidRPr="00BA6392" w:rsidRDefault="00190C03" w:rsidP="00A65645">
            <w:pPr>
              <w:pStyle w:val="Default"/>
              <w:rPr>
                <w:color w:val="auto"/>
              </w:rPr>
            </w:pPr>
            <w:r w:rsidRPr="00BA6392">
              <w:rPr>
                <w:color w:val="auto"/>
              </w:rPr>
              <w:t>Contract awarded</w:t>
            </w:r>
          </w:p>
        </w:tc>
        <w:tc>
          <w:tcPr>
            <w:tcW w:w="4860" w:type="dxa"/>
          </w:tcPr>
          <w:p w14:paraId="187074AD" w14:textId="49564D2A" w:rsidR="00190C03" w:rsidRPr="00BA6392" w:rsidRDefault="000B061A" w:rsidP="00A65645">
            <w:pPr>
              <w:pStyle w:val="Default"/>
              <w:rPr>
                <w:color w:val="auto"/>
              </w:rPr>
            </w:pPr>
            <w:r>
              <w:rPr>
                <w:color w:val="auto"/>
              </w:rPr>
              <w:t xml:space="preserve">By </w:t>
            </w:r>
            <w:r w:rsidR="00190C03" w:rsidRPr="00BA6392">
              <w:rPr>
                <w:color w:val="auto"/>
              </w:rPr>
              <w:t>20/09</w:t>
            </w:r>
            <w:r>
              <w:rPr>
                <w:color w:val="auto"/>
              </w:rPr>
              <w:t>/19</w:t>
            </w:r>
          </w:p>
        </w:tc>
      </w:tr>
      <w:tr w:rsidR="00190C03" w:rsidRPr="00BA6392" w14:paraId="4CAB89B4" w14:textId="77777777" w:rsidTr="00DE58EB">
        <w:tc>
          <w:tcPr>
            <w:tcW w:w="4882" w:type="dxa"/>
          </w:tcPr>
          <w:p w14:paraId="75D63590" w14:textId="77777777" w:rsidR="00190C03" w:rsidRPr="00BA6392" w:rsidRDefault="00190C03" w:rsidP="00A65645">
            <w:pPr>
              <w:pStyle w:val="Default"/>
              <w:rPr>
                <w:color w:val="auto"/>
              </w:rPr>
            </w:pPr>
            <w:r w:rsidRPr="00BA6392">
              <w:rPr>
                <w:color w:val="auto"/>
              </w:rPr>
              <w:t>Inception meeting (London)</w:t>
            </w:r>
          </w:p>
        </w:tc>
        <w:tc>
          <w:tcPr>
            <w:tcW w:w="4860" w:type="dxa"/>
          </w:tcPr>
          <w:p w14:paraId="35D1CCD3" w14:textId="717C82FB" w:rsidR="00190C03" w:rsidRPr="00BA6392" w:rsidRDefault="00190C03" w:rsidP="00A65645">
            <w:pPr>
              <w:pStyle w:val="Default"/>
              <w:rPr>
                <w:color w:val="auto"/>
              </w:rPr>
            </w:pPr>
            <w:r w:rsidRPr="00BA6392">
              <w:rPr>
                <w:color w:val="auto"/>
              </w:rPr>
              <w:t>W/C 23/09</w:t>
            </w:r>
            <w:r w:rsidR="000B061A">
              <w:rPr>
                <w:color w:val="auto"/>
              </w:rPr>
              <w:t>/1</w:t>
            </w:r>
            <w:r w:rsidR="00A854BE">
              <w:rPr>
                <w:color w:val="auto"/>
              </w:rPr>
              <w:t>9</w:t>
            </w:r>
          </w:p>
        </w:tc>
      </w:tr>
      <w:tr w:rsidR="00190C03" w:rsidRPr="00BA6392" w14:paraId="527674F0" w14:textId="77777777" w:rsidTr="00DE58EB">
        <w:tc>
          <w:tcPr>
            <w:tcW w:w="4882" w:type="dxa"/>
          </w:tcPr>
          <w:p w14:paraId="6BCE8A11" w14:textId="77777777" w:rsidR="00190C03" w:rsidRPr="00BA6392" w:rsidRDefault="00190C03" w:rsidP="00A65645">
            <w:pPr>
              <w:pStyle w:val="Default"/>
              <w:rPr>
                <w:color w:val="auto"/>
              </w:rPr>
            </w:pPr>
            <w:r w:rsidRPr="00BA6392">
              <w:rPr>
                <w:color w:val="auto"/>
              </w:rPr>
              <w:t xml:space="preserve">Work begins </w:t>
            </w:r>
          </w:p>
        </w:tc>
        <w:tc>
          <w:tcPr>
            <w:tcW w:w="4860" w:type="dxa"/>
          </w:tcPr>
          <w:p w14:paraId="6D93998C" w14:textId="4D69DD15" w:rsidR="00190C03" w:rsidRPr="00BA6392" w:rsidRDefault="00190C03" w:rsidP="00A65645">
            <w:pPr>
              <w:pStyle w:val="Default"/>
              <w:rPr>
                <w:color w:val="auto"/>
              </w:rPr>
            </w:pPr>
            <w:r w:rsidRPr="00BA6392">
              <w:rPr>
                <w:color w:val="auto"/>
              </w:rPr>
              <w:t>W/C 30/09</w:t>
            </w:r>
            <w:r w:rsidR="000B061A">
              <w:rPr>
                <w:color w:val="auto"/>
              </w:rPr>
              <w:t>/1</w:t>
            </w:r>
            <w:r w:rsidR="00A854BE">
              <w:rPr>
                <w:color w:val="auto"/>
              </w:rPr>
              <w:t>9</w:t>
            </w:r>
          </w:p>
        </w:tc>
      </w:tr>
    </w:tbl>
    <w:p w14:paraId="0D2B2C65" w14:textId="41DF3DE1" w:rsidR="004A600B" w:rsidRPr="00BA6392" w:rsidRDefault="004A600B" w:rsidP="007E0083">
      <w:pPr>
        <w:pStyle w:val="Heading2"/>
        <w:rPr>
          <w:rFonts w:cs="Arial"/>
        </w:rPr>
      </w:pPr>
      <w:r w:rsidRPr="00BA6392">
        <w:rPr>
          <w:rFonts w:cs="Arial"/>
        </w:rPr>
        <w:t>Assessment criteria</w:t>
      </w:r>
    </w:p>
    <w:p w14:paraId="3B1F2157" w14:textId="77777777" w:rsidR="00C23B18" w:rsidRPr="00BA6392" w:rsidRDefault="00C23B18" w:rsidP="00C23B18">
      <w:pPr>
        <w:rPr>
          <w:rFonts w:cs="Arial"/>
        </w:rPr>
      </w:pPr>
      <w:r w:rsidRPr="00BA6392">
        <w:rPr>
          <w:rFonts w:cs="Arial"/>
        </w:rPr>
        <w:t>Expressions of interest will be assessed against the following criteria; which are equally weighted at this stage.</w:t>
      </w:r>
    </w:p>
    <w:p w14:paraId="344ED1FC" w14:textId="364D840A" w:rsidR="00C23B18" w:rsidRPr="00BA6392" w:rsidRDefault="00C23B18" w:rsidP="00C23B18">
      <w:pPr>
        <w:pStyle w:val="ListParagraph"/>
        <w:numPr>
          <w:ilvl w:val="0"/>
          <w:numId w:val="20"/>
        </w:numPr>
        <w:rPr>
          <w:rFonts w:eastAsia="Arial" w:cs="Arial"/>
          <w:szCs w:val="22"/>
        </w:rPr>
      </w:pPr>
      <w:r w:rsidRPr="00BA6392">
        <w:rPr>
          <w:rFonts w:cs="Arial"/>
        </w:rPr>
        <w:t>Evidence of suppliers' knowledge of the policy area</w:t>
      </w:r>
      <w:r w:rsidR="00937701">
        <w:rPr>
          <w:rFonts w:cs="Arial"/>
        </w:rPr>
        <w:t>.</w:t>
      </w:r>
      <w:r w:rsidRPr="00BA6392">
        <w:rPr>
          <w:rFonts w:cs="Arial"/>
        </w:rPr>
        <w:t xml:space="preserve"> </w:t>
      </w:r>
    </w:p>
    <w:p w14:paraId="4E29E177" w14:textId="56CF32CC" w:rsidR="006F0D69" w:rsidRPr="006F0D69" w:rsidRDefault="00C23B18" w:rsidP="004343C7">
      <w:pPr>
        <w:pStyle w:val="ListParagraph"/>
        <w:numPr>
          <w:ilvl w:val="0"/>
          <w:numId w:val="20"/>
        </w:numPr>
        <w:rPr>
          <w:rFonts w:eastAsia="Arial" w:cs="Arial"/>
          <w:szCs w:val="22"/>
        </w:rPr>
      </w:pPr>
      <w:r w:rsidRPr="00703755">
        <w:rPr>
          <w:rFonts w:cs="Arial"/>
        </w:rPr>
        <w:t xml:space="preserve">Evidence of suppliers' capacity </w:t>
      </w:r>
      <w:r w:rsidR="005E0C3C" w:rsidRPr="00703755">
        <w:rPr>
          <w:rFonts w:cs="Arial"/>
        </w:rPr>
        <w:t xml:space="preserve">and capability </w:t>
      </w:r>
      <w:r w:rsidRPr="00703755">
        <w:rPr>
          <w:rFonts w:cs="Arial"/>
        </w:rPr>
        <w:t>to carry out the work</w:t>
      </w:r>
      <w:r w:rsidR="00937701">
        <w:rPr>
          <w:rFonts w:cs="Arial"/>
        </w:rPr>
        <w:t>.</w:t>
      </w:r>
      <w:r w:rsidRPr="00703755">
        <w:rPr>
          <w:rFonts w:cs="Arial"/>
        </w:rPr>
        <w:t xml:space="preserve"> </w:t>
      </w:r>
    </w:p>
    <w:p w14:paraId="0EB9B1CB" w14:textId="65DC9AAB" w:rsidR="00581B01" w:rsidRPr="004343C7" w:rsidRDefault="00581B01" w:rsidP="004343C7">
      <w:pPr>
        <w:pStyle w:val="ListParagraph"/>
        <w:numPr>
          <w:ilvl w:val="0"/>
          <w:numId w:val="20"/>
        </w:numPr>
        <w:rPr>
          <w:rFonts w:eastAsia="Arial" w:cs="Arial"/>
          <w:szCs w:val="22"/>
        </w:rPr>
      </w:pPr>
      <w:r w:rsidRPr="004343C7">
        <w:rPr>
          <w:rFonts w:eastAsia="Arial" w:cs="Arial"/>
          <w:szCs w:val="22"/>
        </w:rPr>
        <w:t>Evid</w:t>
      </w:r>
      <w:r w:rsidR="00BA6392" w:rsidRPr="004343C7">
        <w:rPr>
          <w:rFonts w:eastAsia="Arial" w:cs="Arial"/>
          <w:szCs w:val="22"/>
        </w:rPr>
        <w:t>ence of suppliers’ experience in carrying out</w:t>
      </w:r>
      <w:r w:rsidRPr="004343C7">
        <w:rPr>
          <w:rFonts w:eastAsia="Arial" w:cs="Arial"/>
          <w:szCs w:val="22"/>
        </w:rPr>
        <w:t xml:space="preserve"> similar </w:t>
      </w:r>
      <w:r w:rsidR="00D85A78" w:rsidRPr="00CC7B6E">
        <w:rPr>
          <w:rFonts w:eastAsia="Arial" w:cs="Arial"/>
          <w:szCs w:val="22"/>
        </w:rPr>
        <w:t>research</w:t>
      </w:r>
      <w:r w:rsidR="00EF4CB3" w:rsidRPr="00CC7B6E">
        <w:rPr>
          <w:rFonts w:eastAsia="Arial" w:cs="Arial"/>
          <w:szCs w:val="22"/>
        </w:rPr>
        <w:t xml:space="preserve"> in relevant policy areas. This includes </w:t>
      </w:r>
      <w:r w:rsidR="00703755" w:rsidRPr="004343C7">
        <w:rPr>
          <w:bCs/>
        </w:rPr>
        <w:t xml:space="preserve">assessment of the suppliers’ expertise and experience in qualitative research and </w:t>
      </w:r>
      <w:r w:rsidR="004343C7" w:rsidRPr="004343C7">
        <w:rPr>
          <w:bCs/>
        </w:rPr>
        <w:t>quantitative data analysis</w:t>
      </w:r>
      <w:r w:rsidR="00937701">
        <w:rPr>
          <w:bCs/>
        </w:rPr>
        <w:t>.</w:t>
      </w:r>
      <w:r w:rsidR="004343C7" w:rsidRPr="004343C7">
        <w:rPr>
          <w:bCs/>
        </w:rP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BA6392"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FB964D2" w14:textId="74CA0C42" w:rsidR="00DE58EB" w:rsidRDefault="00DE58EB" w:rsidP="00915C18">
            <w:pPr>
              <w:spacing w:before="160"/>
              <w:rPr>
                <w:rFonts w:cs="Arial"/>
                <w:b/>
                <w:bCs/>
                <w:sz w:val="28"/>
                <w:szCs w:val="20"/>
              </w:rPr>
            </w:pPr>
            <w:r>
              <w:rPr>
                <w:rFonts w:cs="Arial"/>
                <w:b/>
                <w:bCs/>
                <w:sz w:val="28"/>
                <w:szCs w:val="20"/>
              </w:rPr>
              <w:t>Word limit: 1,000 words</w:t>
            </w:r>
          </w:p>
          <w:p w14:paraId="3F9169D6" w14:textId="5B21835D" w:rsidR="00915C18" w:rsidRPr="00BA6392" w:rsidRDefault="00915C18" w:rsidP="00915C18">
            <w:pPr>
              <w:spacing w:before="160"/>
              <w:rPr>
                <w:rFonts w:cs="Arial"/>
                <w:b/>
                <w:bCs/>
                <w:sz w:val="28"/>
                <w:szCs w:val="20"/>
              </w:rPr>
            </w:pPr>
            <w:r w:rsidRPr="00BA6392">
              <w:rPr>
                <w:rFonts w:cs="Arial"/>
                <w:b/>
                <w:bCs/>
                <w:sz w:val="28"/>
                <w:szCs w:val="20"/>
              </w:rPr>
              <w:t>Closing date for EOIs:</w:t>
            </w:r>
            <w:r w:rsidR="00E12130" w:rsidRPr="00BA6392">
              <w:rPr>
                <w:rFonts w:cs="Arial"/>
                <w:b/>
                <w:bCs/>
                <w:sz w:val="28"/>
                <w:szCs w:val="20"/>
              </w:rPr>
              <w:t xml:space="preserve"> 5pm on 12/08/19</w:t>
            </w:r>
          </w:p>
          <w:p w14:paraId="5178F3E6" w14:textId="6462931C" w:rsidR="00A85EBD" w:rsidRPr="00BA6392" w:rsidRDefault="00915C18" w:rsidP="007519C2">
            <w:pPr>
              <w:rPr>
                <w:rFonts w:cs="Arial"/>
              </w:rPr>
            </w:pPr>
            <w:r w:rsidRPr="00BA6392">
              <w:rPr>
                <w:rFonts w:cs="Arial"/>
                <w:b/>
                <w:bCs/>
                <w:sz w:val="28"/>
                <w:szCs w:val="20"/>
              </w:rPr>
              <w:t>Send your EOI form to:</w:t>
            </w:r>
            <w:r w:rsidR="00E12130" w:rsidRPr="00BA6392">
              <w:rPr>
                <w:rFonts w:cs="Arial"/>
                <w:b/>
                <w:bCs/>
                <w:sz w:val="28"/>
                <w:szCs w:val="20"/>
              </w:rPr>
              <w:t xml:space="preserve"> eve.schofield@education.gov.uk</w:t>
            </w:r>
          </w:p>
        </w:tc>
      </w:tr>
    </w:tbl>
    <w:p w14:paraId="3EA17F59" w14:textId="19B0AE96" w:rsidR="00915C18" w:rsidRPr="00BA6392" w:rsidRDefault="00094338" w:rsidP="001F2CE2">
      <w:pPr>
        <w:pStyle w:val="Heading2"/>
        <w:rPr>
          <w:rFonts w:cs="Arial"/>
        </w:rPr>
      </w:pPr>
      <w:r w:rsidRPr="00BA6392">
        <w:rPr>
          <w:rFonts w:cs="Arial"/>
        </w:rPr>
        <w:t>H</w:t>
      </w:r>
      <w:r w:rsidR="00915C18" w:rsidRPr="00BA6392">
        <w:rPr>
          <w:rFonts w:cs="Arial"/>
        </w:rPr>
        <w:t xml:space="preserve">ow to submit an </w:t>
      </w:r>
      <w:r w:rsidRPr="00BA6392">
        <w:rPr>
          <w:rFonts w:cs="Arial"/>
        </w:rPr>
        <w:t>e</w:t>
      </w:r>
      <w:r w:rsidR="008420D7" w:rsidRPr="00BA6392">
        <w:rPr>
          <w:rFonts w:cs="Arial"/>
        </w:rPr>
        <w:t>x</w:t>
      </w:r>
      <w:r w:rsidRPr="00BA6392">
        <w:rPr>
          <w:rFonts w:cs="Arial"/>
        </w:rPr>
        <w:t>pression of interest</w:t>
      </w:r>
    </w:p>
    <w:p w14:paraId="53D8E246" w14:textId="305BA7F8" w:rsidR="00814CCF" w:rsidRPr="00BA6392" w:rsidRDefault="00814CCF" w:rsidP="00814CCF">
      <w:pPr>
        <w:rPr>
          <w:rFonts w:cs="Arial"/>
        </w:rPr>
      </w:pPr>
      <w:r w:rsidRPr="00BA6392">
        <w:rPr>
          <w:rFonts w:cs="Arial"/>
        </w:rPr>
        <w:t xml:space="preserve">You must submit an expression of interest (EOI) in order to </w:t>
      </w:r>
      <w:proofErr w:type="gramStart"/>
      <w:r w:rsidRPr="00BA6392">
        <w:rPr>
          <w:rFonts w:cs="Arial"/>
        </w:rPr>
        <w:t>be considered to be</w:t>
      </w:r>
      <w:proofErr w:type="gramEnd"/>
      <w:r w:rsidRPr="00BA6392">
        <w:rPr>
          <w:rFonts w:cs="Arial"/>
        </w:rPr>
        <w:t xml:space="preserve"> invited to tender. To do so, please complete the </w:t>
      </w:r>
      <w:r w:rsidR="00A0541C" w:rsidRPr="00BA6392">
        <w:rPr>
          <w:rFonts w:cs="Arial"/>
        </w:rPr>
        <w:t>NEW EOI Form which can be found under attachments</w:t>
      </w:r>
      <w:r w:rsidRPr="00BA6392">
        <w:rPr>
          <w:rFonts w:cs="Arial"/>
        </w:rP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16EB5829" w:rsidR="005A0891" w:rsidRPr="00BA6392" w:rsidRDefault="00814CCF" w:rsidP="00814CCF">
      <w:pPr>
        <w:rPr>
          <w:rFonts w:cs="Arial"/>
        </w:rPr>
      </w:pPr>
      <w:r w:rsidRPr="00BA6392">
        <w:rPr>
          <w:rFonts w:cs="Arial"/>
        </w:rPr>
        <w:t xml:space="preserve">All contracts are let </w:t>
      </w:r>
      <w:proofErr w:type="gramStart"/>
      <w:r w:rsidRPr="00BA6392">
        <w:rPr>
          <w:rFonts w:cs="Arial"/>
        </w:rPr>
        <w:t>on the basis of</w:t>
      </w:r>
      <w:proofErr w:type="gramEnd"/>
      <w:r w:rsidRPr="00BA6392">
        <w:rPr>
          <w:rFonts w:cs="Arial"/>
        </w:rPr>
        <w:t xml:space="preserve"> the</w:t>
      </w:r>
      <w:r w:rsidR="00A854BE">
        <w:t xml:space="preserve"> Department’s Terms and Conditions, also attached</w:t>
      </w:r>
      <w:r w:rsidRPr="00BA6392">
        <w:rPr>
          <w:rFonts w:cs="Arial"/>
        </w:rPr>
        <w:t>. You are encouraged to check these before submitting your expression of interest, as these form part of your contractual obligations.</w:t>
      </w:r>
      <w:bookmarkStart w:id="0" w:name="_GoBack"/>
      <w:bookmarkEnd w:id="0"/>
    </w:p>
    <w:p w14:paraId="5944612C" w14:textId="4B8AC93B" w:rsidR="005D3B59" w:rsidRPr="00BA6392" w:rsidRDefault="00C2496D" w:rsidP="005D3B59">
      <w:pPr>
        <w:rPr>
          <w:rFonts w:cs="Arial"/>
        </w:rPr>
      </w:pPr>
      <w:r w:rsidRPr="00BA6392">
        <w:rPr>
          <w:rFonts w:cs="Arial"/>
        </w:rPr>
        <w:t>©</w:t>
      </w:r>
      <w:r w:rsidR="005D3B59" w:rsidRPr="00BA6392">
        <w:rPr>
          <w:rFonts w:cs="Arial"/>
        </w:rPr>
        <w:t xml:space="preserve"> </w:t>
      </w:r>
      <w:r w:rsidR="00EE71A2" w:rsidRPr="00BA6392">
        <w:rPr>
          <w:rFonts w:cs="Arial"/>
        </w:rPr>
        <w:t xml:space="preserve">Crown copyright </w:t>
      </w:r>
      <w:r w:rsidR="000B264C" w:rsidRPr="00BA6392">
        <w:rPr>
          <w:rFonts w:cs="Arial"/>
        </w:rPr>
        <w:t>2019</w:t>
      </w:r>
    </w:p>
    <w:sectPr w:rsidR="005D3B59" w:rsidRPr="00BA6392"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291D" w14:textId="77777777" w:rsidR="006C58B4" w:rsidRDefault="006C58B4" w:rsidP="002B6D93">
      <w:r>
        <w:separator/>
      </w:r>
    </w:p>
    <w:p w14:paraId="0DB22829" w14:textId="77777777" w:rsidR="006C58B4" w:rsidRDefault="006C58B4"/>
  </w:endnote>
  <w:endnote w:type="continuationSeparator" w:id="0">
    <w:p w14:paraId="60276EC1" w14:textId="77777777" w:rsidR="006C58B4" w:rsidRDefault="006C58B4" w:rsidP="002B6D93">
      <w:r>
        <w:continuationSeparator/>
      </w:r>
    </w:p>
    <w:p w14:paraId="63D0DDE5" w14:textId="77777777" w:rsidR="006C58B4" w:rsidRDefault="006C5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0F3647F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C4D0F">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E1A4F" w14:textId="77777777" w:rsidR="006C58B4" w:rsidRDefault="006C58B4" w:rsidP="002B6D93">
      <w:r>
        <w:separator/>
      </w:r>
    </w:p>
    <w:p w14:paraId="20343247" w14:textId="77777777" w:rsidR="006C58B4" w:rsidRDefault="006C58B4"/>
  </w:footnote>
  <w:footnote w:type="continuationSeparator" w:id="0">
    <w:p w14:paraId="08FC6A45" w14:textId="77777777" w:rsidR="006C58B4" w:rsidRDefault="006C58B4" w:rsidP="002B6D93">
      <w:r>
        <w:continuationSeparator/>
      </w:r>
    </w:p>
    <w:p w14:paraId="568582E0" w14:textId="77777777" w:rsidR="006C58B4" w:rsidRDefault="006C58B4"/>
  </w:footnote>
  <w:footnote w:id="1">
    <w:p w14:paraId="6165FFBF" w14:textId="37E7A390" w:rsidR="00514682" w:rsidRPr="008F0633" w:rsidRDefault="00514682">
      <w:pPr>
        <w:pStyle w:val="FootnoteText"/>
        <w:rPr>
          <w:rFonts w:ascii="Arial" w:hAnsi="Arial" w:cs="Arial"/>
          <w:b w:val="0"/>
          <w:bCs/>
          <w:sz w:val="22"/>
          <w:szCs w:val="22"/>
          <w:lang w:val="en-GB"/>
        </w:rPr>
      </w:pPr>
      <w:r w:rsidRPr="00514682">
        <w:rPr>
          <w:rStyle w:val="FootnoteReference"/>
          <w:rFonts w:ascii="Arial" w:hAnsi="Arial" w:cs="Arial"/>
          <w:b w:val="0"/>
          <w:bCs/>
          <w:sz w:val="22"/>
          <w:szCs w:val="22"/>
        </w:rPr>
        <w:footnoteRef/>
      </w:r>
      <w:hyperlink r:id="rId1" w:history="1">
        <w:r w:rsidR="00FE0563" w:rsidRPr="001E7077">
          <w:rPr>
            <w:rStyle w:val="Hyperlink"/>
            <w:rFonts w:cs="Arial"/>
            <w:b w:val="0"/>
            <w:bCs/>
            <w:sz w:val="22"/>
            <w:szCs w:val="22"/>
          </w:rPr>
          <w:t>https://assets.publishing.service.gov.uk/government/uploads/system/uploads/attachment_data/file/779002/T_Level_action_plan_2018.pdf</w:t>
        </w:r>
      </w:hyperlink>
      <w:r w:rsidR="00FE0563">
        <w:rPr>
          <w:rFonts w:ascii="Arial" w:hAnsi="Arial" w:cs="Arial"/>
          <w:b w:val="0"/>
          <w:bCs/>
          <w:sz w:val="22"/>
          <w:szCs w:val="22"/>
        </w:rPr>
        <w:t xml:space="preserve"> </w:t>
      </w:r>
    </w:p>
  </w:footnote>
  <w:footnote w:id="2">
    <w:p w14:paraId="6A53FF49" w14:textId="59AF02D0" w:rsidR="008F0633" w:rsidRPr="008F0633" w:rsidRDefault="008F0633">
      <w:pPr>
        <w:pStyle w:val="FootnoteText"/>
        <w:rPr>
          <w:lang w:val="en-GB"/>
        </w:rPr>
      </w:pPr>
      <w:r w:rsidRPr="008F0633">
        <w:rPr>
          <w:rStyle w:val="FootnoteReference"/>
          <w:rFonts w:ascii="Arial" w:hAnsi="Arial" w:cs="Arial"/>
          <w:sz w:val="22"/>
          <w:szCs w:val="22"/>
        </w:rPr>
        <w:footnoteRef/>
      </w:r>
      <w:r w:rsidRPr="008F0633">
        <w:t xml:space="preserve"> </w:t>
      </w:r>
      <w:hyperlink r:id="rId2" w:anchor="t-level-transition-programme" w:history="1">
        <w:r w:rsidRPr="008F0633">
          <w:rPr>
            <w:rStyle w:val="Hyperlink"/>
            <w:rFonts w:cs="Arial"/>
            <w:b w:val="0"/>
            <w:sz w:val="22"/>
            <w:szCs w:val="22"/>
          </w:rPr>
          <w:t>https://www.gov.uk/guidance/t-levels-next-steps-for-providers#t-level-transition-programme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ECD"/>
    <w:multiLevelType w:val="hybridMultilevel"/>
    <w:tmpl w:val="8CDA2CEC"/>
    <w:lvl w:ilvl="0" w:tplc="D35C1D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EC16B0"/>
    <w:multiLevelType w:val="hybridMultilevel"/>
    <w:tmpl w:val="102CC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0"/>
  </w:num>
  <w:num w:numId="5">
    <w:abstractNumId w:val="8"/>
  </w:num>
  <w:num w:numId="6">
    <w:abstractNumId w:val="12"/>
  </w:num>
  <w:num w:numId="7">
    <w:abstractNumId w:val="3"/>
  </w:num>
  <w:num w:numId="8">
    <w:abstractNumId w:val="1"/>
  </w:num>
  <w:num w:numId="9">
    <w:abstractNumId w:val="0"/>
  </w:num>
  <w:num w:numId="10">
    <w:abstractNumId w:val="14"/>
  </w:num>
  <w:num w:numId="11">
    <w:abstractNumId w:val="12"/>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7"/>
  </w:num>
  <w:num w:numId="20">
    <w:abstractNumId w:val="13"/>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08B2"/>
    <w:rsid w:val="00011A88"/>
    <w:rsid w:val="00012381"/>
    <w:rsid w:val="00013A6E"/>
    <w:rsid w:val="0002203B"/>
    <w:rsid w:val="00031F36"/>
    <w:rsid w:val="000442BD"/>
    <w:rsid w:val="00057100"/>
    <w:rsid w:val="00057589"/>
    <w:rsid w:val="00065E86"/>
    <w:rsid w:val="00066B1C"/>
    <w:rsid w:val="000719BC"/>
    <w:rsid w:val="000720CD"/>
    <w:rsid w:val="000727BE"/>
    <w:rsid w:val="00083A73"/>
    <w:rsid w:val="00084D4D"/>
    <w:rsid w:val="00094338"/>
    <w:rsid w:val="000958A5"/>
    <w:rsid w:val="000A10F4"/>
    <w:rsid w:val="000B061A"/>
    <w:rsid w:val="000B264C"/>
    <w:rsid w:val="000B3184"/>
    <w:rsid w:val="000B3DE0"/>
    <w:rsid w:val="000D1D30"/>
    <w:rsid w:val="000D4433"/>
    <w:rsid w:val="000E0FEB"/>
    <w:rsid w:val="000E3350"/>
    <w:rsid w:val="000F73F3"/>
    <w:rsid w:val="00102730"/>
    <w:rsid w:val="00103E77"/>
    <w:rsid w:val="0011494F"/>
    <w:rsid w:val="00121C6C"/>
    <w:rsid w:val="001264D9"/>
    <w:rsid w:val="001272A9"/>
    <w:rsid w:val="00127748"/>
    <w:rsid w:val="00133075"/>
    <w:rsid w:val="00147214"/>
    <w:rsid w:val="00147697"/>
    <w:rsid w:val="001534B2"/>
    <w:rsid w:val="001540AB"/>
    <w:rsid w:val="001568EE"/>
    <w:rsid w:val="001612C8"/>
    <w:rsid w:val="001747E2"/>
    <w:rsid w:val="00176EB9"/>
    <w:rsid w:val="0017782E"/>
    <w:rsid w:val="0017793A"/>
    <w:rsid w:val="00190C03"/>
    <w:rsid w:val="00190C3A"/>
    <w:rsid w:val="00196306"/>
    <w:rsid w:val="001975D1"/>
    <w:rsid w:val="001A3A04"/>
    <w:rsid w:val="001B2AE2"/>
    <w:rsid w:val="001B4452"/>
    <w:rsid w:val="001B5C15"/>
    <w:rsid w:val="001B796F"/>
    <w:rsid w:val="001C4D0F"/>
    <w:rsid w:val="001C5A63"/>
    <w:rsid w:val="001C5EB6"/>
    <w:rsid w:val="001D5770"/>
    <w:rsid w:val="001E7E29"/>
    <w:rsid w:val="001F1B30"/>
    <w:rsid w:val="001F2CE2"/>
    <w:rsid w:val="00203EC9"/>
    <w:rsid w:val="002113CF"/>
    <w:rsid w:val="0022255C"/>
    <w:rsid w:val="0022489D"/>
    <w:rsid w:val="002262F3"/>
    <w:rsid w:val="00227124"/>
    <w:rsid w:val="00230559"/>
    <w:rsid w:val="002332F8"/>
    <w:rsid w:val="00234F75"/>
    <w:rsid w:val="00240703"/>
    <w:rsid w:val="00240F4B"/>
    <w:rsid w:val="00242077"/>
    <w:rsid w:val="002575C5"/>
    <w:rsid w:val="002639B5"/>
    <w:rsid w:val="0027231C"/>
    <w:rsid w:val="0027252F"/>
    <w:rsid w:val="002839B5"/>
    <w:rsid w:val="00287788"/>
    <w:rsid w:val="002A28F7"/>
    <w:rsid w:val="002A2B9F"/>
    <w:rsid w:val="002A3153"/>
    <w:rsid w:val="002A5858"/>
    <w:rsid w:val="002B5853"/>
    <w:rsid w:val="002B6D93"/>
    <w:rsid w:val="002C34D4"/>
    <w:rsid w:val="002C3AA4"/>
    <w:rsid w:val="002E463F"/>
    <w:rsid w:val="002E4E9A"/>
    <w:rsid w:val="002E508B"/>
    <w:rsid w:val="002E5F9F"/>
    <w:rsid w:val="002E7849"/>
    <w:rsid w:val="002F18CD"/>
    <w:rsid w:val="002F7128"/>
    <w:rsid w:val="00300F99"/>
    <w:rsid w:val="00306368"/>
    <w:rsid w:val="00342F8B"/>
    <w:rsid w:val="003561E5"/>
    <w:rsid w:val="00361752"/>
    <w:rsid w:val="00373F4B"/>
    <w:rsid w:val="00374981"/>
    <w:rsid w:val="00375704"/>
    <w:rsid w:val="00377C93"/>
    <w:rsid w:val="003810D8"/>
    <w:rsid w:val="003853A4"/>
    <w:rsid w:val="00393ADD"/>
    <w:rsid w:val="00394482"/>
    <w:rsid w:val="0039664E"/>
    <w:rsid w:val="0039725F"/>
    <w:rsid w:val="003A1CC2"/>
    <w:rsid w:val="003B1F17"/>
    <w:rsid w:val="003C5F1F"/>
    <w:rsid w:val="003C60B5"/>
    <w:rsid w:val="003D1EFE"/>
    <w:rsid w:val="003D3A6B"/>
    <w:rsid w:val="003E1329"/>
    <w:rsid w:val="003E3ED2"/>
    <w:rsid w:val="003F57FB"/>
    <w:rsid w:val="00400E1D"/>
    <w:rsid w:val="00401C82"/>
    <w:rsid w:val="00403D1C"/>
    <w:rsid w:val="00407D40"/>
    <w:rsid w:val="00420C6D"/>
    <w:rsid w:val="004216FF"/>
    <w:rsid w:val="004242A7"/>
    <w:rsid w:val="004242C5"/>
    <w:rsid w:val="004310D3"/>
    <w:rsid w:val="004339FB"/>
    <w:rsid w:val="004343C7"/>
    <w:rsid w:val="00434CD7"/>
    <w:rsid w:val="004509BE"/>
    <w:rsid w:val="00456560"/>
    <w:rsid w:val="004577E6"/>
    <w:rsid w:val="00470223"/>
    <w:rsid w:val="004752D9"/>
    <w:rsid w:val="00475504"/>
    <w:rsid w:val="00477DCF"/>
    <w:rsid w:val="004866AD"/>
    <w:rsid w:val="00494097"/>
    <w:rsid w:val="004A3626"/>
    <w:rsid w:val="004A3E98"/>
    <w:rsid w:val="004A4259"/>
    <w:rsid w:val="004A600B"/>
    <w:rsid w:val="004B08AC"/>
    <w:rsid w:val="004C5600"/>
    <w:rsid w:val="004D13A3"/>
    <w:rsid w:val="004D73C6"/>
    <w:rsid w:val="004D7681"/>
    <w:rsid w:val="004E5405"/>
    <w:rsid w:val="004E5BD6"/>
    <w:rsid w:val="004E6CD9"/>
    <w:rsid w:val="004F20E3"/>
    <w:rsid w:val="004F211A"/>
    <w:rsid w:val="004F3159"/>
    <w:rsid w:val="004F4AEF"/>
    <w:rsid w:val="00514682"/>
    <w:rsid w:val="005247AD"/>
    <w:rsid w:val="005360B7"/>
    <w:rsid w:val="00536E0B"/>
    <w:rsid w:val="005535E5"/>
    <w:rsid w:val="00560451"/>
    <w:rsid w:val="00565C4A"/>
    <w:rsid w:val="0057250B"/>
    <w:rsid w:val="00574294"/>
    <w:rsid w:val="005749C5"/>
    <w:rsid w:val="0057670A"/>
    <w:rsid w:val="00581B01"/>
    <w:rsid w:val="00581B23"/>
    <w:rsid w:val="00581D79"/>
    <w:rsid w:val="005905B1"/>
    <w:rsid w:val="005914F1"/>
    <w:rsid w:val="005946C7"/>
    <w:rsid w:val="005A016F"/>
    <w:rsid w:val="005A07FF"/>
    <w:rsid w:val="005A0891"/>
    <w:rsid w:val="005A0BC8"/>
    <w:rsid w:val="005B545C"/>
    <w:rsid w:val="005C0B41"/>
    <w:rsid w:val="005C1770"/>
    <w:rsid w:val="005C2D94"/>
    <w:rsid w:val="005C657D"/>
    <w:rsid w:val="005D2CD5"/>
    <w:rsid w:val="005D3B59"/>
    <w:rsid w:val="005E0C3C"/>
    <w:rsid w:val="005E3024"/>
    <w:rsid w:val="005F107C"/>
    <w:rsid w:val="005F62AA"/>
    <w:rsid w:val="0060702F"/>
    <w:rsid w:val="006108B3"/>
    <w:rsid w:val="00622501"/>
    <w:rsid w:val="006237FB"/>
    <w:rsid w:val="0062451E"/>
    <w:rsid w:val="00635D57"/>
    <w:rsid w:val="0063627C"/>
    <w:rsid w:val="00640032"/>
    <w:rsid w:val="006418B2"/>
    <w:rsid w:val="00642404"/>
    <w:rsid w:val="00647EFA"/>
    <w:rsid w:val="00652973"/>
    <w:rsid w:val="00653AA1"/>
    <w:rsid w:val="006558CA"/>
    <w:rsid w:val="00657E79"/>
    <w:rsid w:val="006606F5"/>
    <w:rsid w:val="00670ADC"/>
    <w:rsid w:val="006710EC"/>
    <w:rsid w:val="0067185E"/>
    <w:rsid w:val="00671D5B"/>
    <w:rsid w:val="006775FA"/>
    <w:rsid w:val="00683A5E"/>
    <w:rsid w:val="00684973"/>
    <w:rsid w:val="0068544D"/>
    <w:rsid w:val="00695D08"/>
    <w:rsid w:val="006A27AA"/>
    <w:rsid w:val="006A3602"/>
    <w:rsid w:val="006B1F9F"/>
    <w:rsid w:val="006C382D"/>
    <w:rsid w:val="006C4488"/>
    <w:rsid w:val="006C58B4"/>
    <w:rsid w:val="006D1162"/>
    <w:rsid w:val="006E6ADB"/>
    <w:rsid w:val="006E75FC"/>
    <w:rsid w:val="006E7F39"/>
    <w:rsid w:val="006F0D69"/>
    <w:rsid w:val="006F1F96"/>
    <w:rsid w:val="006F716F"/>
    <w:rsid w:val="006F7653"/>
    <w:rsid w:val="00700B01"/>
    <w:rsid w:val="00702EBF"/>
    <w:rsid w:val="00703755"/>
    <w:rsid w:val="00713414"/>
    <w:rsid w:val="00727EC4"/>
    <w:rsid w:val="00730350"/>
    <w:rsid w:val="0073516C"/>
    <w:rsid w:val="007403F5"/>
    <w:rsid w:val="007423A1"/>
    <w:rsid w:val="007426B3"/>
    <w:rsid w:val="00743353"/>
    <w:rsid w:val="0075096B"/>
    <w:rsid w:val="00751648"/>
    <w:rsid w:val="00753992"/>
    <w:rsid w:val="00753AB2"/>
    <w:rsid w:val="00754145"/>
    <w:rsid w:val="00760615"/>
    <w:rsid w:val="0076231A"/>
    <w:rsid w:val="00764D03"/>
    <w:rsid w:val="00766597"/>
    <w:rsid w:val="00774F55"/>
    <w:rsid w:val="00775D8A"/>
    <w:rsid w:val="0077659E"/>
    <w:rsid w:val="00777AD4"/>
    <w:rsid w:val="00780950"/>
    <w:rsid w:val="007809EF"/>
    <w:rsid w:val="00783D2C"/>
    <w:rsid w:val="00794F29"/>
    <w:rsid w:val="00797619"/>
    <w:rsid w:val="007A0BFA"/>
    <w:rsid w:val="007A2250"/>
    <w:rsid w:val="007A5759"/>
    <w:rsid w:val="007B3CFE"/>
    <w:rsid w:val="007B69F2"/>
    <w:rsid w:val="007C19E4"/>
    <w:rsid w:val="007C41A5"/>
    <w:rsid w:val="007C58BE"/>
    <w:rsid w:val="007D080B"/>
    <w:rsid w:val="007E0083"/>
    <w:rsid w:val="007F3AA2"/>
    <w:rsid w:val="00814CCF"/>
    <w:rsid w:val="00816E77"/>
    <w:rsid w:val="00831263"/>
    <w:rsid w:val="00831DB7"/>
    <w:rsid w:val="00832EBF"/>
    <w:rsid w:val="008366CB"/>
    <w:rsid w:val="00837F3A"/>
    <w:rsid w:val="008420D7"/>
    <w:rsid w:val="008620F3"/>
    <w:rsid w:val="00863986"/>
    <w:rsid w:val="00863E28"/>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474C"/>
    <w:rsid w:val="008E5F36"/>
    <w:rsid w:val="008F0633"/>
    <w:rsid w:val="008F2313"/>
    <w:rsid w:val="008F2757"/>
    <w:rsid w:val="008F2E4F"/>
    <w:rsid w:val="008F7436"/>
    <w:rsid w:val="00901E8C"/>
    <w:rsid w:val="0090500D"/>
    <w:rsid w:val="009055E4"/>
    <w:rsid w:val="00915C18"/>
    <w:rsid w:val="00917E9C"/>
    <w:rsid w:val="00917EB1"/>
    <w:rsid w:val="00921AD1"/>
    <w:rsid w:val="00926A3C"/>
    <w:rsid w:val="0093027C"/>
    <w:rsid w:val="00937701"/>
    <w:rsid w:val="0094189B"/>
    <w:rsid w:val="00951C56"/>
    <w:rsid w:val="0095599F"/>
    <w:rsid w:val="0096424B"/>
    <w:rsid w:val="009701C8"/>
    <w:rsid w:val="00972EFD"/>
    <w:rsid w:val="00983839"/>
    <w:rsid w:val="00986616"/>
    <w:rsid w:val="00987773"/>
    <w:rsid w:val="00995398"/>
    <w:rsid w:val="009A16AF"/>
    <w:rsid w:val="009B32FA"/>
    <w:rsid w:val="009C2C02"/>
    <w:rsid w:val="009C73CF"/>
    <w:rsid w:val="009C7A28"/>
    <w:rsid w:val="009D67CC"/>
    <w:rsid w:val="009E00AE"/>
    <w:rsid w:val="009E09D3"/>
    <w:rsid w:val="009E6E74"/>
    <w:rsid w:val="009E7EE1"/>
    <w:rsid w:val="009E7F32"/>
    <w:rsid w:val="00A0541C"/>
    <w:rsid w:val="00A14046"/>
    <w:rsid w:val="00A248DB"/>
    <w:rsid w:val="00A30BA1"/>
    <w:rsid w:val="00A37DEE"/>
    <w:rsid w:val="00A433C3"/>
    <w:rsid w:val="00A462FD"/>
    <w:rsid w:val="00A54BB7"/>
    <w:rsid w:val="00A5643A"/>
    <w:rsid w:val="00A57128"/>
    <w:rsid w:val="00A5723C"/>
    <w:rsid w:val="00A707A4"/>
    <w:rsid w:val="00A71FD9"/>
    <w:rsid w:val="00A7274B"/>
    <w:rsid w:val="00A73FB8"/>
    <w:rsid w:val="00A75086"/>
    <w:rsid w:val="00A763CB"/>
    <w:rsid w:val="00A77FB7"/>
    <w:rsid w:val="00A801D1"/>
    <w:rsid w:val="00A81F69"/>
    <w:rsid w:val="00A854BE"/>
    <w:rsid w:val="00A85EBD"/>
    <w:rsid w:val="00A86918"/>
    <w:rsid w:val="00AA3484"/>
    <w:rsid w:val="00AA7E7B"/>
    <w:rsid w:val="00AB6D0F"/>
    <w:rsid w:val="00AB7858"/>
    <w:rsid w:val="00AC61A6"/>
    <w:rsid w:val="00AD1BE5"/>
    <w:rsid w:val="00AD1DD2"/>
    <w:rsid w:val="00AD2062"/>
    <w:rsid w:val="00AD2F1D"/>
    <w:rsid w:val="00AE1E46"/>
    <w:rsid w:val="00AE4296"/>
    <w:rsid w:val="00AF0989"/>
    <w:rsid w:val="00AF121C"/>
    <w:rsid w:val="00AF2191"/>
    <w:rsid w:val="00AF4039"/>
    <w:rsid w:val="00AF785C"/>
    <w:rsid w:val="00B336AF"/>
    <w:rsid w:val="00B3498C"/>
    <w:rsid w:val="00B35EB6"/>
    <w:rsid w:val="00B43CAD"/>
    <w:rsid w:val="00B475C2"/>
    <w:rsid w:val="00B53333"/>
    <w:rsid w:val="00B551E7"/>
    <w:rsid w:val="00B55A49"/>
    <w:rsid w:val="00B64265"/>
    <w:rsid w:val="00B67F76"/>
    <w:rsid w:val="00B70EFF"/>
    <w:rsid w:val="00B7558C"/>
    <w:rsid w:val="00B7583E"/>
    <w:rsid w:val="00B818C3"/>
    <w:rsid w:val="00B87AE8"/>
    <w:rsid w:val="00B9194F"/>
    <w:rsid w:val="00B9348C"/>
    <w:rsid w:val="00BA003B"/>
    <w:rsid w:val="00BA6392"/>
    <w:rsid w:val="00BB05E2"/>
    <w:rsid w:val="00BB2306"/>
    <w:rsid w:val="00BB741C"/>
    <w:rsid w:val="00BC1EA5"/>
    <w:rsid w:val="00BC3154"/>
    <w:rsid w:val="00BD1111"/>
    <w:rsid w:val="00BD26B6"/>
    <w:rsid w:val="00BE01C6"/>
    <w:rsid w:val="00BE4770"/>
    <w:rsid w:val="00BE4DAC"/>
    <w:rsid w:val="00BF13F8"/>
    <w:rsid w:val="00C01CFF"/>
    <w:rsid w:val="00C026F2"/>
    <w:rsid w:val="00C02775"/>
    <w:rsid w:val="00C02D89"/>
    <w:rsid w:val="00C12457"/>
    <w:rsid w:val="00C15B78"/>
    <w:rsid w:val="00C2207B"/>
    <w:rsid w:val="00C22BA0"/>
    <w:rsid w:val="00C23B18"/>
    <w:rsid w:val="00C2496D"/>
    <w:rsid w:val="00C278D7"/>
    <w:rsid w:val="00C445DA"/>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0D03"/>
    <w:rsid w:val="00CB56F5"/>
    <w:rsid w:val="00CB6E04"/>
    <w:rsid w:val="00CC2512"/>
    <w:rsid w:val="00CC547F"/>
    <w:rsid w:val="00CC7B6E"/>
    <w:rsid w:val="00CC7C70"/>
    <w:rsid w:val="00CD5D21"/>
    <w:rsid w:val="00CD7B81"/>
    <w:rsid w:val="00CE2652"/>
    <w:rsid w:val="00CE3B7D"/>
    <w:rsid w:val="00CE7906"/>
    <w:rsid w:val="00CF0E19"/>
    <w:rsid w:val="00D01677"/>
    <w:rsid w:val="00D11353"/>
    <w:rsid w:val="00D12560"/>
    <w:rsid w:val="00D27D9B"/>
    <w:rsid w:val="00D33211"/>
    <w:rsid w:val="00D376DB"/>
    <w:rsid w:val="00D37E4E"/>
    <w:rsid w:val="00D408A5"/>
    <w:rsid w:val="00D40DE9"/>
    <w:rsid w:val="00D41212"/>
    <w:rsid w:val="00D42B45"/>
    <w:rsid w:val="00D57EE0"/>
    <w:rsid w:val="00D660A1"/>
    <w:rsid w:val="00D75416"/>
    <w:rsid w:val="00D85A78"/>
    <w:rsid w:val="00D92274"/>
    <w:rsid w:val="00D94339"/>
    <w:rsid w:val="00D9707F"/>
    <w:rsid w:val="00D97DD2"/>
    <w:rsid w:val="00DA0AD5"/>
    <w:rsid w:val="00DA1B01"/>
    <w:rsid w:val="00DA1F8E"/>
    <w:rsid w:val="00DA57A4"/>
    <w:rsid w:val="00DB0D07"/>
    <w:rsid w:val="00DB4014"/>
    <w:rsid w:val="00DB56EB"/>
    <w:rsid w:val="00DC39E8"/>
    <w:rsid w:val="00DC4922"/>
    <w:rsid w:val="00DD3A4E"/>
    <w:rsid w:val="00DD51B7"/>
    <w:rsid w:val="00DD788A"/>
    <w:rsid w:val="00DE2205"/>
    <w:rsid w:val="00DE2899"/>
    <w:rsid w:val="00DE58EB"/>
    <w:rsid w:val="00DE6998"/>
    <w:rsid w:val="00DF0054"/>
    <w:rsid w:val="00DF3309"/>
    <w:rsid w:val="00DF5124"/>
    <w:rsid w:val="00DF7F39"/>
    <w:rsid w:val="00E12130"/>
    <w:rsid w:val="00E159D1"/>
    <w:rsid w:val="00E1702C"/>
    <w:rsid w:val="00E20B43"/>
    <w:rsid w:val="00E22EE8"/>
    <w:rsid w:val="00E23ABB"/>
    <w:rsid w:val="00E23E99"/>
    <w:rsid w:val="00E3093A"/>
    <w:rsid w:val="00E33078"/>
    <w:rsid w:val="00E335AB"/>
    <w:rsid w:val="00E33AB6"/>
    <w:rsid w:val="00E4012C"/>
    <w:rsid w:val="00E42A8F"/>
    <w:rsid w:val="00E45BF9"/>
    <w:rsid w:val="00E5223F"/>
    <w:rsid w:val="00E534F0"/>
    <w:rsid w:val="00E61533"/>
    <w:rsid w:val="00E66B4F"/>
    <w:rsid w:val="00E66E70"/>
    <w:rsid w:val="00E741D5"/>
    <w:rsid w:val="00E74474"/>
    <w:rsid w:val="00E8283D"/>
    <w:rsid w:val="00E87A6A"/>
    <w:rsid w:val="00E9232A"/>
    <w:rsid w:val="00EA4D1B"/>
    <w:rsid w:val="00EB1D11"/>
    <w:rsid w:val="00EC3DC1"/>
    <w:rsid w:val="00ED2F1C"/>
    <w:rsid w:val="00ED3D05"/>
    <w:rsid w:val="00ED44B4"/>
    <w:rsid w:val="00ED63F4"/>
    <w:rsid w:val="00EE518B"/>
    <w:rsid w:val="00EE64AE"/>
    <w:rsid w:val="00EE71A2"/>
    <w:rsid w:val="00EF4CB3"/>
    <w:rsid w:val="00F06445"/>
    <w:rsid w:val="00F07114"/>
    <w:rsid w:val="00F1613D"/>
    <w:rsid w:val="00F206A7"/>
    <w:rsid w:val="00F3105E"/>
    <w:rsid w:val="00F35741"/>
    <w:rsid w:val="00F41591"/>
    <w:rsid w:val="00F41A63"/>
    <w:rsid w:val="00F42DB3"/>
    <w:rsid w:val="00F45BEB"/>
    <w:rsid w:val="00F54523"/>
    <w:rsid w:val="00F54B50"/>
    <w:rsid w:val="00F567B3"/>
    <w:rsid w:val="00F84544"/>
    <w:rsid w:val="00F85AA7"/>
    <w:rsid w:val="00F94D71"/>
    <w:rsid w:val="00F954FA"/>
    <w:rsid w:val="00F95B1F"/>
    <w:rsid w:val="00FA05B2"/>
    <w:rsid w:val="00FA09FE"/>
    <w:rsid w:val="00FA68A7"/>
    <w:rsid w:val="00FC0C51"/>
    <w:rsid w:val="00FC2B3C"/>
    <w:rsid w:val="00FD1CD8"/>
    <w:rsid w:val="00FD4D70"/>
    <w:rsid w:val="00FE0563"/>
    <w:rsid w:val="00FE1B88"/>
    <w:rsid w:val="00FE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0B264C"/>
    <w:pPr>
      <w:widowControl w:val="0"/>
      <w:overflowPunct w:val="0"/>
      <w:autoSpaceDE w:val="0"/>
      <w:autoSpaceDN w:val="0"/>
      <w:adjustRightInd w:val="0"/>
      <w:spacing w:after="240" w:line="240" w:lineRule="auto"/>
      <w:textAlignment w:val="baseline"/>
    </w:pPr>
    <w:rPr>
      <w:sz w:val="24"/>
      <w:szCs w:val="20"/>
      <w:lang w:eastAsia="en-US"/>
    </w:rPr>
  </w:style>
  <w:style w:type="paragraph" w:styleId="FootnoteText">
    <w:name w:val="footnote text"/>
    <w:basedOn w:val="Normal"/>
    <w:link w:val="FootnoteTextChar"/>
    <w:uiPriority w:val="99"/>
    <w:unhideWhenUsed/>
    <w:rsid w:val="000B264C"/>
    <w:pPr>
      <w:spacing w:after="0" w:line="240" w:lineRule="auto"/>
    </w:pPr>
    <w:rPr>
      <w:rFonts w:ascii="Segoe UI" w:eastAsiaTheme="minorEastAsia" w:hAnsi="Segoe UI" w:cstheme="minorBidi"/>
      <w:b/>
      <w:sz w:val="20"/>
      <w:szCs w:val="20"/>
      <w:lang w:val="en-US" w:eastAsia="en-US"/>
    </w:rPr>
  </w:style>
  <w:style w:type="character" w:customStyle="1" w:styleId="FootnoteTextChar">
    <w:name w:val="Footnote Text Char"/>
    <w:basedOn w:val="DefaultParagraphFont"/>
    <w:link w:val="FootnoteText"/>
    <w:uiPriority w:val="99"/>
    <w:rsid w:val="000B264C"/>
    <w:rPr>
      <w:rFonts w:ascii="Segoe UI" w:eastAsiaTheme="minorEastAsia" w:hAnsi="Segoe UI" w:cstheme="minorBidi"/>
      <w:b/>
      <w:lang w:val="en-US" w:eastAsia="en-US"/>
    </w:rPr>
  </w:style>
  <w:style w:type="character" w:styleId="FootnoteReference">
    <w:name w:val="footnote reference"/>
    <w:basedOn w:val="DefaultParagraphFont"/>
    <w:semiHidden/>
    <w:unhideWhenUsed/>
    <w:rsid w:val="000B2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3.jpg@01D53BB3.8645BE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t-levels-next-steps-for-providers" TargetMode="External"/><Relationship Id="rId1" Type="http://schemas.openxmlformats.org/officeDocument/2006/relationships/hyperlink" Target="https://assets.publishing.service.gov.uk/government/uploads/system/uploads/attachment_data/file/779002/T_Level_action_plan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d2e71156-a28b-4810-815e-e353e62e4ec2"/>
    <ds:schemaRef ds:uri="http://purl.org/dc/elements/1.1/"/>
    <ds:schemaRef ds:uri="http://schemas.microsoft.com/office/infopath/2007/PartnerControls"/>
    <ds:schemaRef ds:uri="7d131341-d497-4f4e-a250-66913a3e45a5"/>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A8303D83-84C1-40FA-9B73-EDD04B12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10FE72-D6E6-4B96-A118-7C54A4D4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7730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9067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2013-07-11T10:35:00Z</cp:lastPrinted>
  <dcterms:created xsi:type="dcterms:W3CDTF">2019-07-31T14:32:00Z</dcterms:created>
  <dcterms:modified xsi:type="dcterms:W3CDTF">2019-07-31T14:32:00Z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