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87522" w14:textId="77777777" w:rsidR="005F738A" w:rsidRDefault="005F738A" w:rsidP="00893A3F">
      <w:pPr>
        <w:pStyle w:val="Norma"/>
        <w:rPr>
          <w:rFonts w:ascii="Calibri" w:hAnsi="Calibri" w:cs="Calibri"/>
          <w:sz w:val="32"/>
          <w:szCs w:val="32"/>
        </w:rPr>
      </w:pPr>
    </w:p>
    <w:p w14:paraId="5EA87523" w14:textId="77777777" w:rsidR="00893A3F" w:rsidRDefault="00893A3F" w:rsidP="008F2B68">
      <w:pPr>
        <w:pStyle w:val="Norma"/>
        <w:rPr>
          <w:rFonts w:ascii="Calibri" w:hAnsi="Calibri" w:cs="Calibri"/>
          <w:b/>
          <w:sz w:val="32"/>
          <w:szCs w:val="32"/>
        </w:rPr>
      </w:pPr>
    </w:p>
    <w:p w14:paraId="5EA87524" w14:textId="28953ED5" w:rsidR="00FE0B21" w:rsidRDefault="000239BD" w:rsidP="00FE0B21">
      <w:pPr>
        <w:pStyle w:val="Norma"/>
        <w:rPr>
          <w:rFonts w:cs="Arial"/>
          <w:b/>
          <w:sz w:val="36"/>
          <w:szCs w:val="36"/>
        </w:rPr>
      </w:pPr>
      <w:r>
        <w:rPr>
          <w:rFonts w:cs="Arial"/>
          <w:b/>
          <w:sz w:val="36"/>
          <w:szCs w:val="36"/>
        </w:rPr>
        <w:t xml:space="preserve">Research </w:t>
      </w:r>
      <w:r w:rsidR="00B465CE">
        <w:rPr>
          <w:rFonts w:cs="Arial"/>
          <w:b/>
          <w:sz w:val="36"/>
          <w:szCs w:val="36"/>
        </w:rPr>
        <w:t>s</w:t>
      </w:r>
      <w:r w:rsidR="00CA7099">
        <w:rPr>
          <w:rFonts w:cs="Arial"/>
          <w:b/>
          <w:sz w:val="36"/>
          <w:szCs w:val="36"/>
        </w:rPr>
        <w:t>pecification</w:t>
      </w:r>
      <w:r w:rsidR="00B465CE">
        <w:rPr>
          <w:rFonts w:cs="Arial"/>
          <w:b/>
          <w:sz w:val="36"/>
          <w:szCs w:val="36"/>
        </w:rPr>
        <w:t>:</w:t>
      </w:r>
      <w:r w:rsidR="002C64AF">
        <w:rPr>
          <w:rFonts w:cs="Arial"/>
          <w:b/>
          <w:sz w:val="36"/>
          <w:szCs w:val="36"/>
        </w:rPr>
        <w:t xml:space="preserve"> </w:t>
      </w:r>
      <w:r w:rsidR="007106CD">
        <w:rPr>
          <w:rFonts w:cs="Arial"/>
          <w:b/>
          <w:sz w:val="36"/>
          <w:szCs w:val="36"/>
        </w:rPr>
        <w:t>Updat</w:t>
      </w:r>
      <w:r w:rsidR="00622BC6">
        <w:rPr>
          <w:rFonts w:cs="Arial"/>
          <w:b/>
          <w:sz w:val="36"/>
          <w:szCs w:val="36"/>
        </w:rPr>
        <w:t>ing</w:t>
      </w:r>
      <w:r w:rsidR="007106CD">
        <w:rPr>
          <w:rFonts w:cs="Arial"/>
          <w:b/>
          <w:sz w:val="36"/>
          <w:szCs w:val="36"/>
        </w:rPr>
        <w:t xml:space="preserve"> an assessment of the costs and benefits of </w:t>
      </w:r>
      <w:r w:rsidR="00622BC6">
        <w:rPr>
          <w:rFonts w:cs="Arial"/>
          <w:b/>
          <w:sz w:val="36"/>
          <w:szCs w:val="36"/>
        </w:rPr>
        <w:t xml:space="preserve">low-regret climate change </w:t>
      </w:r>
      <w:r w:rsidR="002C64AF">
        <w:rPr>
          <w:rFonts w:cs="Arial"/>
          <w:b/>
          <w:sz w:val="36"/>
          <w:szCs w:val="36"/>
        </w:rPr>
        <w:t xml:space="preserve">adaptation options in the residential </w:t>
      </w:r>
      <w:r w:rsidR="004759E5">
        <w:rPr>
          <w:rFonts w:cs="Arial"/>
          <w:b/>
          <w:sz w:val="36"/>
          <w:szCs w:val="36"/>
        </w:rPr>
        <w:t>buildings sector.</w:t>
      </w:r>
    </w:p>
    <w:p w14:paraId="5EA87525" w14:textId="77777777" w:rsidR="00CB7AD6" w:rsidRPr="00CB7AD6" w:rsidRDefault="00CB7AD6" w:rsidP="00FE0B21">
      <w:pPr>
        <w:pStyle w:val="Norma"/>
        <w:rPr>
          <w:rFonts w:cs="Arial"/>
          <w:b/>
          <w:sz w:val="36"/>
          <w:szCs w:val="36"/>
        </w:rPr>
      </w:pPr>
    </w:p>
    <w:p w14:paraId="4AFA6017" w14:textId="77777777" w:rsidR="00DD521A" w:rsidRDefault="00DD521A" w:rsidP="008F2B68">
      <w:pPr>
        <w:pStyle w:val="Norma"/>
        <w:rPr>
          <w:rFonts w:cs="Arial"/>
          <w:sz w:val="36"/>
          <w:szCs w:val="36"/>
        </w:rPr>
      </w:pPr>
    </w:p>
    <w:p w14:paraId="02451D23" w14:textId="77777777" w:rsidR="00DD521A" w:rsidRDefault="00DD521A" w:rsidP="008F2B68">
      <w:pPr>
        <w:pStyle w:val="Norma"/>
        <w:rPr>
          <w:rFonts w:cs="Arial"/>
          <w:sz w:val="36"/>
          <w:szCs w:val="36"/>
        </w:rPr>
      </w:pPr>
    </w:p>
    <w:p w14:paraId="5EA87526" w14:textId="16488F09" w:rsidR="00E53204" w:rsidRPr="00DD521A" w:rsidRDefault="00C53C6B" w:rsidP="008F2B68">
      <w:pPr>
        <w:pStyle w:val="Norma"/>
        <w:rPr>
          <w:rFonts w:cs="Arial"/>
          <w:color w:val="FF000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3C6FE2">
        <w:rPr>
          <w:rFonts w:cs="Arial"/>
          <w:color w:val="FF0000"/>
          <w:sz w:val="36"/>
          <w:szCs w:val="36"/>
        </w:rPr>
        <w:t>GH/0718</w:t>
      </w:r>
    </w:p>
    <w:p w14:paraId="5EA87527" w14:textId="77777777" w:rsidR="00444762" w:rsidRPr="002856D6" w:rsidRDefault="00444762" w:rsidP="008F2B68">
      <w:pPr>
        <w:pStyle w:val="Norma"/>
        <w:rPr>
          <w:rFonts w:cs="Arial"/>
          <w:szCs w:val="28"/>
        </w:rPr>
      </w:pPr>
    </w:p>
    <w:p w14:paraId="5EA87528" w14:textId="77777777" w:rsidR="00D95762" w:rsidRDefault="00D95762" w:rsidP="008F2B68">
      <w:pPr>
        <w:pStyle w:val="Norma"/>
        <w:rPr>
          <w:rFonts w:ascii="Calibri" w:hAnsi="Calibri" w:cs="Calibri"/>
          <w:b/>
          <w:color w:val="FF0000"/>
          <w:sz w:val="26"/>
          <w:szCs w:val="26"/>
        </w:rPr>
      </w:pPr>
    </w:p>
    <w:p w14:paraId="5EA87529" w14:textId="77777777" w:rsidR="00D95762" w:rsidRDefault="00D95762" w:rsidP="008F2B68">
      <w:pPr>
        <w:pStyle w:val="Norma"/>
        <w:rPr>
          <w:rFonts w:ascii="Calibri" w:hAnsi="Calibri" w:cs="Calibri"/>
          <w:b/>
          <w:color w:val="FF0000"/>
          <w:sz w:val="26"/>
          <w:szCs w:val="26"/>
        </w:rPr>
      </w:pPr>
    </w:p>
    <w:p w14:paraId="5EA8752A" w14:textId="77777777" w:rsidR="00327C8C" w:rsidRDefault="00327C8C" w:rsidP="00220F36">
      <w:pPr>
        <w:pStyle w:val="Norma"/>
        <w:rPr>
          <w:rFonts w:ascii="Calibri" w:hAnsi="Calibri" w:cs="Calibri"/>
          <w:b/>
          <w:sz w:val="28"/>
          <w:szCs w:val="28"/>
        </w:rPr>
      </w:pPr>
    </w:p>
    <w:p w14:paraId="5EA8752B" w14:textId="77777777" w:rsidR="00121E96" w:rsidRPr="00121E96" w:rsidRDefault="00121E96" w:rsidP="00CA7099">
      <w:pPr>
        <w:pStyle w:val="Norma"/>
        <w:rPr>
          <w:rFonts w:cs="Arial"/>
          <w:sz w:val="24"/>
          <w:szCs w:val="24"/>
        </w:rPr>
      </w:pPr>
    </w:p>
    <w:p w14:paraId="5EA87533" w14:textId="77777777" w:rsidR="00781BF5" w:rsidRPr="006C479E" w:rsidRDefault="00781BF5" w:rsidP="006C479E">
      <w:pPr>
        <w:pStyle w:val="Norma"/>
        <w:ind w:left="720"/>
        <w:rPr>
          <w:rFonts w:ascii="Calibri" w:hAnsi="Calibri" w:cs="Calibri"/>
        </w:rPr>
      </w:pPr>
      <w:bookmarkStart w:id="0" w:name="SectionOne"/>
    </w:p>
    <w:p w14:paraId="5EA87534" w14:textId="77777777" w:rsidR="003E5C19" w:rsidRPr="00CA7099" w:rsidRDefault="00091732" w:rsidP="00CA7099">
      <w:pPr>
        <w:pStyle w:val="Norma"/>
        <w:ind w:left="1080"/>
        <w:rPr>
          <w:rFonts w:cs="Calibri"/>
          <w:b/>
          <w:sz w:val="28"/>
          <w:szCs w:val="28"/>
        </w:rPr>
      </w:pPr>
      <w:bookmarkStart w:id="1" w:name="_Evaluation_of_Responses"/>
      <w:bookmarkEnd w:id="1"/>
      <w:r w:rsidRPr="00CA7099">
        <w:rPr>
          <w:rFonts w:cs="Calibri"/>
          <w:b/>
          <w:sz w:val="28"/>
          <w:szCs w:val="28"/>
        </w:rPr>
        <w:br w:type="page"/>
      </w:r>
      <w:bookmarkEnd w:id="0"/>
    </w:p>
    <w:p w14:paraId="5EA87535" w14:textId="1F4FEF93" w:rsidR="001D5D04" w:rsidRDefault="00107E72" w:rsidP="007B3C23">
      <w:pPr>
        <w:pStyle w:val="Norma"/>
        <w:jc w:val="both"/>
        <w:rPr>
          <w:rFonts w:ascii="Calibri" w:hAnsi="Calibri" w:cs="Calibri"/>
          <w:b/>
          <w:sz w:val="28"/>
          <w:szCs w:val="28"/>
        </w:rPr>
      </w:pPr>
      <w:r>
        <w:rPr>
          <w:noProof/>
        </w:rPr>
        <w:lastRenderedPageBreak/>
        <mc:AlternateContent>
          <mc:Choice Requires="wps">
            <w:drawing>
              <wp:anchor distT="0" distB="0" distL="114300" distR="114300" simplePos="0" relativeHeight="20" behindDoc="0" locked="0" layoutInCell="1" allowOverlap="1" wp14:anchorId="5EA8762A" wp14:editId="63B696A7">
                <wp:simplePos x="0" y="0"/>
                <wp:positionH relativeFrom="column">
                  <wp:posOffset>23751</wp:posOffset>
                </wp:positionH>
                <wp:positionV relativeFrom="paragraph">
                  <wp:posOffset>11875</wp:posOffset>
                </wp:positionV>
                <wp:extent cx="5655310" cy="2078182"/>
                <wp:effectExtent l="0" t="0" r="21590" b="1778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078182"/>
                        </a:xfrm>
                        <a:prstGeom prst="rect">
                          <a:avLst/>
                        </a:prstGeom>
                        <a:solidFill>
                          <a:srgbClr val="D8D8D8"/>
                        </a:solidFill>
                        <a:ln w="9525">
                          <a:solidFill>
                            <a:srgbClr val="000000"/>
                          </a:solidFill>
                          <a:miter lim="800000"/>
                          <a:headEnd/>
                          <a:tailEnd/>
                        </a:ln>
                      </wps:spPr>
                      <wps:txbx>
                        <w:txbxContent>
                          <w:p w14:paraId="5EA87635" w14:textId="77777777" w:rsidR="00F60037" w:rsidRDefault="00F60037" w:rsidP="003E5C19">
                            <w:pPr>
                              <w:pStyle w:val="Norma"/>
                              <w:jc w:val="center"/>
                              <w:rPr>
                                <w:b/>
                                <w:sz w:val="28"/>
                                <w:szCs w:val="28"/>
                              </w:rPr>
                            </w:pPr>
                          </w:p>
                          <w:p w14:paraId="5EA87636" w14:textId="77777777" w:rsidR="00F60037" w:rsidRDefault="00F60037" w:rsidP="003E5C19">
                            <w:pPr>
                              <w:pStyle w:val="Norma"/>
                              <w:jc w:val="center"/>
                              <w:rPr>
                                <w:b/>
                                <w:sz w:val="28"/>
                                <w:szCs w:val="28"/>
                              </w:rPr>
                            </w:pPr>
                          </w:p>
                          <w:p w14:paraId="5EA87637" w14:textId="77777777" w:rsidR="00F60037" w:rsidRPr="003E5C19" w:rsidRDefault="00F60037" w:rsidP="003E5C19">
                            <w:pPr>
                              <w:pStyle w:val="Norma"/>
                              <w:jc w:val="center"/>
                              <w:rPr>
                                <w:rFonts w:cs="Arial"/>
                                <w:b/>
                                <w:sz w:val="36"/>
                                <w:szCs w:val="36"/>
                              </w:rPr>
                            </w:pPr>
                            <w:r w:rsidRPr="003E5C19">
                              <w:rPr>
                                <w:b/>
                                <w:sz w:val="36"/>
                                <w:szCs w:val="36"/>
                              </w:rPr>
                              <w:t>Specification of Requirements</w:t>
                            </w:r>
                          </w:p>
                          <w:p w14:paraId="5EA87638" w14:textId="77777777" w:rsidR="00F60037" w:rsidRDefault="00F60037">
                            <w:pPr>
                              <w:pStyle w:val="Norma"/>
                            </w:pPr>
                          </w:p>
                          <w:p w14:paraId="5EA87639" w14:textId="77777777" w:rsidR="00F60037" w:rsidRDefault="00F60037">
                            <w:pPr>
                              <w:pStyle w:val="Norma"/>
                            </w:pPr>
                          </w:p>
                          <w:p w14:paraId="5EA8763A" w14:textId="764AA47D" w:rsidR="00F60037" w:rsidRPr="005C4A3B" w:rsidRDefault="00F60037" w:rsidP="00405192">
                            <w:pPr>
                              <w:pStyle w:val="Norma"/>
                              <w:rPr>
                                <w:rFonts w:cs="Arial"/>
                                <w:color w:val="000000" w:themeColor="text1"/>
                                <w:sz w:val="24"/>
                                <w:szCs w:val="24"/>
                              </w:rPr>
                            </w:pPr>
                            <w:r w:rsidRPr="005C4A3B">
                              <w:rPr>
                                <w:rFonts w:cs="Arial"/>
                                <w:sz w:val="24"/>
                                <w:szCs w:val="24"/>
                              </w:rPr>
                              <w:t xml:space="preserve">Invitation to Tender for </w:t>
                            </w:r>
                            <w:r w:rsidRPr="005C4A3B">
                              <w:rPr>
                                <w:rFonts w:cs="Arial"/>
                                <w:color w:val="000000" w:themeColor="text1"/>
                                <w:sz w:val="24"/>
                                <w:szCs w:val="24"/>
                              </w:rPr>
                              <w:t xml:space="preserve">research: </w:t>
                            </w:r>
                            <w:r w:rsidRPr="005C4A3B">
                              <w:rPr>
                                <w:sz w:val="24"/>
                                <w:szCs w:val="24"/>
                              </w:rPr>
                              <w:t xml:space="preserve"> </w:t>
                            </w:r>
                            <w:r>
                              <w:rPr>
                                <w:rFonts w:cs="Arial"/>
                                <w:color w:val="000000" w:themeColor="text1"/>
                                <w:sz w:val="24"/>
                                <w:szCs w:val="24"/>
                              </w:rPr>
                              <w:t>Updat</w:t>
                            </w:r>
                            <w:r w:rsidR="00026299">
                              <w:rPr>
                                <w:rFonts w:cs="Arial"/>
                                <w:color w:val="000000" w:themeColor="text1"/>
                                <w:sz w:val="24"/>
                                <w:szCs w:val="24"/>
                              </w:rPr>
                              <w:t xml:space="preserve">ing </w:t>
                            </w:r>
                            <w:r w:rsidR="00A16D87">
                              <w:rPr>
                                <w:rFonts w:cs="Arial"/>
                                <w:color w:val="000000" w:themeColor="text1"/>
                                <w:sz w:val="24"/>
                                <w:szCs w:val="24"/>
                              </w:rPr>
                              <w:t>an</w:t>
                            </w:r>
                            <w:r w:rsidR="00026299">
                              <w:rPr>
                                <w:rFonts w:cs="Arial"/>
                                <w:color w:val="000000" w:themeColor="text1"/>
                                <w:sz w:val="24"/>
                                <w:szCs w:val="24"/>
                              </w:rPr>
                              <w:t xml:space="preserve"> </w:t>
                            </w:r>
                            <w:r>
                              <w:rPr>
                                <w:rFonts w:cs="Arial"/>
                                <w:color w:val="000000" w:themeColor="text1"/>
                                <w:sz w:val="24"/>
                                <w:szCs w:val="24"/>
                              </w:rPr>
                              <w:t xml:space="preserve">assessment of the costs and benefits of </w:t>
                            </w:r>
                            <w:r w:rsidR="00622BC6">
                              <w:rPr>
                                <w:rFonts w:cs="Arial"/>
                                <w:color w:val="000000" w:themeColor="text1"/>
                                <w:sz w:val="24"/>
                                <w:szCs w:val="24"/>
                              </w:rPr>
                              <w:t xml:space="preserve">low-regret climate change </w:t>
                            </w:r>
                            <w:r>
                              <w:rPr>
                                <w:rFonts w:cs="Arial"/>
                                <w:color w:val="000000" w:themeColor="text1"/>
                                <w:sz w:val="24"/>
                                <w:szCs w:val="24"/>
                              </w:rPr>
                              <w:t>adaptation options in the residential building sector.</w:t>
                            </w:r>
                          </w:p>
                          <w:p w14:paraId="5EA8763B" w14:textId="38147B02" w:rsidR="00F60037" w:rsidRPr="005C4A3B" w:rsidRDefault="00F60037" w:rsidP="00405192">
                            <w:pPr>
                              <w:pStyle w:val="Norma"/>
                              <w:rPr>
                                <w:rFonts w:cs="Arial"/>
                                <w:sz w:val="24"/>
                                <w:szCs w:val="24"/>
                              </w:rPr>
                            </w:pPr>
                            <w:r w:rsidRPr="005C4A3B">
                              <w:rPr>
                                <w:rFonts w:cs="Arial"/>
                                <w:sz w:val="24"/>
                                <w:szCs w:val="24"/>
                              </w:rPr>
                              <w:t xml:space="preserve">Tender Reference Number: </w:t>
                            </w:r>
                            <w:r w:rsidR="003C6FE2">
                              <w:rPr>
                                <w:rFonts w:cs="Arial"/>
                                <w:color w:val="FF0000"/>
                                <w:sz w:val="24"/>
                                <w:szCs w:val="24"/>
                              </w:rPr>
                              <w:t>GH/0718</w:t>
                            </w:r>
                          </w:p>
                          <w:p w14:paraId="5EA8763E" w14:textId="5E37CB84" w:rsidR="00F60037" w:rsidRDefault="00F60037" w:rsidP="00790CE1">
                            <w:pPr>
                              <w:pStyle w:val="Norma"/>
                              <w:rPr>
                                <w:rFonts w:cs="Arial"/>
                              </w:rPr>
                            </w:pPr>
                            <w:r w:rsidRPr="005C4A3B">
                              <w:rPr>
                                <w:rFonts w:cs="Arial"/>
                                <w:sz w:val="24"/>
                                <w:szCs w:val="24"/>
                              </w:rPr>
                              <w:t xml:space="preserve">Deadline for Tender Responses: </w:t>
                            </w:r>
                            <w:r w:rsidR="006E576A">
                              <w:rPr>
                                <w:rFonts w:cs="Arial"/>
                                <w:color w:val="000000" w:themeColor="text1"/>
                                <w:sz w:val="24"/>
                                <w:szCs w:val="24"/>
                              </w:rPr>
                              <w:t>15</w:t>
                            </w:r>
                            <w:r w:rsidR="006E576A" w:rsidRPr="00D558D7">
                              <w:rPr>
                                <w:rFonts w:cs="Arial"/>
                                <w:color w:val="000000" w:themeColor="text1"/>
                                <w:sz w:val="24"/>
                                <w:szCs w:val="24"/>
                                <w:vertAlign w:val="superscript"/>
                              </w:rPr>
                              <w:t>th</w:t>
                            </w:r>
                            <w:r w:rsidR="006E576A">
                              <w:rPr>
                                <w:rFonts w:cs="Arial"/>
                                <w:color w:val="000000" w:themeColor="text1"/>
                                <w:sz w:val="24"/>
                                <w:szCs w:val="24"/>
                              </w:rPr>
                              <w:t xml:space="preserve"> </w:t>
                            </w:r>
                            <w:r w:rsidR="00107E72" w:rsidRPr="00E90A51">
                              <w:rPr>
                                <w:rFonts w:cs="Arial"/>
                                <w:color w:val="000000" w:themeColor="text1"/>
                                <w:sz w:val="24"/>
                                <w:szCs w:val="24"/>
                              </w:rPr>
                              <w:t>August</w:t>
                            </w:r>
                            <w:r w:rsidR="00C442A8" w:rsidRPr="00E90A51">
                              <w:rPr>
                                <w:rFonts w:cs="Arial"/>
                                <w:color w:val="000000" w:themeColor="text1"/>
                                <w:sz w:val="24"/>
                                <w:szCs w:val="24"/>
                              </w:rPr>
                              <w:t xml:space="preserve"> 201</w:t>
                            </w:r>
                            <w:r w:rsidR="00F625C5" w:rsidRPr="00E90A51">
                              <w:rPr>
                                <w:rFonts w:cs="Arial"/>
                                <w:color w:val="000000" w:themeColor="text1"/>
                                <w:sz w:val="24"/>
                                <w:szCs w:val="24"/>
                              </w:rPr>
                              <w:t>8</w:t>
                            </w:r>
                          </w:p>
                          <w:p w14:paraId="5EA8763F" w14:textId="77777777" w:rsidR="00F60037" w:rsidRPr="0000739E" w:rsidRDefault="00F60037" w:rsidP="00790CE1">
                            <w:pPr>
                              <w:pStyle w:val="Norma"/>
                              <w:rPr>
                                <w:rFonts w:cs="Arial"/>
                              </w:rPr>
                            </w:pPr>
                          </w:p>
                          <w:p w14:paraId="5EA87640" w14:textId="77777777" w:rsidR="00F60037" w:rsidRDefault="00F60037">
                            <w:pPr>
                              <w:pStyle w:val="Norma"/>
                            </w:pPr>
                          </w:p>
                          <w:p w14:paraId="5EA87641" w14:textId="77777777" w:rsidR="00F60037" w:rsidRDefault="00F60037">
                            <w:pPr>
                              <w:pStyle w:val="Norma"/>
                            </w:pPr>
                          </w:p>
                          <w:p w14:paraId="5EA87642" w14:textId="77777777" w:rsidR="00F60037" w:rsidRDefault="00F60037">
                            <w:pPr>
                              <w:pStyle w:val="Norma"/>
                            </w:pPr>
                          </w:p>
                          <w:p w14:paraId="5EA87643" w14:textId="77777777" w:rsidR="00F60037" w:rsidRDefault="00F60037">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8762A" id="_x0000_t202" coordsize="21600,21600" o:spt="202" path="m,l,21600r21600,l21600,xe">
                <v:stroke joinstyle="miter"/>
                <v:path gradientshapeok="t" o:connecttype="rect"/>
              </v:shapetype>
              <v:shape id="Text Box 85" o:spid="_x0000_s1026" type="#_x0000_t202" style="position:absolute;left:0;text-align:left;margin-left:1.85pt;margin-top:.95pt;width:445.3pt;height:163.65p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" fillcolor="#d8d8d8">
                <v:textbox>
                  <w:txbxContent>
                    <w:p w14:paraId="5EA87635" w14:textId="77777777" w:rsidR="00F60037" w:rsidRDefault="00F60037" w:rsidP="003E5C19">
                      <w:pPr>
                        <w:pStyle w:val="Norma"/>
                        <w:jc w:val="center"/>
                        <w:rPr>
                          <w:b/>
                          <w:sz w:val="28"/>
                          <w:szCs w:val="28"/>
                        </w:rPr>
                      </w:pPr>
                    </w:p>
                    <w:p w14:paraId="5EA87636" w14:textId="77777777" w:rsidR="00F60037" w:rsidRDefault="00F60037" w:rsidP="003E5C19">
                      <w:pPr>
                        <w:pStyle w:val="Norma"/>
                        <w:jc w:val="center"/>
                        <w:rPr>
                          <w:b/>
                          <w:sz w:val="28"/>
                          <w:szCs w:val="28"/>
                        </w:rPr>
                      </w:pPr>
                    </w:p>
                    <w:p w14:paraId="5EA87637" w14:textId="77777777" w:rsidR="00F60037" w:rsidRPr="003E5C19" w:rsidRDefault="00F60037" w:rsidP="003E5C19">
                      <w:pPr>
                        <w:pStyle w:val="Norma"/>
                        <w:jc w:val="center"/>
                        <w:rPr>
                          <w:rFonts w:cs="Arial"/>
                          <w:b/>
                          <w:sz w:val="36"/>
                          <w:szCs w:val="36"/>
                        </w:rPr>
                      </w:pPr>
                      <w:r w:rsidRPr="003E5C19">
                        <w:rPr>
                          <w:b/>
                          <w:sz w:val="36"/>
                          <w:szCs w:val="36"/>
                        </w:rPr>
                        <w:t>Specification of Requirements</w:t>
                      </w:r>
                    </w:p>
                    <w:p w14:paraId="5EA87638" w14:textId="77777777" w:rsidR="00F60037" w:rsidRDefault="00F60037">
                      <w:pPr>
                        <w:pStyle w:val="Norma"/>
                      </w:pPr>
                    </w:p>
                    <w:p w14:paraId="5EA87639" w14:textId="77777777" w:rsidR="00F60037" w:rsidRDefault="00F60037">
                      <w:pPr>
                        <w:pStyle w:val="Norma"/>
                      </w:pPr>
                    </w:p>
                    <w:p w14:paraId="5EA8763A" w14:textId="764AA47D" w:rsidR="00F60037" w:rsidRPr="005C4A3B" w:rsidRDefault="00F60037" w:rsidP="00405192">
                      <w:pPr>
                        <w:pStyle w:val="Norma"/>
                        <w:rPr>
                          <w:rFonts w:cs="Arial"/>
                          <w:color w:val="000000" w:themeColor="text1"/>
                          <w:sz w:val="24"/>
                          <w:szCs w:val="24"/>
                        </w:rPr>
                      </w:pPr>
                      <w:r w:rsidRPr="005C4A3B">
                        <w:rPr>
                          <w:rFonts w:cs="Arial"/>
                          <w:sz w:val="24"/>
                          <w:szCs w:val="24"/>
                        </w:rPr>
                        <w:t xml:space="preserve">Invitation to Tender for </w:t>
                      </w:r>
                      <w:r w:rsidRPr="005C4A3B">
                        <w:rPr>
                          <w:rFonts w:cs="Arial"/>
                          <w:color w:val="000000" w:themeColor="text1"/>
                          <w:sz w:val="24"/>
                          <w:szCs w:val="24"/>
                        </w:rPr>
                        <w:t xml:space="preserve">research: </w:t>
                      </w:r>
                      <w:r w:rsidRPr="005C4A3B">
                        <w:rPr>
                          <w:sz w:val="24"/>
                          <w:szCs w:val="24"/>
                        </w:rPr>
                        <w:t xml:space="preserve"> </w:t>
                      </w:r>
                      <w:r>
                        <w:rPr>
                          <w:rFonts w:cs="Arial"/>
                          <w:color w:val="000000" w:themeColor="text1"/>
                          <w:sz w:val="24"/>
                          <w:szCs w:val="24"/>
                        </w:rPr>
                        <w:t>Updat</w:t>
                      </w:r>
                      <w:r w:rsidR="00026299">
                        <w:rPr>
                          <w:rFonts w:cs="Arial"/>
                          <w:color w:val="000000" w:themeColor="text1"/>
                          <w:sz w:val="24"/>
                          <w:szCs w:val="24"/>
                        </w:rPr>
                        <w:t xml:space="preserve">ing </w:t>
                      </w:r>
                      <w:r w:rsidR="00A16D87">
                        <w:rPr>
                          <w:rFonts w:cs="Arial"/>
                          <w:color w:val="000000" w:themeColor="text1"/>
                          <w:sz w:val="24"/>
                          <w:szCs w:val="24"/>
                        </w:rPr>
                        <w:t>an</w:t>
                      </w:r>
                      <w:r w:rsidR="00026299">
                        <w:rPr>
                          <w:rFonts w:cs="Arial"/>
                          <w:color w:val="000000" w:themeColor="text1"/>
                          <w:sz w:val="24"/>
                          <w:szCs w:val="24"/>
                        </w:rPr>
                        <w:t xml:space="preserve"> </w:t>
                      </w:r>
                      <w:r>
                        <w:rPr>
                          <w:rFonts w:cs="Arial"/>
                          <w:color w:val="000000" w:themeColor="text1"/>
                          <w:sz w:val="24"/>
                          <w:szCs w:val="24"/>
                        </w:rPr>
                        <w:t xml:space="preserve">assessment of the costs and benefits of </w:t>
                      </w:r>
                      <w:r w:rsidR="00622BC6">
                        <w:rPr>
                          <w:rFonts w:cs="Arial"/>
                          <w:color w:val="000000" w:themeColor="text1"/>
                          <w:sz w:val="24"/>
                          <w:szCs w:val="24"/>
                        </w:rPr>
                        <w:t xml:space="preserve">low-regret climate change </w:t>
                      </w:r>
                      <w:r>
                        <w:rPr>
                          <w:rFonts w:cs="Arial"/>
                          <w:color w:val="000000" w:themeColor="text1"/>
                          <w:sz w:val="24"/>
                          <w:szCs w:val="24"/>
                        </w:rPr>
                        <w:t>adaptation options in the residential building sector.</w:t>
                      </w:r>
                    </w:p>
                    <w:p w14:paraId="5EA8763B" w14:textId="38147B02" w:rsidR="00F60037" w:rsidRPr="005C4A3B" w:rsidRDefault="00F60037" w:rsidP="00405192">
                      <w:pPr>
                        <w:pStyle w:val="Norma"/>
                        <w:rPr>
                          <w:rFonts w:cs="Arial"/>
                          <w:sz w:val="24"/>
                          <w:szCs w:val="24"/>
                        </w:rPr>
                      </w:pPr>
                      <w:r w:rsidRPr="005C4A3B">
                        <w:rPr>
                          <w:rFonts w:cs="Arial"/>
                          <w:sz w:val="24"/>
                          <w:szCs w:val="24"/>
                        </w:rPr>
                        <w:t xml:space="preserve">Tender Reference Number: </w:t>
                      </w:r>
                      <w:r w:rsidR="003C6FE2">
                        <w:rPr>
                          <w:rFonts w:cs="Arial"/>
                          <w:color w:val="FF0000"/>
                          <w:sz w:val="24"/>
                          <w:szCs w:val="24"/>
                        </w:rPr>
                        <w:t>GH/0718</w:t>
                      </w:r>
                    </w:p>
                    <w:p w14:paraId="5EA8763E" w14:textId="5E37CB84" w:rsidR="00F60037" w:rsidRDefault="00F60037" w:rsidP="00790CE1">
                      <w:pPr>
                        <w:pStyle w:val="Norma"/>
                        <w:rPr>
                          <w:rFonts w:cs="Arial"/>
                        </w:rPr>
                      </w:pPr>
                      <w:r w:rsidRPr="005C4A3B">
                        <w:rPr>
                          <w:rFonts w:cs="Arial"/>
                          <w:sz w:val="24"/>
                          <w:szCs w:val="24"/>
                        </w:rPr>
                        <w:t xml:space="preserve">Deadline for Tender Responses: </w:t>
                      </w:r>
                      <w:r w:rsidR="006E576A">
                        <w:rPr>
                          <w:rFonts w:cs="Arial"/>
                          <w:color w:val="000000" w:themeColor="text1"/>
                          <w:sz w:val="24"/>
                          <w:szCs w:val="24"/>
                        </w:rPr>
                        <w:t>15</w:t>
                      </w:r>
                      <w:r w:rsidR="006E576A" w:rsidRPr="00D558D7">
                        <w:rPr>
                          <w:rFonts w:cs="Arial"/>
                          <w:color w:val="000000" w:themeColor="text1"/>
                          <w:sz w:val="24"/>
                          <w:szCs w:val="24"/>
                          <w:vertAlign w:val="superscript"/>
                        </w:rPr>
                        <w:t>th</w:t>
                      </w:r>
                      <w:r w:rsidR="006E576A">
                        <w:rPr>
                          <w:rFonts w:cs="Arial"/>
                          <w:color w:val="000000" w:themeColor="text1"/>
                          <w:sz w:val="24"/>
                          <w:szCs w:val="24"/>
                        </w:rPr>
                        <w:t xml:space="preserve"> </w:t>
                      </w:r>
                      <w:r w:rsidR="00107E72" w:rsidRPr="00E90A51">
                        <w:rPr>
                          <w:rFonts w:cs="Arial"/>
                          <w:color w:val="000000" w:themeColor="text1"/>
                          <w:sz w:val="24"/>
                          <w:szCs w:val="24"/>
                        </w:rPr>
                        <w:t>August</w:t>
                      </w:r>
                      <w:r w:rsidR="00C442A8" w:rsidRPr="00E90A51">
                        <w:rPr>
                          <w:rFonts w:cs="Arial"/>
                          <w:color w:val="000000" w:themeColor="text1"/>
                          <w:sz w:val="24"/>
                          <w:szCs w:val="24"/>
                        </w:rPr>
                        <w:t xml:space="preserve"> 201</w:t>
                      </w:r>
                      <w:r w:rsidR="00F625C5" w:rsidRPr="00E90A51">
                        <w:rPr>
                          <w:rFonts w:cs="Arial"/>
                          <w:color w:val="000000" w:themeColor="text1"/>
                          <w:sz w:val="24"/>
                          <w:szCs w:val="24"/>
                        </w:rPr>
                        <w:t>8</w:t>
                      </w:r>
                    </w:p>
                    <w:p w14:paraId="5EA8763F" w14:textId="77777777" w:rsidR="00F60037" w:rsidRPr="0000739E" w:rsidRDefault="00F60037" w:rsidP="00790CE1">
                      <w:pPr>
                        <w:pStyle w:val="Norma"/>
                        <w:rPr>
                          <w:rFonts w:cs="Arial"/>
                        </w:rPr>
                      </w:pPr>
                    </w:p>
                    <w:p w14:paraId="5EA87640" w14:textId="77777777" w:rsidR="00F60037" w:rsidRDefault="00F60037">
                      <w:pPr>
                        <w:pStyle w:val="Norma"/>
                      </w:pPr>
                    </w:p>
                    <w:p w14:paraId="5EA87641" w14:textId="77777777" w:rsidR="00F60037" w:rsidRDefault="00F60037">
                      <w:pPr>
                        <w:pStyle w:val="Norma"/>
                      </w:pPr>
                    </w:p>
                    <w:p w14:paraId="5EA87642" w14:textId="77777777" w:rsidR="00F60037" w:rsidRDefault="00F60037">
                      <w:pPr>
                        <w:pStyle w:val="Norma"/>
                      </w:pPr>
                    </w:p>
                    <w:p w14:paraId="5EA87643" w14:textId="77777777" w:rsidR="00F60037" w:rsidRDefault="00F60037">
                      <w:pPr>
                        <w:pStyle w:val="Norma"/>
                      </w:pPr>
                    </w:p>
                  </w:txbxContent>
                </v:textbox>
              </v:shape>
            </w:pict>
          </mc:Fallback>
        </mc:AlternateContent>
      </w:r>
    </w:p>
    <w:p w14:paraId="5EA87536" w14:textId="69669430" w:rsidR="003E5C19" w:rsidRDefault="003E5C19" w:rsidP="007B3C23">
      <w:pPr>
        <w:pStyle w:val="Norma"/>
        <w:jc w:val="both"/>
        <w:rPr>
          <w:rFonts w:ascii="Calibri" w:hAnsi="Calibri" w:cs="Calibri"/>
          <w:b/>
          <w:sz w:val="28"/>
          <w:szCs w:val="28"/>
        </w:rPr>
      </w:pPr>
    </w:p>
    <w:p w14:paraId="5EA87537" w14:textId="77777777" w:rsidR="003E5C19" w:rsidRDefault="003E5C19" w:rsidP="007B3C23">
      <w:pPr>
        <w:pStyle w:val="Norma"/>
        <w:jc w:val="both"/>
        <w:rPr>
          <w:rFonts w:ascii="Calibri" w:hAnsi="Calibri" w:cs="Calibri"/>
          <w:b/>
          <w:sz w:val="28"/>
          <w:szCs w:val="28"/>
        </w:rPr>
      </w:pPr>
    </w:p>
    <w:p w14:paraId="5EA87538" w14:textId="77777777" w:rsidR="003E5C19" w:rsidRDefault="003E5C19" w:rsidP="007B3C23">
      <w:pPr>
        <w:pStyle w:val="Norma"/>
        <w:jc w:val="both"/>
        <w:rPr>
          <w:rFonts w:ascii="Calibri" w:hAnsi="Calibri" w:cs="Calibri"/>
          <w:b/>
          <w:sz w:val="28"/>
          <w:szCs w:val="28"/>
        </w:rPr>
      </w:pPr>
    </w:p>
    <w:p w14:paraId="5EA87539" w14:textId="77777777" w:rsidR="009954ED" w:rsidRPr="007B3C23" w:rsidRDefault="009954ED" w:rsidP="007B3C23">
      <w:pPr>
        <w:pStyle w:val="Norma"/>
        <w:jc w:val="both"/>
        <w:rPr>
          <w:rFonts w:cs="Arial"/>
          <w:sz w:val="24"/>
          <w:szCs w:val="24"/>
        </w:rPr>
      </w:pPr>
    </w:p>
    <w:p w14:paraId="5EA8753A" w14:textId="77777777" w:rsidR="003E5C19" w:rsidRDefault="003E5C19" w:rsidP="00B0368C">
      <w:pPr>
        <w:pStyle w:val="Numbered"/>
        <w:widowControl/>
        <w:jc w:val="both"/>
        <w:rPr>
          <w:b/>
          <w:sz w:val="28"/>
          <w:szCs w:val="28"/>
        </w:rPr>
      </w:pPr>
    </w:p>
    <w:p w14:paraId="5EA8753C" w14:textId="77777777" w:rsidR="00790CE1" w:rsidRDefault="00790CE1" w:rsidP="003E5C19">
      <w:pPr>
        <w:pStyle w:val="Numbered"/>
        <w:widowControl/>
        <w:rPr>
          <w:b/>
          <w:sz w:val="28"/>
          <w:szCs w:val="28"/>
        </w:rPr>
      </w:pPr>
    </w:p>
    <w:p w14:paraId="5EA8753D" w14:textId="77777777" w:rsidR="00790CE1" w:rsidRDefault="00790CE1" w:rsidP="003E5C19">
      <w:pPr>
        <w:pStyle w:val="Numbered"/>
        <w:widowControl/>
        <w:rPr>
          <w:b/>
          <w:sz w:val="28"/>
          <w:szCs w:val="28"/>
        </w:rPr>
      </w:pPr>
    </w:p>
    <w:p w14:paraId="6EBE74C2" w14:textId="77777777" w:rsidR="00107E72" w:rsidRDefault="00107E72" w:rsidP="003E5C19">
      <w:pPr>
        <w:pStyle w:val="Numbered"/>
        <w:widowControl/>
        <w:rPr>
          <w:b/>
          <w:sz w:val="28"/>
          <w:szCs w:val="28"/>
        </w:rPr>
      </w:pPr>
    </w:p>
    <w:p w14:paraId="5EA8753E" w14:textId="77777777" w:rsidR="002D32D5" w:rsidRDefault="002D32D5" w:rsidP="003E5C19">
      <w:pPr>
        <w:pStyle w:val="Numbered"/>
        <w:widowControl/>
        <w:rPr>
          <w:b/>
          <w:sz w:val="28"/>
          <w:szCs w:val="28"/>
        </w:rPr>
      </w:pPr>
      <w:r w:rsidRPr="00B0368C">
        <w:rPr>
          <w:b/>
          <w:sz w:val="28"/>
          <w:szCs w:val="28"/>
        </w:rPr>
        <w:t>Contents</w:t>
      </w:r>
    </w:p>
    <w:p w14:paraId="5EA87540" w14:textId="77777777" w:rsidR="00B0368C" w:rsidRPr="005D027D" w:rsidRDefault="00B0368C" w:rsidP="00B0368C">
      <w:pPr>
        <w:pStyle w:val="Norma"/>
        <w:rPr>
          <w:sz w:val="24"/>
          <w:szCs w:val="24"/>
          <w:lang w:val="en-US" w:eastAsia="ja-JP"/>
        </w:rPr>
      </w:pPr>
    </w:p>
    <w:p w14:paraId="7D7E5A54" w14:textId="77777777" w:rsidR="00C62E6E"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C62E6E" w:rsidRPr="009D4A98">
        <w:rPr>
          <w:rFonts w:cs="Arial"/>
          <w:noProof/>
        </w:rPr>
        <w:t>1.</w:t>
      </w:r>
      <w:r w:rsidR="00C62E6E">
        <w:rPr>
          <w:rFonts w:asciiTheme="minorHAnsi" w:eastAsiaTheme="minorEastAsia" w:hAnsiTheme="minorHAnsi" w:cstheme="minorBidi"/>
          <w:noProof/>
        </w:rPr>
        <w:tab/>
      </w:r>
      <w:r w:rsidR="00C62E6E" w:rsidRPr="009D4A98">
        <w:rPr>
          <w:rFonts w:cs="Arial"/>
          <w:noProof/>
        </w:rPr>
        <w:t>Introduction and summary of requirements / Preamble</w:t>
      </w:r>
      <w:r w:rsidR="00C62E6E">
        <w:rPr>
          <w:noProof/>
        </w:rPr>
        <w:tab/>
      </w:r>
      <w:r w:rsidR="00C62E6E">
        <w:rPr>
          <w:noProof/>
        </w:rPr>
        <w:fldChar w:fldCharType="begin"/>
      </w:r>
      <w:r w:rsidR="00C62E6E">
        <w:rPr>
          <w:noProof/>
        </w:rPr>
        <w:instrText xml:space="preserve"> PAGEREF _Toc496603071 \h </w:instrText>
      </w:r>
      <w:r w:rsidR="00C62E6E">
        <w:rPr>
          <w:noProof/>
        </w:rPr>
      </w:r>
      <w:r w:rsidR="00C62E6E">
        <w:rPr>
          <w:noProof/>
        </w:rPr>
        <w:fldChar w:fldCharType="separate"/>
      </w:r>
      <w:r w:rsidR="00D558D7">
        <w:rPr>
          <w:noProof/>
        </w:rPr>
        <w:t>3</w:t>
      </w:r>
      <w:r w:rsidR="00C62E6E">
        <w:rPr>
          <w:noProof/>
        </w:rPr>
        <w:fldChar w:fldCharType="end"/>
      </w:r>
    </w:p>
    <w:p w14:paraId="735C48DD" w14:textId="77777777" w:rsidR="00C62E6E" w:rsidRDefault="00C62E6E">
      <w:pPr>
        <w:pStyle w:val="TOC1"/>
        <w:rPr>
          <w:rFonts w:asciiTheme="minorHAnsi" w:eastAsiaTheme="minorEastAsia" w:hAnsiTheme="minorHAnsi" w:cstheme="minorBidi"/>
          <w:noProof/>
        </w:rPr>
      </w:pPr>
      <w:r w:rsidRPr="009D4A98">
        <w:rPr>
          <w:rFonts w:cs="Arial"/>
          <w:noProof/>
        </w:rPr>
        <w:t>2.</w:t>
      </w:r>
      <w:r>
        <w:rPr>
          <w:rFonts w:asciiTheme="minorHAnsi" w:eastAsiaTheme="minorEastAsia" w:hAnsiTheme="minorHAnsi" w:cstheme="minorBidi"/>
          <w:noProof/>
        </w:rPr>
        <w:tab/>
      </w:r>
      <w:r w:rsidRPr="009D4A98">
        <w:rPr>
          <w:rFonts w:cs="Arial"/>
          <w:noProof/>
        </w:rPr>
        <w:t>Background</w:t>
      </w:r>
      <w:r>
        <w:rPr>
          <w:noProof/>
        </w:rPr>
        <w:tab/>
      </w:r>
      <w:r>
        <w:rPr>
          <w:noProof/>
        </w:rPr>
        <w:fldChar w:fldCharType="begin"/>
      </w:r>
      <w:r>
        <w:rPr>
          <w:noProof/>
        </w:rPr>
        <w:instrText xml:space="preserve"> PAGEREF _Toc496603072 \h </w:instrText>
      </w:r>
      <w:r>
        <w:rPr>
          <w:noProof/>
        </w:rPr>
      </w:r>
      <w:r>
        <w:rPr>
          <w:noProof/>
        </w:rPr>
        <w:fldChar w:fldCharType="separate"/>
      </w:r>
      <w:r w:rsidR="00D558D7">
        <w:rPr>
          <w:noProof/>
        </w:rPr>
        <w:t>3</w:t>
      </w:r>
      <w:r>
        <w:rPr>
          <w:noProof/>
        </w:rPr>
        <w:fldChar w:fldCharType="end"/>
      </w:r>
    </w:p>
    <w:p w14:paraId="36644C55" w14:textId="77777777" w:rsidR="00C62E6E" w:rsidRDefault="00C62E6E">
      <w:pPr>
        <w:pStyle w:val="TOC1"/>
        <w:rPr>
          <w:rFonts w:asciiTheme="minorHAnsi" w:eastAsiaTheme="minorEastAsia" w:hAnsiTheme="minorHAnsi" w:cstheme="minorBidi"/>
          <w:noProof/>
        </w:rPr>
      </w:pPr>
      <w:r w:rsidRPr="009D4A98">
        <w:rPr>
          <w:rFonts w:cs="Arial"/>
          <w:noProof/>
        </w:rPr>
        <w:t>3.</w:t>
      </w:r>
      <w:r>
        <w:rPr>
          <w:rFonts w:asciiTheme="minorHAnsi" w:eastAsiaTheme="minorEastAsia" w:hAnsiTheme="minorHAnsi" w:cstheme="minorBidi"/>
          <w:noProof/>
        </w:rPr>
        <w:tab/>
      </w:r>
      <w:r w:rsidRPr="009D4A98">
        <w:rPr>
          <w:rFonts w:cs="Arial"/>
          <w:noProof/>
        </w:rPr>
        <w:t>Aims and Objectives</w:t>
      </w:r>
      <w:r>
        <w:rPr>
          <w:noProof/>
        </w:rPr>
        <w:tab/>
      </w:r>
      <w:r>
        <w:rPr>
          <w:noProof/>
        </w:rPr>
        <w:fldChar w:fldCharType="begin"/>
      </w:r>
      <w:r>
        <w:rPr>
          <w:noProof/>
        </w:rPr>
        <w:instrText xml:space="preserve"> PAGEREF _Toc496603073 \h </w:instrText>
      </w:r>
      <w:r>
        <w:rPr>
          <w:noProof/>
        </w:rPr>
      </w:r>
      <w:r>
        <w:rPr>
          <w:noProof/>
        </w:rPr>
        <w:fldChar w:fldCharType="separate"/>
      </w:r>
      <w:r w:rsidR="00D558D7">
        <w:rPr>
          <w:noProof/>
        </w:rPr>
        <w:t>5</w:t>
      </w:r>
      <w:r>
        <w:rPr>
          <w:noProof/>
        </w:rPr>
        <w:fldChar w:fldCharType="end"/>
      </w:r>
    </w:p>
    <w:p w14:paraId="40D13112" w14:textId="77777777" w:rsidR="00C62E6E" w:rsidRDefault="00C62E6E">
      <w:pPr>
        <w:pStyle w:val="TOC1"/>
        <w:rPr>
          <w:rFonts w:asciiTheme="minorHAnsi" w:eastAsiaTheme="minorEastAsia" w:hAnsiTheme="minorHAnsi" w:cstheme="minorBidi"/>
          <w:noProof/>
        </w:rPr>
      </w:pPr>
      <w:r w:rsidRPr="009D4A98">
        <w:rPr>
          <w:rFonts w:cs="Arial"/>
          <w:noProof/>
        </w:rPr>
        <w:t>4</w:t>
      </w:r>
      <w:r>
        <w:rPr>
          <w:rFonts w:asciiTheme="minorHAnsi" w:eastAsiaTheme="minorEastAsia" w:hAnsiTheme="minorHAnsi" w:cstheme="minorBidi"/>
          <w:noProof/>
        </w:rPr>
        <w:tab/>
      </w:r>
      <w:r w:rsidRPr="009D4A98">
        <w:rPr>
          <w:rFonts w:cs="Arial"/>
          <w:noProof/>
        </w:rPr>
        <w:t>Methodology</w:t>
      </w:r>
      <w:r>
        <w:rPr>
          <w:noProof/>
        </w:rPr>
        <w:tab/>
      </w:r>
      <w:r>
        <w:rPr>
          <w:noProof/>
        </w:rPr>
        <w:fldChar w:fldCharType="begin"/>
      </w:r>
      <w:r>
        <w:rPr>
          <w:noProof/>
        </w:rPr>
        <w:instrText xml:space="preserve"> PAGEREF _Toc496603074 \h </w:instrText>
      </w:r>
      <w:r>
        <w:rPr>
          <w:noProof/>
        </w:rPr>
      </w:r>
      <w:r>
        <w:rPr>
          <w:noProof/>
        </w:rPr>
        <w:fldChar w:fldCharType="separate"/>
      </w:r>
      <w:r w:rsidR="00D558D7">
        <w:rPr>
          <w:noProof/>
        </w:rPr>
        <w:t>6</w:t>
      </w:r>
      <w:r>
        <w:rPr>
          <w:noProof/>
        </w:rPr>
        <w:fldChar w:fldCharType="end"/>
      </w:r>
    </w:p>
    <w:p w14:paraId="3454515D" w14:textId="77777777" w:rsidR="00C62E6E" w:rsidRDefault="00C62E6E">
      <w:pPr>
        <w:pStyle w:val="TOC1"/>
        <w:rPr>
          <w:rFonts w:asciiTheme="minorHAnsi" w:eastAsiaTheme="minorEastAsia" w:hAnsiTheme="minorHAnsi" w:cstheme="minorBidi"/>
          <w:noProof/>
        </w:rPr>
      </w:pPr>
      <w:r w:rsidRPr="009D4A98">
        <w:rPr>
          <w:rFonts w:cs="Arial"/>
          <w:noProof/>
        </w:rPr>
        <w:t>5</w:t>
      </w:r>
      <w:r>
        <w:rPr>
          <w:rFonts w:asciiTheme="minorHAnsi" w:eastAsiaTheme="minorEastAsia" w:hAnsiTheme="minorHAnsi" w:cstheme="minorBidi"/>
          <w:noProof/>
        </w:rPr>
        <w:tab/>
      </w:r>
      <w:r w:rsidRPr="009D4A98">
        <w:rPr>
          <w:rFonts w:cs="Arial"/>
          <w:noProof/>
        </w:rPr>
        <w:t>Outputs Required</w:t>
      </w:r>
      <w:r>
        <w:rPr>
          <w:noProof/>
        </w:rPr>
        <w:tab/>
      </w:r>
      <w:r>
        <w:rPr>
          <w:noProof/>
        </w:rPr>
        <w:fldChar w:fldCharType="begin"/>
      </w:r>
      <w:r>
        <w:rPr>
          <w:noProof/>
        </w:rPr>
        <w:instrText xml:space="preserve"> PAGEREF _Toc496603075 \h </w:instrText>
      </w:r>
      <w:r>
        <w:rPr>
          <w:noProof/>
        </w:rPr>
      </w:r>
      <w:r>
        <w:rPr>
          <w:noProof/>
        </w:rPr>
        <w:fldChar w:fldCharType="separate"/>
      </w:r>
      <w:r w:rsidR="00D558D7">
        <w:rPr>
          <w:noProof/>
        </w:rPr>
        <w:t>8</w:t>
      </w:r>
      <w:r>
        <w:rPr>
          <w:noProof/>
        </w:rPr>
        <w:fldChar w:fldCharType="end"/>
      </w:r>
    </w:p>
    <w:p w14:paraId="21C21DC0" w14:textId="77777777" w:rsidR="00C62E6E" w:rsidRDefault="00C62E6E">
      <w:pPr>
        <w:pStyle w:val="TOC1"/>
        <w:rPr>
          <w:rFonts w:asciiTheme="minorHAnsi" w:eastAsiaTheme="minorEastAsia" w:hAnsiTheme="minorHAnsi" w:cstheme="minorBidi"/>
          <w:noProof/>
        </w:rPr>
      </w:pPr>
      <w:r w:rsidRPr="009D4A98">
        <w:rPr>
          <w:rFonts w:cs="Arial"/>
          <w:noProof/>
        </w:rPr>
        <w:t>6</w:t>
      </w:r>
      <w:r>
        <w:rPr>
          <w:rFonts w:asciiTheme="minorHAnsi" w:eastAsiaTheme="minorEastAsia" w:hAnsiTheme="minorHAnsi" w:cstheme="minorBidi"/>
          <w:noProof/>
        </w:rPr>
        <w:tab/>
      </w:r>
      <w:r w:rsidRPr="009D4A98">
        <w:rPr>
          <w:rFonts w:cs="Arial"/>
          <w:noProof/>
        </w:rPr>
        <w:t>Ownership and Publication</w:t>
      </w:r>
      <w:r>
        <w:rPr>
          <w:noProof/>
        </w:rPr>
        <w:tab/>
      </w:r>
      <w:r>
        <w:rPr>
          <w:noProof/>
        </w:rPr>
        <w:fldChar w:fldCharType="begin"/>
      </w:r>
      <w:r>
        <w:rPr>
          <w:noProof/>
        </w:rPr>
        <w:instrText xml:space="preserve"> PAGEREF _Toc496603076 \h </w:instrText>
      </w:r>
      <w:r>
        <w:rPr>
          <w:noProof/>
        </w:rPr>
      </w:r>
      <w:r>
        <w:rPr>
          <w:noProof/>
        </w:rPr>
        <w:fldChar w:fldCharType="separate"/>
      </w:r>
      <w:r w:rsidR="00D558D7">
        <w:rPr>
          <w:noProof/>
        </w:rPr>
        <w:t>8</w:t>
      </w:r>
      <w:r>
        <w:rPr>
          <w:noProof/>
        </w:rPr>
        <w:fldChar w:fldCharType="end"/>
      </w:r>
    </w:p>
    <w:p w14:paraId="2EFC14BC" w14:textId="77777777" w:rsidR="00C62E6E" w:rsidRDefault="00C62E6E">
      <w:pPr>
        <w:pStyle w:val="TOC1"/>
        <w:rPr>
          <w:rFonts w:asciiTheme="minorHAnsi" w:eastAsiaTheme="minorEastAsia" w:hAnsiTheme="minorHAnsi" w:cstheme="minorBidi"/>
          <w:noProof/>
        </w:rPr>
      </w:pPr>
      <w:r w:rsidRPr="009D4A98">
        <w:rPr>
          <w:rFonts w:cs="Arial"/>
          <w:noProof/>
        </w:rPr>
        <w:t>7</w:t>
      </w:r>
      <w:r>
        <w:rPr>
          <w:rFonts w:asciiTheme="minorHAnsi" w:eastAsiaTheme="minorEastAsia" w:hAnsiTheme="minorHAnsi" w:cstheme="minorBidi"/>
          <w:noProof/>
        </w:rPr>
        <w:tab/>
      </w:r>
      <w:r w:rsidRPr="009D4A98">
        <w:rPr>
          <w:rFonts w:cs="Arial"/>
          <w:noProof/>
        </w:rPr>
        <w:t>Quality Assurance</w:t>
      </w:r>
      <w:r>
        <w:rPr>
          <w:noProof/>
        </w:rPr>
        <w:tab/>
      </w:r>
      <w:r>
        <w:rPr>
          <w:noProof/>
        </w:rPr>
        <w:fldChar w:fldCharType="begin"/>
      </w:r>
      <w:r>
        <w:rPr>
          <w:noProof/>
        </w:rPr>
        <w:instrText xml:space="preserve"> PAGEREF _Toc496603077 \h </w:instrText>
      </w:r>
      <w:r>
        <w:rPr>
          <w:noProof/>
        </w:rPr>
      </w:r>
      <w:r>
        <w:rPr>
          <w:noProof/>
        </w:rPr>
        <w:fldChar w:fldCharType="separate"/>
      </w:r>
      <w:r w:rsidR="00D558D7">
        <w:rPr>
          <w:noProof/>
        </w:rPr>
        <w:t>8</w:t>
      </w:r>
      <w:r>
        <w:rPr>
          <w:noProof/>
        </w:rPr>
        <w:fldChar w:fldCharType="end"/>
      </w:r>
    </w:p>
    <w:p w14:paraId="17B43CCD" w14:textId="77777777" w:rsidR="00C62E6E" w:rsidRDefault="00C62E6E">
      <w:pPr>
        <w:pStyle w:val="TOC1"/>
        <w:rPr>
          <w:rFonts w:asciiTheme="minorHAnsi" w:eastAsiaTheme="minorEastAsia" w:hAnsiTheme="minorHAnsi" w:cstheme="minorBidi"/>
          <w:noProof/>
        </w:rPr>
      </w:pPr>
      <w:r w:rsidRPr="009D4A98">
        <w:rPr>
          <w:rFonts w:cs="Arial"/>
          <w:noProof/>
        </w:rPr>
        <w:t>8</w:t>
      </w:r>
      <w:r>
        <w:rPr>
          <w:rFonts w:asciiTheme="minorHAnsi" w:eastAsiaTheme="minorEastAsia" w:hAnsiTheme="minorHAnsi" w:cstheme="minorBidi"/>
          <w:noProof/>
        </w:rPr>
        <w:tab/>
      </w:r>
      <w:r w:rsidRPr="009D4A98">
        <w:rPr>
          <w:rFonts w:cs="Arial"/>
          <w:noProof/>
        </w:rPr>
        <w:t>Timetable</w:t>
      </w:r>
      <w:r>
        <w:rPr>
          <w:noProof/>
        </w:rPr>
        <w:tab/>
      </w:r>
      <w:r>
        <w:rPr>
          <w:noProof/>
        </w:rPr>
        <w:fldChar w:fldCharType="begin"/>
      </w:r>
      <w:r>
        <w:rPr>
          <w:noProof/>
        </w:rPr>
        <w:instrText xml:space="preserve"> PAGEREF _Toc496603078 \h </w:instrText>
      </w:r>
      <w:r>
        <w:rPr>
          <w:noProof/>
        </w:rPr>
      </w:r>
      <w:r>
        <w:rPr>
          <w:noProof/>
        </w:rPr>
        <w:fldChar w:fldCharType="separate"/>
      </w:r>
      <w:r w:rsidR="00D558D7">
        <w:rPr>
          <w:noProof/>
        </w:rPr>
        <w:t>9</w:t>
      </w:r>
      <w:r>
        <w:rPr>
          <w:noProof/>
        </w:rPr>
        <w:fldChar w:fldCharType="end"/>
      </w:r>
    </w:p>
    <w:p w14:paraId="788D4967" w14:textId="77777777" w:rsidR="00C62E6E" w:rsidRDefault="00C62E6E">
      <w:pPr>
        <w:pStyle w:val="TOC1"/>
        <w:rPr>
          <w:rFonts w:asciiTheme="minorHAnsi" w:eastAsiaTheme="minorEastAsia" w:hAnsiTheme="minorHAnsi" w:cstheme="minorBidi"/>
          <w:noProof/>
        </w:rPr>
      </w:pPr>
      <w:r w:rsidRPr="009D4A98">
        <w:rPr>
          <w:rFonts w:cs="Arial"/>
          <w:noProof/>
        </w:rPr>
        <w:t>9</w:t>
      </w:r>
      <w:r>
        <w:rPr>
          <w:rFonts w:asciiTheme="minorHAnsi" w:eastAsiaTheme="minorEastAsia" w:hAnsiTheme="minorHAnsi" w:cstheme="minorBidi"/>
          <w:noProof/>
        </w:rPr>
        <w:tab/>
      </w:r>
      <w:r w:rsidRPr="009D4A98">
        <w:rPr>
          <w:rFonts w:cs="Arial"/>
          <w:noProof/>
        </w:rPr>
        <w:t>Challenges</w:t>
      </w:r>
      <w:r>
        <w:rPr>
          <w:noProof/>
        </w:rPr>
        <w:tab/>
      </w:r>
      <w:r>
        <w:rPr>
          <w:noProof/>
        </w:rPr>
        <w:fldChar w:fldCharType="begin"/>
      </w:r>
      <w:r>
        <w:rPr>
          <w:noProof/>
        </w:rPr>
        <w:instrText xml:space="preserve"> PAGEREF _Toc496603079 \h </w:instrText>
      </w:r>
      <w:r>
        <w:rPr>
          <w:noProof/>
        </w:rPr>
      </w:r>
      <w:r>
        <w:rPr>
          <w:noProof/>
        </w:rPr>
        <w:fldChar w:fldCharType="separate"/>
      </w:r>
      <w:r w:rsidR="00D558D7">
        <w:rPr>
          <w:noProof/>
        </w:rPr>
        <w:t>9</w:t>
      </w:r>
      <w:r>
        <w:rPr>
          <w:noProof/>
        </w:rPr>
        <w:fldChar w:fldCharType="end"/>
      </w:r>
    </w:p>
    <w:p w14:paraId="5F45F8D1" w14:textId="77777777" w:rsidR="00C62E6E" w:rsidRDefault="00C62E6E">
      <w:pPr>
        <w:pStyle w:val="TOC1"/>
        <w:rPr>
          <w:rFonts w:asciiTheme="minorHAnsi" w:eastAsiaTheme="minorEastAsia" w:hAnsiTheme="minorHAnsi" w:cstheme="minorBidi"/>
          <w:noProof/>
        </w:rPr>
      </w:pPr>
      <w:r w:rsidRPr="009D4A98">
        <w:rPr>
          <w:rFonts w:cs="Arial"/>
          <w:noProof/>
        </w:rPr>
        <w:lastRenderedPageBreak/>
        <w:t>10</w:t>
      </w:r>
      <w:r>
        <w:rPr>
          <w:rFonts w:asciiTheme="minorHAnsi" w:eastAsiaTheme="minorEastAsia" w:hAnsiTheme="minorHAnsi" w:cstheme="minorBidi"/>
          <w:noProof/>
        </w:rPr>
        <w:tab/>
      </w:r>
      <w:r w:rsidRPr="009D4A98">
        <w:rPr>
          <w:rFonts w:cs="Arial"/>
          <w:noProof/>
        </w:rPr>
        <w:t>Ethics</w:t>
      </w:r>
      <w:r>
        <w:rPr>
          <w:noProof/>
        </w:rPr>
        <w:tab/>
      </w:r>
      <w:r>
        <w:rPr>
          <w:noProof/>
        </w:rPr>
        <w:fldChar w:fldCharType="begin"/>
      </w:r>
      <w:r>
        <w:rPr>
          <w:noProof/>
        </w:rPr>
        <w:instrText xml:space="preserve"> PAGEREF _Toc496603080 \h </w:instrText>
      </w:r>
      <w:r>
        <w:rPr>
          <w:noProof/>
        </w:rPr>
      </w:r>
      <w:r>
        <w:rPr>
          <w:noProof/>
        </w:rPr>
        <w:fldChar w:fldCharType="separate"/>
      </w:r>
      <w:r w:rsidR="00D558D7">
        <w:rPr>
          <w:noProof/>
        </w:rPr>
        <w:t>10</w:t>
      </w:r>
      <w:r>
        <w:rPr>
          <w:noProof/>
        </w:rPr>
        <w:fldChar w:fldCharType="end"/>
      </w:r>
    </w:p>
    <w:p w14:paraId="1A674245" w14:textId="77777777" w:rsidR="00C62E6E" w:rsidRDefault="00C62E6E">
      <w:pPr>
        <w:pStyle w:val="TOC1"/>
        <w:rPr>
          <w:rFonts w:asciiTheme="minorHAnsi" w:eastAsiaTheme="minorEastAsia" w:hAnsiTheme="minorHAnsi" w:cstheme="minorBidi"/>
          <w:noProof/>
        </w:rPr>
      </w:pPr>
      <w:r w:rsidRPr="009D4A98">
        <w:rPr>
          <w:rFonts w:cs="Arial"/>
          <w:noProof/>
        </w:rPr>
        <w:t>11</w:t>
      </w:r>
      <w:r>
        <w:rPr>
          <w:rFonts w:asciiTheme="minorHAnsi" w:eastAsiaTheme="minorEastAsia" w:hAnsiTheme="minorHAnsi" w:cstheme="minorBidi"/>
          <w:noProof/>
        </w:rPr>
        <w:tab/>
      </w:r>
      <w:r w:rsidRPr="009D4A98">
        <w:rPr>
          <w:rFonts w:cs="Arial"/>
          <w:noProof/>
        </w:rPr>
        <w:t>Working Arrangements</w:t>
      </w:r>
      <w:r>
        <w:rPr>
          <w:noProof/>
        </w:rPr>
        <w:tab/>
      </w:r>
      <w:r>
        <w:rPr>
          <w:noProof/>
        </w:rPr>
        <w:fldChar w:fldCharType="begin"/>
      </w:r>
      <w:r>
        <w:rPr>
          <w:noProof/>
        </w:rPr>
        <w:instrText xml:space="preserve"> PAGEREF _Toc496603081 \h </w:instrText>
      </w:r>
      <w:r>
        <w:rPr>
          <w:noProof/>
        </w:rPr>
      </w:r>
      <w:r>
        <w:rPr>
          <w:noProof/>
        </w:rPr>
        <w:fldChar w:fldCharType="separate"/>
      </w:r>
      <w:r w:rsidR="00D558D7">
        <w:rPr>
          <w:noProof/>
        </w:rPr>
        <w:t>10</w:t>
      </w:r>
      <w:r>
        <w:rPr>
          <w:noProof/>
        </w:rPr>
        <w:fldChar w:fldCharType="end"/>
      </w:r>
    </w:p>
    <w:p w14:paraId="06660A77" w14:textId="77777777" w:rsidR="00C62E6E" w:rsidRDefault="00C62E6E">
      <w:pPr>
        <w:pStyle w:val="TOC1"/>
        <w:rPr>
          <w:rFonts w:asciiTheme="minorHAnsi" w:eastAsiaTheme="minorEastAsia" w:hAnsiTheme="minorHAnsi" w:cstheme="minorBidi"/>
          <w:noProof/>
        </w:rPr>
      </w:pPr>
      <w:r w:rsidRPr="009D4A98">
        <w:rPr>
          <w:rFonts w:cs="Arial"/>
          <w:noProof/>
        </w:rPr>
        <w:t>12</w:t>
      </w:r>
      <w:r>
        <w:rPr>
          <w:rFonts w:asciiTheme="minorHAnsi" w:eastAsiaTheme="minorEastAsia" w:hAnsiTheme="minorHAnsi" w:cstheme="minorBidi"/>
          <w:noProof/>
        </w:rPr>
        <w:tab/>
      </w:r>
      <w:r w:rsidRPr="009D4A98">
        <w:rPr>
          <w:rFonts w:cs="Arial"/>
          <w:noProof/>
        </w:rPr>
        <w:t>Skills and experience</w:t>
      </w:r>
      <w:r>
        <w:rPr>
          <w:noProof/>
        </w:rPr>
        <w:tab/>
      </w:r>
      <w:r>
        <w:rPr>
          <w:noProof/>
        </w:rPr>
        <w:fldChar w:fldCharType="begin"/>
      </w:r>
      <w:r>
        <w:rPr>
          <w:noProof/>
        </w:rPr>
        <w:instrText xml:space="preserve"> PAGEREF _Toc496603082 \h </w:instrText>
      </w:r>
      <w:r>
        <w:rPr>
          <w:noProof/>
        </w:rPr>
      </w:r>
      <w:r>
        <w:rPr>
          <w:noProof/>
        </w:rPr>
        <w:fldChar w:fldCharType="separate"/>
      </w:r>
      <w:r w:rsidR="00D558D7">
        <w:rPr>
          <w:noProof/>
        </w:rPr>
        <w:t>10</w:t>
      </w:r>
      <w:r>
        <w:rPr>
          <w:noProof/>
        </w:rPr>
        <w:fldChar w:fldCharType="end"/>
      </w:r>
    </w:p>
    <w:p w14:paraId="13AC2FF4" w14:textId="77777777" w:rsidR="00C62E6E" w:rsidRDefault="00C62E6E">
      <w:pPr>
        <w:pStyle w:val="TOC1"/>
        <w:rPr>
          <w:rFonts w:asciiTheme="minorHAnsi" w:eastAsiaTheme="minorEastAsia" w:hAnsiTheme="minorHAnsi" w:cstheme="minorBidi"/>
          <w:noProof/>
        </w:rPr>
      </w:pPr>
      <w:r w:rsidRPr="009D4A98">
        <w:rPr>
          <w:rFonts w:cs="Arial"/>
          <w:noProof/>
        </w:rPr>
        <w:t>13</w:t>
      </w:r>
      <w:r>
        <w:rPr>
          <w:rFonts w:asciiTheme="minorHAnsi" w:eastAsiaTheme="minorEastAsia" w:hAnsiTheme="minorHAnsi" w:cstheme="minorBidi"/>
          <w:noProof/>
        </w:rPr>
        <w:tab/>
      </w:r>
      <w:r w:rsidRPr="009D4A98">
        <w:rPr>
          <w:rFonts w:cs="Arial"/>
          <w:noProof/>
        </w:rPr>
        <w:t>Consortium Bids</w:t>
      </w:r>
      <w:r>
        <w:rPr>
          <w:noProof/>
        </w:rPr>
        <w:tab/>
      </w:r>
      <w:r>
        <w:rPr>
          <w:noProof/>
        </w:rPr>
        <w:fldChar w:fldCharType="begin"/>
      </w:r>
      <w:r>
        <w:rPr>
          <w:noProof/>
        </w:rPr>
        <w:instrText xml:space="preserve"> PAGEREF _Toc496603083 \h </w:instrText>
      </w:r>
      <w:r>
        <w:rPr>
          <w:noProof/>
        </w:rPr>
      </w:r>
      <w:r>
        <w:rPr>
          <w:noProof/>
        </w:rPr>
        <w:fldChar w:fldCharType="separate"/>
      </w:r>
      <w:r w:rsidR="00D558D7">
        <w:rPr>
          <w:noProof/>
        </w:rPr>
        <w:t>10</w:t>
      </w:r>
      <w:r>
        <w:rPr>
          <w:noProof/>
        </w:rPr>
        <w:fldChar w:fldCharType="end"/>
      </w:r>
    </w:p>
    <w:p w14:paraId="4FB86A5F" w14:textId="77777777" w:rsidR="00C62E6E" w:rsidRDefault="00C62E6E">
      <w:pPr>
        <w:pStyle w:val="TOC1"/>
        <w:rPr>
          <w:rFonts w:asciiTheme="minorHAnsi" w:eastAsiaTheme="minorEastAsia" w:hAnsiTheme="minorHAnsi" w:cstheme="minorBidi"/>
          <w:noProof/>
        </w:rPr>
      </w:pPr>
      <w:r w:rsidRPr="009D4A98">
        <w:rPr>
          <w:rFonts w:cs="Arial"/>
          <w:noProof/>
        </w:rPr>
        <w:t>14</w:t>
      </w:r>
      <w:r>
        <w:rPr>
          <w:rFonts w:asciiTheme="minorHAnsi" w:eastAsiaTheme="minorEastAsia" w:hAnsiTheme="minorHAnsi" w:cstheme="minorBidi"/>
          <w:noProof/>
        </w:rPr>
        <w:tab/>
      </w:r>
      <w:r w:rsidRPr="009D4A98">
        <w:rPr>
          <w:rFonts w:cs="Arial"/>
          <w:noProof/>
        </w:rPr>
        <w:t>Budget</w:t>
      </w:r>
      <w:r>
        <w:rPr>
          <w:noProof/>
        </w:rPr>
        <w:tab/>
      </w:r>
      <w:r>
        <w:rPr>
          <w:noProof/>
        </w:rPr>
        <w:fldChar w:fldCharType="begin"/>
      </w:r>
      <w:r>
        <w:rPr>
          <w:noProof/>
        </w:rPr>
        <w:instrText xml:space="preserve"> PAGEREF _Toc496603084 \h </w:instrText>
      </w:r>
      <w:r>
        <w:rPr>
          <w:noProof/>
        </w:rPr>
      </w:r>
      <w:r>
        <w:rPr>
          <w:noProof/>
        </w:rPr>
        <w:fldChar w:fldCharType="separate"/>
      </w:r>
      <w:r w:rsidR="00D558D7">
        <w:rPr>
          <w:noProof/>
        </w:rPr>
        <w:t>11</w:t>
      </w:r>
      <w:r>
        <w:rPr>
          <w:noProof/>
        </w:rPr>
        <w:fldChar w:fldCharType="end"/>
      </w:r>
    </w:p>
    <w:p w14:paraId="70D5AA55" w14:textId="77777777" w:rsidR="00C62E6E" w:rsidRDefault="00C62E6E">
      <w:pPr>
        <w:pStyle w:val="TOC1"/>
        <w:rPr>
          <w:rFonts w:asciiTheme="minorHAnsi" w:eastAsiaTheme="minorEastAsia" w:hAnsiTheme="minorHAnsi" w:cstheme="minorBidi"/>
          <w:noProof/>
        </w:rPr>
      </w:pPr>
      <w:r w:rsidRPr="009D4A98">
        <w:rPr>
          <w:rFonts w:cs="Arial"/>
          <w:noProof/>
        </w:rPr>
        <w:t>15</w:t>
      </w:r>
      <w:r>
        <w:rPr>
          <w:rFonts w:asciiTheme="minorHAnsi" w:eastAsiaTheme="minorEastAsia" w:hAnsiTheme="minorHAnsi" w:cstheme="minorBidi"/>
          <w:noProof/>
        </w:rPr>
        <w:tab/>
      </w:r>
      <w:r w:rsidRPr="009D4A98">
        <w:rPr>
          <w:rFonts w:cs="Arial"/>
          <w:noProof/>
        </w:rPr>
        <w:t>Evaluation of Tenders</w:t>
      </w:r>
      <w:r>
        <w:rPr>
          <w:noProof/>
        </w:rPr>
        <w:tab/>
      </w:r>
      <w:r>
        <w:rPr>
          <w:noProof/>
        </w:rPr>
        <w:fldChar w:fldCharType="begin"/>
      </w:r>
      <w:r>
        <w:rPr>
          <w:noProof/>
        </w:rPr>
        <w:instrText xml:space="preserve"> PAGEREF _Toc496603085 \h </w:instrText>
      </w:r>
      <w:r>
        <w:rPr>
          <w:noProof/>
        </w:rPr>
      </w:r>
      <w:r>
        <w:rPr>
          <w:noProof/>
        </w:rPr>
        <w:fldChar w:fldCharType="separate"/>
      </w:r>
      <w:r w:rsidR="00D558D7">
        <w:rPr>
          <w:noProof/>
        </w:rPr>
        <w:t>11</w:t>
      </w:r>
      <w:r>
        <w:rPr>
          <w:noProof/>
        </w:rPr>
        <w:fldChar w:fldCharType="end"/>
      </w:r>
    </w:p>
    <w:p w14:paraId="4FF46754" w14:textId="77777777" w:rsidR="00C62E6E" w:rsidRDefault="00C62E6E">
      <w:pPr>
        <w:pStyle w:val="TOC4"/>
        <w:tabs>
          <w:tab w:val="right" w:leader="dot" w:pos="9016"/>
        </w:tabs>
        <w:rPr>
          <w:rFonts w:asciiTheme="minorHAnsi" w:eastAsiaTheme="minorEastAsia" w:hAnsiTheme="minorHAnsi" w:cstheme="minorBidi"/>
          <w:noProof/>
          <w:sz w:val="22"/>
          <w:szCs w:val="22"/>
        </w:rPr>
      </w:pPr>
      <w:r w:rsidRPr="009D4A98">
        <w:rPr>
          <w:rFonts w:ascii="Arial" w:hAnsi="Arial" w:cs="Arial"/>
          <w:noProof/>
        </w:rPr>
        <w:t>Criterion</w:t>
      </w:r>
      <w:r>
        <w:rPr>
          <w:noProof/>
        </w:rPr>
        <w:tab/>
      </w:r>
      <w:r>
        <w:rPr>
          <w:noProof/>
        </w:rPr>
        <w:fldChar w:fldCharType="begin"/>
      </w:r>
      <w:r>
        <w:rPr>
          <w:noProof/>
        </w:rPr>
        <w:instrText xml:space="preserve"> PAGEREF _Toc496603086 \h </w:instrText>
      </w:r>
      <w:r>
        <w:rPr>
          <w:noProof/>
        </w:rPr>
      </w:r>
      <w:r>
        <w:rPr>
          <w:noProof/>
        </w:rPr>
        <w:fldChar w:fldCharType="separate"/>
      </w:r>
      <w:r w:rsidR="00D558D7">
        <w:rPr>
          <w:noProof/>
        </w:rPr>
        <w:t>12</w:t>
      </w:r>
      <w:r>
        <w:rPr>
          <w:noProof/>
        </w:rPr>
        <w:fldChar w:fldCharType="end"/>
      </w:r>
    </w:p>
    <w:p w14:paraId="6E2CE372" w14:textId="77777777" w:rsidR="00C62E6E" w:rsidRDefault="00C62E6E">
      <w:pPr>
        <w:pStyle w:val="TOC4"/>
        <w:tabs>
          <w:tab w:val="right" w:leader="dot" w:pos="9016"/>
        </w:tabs>
        <w:rPr>
          <w:rFonts w:asciiTheme="minorHAnsi" w:eastAsiaTheme="minorEastAsia" w:hAnsiTheme="minorHAnsi" w:cstheme="minorBidi"/>
          <w:noProof/>
          <w:sz w:val="22"/>
          <w:szCs w:val="22"/>
        </w:rPr>
      </w:pPr>
      <w:r w:rsidRPr="009D4A98">
        <w:rPr>
          <w:rFonts w:ascii="Arial" w:hAnsi="Arial" w:cs="Arial"/>
          <w:noProof/>
        </w:rPr>
        <w:t>Description</w:t>
      </w:r>
      <w:r>
        <w:rPr>
          <w:noProof/>
        </w:rPr>
        <w:tab/>
      </w:r>
      <w:r>
        <w:rPr>
          <w:noProof/>
        </w:rPr>
        <w:fldChar w:fldCharType="begin"/>
      </w:r>
      <w:r>
        <w:rPr>
          <w:noProof/>
        </w:rPr>
        <w:instrText xml:space="preserve"> PAGEREF _Toc496603087 \h </w:instrText>
      </w:r>
      <w:r>
        <w:rPr>
          <w:noProof/>
        </w:rPr>
      </w:r>
      <w:r>
        <w:rPr>
          <w:noProof/>
        </w:rPr>
        <w:fldChar w:fldCharType="separate"/>
      </w:r>
      <w:r w:rsidR="00D558D7">
        <w:rPr>
          <w:noProof/>
        </w:rPr>
        <w:t>12</w:t>
      </w:r>
      <w:r>
        <w:rPr>
          <w:noProof/>
        </w:rPr>
        <w:fldChar w:fldCharType="end"/>
      </w:r>
    </w:p>
    <w:p w14:paraId="4B1E75C3" w14:textId="77777777" w:rsidR="00C62E6E" w:rsidRDefault="00C62E6E">
      <w:pPr>
        <w:pStyle w:val="TOC4"/>
        <w:tabs>
          <w:tab w:val="right" w:leader="dot" w:pos="9016"/>
        </w:tabs>
        <w:rPr>
          <w:rFonts w:asciiTheme="minorHAnsi" w:eastAsiaTheme="minorEastAsia" w:hAnsiTheme="minorHAnsi" w:cstheme="minorBidi"/>
          <w:noProof/>
          <w:sz w:val="22"/>
          <w:szCs w:val="22"/>
        </w:rPr>
      </w:pPr>
      <w:r w:rsidRPr="009D4A98">
        <w:rPr>
          <w:rFonts w:ascii="Arial" w:hAnsi="Arial" w:cs="Arial"/>
          <w:noProof/>
        </w:rPr>
        <w:t>Weighting</w:t>
      </w:r>
      <w:r>
        <w:rPr>
          <w:noProof/>
        </w:rPr>
        <w:tab/>
      </w:r>
      <w:r>
        <w:rPr>
          <w:noProof/>
        </w:rPr>
        <w:fldChar w:fldCharType="begin"/>
      </w:r>
      <w:r>
        <w:rPr>
          <w:noProof/>
        </w:rPr>
        <w:instrText xml:space="preserve"> PAGEREF _Toc496603088 \h </w:instrText>
      </w:r>
      <w:r>
        <w:rPr>
          <w:noProof/>
        </w:rPr>
      </w:r>
      <w:r>
        <w:rPr>
          <w:noProof/>
        </w:rPr>
        <w:fldChar w:fldCharType="separate"/>
      </w:r>
      <w:r w:rsidR="00D558D7">
        <w:rPr>
          <w:noProof/>
        </w:rPr>
        <w:t>12</w:t>
      </w:r>
      <w:r>
        <w:rPr>
          <w:noProof/>
        </w:rPr>
        <w:fldChar w:fldCharType="end"/>
      </w:r>
    </w:p>
    <w:p w14:paraId="5EA87550"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5EA87555" w14:textId="77777777" w:rsidR="00123880" w:rsidRPr="00BB6317" w:rsidRDefault="00FF13A1" w:rsidP="00BB6317">
      <w:pPr>
        <w:pStyle w:val="Norma"/>
        <w:shd w:val="clear" w:color="auto" w:fill="FFFFFF"/>
        <w:spacing w:line="312" w:lineRule="atLeast"/>
        <w:rPr>
          <w:rFonts w:cs="Arial"/>
          <w:b/>
          <w:bCs/>
        </w:rPr>
      </w:pPr>
      <w:r>
        <w:rPr>
          <w:rFonts w:cs="Arial"/>
          <w:b/>
          <w:bCs/>
        </w:rPr>
        <w:tab/>
      </w:r>
    </w:p>
    <w:p w14:paraId="5EA87556" w14:textId="18E52F2C" w:rsidR="00FE1227" w:rsidRDefault="00EB43D8" w:rsidP="007248E4">
      <w:pPr>
        <w:pStyle w:val="Heading1"/>
        <w:numPr>
          <w:ilvl w:val="0"/>
          <w:numId w:val="1"/>
        </w:numPr>
        <w:rPr>
          <w:rFonts w:ascii="Arial" w:hAnsi="Arial" w:cs="Arial"/>
          <w:sz w:val="24"/>
          <w:szCs w:val="24"/>
        </w:rPr>
      </w:pPr>
      <w:r w:rsidRPr="002D4038">
        <w:br w:type="page"/>
      </w:r>
      <w:bookmarkStart w:id="2" w:name="_Ref357535594"/>
      <w:bookmarkStart w:id="3" w:name="_Ref373505096"/>
      <w:bookmarkStart w:id="4" w:name="_Toc381969506"/>
      <w:bookmarkStart w:id="5" w:name="_Toc405888455"/>
      <w:bookmarkStart w:id="6" w:name="_Toc496603071"/>
      <w:bookmarkStart w:id="7" w:name="SectionTwo"/>
      <w:r w:rsidR="00DC49C2" w:rsidRPr="00C4141B">
        <w:rPr>
          <w:rFonts w:ascii="Arial" w:hAnsi="Arial" w:cs="Arial"/>
          <w:sz w:val="24"/>
          <w:szCs w:val="24"/>
        </w:rPr>
        <w:lastRenderedPageBreak/>
        <w:t>Introduction</w:t>
      </w:r>
      <w:bookmarkEnd w:id="2"/>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3"/>
      <w:bookmarkEnd w:id="4"/>
      <w:bookmarkEnd w:id="5"/>
      <w:r w:rsidR="00DD521A">
        <w:rPr>
          <w:rFonts w:ascii="Arial" w:hAnsi="Arial" w:cs="Arial"/>
          <w:sz w:val="24"/>
          <w:szCs w:val="24"/>
        </w:rPr>
        <w:t xml:space="preserve"> / Preamble</w:t>
      </w:r>
      <w:bookmarkEnd w:id="6"/>
    </w:p>
    <w:p w14:paraId="2B4F7458" w14:textId="77777777" w:rsidR="00DD521A" w:rsidRDefault="00DD521A" w:rsidP="00DD521A">
      <w:pPr>
        <w:pStyle w:val="Norma"/>
      </w:pPr>
    </w:p>
    <w:p w14:paraId="02979F25" w14:textId="7DB40994" w:rsidR="00B5763D" w:rsidRDefault="002B4895" w:rsidP="00B5763D">
      <w:pPr>
        <w:pStyle w:val="Norma"/>
      </w:pPr>
      <w:r w:rsidRPr="00B5763D">
        <w:t>The Committee on Climate Change (CCC) is an independent, statutory body established under the 2008 Climate Change Act. The Adaptation Sub-Committee (A</w:t>
      </w:r>
      <w:r w:rsidR="005611CF">
        <w:t>SC), which is part of the CCC, was</w:t>
      </w:r>
      <w:r w:rsidRPr="00B5763D">
        <w:t xml:space="preserve"> also established under the Act to advise </w:t>
      </w:r>
      <w:r w:rsidR="0002645F">
        <w:t xml:space="preserve">the UK government </w:t>
      </w:r>
      <w:r w:rsidRPr="00B5763D">
        <w:t xml:space="preserve">and report </w:t>
      </w:r>
      <w:r w:rsidR="0002645F">
        <w:t xml:space="preserve">to Parliament </w:t>
      </w:r>
      <w:r w:rsidRPr="00B5763D">
        <w:t xml:space="preserve">on progress on adaptation to climate change. </w:t>
      </w:r>
    </w:p>
    <w:p w14:paraId="3F2E94A9" w14:textId="77777777" w:rsidR="00B5763D" w:rsidRDefault="00B5763D" w:rsidP="00B5763D">
      <w:pPr>
        <w:pStyle w:val="Norma"/>
      </w:pPr>
    </w:p>
    <w:p w14:paraId="1DB8E449" w14:textId="0DC0F974" w:rsidR="002B4895" w:rsidRPr="00B5763D" w:rsidRDefault="002B4895" w:rsidP="00B5763D">
      <w:pPr>
        <w:pStyle w:val="Norma"/>
      </w:pPr>
      <w:r w:rsidRPr="00B5763D">
        <w:t>The CCC and ASC are tasked with:</w:t>
      </w:r>
    </w:p>
    <w:p w14:paraId="7909E6BE" w14:textId="77777777" w:rsidR="00B5763D" w:rsidRDefault="00B5763D" w:rsidP="00B5763D">
      <w:pPr>
        <w:pStyle w:val="Norma"/>
      </w:pPr>
    </w:p>
    <w:p w14:paraId="591A79B8" w14:textId="6826FA4F" w:rsidR="002B4895" w:rsidRPr="00B5763D" w:rsidRDefault="002B4895" w:rsidP="00B5763D">
      <w:pPr>
        <w:pStyle w:val="Norma"/>
        <w:numPr>
          <w:ilvl w:val="0"/>
          <w:numId w:val="15"/>
        </w:numPr>
      </w:pPr>
      <w:r w:rsidRPr="00B5763D">
        <w:t xml:space="preserve">Providing independent advice to </w:t>
      </w:r>
      <w:r w:rsidR="0002645F">
        <w:t>g</w:t>
      </w:r>
      <w:r w:rsidRPr="00B5763D">
        <w:t>overnment on setting and meeting carbon budgets in line with the UK’s longer term target to reduce greenhouse gas (GHG) emissions by at least 80% by 2050 compared with 1990 levels, and reporting to Parliament on the progress made.</w:t>
      </w:r>
    </w:p>
    <w:p w14:paraId="0BE5EE94" w14:textId="77777777" w:rsidR="00B5763D" w:rsidRDefault="00B5763D" w:rsidP="00B5763D">
      <w:pPr>
        <w:pStyle w:val="Norma"/>
      </w:pPr>
    </w:p>
    <w:p w14:paraId="67BC6055" w14:textId="55DA4F65" w:rsidR="002B4895" w:rsidRPr="00B5763D" w:rsidRDefault="002B4895" w:rsidP="00B5763D">
      <w:pPr>
        <w:pStyle w:val="Norma"/>
        <w:numPr>
          <w:ilvl w:val="0"/>
          <w:numId w:val="15"/>
        </w:numPr>
      </w:pPr>
      <w:r w:rsidRPr="00B5763D">
        <w:t xml:space="preserve">Providing independent advice to the </w:t>
      </w:r>
      <w:r w:rsidR="0002645F">
        <w:t>g</w:t>
      </w:r>
      <w:r w:rsidRPr="00B5763D">
        <w:t xml:space="preserve">overnment on risks and opportunities to the UK from climate change, in part through the </w:t>
      </w:r>
      <w:r w:rsidR="005611CF">
        <w:t xml:space="preserve">statutory </w:t>
      </w:r>
      <w:r w:rsidRPr="00B5763D">
        <w:t>UK Climate Change Risk Assessment, and reporting to Parliament on progress in adapting to climate change</w:t>
      </w:r>
      <w:r w:rsidR="007106CD">
        <w:t xml:space="preserve"> in England</w:t>
      </w:r>
      <w:r w:rsidRPr="00B5763D">
        <w:t xml:space="preserve">. </w:t>
      </w:r>
    </w:p>
    <w:p w14:paraId="0EFE5872" w14:textId="77777777" w:rsidR="00B5763D" w:rsidRDefault="00B5763D" w:rsidP="00B5763D">
      <w:pPr>
        <w:pStyle w:val="Norma"/>
      </w:pPr>
    </w:p>
    <w:p w14:paraId="40C88A93" w14:textId="68C2C4E2" w:rsidR="002B4895" w:rsidRDefault="002B4895" w:rsidP="00B5763D">
      <w:pPr>
        <w:pStyle w:val="Norma"/>
      </w:pPr>
      <w:r w:rsidRPr="00B5763D">
        <w:t xml:space="preserve">To do this the CCC and ASC conduct independent analysis into climate change science, economics and policy, and engage with a wide range of organisations and individuals to share evidence and </w:t>
      </w:r>
      <w:r w:rsidRPr="00B5763D">
        <w:lastRenderedPageBreak/>
        <w:t xml:space="preserve">analysis. The CCC and ASC’s past reports are available </w:t>
      </w:r>
      <w:r w:rsidR="0002645F">
        <w:t>at</w:t>
      </w:r>
      <w:r w:rsidRPr="00B5763D">
        <w:t xml:space="preserve"> </w:t>
      </w:r>
      <w:hyperlink r:id="rId11" w:history="1">
        <w:r w:rsidRPr="00B5763D">
          <w:rPr>
            <w:rStyle w:val="Hyperlink"/>
            <w:color w:val="auto"/>
            <w:u w:val="none"/>
          </w:rPr>
          <w:t>http://www.theccc.org.uk/publications/</w:t>
        </w:r>
      </w:hyperlink>
      <w:r w:rsidRPr="00B5763D">
        <w:t xml:space="preserve">. </w:t>
      </w:r>
    </w:p>
    <w:p w14:paraId="37E468EC" w14:textId="77777777" w:rsidR="001D1DE3" w:rsidRDefault="001D1DE3" w:rsidP="005731BE">
      <w:pPr>
        <w:rPr>
          <w:rFonts w:ascii="Arial" w:hAnsi="Arial" w:cs="Arial"/>
          <w:sz w:val="22"/>
          <w:szCs w:val="22"/>
        </w:rPr>
      </w:pPr>
    </w:p>
    <w:p w14:paraId="78AA0E37" w14:textId="54DC6C39" w:rsidR="00144BC8" w:rsidRPr="005731BE" w:rsidRDefault="005731BE" w:rsidP="005731BE">
      <w:pPr>
        <w:rPr>
          <w:rFonts w:ascii="Arial" w:hAnsi="Arial" w:cs="Arial"/>
          <w:sz w:val="22"/>
          <w:szCs w:val="22"/>
        </w:rPr>
      </w:pPr>
      <w:r w:rsidRPr="005731BE">
        <w:rPr>
          <w:rFonts w:ascii="Arial" w:hAnsi="Arial" w:cs="Arial"/>
          <w:sz w:val="22"/>
          <w:szCs w:val="22"/>
        </w:rPr>
        <w:t xml:space="preserve">To inform </w:t>
      </w:r>
      <w:r w:rsidR="001D1DE3">
        <w:rPr>
          <w:rFonts w:ascii="Arial" w:hAnsi="Arial" w:cs="Arial"/>
          <w:sz w:val="22"/>
          <w:szCs w:val="22"/>
        </w:rPr>
        <w:t>a</w:t>
      </w:r>
      <w:r w:rsidR="007106CD">
        <w:rPr>
          <w:rFonts w:ascii="Arial" w:hAnsi="Arial" w:cs="Arial"/>
          <w:sz w:val="22"/>
          <w:szCs w:val="22"/>
        </w:rPr>
        <w:t>n upcoming</w:t>
      </w:r>
      <w:r w:rsidR="001D1DE3">
        <w:rPr>
          <w:rFonts w:ascii="Arial" w:hAnsi="Arial" w:cs="Arial"/>
          <w:sz w:val="22"/>
          <w:szCs w:val="22"/>
        </w:rPr>
        <w:t xml:space="preserve"> report on the resilience of the UK housing stock</w:t>
      </w:r>
      <w:r w:rsidRPr="005731BE">
        <w:rPr>
          <w:rFonts w:ascii="Arial" w:hAnsi="Arial" w:cs="Arial"/>
          <w:sz w:val="22"/>
          <w:szCs w:val="22"/>
        </w:rPr>
        <w:t>, the ASC is interested in</w:t>
      </w:r>
      <w:r w:rsidR="001D1DE3">
        <w:rPr>
          <w:rFonts w:ascii="Arial" w:hAnsi="Arial" w:cs="Arial"/>
          <w:sz w:val="22"/>
          <w:szCs w:val="22"/>
        </w:rPr>
        <w:t xml:space="preserve"> updating research commissioned in 2011 to identify potential low-regret</w:t>
      </w:r>
      <w:r w:rsidR="00A16D87">
        <w:rPr>
          <w:rStyle w:val="FootnoteReference"/>
          <w:rFonts w:ascii="Arial" w:hAnsi="Arial" w:cs="Arial"/>
          <w:sz w:val="22"/>
          <w:szCs w:val="22"/>
        </w:rPr>
        <w:footnoteReference w:id="1"/>
      </w:r>
      <w:r w:rsidR="007106CD">
        <w:rPr>
          <w:rFonts w:ascii="Arial" w:hAnsi="Arial" w:cs="Arial"/>
          <w:sz w:val="22"/>
          <w:szCs w:val="22"/>
        </w:rPr>
        <w:t xml:space="preserve">  </w:t>
      </w:r>
      <w:r w:rsidR="001D1DE3">
        <w:rPr>
          <w:rFonts w:ascii="Arial" w:hAnsi="Arial" w:cs="Arial"/>
          <w:sz w:val="22"/>
          <w:szCs w:val="22"/>
        </w:rPr>
        <w:t>adaptation options to climate change in the residential building sector</w:t>
      </w:r>
      <w:r w:rsidRPr="005731BE">
        <w:rPr>
          <w:rFonts w:ascii="Arial" w:hAnsi="Arial" w:cs="Arial"/>
          <w:sz w:val="22"/>
          <w:szCs w:val="22"/>
        </w:rPr>
        <w:t xml:space="preserve">. </w:t>
      </w:r>
    </w:p>
    <w:p w14:paraId="5EA87557" w14:textId="77777777" w:rsidR="00622E6B" w:rsidRPr="002133A0" w:rsidRDefault="00622E6B" w:rsidP="00622E6B">
      <w:pPr>
        <w:pStyle w:val="Norma"/>
        <w:rPr>
          <w:rFonts w:cs="Arial"/>
        </w:rPr>
      </w:pPr>
    </w:p>
    <w:p w14:paraId="5EA87558" w14:textId="77777777" w:rsidR="001F4630" w:rsidRDefault="001F4630" w:rsidP="007248E4">
      <w:pPr>
        <w:pStyle w:val="Heading1"/>
        <w:numPr>
          <w:ilvl w:val="0"/>
          <w:numId w:val="1"/>
        </w:numPr>
        <w:rPr>
          <w:rFonts w:ascii="Arial" w:hAnsi="Arial" w:cs="Arial"/>
          <w:sz w:val="24"/>
          <w:szCs w:val="24"/>
        </w:rPr>
      </w:pPr>
      <w:bookmarkStart w:id="8" w:name="_Ref357535668"/>
      <w:bookmarkStart w:id="9" w:name="_Toc381969507"/>
      <w:bookmarkStart w:id="10" w:name="_Toc405888456"/>
      <w:bookmarkStart w:id="11" w:name="_Toc496603072"/>
      <w:r w:rsidRPr="00C4141B">
        <w:rPr>
          <w:rFonts w:ascii="Arial" w:hAnsi="Arial" w:cs="Arial"/>
          <w:sz w:val="24"/>
          <w:szCs w:val="24"/>
        </w:rPr>
        <w:t>Background</w:t>
      </w:r>
      <w:bookmarkEnd w:id="8"/>
      <w:bookmarkEnd w:id="9"/>
      <w:bookmarkEnd w:id="10"/>
      <w:bookmarkEnd w:id="11"/>
    </w:p>
    <w:p w14:paraId="1A3B8E93" w14:textId="77777777" w:rsidR="00DD521A" w:rsidRDefault="00DD521A" w:rsidP="00DD521A">
      <w:pPr>
        <w:pStyle w:val="Norma"/>
      </w:pPr>
    </w:p>
    <w:p w14:paraId="0D538123" w14:textId="5A9B64DA" w:rsidR="006954C5" w:rsidRDefault="00B465CE" w:rsidP="00AA2BAC">
      <w:pPr>
        <w:rPr>
          <w:rFonts w:ascii="Arial" w:hAnsi="Arial" w:cs="Arial"/>
          <w:sz w:val="22"/>
          <w:szCs w:val="22"/>
        </w:rPr>
      </w:pPr>
      <w:r>
        <w:rPr>
          <w:rFonts w:ascii="Arial" w:hAnsi="Arial" w:cs="Arial"/>
          <w:sz w:val="22"/>
          <w:szCs w:val="22"/>
        </w:rPr>
        <w:t xml:space="preserve">The ASC has </w:t>
      </w:r>
      <w:r w:rsidR="00AA2BAC" w:rsidRPr="002133A0">
        <w:rPr>
          <w:rFonts w:ascii="Arial" w:hAnsi="Arial" w:cs="Arial"/>
          <w:sz w:val="22"/>
          <w:szCs w:val="22"/>
        </w:rPr>
        <w:t xml:space="preserve">a statutory duty to report to Parliament with an independent assessment of the UK </w:t>
      </w:r>
      <w:r w:rsidR="0002645F">
        <w:rPr>
          <w:rFonts w:ascii="Arial" w:hAnsi="Arial" w:cs="Arial"/>
          <w:sz w:val="22"/>
          <w:szCs w:val="22"/>
        </w:rPr>
        <w:t>g</w:t>
      </w:r>
      <w:r w:rsidR="00AA2BAC" w:rsidRPr="002133A0">
        <w:rPr>
          <w:rFonts w:ascii="Arial" w:hAnsi="Arial" w:cs="Arial"/>
          <w:sz w:val="22"/>
          <w:szCs w:val="22"/>
        </w:rPr>
        <w:t>overnment’s progress in implementing its National Adaptation Programme.</w:t>
      </w:r>
      <w:r w:rsidR="00AA2BAC" w:rsidRPr="002133A0">
        <w:rPr>
          <w:rFonts w:ascii="Arial" w:hAnsi="Arial" w:cs="Arial"/>
          <w:sz w:val="22"/>
          <w:szCs w:val="22"/>
          <w:vertAlign w:val="superscript"/>
        </w:rPr>
        <w:t xml:space="preserve"> </w:t>
      </w:r>
      <w:r w:rsidR="00AA2BAC" w:rsidRPr="002133A0">
        <w:rPr>
          <w:rFonts w:ascii="Arial" w:hAnsi="Arial" w:cs="Arial"/>
          <w:sz w:val="22"/>
          <w:szCs w:val="22"/>
        </w:rPr>
        <w:t xml:space="preserve"> This programme, </w:t>
      </w:r>
      <w:r w:rsidR="007106CD">
        <w:rPr>
          <w:rFonts w:ascii="Arial" w:hAnsi="Arial" w:cs="Arial"/>
          <w:sz w:val="22"/>
          <w:szCs w:val="22"/>
        </w:rPr>
        <w:t xml:space="preserve">first </w:t>
      </w:r>
      <w:r w:rsidR="00AA2BAC" w:rsidRPr="002133A0">
        <w:rPr>
          <w:rFonts w:ascii="Arial" w:hAnsi="Arial" w:cs="Arial"/>
          <w:sz w:val="22"/>
          <w:szCs w:val="22"/>
        </w:rPr>
        <w:t xml:space="preserve">published in July 2013, sets out the </w:t>
      </w:r>
      <w:r w:rsidR="0002645F">
        <w:rPr>
          <w:rFonts w:ascii="Arial" w:hAnsi="Arial" w:cs="Arial"/>
          <w:sz w:val="22"/>
          <w:szCs w:val="22"/>
        </w:rPr>
        <w:t>g</w:t>
      </w:r>
      <w:r w:rsidR="00AA2BAC" w:rsidRPr="002133A0">
        <w:rPr>
          <w:rFonts w:ascii="Arial" w:hAnsi="Arial" w:cs="Arial"/>
          <w:sz w:val="22"/>
          <w:szCs w:val="22"/>
        </w:rPr>
        <w:t xml:space="preserve">overnment’s objectives and policies for adaptation primarily in England, addressing the risks and opportunities identified by the UK Climate Change Risk Assessment (CCRA), first published in January 2012. The ASC published an </w:t>
      </w:r>
      <w:hyperlink r:id="rId12" w:history="1">
        <w:r w:rsidR="00AA2BAC" w:rsidRPr="002133A0">
          <w:rPr>
            <w:rStyle w:val="Hyperlink"/>
            <w:rFonts w:ascii="Arial" w:hAnsi="Arial" w:cs="Arial"/>
            <w:sz w:val="22"/>
            <w:szCs w:val="22"/>
          </w:rPr>
          <w:t>Evidence Report</w:t>
        </w:r>
      </w:hyperlink>
      <w:r w:rsidR="00AA2BAC" w:rsidRPr="002133A0">
        <w:rPr>
          <w:rFonts w:ascii="Arial" w:hAnsi="Arial" w:cs="Arial"/>
          <w:sz w:val="22"/>
          <w:szCs w:val="22"/>
        </w:rPr>
        <w:t xml:space="preserve"> to inform the second CCRA in July 2016, with the key findings subsequently </w:t>
      </w:r>
      <w:hyperlink r:id="rId13" w:history="1">
        <w:r w:rsidR="00AA2BAC" w:rsidRPr="002133A0">
          <w:rPr>
            <w:rStyle w:val="Hyperlink"/>
            <w:rFonts w:ascii="Arial" w:hAnsi="Arial" w:cs="Arial"/>
            <w:sz w:val="22"/>
            <w:szCs w:val="22"/>
          </w:rPr>
          <w:t>presented by the government to Parliament</w:t>
        </w:r>
      </w:hyperlink>
      <w:r w:rsidR="00AA2BAC" w:rsidRPr="002133A0">
        <w:rPr>
          <w:rFonts w:ascii="Arial" w:hAnsi="Arial" w:cs="Arial"/>
          <w:sz w:val="22"/>
          <w:szCs w:val="22"/>
        </w:rPr>
        <w:t xml:space="preserve"> in January 2017. </w:t>
      </w:r>
      <w:r w:rsidR="009365DB">
        <w:rPr>
          <w:rFonts w:ascii="Arial" w:hAnsi="Arial" w:cs="Arial"/>
          <w:sz w:val="22"/>
          <w:szCs w:val="22"/>
        </w:rPr>
        <w:t xml:space="preserve">Several </w:t>
      </w:r>
      <w:r w:rsidR="006954C5">
        <w:rPr>
          <w:rFonts w:ascii="Arial" w:hAnsi="Arial" w:cs="Arial"/>
          <w:sz w:val="22"/>
          <w:szCs w:val="22"/>
        </w:rPr>
        <w:t>of the six priority risk</w:t>
      </w:r>
      <w:r w:rsidR="009365DB">
        <w:rPr>
          <w:rFonts w:ascii="Arial" w:hAnsi="Arial" w:cs="Arial"/>
          <w:sz w:val="22"/>
          <w:szCs w:val="22"/>
        </w:rPr>
        <w:t xml:space="preserve"> areas</w:t>
      </w:r>
      <w:r w:rsidR="006954C5">
        <w:rPr>
          <w:rFonts w:ascii="Arial" w:hAnsi="Arial" w:cs="Arial"/>
          <w:sz w:val="22"/>
          <w:szCs w:val="22"/>
        </w:rPr>
        <w:t xml:space="preserve"> identified by the ASC as needing urgent further action relate to </w:t>
      </w:r>
      <w:r w:rsidR="004B1226">
        <w:rPr>
          <w:rFonts w:ascii="Arial" w:hAnsi="Arial" w:cs="Arial"/>
          <w:sz w:val="22"/>
          <w:szCs w:val="22"/>
        </w:rPr>
        <w:t>residential buildings</w:t>
      </w:r>
      <w:r w:rsidR="009365DB">
        <w:rPr>
          <w:rFonts w:ascii="Arial" w:hAnsi="Arial" w:cs="Arial"/>
          <w:sz w:val="22"/>
          <w:szCs w:val="22"/>
        </w:rPr>
        <w:t xml:space="preserve">, including </w:t>
      </w:r>
      <w:r w:rsidR="006954C5">
        <w:rPr>
          <w:rFonts w:ascii="Arial" w:hAnsi="Arial" w:cs="Arial"/>
          <w:sz w:val="22"/>
          <w:szCs w:val="22"/>
        </w:rPr>
        <w:t xml:space="preserve">flooding and coastal change </w:t>
      </w:r>
      <w:r w:rsidR="006954C5">
        <w:rPr>
          <w:rFonts w:ascii="Arial" w:hAnsi="Arial" w:cs="Arial"/>
          <w:sz w:val="22"/>
          <w:szCs w:val="22"/>
        </w:rPr>
        <w:lastRenderedPageBreak/>
        <w:t>risks to communities,</w:t>
      </w:r>
      <w:r w:rsidR="004B1226">
        <w:rPr>
          <w:rFonts w:ascii="Arial" w:hAnsi="Arial" w:cs="Arial"/>
          <w:sz w:val="22"/>
          <w:szCs w:val="22"/>
        </w:rPr>
        <w:t xml:space="preserve"> </w:t>
      </w:r>
      <w:r w:rsidR="009365DB">
        <w:rPr>
          <w:rFonts w:ascii="Arial" w:hAnsi="Arial" w:cs="Arial"/>
          <w:sz w:val="22"/>
          <w:szCs w:val="22"/>
        </w:rPr>
        <w:t>risks of shortages in the public water supply; and</w:t>
      </w:r>
      <w:r w:rsidR="00786528">
        <w:rPr>
          <w:rFonts w:ascii="Arial" w:hAnsi="Arial" w:cs="Arial"/>
          <w:sz w:val="22"/>
          <w:szCs w:val="22"/>
        </w:rPr>
        <w:t xml:space="preserve"> risks to health, well-being and productivity from higher temperatures. </w:t>
      </w:r>
    </w:p>
    <w:p w14:paraId="625B63B2" w14:textId="77777777" w:rsidR="00AA2BAC" w:rsidRPr="002133A0" w:rsidRDefault="00AA2BAC" w:rsidP="00AA2BAC">
      <w:pPr>
        <w:rPr>
          <w:rFonts w:ascii="Arial" w:hAnsi="Arial" w:cs="Arial"/>
          <w:sz w:val="22"/>
          <w:szCs w:val="22"/>
        </w:rPr>
      </w:pPr>
    </w:p>
    <w:p w14:paraId="5EA87559" w14:textId="4692748F" w:rsidR="009C2990" w:rsidRDefault="00AA2BAC" w:rsidP="00AA2BAC">
      <w:pPr>
        <w:rPr>
          <w:rFonts w:ascii="Arial" w:hAnsi="Arial" w:cs="Arial"/>
          <w:sz w:val="22"/>
          <w:szCs w:val="22"/>
        </w:rPr>
      </w:pPr>
      <w:r w:rsidRPr="002133A0">
        <w:rPr>
          <w:rFonts w:ascii="Arial" w:hAnsi="Arial" w:cs="Arial"/>
          <w:sz w:val="22"/>
          <w:szCs w:val="22"/>
        </w:rPr>
        <w:t xml:space="preserve">In 2015, the ASC produced its </w:t>
      </w:r>
      <w:hyperlink r:id="rId14" w:history="1">
        <w:r w:rsidRPr="002133A0">
          <w:rPr>
            <w:rStyle w:val="Hyperlink"/>
            <w:rFonts w:ascii="Arial" w:hAnsi="Arial" w:cs="Arial"/>
            <w:sz w:val="22"/>
            <w:szCs w:val="22"/>
          </w:rPr>
          <w:t>first statutory assessment</w:t>
        </w:r>
      </w:hyperlink>
      <w:r w:rsidRPr="002133A0">
        <w:rPr>
          <w:rFonts w:ascii="Arial" w:hAnsi="Arial" w:cs="Arial"/>
          <w:sz w:val="22"/>
          <w:szCs w:val="22"/>
        </w:rPr>
        <w:t xml:space="preserve"> of the National Adaptation Programme, followed by a </w:t>
      </w:r>
      <w:hyperlink r:id="rId15" w:history="1">
        <w:r w:rsidRPr="002133A0">
          <w:rPr>
            <w:rStyle w:val="Hyperlink"/>
            <w:rFonts w:ascii="Arial" w:hAnsi="Arial" w:cs="Arial"/>
            <w:sz w:val="22"/>
            <w:szCs w:val="22"/>
          </w:rPr>
          <w:t>second assessment</w:t>
        </w:r>
      </w:hyperlink>
      <w:r w:rsidRPr="002133A0">
        <w:rPr>
          <w:rFonts w:ascii="Arial" w:hAnsi="Arial" w:cs="Arial"/>
          <w:sz w:val="22"/>
          <w:szCs w:val="22"/>
        </w:rPr>
        <w:t xml:space="preserve"> in June 2017. These reports consider what actions are </w:t>
      </w:r>
      <w:r w:rsidR="00B465CE">
        <w:rPr>
          <w:rFonts w:ascii="Arial" w:hAnsi="Arial" w:cs="Arial"/>
          <w:sz w:val="22"/>
          <w:szCs w:val="22"/>
        </w:rPr>
        <w:t>being taken</w:t>
      </w:r>
      <w:r w:rsidRPr="002133A0">
        <w:rPr>
          <w:rFonts w:ascii="Arial" w:hAnsi="Arial" w:cs="Arial"/>
          <w:sz w:val="22"/>
          <w:szCs w:val="22"/>
        </w:rPr>
        <w:t xml:space="preserve"> to adapt to the current and future impacts of climate change across a number of sectors, and how vulnerability to climat</w:t>
      </w:r>
      <w:r w:rsidR="00B543C1">
        <w:rPr>
          <w:rFonts w:ascii="Arial" w:hAnsi="Arial" w:cs="Arial"/>
          <w:sz w:val="22"/>
          <w:szCs w:val="22"/>
        </w:rPr>
        <w:t>e hazards is changing over time.</w:t>
      </w:r>
      <w:r w:rsidR="00320234">
        <w:rPr>
          <w:rFonts w:ascii="Arial" w:hAnsi="Arial" w:cs="Arial"/>
          <w:sz w:val="22"/>
          <w:szCs w:val="22"/>
        </w:rPr>
        <w:t xml:space="preserve"> Both reports found that while much action is underway, </w:t>
      </w:r>
      <w:r w:rsidR="005731BE">
        <w:rPr>
          <w:rFonts w:ascii="Arial" w:hAnsi="Arial" w:cs="Arial"/>
          <w:sz w:val="22"/>
          <w:szCs w:val="22"/>
        </w:rPr>
        <w:t xml:space="preserve">it was in most cases unclear what impact those actions had had on reducing vulnerability or exposure to climate change. </w:t>
      </w:r>
    </w:p>
    <w:p w14:paraId="190B3BE2" w14:textId="77777777" w:rsidR="0047307F" w:rsidRDefault="0047307F" w:rsidP="00AA2BAC">
      <w:pPr>
        <w:rPr>
          <w:rFonts w:ascii="Arial" w:hAnsi="Arial" w:cs="Arial"/>
          <w:sz w:val="22"/>
          <w:szCs w:val="22"/>
        </w:rPr>
      </w:pPr>
    </w:p>
    <w:p w14:paraId="5F05024D" w14:textId="7DC6D501" w:rsidR="0047307F" w:rsidRDefault="009365DB" w:rsidP="00AA2BAC">
      <w:pPr>
        <w:rPr>
          <w:rFonts w:ascii="Arial" w:hAnsi="Arial" w:cs="Arial"/>
          <w:sz w:val="22"/>
          <w:szCs w:val="22"/>
        </w:rPr>
      </w:pPr>
      <w:r>
        <w:rPr>
          <w:rFonts w:ascii="Arial" w:hAnsi="Arial" w:cs="Arial"/>
          <w:sz w:val="22"/>
          <w:szCs w:val="22"/>
        </w:rPr>
        <w:t>In 2018</w:t>
      </w:r>
      <w:r w:rsidR="007106CD">
        <w:rPr>
          <w:rFonts w:ascii="Arial" w:hAnsi="Arial" w:cs="Arial"/>
          <w:sz w:val="22"/>
          <w:szCs w:val="22"/>
        </w:rPr>
        <w:t xml:space="preserve"> and 2019</w:t>
      </w:r>
      <w:r>
        <w:rPr>
          <w:rFonts w:ascii="Arial" w:hAnsi="Arial" w:cs="Arial"/>
          <w:sz w:val="22"/>
          <w:szCs w:val="22"/>
        </w:rPr>
        <w:t xml:space="preserve">, the ASC is planning to publish a series of reports focussing on long-term adaptation outcomes for different </w:t>
      </w:r>
      <w:r w:rsidR="004B1226">
        <w:rPr>
          <w:rFonts w:ascii="Arial" w:hAnsi="Arial" w:cs="Arial"/>
          <w:sz w:val="22"/>
          <w:szCs w:val="22"/>
        </w:rPr>
        <w:t>adaptation areas</w:t>
      </w:r>
      <w:r>
        <w:rPr>
          <w:rFonts w:ascii="Arial" w:hAnsi="Arial" w:cs="Arial"/>
          <w:sz w:val="22"/>
          <w:szCs w:val="22"/>
        </w:rPr>
        <w:t xml:space="preserve">; </w:t>
      </w:r>
      <w:r w:rsidR="004B1226">
        <w:rPr>
          <w:rFonts w:ascii="Arial" w:hAnsi="Arial" w:cs="Arial"/>
          <w:sz w:val="22"/>
          <w:szCs w:val="22"/>
        </w:rPr>
        <w:t>land use</w:t>
      </w:r>
      <w:r>
        <w:rPr>
          <w:rFonts w:ascii="Arial" w:hAnsi="Arial" w:cs="Arial"/>
          <w:sz w:val="22"/>
          <w:szCs w:val="22"/>
        </w:rPr>
        <w:t>, the coast</w:t>
      </w:r>
      <w:r w:rsidR="007106CD">
        <w:rPr>
          <w:rFonts w:ascii="Arial" w:hAnsi="Arial" w:cs="Arial"/>
          <w:sz w:val="22"/>
          <w:szCs w:val="22"/>
        </w:rPr>
        <w:t>, and housing</w:t>
      </w:r>
      <w:r>
        <w:rPr>
          <w:rFonts w:ascii="Arial" w:hAnsi="Arial" w:cs="Arial"/>
          <w:sz w:val="22"/>
          <w:szCs w:val="22"/>
        </w:rPr>
        <w:t xml:space="preserve">.  The </w:t>
      </w:r>
      <w:r w:rsidR="004B1226">
        <w:rPr>
          <w:rFonts w:ascii="Arial" w:hAnsi="Arial" w:cs="Arial"/>
          <w:sz w:val="22"/>
          <w:szCs w:val="22"/>
        </w:rPr>
        <w:t>housing and land-use</w:t>
      </w:r>
      <w:r>
        <w:rPr>
          <w:rFonts w:ascii="Arial" w:hAnsi="Arial" w:cs="Arial"/>
          <w:sz w:val="22"/>
          <w:szCs w:val="22"/>
        </w:rPr>
        <w:t xml:space="preserve"> reports will be prepared jointly with the mitigation committee. This project will feed into the adaptation analysis for the report on </w:t>
      </w:r>
      <w:r w:rsidR="004B1226">
        <w:rPr>
          <w:rFonts w:ascii="Arial" w:hAnsi="Arial" w:cs="Arial"/>
          <w:sz w:val="22"/>
          <w:szCs w:val="22"/>
        </w:rPr>
        <w:t>housing</w:t>
      </w:r>
      <w:r w:rsidR="00F038C9">
        <w:rPr>
          <w:rFonts w:ascii="Arial" w:hAnsi="Arial" w:cs="Arial"/>
          <w:sz w:val="22"/>
          <w:szCs w:val="22"/>
        </w:rPr>
        <w:t xml:space="preserve">. </w:t>
      </w:r>
      <w:r w:rsidR="0047307F">
        <w:rPr>
          <w:rFonts w:ascii="Arial" w:hAnsi="Arial" w:cs="Arial"/>
          <w:sz w:val="22"/>
          <w:szCs w:val="22"/>
        </w:rPr>
        <w:t xml:space="preserve">The government is </w:t>
      </w:r>
      <w:r>
        <w:rPr>
          <w:rFonts w:ascii="Arial" w:hAnsi="Arial" w:cs="Arial"/>
          <w:sz w:val="22"/>
          <w:szCs w:val="22"/>
        </w:rPr>
        <w:t>also</w:t>
      </w:r>
      <w:r w:rsidR="0047307F">
        <w:rPr>
          <w:rFonts w:ascii="Arial" w:hAnsi="Arial" w:cs="Arial"/>
          <w:sz w:val="22"/>
          <w:szCs w:val="22"/>
        </w:rPr>
        <w:t xml:space="preserve"> </w:t>
      </w:r>
      <w:r>
        <w:rPr>
          <w:rFonts w:ascii="Arial" w:hAnsi="Arial" w:cs="Arial"/>
          <w:sz w:val="22"/>
          <w:szCs w:val="22"/>
        </w:rPr>
        <w:t>developing</w:t>
      </w:r>
      <w:r w:rsidR="0047307F">
        <w:rPr>
          <w:rFonts w:ascii="Arial" w:hAnsi="Arial" w:cs="Arial"/>
          <w:sz w:val="22"/>
          <w:szCs w:val="22"/>
        </w:rPr>
        <w:t xml:space="preserve"> its next Natio</w:t>
      </w:r>
      <w:r w:rsidR="00F36AD1">
        <w:rPr>
          <w:rFonts w:ascii="Arial" w:hAnsi="Arial" w:cs="Arial"/>
          <w:sz w:val="22"/>
          <w:szCs w:val="22"/>
        </w:rPr>
        <w:t>nal Adaptation Programme, due for</w:t>
      </w:r>
      <w:r w:rsidR="0047307F">
        <w:rPr>
          <w:rFonts w:ascii="Arial" w:hAnsi="Arial" w:cs="Arial"/>
          <w:sz w:val="22"/>
          <w:szCs w:val="22"/>
        </w:rPr>
        <w:t xml:space="preserve"> publication in summer 2018. The ASC will evaluate this programme in </w:t>
      </w:r>
      <w:r w:rsidR="007106CD">
        <w:rPr>
          <w:rFonts w:ascii="Arial" w:hAnsi="Arial" w:cs="Arial"/>
          <w:sz w:val="22"/>
          <w:szCs w:val="22"/>
        </w:rPr>
        <w:t xml:space="preserve">summer </w:t>
      </w:r>
      <w:r w:rsidR="0047307F">
        <w:rPr>
          <w:rFonts w:ascii="Arial" w:hAnsi="Arial" w:cs="Arial"/>
          <w:sz w:val="22"/>
          <w:szCs w:val="22"/>
        </w:rPr>
        <w:t xml:space="preserve">2019 and </w:t>
      </w:r>
      <w:r w:rsidR="009A4FD7">
        <w:rPr>
          <w:rFonts w:ascii="Arial" w:hAnsi="Arial" w:cs="Arial"/>
          <w:sz w:val="22"/>
          <w:szCs w:val="22"/>
        </w:rPr>
        <w:t xml:space="preserve">again in </w:t>
      </w:r>
      <w:r w:rsidR="00247920">
        <w:rPr>
          <w:rFonts w:ascii="Arial" w:hAnsi="Arial" w:cs="Arial"/>
          <w:sz w:val="22"/>
          <w:szCs w:val="22"/>
        </w:rPr>
        <w:t xml:space="preserve">2021. </w:t>
      </w:r>
    </w:p>
    <w:p w14:paraId="054DD081" w14:textId="77777777" w:rsidR="00F66DC9" w:rsidRDefault="00F66DC9" w:rsidP="00AA2BAC">
      <w:pPr>
        <w:rPr>
          <w:rFonts w:ascii="Arial" w:hAnsi="Arial" w:cs="Arial"/>
          <w:sz w:val="22"/>
          <w:szCs w:val="22"/>
        </w:rPr>
      </w:pPr>
    </w:p>
    <w:p w14:paraId="6C189E6C" w14:textId="07828F25" w:rsidR="00E46EBC" w:rsidRPr="00A16D87" w:rsidRDefault="00E46EBC" w:rsidP="00087BB8">
      <w:pPr>
        <w:jc w:val="both"/>
        <w:rPr>
          <w:rFonts w:ascii="Arial" w:hAnsi="Arial" w:cs="Arial"/>
          <w:b/>
          <w:i/>
          <w:sz w:val="22"/>
          <w:szCs w:val="22"/>
        </w:rPr>
      </w:pPr>
      <w:r w:rsidRPr="00A16D87">
        <w:rPr>
          <w:rFonts w:ascii="Arial" w:hAnsi="Arial" w:cs="Arial"/>
          <w:b/>
          <w:i/>
          <w:sz w:val="22"/>
          <w:szCs w:val="22"/>
        </w:rPr>
        <w:t>Context</w:t>
      </w:r>
    </w:p>
    <w:p w14:paraId="36BA464C" w14:textId="77777777" w:rsidR="00E46EBC" w:rsidRDefault="00E46EBC" w:rsidP="00087BB8">
      <w:pPr>
        <w:jc w:val="both"/>
        <w:rPr>
          <w:rFonts w:ascii="Arial" w:hAnsi="Arial" w:cs="Arial"/>
          <w:sz w:val="22"/>
          <w:szCs w:val="22"/>
        </w:rPr>
      </w:pPr>
    </w:p>
    <w:p w14:paraId="73F151AF" w14:textId="708DEDD8" w:rsidR="00F66DC9" w:rsidRPr="00F66DC9" w:rsidRDefault="00F66DC9" w:rsidP="00087BB8">
      <w:pPr>
        <w:jc w:val="both"/>
        <w:rPr>
          <w:rFonts w:ascii="Arial" w:hAnsi="Arial" w:cs="Arial"/>
          <w:sz w:val="22"/>
          <w:szCs w:val="22"/>
        </w:rPr>
      </w:pPr>
      <w:r w:rsidRPr="00F66DC9">
        <w:rPr>
          <w:rFonts w:ascii="Arial" w:hAnsi="Arial" w:cs="Arial"/>
          <w:sz w:val="22"/>
          <w:szCs w:val="22"/>
        </w:rPr>
        <w:lastRenderedPageBreak/>
        <w:t>Buildings – residential, commercial and public - will be affected by climate change.</w:t>
      </w:r>
      <w:r w:rsidR="00B43812">
        <w:rPr>
          <w:rFonts w:ascii="Arial" w:hAnsi="Arial" w:cs="Arial"/>
          <w:sz w:val="22"/>
          <w:szCs w:val="22"/>
        </w:rPr>
        <w:t xml:space="preserve"> Higher temperatures</w:t>
      </w:r>
      <w:r w:rsidRPr="00F66DC9">
        <w:rPr>
          <w:rFonts w:ascii="Arial" w:hAnsi="Arial" w:cs="Arial"/>
          <w:sz w:val="22"/>
          <w:szCs w:val="22"/>
        </w:rPr>
        <w:t xml:space="preserve"> </w:t>
      </w:r>
      <w:r w:rsidR="00EF775C">
        <w:rPr>
          <w:rFonts w:ascii="Arial" w:hAnsi="Arial" w:cs="Arial"/>
          <w:sz w:val="22"/>
          <w:szCs w:val="22"/>
        </w:rPr>
        <w:t>have implications for comfort, health and energy demand</w:t>
      </w:r>
      <w:r w:rsidR="001901A2">
        <w:rPr>
          <w:rFonts w:ascii="Arial" w:hAnsi="Arial" w:cs="Arial"/>
          <w:sz w:val="22"/>
          <w:szCs w:val="22"/>
        </w:rPr>
        <w:t xml:space="preserve"> for cooling</w:t>
      </w:r>
      <w:r w:rsidRPr="00F66DC9">
        <w:rPr>
          <w:rFonts w:ascii="Arial" w:hAnsi="Arial" w:cs="Arial"/>
          <w:sz w:val="22"/>
          <w:szCs w:val="22"/>
        </w:rPr>
        <w:t xml:space="preserve">, while more frequent and severe flooding and reduced water availability may expose people and properties to greater risks unless action is taken. Conversely rising temperatures may </w:t>
      </w:r>
      <w:r w:rsidR="001901A2">
        <w:rPr>
          <w:rFonts w:ascii="Arial" w:hAnsi="Arial" w:cs="Arial"/>
          <w:sz w:val="22"/>
          <w:szCs w:val="22"/>
        </w:rPr>
        <w:t xml:space="preserve">have positive benefits </w:t>
      </w:r>
      <w:r w:rsidRPr="00F66DC9">
        <w:rPr>
          <w:rFonts w:ascii="Arial" w:hAnsi="Arial" w:cs="Arial"/>
          <w:sz w:val="22"/>
          <w:szCs w:val="22"/>
        </w:rPr>
        <w:t xml:space="preserve">during the winter months. </w:t>
      </w:r>
    </w:p>
    <w:p w14:paraId="0BD7921A" w14:textId="77777777" w:rsidR="00F66DC9" w:rsidRPr="00F66DC9" w:rsidRDefault="00F66DC9" w:rsidP="00087BB8">
      <w:pPr>
        <w:jc w:val="both"/>
        <w:rPr>
          <w:rFonts w:ascii="Arial" w:hAnsi="Arial" w:cs="Arial"/>
          <w:sz w:val="22"/>
          <w:szCs w:val="22"/>
        </w:rPr>
      </w:pPr>
    </w:p>
    <w:p w14:paraId="15448563" w14:textId="0FEA7294" w:rsidR="00F66DC9" w:rsidRDefault="00F66DC9" w:rsidP="00087BB8">
      <w:pPr>
        <w:jc w:val="both"/>
        <w:rPr>
          <w:rFonts w:ascii="Arial" w:hAnsi="Arial" w:cs="Arial"/>
          <w:sz w:val="22"/>
          <w:szCs w:val="22"/>
        </w:rPr>
      </w:pPr>
      <w:r w:rsidRPr="00F66DC9">
        <w:rPr>
          <w:rFonts w:ascii="Arial" w:hAnsi="Arial" w:cs="Arial"/>
          <w:sz w:val="22"/>
          <w:szCs w:val="22"/>
        </w:rPr>
        <w:t xml:space="preserve">By 2050 it is projected that </w:t>
      </w:r>
      <w:r w:rsidR="00E33468">
        <w:rPr>
          <w:rFonts w:ascii="Arial" w:hAnsi="Arial" w:cs="Arial"/>
          <w:sz w:val="22"/>
          <w:szCs w:val="22"/>
        </w:rPr>
        <w:t>8</w:t>
      </w:r>
      <w:r w:rsidRPr="00F66DC9">
        <w:rPr>
          <w:rFonts w:ascii="Arial" w:hAnsi="Arial" w:cs="Arial"/>
          <w:sz w:val="22"/>
          <w:szCs w:val="22"/>
        </w:rPr>
        <w:t>0 per cent of the housing stock will consist of buildings that already exist today.</w:t>
      </w:r>
      <w:r w:rsidRPr="00A16D87">
        <w:rPr>
          <w:rFonts w:ascii="Arial" w:hAnsi="Arial" w:cs="Arial"/>
          <w:sz w:val="22"/>
          <w:szCs w:val="22"/>
          <w:vertAlign w:val="superscript"/>
        </w:rPr>
        <w:footnoteReference w:id="2"/>
      </w:r>
      <w:r w:rsidRPr="00F66DC9">
        <w:rPr>
          <w:rFonts w:ascii="Arial" w:hAnsi="Arial" w:cs="Arial"/>
          <w:sz w:val="22"/>
          <w:szCs w:val="22"/>
        </w:rPr>
        <w:t xml:space="preserve">  </w:t>
      </w:r>
      <w:r w:rsidR="00E33468">
        <w:rPr>
          <w:rFonts w:ascii="Arial" w:hAnsi="Arial" w:cs="Arial"/>
          <w:sz w:val="22"/>
          <w:szCs w:val="22"/>
        </w:rPr>
        <w:t>T</w:t>
      </w:r>
      <w:r w:rsidRPr="00F66DC9">
        <w:rPr>
          <w:rFonts w:ascii="Arial" w:hAnsi="Arial" w:cs="Arial"/>
          <w:sz w:val="22"/>
          <w:szCs w:val="22"/>
        </w:rPr>
        <w:t>he climate will continue to change</w:t>
      </w:r>
      <w:r w:rsidR="00E46EBC">
        <w:rPr>
          <w:rFonts w:ascii="Arial" w:hAnsi="Arial" w:cs="Arial"/>
          <w:sz w:val="22"/>
          <w:szCs w:val="22"/>
        </w:rPr>
        <w:t>,</w:t>
      </w:r>
      <w:r w:rsidRPr="00F66DC9">
        <w:rPr>
          <w:rFonts w:ascii="Arial" w:hAnsi="Arial" w:cs="Arial"/>
          <w:sz w:val="22"/>
          <w:szCs w:val="22"/>
        </w:rPr>
        <w:t xml:space="preserve"> increasing the potential for widespread adverse impacts. Therefore the adaptation of both new and existing residential buildings is </w:t>
      </w:r>
      <w:r w:rsidR="00E33468">
        <w:rPr>
          <w:rFonts w:ascii="Arial" w:hAnsi="Arial" w:cs="Arial"/>
          <w:sz w:val="22"/>
          <w:szCs w:val="22"/>
        </w:rPr>
        <w:t xml:space="preserve">needed to ensure </w:t>
      </w:r>
      <w:r w:rsidRPr="00F66DC9">
        <w:rPr>
          <w:rFonts w:ascii="Arial" w:hAnsi="Arial" w:cs="Arial"/>
          <w:sz w:val="22"/>
          <w:szCs w:val="22"/>
        </w:rPr>
        <w:t xml:space="preserve">that homes are fit for purpose for the current climate and future climate change. </w:t>
      </w:r>
    </w:p>
    <w:p w14:paraId="0D7ABDD9" w14:textId="77777777" w:rsidR="00F66DC9" w:rsidRDefault="00F66DC9" w:rsidP="00F66DC9">
      <w:pPr>
        <w:spacing w:line="276" w:lineRule="auto"/>
        <w:jc w:val="both"/>
        <w:rPr>
          <w:rFonts w:ascii="Arial" w:hAnsi="Arial" w:cs="Arial"/>
          <w:sz w:val="22"/>
          <w:szCs w:val="22"/>
        </w:rPr>
      </w:pPr>
    </w:p>
    <w:p w14:paraId="5CA832BC" w14:textId="0E098A4F" w:rsidR="00347F54" w:rsidRDefault="002C3B69" w:rsidP="00347F54">
      <w:pPr>
        <w:rPr>
          <w:rFonts w:ascii="Arial" w:hAnsi="Arial" w:cs="Arial"/>
          <w:sz w:val="22"/>
          <w:szCs w:val="22"/>
        </w:rPr>
      </w:pPr>
      <w:r>
        <w:rPr>
          <w:rFonts w:ascii="Arial" w:hAnsi="Arial" w:cs="Arial"/>
          <w:sz w:val="22"/>
          <w:szCs w:val="22"/>
        </w:rPr>
        <w:t>Early action will help make the UK better prepared for today’s climate</w:t>
      </w:r>
      <w:r w:rsidR="006721F0">
        <w:rPr>
          <w:rFonts w:ascii="Arial" w:hAnsi="Arial" w:cs="Arial"/>
          <w:sz w:val="22"/>
          <w:szCs w:val="22"/>
        </w:rPr>
        <w:t xml:space="preserve"> and</w:t>
      </w:r>
      <w:r>
        <w:rPr>
          <w:rFonts w:ascii="Arial" w:hAnsi="Arial" w:cs="Arial"/>
          <w:sz w:val="22"/>
          <w:szCs w:val="22"/>
        </w:rPr>
        <w:t xml:space="preserve"> can ensure that </w:t>
      </w:r>
      <w:r w:rsidRPr="00F66DC9">
        <w:rPr>
          <w:rFonts w:ascii="Arial" w:hAnsi="Arial" w:cs="Arial"/>
          <w:sz w:val="22"/>
          <w:szCs w:val="22"/>
        </w:rPr>
        <w:t>decisions made today that have long-lasting consequences do not limit our ability to adapt in the future</w:t>
      </w:r>
      <w:r>
        <w:rPr>
          <w:rFonts w:ascii="Arial" w:hAnsi="Arial" w:cs="Arial"/>
          <w:sz w:val="22"/>
          <w:szCs w:val="22"/>
        </w:rPr>
        <w:t xml:space="preserve">. However, </w:t>
      </w:r>
      <w:r w:rsidR="0020384C">
        <w:rPr>
          <w:rFonts w:ascii="Arial" w:hAnsi="Arial" w:cs="Arial"/>
          <w:sz w:val="22"/>
          <w:szCs w:val="22"/>
        </w:rPr>
        <w:t xml:space="preserve">timely implementation of low-regret action that can reduce vulnerability to both current and future climate </w:t>
      </w:r>
      <w:r w:rsidR="006721F0">
        <w:rPr>
          <w:rFonts w:ascii="Arial" w:hAnsi="Arial" w:cs="Arial"/>
          <w:sz w:val="22"/>
          <w:szCs w:val="22"/>
        </w:rPr>
        <w:t xml:space="preserve">is </w:t>
      </w:r>
      <w:r w:rsidR="0020384C">
        <w:rPr>
          <w:rFonts w:ascii="Arial" w:hAnsi="Arial" w:cs="Arial"/>
          <w:sz w:val="22"/>
          <w:szCs w:val="22"/>
        </w:rPr>
        <w:t>not being systematically actioned. I</w:t>
      </w:r>
      <w:r>
        <w:rPr>
          <w:rFonts w:ascii="Arial" w:hAnsi="Arial" w:cs="Arial"/>
          <w:sz w:val="22"/>
          <w:szCs w:val="22"/>
        </w:rPr>
        <w:t xml:space="preserve">n our 2017 progress report </w:t>
      </w:r>
      <w:r w:rsidR="0020384C">
        <w:rPr>
          <w:rFonts w:ascii="Arial" w:hAnsi="Arial" w:cs="Arial"/>
          <w:sz w:val="22"/>
          <w:szCs w:val="22"/>
        </w:rPr>
        <w:t>we said that:</w:t>
      </w:r>
    </w:p>
    <w:p w14:paraId="3BA2701A" w14:textId="77777777" w:rsidR="0020384C" w:rsidRDefault="0020384C" w:rsidP="00347F54">
      <w:pPr>
        <w:rPr>
          <w:rFonts w:ascii="Arial" w:hAnsi="Arial" w:cs="Arial"/>
          <w:sz w:val="22"/>
          <w:szCs w:val="22"/>
        </w:rPr>
      </w:pPr>
    </w:p>
    <w:p w14:paraId="3C0EB1B3" w14:textId="49E93E3A" w:rsidR="0020384C" w:rsidRDefault="0020384C" w:rsidP="00087BB8">
      <w:pPr>
        <w:pStyle w:val="ListParagraph"/>
        <w:numPr>
          <w:ilvl w:val="0"/>
          <w:numId w:val="26"/>
        </w:numPr>
        <w:spacing w:after="0" w:line="240" w:lineRule="auto"/>
        <w:rPr>
          <w:rFonts w:ascii="Arial" w:hAnsi="Arial" w:cs="Arial"/>
        </w:rPr>
      </w:pPr>
      <w:r>
        <w:rPr>
          <w:rFonts w:ascii="Arial" w:hAnsi="Arial" w:cs="Arial"/>
        </w:rPr>
        <w:t xml:space="preserve">At least 153,000 households currently at high risk </w:t>
      </w:r>
      <w:r w:rsidR="0067240E">
        <w:rPr>
          <w:rFonts w:ascii="Arial" w:hAnsi="Arial" w:cs="Arial"/>
        </w:rPr>
        <w:t xml:space="preserve">of flooding </w:t>
      </w:r>
      <w:r>
        <w:rPr>
          <w:rFonts w:ascii="Arial" w:hAnsi="Arial" w:cs="Arial"/>
        </w:rPr>
        <w:t>are not cost-</w:t>
      </w:r>
      <w:r w:rsidR="0067240E">
        <w:rPr>
          <w:rFonts w:ascii="Arial" w:hAnsi="Arial" w:cs="Arial"/>
        </w:rPr>
        <w:t>effective</w:t>
      </w:r>
      <w:r>
        <w:rPr>
          <w:rFonts w:ascii="Arial" w:hAnsi="Arial" w:cs="Arial"/>
        </w:rPr>
        <w:t xml:space="preserve"> to protect with flood alleviation </w:t>
      </w:r>
      <w:r>
        <w:rPr>
          <w:rFonts w:ascii="Arial" w:hAnsi="Arial" w:cs="Arial"/>
        </w:rPr>
        <w:lastRenderedPageBreak/>
        <w:t>schemes,</w:t>
      </w:r>
      <w:r w:rsidR="00857C61">
        <w:rPr>
          <w:rStyle w:val="FootnoteReference"/>
          <w:rFonts w:ascii="Arial" w:hAnsi="Arial" w:cs="Arial"/>
        </w:rPr>
        <w:footnoteReference w:id="3"/>
      </w:r>
      <w:r>
        <w:rPr>
          <w:rFonts w:ascii="Arial" w:hAnsi="Arial" w:cs="Arial"/>
        </w:rPr>
        <w:t xml:space="preserve"> but could potentially benefit from steps to improve their resilience during floods. This number is expected to increase to more than 217,000 households by 2040, however the Government’s</w:t>
      </w:r>
      <w:r w:rsidR="00D774F1">
        <w:rPr>
          <w:rFonts w:ascii="Arial" w:hAnsi="Arial" w:cs="Arial"/>
        </w:rPr>
        <w:t xml:space="preserve"> six </w:t>
      </w:r>
      <w:r>
        <w:rPr>
          <w:rFonts w:ascii="Arial" w:hAnsi="Arial" w:cs="Arial"/>
        </w:rPr>
        <w:t>year investment plan includes proposals to protect only 500 households</w:t>
      </w:r>
      <w:r w:rsidR="009C4363">
        <w:rPr>
          <w:rFonts w:ascii="Arial" w:hAnsi="Arial" w:cs="Arial"/>
        </w:rPr>
        <w:t xml:space="preserve"> with property level flood resilience</w:t>
      </w:r>
      <w:r>
        <w:rPr>
          <w:rFonts w:ascii="Arial" w:hAnsi="Arial" w:cs="Arial"/>
        </w:rPr>
        <w:t xml:space="preserve"> per year. </w:t>
      </w:r>
    </w:p>
    <w:p w14:paraId="09717F1C" w14:textId="77777777" w:rsidR="00087BB8" w:rsidRDefault="00087BB8" w:rsidP="00087BB8">
      <w:pPr>
        <w:pStyle w:val="ListParagraph"/>
        <w:spacing w:after="0" w:line="240" w:lineRule="auto"/>
        <w:rPr>
          <w:rFonts w:ascii="Arial" w:hAnsi="Arial" w:cs="Arial"/>
        </w:rPr>
      </w:pPr>
    </w:p>
    <w:p w14:paraId="25B26599" w14:textId="73D8D470" w:rsidR="00087BB8" w:rsidRDefault="0020384C" w:rsidP="00087BB8">
      <w:pPr>
        <w:pStyle w:val="ListParagraph"/>
        <w:numPr>
          <w:ilvl w:val="0"/>
          <w:numId w:val="26"/>
        </w:numPr>
        <w:spacing w:after="0" w:line="240" w:lineRule="auto"/>
        <w:rPr>
          <w:rFonts w:ascii="Arial" w:hAnsi="Arial" w:cs="Arial"/>
        </w:rPr>
      </w:pPr>
      <w:r>
        <w:rPr>
          <w:rFonts w:ascii="Arial" w:hAnsi="Arial" w:cs="Arial"/>
        </w:rPr>
        <w:t>Household water consumption has decline</w:t>
      </w:r>
      <w:r w:rsidR="00F55C3D">
        <w:rPr>
          <w:rFonts w:ascii="Arial" w:hAnsi="Arial" w:cs="Arial"/>
        </w:rPr>
        <w:t>d</w:t>
      </w:r>
      <w:r>
        <w:rPr>
          <w:rFonts w:ascii="Arial" w:hAnsi="Arial" w:cs="Arial"/>
        </w:rPr>
        <w:t xml:space="preserve"> from 155 litres per person per day </w:t>
      </w:r>
      <w:r w:rsidR="009C25E7">
        <w:rPr>
          <w:rFonts w:ascii="Arial" w:hAnsi="Arial" w:cs="Arial"/>
        </w:rPr>
        <w:t xml:space="preserve">(l/p/d) </w:t>
      </w:r>
      <w:r>
        <w:rPr>
          <w:rFonts w:ascii="Arial" w:hAnsi="Arial" w:cs="Arial"/>
        </w:rPr>
        <w:t>in 2003/4 to 139 l/p/d in 2015/16. Water companies have implemented actions to reduce demand including encouraging the uptake of water metering. However 55% of household</w:t>
      </w:r>
      <w:r w:rsidR="006721F0">
        <w:rPr>
          <w:rFonts w:ascii="Arial" w:hAnsi="Arial" w:cs="Arial"/>
        </w:rPr>
        <w:t>s</w:t>
      </w:r>
      <w:r>
        <w:rPr>
          <w:rFonts w:ascii="Arial" w:hAnsi="Arial" w:cs="Arial"/>
        </w:rPr>
        <w:t xml:space="preserve"> in England </w:t>
      </w:r>
      <w:r w:rsidR="00F55C3D">
        <w:rPr>
          <w:rFonts w:ascii="Arial" w:hAnsi="Arial" w:cs="Arial"/>
        </w:rPr>
        <w:t xml:space="preserve">do not have </w:t>
      </w:r>
      <w:r w:rsidR="006721F0">
        <w:rPr>
          <w:rFonts w:ascii="Arial" w:hAnsi="Arial" w:cs="Arial"/>
        </w:rPr>
        <w:t xml:space="preserve">a </w:t>
      </w:r>
      <w:r>
        <w:rPr>
          <w:rFonts w:ascii="Arial" w:hAnsi="Arial" w:cs="Arial"/>
        </w:rPr>
        <w:t>water meter installed, and it is likely that more ambitious target</w:t>
      </w:r>
      <w:r w:rsidR="00857C61">
        <w:rPr>
          <w:rFonts w:ascii="Arial" w:hAnsi="Arial" w:cs="Arial"/>
        </w:rPr>
        <w:t>s</w:t>
      </w:r>
      <w:r>
        <w:rPr>
          <w:rFonts w:ascii="Arial" w:hAnsi="Arial" w:cs="Arial"/>
        </w:rPr>
        <w:t xml:space="preserve"> to reduce household consumption </w:t>
      </w:r>
      <w:r w:rsidR="00F55C3D">
        <w:rPr>
          <w:rFonts w:ascii="Arial" w:hAnsi="Arial" w:cs="Arial"/>
        </w:rPr>
        <w:t xml:space="preserve">through a range of measures </w:t>
      </w:r>
      <w:r>
        <w:rPr>
          <w:rFonts w:ascii="Arial" w:hAnsi="Arial" w:cs="Arial"/>
        </w:rPr>
        <w:t>are needed to manage future risks of water shortages.</w:t>
      </w:r>
      <w:r w:rsidR="00857C61">
        <w:rPr>
          <w:rStyle w:val="FootnoteReference"/>
          <w:rFonts w:ascii="Arial" w:hAnsi="Arial" w:cs="Arial"/>
        </w:rPr>
        <w:footnoteReference w:id="4"/>
      </w:r>
      <w:r>
        <w:rPr>
          <w:rFonts w:ascii="Arial" w:hAnsi="Arial" w:cs="Arial"/>
        </w:rPr>
        <w:t xml:space="preserve"> </w:t>
      </w:r>
    </w:p>
    <w:p w14:paraId="529AF1D2" w14:textId="77777777" w:rsidR="00087BB8" w:rsidRPr="00087BB8" w:rsidRDefault="00087BB8" w:rsidP="00087BB8">
      <w:pPr>
        <w:rPr>
          <w:rFonts w:ascii="Arial" w:hAnsi="Arial" w:cs="Arial"/>
        </w:rPr>
      </w:pPr>
    </w:p>
    <w:p w14:paraId="76A3F4A5" w14:textId="29451096" w:rsidR="00861D82" w:rsidRDefault="0020384C" w:rsidP="00A16D87">
      <w:pPr>
        <w:pStyle w:val="ListParagraph"/>
        <w:numPr>
          <w:ilvl w:val="0"/>
          <w:numId w:val="26"/>
        </w:numPr>
        <w:spacing w:afterLines="120" w:after="288" w:line="240" w:lineRule="auto"/>
        <w:rPr>
          <w:rFonts w:ascii="Arial" w:hAnsi="Arial" w:cs="Arial"/>
        </w:rPr>
      </w:pPr>
      <w:r w:rsidRPr="00A9715B">
        <w:rPr>
          <w:rFonts w:ascii="Arial" w:hAnsi="Arial" w:cs="Arial"/>
        </w:rPr>
        <w:t xml:space="preserve">While there is extensive guidance, there remain no legal requirements in place to adapt the built environment, including our homes, to </w:t>
      </w:r>
      <w:r w:rsidR="009C2D5F" w:rsidRPr="00A9715B">
        <w:rPr>
          <w:rFonts w:ascii="Arial" w:hAnsi="Arial" w:cs="Arial"/>
        </w:rPr>
        <w:t xml:space="preserve">reduce </w:t>
      </w:r>
      <w:r w:rsidRPr="00A9715B">
        <w:rPr>
          <w:rFonts w:ascii="Arial" w:hAnsi="Arial" w:cs="Arial"/>
        </w:rPr>
        <w:t>the impact of increasing temperatures.</w:t>
      </w:r>
      <w:r w:rsidR="00141232" w:rsidRPr="000B36C2">
        <w:rPr>
          <w:rFonts w:ascii="Arial" w:hAnsi="Arial" w:cs="Arial"/>
        </w:rPr>
        <w:t xml:space="preserve"> A survey of building designers, consultants and developers</w:t>
      </w:r>
      <w:r w:rsidR="00861D82" w:rsidRPr="000B36C2">
        <w:rPr>
          <w:rFonts w:ascii="Arial" w:hAnsi="Arial" w:cs="Arial"/>
        </w:rPr>
        <w:t xml:space="preserve"> identified that there was a perceived high cost to retrofit</w:t>
      </w:r>
      <w:r w:rsidR="00141232" w:rsidRPr="003C19D6">
        <w:rPr>
          <w:rFonts w:ascii="Arial" w:hAnsi="Arial" w:cs="Arial"/>
        </w:rPr>
        <w:t>ting</w:t>
      </w:r>
      <w:r w:rsidR="00861D82" w:rsidRPr="003C19D6">
        <w:rPr>
          <w:rFonts w:ascii="Arial" w:hAnsi="Arial" w:cs="Arial"/>
        </w:rPr>
        <w:t xml:space="preserve"> </w:t>
      </w:r>
      <w:r w:rsidR="00861D82" w:rsidRPr="003C19D6">
        <w:rPr>
          <w:rFonts w:ascii="Arial" w:hAnsi="Arial" w:cs="Arial"/>
        </w:rPr>
        <w:lastRenderedPageBreak/>
        <w:t xml:space="preserve">adaptation measures compared to including </w:t>
      </w:r>
      <w:r w:rsidR="009C25E7">
        <w:rPr>
          <w:rFonts w:ascii="Arial" w:hAnsi="Arial" w:cs="Arial"/>
        </w:rPr>
        <w:t xml:space="preserve">them </w:t>
      </w:r>
      <w:r w:rsidR="00861D82" w:rsidRPr="003C19D6">
        <w:rPr>
          <w:rFonts w:ascii="Arial" w:hAnsi="Arial" w:cs="Arial"/>
        </w:rPr>
        <w:t>at build stage.</w:t>
      </w:r>
      <w:r w:rsidR="003C19D6">
        <w:rPr>
          <w:rStyle w:val="FootnoteReference"/>
          <w:rFonts w:ascii="Arial" w:hAnsi="Arial" w:cs="Arial"/>
        </w:rPr>
        <w:footnoteReference w:id="5"/>
      </w:r>
    </w:p>
    <w:p w14:paraId="680C95BB" w14:textId="251C95ED" w:rsidR="00F66DC9" w:rsidRPr="00266198" w:rsidRDefault="00087BB8" w:rsidP="00087BB8">
      <w:pPr>
        <w:jc w:val="both"/>
        <w:rPr>
          <w:rFonts w:ascii="Arial" w:hAnsi="Arial" w:cs="Arial"/>
          <w:b/>
          <w:sz w:val="22"/>
          <w:szCs w:val="22"/>
        </w:rPr>
      </w:pPr>
      <w:r w:rsidRPr="00266198">
        <w:rPr>
          <w:rFonts w:ascii="Arial" w:hAnsi="Arial" w:cs="Arial"/>
          <w:b/>
          <w:sz w:val="22"/>
          <w:szCs w:val="22"/>
        </w:rPr>
        <w:t xml:space="preserve">In 2011 the </w:t>
      </w:r>
      <w:r w:rsidR="009C2D5F" w:rsidRPr="00266198">
        <w:rPr>
          <w:rFonts w:ascii="Arial" w:hAnsi="Arial" w:cs="Arial"/>
          <w:b/>
          <w:sz w:val="22"/>
          <w:szCs w:val="22"/>
        </w:rPr>
        <w:t xml:space="preserve">ASC </w:t>
      </w:r>
      <w:r w:rsidR="00F66DC9" w:rsidRPr="00266198">
        <w:rPr>
          <w:rFonts w:ascii="Arial" w:hAnsi="Arial" w:cs="Arial"/>
          <w:b/>
          <w:sz w:val="22"/>
          <w:szCs w:val="22"/>
        </w:rPr>
        <w:t xml:space="preserve">commissioned an in-depth analysis of the </w:t>
      </w:r>
      <w:r w:rsidR="009C2D5F" w:rsidRPr="00266198">
        <w:rPr>
          <w:rFonts w:ascii="Arial" w:hAnsi="Arial" w:cs="Arial"/>
          <w:b/>
          <w:sz w:val="22"/>
          <w:szCs w:val="22"/>
        </w:rPr>
        <w:t xml:space="preserve">costs and benefits of different </w:t>
      </w:r>
      <w:r w:rsidR="00F66DC9" w:rsidRPr="00266198">
        <w:rPr>
          <w:rFonts w:ascii="Arial" w:hAnsi="Arial" w:cs="Arial"/>
          <w:b/>
          <w:sz w:val="22"/>
          <w:szCs w:val="22"/>
        </w:rPr>
        <w:t>adaptation options available in the residential buildings sector to provide the basis for monitoring preparedness.</w:t>
      </w:r>
      <w:r w:rsidR="004759E5" w:rsidRPr="00266198">
        <w:rPr>
          <w:rStyle w:val="FootnoteReference"/>
          <w:rFonts w:ascii="Arial" w:hAnsi="Arial" w:cs="Arial"/>
          <w:b/>
          <w:sz w:val="22"/>
          <w:szCs w:val="22"/>
        </w:rPr>
        <w:footnoteReference w:id="6"/>
      </w:r>
      <w:r w:rsidR="00F66DC9" w:rsidRPr="00266198">
        <w:rPr>
          <w:rFonts w:ascii="Arial" w:hAnsi="Arial" w:cs="Arial"/>
          <w:b/>
          <w:sz w:val="22"/>
          <w:szCs w:val="22"/>
        </w:rPr>
        <w:t xml:space="preserve"> </w:t>
      </w:r>
      <w:r w:rsidR="00347F54" w:rsidRPr="00266198">
        <w:rPr>
          <w:rFonts w:ascii="Arial" w:hAnsi="Arial" w:cs="Arial"/>
          <w:b/>
          <w:sz w:val="22"/>
          <w:szCs w:val="22"/>
        </w:rPr>
        <w:t>We would like this work</w:t>
      </w:r>
      <w:r w:rsidR="00A9715B" w:rsidRPr="00266198">
        <w:rPr>
          <w:rFonts w:ascii="Arial" w:hAnsi="Arial" w:cs="Arial"/>
          <w:b/>
          <w:sz w:val="22"/>
          <w:szCs w:val="22"/>
        </w:rPr>
        <w:t>, which</w:t>
      </w:r>
      <w:r w:rsidR="00026299" w:rsidRPr="00266198">
        <w:rPr>
          <w:rFonts w:ascii="Arial" w:hAnsi="Arial" w:cs="Arial"/>
          <w:b/>
          <w:sz w:val="22"/>
          <w:szCs w:val="22"/>
        </w:rPr>
        <w:t xml:space="preserve"> was</w:t>
      </w:r>
      <w:r w:rsidR="00A9715B" w:rsidRPr="00266198">
        <w:rPr>
          <w:rFonts w:ascii="Arial" w:hAnsi="Arial" w:cs="Arial"/>
          <w:b/>
          <w:sz w:val="22"/>
          <w:szCs w:val="22"/>
        </w:rPr>
        <w:t xml:space="preserve"> done</w:t>
      </w:r>
      <w:r w:rsidR="00B43812" w:rsidRPr="00266198">
        <w:rPr>
          <w:rFonts w:ascii="Arial" w:hAnsi="Arial" w:cs="Arial"/>
          <w:b/>
          <w:sz w:val="22"/>
          <w:szCs w:val="22"/>
        </w:rPr>
        <w:t xml:space="preserve"> by Davis Langdon</w:t>
      </w:r>
      <w:r w:rsidR="00A9715B" w:rsidRPr="00266198">
        <w:rPr>
          <w:rFonts w:ascii="Arial" w:hAnsi="Arial" w:cs="Arial"/>
          <w:b/>
          <w:sz w:val="22"/>
          <w:szCs w:val="22"/>
        </w:rPr>
        <w:t>,</w:t>
      </w:r>
      <w:r w:rsidR="00347F54" w:rsidRPr="00266198">
        <w:rPr>
          <w:rFonts w:ascii="Arial" w:hAnsi="Arial" w:cs="Arial"/>
          <w:b/>
          <w:sz w:val="22"/>
          <w:szCs w:val="22"/>
        </w:rPr>
        <w:t xml:space="preserve"> to be updated</w:t>
      </w:r>
      <w:r w:rsidR="004759E5" w:rsidRPr="00266198">
        <w:rPr>
          <w:rFonts w:ascii="Arial" w:hAnsi="Arial" w:cs="Arial"/>
          <w:b/>
          <w:sz w:val="22"/>
          <w:szCs w:val="22"/>
        </w:rPr>
        <w:t xml:space="preserve"> and improved</w:t>
      </w:r>
      <w:r w:rsidR="009C2D5F" w:rsidRPr="00266198">
        <w:rPr>
          <w:rFonts w:ascii="Arial" w:hAnsi="Arial" w:cs="Arial"/>
          <w:b/>
          <w:sz w:val="22"/>
          <w:szCs w:val="22"/>
        </w:rPr>
        <w:t xml:space="preserve"> where possible</w:t>
      </w:r>
      <w:r w:rsidR="00347F54" w:rsidRPr="00266198">
        <w:rPr>
          <w:rFonts w:ascii="Arial" w:hAnsi="Arial" w:cs="Arial"/>
          <w:b/>
          <w:sz w:val="22"/>
          <w:szCs w:val="22"/>
        </w:rPr>
        <w:t xml:space="preserve">. </w:t>
      </w:r>
    </w:p>
    <w:p w14:paraId="1E70999D" w14:textId="77777777" w:rsidR="00F66DC9" w:rsidRDefault="00F66DC9" w:rsidP="00087BB8">
      <w:pPr>
        <w:jc w:val="both"/>
        <w:rPr>
          <w:rFonts w:ascii="Arial" w:hAnsi="Arial" w:cs="Arial"/>
          <w:sz w:val="22"/>
          <w:szCs w:val="22"/>
        </w:rPr>
      </w:pPr>
    </w:p>
    <w:p w14:paraId="11156FE2" w14:textId="5646CD6E" w:rsidR="00347F54" w:rsidRDefault="00D01546" w:rsidP="00087BB8">
      <w:pPr>
        <w:rPr>
          <w:rFonts w:ascii="Arial" w:hAnsi="Arial" w:cs="Arial"/>
          <w:sz w:val="22"/>
          <w:szCs w:val="22"/>
        </w:rPr>
      </w:pPr>
      <w:r>
        <w:rPr>
          <w:rFonts w:ascii="Arial" w:hAnsi="Arial" w:cs="Arial"/>
          <w:sz w:val="22"/>
          <w:szCs w:val="22"/>
        </w:rPr>
        <w:t>The 2011 project was a novel piece o</w:t>
      </w:r>
      <w:r w:rsidR="002A5ABB">
        <w:rPr>
          <w:rFonts w:ascii="Arial" w:hAnsi="Arial" w:cs="Arial"/>
          <w:sz w:val="22"/>
          <w:szCs w:val="22"/>
        </w:rPr>
        <w:t>f work at the time and as such the consultants had some issues</w:t>
      </w:r>
      <w:r>
        <w:rPr>
          <w:rFonts w:ascii="Arial" w:hAnsi="Arial" w:cs="Arial"/>
          <w:sz w:val="22"/>
          <w:szCs w:val="22"/>
        </w:rPr>
        <w:t xml:space="preserve"> with the methodology and </w:t>
      </w:r>
      <w:r w:rsidR="002A5ABB">
        <w:rPr>
          <w:rFonts w:ascii="Arial" w:hAnsi="Arial" w:cs="Arial"/>
          <w:sz w:val="22"/>
          <w:szCs w:val="22"/>
        </w:rPr>
        <w:t xml:space="preserve">access to </w:t>
      </w:r>
      <w:r>
        <w:rPr>
          <w:rFonts w:ascii="Arial" w:hAnsi="Arial" w:cs="Arial"/>
          <w:sz w:val="22"/>
          <w:szCs w:val="22"/>
        </w:rPr>
        <w:t xml:space="preserve">available data sets. </w:t>
      </w:r>
      <w:r w:rsidR="008B20FE">
        <w:rPr>
          <w:rFonts w:ascii="Arial" w:hAnsi="Arial" w:cs="Arial"/>
          <w:sz w:val="22"/>
          <w:szCs w:val="22"/>
        </w:rPr>
        <w:t xml:space="preserve">An independent review by </w:t>
      </w:r>
      <w:r w:rsidR="00D774F1">
        <w:rPr>
          <w:rFonts w:ascii="Arial" w:hAnsi="Arial" w:cs="Arial"/>
          <w:sz w:val="22"/>
          <w:szCs w:val="22"/>
        </w:rPr>
        <w:t>Nicola Ranger at the Grantham Research Institute</w:t>
      </w:r>
      <w:r w:rsidR="008B20FE">
        <w:rPr>
          <w:rFonts w:ascii="Arial" w:hAnsi="Arial" w:cs="Arial"/>
          <w:sz w:val="22"/>
          <w:szCs w:val="22"/>
        </w:rPr>
        <w:t xml:space="preserve"> identified limitations of the project</w:t>
      </w:r>
      <w:r>
        <w:rPr>
          <w:rFonts w:ascii="Arial" w:hAnsi="Arial" w:cs="Arial"/>
          <w:sz w:val="22"/>
          <w:szCs w:val="22"/>
        </w:rPr>
        <w:t>, which could be improved with further work</w:t>
      </w:r>
      <w:r w:rsidR="00D774F1">
        <w:rPr>
          <w:rStyle w:val="FootnoteReference"/>
          <w:rFonts w:ascii="Arial" w:hAnsi="Arial" w:cs="Arial"/>
          <w:sz w:val="22"/>
          <w:szCs w:val="22"/>
        </w:rPr>
        <w:footnoteReference w:id="7"/>
      </w:r>
      <w:r w:rsidR="00D774F1">
        <w:rPr>
          <w:rFonts w:ascii="Arial" w:hAnsi="Arial" w:cs="Arial"/>
          <w:sz w:val="22"/>
          <w:szCs w:val="22"/>
        </w:rPr>
        <w:t>:</w:t>
      </w:r>
    </w:p>
    <w:p w14:paraId="0572A6AF" w14:textId="77777777" w:rsidR="002260D3" w:rsidRDefault="002260D3" w:rsidP="00087BB8">
      <w:pPr>
        <w:rPr>
          <w:rFonts w:ascii="Arial" w:hAnsi="Arial" w:cs="Arial"/>
          <w:sz w:val="22"/>
          <w:szCs w:val="22"/>
        </w:rPr>
      </w:pPr>
    </w:p>
    <w:p w14:paraId="7146DFDA" w14:textId="41B29680" w:rsidR="00347F54" w:rsidRDefault="00D774F1" w:rsidP="00087BB8">
      <w:pPr>
        <w:pStyle w:val="ListParagraph"/>
        <w:numPr>
          <w:ilvl w:val="0"/>
          <w:numId w:val="25"/>
        </w:numPr>
        <w:spacing w:after="0" w:line="240" w:lineRule="auto"/>
        <w:rPr>
          <w:rFonts w:ascii="Arial" w:hAnsi="Arial" w:cs="Arial"/>
        </w:rPr>
      </w:pPr>
      <w:r>
        <w:rPr>
          <w:rFonts w:ascii="Arial" w:hAnsi="Arial" w:cs="Arial"/>
        </w:rPr>
        <w:t xml:space="preserve">General usefulness of cost-curve methodology e.g. </w:t>
      </w:r>
      <w:r w:rsidR="00DF0624">
        <w:rPr>
          <w:rFonts w:ascii="Arial" w:hAnsi="Arial" w:cs="Arial"/>
        </w:rPr>
        <w:t>they are dependent on scenarios used, specific locations and assumptions made</w:t>
      </w:r>
      <w:r w:rsidR="00906598">
        <w:rPr>
          <w:rFonts w:ascii="Arial" w:hAnsi="Arial" w:cs="Arial"/>
        </w:rPr>
        <w:t>,</w:t>
      </w:r>
      <w:r w:rsidR="00DF0624">
        <w:rPr>
          <w:rFonts w:ascii="Arial" w:hAnsi="Arial" w:cs="Arial"/>
        </w:rPr>
        <w:t xml:space="preserve"> therefore cannot be assumed to be</w:t>
      </w:r>
      <w:r w:rsidR="00707990">
        <w:rPr>
          <w:rFonts w:ascii="Arial" w:hAnsi="Arial" w:cs="Arial"/>
        </w:rPr>
        <w:t xml:space="preserve"> generally applicable every</w:t>
      </w:r>
      <w:r w:rsidR="00DF0624">
        <w:rPr>
          <w:rFonts w:ascii="Arial" w:hAnsi="Arial" w:cs="Arial"/>
        </w:rPr>
        <w:t xml:space="preserve">where.  </w:t>
      </w:r>
    </w:p>
    <w:p w14:paraId="39459888" w14:textId="77777777" w:rsidR="002260D3" w:rsidRDefault="002260D3" w:rsidP="002260D3">
      <w:pPr>
        <w:pStyle w:val="ListParagraph"/>
        <w:spacing w:after="0" w:line="240" w:lineRule="auto"/>
        <w:rPr>
          <w:rFonts w:ascii="Arial" w:hAnsi="Arial" w:cs="Arial"/>
        </w:rPr>
      </w:pPr>
    </w:p>
    <w:p w14:paraId="3EB6398A" w14:textId="34672FBD" w:rsidR="004027F1" w:rsidRDefault="004027F1" w:rsidP="00087BB8">
      <w:pPr>
        <w:pStyle w:val="ListParagraph"/>
        <w:numPr>
          <w:ilvl w:val="0"/>
          <w:numId w:val="25"/>
        </w:numPr>
        <w:spacing w:after="0" w:line="240" w:lineRule="auto"/>
        <w:rPr>
          <w:rFonts w:ascii="Arial" w:hAnsi="Arial" w:cs="Arial"/>
        </w:rPr>
      </w:pPr>
      <w:r>
        <w:rPr>
          <w:rFonts w:ascii="Arial" w:hAnsi="Arial" w:cs="Arial"/>
        </w:rPr>
        <w:t>Limited to direct monetary costs and benefits, i.e. no attempts to quantify non-monetary</w:t>
      </w:r>
      <w:r w:rsidR="008904FC">
        <w:rPr>
          <w:rStyle w:val="FootnoteReference"/>
          <w:rFonts w:ascii="Arial" w:hAnsi="Arial" w:cs="Arial"/>
        </w:rPr>
        <w:footnoteReference w:id="8"/>
      </w:r>
      <w:r>
        <w:rPr>
          <w:rFonts w:ascii="Arial" w:hAnsi="Arial" w:cs="Arial"/>
        </w:rPr>
        <w:t xml:space="preserve"> or indirect costs and benefits</w:t>
      </w:r>
      <w:r w:rsidR="008904FC">
        <w:rPr>
          <w:rFonts w:ascii="Arial" w:hAnsi="Arial" w:cs="Arial"/>
        </w:rPr>
        <w:t>.</w:t>
      </w:r>
      <w:r w:rsidR="008904FC">
        <w:rPr>
          <w:rStyle w:val="FootnoteReference"/>
          <w:rFonts w:ascii="Arial" w:hAnsi="Arial" w:cs="Arial"/>
        </w:rPr>
        <w:footnoteReference w:id="9"/>
      </w:r>
      <w:r>
        <w:rPr>
          <w:rFonts w:ascii="Arial" w:hAnsi="Arial" w:cs="Arial"/>
        </w:rPr>
        <w:t xml:space="preserve"> </w:t>
      </w:r>
    </w:p>
    <w:p w14:paraId="3DF97259" w14:textId="77777777" w:rsidR="002260D3" w:rsidRPr="002260D3" w:rsidRDefault="002260D3" w:rsidP="002260D3">
      <w:pPr>
        <w:rPr>
          <w:rFonts w:ascii="Arial" w:hAnsi="Arial" w:cs="Arial"/>
        </w:rPr>
      </w:pPr>
    </w:p>
    <w:p w14:paraId="148450EC" w14:textId="74E7D757" w:rsidR="004027F1" w:rsidRDefault="006F684D" w:rsidP="00087BB8">
      <w:pPr>
        <w:pStyle w:val="ListParagraph"/>
        <w:numPr>
          <w:ilvl w:val="0"/>
          <w:numId w:val="25"/>
        </w:numPr>
        <w:spacing w:after="0" w:line="240" w:lineRule="auto"/>
        <w:rPr>
          <w:rFonts w:ascii="Arial" w:hAnsi="Arial" w:cs="Arial"/>
        </w:rPr>
      </w:pPr>
      <w:r>
        <w:rPr>
          <w:rFonts w:ascii="Arial" w:hAnsi="Arial" w:cs="Arial"/>
        </w:rPr>
        <w:t>N</w:t>
      </w:r>
      <w:r w:rsidR="0077585D">
        <w:rPr>
          <w:rFonts w:ascii="Arial" w:hAnsi="Arial" w:cs="Arial"/>
        </w:rPr>
        <w:t xml:space="preserve">o assessment </w:t>
      </w:r>
      <w:r>
        <w:rPr>
          <w:rFonts w:ascii="Arial" w:hAnsi="Arial" w:cs="Arial"/>
        </w:rPr>
        <w:t xml:space="preserve">was included </w:t>
      </w:r>
      <w:r w:rsidR="0077585D">
        <w:rPr>
          <w:rFonts w:ascii="Arial" w:hAnsi="Arial" w:cs="Arial"/>
        </w:rPr>
        <w:t>of behaviour impacting benefits</w:t>
      </w:r>
      <w:r w:rsidR="008904FC">
        <w:rPr>
          <w:rFonts w:ascii="Arial" w:hAnsi="Arial" w:cs="Arial"/>
        </w:rPr>
        <w:t xml:space="preserve">, i.e. the cost-curves represent a ‘technical potential’ and do not account for behavioural issues (e.g. improper usage or inadequate maintenance over time) and risks of failure. </w:t>
      </w:r>
    </w:p>
    <w:p w14:paraId="0B415AB9" w14:textId="77777777" w:rsidR="002260D3" w:rsidRPr="002260D3" w:rsidRDefault="002260D3" w:rsidP="002260D3">
      <w:pPr>
        <w:rPr>
          <w:rFonts w:ascii="Arial" w:hAnsi="Arial" w:cs="Arial"/>
        </w:rPr>
      </w:pPr>
    </w:p>
    <w:p w14:paraId="68792E43" w14:textId="210C8F5E" w:rsidR="00347F54" w:rsidRPr="002260D3" w:rsidRDefault="004027F1" w:rsidP="00C57ADA">
      <w:pPr>
        <w:pStyle w:val="ListParagraph"/>
        <w:numPr>
          <w:ilvl w:val="0"/>
          <w:numId w:val="25"/>
        </w:numPr>
        <w:spacing w:after="0" w:line="240" w:lineRule="auto"/>
        <w:rPr>
          <w:rFonts w:ascii="Arial" w:hAnsi="Arial" w:cs="Arial"/>
        </w:rPr>
      </w:pPr>
      <w:r w:rsidRPr="002260D3">
        <w:rPr>
          <w:rFonts w:ascii="Arial" w:hAnsi="Arial" w:cs="Arial"/>
        </w:rPr>
        <w:t>Lack of representation of clim</w:t>
      </w:r>
      <w:r w:rsidR="002260D3" w:rsidRPr="002260D3">
        <w:rPr>
          <w:rFonts w:ascii="Arial" w:hAnsi="Arial" w:cs="Arial"/>
        </w:rPr>
        <w:t xml:space="preserve">ate change </w:t>
      </w:r>
      <w:r w:rsidR="00EE66C3">
        <w:rPr>
          <w:rFonts w:ascii="Arial" w:hAnsi="Arial" w:cs="Arial"/>
        </w:rPr>
        <w:t xml:space="preserve">scenarios </w:t>
      </w:r>
      <w:r w:rsidR="002260D3" w:rsidRPr="002260D3">
        <w:rPr>
          <w:rFonts w:ascii="Arial" w:hAnsi="Arial" w:cs="Arial"/>
        </w:rPr>
        <w:t xml:space="preserve">and </w:t>
      </w:r>
      <w:r w:rsidR="00EE66C3">
        <w:rPr>
          <w:rFonts w:ascii="Arial" w:hAnsi="Arial" w:cs="Arial"/>
        </w:rPr>
        <w:t>their</w:t>
      </w:r>
      <w:r w:rsidR="002260D3" w:rsidRPr="002260D3">
        <w:rPr>
          <w:rFonts w:ascii="Arial" w:hAnsi="Arial" w:cs="Arial"/>
        </w:rPr>
        <w:t xml:space="preserve"> implications</w:t>
      </w:r>
      <w:r w:rsidR="00EE66C3">
        <w:rPr>
          <w:rFonts w:ascii="Arial" w:hAnsi="Arial" w:cs="Arial"/>
        </w:rPr>
        <w:t>.</w:t>
      </w:r>
      <w:r w:rsidR="002260D3" w:rsidRPr="002260D3">
        <w:rPr>
          <w:rFonts w:ascii="Arial" w:hAnsi="Arial" w:cs="Arial"/>
        </w:rPr>
        <w:t xml:space="preserve"> </w:t>
      </w:r>
      <w:r w:rsidR="00A402D7">
        <w:rPr>
          <w:rFonts w:ascii="Arial" w:hAnsi="Arial" w:cs="Arial"/>
        </w:rPr>
        <w:t>No attempt wa</w:t>
      </w:r>
      <w:r w:rsidR="00C3616E">
        <w:rPr>
          <w:rFonts w:ascii="Arial" w:hAnsi="Arial" w:cs="Arial"/>
        </w:rPr>
        <w:t xml:space="preserve">s made to </w:t>
      </w:r>
      <w:r w:rsidR="00861B94">
        <w:rPr>
          <w:rFonts w:ascii="Arial" w:hAnsi="Arial" w:cs="Arial"/>
        </w:rPr>
        <w:t>quantify how measures will perform under a range of climate change scenarios, which could lead to future under-adaptation and con</w:t>
      </w:r>
      <w:r w:rsidR="00A402D7">
        <w:rPr>
          <w:rFonts w:ascii="Arial" w:hAnsi="Arial" w:cs="Arial"/>
        </w:rPr>
        <w:t>sequently, unnecessary additional</w:t>
      </w:r>
      <w:r w:rsidR="00861B94">
        <w:rPr>
          <w:rFonts w:ascii="Arial" w:hAnsi="Arial" w:cs="Arial"/>
        </w:rPr>
        <w:t xml:space="preserve"> costs and risks to homeowners in the future. A further disadvantage to the approach was that it only looked at adaptation options implemented today and provided no information about the timing and circumstances under which measures should be implemented in the future. </w:t>
      </w:r>
    </w:p>
    <w:p w14:paraId="76BAB5A9" w14:textId="77777777" w:rsidR="002260D3" w:rsidRPr="002260D3" w:rsidRDefault="002260D3" w:rsidP="002260D3">
      <w:pPr>
        <w:rPr>
          <w:rFonts w:ascii="Arial" w:hAnsi="Arial" w:cs="Arial"/>
        </w:rPr>
      </w:pPr>
    </w:p>
    <w:p w14:paraId="5733B1D8" w14:textId="7E1FBB04" w:rsidR="004027F1" w:rsidRPr="001D62B9" w:rsidRDefault="004027F1" w:rsidP="001D62B9">
      <w:pPr>
        <w:pStyle w:val="ListParagraph"/>
        <w:numPr>
          <w:ilvl w:val="0"/>
          <w:numId w:val="25"/>
        </w:numPr>
        <w:spacing w:after="0" w:line="240" w:lineRule="auto"/>
        <w:rPr>
          <w:rFonts w:ascii="Arial" w:hAnsi="Arial" w:cs="Arial"/>
        </w:rPr>
      </w:pPr>
      <w:r>
        <w:rPr>
          <w:rFonts w:ascii="Arial" w:hAnsi="Arial" w:cs="Arial"/>
        </w:rPr>
        <w:t>Additional issues for informing decision making</w:t>
      </w:r>
      <w:r w:rsidR="00D838A7">
        <w:rPr>
          <w:rFonts w:ascii="Arial" w:hAnsi="Arial" w:cs="Arial"/>
        </w:rPr>
        <w:t xml:space="preserve"> such as</w:t>
      </w:r>
      <w:r>
        <w:rPr>
          <w:rFonts w:ascii="Arial" w:hAnsi="Arial" w:cs="Arial"/>
        </w:rPr>
        <w:t xml:space="preserve"> the difference from a homeowner and societal perspective</w:t>
      </w:r>
      <w:r w:rsidR="002260D3">
        <w:rPr>
          <w:rFonts w:ascii="Arial" w:hAnsi="Arial" w:cs="Arial"/>
        </w:rPr>
        <w:t xml:space="preserve"> </w:t>
      </w:r>
      <w:r w:rsidR="00D838A7">
        <w:rPr>
          <w:rFonts w:ascii="Arial" w:hAnsi="Arial" w:cs="Arial"/>
        </w:rPr>
        <w:t xml:space="preserve">e.g. </w:t>
      </w:r>
      <w:r w:rsidR="00D838A7">
        <w:rPr>
          <w:rFonts w:ascii="Arial" w:hAnsi="Arial" w:cs="Arial"/>
        </w:rPr>
        <w:lastRenderedPageBreak/>
        <w:t xml:space="preserve">the counterfactual in the overheating assessment being the use of air conditioning, rather than a no-action scenario where health consequences would be more apparent (not everyone would be able to afford air conditioning). </w:t>
      </w:r>
    </w:p>
    <w:p w14:paraId="6B4FEAD8" w14:textId="77777777" w:rsidR="00F66DC9" w:rsidRDefault="00F66DC9" w:rsidP="00087BB8">
      <w:pPr>
        <w:rPr>
          <w:rFonts w:ascii="Arial" w:hAnsi="Arial" w:cs="Arial"/>
          <w:sz w:val="22"/>
          <w:szCs w:val="22"/>
        </w:rPr>
      </w:pPr>
    </w:p>
    <w:p w14:paraId="5EA8755A" w14:textId="77777777" w:rsidR="00FE1227" w:rsidRDefault="00016416" w:rsidP="007248E4">
      <w:pPr>
        <w:pStyle w:val="Heading1"/>
        <w:numPr>
          <w:ilvl w:val="0"/>
          <w:numId w:val="1"/>
        </w:numPr>
        <w:jc w:val="both"/>
        <w:rPr>
          <w:rFonts w:ascii="Arial" w:hAnsi="Arial" w:cs="Arial"/>
          <w:sz w:val="24"/>
          <w:szCs w:val="24"/>
        </w:rPr>
      </w:pPr>
      <w:bookmarkStart w:id="12" w:name="_Ref357535689"/>
      <w:bookmarkStart w:id="13" w:name="_Toc381969508"/>
      <w:bookmarkStart w:id="14" w:name="_Toc405888457"/>
      <w:bookmarkStart w:id="15" w:name="_Toc496603073"/>
      <w:r w:rsidRPr="007963DA">
        <w:rPr>
          <w:rFonts w:ascii="Arial" w:hAnsi="Arial" w:cs="Arial"/>
          <w:sz w:val="24"/>
          <w:szCs w:val="24"/>
        </w:rPr>
        <w:t>Aims and Objectives</w:t>
      </w:r>
      <w:bookmarkEnd w:id="12"/>
      <w:bookmarkEnd w:id="13"/>
      <w:bookmarkEnd w:id="14"/>
      <w:bookmarkEnd w:id="15"/>
    </w:p>
    <w:p w14:paraId="2CCDCE03" w14:textId="77777777" w:rsidR="00C1623B" w:rsidRDefault="00C1623B" w:rsidP="00C1623B">
      <w:pPr>
        <w:pStyle w:val="Norma"/>
      </w:pPr>
    </w:p>
    <w:p w14:paraId="77A26992" w14:textId="3917F7DE" w:rsidR="001D62B9" w:rsidRDefault="00F55C3D" w:rsidP="00CF38AF">
      <w:pPr>
        <w:jc w:val="both"/>
        <w:rPr>
          <w:rFonts w:ascii="Arial" w:eastAsia="MS Mincho" w:hAnsi="Arial" w:cs="Arial"/>
          <w:sz w:val="22"/>
          <w:szCs w:val="22"/>
          <w:lang w:eastAsia="en-US"/>
        </w:rPr>
      </w:pPr>
      <w:r>
        <w:rPr>
          <w:rFonts w:ascii="Arial" w:eastAsia="MS Mincho" w:hAnsi="Arial" w:cs="Arial"/>
          <w:sz w:val="22"/>
          <w:szCs w:val="22"/>
          <w:lang w:eastAsia="en-US"/>
        </w:rPr>
        <w:t>The a</w:t>
      </w:r>
      <w:r w:rsidR="001D62B9" w:rsidRPr="00CF38AF">
        <w:rPr>
          <w:rFonts w:ascii="Arial" w:eastAsia="MS Mincho" w:hAnsi="Arial" w:cs="Arial"/>
          <w:sz w:val="22"/>
          <w:szCs w:val="22"/>
          <w:lang w:eastAsia="en-US"/>
        </w:rPr>
        <w:t xml:space="preserve">ims of this project are to: </w:t>
      </w:r>
    </w:p>
    <w:p w14:paraId="22567733" w14:textId="77777777" w:rsidR="002260D3" w:rsidRPr="00CF38AF" w:rsidRDefault="002260D3" w:rsidP="00CF38AF">
      <w:pPr>
        <w:jc w:val="both"/>
        <w:rPr>
          <w:rFonts w:ascii="Arial" w:eastAsia="MS Mincho" w:hAnsi="Arial" w:cs="Arial"/>
          <w:sz w:val="22"/>
          <w:szCs w:val="22"/>
          <w:lang w:eastAsia="en-US"/>
        </w:rPr>
      </w:pPr>
    </w:p>
    <w:p w14:paraId="3077023A" w14:textId="2027719A" w:rsidR="001D62B9" w:rsidRDefault="001D62B9" w:rsidP="00CF38AF">
      <w:pPr>
        <w:numPr>
          <w:ilvl w:val="0"/>
          <w:numId w:val="27"/>
        </w:numPr>
        <w:ind w:left="709" w:hanging="349"/>
        <w:jc w:val="both"/>
        <w:rPr>
          <w:rFonts w:ascii="Arial" w:eastAsia="MS Mincho" w:hAnsi="Arial" w:cs="Arial"/>
          <w:sz w:val="22"/>
          <w:szCs w:val="22"/>
          <w:lang w:eastAsia="en-US"/>
        </w:rPr>
      </w:pPr>
      <w:r w:rsidRPr="00CF38AF">
        <w:rPr>
          <w:rFonts w:ascii="Arial" w:eastAsia="MS Mincho" w:hAnsi="Arial" w:cs="Arial"/>
          <w:sz w:val="22"/>
          <w:szCs w:val="22"/>
          <w:lang w:eastAsia="en-US"/>
        </w:rPr>
        <w:t xml:space="preserve">Review and have regard </w:t>
      </w:r>
      <w:r w:rsidR="00F55C3D">
        <w:rPr>
          <w:rFonts w:ascii="Arial" w:eastAsia="MS Mincho" w:hAnsi="Arial" w:cs="Arial"/>
          <w:sz w:val="22"/>
          <w:szCs w:val="22"/>
          <w:lang w:eastAsia="en-US"/>
        </w:rPr>
        <w:t>to</w:t>
      </w:r>
      <w:r w:rsidRPr="00CF38AF">
        <w:rPr>
          <w:rFonts w:ascii="Arial" w:eastAsia="MS Mincho" w:hAnsi="Arial" w:cs="Arial"/>
          <w:sz w:val="22"/>
          <w:szCs w:val="22"/>
          <w:lang w:eastAsia="en-US"/>
        </w:rPr>
        <w:t xml:space="preserve"> recent studies </w:t>
      </w:r>
      <w:r w:rsidR="00E74609">
        <w:rPr>
          <w:rFonts w:ascii="Arial" w:eastAsia="MS Mincho" w:hAnsi="Arial" w:cs="Arial"/>
          <w:sz w:val="22"/>
          <w:szCs w:val="22"/>
          <w:lang w:eastAsia="en-US"/>
        </w:rPr>
        <w:t xml:space="preserve">(since 2011) </w:t>
      </w:r>
      <w:r w:rsidRPr="00CF38AF">
        <w:rPr>
          <w:rFonts w:ascii="Arial" w:eastAsia="MS Mincho" w:hAnsi="Arial" w:cs="Arial"/>
          <w:sz w:val="22"/>
          <w:szCs w:val="22"/>
          <w:lang w:eastAsia="en-US"/>
        </w:rPr>
        <w:t xml:space="preserve">on the methodologies of cost-curves for adaptation measures. This should include </w:t>
      </w:r>
      <w:r w:rsidR="00CD06EB">
        <w:rPr>
          <w:rFonts w:ascii="Arial" w:eastAsia="MS Mincho" w:hAnsi="Arial" w:cs="Arial"/>
          <w:sz w:val="22"/>
          <w:szCs w:val="22"/>
          <w:lang w:eastAsia="en-US"/>
        </w:rPr>
        <w:t>their</w:t>
      </w:r>
      <w:r w:rsidR="00CD06EB" w:rsidRPr="00CF38AF">
        <w:rPr>
          <w:rFonts w:ascii="Arial" w:eastAsia="MS Mincho" w:hAnsi="Arial" w:cs="Arial"/>
          <w:sz w:val="22"/>
          <w:szCs w:val="22"/>
          <w:lang w:eastAsia="en-US"/>
        </w:rPr>
        <w:t xml:space="preserve"> </w:t>
      </w:r>
      <w:r w:rsidRPr="00CF38AF">
        <w:rPr>
          <w:rFonts w:ascii="Arial" w:eastAsia="MS Mincho" w:hAnsi="Arial" w:cs="Arial"/>
          <w:sz w:val="22"/>
          <w:szCs w:val="22"/>
          <w:lang w:eastAsia="en-US"/>
        </w:rPr>
        <w:t xml:space="preserve">strengths and weaknesses, and </w:t>
      </w:r>
      <w:r w:rsidR="00F55C3D">
        <w:rPr>
          <w:rFonts w:ascii="Arial" w:eastAsia="MS Mincho" w:hAnsi="Arial" w:cs="Arial"/>
          <w:sz w:val="22"/>
          <w:szCs w:val="22"/>
          <w:lang w:eastAsia="en-US"/>
        </w:rPr>
        <w:t>coverage of</w:t>
      </w:r>
      <w:r w:rsidRPr="00CF38AF">
        <w:rPr>
          <w:rFonts w:ascii="Arial" w:eastAsia="MS Mincho" w:hAnsi="Arial" w:cs="Arial"/>
          <w:sz w:val="22"/>
          <w:szCs w:val="22"/>
          <w:lang w:eastAsia="en-US"/>
        </w:rPr>
        <w:t xml:space="preserve"> climate risks and adaptation options for the residential buildings sector. </w:t>
      </w:r>
    </w:p>
    <w:p w14:paraId="6A27A4FC" w14:textId="77777777" w:rsidR="002260D3" w:rsidRPr="00CF38AF" w:rsidRDefault="002260D3" w:rsidP="002260D3">
      <w:pPr>
        <w:ind w:left="709"/>
        <w:jc w:val="both"/>
        <w:rPr>
          <w:rFonts w:ascii="Arial" w:eastAsia="MS Mincho" w:hAnsi="Arial" w:cs="Arial"/>
          <w:sz w:val="22"/>
          <w:szCs w:val="22"/>
          <w:lang w:eastAsia="en-US"/>
        </w:rPr>
      </w:pPr>
    </w:p>
    <w:p w14:paraId="2CB8EFC4" w14:textId="7543EBCB" w:rsidR="001D62B9" w:rsidRDefault="001D62B9" w:rsidP="00CF38AF">
      <w:pPr>
        <w:numPr>
          <w:ilvl w:val="0"/>
          <w:numId w:val="27"/>
        </w:numPr>
        <w:ind w:left="709" w:hanging="349"/>
        <w:jc w:val="both"/>
        <w:rPr>
          <w:rFonts w:ascii="Arial" w:eastAsia="MS Mincho" w:hAnsi="Arial" w:cs="Arial"/>
          <w:sz w:val="22"/>
          <w:szCs w:val="22"/>
          <w:lang w:eastAsia="en-US"/>
        </w:rPr>
      </w:pPr>
      <w:r w:rsidRPr="00CF38AF">
        <w:rPr>
          <w:rFonts w:ascii="Arial" w:eastAsia="MS Mincho" w:hAnsi="Arial" w:cs="Arial"/>
          <w:sz w:val="22"/>
          <w:szCs w:val="22"/>
          <w:lang w:eastAsia="en-US"/>
        </w:rPr>
        <w:t xml:space="preserve">Develop </w:t>
      </w:r>
      <w:r w:rsidR="009C2D5F">
        <w:rPr>
          <w:rFonts w:ascii="Arial" w:eastAsia="MS Mincho" w:hAnsi="Arial" w:cs="Arial"/>
          <w:sz w:val="22"/>
          <w:szCs w:val="22"/>
          <w:lang w:eastAsia="en-US"/>
        </w:rPr>
        <w:t xml:space="preserve">updated </w:t>
      </w:r>
      <w:r w:rsidRPr="00CF38AF">
        <w:rPr>
          <w:rFonts w:ascii="Arial" w:eastAsia="MS Mincho" w:hAnsi="Arial" w:cs="Arial"/>
          <w:sz w:val="22"/>
          <w:szCs w:val="22"/>
          <w:lang w:eastAsia="en-US"/>
        </w:rPr>
        <w:t>adaptation cost curve</w:t>
      </w:r>
      <w:r w:rsidR="00A301B3">
        <w:rPr>
          <w:rFonts w:ascii="Arial" w:eastAsia="MS Mincho" w:hAnsi="Arial" w:cs="Arial"/>
          <w:sz w:val="22"/>
          <w:szCs w:val="22"/>
          <w:lang w:eastAsia="en-US"/>
        </w:rPr>
        <w:t>s</w:t>
      </w:r>
      <w:r w:rsidRPr="00CF38AF">
        <w:rPr>
          <w:rFonts w:ascii="Arial" w:eastAsia="MS Mincho" w:hAnsi="Arial" w:cs="Arial"/>
          <w:sz w:val="22"/>
          <w:szCs w:val="22"/>
          <w:lang w:eastAsia="en-US"/>
        </w:rPr>
        <w:t xml:space="preserve"> for the residential buildings sector </w:t>
      </w:r>
      <w:r w:rsidR="008B20FE">
        <w:rPr>
          <w:rFonts w:ascii="Arial" w:eastAsia="MS Mincho" w:hAnsi="Arial" w:cs="Arial"/>
          <w:sz w:val="22"/>
          <w:szCs w:val="22"/>
          <w:lang w:eastAsia="en-US"/>
        </w:rPr>
        <w:t xml:space="preserve">(flooding, water and heat stress) </w:t>
      </w:r>
      <w:r w:rsidRPr="00CF38AF">
        <w:rPr>
          <w:rFonts w:ascii="Arial" w:eastAsia="MS Mincho" w:hAnsi="Arial" w:cs="Arial"/>
          <w:sz w:val="22"/>
          <w:szCs w:val="22"/>
          <w:lang w:eastAsia="en-US"/>
        </w:rPr>
        <w:t>for a geographical area</w:t>
      </w:r>
      <w:r w:rsidR="008B20FE">
        <w:rPr>
          <w:rFonts w:ascii="Arial" w:eastAsia="MS Mincho" w:hAnsi="Arial" w:cs="Arial"/>
          <w:sz w:val="22"/>
          <w:szCs w:val="22"/>
          <w:lang w:eastAsia="en-US"/>
        </w:rPr>
        <w:t>, or areas,</w:t>
      </w:r>
      <w:r w:rsidRPr="00CF38AF">
        <w:rPr>
          <w:rFonts w:ascii="Arial" w:eastAsia="MS Mincho" w:hAnsi="Arial" w:cs="Arial"/>
          <w:sz w:val="22"/>
          <w:szCs w:val="22"/>
          <w:lang w:eastAsia="en-US"/>
        </w:rPr>
        <w:t xml:space="preserve">  under a given set of assumptions</w:t>
      </w:r>
      <w:r w:rsidR="003A0A53" w:rsidRPr="00CF38AF">
        <w:rPr>
          <w:rFonts w:ascii="Arial" w:eastAsia="MS Mincho" w:hAnsi="Arial" w:cs="Arial"/>
          <w:sz w:val="22"/>
          <w:szCs w:val="22"/>
          <w:lang w:eastAsia="en-US"/>
        </w:rPr>
        <w:t>,</w:t>
      </w:r>
      <w:r w:rsidR="00992884">
        <w:rPr>
          <w:rFonts w:ascii="Arial" w:eastAsia="MS Mincho" w:hAnsi="Arial" w:cs="Arial"/>
          <w:sz w:val="22"/>
          <w:szCs w:val="22"/>
          <w:lang w:eastAsia="en-US"/>
        </w:rPr>
        <w:t xml:space="preserve"> and</w:t>
      </w:r>
      <w:r w:rsidR="003A0A53" w:rsidRPr="00CF38AF">
        <w:rPr>
          <w:rFonts w:ascii="Arial" w:eastAsia="MS Mincho" w:hAnsi="Arial" w:cs="Arial"/>
          <w:sz w:val="22"/>
          <w:szCs w:val="22"/>
          <w:lang w:eastAsia="en-US"/>
        </w:rPr>
        <w:t xml:space="preserve"> for </w:t>
      </w:r>
      <w:r w:rsidR="00992884">
        <w:rPr>
          <w:rFonts w:ascii="Arial" w:eastAsia="MS Mincho" w:hAnsi="Arial" w:cs="Arial"/>
          <w:sz w:val="22"/>
          <w:szCs w:val="22"/>
          <w:lang w:eastAsia="en-US"/>
        </w:rPr>
        <w:t>c</w:t>
      </w:r>
      <w:r w:rsidR="00E74609">
        <w:rPr>
          <w:rFonts w:ascii="Arial" w:eastAsia="MS Mincho" w:hAnsi="Arial" w:cs="Arial"/>
          <w:sz w:val="22"/>
          <w:szCs w:val="22"/>
          <w:lang w:eastAsia="en-US"/>
        </w:rPr>
        <w:t xml:space="preserve">urrent </w:t>
      </w:r>
      <w:r w:rsidR="00992884">
        <w:rPr>
          <w:rFonts w:ascii="Arial" w:eastAsia="MS Mincho" w:hAnsi="Arial" w:cs="Arial"/>
          <w:sz w:val="22"/>
          <w:szCs w:val="22"/>
          <w:lang w:eastAsia="en-US"/>
        </w:rPr>
        <w:t xml:space="preserve">and future </w:t>
      </w:r>
      <w:r w:rsidR="00E74609">
        <w:rPr>
          <w:rFonts w:ascii="Arial" w:eastAsia="MS Mincho" w:hAnsi="Arial" w:cs="Arial"/>
          <w:sz w:val="22"/>
          <w:szCs w:val="22"/>
          <w:lang w:eastAsia="en-US"/>
        </w:rPr>
        <w:t>climate</w:t>
      </w:r>
      <w:r w:rsidR="00992884">
        <w:rPr>
          <w:rFonts w:ascii="Arial" w:eastAsia="MS Mincho" w:hAnsi="Arial" w:cs="Arial"/>
          <w:sz w:val="22"/>
          <w:szCs w:val="22"/>
          <w:lang w:eastAsia="en-US"/>
        </w:rPr>
        <w:t xml:space="preserve">s under </w:t>
      </w:r>
      <w:r w:rsidR="003A0A53" w:rsidRPr="00CF38AF">
        <w:rPr>
          <w:rFonts w:ascii="Arial" w:eastAsia="MS Mincho" w:hAnsi="Arial" w:cs="Arial"/>
          <w:sz w:val="22"/>
          <w:szCs w:val="22"/>
          <w:lang w:eastAsia="en-US"/>
        </w:rPr>
        <w:t xml:space="preserve">a range of </w:t>
      </w:r>
      <w:r w:rsidR="00E74609">
        <w:rPr>
          <w:rFonts w:ascii="Arial" w:eastAsia="MS Mincho" w:hAnsi="Arial" w:cs="Arial"/>
          <w:sz w:val="22"/>
          <w:szCs w:val="22"/>
          <w:lang w:eastAsia="en-US"/>
        </w:rPr>
        <w:t xml:space="preserve">future </w:t>
      </w:r>
      <w:r w:rsidR="003A0A53" w:rsidRPr="00CF38AF">
        <w:rPr>
          <w:rFonts w:ascii="Arial" w:eastAsia="MS Mincho" w:hAnsi="Arial" w:cs="Arial"/>
          <w:sz w:val="22"/>
          <w:szCs w:val="22"/>
          <w:lang w:eastAsia="en-US"/>
        </w:rPr>
        <w:t>climate scenarios</w:t>
      </w:r>
      <w:r w:rsidR="00E67A14">
        <w:rPr>
          <w:rFonts w:ascii="Arial" w:eastAsia="MS Mincho" w:hAnsi="Arial" w:cs="Arial"/>
          <w:sz w:val="22"/>
          <w:szCs w:val="22"/>
          <w:lang w:eastAsia="en-US"/>
        </w:rPr>
        <w:t xml:space="preserve"> (using the latest relevant climate projections)</w:t>
      </w:r>
      <w:r w:rsidR="003A0A53" w:rsidRPr="00CF38AF">
        <w:rPr>
          <w:rFonts w:ascii="Arial" w:eastAsia="MS Mincho" w:hAnsi="Arial" w:cs="Arial"/>
          <w:sz w:val="22"/>
          <w:szCs w:val="22"/>
          <w:lang w:eastAsia="en-US"/>
        </w:rPr>
        <w:t xml:space="preserve">. </w:t>
      </w:r>
      <w:r w:rsidR="008B7C4E">
        <w:rPr>
          <w:rFonts w:ascii="Arial" w:eastAsia="MS Mincho" w:hAnsi="Arial" w:cs="Arial"/>
          <w:sz w:val="22"/>
          <w:szCs w:val="22"/>
          <w:lang w:eastAsia="en-US"/>
        </w:rPr>
        <w:t xml:space="preserve"> </w:t>
      </w:r>
    </w:p>
    <w:p w14:paraId="0DF14000" w14:textId="77777777" w:rsidR="002260D3" w:rsidRPr="00CF38AF" w:rsidRDefault="002260D3" w:rsidP="002260D3">
      <w:pPr>
        <w:jc w:val="both"/>
        <w:rPr>
          <w:rFonts w:ascii="Arial" w:eastAsia="MS Mincho" w:hAnsi="Arial" w:cs="Arial"/>
          <w:sz w:val="22"/>
          <w:szCs w:val="22"/>
          <w:lang w:eastAsia="en-US"/>
        </w:rPr>
      </w:pPr>
    </w:p>
    <w:p w14:paraId="4475C0CC" w14:textId="5B926968" w:rsidR="003D2C5D" w:rsidRPr="00CF38AF" w:rsidRDefault="001D62B9" w:rsidP="00CF38AF">
      <w:pPr>
        <w:numPr>
          <w:ilvl w:val="0"/>
          <w:numId w:val="27"/>
        </w:numPr>
        <w:ind w:left="709" w:hanging="349"/>
        <w:jc w:val="both"/>
        <w:rPr>
          <w:rFonts w:ascii="Arial" w:eastAsia="MS Mincho" w:hAnsi="Arial" w:cs="Arial"/>
          <w:sz w:val="22"/>
          <w:szCs w:val="22"/>
          <w:lang w:eastAsia="en-US"/>
        </w:rPr>
      </w:pPr>
      <w:r w:rsidRPr="00CF38AF">
        <w:rPr>
          <w:rFonts w:ascii="Arial" w:eastAsia="MS Mincho" w:hAnsi="Arial" w:cs="Arial"/>
          <w:sz w:val="22"/>
          <w:szCs w:val="22"/>
          <w:lang w:eastAsia="en-US"/>
        </w:rPr>
        <w:t>Undertake a sensitivity analysis to identify the factors and relationships that influence the ranking of options from high to low cost</w:t>
      </w:r>
      <w:r w:rsidR="009C2D5F">
        <w:rPr>
          <w:rFonts w:ascii="Arial" w:eastAsia="MS Mincho" w:hAnsi="Arial" w:cs="Arial"/>
          <w:sz w:val="22"/>
          <w:szCs w:val="22"/>
          <w:lang w:eastAsia="en-US"/>
        </w:rPr>
        <w:t xml:space="preserve"> and benefits</w:t>
      </w:r>
      <w:r w:rsidRPr="00CF38AF">
        <w:rPr>
          <w:rFonts w:ascii="Arial" w:eastAsia="MS Mincho" w:hAnsi="Arial" w:cs="Arial"/>
          <w:sz w:val="22"/>
          <w:szCs w:val="22"/>
          <w:lang w:eastAsia="en-US"/>
        </w:rPr>
        <w:t xml:space="preserve"> (e.g. location, characteristics of </w:t>
      </w:r>
      <w:r w:rsidRPr="00CF38AF">
        <w:rPr>
          <w:rFonts w:ascii="Arial" w:eastAsia="MS Mincho" w:hAnsi="Arial" w:cs="Arial"/>
          <w:sz w:val="22"/>
          <w:szCs w:val="22"/>
          <w:lang w:eastAsia="en-US"/>
        </w:rPr>
        <w:lastRenderedPageBreak/>
        <w:t xml:space="preserve">the property, tenure </w:t>
      </w:r>
      <w:r w:rsidR="006C1E1F" w:rsidRPr="00CF38AF">
        <w:rPr>
          <w:rFonts w:ascii="Arial" w:eastAsia="MS Mincho" w:hAnsi="Arial" w:cs="Arial"/>
          <w:sz w:val="22"/>
          <w:szCs w:val="22"/>
          <w:lang w:eastAsia="en-US"/>
        </w:rPr>
        <w:t>etc.</w:t>
      </w:r>
      <w:r w:rsidRPr="00CF38AF">
        <w:rPr>
          <w:rFonts w:ascii="Arial" w:eastAsia="MS Mincho" w:hAnsi="Arial" w:cs="Arial"/>
          <w:sz w:val="22"/>
          <w:szCs w:val="22"/>
          <w:lang w:eastAsia="en-US"/>
        </w:rPr>
        <w:t xml:space="preserve">), with a view to </w:t>
      </w:r>
      <w:r w:rsidR="00A301B3" w:rsidRPr="00A16D87">
        <w:rPr>
          <w:rFonts w:ascii="Arial" w:eastAsia="MS Mincho" w:hAnsi="Arial" w:cs="Arial"/>
          <w:sz w:val="22"/>
          <w:szCs w:val="22"/>
          <w:lang w:eastAsia="en-US"/>
        </w:rPr>
        <w:t>understanding the extent to which each low-regret option</w:t>
      </w:r>
      <w:r w:rsidR="00E74609">
        <w:rPr>
          <w:rFonts w:ascii="Arial" w:eastAsia="MS Mincho" w:hAnsi="Arial" w:cs="Arial"/>
          <w:sz w:val="22"/>
          <w:szCs w:val="22"/>
          <w:lang w:eastAsia="en-US"/>
        </w:rPr>
        <w:t xml:space="preserve"> would be deemed to be cost-effective</w:t>
      </w:r>
      <w:r w:rsidRPr="00CF38AF">
        <w:rPr>
          <w:rFonts w:ascii="Arial" w:eastAsia="MS Mincho" w:hAnsi="Arial" w:cs="Arial"/>
          <w:sz w:val="22"/>
          <w:szCs w:val="22"/>
          <w:lang w:eastAsia="en-US"/>
        </w:rPr>
        <w:t xml:space="preserve">. </w:t>
      </w:r>
      <w:r w:rsidR="00CF38AF" w:rsidRPr="00CF38AF">
        <w:rPr>
          <w:rFonts w:ascii="Arial" w:eastAsia="MS Mincho" w:hAnsi="Arial" w:cs="Arial"/>
          <w:sz w:val="22"/>
          <w:szCs w:val="22"/>
          <w:lang w:eastAsia="en-US"/>
        </w:rPr>
        <w:t>This should include, where possible a quantified assessment of non-monetary and indirect cost</w:t>
      </w:r>
      <w:r w:rsidR="00E10E63">
        <w:rPr>
          <w:rFonts w:ascii="Arial" w:eastAsia="MS Mincho" w:hAnsi="Arial" w:cs="Arial"/>
          <w:sz w:val="22"/>
          <w:szCs w:val="22"/>
          <w:lang w:eastAsia="en-US"/>
        </w:rPr>
        <w:t>s</w:t>
      </w:r>
      <w:r w:rsidR="00CF38AF" w:rsidRPr="00CF38AF">
        <w:rPr>
          <w:rFonts w:ascii="Arial" w:eastAsia="MS Mincho" w:hAnsi="Arial" w:cs="Arial"/>
          <w:sz w:val="22"/>
          <w:szCs w:val="22"/>
          <w:lang w:eastAsia="en-US"/>
        </w:rPr>
        <w:t xml:space="preserve"> and benefits</w:t>
      </w:r>
      <w:r w:rsidR="00BA3A68">
        <w:rPr>
          <w:rFonts w:ascii="Arial" w:eastAsia="MS Mincho" w:hAnsi="Arial" w:cs="Arial"/>
          <w:sz w:val="22"/>
          <w:szCs w:val="22"/>
          <w:lang w:eastAsia="en-US"/>
        </w:rPr>
        <w:t xml:space="preserve"> (including consideration of a systems thinking approach)</w:t>
      </w:r>
      <w:r w:rsidR="00CF38AF" w:rsidRPr="00CF38AF">
        <w:rPr>
          <w:rFonts w:ascii="Arial" w:eastAsia="MS Mincho" w:hAnsi="Arial" w:cs="Arial"/>
          <w:sz w:val="22"/>
          <w:szCs w:val="22"/>
          <w:lang w:eastAsia="en-US"/>
        </w:rPr>
        <w:t>,</w:t>
      </w:r>
      <w:r w:rsidR="008B7C4E">
        <w:rPr>
          <w:rFonts w:ascii="Arial" w:eastAsia="MS Mincho" w:hAnsi="Arial" w:cs="Arial"/>
          <w:sz w:val="22"/>
          <w:szCs w:val="22"/>
          <w:lang w:eastAsia="en-US"/>
        </w:rPr>
        <w:t xml:space="preserve"> </w:t>
      </w:r>
      <w:r w:rsidR="00CF38AF" w:rsidRPr="00CF38AF">
        <w:rPr>
          <w:rFonts w:ascii="Arial" w:eastAsia="MS Mincho" w:hAnsi="Arial" w:cs="Arial"/>
          <w:sz w:val="22"/>
          <w:szCs w:val="22"/>
          <w:lang w:eastAsia="en-US"/>
        </w:rPr>
        <w:t xml:space="preserve">as well as impacts of behaviour change.  </w:t>
      </w:r>
      <w:r w:rsidRPr="00CF38AF">
        <w:rPr>
          <w:rFonts w:ascii="Arial" w:eastAsia="MS Mincho" w:hAnsi="Arial" w:cs="Arial"/>
          <w:sz w:val="22"/>
          <w:szCs w:val="22"/>
          <w:lang w:eastAsia="en-US"/>
        </w:rPr>
        <w:t>We are open to innovative ways to present this analysis. You may wish to use a series of generalised costs curves to present the results. For example an adaptat</w:t>
      </w:r>
      <w:r w:rsidR="00CF38AF" w:rsidRPr="00CF38AF">
        <w:rPr>
          <w:rFonts w:ascii="Arial" w:eastAsia="MS Mincho" w:hAnsi="Arial" w:cs="Arial"/>
          <w:sz w:val="22"/>
          <w:szCs w:val="22"/>
          <w:lang w:eastAsia="en-US"/>
        </w:rPr>
        <w:t>ion cost-curve for rural, urban</w:t>
      </w:r>
      <w:r w:rsidRPr="00CF38AF">
        <w:rPr>
          <w:rFonts w:ascii="Arial" w:eastAsia="MS Mincho" w:hAnsi="Arial" w:cs="Arial"/>
          <w:sz w:val="22"/>
          <w:szCs w:val="22"/>
          <w:lang w:eastAsia="en-US"/>
        </w:rPr>
        <w:t xml:space="preserve"> or coastal residential buildings. Of course the exact nature of these costs curves will be determined by the results of the sensitivity analysis.</w:t>
      </w:r>
    </w:p>
    <w:p w14:paraId="5EA8755C" w14:textId="77777777" w:rsidR="00C4141B" w:rsidRDefault="00E85ED1" w:rsidP="007248E4">
      <w:pPr>
        <w:pStyle w:val="Heading1"/>
        <w:numPr>
          <w:ilvl w:val="0"/>
          <w:numId w:val="3"/>
        </w:numPr>
        <w:rPr>
          <w:rFonts w:ascii="Arial" w:hAnsi="Arial" w:cs="Arial"/>
          <w:sz w:val="24"/>
          <w:szCs w:val="24"/>
        </w:rPr>
      </w:pPr>
      <w:bookmarkStart w:id="16" w:name="_Toc381969509"/>
      <w:bookmarkStart w:id="17" w:name="_Toc405888458"/>
      <w:bookmarkStart w:id="18" w:name="_Toc496603074"/>
      <w:r w:rsidRPr="00E85ED1">
        <w:rPr>
          <w:rFonts w:ascii="Arial" w:hAnsi="Arial" w:cs="Arial"/>
          <w:sz w:val="24"/>
          <w:szCs w:val="24"/>
        </w:rPr>
        <w:t>Methodology</w:t>
      </w:r>
      <w:bookmarkEnd w:id="16"/>
      <w:bookmarkEnd w:id="17"/>
      <w:bookmarkEnd w:id="18"/>
    </w:p>
    <w:p w14:paraId="5A1BB8BA" w14:textId="77777777" w:rsidR="00DD521A" w:rsidRDefault="00DD521A" w:rsidP="00DD521A">
      <w:pPr>
        <w:pStyle w:val="Norma"/>
      </w:pPr>
    </w:p>
    <w:p w14:paraId="6A3C8265" w14:textId="04C5D9FE" w:rsidR="006D24C3" w:rsidRPr="001E219F" w:rsidRDefault="006D24C3" w:rsidP="001E219F">
      <w:pPr>
        <w:jc w:val="both"/>
        <w:rPr>
          <w:rFonts w:ascii="Arial" w:eastAsia="MS Mincho" w:hAnsi="Arial" w:cs="Arial"/>
          <w:sz w:val="22"/>
          <w:szCs w:val="22"/>
          <w:lang w:eastAsia="en-US"/>
        </w:rPr>
      </w:pPr>
      <w:r w:rsidRPr="001E219F">
        <w:rPr>
          <w:rFonts w:ascii="Arial" w:eastAsia="MS Mincho" w:hAnsi="Arial" w:cs="Arial"/>
          <w:sz w:val="22"/>
          <w:szCs w:val="22"/>
          <w:lang w:eastAsia="en-US"/>
        </w:rPr>
        <w:t>We expect the contractor to draw on a range of sources to develop a robust evidence base from which to fulfil the aims of this project, includ</w:t>
      </w:r>
      <w:r w:rsidR="009C2D5F">
        <w:rPr>
          <w:rFonts w:ascii="Arial" w:eastAsia="MS Mincho" w:hAnsi="Arial" w:cs="Arial"/>
          <w:sz w:val="22"/>
          <w:szCs w:val="22"/>
          <w:lang w:eastAsia="en-US"/>
        </w:rPr>
        <w:t>ing</w:t>
      </w:r>
      <w:r w:rsidRPr="001E219F">
        <w:rPr>
          <w:rFonts w:ascii="Arial" w:eastAsia="MS Mincho" w:hAnsi="Arial" w:cs="Arial"/>
          <w:sz w:val="22"/>
          <w:szCs w:val="22"/>
          <w:lang w:eastAsia="en-US"/>
        </w:rPr>
        <w:t xml:space="preserve"> the </w:t>
      </w:r>
      <w:r w:rsidR="00E74609">
        <w:rPr>
          <w:rFonts w:ascii="Arial" w:eastAsia="MS Mincho" w:hAnsi="Arial" w:cs="Arial"/>
          <w:sz w:val="22"/>
          <w:szCs w:val="22"/>
          <w:lang w:eastAsia="en-US"/>
        </w:rPr>
        <w:t xml:space="preserve">UK </w:t>
      </w:r>
      <w:r w:rsidRPr="001E219F">
        <w:rPr>
          <w:rFonts w:ascii="Arial" w:eastAsia="MS Mincho" w:hAnsi="Arial" w:cs="Arial"/>
          <w:sz w:val="22"/>
          <w:szCs w:val="22"/>
          <w:lang w:eastAsia="en-US"/>
        </w:rPr>
        <w:t>Climate Change Risk Assessment</w:t>
      </w:r>
      <w:r w:rsidR="009C2D5F">
        <w:rPr>
          <w:rFonts w:ascii="Arial" w:eastAsia="MS Mincho" w:hAnsi="Arial" w:cs="Arial"/>
          <w:sz w:val="22"/>
          <w:szCs w:val="22"/>
          <w:lang w:eastAsia="en-US"/>
        </w:rPr>
        <w:t>.</w:t>
      </w:r>
      <w:r w:rsidRPr="001E219F">
        <w:rPr>
          <w:rFonts w:ascii="Arial" w:eastAsia="MS Mincho" w:hAnsi="Arial" w:cs="Arial"/>
          <w:sz w:val="22"/>
          <w:szCs w:val="22"/>
          <w:lang w:eastAsia="en-US"/>
        </w:rPr>
        <w:t xml:space="preserve">  </w:t>
      </w:r>
    </w:p>
    <w:p w14:paraId="31997977" w14:textId="077BF5EB" w:rsidR="006D24C3" w:rsidRDefault="006D24C3" w:rsidP="001E219F">
      <w:pPr>
        <w:jc w:val="both"/>
        <w:rPr>
          <w:rFonts w:ascii="Arial" w:eastAsia="MS Mincho" w:hAnsi="Arial" w:cs="Arial"/>
          <w:sz w:val="22"/>
          <w:szCs w:val="22"/>
          <w:lang w:eastAsia="en-US"/>
        </w:rPr>
      </w:pPr>
      <w:r w:rsidRPr="001E219F">
        <w:rPr>
          <w:rFonts w:ascii="Arial" w:eastAsia="MS Mincho" w:hAnsi="Arial" w:cs="Arial"/>
          <w:sz w:val="22"/>
          <w:szCs w:val="22"/>
          <w:lang w:eastAsia="en-US"/>
        </w:rPr>
        <w:t xml:space="preserve">We envisage this project will comprise </w:t>
      </w:r>
      <w:r w:rsidRPr="00A16D87">
        <w:rPr>
          <w:rFonts w:ascii="Arial" w:eastAsia="MS Mincho" w:hAnsi="Arial" w:cs="Arial"/>
          <w:sz w:val="22"/>
          <w:szCs w:val="22"/>
          <w:lang w:eastAsia="en-US"/>
        </w:rPr>
        <w:t>t</w:t>
      </w:r>
      <w:r w:rsidR="00A16D87">
        <w:rPr>
          <w:rFonts w:ascii="Arial" w:eastAsia="MS Mincho" w:hAnsi="Arial" w:cs="Arial"/>
          <w:sz w:val="22"/>
          <w:szCs w:val="22"/>
          <w:lang w:eastAsia="en-US"/>
        </w:rPr>
        <w:t>hree</w:t>
      </w:r>
      <w:r w:rsidRPr="001E219F">
        <w:rPr>
          <w:rFonts w:ascii="Arial" w:eastAsia="MS Mincho" w:hAnsi="Arial" w:cs="Arial"/>
          <w:sz w:val="22"/>
          <w:szCs w:val="22"/>
          <w:lang w:eastAsia="en-US"/>
        </w:rPr>
        <w:t xml:space="preserve"> main tasks</w:t>
      </w:r>
      <w:r w:rsidR="009C2D5F">
        <w:rPr>
          <w:rFonts w:ascii="Arial" w:eastAsia="MS Mincho" w:hAnsi="Arial" w:cs="Arial"/>
          <w:sz w:val="22"/>
          <w:szCs w:val="22"/>
          <w:lang w:eastAsia="en-US"/>
        </w:rPr>
        <w:t xml:space="preserve">. </w:t>
      </w:r>
    </w:p>
    <w:p w14:paraId="01FBB84B" w14:textId="77777777" w:rsidR="001E219F" w:rsidRPr="001E219F" w:rsidRDefault="001E219F" w:rsidP="001E219F">
      <w:pPr>
        <w:jc w:val="both"/>
        <w:rPr>
          <w:rFonts w:ascii="Arial" w:eastAsia="MS Mincho" w:hAnsi="Arial" w:cs="Arial"/>
          <w:sz w:val="22"/>
          <w:szCs w:val="22"/>
          <w:lang w:eastAsia="en-US"/>
        </w:rPr>
      </w:pPr>
    </w:p>
    <w:p w14:paraId="265321E3" w14:textId="0BCC4F52" w:rsidR="00C7491D" w:rsidRDefault="00C7491D" w:rsidP="001E219F">
      <w:pPr>
        <w:jc w:val="both"/>
        <w:rPr>
          <w:rFonts w:ascii="Arial" w:eastAsia="MS Mincho" w:hAnsi="Arial" w:cs="Arial"/>
          <w:b/>
          <w:i/>
          <w:sz w:val="22"/>
          <w:szCs w:val="22"/>
          <w:lang w:eastAsia="en-US"/>
        </w:rPr>
      </w:pPr>
      <w:r>
        <w:rPr>
          <w:rFonts w:ascii="Arial" w:eastAsia="MS Mincho" w:hAnsi="Arial" w:cs="Arial"/>
          <w:b/>
          <w:i/>
          <w:sz w:val="22"/>
          <w:szCs w:val="22"/>
          <w:lang w:eastAsia="en-US"/>
        </w:rPr>
        <w:t>Task 1: Method development</w:t>
      </w:r>
    </w:p>
    <w:p w14:paraId="04B25CA7" w14:textId="77777777" w:rsidR="00C7491D" w:rsidRDefault="00C7491D" w:rsidP="001E219F">
      <w:pPr>
        <w:jc w:val="both"/>
        <w:rPr>
          <w:rFonts w:ascii="Arial" w:eastAsia="MS Mincho" w:hAnsi="Arial" w:cs="Arial"/>
          <w:b/>
          <w:i/>
          <w:sz w:val="22"/>
          <w:szCs w:val="22"/>
          <w:lang w:eastAsia="en-US"/>
        </w:rPr>
      </w:pPr>
    </w:p>
    <w:p w14:paraId="499918F5" w14:textId="35489E72" w:rsidR="00C7491D" w:rsidRDefault="000B36C2" w:rsidP="001E219F">
      <w:pPr>
        <w:jc w:val="both"/>
        <w:rPr>
          <w:rFonts w:ascii="Arial" w:eastAsia="MS Mincho" w:hAnsi="Arial" w:cs="Arial"/>
          <w:sz w:val="22"/>
          <w:szCs w:val="22"/>
          <w:lang w:eastAsia="en-US"/>
        </w:rPr>
      </w:pPr>
      <w:r>
        <w:rPr>
          <w:rFonts w:ascii="Arial" w:eastAsia="MS Mincho" w:hAnsi="Arial" w:cs="Arial"/>
          <w:sz w:val="22"/>
          <w:szCs w:val="22"/>
          <w:lang w:eastAsia="en-US"/>
        </w:rPr>
        <w:t>Produce a method document</w:t>
      </w:r>
      <w:r w:rsidR="00E74609">
        <w:rPr>
          <w:rFonts w:ascii="Arial" w:eastAsia="MS Mincho" w:hAnsi="Arial" w:cs="Arial"/>
          <w:sz w:val="22"/>
          <w:szCs w:val="22"/>
          <w:lang w:eastAsia="en-US"/>
        </w:rPr>
        <w:t>, for agreement with the ASC,</w:t>
      </w:r>
      <w:r>
        <w:rPr>
          <w:rFonts w:ascii="Arial" w:eastAsia="MS Mincho" w:hAnsi="Arial" w:cs="Arial"/>
          <w:sz w:val="22"/>
          <w:szCs w:val="22"/>
          <w:lang w:eastAsia="en-US"/>
        </w:rPr>
        <w:t xml:space="preserve"> outlining how you will:</w:t>
      </w:r>
    </w:p>
    <w:p w14:paraId="73BDC21E" w14:textId="77777777" w:rsidR="000B36C2" w:rsidRDefault="000B36C2" w:rsidP="001E219F">
      <w:pPr>
        <w:jc w:val="both"/>
        <w:rPr>
          <w:rFonts w:ascii="Arial" w:eastAsia="MS Mincho" w:hAnsi="Arial" w:cs="Arial"/>
          <w:sz w:val="22"/>
          <w:szCs w:val="22"/>
          <w:lang w:eastAsia="en-US"/>
        </w:rPr>
      </w:pPr>
    </w:p>
    <w:p w14:paraId="3D01E8D9" w14:textId="2183A2CA" w:rsidR="000B36C2" w:rsidRDefault="000B36C2" w:rsidP="00A16D87">
      <w:pPr>
        <w:pStyle w:val="ListParagraph"/>
        <w:numPr>
          <w:ilvl w:val="0"/>
          <w:numId w:val="36"/>
        </w:numPr>
        <w:jc w:val="both"/>
        <w:rPr>
          <w:rFonts w:ascii="Arial" w:hAnsi="Arial" w:cs="Arial"/>
        </w:rPr>
      </w:pPr>
      <w:r>
        <w:rPr>
          <w:rFonts w:ascii="Arial" w:hAnsi="Arial" w:cs="Arial"/>
        </w:rPr>
        <w:lastRenderedPageBreak/>
        <w:t>Review the previous work</w:t>
      </w:r>
      <w:r w:rsidR="00E74609">
        <w:rPr>
          <w:rFonts w:ascii="Arial" w:hAnsi="Arial" w:cs="Arial"/>
        </w:rPr>
        <w:t xml:space="preserve"> published in 2011</w:t>
      </w:r>
      <w:r>
        <w:rPr>
          <w:rFonts w:ascii="Arial" w:hAnsi="Arial" w:cs="Arial"/>
        </w:rPr>
        <w:t>. This should include an assessment of the strengths and weaknesses, using both the Ranger study and other sources of evidence</w:t>
      </w:r>
      <w:r w:rsidR="00E66C02">
        <w:rPr>
          <w:rFonts w:ascii="Arial" w:hAnsi="Arial" w:cs="Arial"/>
        </w:rPr>
        <w:t>;</w:t>
      </w:r>
      <w:r>
        <w:rPr>
          <w:rFonts w:ascii="Arial" w:hAnsi="Arial" w:cs="Arial"/>
        </w:rPr>
        <w:t xml:space="preserve"> </w:t>
      </w:r>
    </w:p>
    <w:p w14:paraId="22190AC7" w14:textId="77777777" w:rsidR="00E66C02" w:rsidRDefault="00E66C02" w:rsidP="00A16D87">
      <w:pPr>
        <w:pStyle w:val="ListParagraph"/>
        <w:jc w:val="both"/>
        <w:rPr>
          <w:rFonts w:ascii="Arial" w:hAnsi="Arial" w:cs="Arial"/>
        </w:rPr>
      </w:pPr>
    </w:p>
    <w:p w14:paraId="78049AD2" w14:textId="0638FC86" w:rsidR="00E66C02" w:rsidRDefault="000B36C2" w:rsidP="00A16D87">
      <w:pPr>
        <w:pStyle w:val="ListParagraph"/>
        <w:numPr>
          <w:ilvl w:val="0"/>
          <w:numId w:val="36"/>
        </w:numPr>
        <w:jc w:val="both"/>
        <w:rPr>
          <w:rFonts w:ascii="Arial" w:hAnsi="Arial" w:cs="Arial"/>
        </w:rPr>
      </w:pPr>
      <w:r w:rsidRPr="00E66C02">
        <w:rPr>
          <w:rFonts w:ascii="Arial" w:hAnsi="Arial" w:cs="Arial"/>
        </w:rPr>
        <w:t>Review new evidence and data that is available since 2011 and agree any changes to the options</w:t>
      </w:r>
      <w:r w:rsidRPr="00D0662E">
        <w:rPr>
          <w:rFonts w:ascii="Arial" w:hAnsi="Arial" w:cs="Arial"/>
        </w:rPr>
        <w:t xml:space="preserve"> considered with the ASC. We would hope to see evidence and data which could impact the </w:t>
      </w:r>
      <w:r w:rsidRPr="00A56738">
        <w:rPr>
          <w:rFonts w:ascii="Arial" w:hAnsi="Arial" w:cs="Arial"/>
        </w:rPr>
        <w:t>input</w:t>
      </w:r>
      <w:r w:rsidR="00906598">
        <w:rPr>
          <w:rFonts w:ascii="Arial" w:hAnsi="Arial" w:cs="Arial"/>
        </w:rPr>
        <w:t>s</w:t>
      </w:r>
      <w:r w:rsidRPr="00A56738">
        <w:rPr>
          <w:rFonts w:ascii="Arial" w:hAnsi="Arial" w:cs="Arial"/>
        </w:rPr>
        <w:t>, assumptions and sensitivity of adaptation cost curves</w:t>
      </w:r>
      <w:r w:rsidR="00E66C02">
        <w:rPr>
          <w:rFonts w:ascii="Arial" w:hAnsi="Arial" w:cs="Arial"/>
        </w:rPr>
        <w:t>;</w:t>
      </w:r>
      <w:r w:rsidRPr="00E66C02">
        <w:rPr>
          <w:rFonts w:ascii="Arial" w:hAnsi="Arial" w:cs="Arial"/>
        </w:rPr>
        <w:t xml:space="preserve">  </w:t>
      </w:r>
    </w:p>
    <w:p w14:paraId="36F2F7CB" w14:textId="77777777" w:rsidR="00E66C02" w:rsidRDefault="00E66C02" w:rsidP="00A16D87">
      <w:pPr>
        <w:pStyle w:val="ListParagraph"/>
        <w:jc w:val="both"/>
        <w:rPr>
          <w:rFonts w:ascii="Arial" w:hAnsi="Arial" w:cs="Arial"/>
        </w:rPr>
      </w:pPr>
    </w:p>
    <w:p w14:paraId="283FD5C7" w14:textId="23F2E68A" w:rsidR="00E66C02" w:rsidRDefault="00E66C02" w:rsidP="00A16D87">
      <w:pPr>
        <w:pStyle w:val="ListParagraph"/>
        <w:numPr>
          <w:ilvl w:val="0"/>
          <w:numId w:val="36"/>
        </w:numPr>
        <w:jc w:val="both"/>
        <w:rPr>
          <w:rFonts w:ascii="Arial" w:hAnsi="Arial" w:cs="Arial"/>
        </w:rPr>
      </w:pPr>
      <w:r w:rsidRPr="00E66C02">
        <w:rPr>
          <w:rFonts w:ascii="Arial" w:hAnsi="Arial" w:cs="Arial"/>
        </w:rPr>
        <w:t xml:space="preserve">Update the adaptation cost curve/s for the residential buildings sector </w:t>
      </w:r>
      <w:r w:rsidR="006C1E1F">
        <w:rPr>
          <w:rFonts w:ascii="Arial" w:hAnsi="Arial" w:cs="Arial"/>
        </w:rPr>
        <w:t>(flooding, water and h</w:t>
      </w:r>
      <w:r w:rsidR="00A707F4">
        <w:rPr>
          <w:rFonts w:ascii="Arial" w:hAnsi="Arial" w:cs="Arial"/>
        </w:rPr>
        <w:t xml:space="preserve">eat stress), this time </w:t>
      </w:r>
      <w:r w:rsidRPr="00E66C02">
        <w:rPr>
          <w:rFonts w:ascii="Arial" w:hAnsi="Arial" w:cs="Arial"/>
        </w:rPr>
        <w:t>taking into account a range of climate scenarios</w:t>
      </w:r>
      <w:r w:rsidR="008E2B6C">
        <w:rPr>
          <w:rFonts w:ascii="Arial" w:hAnsi="Arial" w:cs="Arial"/>
        </w:rPr>
        <w:t xml:space="preserve"> and explicitly addressing actions which meet the needs of both adaptation and mitigation</w:t>
      </w:r>
      <w:r>
        <w:rPr>
          <w:rFonts w:ascii="Arial" w:hAnsi="Arial" w:cs="Arial"/>
        </w:rPr>
        <w:t>. This should include how you will handle uncertainty;</w:t>
      </w:r>
    </w:p>
    <w:p w14:paraId="71ADE339" w14:textId="77777777" w:rsidR="00E66C02" w:rsidRDefault="00E66C02" w:rsidP="00A16D87">
      <w:pPr>
        <w:pStyle w:val="ListParagraph"/>
        <w:jc w:val="both"/>
        <w:rPr>
          <w:rFonts w:ascii="Arial" w:hAnsi="Arial" w:cs="Arial"/>
        </w:rPr>
      </w:pPr>
    </w:p>
    <w:p w14:paraId="007F9F5C" w14:textId="4F0F2443" w:rsidR="00E66C02" w:rsidRDefault="00E66C02" w:rsidP="00A16D87">
      <w:pPr>
        <w:pStyle w:val="ListParagraph"/>
        <w:numPr>
          <w:ilvl w:val="0"/>
          <w:numId w:val="36"/>
        </w:numPr>
        <w:jc w:val="both"/>
        <w:rPr>
          <w:rFonts w:ascii="Arial" w:hAnsi="Arial" w:cs="Arial"/>
        </w:rPr>
      </w:pPr>
      <w:r w:rsidRPr="00E66C02">
        <w:rPr>
          <w:rFonts w:ascii="Arial" w:hAnsi="Arial" w:cs="Arial"/>
        </w:rPr>
        <w:t xml:space="preserve">Identify the factors and relationships that influence the ranking of options (e.g. location, income, characteristics of the property, tenure etc.), accounting also for non-monetary and indirect costs and benefits and behaviour change, with an explicit consideration of how you will derive these using sensitivity analysis. Also include how you will present the findings </w:t>
      </w:r>
      <w:r w:rsidRPr="00E66C02">
        <w:rPr>
          <w:rFonts w:ascii="Arial" w:hAnsi="Arial" w:cs="Arial"/>
        </w:rPr>
        <w:lastRenderedPageBreak/>
        <w:t>of this analysis, for example through the use of a series of generalised cost curves</w:t>
      </w:r>
      <w:r w:rsidRPr="00D0662E">
        <w:rPr>
          <w:rFonts w:ascii="Arial" w:hAnsi="Arial" w:cs="Arial"/>
        </w:rPr>
        <w:t>; and</w:t>
      </w:r>
    </w:p>
    <w:p w14:paraId="043701C8" w14:textId="77777777" w:rsidR="00E66C02" w:rsidRPr="00A16D87" w:rsidRDefault="00E66C02" w:rsidP="00A16D87">
      <w:pPr>
        <w:pStyle w:val="ListParagraph"/>
        <w:rPr>
          <w:rFonts w:ascii="Arial" w:hAnsi="Arial" w:cs="Arial"/>
        </w:rPr>
      </w:pPr>
    </w:p>
    <w:p w14:paraId="35BF3A94" w14:textId="33DAEBC4" w:rsidR="00E66C02" w:rsidRPr="00E66C02" w:rsidRDefault="00EF23E7" w:rsidP="00A16D87">
      <w:pPr>
        <w:pStyle w:val="ListParagraph"/>
        <w:numPr>
          <w:ilvl w:val="0"/>
          <w:numId w:val="36"/>
        </w:numPr>
        <w:jc w:val="both"/>
        <w:rPr>
          <w:rFonts w:ascii="Arial" w:hAnsi="Arial" w:cs="Arial"/>
        </w:rPr>
      </w:pPr>
      <w:r>
        <w:rPr>
          <w:rFonts w:ascii="Arial" w:hAnsi="Arial" w:cs="Arial"/>
        </w:rPr>
        <w:t xml:space="preserve">Consider different </w:t>
      </w:r>
      <w:r w:rsidR="00E66C02">
        <w:rPr>
          <w:rFonts w:ascii="Arial" w:hAnsi="Arial" w:cs="Arial"/>
        </w:rPr>
        <w:t>options</w:t>
      </w:r>
      <w:r>
        <w:rPr>
          <w:rFonts w:ascii="Arial" w:hAnsi="Arial" w:cs="Arial"/>
        </w:rPr>
        <w:t xml:space="preserve"> and factors which affect adaptation measures</w:t>
      </w:r>
      <w:r w:rsidR="00E66C02">
        <w:rPr>
          <w:rFonts w:ascii="Arial" w:hAnsi="Arial" w:cs="Arial"/>
        </w:rPr>
        <w:t xml:space="preserve">, for example geographical areas, time frames, </w:t>
      </w:r>
      <w:r w:rsidR="006C1E1F">
        <w:rPr>
          <w:rFonts w:ascii="Arial" w:hAnsi="Arial" w:cs="Arial"/>
        </w:rPr>
        <w:t xml:space="preserve">and </w:t>
      </w:r>
      <w:r w:rsidR="00E66C02">
        <w:rPr>
          <w:rFonts w:ascii="Arial" w:hAnsi="Arial" w:cs="Arial"/>
        </w:rPr>
        <w:t xml:space="preserve">discount rates. </w:t>
      </w:r>
    </w:p>
    <w:p w14:paraId="5F626086" w14:textId="77777777" w:rsidR="00E66C02" w:rsidRPr="00A16D87" w:rsidRDefault="00E66C02" w:rsidP="00A16D87">
      <w:pPr>
        <w:ind w:left="360"/>
        <w:jc w:val="both"/>
        <w:rPr>
          <w:rFonts w:ascii="Arial" w:hAnsi="Arial" w:cs="Arial"/>
        </w:rPr>
      </w:pPr>
    </w:p>
    <w:p w14:paraId="0E6F042C" w14:textId="30516C0A" w:rsidR="00C7491D" w:rsidRPr="00A16D87" w:rsidRDefault="00D555C0" w:rsidP="001E219F">
      <w:pPr>
        <w:jc w:val="both"/>
        <w:rPr>
          <w:rFonts w:ascii="Arial" w:eastAsia="MS Mincho" w:hAnsi="Arial" w:cs="Arial"/>
          <w:sz w:val="22"/>
          <w:szCs w:val="22"/>
          <w:lang w:eastAsia="en-US"/>
        </w:rPr>
      </w:pPr>
      <w:r w:rsidRPr="001E219F">
        <w:rPr>
          <w:rFonts w:ascii="Arial" w:eastAsia="MS Mincho" w:hAnsi="Arial" w:cs="Arial"/>
          <w:sz w:val="22"/>
          <w:szCs w:val="22"/>
          <w:lang w:eastAsia="en-US"/>
        </w:rPr>
        <w:t xml:space="preserve">On completion, the methodology will be agreed in consultation with and ultimately signed-off by the ASC before progressing to Task 2. </w:t>
      </w:r>
    </w:p>
    <w:p w14:paraId="37ABCB23" w14:textId="77777777" w:rsidR="006D24C3" w:rsidRDefault="006D24C3" w:rsidP="00A555FE">
      <w:pPr>
        <w:jc w:val="both"/>
        <w:rPr>
          <w:b/>
          <w:sz w:val="24"/>
          <w:szCs w:val="24"/>
        </w:rPr>
      </w:pPr>
    </w:p>
    <w:p w14:paraId="549CDB90" w14:textId="77777777" w:rsidR="006D24C3" w:rsidRPr="00D828F3" w:rsidRDefault="006D24C3" w:rsidP="00A555FE">
      <w:pPr>
        <w:jc w:val="both"/>
        <w:rPr>
          <w:rFonts w:ascii="Arial" w:eastAsia="MS Mincho" w:hAnsi="Arial" w:cs="Arial"/>
          <w:b/>
          <w:i/>
          <w:sz w:val="22"/>
          <w:szCs w:val="22"/>
          <w:lang w:eastAsia="en-US"/>
        </w:rPr>
      </w:pPr>
      <w:r w:rsidRPr="00D828F3">
        <w:rPr>
          <w:rFonts w:ascii="Arial" w:eastAsia="MS Mincho" w:hAnsi="Arial" w:cs="Arial"/>
          <w:b/>
          <w:i/>
          <w:sz w:val="22"/>
          <w:szCs w:val="22"/>
          <w:lang w:eastAsia="en-US"/>
        </w:rPr>
        <w:t>Task 2: Analysis</w:t>
      </w:r>
    </w:p>
    <w:p w14:paraId="209FFD61" w14:textId="77777777" w:rsidR="006D24C3" w:rsidRPr="00A555FE" w:rsidRDefault="006D24C3" w:rsidP="00A555FE">
      <w:pPr>
        <w:jc w:val="both"/>
        <w:rPr>
          <w:rFonts w:ascii="Arial" w:eastAsia="MS Mincho" w:hAnsi="Arial" w:cs="Arial"/>
          <w:sz w:val="22"/>
          <w:szCs w:val="22"/>
          <w:lang w:eastAsia="en-US"/>
        </w:rPr>
      </w:pPr>
      <w:r w:rsidRPr="00A555FE">
        <w:rPr>
          <w:rFonts w:ascii="Arial" w:eastAsia="MS Mincho" w:hAnsi="Arial" w:cs="Arial"/>
          <w:sz w:val="22"/>
          <w:szCs w:val="22"/>
          <w:lang w:eastAsia="en-US"/>
        </w:rPr>
        <w:t>There are two main elements to this task:</w:t>
      </w:r>
    </w:p>
    <w:p w14:paraId="34C83274" w14:textId="77777777" w:rsidR="006D24C3" w:rsidRPr="00A555FE" w:rsidRDefault="006D24C3" w:rsidP="00A555FE">
      <w:pPr>
        <w:jc w:val="both"/>
        <w:rPr>
          <w:rFonts w:ascii="Arial" w:eastAsia="MS Mincho" w:hAnsi="Arial" w:cs="Arial"/>
          <w:sz w:val="22"/>
          <w:szCs w:val="22"/>
          <w:lang w:eastAsia="en-US"/>
        </w:rPr>
      </w:pPr>
    </w:p>
    <w:p w14:paraId="7F44592A" w14:textId="45FDC8C7" w:rsidR="006D24C3" w:rsidRPr="002260D3" w:rsidRDefault="00624C8B" w:rsidP="00A555FE">
      <w:pPr>
        <w:pStyle w:val="ListParagraph"/>
        <w:numPr>
          <w:ilvl w:val="0"/>
          <w:numId w:val="29"/>
        </w:numPr>
        <w:spacing w:after="0" w:line="240" w:lineRule="auto"/>
        <w:ind w:left="567" w:hanging="567"/>
        <w:contextualSpacing w:val="0"/>
        <w:jc w:val="both"/>
        <w:rPr>
          <w:rFonts w:ascii="Arial" w:hAnsi="Arial" w:cs="Arial"/>
          <w:b/>
          <w:sz w:val="20"/>
        </w:rPr>
      </w:pPr>
      <w:r w:rsidRPr="002260D3">
        <w:rPr>
          <w:rFonts w:ascii="Arial" w:hAnsi="Arial" w:cs="Arial"/>
          <w:b/>
          <w:sz w:val="20"/>
        </w:rPr>
        <w:t xml:space="preserve">Update the </w:t>
      </w:r>
      <w:r w:rsidR="006D24C3" w:rsidRPr="002260D3">
        <w:rPr>
          <w:rFonts w:ascii="Arial" w:hAnsi="Arial" w:cs="Arial"/>
          <w:b/>
          <w:sz w:val="20"/>
        </w:rPr>
        <w:t>residential buildings sector adaptation cost curve</w:t>
      </w:r>
      <w:r w:rsidRPr="002260D3">
        <w:rPr>
          <w:rFonts w:ascii="Arial" w:hAnsi="Arial" w:cs="Arial"/>
          <w:b/>
          <w:sz w:val="20"/>
        </w:rPr>
        <w:t>.</w:t>
      </w:r>
      <w:r w:rsidR="006D24C3" w:rsidRPr="002260D3">
        <w:rPr>
          <w:rFonts w:ascii="Arial" w:hAnsi="Arial" w:cs="Arial"/>
          <w:b/>
          <w:sz w:val="20"/>
        </w:rPr>
        <w:t xml:space="preserve"> </w:t>
      </w:r>
    </w:p>
    <w:p w14:paraId="1A8C8E49" w14:textId="567A9FBD" w:rsidR="00EF23E7" w:rsidRDefault="006D24C3" w:rsidP="00A555FE">
      <w:pPr>
        <w:jc w:val="both"/>
        <w:rPr>
          <w:rFonts w:ascii="Arial" w:eastAsia="MS Mincho" w:hAnsi="Arial" w:cs="Arial"/>
          <w:sz w:val="22"/>
          <w:szCs w:val="22"/>
          <w:lang w:eastAsia="en-US"/>
        </w:rPr>
      </w:pPr>
      <w:r w:rsidRPr="00A555FE">
        <w:rPr>
          <w:rFonts w:ascii="Arial" w:eastAsia="MS Mincho" w:hAnsi="Arial" w:cs="Arial"/>
          <w:sz w:val="22"/>
          <w:szCs w:val="22"/>
          <w:lang w:eastAsia="en-US"/>
        </w:rPr>
        <w:t>Taking the steps outlined in the method document</w:t>
      </w:r>
      <w:r w:rsidR="00624C8B">
        <w:rPr>
          <w:rFonts w:ascii="Arial" w:eastAsia="MS Mincho" w:hAnsi="Arial" w:cs="Arial"/>
          <w:sz w:val="22"/>
          <w:szCs w:val="22"/>
          <w:lang w:eastAsia="en-US"/>
        </w:rPr>
        <w:t>,</w:t>
      </w:r>
      <w:r w:rsidRPr="00A555FE">
        <w:rPr>
          <w:rFonts w:ascii="Arial" w:eastAsia="MS Mincho" w:hAnsi="Arial" w:cs="Arial"/>
          <w:sz w:val="22"/>
          <w:szCs w:val="22"/>
          <w:lang w:eastAsia="en-US"/>
        </w:rPr>
        <w:t xml:space="preserve"> </w:t>
      </w:r>
      <w:r w:rsidR="00624C8B">
        <w:rPr>
          <w:rFonts w:ascii="Arial" w:eastAsia="MS Mincho" w:hAnsi="Arial" w:cs="Arial"/>
          <w:sz w:val="22"/>
          <w:szCs w:val="22"/>
          <w:lang w:eastAsia="en-US"/>
        </w:rPr>
        <w:t>re</w:t>
      </w:r>
      <w:r w:rsidRPr="00A555FE">
        <w:rPr>
          <w:rFonts w:ascii="Arial" w:eastAsia="MS Mincho" w:hAnsi="Arial" w:cs="Arial"/>
          <w:sz w:val="22"/>
          <w:szCs w:val="22"/>
          <w:lang w:eastAsia="en-US"/>
        </w:rPr>
        <w:t xml:space="preserve">construct </w:t>
      </w:r>
      <w:r w:rsidR="00624C8B">
        <w:rPr>
          <w:rFonts w:ascii="Arial" w:eastAsia="MS Mincho" w:hAnsi="Arial" w:cs="Arial"/>
          <w:sz w:val="22"/>
          <w:szCs w:val="22"/>
          <w:lang w:eastAsia="en-US"/>
        </w:rPr>
        <w:t>the</w:t>
      </w:r>
      <w:r w:rsidRPr="00A555FE">
        <w:rPr>
          <w:rFonts w:ascii="Arial" w:eastAsia="MS Mincho" w:hAnsi="Arial" w:cs="Arial"/>
          <w:sz w:val="22"/>
          <w:szCs w:val="22"/>
          <w:lang w:eastAsia="en-US"/>
        </w:rPr>
        <w:t xml:space="preserve"> residential buildings adaptation cost curve</w:t>
      </w:r>
      <w:r w:rsidR="00624C8B">
        <w:rPr>
          <w:rFonts w:ascii="Arial" w:eastAsia="MS Mincho" w:hAnsi="Arial" w:cs="Arial"/>
          <w:sz w:val="22"/>
          <w:szCs w:val="22"/>
          <w:lang w:eastAsia="en-US"/>
        </w:rPr>
        <w:t>s</w:t>
      </w:r>
      <w:r w:rsidRPr="00A555FE">
        <w:rPr>
          <w:rFonts w:ascii="Arial" w:eastAsia="MS Mincho" w:hAnsi="Arial" w:cs="Arial"/>
          <w:sz w:val="22"/>
          <w:szCs w:val="22"/>
          <w:lang w:eastAsia="en-US"/>
        </w:rPr>
        <w:t xml:space="preserve">. </w:t>
      </w:r>
    </w:p>
    <w:p w14:paraId="212A1349" w14:textId="77777777" w:rsidR="002260D3" w:rsidRDefault="002260D3" w:rsidP="00A555FE">
      <w:pPr>
        <w:jc w:val="both"/>
        <w:rPr>
          <w:rFonts w:ascii="Arial" w:eastAsia="MS Mincho" w:hAnsi="Arial" w:cs="Arial"/>
          <w:sz w:val="22"/>
          <w:szCs w:val="22"/>
          <w:lang w:eastAsia="en-US"/>
        </w:rPr>
      </w:pPr>
    </w:p>
    <w:p w14:paraId="7C1D95F8" w14:textId="4D6B6AE7" w:rsidR="006D24C3" w:rsidRDefault="00EF23E7" w:rsidP="00A555FE">
      <w:pPr>
        <w:jc w:val="both"/>
        <w:rPr>
          <w:rFonts w:ascii="Arial" w:eastAsia="MS Mincho" w:hAnsi="Arial" w:cs="Arial"/>
          <w:sz w:val="22"/>
          <w:szCs w:val="22"/>
          <w:lang w:eastAsia="en-US"/>
        </w:rPr>
      </w:pPr>
      <w:r>
        <w:rPr>
          <w:rFonts w:ascii="Arial" w:eastAsia="MS Mincho" w:hAnsi="Arial" w:cs="Arial"/>
          <w:sz w:val="22"/>
          <w:szCs w:val="22"/>
          <w:lang w:eastAsia="en-US"/>
        </w:rPr>
        <w:t xml:space="preserve">We </w:t>
      </w:r>
      <w:r w:rsidR="006D24C3" w:rsidRPr="00A555FE">
        <w:rPr>
          <w:rFonts w:ascii="Arial" w:eastAsia="MS Mincho" w:hAnsi="Arial" w:cs="Arial"/>
          <w:sz w:val="22"/>
          <w:szCs w:val="22"/>
          <w:lang w:eastAsia="en-US"/>
        </w:rPr>
        <w:t xml:space="preserve">would expect you to </w:t>
      </w:r>
      <w:r w:rsidR="0039730D">
        <w:rPr>
          <w:rFonts w:ascii="Arial" w:eastAsia="MS Mincho" w:hAnsi="Arial" w:cs="Arial"/>
          <w:sz w:val="22"/>
          <w:szCs w:val="22"/>
          <w:lang w:eastAsia="en-US"/>
        </w:rPr>
        <w:t xml:space="preserve">clarify or </w:t>
      </w:r>
      <w:r w:rsidR="006D24C3" w:rsidRPr="00A555FE">
        <w:rPr>
          <w:rFonts w:ascii="Arial" w:eastAsia="MS Mincho" w:hAnsi="Arial" w:cs="Arial"/>
          <w:sz w:val="22"/>
          <w:szCs w:val="22"/>
          <w:lang w:eastAsia="en-US"/>
        </w:rPr>
        <w:t>identify:</w:t>
      </w:r>
    </w:p>
    <w:p w14:paraId="6632A212" w14:textId="77777777" w:rsidR="002260D3" w:rsidRPr="00A555FE" w:rsidRDefault="002260D3" w:rsidP="00A555FE">
      <w:pPr>
        <w:jc w:val="both"/>
        <w:rPr>
          <w:rFonts w:ascii="Arial" w:eastAsia="MS Mincho" w:hAnsi="Arial" w:cs="Arial"/>
          <w:sz w:val="22"/>
          <w:szCs w:val="22"/>
          <w:lang w:eastAsia="en-US"/>
        </w:rPr>
      </w:pPr>
    </w:p>
    <w:p w14:paraId="160F32B9" w14:textId="77777777" w:rsidR="006D24C3" w:rsidRPr="00A555FE" w:rsidRDefault="006D24C3" w:rsidP="00A555FE">
      <w:pPr>
        <w:numPr>
          <w:ilvl w:val="0"/>
          <w:numId w:val="28"/>
        </w:numPr>
        <w:jc w:val="both"/>
        <w:rPr>
          <w:rFonts w:ascii="Arial" w:eastAsia="MS Mincho" w:hAnsi="Arial" w:cs="Arial"/>
          <w:sz w:val="22"/>
          <w:szCs w:val="22"/>
          <w:lang w:eastAsia="en-US"/>
        </w:rPr>
      </w:pPr>
      <w:r w:rsidRPr="00A555FE">
        <w:rPr>
          <w:rFonts w:ascii="Arial" w:eastAsia="MS Mincho" w:hAnsi="Arial" w:cs="Arial"/>
          <w:sz w:val="22"/>
          <w:szCs w:val="22"/>
          <w:lang w:eastAsia="en-US"/>
        </w:rPr>
        <w:t>the key risks of climate change to the residential sector;</w:t>
      </w:r>
    </w:p>
    <w:p w14:paraId="1FC9141B" w14:textId="44961C98" w:rsidR="00034A03" w:rsidRPr="00A555FE" w:rsidRDefault="00034A03" w:rsidP="00A555FE">
      <w:pPr>
        <w:numPr>
          <w:ilvl w:val="0"/>
          <w:numId w:val="28"/>
        </w:numPr>
        <w:jc w:val="both"/>
        <w:rPr>
          <w:rFonts w:ascii="Arial" w:eastAsia="MS Mincho" w:hAnsi="Arial" w:cs="Arial"/>
          <w:sz w:val="22"/>
          <w:szCs w:val="22"/>
          <w:lang w:eastAsia="en-US"/>
        </w:rPr>
      </w:pPr>
      <w:r w:rsidRPr="00A555FE">
        <w:rPr>
          <w:rFonts w:ascii="Arial" w:eastAsia="MS Mincho" w:hAnsi="Arial" w:cs="Arial"/>
          <w:sz w:val="22"/>
          <w:szCs w:val="22"/>
          <w:lang w:eastAsia="en-US"/>
        </w:rPr>
        <w:t xml:space="preserve">range of climate change scenarios </w:t>
      </w:r>
      <w:r w:rsidR="0039730D">
        <w:rPr>
          <w:rFonts w:ascii="Arial" w:eastAsia="MS Mincho" w:hAnsi="Arial" w:cs="Arial"/>
          <w:sz w:val="22"/>
          <w:szCs w:val="22"/>
          <w:lang w:eastAsia="en-US"/>
        </w:rPr>
        <w:t>(which were not used in the 2011 work)</w:t>
      </w:r>
    </w:p>
    <w:p w14:paraId="60199EC6" w14:textId="2DE96A31" w:rsidR="006D24C3" w:rsidRPr="00A555FE" w:rsidRDefault="005D4FEC" w:rsidP="00A555FE">
      <w:pPr>
        <w:numPr>
          <w:ilvl w:val="0"/>
          <w:numId w:val="28"/>
        </w:numPr>
        <w:jc w:val="both"/>
        <w:rPr>
          <w:rFonts w:ascii="Arial" w:eastAsia="MS Mincho" w:hAnsi="Arial" w:cs="Arial"/>
          <w:sz w:val="22"/>
          <w:szCs w:val="22"/>
          <w:lang w:eastAsia="en-US"/>
        </w:rPr>
      </w:pPr>
      <w:r>
        <w:rPr>
          <w:rFonts w:ascii="Arial" w:eastAsia="MS Mincho" w:hAnsi="Arial" w:cs="Arial"/>
          <w:sz w:val="22"/>
          <w:szCs w:val="22"/>
          <w:lang w:eastAsia="en-US"/>
        </w:rPr>
        <w:t>a range of different low-regret adaptation</w:t>
      </w:r>
      <w:r w:rsidR="006D24C3" w:rsidRPr="00A555FE">
        <w:rPr>
          <w:rFonts w:ascii="Arial" w:eastAsia="MS Mincho" w:hAnsi="Arial" w:cs="Arial"/>
          <w:sz w:val="22"/>
          <w:szCs w:val="22"/>
          <w:lang w:eastAsia="en-US"/>
        </w:rPr>
        <w:t xml:space="preserve"> measures;</w:t>
      </w:r>
    </w:p>
    <w:p w14:paraId="51ECFB47" w14:textId="77777777" w:rsidR="006D24C3" w:rsidRPr="00A555FE" w:rsidRDefault="006D24C3" w:rsidP="00A555FE">
      <w:pPr>
        <w:numPr>
          <w:ilvl w:val="0"/>
          <w:numId w:val="28"/>
        </w:numPr>
        <w:jc w:val="both"/>
        <w:rPr>
          <w:rFonts w:ascii="Arial" w:eastAsia="MS Mincho" w:hAnsi="Arial" w:cs="Arial"/>
          <w:sz w:val="22"/>
          <w:szCs w:val="22"/>
          <w:lang w:eastAsia="en-US"/>
        </w:rPr>
      </w:pPr>
      <w:r w:rsidRPr="00A555FE">
        <w:rPr>
          <w:rFonts w:ascii="Arial" w:eastAsia="MS Mincho" w:hAnsi="Arial" w:cs="Arial"/>
          <w:sz w:val="22"/>
          <w:szCs w:val="22"/>
          <w:lang w:eastAsia="en-US"/>
        </w:rPr>
        <w:t>the costs and benefits of adaptation options; and</w:t>
      </w:r>
    </w:p>
    <w:p w14:paraId="72BC6D1E" w14:textId="78245897" w:rsidR="00A16D87" w:rsidRDefault="006D24C3">
      <w:pPr>
        <w:numPr>
          <w:ilvl w:val="0"/>
          <w:numId w:val="28"/>
        </w:numPr>
        <w:jc w:val="both"/>
        <w:rPr>
          <w:rFonts w:ascii="Arial" w:eastAsia="MS Mincho" w:hAnsi="Arial" w:cs="Arial"/>
          <w:sz w:val="22"/>
          <w:szCs w:val="22"/>
          <w:lang w:eastAsia="en-US"/>
        </w:rPr>
      </w:pPr>
      <w:proofErr w:type="gramStart"/>
      <w:r w:rsidRPr="00A555FE">
        <w:rPr>
          <w:rFonts w:ascii="Arial" w:eastAsia="MS Mincho" w:hAnsi="Arial" w:cs="Arial"/>
          <w:sz w:val="22"/>
          <w:szCs w:val="22"/>
          <w:lang w:eastAsia="en-US"/>
        </w:rPr>
        <w:lastRenderedPageBreak/>
        <w:t>the</w:t>
      </w:r>
      <w:proofErr w:type="gramEnd"/>
      <w:r w:rsidR="0039730D">
        <w:rPr>
          <w:rFonts w:ascii="Arial" w:eastAsia="MS Mincho" w:hAnsi="Arial" w:cs="Arial"/>
          <w:sz w:val="22"/>
          <w:szCs w:val="22"/>
          <w:lang w:eastAsia="en-US"/>
        </w:rPr>
        <w:t xml:space="preserve"> </w:t>
      </w:r>
      <w:r w:rsidRPr="00A555FE">
        <w:rPr>
          <w:rFonts w:ascii="Arial" w:eastAsia="MS Mincho" w:hAnsi="Arial" w:cs="Arial"/>
          <w:sz w:val="22"/>
          <w:szCs w:val="22"/>
          <w:lang w:eastAsia="en-US"/>
        </w:rPr>
        <w:t>technical feasibility</w:t>
      </w:r>
      <w:r w:rsidR="00460237">
        <w:rPr>
          <w:rFonts w:ascii="Arial" w:eastAsia="MS Mincho" w:hAnsi="Arial" w:cs="Arial"/>
          <w:sz w:val="22"/>
          <w:szCs w:val="22"/>
          <w:lang w:eastAsia="en-US"/>
        </w:rPr>
        <w:t>,</w:t>
      </w:r>
      <w:r w:rsidRPr="00A555FE">
        <w:rPr>
          <w:rFonts w:ascii="Arial" w:eastAsia="MS Mincho" w:hAnsi="Arial" w:cs="Arial"/>
          <w:sz w:val="22"/>
          <w:szCs w:val="22"/>
          <w:lang w:eastAsia="en-US"/>
        </w:rPr>
        <w:t xml:space="preserve"> realistic potential of adaptation options</w:t>
      </w:r>
      <w:r w:rsidR="00460237">
        <w:rPr>
          <w:rFonts w:ascii="Arial" w:eastAsia="MS Mincho" w:hAnsi="Arial" w:cs="Arial"/>
          <w:sz w:val="22"/>
          <w:szCs w:val="22"/>
          <w:lang w:eastAsia="en-US"/>
        </w:rPr>
        <w:t xml:space="preserve"> and the relationship with mitigation options</w:t>
      </w:r>
      <w:r w:rsidRPr="00A555FE">
        <w:rPr>
          <w:rFonts w:ascii="Arial" w:eastAsia="MS Mincho" w:hAnsi="Arial" w:cs="Arial"/>
          <w:sz w:val="22"/>
          <w:szCs w:val="22"/>
          <w:lang w:eastAsia="en-US"/>
        </w:rPr>
        <w:t xml:space="preserve"> – outlining what assumptions (i.e. barriers) have been incorporated into the cut from technical to realistic potent</w:t>
      </w:r>
      <w:r w:rsidR="00A16D87">
        <w:rPr>
          <w:rFonts w:ascii="Arial" w:eastAsia="MS Mincho" w:hAnsi="Arial" w:cs="Arial"/>
          <w:sz w:val="22"/>
          <w:szCs w:val="22"/>
          <w:lang w:eastAsia="en-US"/>
        </w:rPr>
        <w:t xml:space="preserve">ial. </w:t>
      </w:r>
    </w:p>
    <w:p w14:paraId="0B70BB79" w14:textId="25965044" w:rsidR="006D24C3" w:rsidRPr="00A555FE" w:rsidRDefault="00A16D87">
      <w:pPr>
        <w:numPr>
          <w:ilvl w:val="0"/>
          <w:numId w:val="28"/>
        </w:numPr>
        <w:jc w:val="both"/>
        <w:rPr>
          <w:rFonts w:ascii="Arial" w:eastAsia="MS Mincho" w:hAnsi="Arial" w:cs="Arial"/>
          <w:sz w:val="22"/>
          <w:szCs w:val="22"/>
          <w:lang w:eastAsia="en-US"/>
        </w:rPr>
      </w:pPr>
      <w:proofErr w:type="gramStart"/>
      <w:r>
        <w:rPr>
          <w:rFonts w:ascii="Arial" w:eastAsia="MS Mincho" w:hAnsi="Arial" w:cs="Arial"/>
          <w:sz w:val="22"/>
          <w:szCs w:val="22"/>
          <w:lang w:eastAsia="en-US"/>
        </w:rPr>
        <w:t>how</w:t>
      </w:r>
      <w:proofErr w:type="gramEnd"/>
      <w:r w:rsidR="0039730D">
        <w:rPr>
          <w:rFonts w:ascii="Arial" w:eastAsia="MS Mincho" w:hAnsi="Arial" w:cs="Arial"/>
          <w:sz w:val="22"/>
          <w:szCs w:val="22"/>
          <w:lang w:eastAsia="en-US"/>
        </w:rPr>
        <w:t xml:space="preserve"> </w:t>
      </w:r>
      <w:r w:rsidR="00DF1F16" w:rsidRPr="00A16D87">
        <w:rPr>
          <w:rFonts w:ascii="Arial" w:eastAsia="MS Mincho" w:hAnsi="Arial" w:cs="Arial"/>
          <w:sz w:val="22"/>
          <w:szCs w:val="22"/>
          <w:lang w:eastAsia="en-US"/>
        </w:rPr>
        <w:t>timing or phasing of options affects the benefit and costs profiles over time</w:t>
      </w:r>
      <w:r w:rsidR="00DF1F16">
        <w:rPr>
          <w:rFonts w:ascii="Arial" w:eastAsia="MS Mincho" w:hAnsi="Arial" w:cs="Arial"/>
          <w:sz w:val="22"/>
          <w:szCs w:val="22"/>
          <w:lang w:eastAsia="en-US"/>
        </w:rPr>
        <w:t xml:space="preserve">. </w:t>
      </w:r>
    </w:p>
    <w:p w14:paraId="7ED4BAEA" w14:textId="77777777" w:rsidR="006D24C3" w:rsidRDefault="006D24C3" w:rsidP="006D24C3">
      <w:pPr>
        <w:spacing w:line="276" w:lineRule="auto"/>
        <w:ind w:left="720"/>
        <w:jc w:val="both"/>
        <w:rPr>
          <w:sz w:val="24"/>
          <w:szCs w:val="24"/>
        </w:rPr>
      </w:pPr>
    </w:p>
    <w:p w14:paraId="4213986C" w14:textId="77777777" w:rsidR="006D24C3" w:rsidRPr="002260D3" w:rsidRDefault="006D24C3" w:rsidP="006D24C3">
      <w:pPr>
        <w:pStyle w:val="ListParagraph"/>
        <w:numPr>
          <w:ilvl w:val="0"/>
          <w:numId w:val="29"/>
        </w:numPr>
        <w:spacing w:after="0"/>
        <w:ind w:left="567" w:hanging="567"/>
        <w:contextualSpacing w:val="0"/>
        <w:jc w:val="both"/>
        <w:rPr>
          <w:rFonts w:ascii="Arial" w:hAnsi="Arial" w:cs="Arial"/>
          <w:b/>
          <w:sz w:val="20"/>
          <w:szCs w:val="24"/>
        </w:rPr>
      </w:pPr>
      <w:r w:rsidRPr="002260D3">
        <w:rPr>
          <w:rFonts w:ascii="Arial" w:hAnsi="Arial" w:cs="Arial"/>
          <w:b/>
          <w:sz w:val="20"/>
          <w:szCs w:val="24"/>
        </w:rPr>
        <w:t>Sensitivity analysis</w:t>
      </w:r>
    </w:p>
    <w:p w14:paraId="026FDFE4" w14:textId="521E2B46" w:rsidR="006D24C3" w:rsidRDefault="006D24C3" w:rsidP="00D828F3">
      <w:pPr>
        <w:pStyle w:val="ListParagraph"/>
        <w:spacing w:after="0" w:line="240" w:lineRule="auto"/>
        <w:ind w:left="0"/>
        <w:jc w:val="both"/>
        <w:rPr>
          <w:rFonts w:ascii="Arial" w:hAnsi="Arial" w:cs="Arial"/>
        </w:rPr>
      </w:pPr>
      <w:r w:rsidRPr="00D828F3">
        <w:rPr>
          <w:rFonts w:ascii="Arial" w:hAnsi="Arial" w:cs="Arial"/>
        </w:rPr>
        <w:t>Following the steps outlined in the method document conduct the sensitivity analysis to identify the factors affecting the ranking of options</w:t>
      </w:r>
      <w:r w:rsidR="00C41A19">
        <w:rPr>
          <w:rFonts w:ascii="Arial" w:hAnsi="Arial" w:cs="Arial"/>
        </w:rPr>
        <w:t>.</w:t>
      </w:r>
      <w:r w:rsidRPr="00D828F3">
        <w:rPr>
          <w:rFonts w:ascii="Arial" w:hAnsi="Arial" w:cs="Arial"/>
        </w:rPr>
        <w:t xml:space="preserve"> In doing so clearly set out the assumptions underpinning the analysis, and ensure the analysis provides sufficient granularity to provide meaningful results. </w:t>
      </w:r>
    </w:p>
    <w:p w14:paraId="5CE80E19" w14:textId="77777777" w:rsidR="00F60037" w:rsidRDefault="00F60037" w:rsidP="00D828F3">
      <w:pPr>
        <w:jc w:val="both"/>
        <w:rPr>
          <w:rFonts w:ascii="Arial" w:eastAsia="MS Mincho" w:hAnsi="Arial" w:cs="Arial"/>
          <w:sz w:val="22"/>
          <w:szCs w:val="22"/>
          <w:lang w:eastAsia="en-US"/>
        </w:rPr>
      </w:pPr>
    </w:p>
    <w:p w14:paraId="18ECE85A" w14:textId="25678BF3" w:rsidR="006D24C3" w:rsidRPr="00D828F3" w:rsidRDefault="006D24C3" w:rsidP="00D828F3">
      <w:pPr>
        <w:jc w:val="both"/>
        <w:rPr>
          <w:rFonts w:ascii="Arial" w:eastAsia="MS Mincho" w:hAnsi="Arial" w:cs="Arial"/>
          <w:sz w:val="22"/>
          <w:szCs w:val="22"/>
          <w:lang w:eastAsia="en-US"/>
        </w:rPr>
      </w:pPr>
      <w:r w:rsidRPr="00D828F3">
        <w:rPr>
          <w:rFonts w:ascii="Arial" w:eastAsia="MS Mincho" w:hAnsi="Arial" w:cs="Arial"/>
          <w:sz w:val="22"/>
          <w:szCs w:val="22"/>
          <w:lang w:eastAsia="en-US"/>
        </w:rPr>
        <w:t>The output of these two steps (Task 2(</w:t>
      </w:r>
      <w:proofErr w:type="spellStart"/>
      <w:r w:rsidRPr="00D828F3">
        <w:rPr>
          <w:rFonts w:ascii="Arial" w:eastAsia="MS Mincho" w:hAnsi="Arial" w:cs="Arial"/>
          <w:sz w:val="22"/>
          <w:szCs w:val="22"/>
          <w:lang w:eastAsia="en-US"/>
        </w:rPr>
        <w:t>i</w:t>
      </w:r>
      <w:proofErr w:type="spellEnd"/>
      <w:r w:rsidRPr="00D828F3">
        <w:rPr>
          <w:rFonts w:ascii="Arial" w:eastAsia="MS Mincho" w:hAnsi="Arial" w:cs="Arial"/>
          <w:sz w:val="22"/>
          <w:szCs w:val="22"/>
          <w:lang w:eastAsia="en-US"/>
        </w:rPr>
        <w:t xml:space="preserve">) and (ii)) should be a series </w:t>
      </w:r>
      <w:r w:rsidR="00624C8B">
        <w:rPr>
          <w:rFonts w:ascii="Arial" w:eastAsia="MS Mincho" w:hAnsi="Arial" w:cs="Arial"/>
          <w:sz w:val="22"/>
          <w:szCs w:val="22"/>
          <w:lang w:eastAsia="en-US"/>
        </w:rPr>
        <w:t xml:space="preserve">of </w:t>
      </w:r>
      <w:r w:rsidRPr="00D828F3">
        <w:rPr>
          <w:rFonts w:ascii="Arial" w:eastAsia="MS Mincho" w:hAnsi="Arial" w:cs="Arial"/>
          <w:sz w:val="22"/>
          <w:szCs w:val="22"/>
          <w:lang w:eastAsia="en-US"/>
        </w:rPr>
        <w:t>spreadsheets clearly showing the results of the cost-curve and sensitivity analysis. We are open to innovative ways to present these results. At the minimum we would expect an adaptation cost curve for</w:t>
      </w:r>
      <w:r w:rsidR="00D72FE8">
        <w:rPr>
          <w:rFonts w:ascii="Arial" w:eastAsia="MS Mincho" w:hAnsi="Arial" w:cs="Arial"/>
          <w:sz w:val="22"/>
          <w:szCs w:val="22"/>
          <w:lang w:eastAsia="en-US"/>
        </w:rPr>
        <w:t xml:space="preserve"> the</w:t>
      </w:r>
      <w:r w:rsidRPr="00D828F3">
        <w:rPr>
          <w:rFonts w:ascii="Arial" w:eastAsia="MS Mincho" w:hAnsi="Arial" w:cs="Arial"/>
          <w:sz w:val="22"/>
          <w:szCs w:val="22"/>
          <w:lang w:eastAsia="en-US"/>
        </w:rPr>
        <w:t xml:space="preserve"> residential buildings sector for step (</w:t>
      </w:r>
      <w:proofErr w:type="spellStart"/>
      <w:r w:rsidRPr="00D828F3">
        <w:rPr>
          <w:rFonts w:ascii="Arial" w:eastAsia="MS Mincho" w:hAnsi="Arial" w:cs="Arial"/>
          <w:sz w:val="22"/>
          <w:szCs w:val="22"/>
          <w:lang w:eastAsia="en-US"/>
        </w:rPr>
        <w:t>i</w:t>
      </w:r>
      <w:proofErr w:type="spellEnd"/>
      <w:r w:rsidRPr="00D828F3">
        <w:rPr>
          <w:rFonts w:ascii="Arial" w:eastAsia="MS Mincho" w:hAnsi="Arial" w:cs="Arial"/>
          <w:sz w:val="22"/>
          <w:szCs w:val="22"/>
          <w:lang w:eastAsia="en-US"/>
        </w:rPr>
        <w:t xml:space="preserve">). For step (ii) you may wish to present the analysis as </w:t>
      </w:r>
      <w:r w:rsidR="00D72FE8">
        <w:rPr>
          <w:rFonts w:ascii="Arial" w:eastAsia="MS Mincho" w:hAnsi="Arial" w:cs="Arial"/>
          <w:sz w:val="22"/>
          <w:szCs w:val="22"/>
          <w:lang w:eastAsia="en-US"/>
        </w:rPr>
        <w:t xml:space="preserve">a </w:t>
      </w:r>
      <w:r w:rsidRPr="00D828F3">
        <w:rPr>
          <w:rFonts w:ascii="Arial" w:eastAsia="MS Mincho" w:hAnsi="Arial" w:cs="Arial"/>
          <w:sz w:val="22"/>
          <w:szCs w:val="22"/>
          <w:lang w:eastAsia="en-US"/>
        </w:rPr>
        <w:t>series of generalised costs curves. For example an adaptation cost-c</w:t>
      </w:r>
      <w:r w:rsidR="00D828F3" w:rsidRPr="00D828F3">
        <w:rPr>
          <w:rFonts w:ascii="Arial" w:eastAsia="MS Mincho" w:hAnsi="Arial" w:cs="Arial"/>
          <w:sz w:val="22"/>
          <w:szCs w:val="22"/>
          <w:lang w:eastAsia="en-US"/>
        </w:rPr>
        <w:t xml:space="preserve">urve for rural, urban </w:t>
      </w:r>
      <w:r w:rsidRPr="00D828F3">
        <w:rPr>
          <w:rFonts w:ascii="Arial" w:eastAsia="MS Mincho" w:hAnsi="Arial" w:cs="Arial"/>
          <w:sz w:val="22"/>
          <w:szCs w:val="22"/>
          <w:lang w:eastAsia="en-US"/>
        </w:rPr>
        <w:t xml:space="preserve">or coastal residential buildings. Of course the exact nature of these costs curves will be determined by the results of the sensitivity analysis. Ultimately we would be looking to these costs curves to </w:t>
      </w:r>
      <w:r w:rsidR="00711E2A">
        <w:rPr>
          <w:rFonts w:ascii="Arial" w:eastAsia="MS Mincho" w:hAnsi="Arial" w:cs="Arial"/>
          <w:sz w:val="22"/>
          <w:szCs w:val="22"/>
          <w:lang w:eastAsia="en-US"/>
        </w:rPr>
        <w:t>update the</w:t>
      </w:r>
      <w:r w:rsidRPr="00D828F3">
        <w:rPr>
          <w:rFonts w:ascii="Arial" w:eastAsia="MS Mincho" w:hAnsi="Arial" w:cs="Arial"/>
          <w:sz w:val="22"/>
          <w:szCs w:val="22"/>
          <w:lang w:eastAsia="en-US"/>
        </w:rPr>
        <w:t xml:space="preserve"> series of low-regrets options that could apply broadly across the UK for a given set of assumptions and/or conditions. </w:t>
      </w:r>
    </w:p>
    <w:p w14:paraId="539A72DA" w14:textId="77777777" w:rsidR="006D24C3" w:rsidRPr="00D828F3" w:rsidRDefault="006D24C3" w:rsidP="00D828F3">
      <w:pPr>
        <w:pStyle w:val="BodyText"/>
        <w:rPr>
          <w:rFonts w:ascii="Arial" w:eastAsia="MS Mincho" w:hAnsi="Arial" w:cs="Arial"/>
          <w:sz w:val="22"/>
          <w:szCs w:val="22"/>
        </w:rPr>
      </w:pPr>
    </w:p>
    <w:p w14:paraId="673501D7" w14:textId="77777777" w:rsidR="006D24C3" w:rsidRPr="00D828F3" w:rsidRDefault="006D24C3" w:rsidP="00D828F3">
      <w:pPr>
        <w:pStyle w:val="BodyText"/>
        <w:rPr>
          <w:rFonts w:ascii="Arial" w:eastAsia="MS Mincho" w:hAnsi="Arial" w:cs="Arial"/>
          <w:b/>
          <w:i/>
          <w:sz w:val="22"/>
          <w:szCs w:val="22"/>
        </w:rPr>
      </w:pPr>
      <w:r w:rsidRPr="00D828F3">
        <w:rPr>
          <w:rFonts w:ascii="Arial" w:eastAsia="MS Mincho" w:hAnsi="Arial" w:cs="Arial"/>
          <w:b/>
          <w:i/>
          <w:sz w:val="22"/>
          <w:szCs w:val="22"/>
        </w:rPr>
        <w:t xml:space="preserve">Task 3: Final Report  </w:t>
      </w:r>
    </w:p>
    <w:p w14:paraId="4B2ED922" w14:textId="77777777" w:rsidR="002260D3" w:rsidRDefault="002260D3" w:rsidP="00D828F3">
      <w:pPr>
        <w:pStyle w:val="BodyText"/>
        <w:rPr>
          <w:rFonts w:ascii="Arial" w:eastAsia="MS Mincho" w:hAnsi="Arial" w:cs="Arial"/>
          <w:sz w:val="22"/>
          <w:szCs w:val="22"/>
        </w:rPr>
      </w:pPr>
    </w:p>
    <w:p w14:paraId="77947D7A" w14:textId="77777777" w:rsidR="006D24C3" w:rsidRDefault="006D24C3" w:rsidP="00D828F3">
      <w:pPr>
        <w:pStyle w:val="BodyText"/>
        <w:rPr>
          <w:rFonts w:ascii="Arial" w:eastAsia="MS Mincho" w:hAnsi="Arial" w:cs="Arial"/>
          <w:sz w:val="22"/>
          <w:szCs w:val="22"/>
        </w:rPr>
      </w:pPr>
      <w:r w:rsidRPr="00D828F3">
        <w:rPr>
          <w:rFonts w:ascii="Arial" w:eastAsia="MS Mincho" w:hAnsi="Arial" w:cs="Arial"/>
          <w:sz w:val="22"/>
          <w:szCs w:val="22"/>
        </w:rPr>
        <w:t>To produce a final report, which at a minimum should include:</w:t>
      </w:r>
    </w:p>
    <w:p w14:paraId="5F4CB8E1" w14:textId="77777777" w:rsidR="002260D3" w:rsidRPr="00D828F3" w:rsidRDefault="002260D3" w:rsidP="00D828F3">
      <w:pPr>
        <w:pStyle w:val="BodyText"/>
        <w:rPr>
          <w:rFonts w:ascii="Arial" w:eastAsia="MS Mincho" w:hAnsi="Arial" w:cs="Arial"/>
          <w:sz w:val="22"/>
          <w:szCs w:val="22"/>
        </w:rPr>
      </w:pPr>
    </w:p>
    <w:p w14:paraId="169EB280" w14:textId="77777777" w:rsidR="006D24C3" w:rsidRDefault="006D24C3" w:rsidP="00D828F3">
      <w:pPr>
        <w:pStyle w:val="BodyText"/>
        <w:numPr>
          <w:ilvl w:val="0"/>
          <w:numId w:val="30"/>
        </w:numPr>
        <w:rPr>
          <w:rFonts w:ascii="Arial" w:eastAsia="MS Mincho" w:hAnsi="Arial" w:cs="Arial"/>
          <w:sz w:val="22"/>
          <w:szCs w:val="22"/>
        </w:rPr>
      </w:pPr>
      <w:r w:rsidRPr="00D828F3">
        <w:rPr>
          <w:rFonts w:ascii="Arial" w:eastAsia="MS Mincho" w:hAnsi="Arial" w:cs="Arial"/>
          <w:sz w:val="22"/>
          <w:szCs w:val="22"/>
        </w:rPr>
        <w:t>Methodology complete with key assumptions.</w:t>
      </w:r>
    </w:p>
    <w:p w14:paraId="6FA92D4C" w14:textId="01F84D6A" w:rsidR="00110E9E" w:rsidRPr="00D828F3" w:rsidRDefault="00110E9E" w:rsidP="00D828F3">
      <w:pPr>
        <w:pStyle w:val="BodyText"/>
        <w:numPr>
          <w:ilvl w:val="0"/>
          <w:numId w:val="30"/>
        </w:numPr>
        <w:rPr>
          <w:rFonts w:ascii="Arial" w:eastAsia="MS Mincho" w:hAnsi="Arial" w:cs="Arial"/>
          <w:sz w:val="22"/>
          <w:szCs w:val="22"/>
        </w:rPr>
      </w:pPr>
      <w:r>
        <w:rPr>
          <w:rFonts w:ascii="Arial" w:eastAsia="MS Mincho" w:hAnsi="Arial" w:cs="Arial"/>
          <w:sz w:val="22"/>
          <w:szCs w:val="22"/>
        </w:rPr>
        <w:t>Updates and improvements on 2011 work</w:t>
      </w:r>
      <w:r w:rsidR="00711E2A">
        <w:rPr>
          <w:rFonts w:ascii="Arial" w:eastAsia="MS Mincho" w:hAnsi="Arial" w:cs="Arial"/>
          <w:sz w:val="22"/>
          <w:szCs w:val="22"/>
        </w:rPr>
        <w:t>.</w:t>
      </w:r>
    </w:p>
    <w:p w14:paraId="613291AB" w14:textId="0DF7C170" w:rsidR="006D24C3" w:rsidRPr="00D828F3" w:rsidRDefault="006D24C3" w:rsidP="00D828F3">
      <w:pPr>
        <w:pStyle w:val="BodyText"/>
        <w:numPr>
          <w:ilvl w:val="0"/>
          <w:numId w:val="30"/>
        </w:numPr>
        <w:rPr>
          <w:rFonts w:ascii="Arial" w:eastAsia="MS Mincho" w:hAnsi="Arial" w:cs="Arial"/>
          <w:sz w:val="22"/>
          <w:szCs w:val="22"/>
        </w:rPr>
      </w:pPr>
      <w:r w:rsidRPr="00D828F3">
        <w:rPr>
          <w:rFonts w:ascii="Arial" w:eastAsia="MS Mincho" w:hAnsi="Arial" w:cs="Arial"/>
          <w:sz w:val="22"/>
          <w:szCs w:val="22"/>
        </w:rPr>
        <w:t>Residential buildings sector adaptation cost curve for an area within the UK</w:t>
      </w:r>
      <w:r w:rsidR="00D828F3">
        <w:rPr>
          <w:rFonts w:ascii="Arial" w:eastAsia="MS Mincho" w:hAnsi="Arial" w:cs="Arial"/>
          <w:sz w:val="22"/>
          <w:szCs w:val="22"/>
        </w:rPr>
        <w:t>, with a range of climate scenarios</w:t>
      </w:r>
      <w:r w:rsidRPr="00D828F3">
        <w:rPr>
          <w:rFonts w:ascii="Arial" w:eastAsia="MS Mincho" w:hAnsi="Arial" w:cs="Arial"/>
          <w:sz w:val="22"/>
          <w:szCs w:val="22"/>
        </w:rPr>
        <w:t xml:space="preserve">. </w:t>
      </w:r>
    </w:p>
    <w:p w14:paraId="6C0B3DA9" w14:textId="77777777" w:rsidR="006D24C3" w:rsidRPr="00D828F3" w:rsidRDefault="006D24C3" w:rsidP="00D828F3">
      <w:pPr>
        <w:pStyle w:val="BodyText"/>
        <w:numPr>
          <w:ilvl w:val="0"/>
          <w:numId w:val="30"/>
        </w:numPr>
        <w:rPr>
          <w:rFonts w:ascii="Arial" w:eastAsia="MS Mincho" w:hAnsi="Arial" w:cs="Arial"/>
          <w:sz w:val="22"/>
          <w:szCs w:val="22"/>
        </w:rPr>
      </w:pPr>
      <w:r w:rsidRPr="00D828F3">
        <w:rPr>
          <w:rFonts w:ascii="Arial" w:eastAsia="MS Mincho" w:hAnsi="Arial" w:cs="Arial"/>
          <w:sz w:val="22"/>
          <w:szCs w:val="22"/>
        </w:rPr>
        <w:t>Results of the sensitivity analysis identifying the factors influencing the ranking of options and the scalability of this approach.</w:t>
      </w:r>
    </w:p>
    <w:p w14:paraId="4B3B16F8" w14:textId="77777777" w:rsidR="006D24C3" w:rsidRPr="00D828F3" w:rsidRDefault="006D24C3" w:rsidP="00D828F3">
      <w:pPr>
        <w:pStyle w:val="BodyText"/>
        <w:numPr>
          <w:ilvl w:val="0"/>
          <w:numId w:val="30"/>
        </w:numPr>
        <w:rPr>
          <w:rFonts w:ascii="Arial" w:eastAsia="MS Mincho" w:hAnsi="Arial" w:cs="Arial"/>
          <w:sz w:val="22"/>
          <w:szCs w:val="22"/>
        </w:rPr>
      </w:pPr>
      <w:r w:rsidRPr="00D828F3">
        <w:rPr>
          <w:rFonts w:ascii="Arial" w:eastAsia="MS Mincho" w:hAnsi="Arial" w:cs="Arial"/>
          <w:sz w:val="22"/>
          <w:szCs w:val="22"/>
        </w:rPr>
        <w:t>Discussion of how this approach could be further developed.</w:t>
      </w:r>
    </w:p>
    <w:p w14:paraId="34ECFBB7" w14:textId="77777777" w:rsidR="006D24C3" w:rsidRPr="00D828F3" w:rsidRDefault="006D24C3" w:rsidP="00D828F3">
      <w:pPr>
        <w:pStyle w:val="BodyText"/>
        <w:numPr>
          <w:ilvl w:val="0"/>
          <w:numId w:val="30"/>
        </w:numPr>
        <w:rPr>
          <w:rFonts w:ascii="Arial" w:eastAsia="MS Mincho" w:hAnsi="Arial" w:cs="Arial"/>
          <w:sz w:val="22"/>
          <w:szCs w:val="22"/>
        </w:rPr>
      </w:pPr>
      <w:r w:rsidRPr="00D828F3">
        <w:rPr>
          <w:rFonts w:ascii="Arial" w:eastAsia="MS Mincho" w:hAnsi="Arial" w:cs="Arial"/>
          <w:sz w:val="22"/>
          <w:szCs w:val="22"/>
        </w:rPr>
        <w:t>Conclusions.</w:t>
      </w:r>
    </w:p>
    <w:p w14:paraId="0C6F5EA3" w14:textId="77777777" w:rsidR="00A37004" w:rsidRDefault="00A37004" w:rsidP="00D828F3">
      <w:pPr>
        <w:pStyle w:val="Norma"/>
        <w:rPr>
          <w:rFonts w:eastAsia="MS Mincho" w:cs="Arial"/>
          <w:lang w:eastAsia="en-US"/>
        </w:rPr>
      </w:pPr>
    </w:p>
    <w:p w14:paraId="0A7A95A8" w14:textId="644872D3" w:rsidR="00A37004" w:rsidRPr="00A37004" w:rsidRDefault="00A37004" w:rsidP="00A16D87">
      <w:pPr>
        <w:pStyle w:val="Heading1"/>
        <w:numPr>
          <w:ilvl w:val="0"/>
          <w:numId w:val="3"/>
        </w:numPr>
        <w:rPr>
          <w:rFonts w:eastAsia="MS Mincho" w:cs="Arial"/>
          <w:lang w:eastAsia="en-US"/>
        </w:rPr>
      </w:pPr>
      <w:r w:rsidRPr="00A37004">
        <w:rPr>
          <w:rFonts w:ascii="Arial" w:hAnsi="Arial" w:cs="Arial"/>
          <w:sz w:val="24"/>
          <w:szCs w:val="24"/>
        </w:rPr>
        <w:t>Available data</w:t>
      </w:r>
    </w:p>
    <w:p w14:paraId="1D5D6D2D" w14:textId="77777777" w:rsidR="002260D3" w:rsidRDefault="002260D3" w:rsidP="00D828F3">
      <w:pPr>
        <w:pStyle w:val="Norma"/>
        <w:rPr>
          <w:rFonts w:eastAsia="MS Mincho" w:cs="Arial"/>
          <w:lang w:eastAsia="en-US"/>
        </w:rPr>
      </w:pPr>
    </w:p>
    <w:p w14:paraId="278E39CE" w14:textId="3AF08715" w:rsidR="00A37004" w:rsidRPr="00D828F3" w:rsidRDefault="00C442A8" w:rsidP="00D828F3">
      <w:pPr>
        <w:pStyle w:val="Norma"/>
        <w:rPr>
          <w:rFonts w:eastAsia="MS Mincho" w:cs="Arial"/>
          <w:lang w:eastAsia="en-US"/>
        </w:rPr>
      </w:pPr>
      <w:r>
        <w:rPr>
          <w:rFonts w:eastAsia="MS Mincho" w:cs="Arial"/>
          <w:lang w:eastAsia="en-US"/>
        </w:rPr>
        <w:t xml:space="preserve">The ASC will provide the models and results used in the 2011 study in excel format. </w:t>
      </w:r>
    </w:p>
    <w:p w14:paraId="5EA8755E" w14:textId="77777777" w:rsidR="0034658D" w:rsidRDefault="0034658D" w:rsidP="007248E4">
      <w:pPr>
        <w:pStyle w:val="Heading1"/>
        <w:numPr>
          <w:ilvl w:val="0"/>
          <w:numId w:val="3"/>
        </w:numPr>
        <w:rPr>
          <w:rFonts w:ascii="Arial" w:hAnsi="Arial" w:cs="Arial"/>
          <w:sz w:val="24"/>
          <w:szCs w:val="24"/>
        </w:rPr>
      </w:pPr>
      <w:bookmarkStart w:id="19" w:name="_Ref357541705"/>
      <w:bookmarkStart w:id="20" w:name="_Toc381969510"/>
      <w:bookmarkStart w:id="21" w:name="_Toc405888459"/>
      <w:bookmarkStart w:id="22" w:name="_Toc496603075"/>
      <w:r w:rsidRPr="002D32D5">
        <w:rPr>
          <w:rFonts w:ascii="Arial" w:hAnsi="Arial" w:cs="Arial"/>
          <w:sz w:val="24"/>
          <w:szCs w:val="24"/>
        </w:rPr>
        <w:t xml:space="preserve">Outputs </w:t>
      </w:r>
      <w:r w:rsidR="00104197" w:rsidRPr="002D32D5">
        <w:rPr>
          <w:rFonts w:ascii="Arial" w:hAnsi="Arial" w:cs="Arial"/>
          <w:sz w:val="24"/>
          <w:szCs w:val="24"/>
        </w:rPr>
        <w:t>Required</w:t>
      </w:r>
      <w:bookmarkEnd w:id="19"/>
      <w:bookmarkEnd w:id="20"/>
      <w:bookmarkEnd w:id="21"/>
      <w:bookmarkEnd w:id="22"/>
    </w:p>
    <w:p w14:paraId="15115440" w14:textId="77777777" w:rsidR="00DD521A" w:rsidRDefault="00DD521A" w:rsidP="00DD521A">
      <w:pPr>
        <w:pStyle w:val="Norma"/>
      </w:pPr>
    </w:p>
    <w:p w14:paraId="1CCAA52C" w14:textId="5972D264" w:rsidR="00A16D87" w:rsidRDefault="00A16D87" w:rsidP="00A16D87">
      <w:pPr>
        <w:pStyle w:val="BodyText"/>
        <w:rPr>
          <w:rFonts w:ascii="Arial" w:eastAsia="MS Mincho" w:hAnsi="Arial" w:cs="Arial"/>
          <w:sz w:val="22"/>
          <w:szCs w:val="22"/>
        </w:rPr>
      </w:pPr>
      <w:r>
        <w:rPr>
          <w:rFonts w:ascii="Arial" w:eastAsia="MS Mincho" w:hAnsi="Arial" w:cs="Arial"/>
          <w:sz w:val="22"/>
          <w:szCs w:val="22"/>
        </w:rPr>
        <w:t xml:space="preserve">Contractors must produce a report setting out the findings of the research and including all underlying data and analysis used to produce results. The report should include an executive summary. </w:t>
      </w:r>
      <w:r>
        <w:rPr>
          <w:rFonts w:ascii="Arial" w:eastAsia="MS Mincho" w:hAnsi="Arial" w:cs="Arial"/>
          <w:sz w:val="22"/>
          <w:szCs w:val="22"/>
        </w:rPr>
        <w:lastRenderedPageBreak/>
        <w:t>Data should be presented from all the background analyses in annexes. In developing the report the contractors will need to provide:</w:t>
      </w:r>
    </w:p>
    <w:p w14:paraId="252F5078" w14:textId="77777777" w:rsidR="00A16D87" w:rsidRDefault="00A16D87" w:rsidP="00A16D87">
      <w:pPr>
        <w:pStyle w:val="BodyText"/>
        <w:rPr>
          <w:rFonts w:ascii="Arial" w:eastAsia="MS Mincho" w:hAnsi="Arial" w:cs="Arial"/>
          <w:sz w:val="22"/>
          <w:szCs w:val="22"/>
        </w:rPr>
      </w:pPr>
    </w:p>
    <w:p w14:paraId="232ECA03" w14:textId="0D66B55A" w:rsidR="00A16D87" w:rsidRDefault="00A16D87" w:rsidP="00A16D87">
      <w:pPr>
        <w:pStyle w:val="BodyText"/>
        <w:numPr>
          <w:ilvl w:val="0"/>
          <w:numId w:val="37"/>
        </w:numPr>
        <w:rPr>
          <w:rFonts w:ascii="Arial" w:eastAsia="MS Mincho" w:hAnsi="Arial" w:cs="Arial"/>
          <w:sz w:val="22"/>
          <w:szCs w:val="22"/>
        </w:rPr>
      </w:pPr>
      <w:r>
        <w:rPr>
          <w:rFonts w:ascii="Arial" w:eastAsia="MS Mincho" w:hAnsi="Arial" w:cs="Arial"/>
          <w:sz w:val="22"/>
          <w:szCs w:val="22"/>
        </w:rPr>
        <w:t>A method statement</w:t>
      </w:r>
      <w:r w:rsidR="003A5F9E">
        <w:rPr>
          <w:rFonts w:ascii="Arial" w:eastAsia="MS Mincho" w:hAnsi="Arial" w:cs="Arial"/>
          <w:sz w:val="22"/>
          <w:szCs w:val="22"/>
        </w:rPr>
        <w:t>;</w:t>
      </w:r>
      <w:r>
        <w:rPr>
          <w:rFonts w:ascii="Arial" w:eastAsia="MS Mincho" w:hAnsi="Arial" w:cs="Arial"/>
          <w:sz w:val="22"/>
          <w:szCs w:val="22"/>
        </w:rPr>
        <w:t xml:space="preserve"> </w:t>
      </w:r>
    </w:p>
    <w:p w14:paraId="452F400B" w14:textId="61EA135E" w:rsidR="00A16D87" w:rsidRPr="00C01E46" w:rsidRDefault="00A16D87" w:rsidP="00BE3A3A">
      <w:pPr>
        <w:pStyle w:val="BodyText"/>
        <w:numPr>
          <w:ilvl w:val="0"/>
          <w:numId w:val="37"/>
        </w:numPr>
        <w:rPr>
          <w:rFonts w:ascii="Arial" w:eastAsia="MS Mincho" w:hAnsi="Arial" w:cs="Arial"/>
          <w:sz w:val="22"/>
          <w:szCs w:val="22"/>
        </w:rPr>
      </w:pPr>
      <w:r w:rsidRPr="00C01E46">
        <w:rPr>
          <w:rFonts w:ascii="Arial" w:eastAsia="MS Mincho" w:hAnsi="Arial" w:cs="Arial"/>
          <w:sz w:val="22"/>
          <w:szCs w:val="22"/>
        </w:rPr>
        <w:t>A draft of the report for review with the ASC</w:t>
      </w:r>
      <w:r w:rsidR="00741B99">
        <w:rPr>
          <w:rFonts w:ascii="Arial" w:eastAsia="MS Mincho" w:hAnsi="Arial" w:cs="Arial"/>
          <w:sz w:val="22"/>
          <w:szCs w:val="22"/>
        </w:rPr>
        <w:t xml:space="preserve"> and </w:t>
      </w:r>
      <w:r w:rsidRPr="00C01E46">
        <w:rPr>
          <w:rFonts w:ascii="Arial" w:eastAsia="MS Mincho" w:hAnsi="Arial" w:cs="Arial"/>
          <w:sz w:val="22"/>
          <w:szCs w:val="22"/>
        </w:rPr>
        <w:t>stakeholders. The consultants will need to address any issues resulting from the review into th</w:t>
      </w:r>
      <w:r w:rsidR="003A5F9E">
        <w:rPr>
          <w:rFonts w:ascii="Arial" w:eastAsia="MS Mincho" w:hAnsi="Arial" w:cs="Arial"/>
          <w:sz w:val="22"/>
          <w:szCs w:val="22"/>
        </w:rPr>
        <w:t>e final version of their report;</w:t>
      </w:r>
      <w:r w:rsidRPr="00C01E46">
        <w:rPr>
          <w:rFonts w:ascii="Arial" w:eastAsia="MS Mincho" w:hAnsi="Arial" w:cs="Arial"/>
          <w:sz w:val="22"/>
          <w:szCs w:val="22"/>
        </w:rPr>
        <w:t xml:space="preserve"> </w:t>
      </w:r>
    </w:p>
    <w:p w14:paraId="40B8C48E" w14:textId="0274273F" w:rsidR="00A16D87" w:rsidRPr="00D9475E" w:rsidRDefault="00A16D87" w:rsidP="00A16D87">
      <w:pPr>
        <w:pStyle w:val="Norma"/>
        <w:numPr>
          <w:ilvl w:val="0"/>
          <w:numId w:val="37"/>
        </w:numPr>
      </w:pPr>
      <w:r w:rsidRPr="00D9475E">
        <w:t>A final version of the report for comments from the secretariat;</w:t>
      </w:r>
    </w:p>
    <w:p w14:paraId="463C95D3" w14:textId="0708E9CC" w:rsidR="00C01E46" w:rsidRDefault="00C01E46" w:rsidP="00C01E46">
      <w:pPr>
        <w:pStyle w:val="BodyText"/>
        <w:numPr>
          <w:ilvl w:val="0"/>
          <w:numId w:val="37"/>
        </w:numPr>
        <w:rPr>
          <w:rFonts w:ascii="Arial" w:eastAsia="MS Mincho" w:hAnsi="Arial" w:cs="Arial"/>
          <w:sz w:val="22"/>
          <w:szCs w:val="22"/>
        </w:rPr>
      </w:pPr>
      <w:r w:rsidRPr="00D828F3">
        <w:rPr>
          <w:rFonts w:ascii="Arial" w:eastAsia="MS Mincho" w:hAnsi="Arial" w:cs="Arial"/>
          <w:sz w:val="22"/>
          <w:szCs w:val="22"/>
        </w:rPr>
        <w:t>Residential buildings sector adaptation cost curve</w:t>
      </w:r>
      <w:r>
        <w:rPr>
          <w:rFonts w:ascii="Arial" w:eastAsia="MS Mincho" w:hAnsi="Arial" w:cs="Arial"/>
          <w:sz w:val="22"/>
          <w:szCs w:val="22"/>
        </w:rPr>
        <w:t>s</w:t>
      </w:r>
      <w:r w:rsidRPr="00D828F3">
        <w:rPr>
          <w:rFonts w:ascii="Arial" w:eastAsia="MS Mincho" w:hAnsi="Arial" w:cs="Arial"/>
          <w:sz w:val="22"/>
          <w:szCs w:val="22"/>
        </w:rPr>
        <w:t xml:space="preserve"> for an area</w:t>
      </w:r>
      <w:r>
        <w:rPr>
          <w:rFonts w:ascii="Arial" w:eastAsia="MS Mincho" w:hAnsi="Arial" w:cs="Arial"/>
          <w:sz w:val="22"/>
          <w:szCs w:val="22"/>
        </w:rPr>
        <w:t>(s)</w:t>
      </w:r>
      <w:r w:rsidR="003A5F9E">
        <w:rPr>
          <w:rFonts w:ascii="Arial" w:eastAsia="MS Mincho" w:hAnsi="Arial" w:cs="Arial"/>
          <w:sz w:val="22"/>
          <w:szCs w:val="22"/>
        </w:rPr>
        <w:t xml:space="preserve"> within the UK;</w:t>
      </w:r>
    </w:p>
    <w:p w14:paraId="0B595E45" w14:textId="7BFDDBE5" w:rsidR="00A16D87" w:rsidRPr="00D9475E" w:rsidRDefault="00C01E46" w:rsidP="00C01E46">
      <w:pPr>
        <w:pStyle w:val="BodyText"/>
        <w:numPr>
          <w:ilvl w:val="0"/>
          <w:numId w:val="37"/>
        </w:numPr>
        <w:rPr>
          <w:rFonts w:ascii="Arial" w:eastAsia="MS Mincho" w:hAnsi="Arial" w:cs="Arial"/>
          <w:sz w:val="22"/>
          <w:szCs w:val="22"/>
        </w:rPr>
      </w:pPr>
      <w:r w:rsidRPr="00D828F3">
        <w:rPr>
          <w:rFonts w:ascii="Arial" w:eastAsia="MS Mincho" w:hAnsi="Arial" w:cs="Arial"/>
          <w:sz w:val="22"/>
          <w:szCs w:val="22"/>
        </w:rPr>
        <w:t>Series of spreadsheets showing the results of the sensitivity analysis, potentially accompanied by a series of generalised cost curves if possible</w:t>
      </w:r>
      <w:r w:rsidR="003A5F9E">
        <w:rPr>
          <w:rFonts w:ascii="Arial" w:eastAsia="MS Mincho" w:hAnsi="Arial" w:cs="Arial"/>
          <w:sz w:val="22"/>
          <w:szCs w:val="22"/>
        </w:rPr>
        <w:t>;</w:t>
      </w:r>
      <w:r w:rsidR="00A16D87" w:rsidRPr="00D9475E">
        <w:rPr>
          <w:rFonts w:ascii="Arial" w:eastAsia="MS Mincho" w:hAnsi="Arial" w:cs="Arial"/>
          <w:sz w:val="22"/>
          <w:szCs w:val="22"/>
        </w:rPr>
        <w:t xml:space="preserve"> </w:t>
      </w:r>
    </w:p>
    <w:p w14:paraId="7E823901" w14:textId="77777777" w:rsidR="00A16D87" w:rsidRPr="00D9475E" w:rsidRDefault="00A16D87" w:rsidP="00A16D87">
      <w:pPr>
        <w:pStyle w:val="ListParagraph"/>
        <w:numPr>
          <w:ilvl w:val="0"/>
          <w:numId w:val="37"/>
        </w:numPr>
        <w:rPr>
          <w:rFonts w:ascii="Arial" w:eastAsia="Times New Roman" w:hAnsi="Arial" w:cs="Arial"/>
          <w:lang w:eastAsia="en-GB"/>
        </w:rPr>
      </w:pPr>
      <w:r w:rsidRPr="00D9475E">
        <w:rPr>
          <w:rFonts w:ascii="Arial" w:eastAsia="Times New Roman" w:hAnsi="Arial" w:cs="Mangal"/>
          <w:lang w:eastAsia="en-GB"/>
        </w:rPr>
        <w:t>Graphical representations, such as infographics, maps or charts that describe the results, with visuals optimised for use on social media</w:t>
      </w:r>
      <w:r w:rsidRPr="00D9475E">
        <w:rPr>
          <w:rFonts w:ascii="Arial" w:eastAsia="Times New Roman" w:hAnsi="Arial" w:cs="Arial"/>
          <w:lang w:eastAsia="en-GB"/>
        </w:rPr>
        <w:t xml:space="preserve">; and </w:t>
      </w:r>
    </w:p>
    <w:p w14:paraId="64D1E78D" w14:textId="77777777" w:rsidR="00A16D87" w:rsidRPr="00D9475E" w:rsidRDefault="00A16D87" w:rsidP="00A16D87">
      <w:pPr>
        <w:pStyle w:val="ListParagraph"/>
        <w:numPr>
          <w:ilvl w:val="0"/>
          <w:numId w:val="37"/>
        </w:numPr>
        <w:rPr>
          <w:rFonts w:ascii="Arial" w:eastAsia="Times New Roman" w:hAnsi="Arial" w:cs="Arial"/>
          <w:lang w:eastAsia="en-GB"/>
        </w:rPr>
      </w:pPr>
      <w:r w:rsidRPr="00D9475E">
        <w:rPr>
          <w:rFonts w:ascii="Arial" w:hAnsi="Arial" w:cs="Arial"/>
        </w:rPr>
        <w:t>Any further supporting data and annexes detailing the method or providing supplementary results.</w:t>
      </w:r>
    </w:p>
    <w:p w14:paraId="63AD06BB" w14:textId="61D873FC" w:rsidR="00A16D87" w:rsidRPr="00264A4C" w:rsidRDefault="00A16D87" w:rsidP="00A16D87">
      <w:pPr>
        <w:pStyle w:val="BodyText"/>
        <w:rPr>
          <w:rFonts w:ascii="Arial" w:eastAsia="MS Mincho" w:hAnsi="Arial" w:cs="Arial"/>
          <w:sz w:val="24"/>
          <w:szCs w:val="22"/>
        </w:rPr>
      </w:pPr>
      <w:r w:rsidRPr="00264A4C">
        <w:rPr>
          <w:rFonts w:ascii="Arial" w:hAnsi="Arial" w:cs="Arial"/>
          <w:sz w:val="22"/>
        </w:rPr>
        <w:t>The final report will be publish</w:t>
      </w:r>
      <w:r w:rsidR="00C01E46" w:rsidRPr="00264A4C">
        <w:rPr>
          <w:rFonts w:ascii="Arial" w:hAnsi="Arial" w:cs="Arial"/>
          <w:sz w:val="22"/>
        </w:rPr>
        <w:t>ed on the ASC’s website in early 2019</w:t>
      </w:r>
      <w:r w:rsidRPr="00264A4C">
        <w:rPr>
          <w:rFonts w:ascii="Arial" w:hAnsi="Arial" w:cs="Arial"/>
          <w:sz w:val="22"/>
        </w:rPr>
        <w:t>.</w:t>
      </w:r>
    </w:p>
    <w:p w14:paraId="1998FA65" w14:textId="77777777" w:rsidR="00A16D87" w:rsidRDefault="00A16D87" w:rsidP="00DD521A">
      <w:pPr>
        <w:pStyle w:val="Norma"/>
      </w:pPr>
    </w:p>
    <w:p w14:paraId="5EA87560" w14:textId="77777777" w:rsidR="00936F29" w:rsidRDefault="00F042F9" w:rsidP="007248E4">
      <w:pPr>
        <w:pStyle w:val="Heading1"/>
        <w:numPr>
          <w:ilvl w:val="0"/>
          <w:numId w:val="3"/>
        </w:numPr>
        <w:rPr>
          <w:rFonts w:ascii="Arial" w:hAnsi="Arial" w:cs="Arial"/>
          <w:sz w:val="24"/>
          <w:szCs w:val="24"/>
        </w:rPr>
      </w:pPr>
      <w:bookmarkStart w:id="23" w:name="_Toc381969511"/>
      <w:bookmarkStart w:id="24" w:name="_Toc405888460"/>
      <w:bookmarkStart w:id="25" w:name="_Toc496603076"/>
      <w:bookmarkStart w:id="26" w:name="_Ref373505205"/>
      <w:bookmarkStart w:id="27" w:name="_Ref357541720"/>
      <w:r>
        <w:rPr>
          <w:rFonts w:ascii="Arial" w:hAnsi="Arial" w:cs="Arial"/>
          <w:sz w:val="24"/>
          <w:szCs w:val="24"/>
        </w:rPr>
        <w:t>O</w:t>
      </w:r>
      <w:r w:rsidR="006700D3" w:rsidRPr="002D32D5">
        <w:rPr>
          <w:rFonts w:ascii="Arial" w:hAnsi="Arial" w:cs="Arial"/>
          <w:sz w:val="24"/>
          <w:szCs w:val="24"/>
        </w:rPr>
        <w:t>wnership and Publication</w:t>
      </w:r>
      <w:bookmarkEnd w:id="23"/>
      <w:bookmarkEnd w:id="24"/>
      <w:bookmarkEnd w:id="25"/>
    </w:p>
    <w:p w14:paraId="7DD79DA8" w14:textId="77777777" w:rsidR="00DD521A" w:rsidRDefault="00DD521A" w:rsidP="00DD521A">
      <w:pPr>
        <w:pStyle w:val="Norma"/>
      </w:pPr>
    </w:p>
    <w:p w14:paraId="1E9321E7" w14:textId="52B905BA" w:rsidR="004B2557" w:rsidRPr="002133A0" w:rsidRDefault="004B2557" w:rsidP="004B2557">
      <w:pPr>
        <w:pStyle w:val="Norma"/>
        <w:rPr>
          <w:rFonts w:cs="Arial"/>
          <w:color w:val="000000" w:themeColor="text1"/>
        </w:rPr>
      </w:pPr>
      <w:r w:rsidRPr="002133A0">
        <w:rPr>
          <w:rFonts w:cs="Arial"/>
        </w:rPr>
        <w:lastRenderedPageBreak/>
        <w:t xml:space="preserve">The results of the analysis and </w:t>
      </w:r>
      <w:r w:rsidR="00954CA3">
        <w:rPr>
          <w:rFonts w:cs="Arial"/>
        </w:rPr>
        <w:t xml:space="preserve">all outputs </w:t>
      </w:r>
      <w:r w:rsidRPr="002133A0">
        <w:rPr>
          <w:rFonts w:cs="Arial"/>
        </w:rPr>
        <w:t xml:space="preserve">produced will be owned </w:t>
      </w:r>
      <w:r w:rsidR="00954CA3">
        <w:rPr>
          <w:rFonts w:cs="Arial"/>
        </w:rPr>
        <w:t xml:space="preserve">by </w:t>
      </w:r>
      <w:r w:rsidRPr="002133A0">
        <w:rPr>
          <w:rFonts w:cs="Arial"/>
        </w:rPr>
        <w:t xml:space="preserve">and published </w:t>
      </w:r>
      <w:r w:rsidR="00954CA3">
        <w:rPr>
          <w:rFonts w:cs="Arial"/>
        </w:rPr>
        <w:t xml:space="preserve">at the discretion of </w:t>
      </w:r>
      <w:r w:rsidRPr="002133A0">
        <w:rPr>
          <w:rFonts w:cs="Arial"/>
        </w:rPr>
        <w:t>the Adaptation Sub-Committee.</w:t>
      </w:r>
    </w:p>
    <w:p w14:paraId="53C8200E" w14:textId="77777777" w:rsidR="00DD521A" w:rsidRPr="00DD521A" w:rsidRDefault="00DD521A" w:rsidP="00DD521A">
      <w:pPr>
        <w:pStyle w:val="Norma"/>
      </w:pPr>
    </w:p>
    <w:p w14:paraId="5EA87562" w14:textId="77777777" w:rsidR="006700D3" w:rsidRDefault="00936F29" w:rsidP="007248E4">
      <w:pPr>
        <w:pStyle w:val="Heading1"/>
        <w:numPr>
          <w:ilvl w:val="0"/>
          <w:numId w:val="3"/>
        </w:numPr>
        <w:rPr>
          <w:rFonts w:ascii="Arial" w:hAnsi="Arial" w:cs="Arial"/>
          <w:sz w:val="24"/>
          <w:szCs w:val="24"/>
        </w:rPr>
      </w:pPr>
      <w:bookmarkStart w:id="28" w:name="_Toc496603077"/>
      <w:r>
        <w:rPr>
          <w:rFonts w:ascii="Arial" w:hAnsi="Arial" w:cs="Arial"/>
          <w:sz w:val="24"/>
          <w:szCs w:val="24"/>
        </w:rPr>
        <w:t>Quality Assurance</w:t>
      </w:r>
      <w:bookmarkEnd w:id="28"/>
      <w:r w:rsidR="00AB7905" w:rsidRPr="002D32D5">
        <w:rPr>
          <w:rFonts w:ascii="Arial" w:hAnsi="Arial" w:cs="Arial"/>
          <w:sz w:val="24"/>
          <w:szCs w:val="24"/>
        </w:rPr>
        <w:t xml:space="preserve"> </w:t>
      </w:r>
      <w:bookmarkEnd w:id="26"/>
    </w:p>
    <w:p w14:paraId="7C05295D" w14:textId="77777777" w:rsidR="00DD521A" w:rsidRDefault="00DD521A" w:rsidP="00DD521A">
      <w:pPr>
        <w:pStyle w:val="Norma"/>
      </w:pPr>
    </w:p>
    <w:p w14:paraId="51D353C3" w14:textId="77777777" w:rsidR="00F36AD1" w:rsidRPr="00F36AD1" w:rsidRDefault="00F36AD1" w:rsidP="00F36AD1">
      <w:pPr>
        <w:pStyle w:val="Norma"/>
        <w:tabs>
          <w:tab w:val="left" w:pos="0"/>
        </w:tabs>
        <w:jc w:val="both"/>
        <w:rPr>
          <w:rFonts w:cs="Arial"/>
        </w:rPr>
      </w:pPr>
      <w:r w:rsidRPr="00F36AD1">
        <w:rPr>
          <w:rFonts w:cs="Arial"/>
        </w:rPr>
        <w:t xml:space="preserve">All research tasks and modelling must be quality assured and documented. Contractors should: </w:t>
      </w:r>
    </w:p>
    <w:p w14:paraId="334146F1" w14:textId="77777777" w:rsidR="00F36AD1" w:rsidRPr="00F36AD1" w:rsidRDefault="00F36AD1" w:rsidP="00F36AD1">
      <w:pPr>
        <w:pStyle w:val="Norma"/>
        <w:tabs>
          <w:tab w:val="left" w:pos="0"/>
        </w:tabs>
        <w:jc w:val="both"/>
        <w:rPr>
          <w:rFonts w:cs="Arial"/>
        </w:rPr>
      </w:pPr>
    </w:p>
    <w:p w14:paraId="6A4B62FD" w14:textId="1F3D8477" w:rsidR="00F36AD1" w:rsidRPr="00F36AD1" w:rsidRDefault="00F36AD1" w:rsidP="00F36AD1">
      <w:pPr>
        <w:pStyle w:val="Norma"/>
        <w:widowControl/>
        <w:numPr>
          <w:ilvl w:val="0"/>
          <w:numId w:val="21"/>
        </w:numPr>
        <w:overflowPunct/>
        <w:autoSpaceDE/>
        <w:autoSpaceDN/>
        <w:adjustRightInd/>
        <w:spacing w:after="200" w:line="276" w:lineRule="auto"/>
        <w:jc w:val="both"/>
        <w:textAlignment w:val="auto"/>
        <w:rPr>
          <w:rFonts w:cs="Arial"/>
        </w:rPr>
      </w:pPr>
      <w:r w:rsidRPr="00F36AD1">
        <w:rPr>
          <w:rFonts w:cs="Arial"/>
        </w:rPr>
        <w:t>Include a quality assurance (QA) plan that they will app</w:t>
      </w:r>
      <w:r>
        <w:rPr>
          <w:rFonts w:cs="Arial"/>
        </w:rPr>
        <w:t>ly to all of the research tasks.</w:t>
      </w:r>
    </w:p>
    <w:p w14:paraId="69218323" w14:textId="6BD0F62E" w:rsidR="00F36AD1" w:rsidRPr="00F36AD1" w:rsidRDefault="00F36AD1" w:rsidP="00F36AD1">
      <w:pPr>
        <w:pStyle w:val="Norma"/>
        <w:widowControl/>
        <w:numPr>
          <w:ilvl w:val="0"/>
          <w:numId w:val="21"/>
        </w:numPr>
        <w:overflowPunct/>
        <w:autoSpaceDE/>
        <w:autoSpaceDN/>
        <w:adjustRightInd/>
        <w:spacing w:after="200" w:line="276" w:lineRule="auto"/>
        <w:jc w:val="both"/>
        <w:textAlignment w:val="auto"/>
        <w:rPr>
          <w:rFonts w:cs="Arial"/>
        </w:rPr>
      </w:pPr>
      <w:r w:rsidRPr="00F36AD1">
        <w:rPr>
          <w:rFonts w:cs="Arial"/>
        </w:rPr>
        <w:t>Specify who will take lead responsibility for ensuring quality assurance and ensure that this responsibility rests with an individual not directly involved in the research</w:t>
      </w:r>
      <w:r>
        <w:rPr>
          <w:rFonts w:cs="Arial"/>
        </w:rPr>
        <w:t>, analysis or model development.</w:t>
      </w:r>
    </w:p>
    <w:p w14:paraId="45B0BFE3" w14:textId="5BC89E90" w:rsidR="00F36AD1" w:rsidRPr="00F36AD1" w:rsidRDefault="00F36AD1" w:rsidP="00F36AD1">
      <w:pPr>
        <w:pStyle w:val="Norma"/>
        <w:widowControl/>
        <w:numPr>
          <w:ilvl w:val="0"/>
          <w:numId w:val="21"/>
        </w:numPr>
        <w:overflowPunct/>
        <w:autoSpaceDE/>
        <w:autoSpaceDN/>
        <w:adjustRightInd/>
        <w:spacing w:after="200" w:line="276" w:lineRule="auto"/>
        <w:jc w:val="both"/>
        <w:textAlignment w:val="auto"/>
        <w:rPr>
          <w:rFonts w:cs="Arial"/>
        </w:rPr>
      </w:pPr>
      <w:r w:rsidRPr="00F36AD1">
        <w:rPr>
          <w:rFonts w:cs="Arial"/>
        </w:rPr>
        <w:t>Provide</w:t>
      </w:r>
      <w:r>
        <w:rPr>
          <w:rFonts w:cs="Arial"/>
        </w:rPr>
        <w:t xml:space="preserve"> a</w:t>
      </w:r>
      <w:r w:rsidRPr="00F36AD1">
        <w:rPr>
          <w:rFonts w:cs="Arial"/>
        </w:rPr>
        <w:t xml:space="preserve"> QA log to demonstrate the QA undertaken, including who undertook the QA and the scope, type and level of QA that has been undertaken (e.g. a log entry only stating ‘the data was checked’ will not be sufficient)</w:t>
      </w:r>
      <w:r>
        <w:rPr>
          <w:rFonts w:cs="Arial"/>
        </w:rPr>
        <w:t>.</w:t>
      </w:r>
    </w:p>
    <w:p w14:paraId="28BE5011" w14:textId="77777777" w:rsidR="00F36AD1" w:rsidRPr="00F36AD1" w:rsidRDefault="00F36AD1" w:rsidP="00F36AD1">
      <w:pPr>
        <w:pStyle w:val="Norma"/>
        <w:spacing w:after="200" w:line="276" w:lineRule="auto"/>
        <w:jc w:val="both"/>
        <w:rPr>
          <w:rFonts w:cs="Arial"/>
        </w:rPr>
      </w:pPr>
      <w:r w:rsidRPr="00F36AD1">
        <w:rPr>
          <w:rFonts w:cs="Arial"/>
        </w:rPr>
        <w:t xml:space="preserve">Sign-off for the quality assurance must be done by someone of sufficient seniority within the contractor organisation to be able take responsibility for the work done.  Acceptance of the work by the </w:t>
      </w:r>
      <w:r w:rsidRPr="00F36AD1">
        <w:rPr>
          <w:rFonts w:cs="Arial"/>
        </w:rPr>
        <w:lastRenderedPageBreak/>
        <w:t>CCC will take this into consideration. The CCC reserves the right to refuse to sign off outputs which do not meet the required standard specified in this invitation to tender.</w:t>
      </w:r>
    </w:p>
    <w:p w14:paraId="28126588" w14:textId="77777777" w:rsidR="00F36AD1" w:rsidRPr="00F36AD1" w:rsidRDefault="00F36AD1" w:rsidP="00F36AD1">
      <w:pPr>
        <w:pStyle w:val="Norma"/>
        <w:spacing w:after="200" w:line="276" w:lineRule="auto"/>
        <w:jc w:val="both"/>
        <w:rPr>
          <w:rFonts w:cs="Arial"/>
        </w:rPr>
      </w:pPr>
      <w:r w:rsidRPr="00F36AD1">
        <w:rPr>
          <w:rFonts w:cs="Arial"/>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64CDE593" w14:textId="5E889EC6" w:rsidR="00F36AD1" w:rsidRPr="00F36AD1" w:rsidRDefault="00F36AD1" w:rsidP="00F36AD1">
      <w:pPr>
        <w:pStyle w:val="Norma"/>
        <w:spacing w:after="200" w:line="276" w:lineRule="auto"/>
        <w:jc w:val="both"/>
        <w:rPr>
          <w:rFonts w:cs="Arial"/>
        </w:rPr>
      </w:pPr>
      <w:r w:rsidRPr="00F36AD1">
        <w:rPr>
          <w:rFonts w:cs="Arial"/>
        </w:rPr>
        <w:t>For primary research, contractors shoul</w:t>
      </w:r>
      <w:r>
        <w:rPr>
          <w:rFonts w:cs="Arial"/>
        </w:rPr>
        <w:t xml:space="preserve">d be willing to facilitate CCC </w:t>
      </w:r>
      <w:r w:rsidRPr="00F36AD1">
        <w:rPr>
          <w:rFonts w:cs="Arial"/>
        </w:rPr>
        <w:t>staff to attend interviews or listen in to telephone surveys as part of the quality assurance process.</w:t>
      </w:r>
    </w:p>
    <w:p w14:paraId="0E19A2B9" w14:textId="1DBBA3BD" w:rsidR="004B2557" w:rsidRPr="00F36AD1" w:rsidRDefault="00F36AD1" w:rsidP="00F36AD1">
      <w:pPr>
        <w:pStyle w:val="Norma"/>
        <w:spacing w:after="200" w:line="276" w:lineRule="auto"/>
        <w:jc w:val="both"/>
        <w:rPr>
          <w:rFonts w:cs="Arial"/>
        </w:rPr>
      </w:pPr>
      <w:r w:rsidRPr="00F36AD1">
        <w:rPr>
          <w:rFonts w:cs="Arial"/>
        </w:rPr>
        <w:t>The consultant must demonstrate their ability to produce deliverables of quality, in particular following best practice regarding economic analys</w:t>
      </w:r>
      <w:r>
        <w:rPr>
          <w:rFonts w:cs="Arial"/>
        </w:rPr>
        <w:t>is and presentation of results.</w:t>
      </w:r>
    </w:p>
    <w:p w14:paraId="5EA87564" w14:textId="77777777" w:rsidR="0038006D" w:rsidRPr="003D6551" w:rsidRDefault="0038006D" w:rsidP="007248E4">
      <w:pPr>
        <w:pStyle w:val="Heading1"/>
        <w:numPr>
          <w:ilvl w:val="0"/>
          <w:numId w:val="3"/>
        </w:numPr>
        <w:rPr>
          <w:rFonts w:ascii="Arial" w:hAnsi="Arial" w:cs="Arial"/>
          <w:sz w:val="24"/>
          <w:szCs w:val="24"/>
        </w:rPr>
      </w:pPr>
      <w:bookmarkStart w:id="29" w:name="_Ref373505215"/>
      <w:bookmarkStart w:id="30" w:name="_Toc381969513"/>
      <w:bookmarkStart w:id="31" w:name="_Toc405888462"/>
      <w:bookmarkStart w:id="32" w:name="_Toc496603078"/>
      <w:r w:rsidRPr="003D6551">
        <w:rPr>
          <w:rFonts w:ascii="Arial" w:hAnsi="Arial" w:cs="Arial"/>
          <w:sz w:val="24"/>
          <w:szCs w:val="24"/>
        </w:rPr>
        <w:t>Timetable</w:t>
      </w:r>
      <w:bookmarkEnd w:id="27"/>
      <w:bookmarkEnd w:id="29"/>
      <w:bookmarkEnd w:id="30"/>
      <w:bookmarkEnd w:id="31"/>
      <w:bookmarkEnd w:id="32"/>
    </w:p>
    <w:p w14:paraId="0F755DEB" w14:textId="77777777" w:rsidR="00DD521A" w:rsidRDefault="00DD521A" w:rsidP="00DD521A">
      <w:pPr>
        <w:pStyle w:val="Norma"/>
      </w:pPr>
    </w:p>
    <w:p w14:paraId="2AA4DE06" w14:textId="3D1257FB" w:rsidR="004B2557" w:rsidRPr="002133A0" w:rsidRDefault="004B2557" w:rsidP="004B2557">
      <w:pPr>
        <w:spacing w:line="264" w:lineRule="auto"/>
        <w:rPr>
          <w:rFonts w:ascii="Arial" w:hAnsi="Arial" w:cs="Arial"/>
          <w:sz w:val="22"/>
          <w:szCs w:val="22"/>
        </w:rPr>
      </w:pPr>
      <w:r w:rsidRPr="002133A0">
        <w:rPr>
          <w:rFonts w:ascii="Arial" w:hAnsi="Arial" w:cs="Arial"/>
          <w:sz w:val="22"/>
          <w:szCs w:val="22"/>
        </w:rPr>
        <w:t>An indicative timeline for deliverables is presented below. The contractors can propose modifications to the timeline to better suit their analysis if appropriate, though the</w:t>
      </w:r>
      <w:r w:rsidR="00741B99">
        <w:rPr>
          <w:rFonts w:ascii="Arial" w:hAnsi="Arial" w:cs="Arial"/>
          <w:sz w:val="22"/>
          <w:szCs w:val="22"/>
        </w:rPr>
        <w:t xml:space="preserve"> results submission and</w:t>
      </w:r>
      <w:r w:rsidRPr="002133A0">
        <w:rPr>
          <w:rFonts w:ascii="Arial" w:hAnsi="Arial" w:cs="Arial"/>
          <w:sz w:val="22"/>
          <w:szCs w:val="22"/>
        </w:rPr>
        <w:t xml:space="preserve"> final </w:t>
      </w:r>
      <w:r w:rsidR="00741B99">
        <w:rPr>
          <w:rFonts w:ascii="Arial" w:hAnsi="Arial" w:cs="Arial"/>
          <w:sz w:val="22"/>
          <w:szCs w:val="22"/>
        </w:rPr>
        <w:t>report</w:t>
      </w:r>
      <w:r w:rsidRPr="002133A0">
        <w:rPr>
          <w:rFonts w:ascii="Arial" w:hAnsi="Arial" w:cs="Arial"/>
          <w:sz w:val="22"/>
          <w:szCs w:val="22"/>
        </w:rPr>
        <w:t xml:space="preserve"> date must remain the same. Any proposed modific</w:t>
      </w:r>
      <w:r w:rsidR="00C62E6E">
        <w:rPr>
          <w:rFonts w:ascii="Arial" w:hAnsi="Arial" w:cs="Arial"/>
          <w:sz w:val="22"/>
          <w:szCs w:val="22"/>
        </w:rPr>
        <w:t>ations should be set out in the</w:t>
      </w:r>
      <w:r w:rsidRPr="002133A0">
        <w:rPr>
          <w:rFonts w:ascii="Arial" w:hAnsi="Arial" w:cs="Arial"/>
          <w:sz w:val="22"/>
          <w:szCs w:val="22"/>
        </w:rPr>
        <w:t xml:space="preserve"> bid and will require approval from the ASC secretariat.  </w:t>
      </w:r>
    </w:p>
    <w:p w14:paraId="11E6596F" w14:textId="77777777" w:rsidR="004B2557" w:rsidRDefault="004B2557" w:rsidP="004B2557">
      <w:pPr>
        <w:spacing w:line="264" w:lineRule="auto"/>
        <w:rPr>
          <w:rFonts w:asciiTheme="minorHAnsi" w:hAnsiTheme="minorHAnsi" w:cs="Arial"/>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1545"/>
        <w:gridCol w:w="4252"/>
        <w:gridCol w:w="2675"/>
      </w:tblGrid>
      <w:tr w:rsidR="004B2557" w:rsidRPr="0018341F" w14:paraId="520C45CA" w14:textId="77777777" w:rsidTr="00BD3178">
        <w:trPr>
          <w:trHeight w:val="273"/>
          <w:tblHeader/>
        </w:trPr>
        <w:tc>
          <w:tcPr>
            <w:tcW w:w="1545" w:type="dxa"/>
            <w:tcBorders>
              <w:bottom w:val="single" w:sz="12" w:space="0" w:color="000000"/>
            </w:tcBorders>
            <w:shd w:val="solid" w:color="808080" w:fill="FFFFFF"/>
          </w:tcPr>
          <w:p w14:paraId="4D01B537" w14:textId="77777777" w:rsidR="004B2557" w:rsidRPr="002260D3" w:rsidRDefault="004B2557" w:rsidP="00E90E9D">
            <w:pPr>
              <w:keepNext/>
              <w:keepLines/>
              <w:spacing w:after="120"/>
              <w:jc w:val="both"/>
              <w:rPr>
                <w:rFonts w:ascii="Arial" w:hAnsi="Arial" w:cs="Arial"/>
                <w:b/>
                <w:bCs/>
                <w:color w:val="FFFFFF"/>
                <w:sz w:val="22"/>
                <w:szCs w:val="22"/>
              </w:rPr>
            </w:pPr>
            <w:r w:rsidRPr="002260D3">
              <w:rPr>
                <w:rFonts w:ascii="Arial" w:hAnsi="Arial" w:cs="Arial"/>
                <w:b/>
                <w:bCs/>
                <w:color w:val="FFFFFF"/>
                <w:sz w:val="22"/>
                <w:szCs w:val="22"/>
              </w:rPr>
              <w:lastRenderedPageBreak/>
              <w:t>Phase</w:t>
            </w:r>
          </w:p>
        </w:tc>
        <w:tc>
          <w:tcPr>
            <w:tcW w:w="4252" w:type="dxa"/>
            <w:tcBorders>
              <w:bottom w:val="single" w:sz="12" w:space="0" w:color="000000"/>
            </w:tcBorders>
            <w:shd w:val="solid" w:color="808080" w:fill="FFFFFF"/>
          </w:tcPr>
          <w:p w14:paraId="5591DA2B" w14:textId="77777777" w:rsidR="004B2557" w:rsidRPr="002260D3" w:rsidRDefault="004B2557" w:rsidP="00E90E9D">
            <w:pPr>
              <w:keepNext/>
              <w:keepLines/>
              <w:spacing w:after="120"/>
              <w:jc w:val="both"/>
              <w:rPr>
                <w:rFonts w:ascii="Arial" w:hAnsi="Arial" w:cs="Arial"/>
                <w:b/>
                <w:bCs/>
                <w:color w:val="FFFFFF"/>
                <w:sz w:val="22"/>
                <w:szCs w:val="22"/>
              </w:rPr>
            </w:pPr>
            <w:r w:rsidRPr="002260D3">
              <w:rPr>
                <w:rFonts w:ascii="Arial" w:hAnsi="Arial" w:cs="Arial"/>
                <w:b/>
                <w:bCs/>
                <w:color w:val="FFFFFF"/>
                <w:sz w:val="22"/>
                <w:szCs w:val="22"/>
              </w:rPr>
              <w:t>Deliverable</w:t>
            </w:r>
          </w:p>
        </w:tc>
        <w:tc>
          <w:tcPr>
            <w:tcW w:w="2675" w:type="dxa"/>
            <w:tcBorders>
              <w:bottom w:val="single" w:sz="12" w:space="0" w:color="000000"/>
            </w:tcBorders>
            <w:shd w:val="solid" w:color="808080" w:fill="FFFFFF"/>
          </w:tcPr>
          <w:p w14:paraId="576B7FA2" w14:textId="77777777" w:rsidR="004B2557" w:rsidRPr="002260D3" w:rsidRDefault="004B2557" w:rsidP="00E90E9D">
            <w:pPr>
              <w:keepNext/>
              <w:keepLines/>
              <w:spacing w:after="120"/>
              <w:jc w:val="both"/>
              <w:rPr>
                <w:rFonts w:ascii="Arial" w:hAnsi="Arial" w:cs="Arial"/>
                <w:b/>
                <w:bCs/>
                <w:color w:val="FFFFFF"/>
                <w:sz w:val="22"/>
                <w:szCs w:val="22"/>
              </w:rPr>
            </w:pPr>
            <w:r w:rsidRPr="002260D3">
              <w:rPr>
                <w:rFonts w:ascii="Arial" w:hAnsi="Arial" w:cs="Arial"/>
                <w:b/>
                <w:bCs/>
                <w:color w:val="FFFFFF"/>
                <w:sz w:val="22"/>
                <w:szCs w:val="22"/>
              </w:rPr>
              <w:t>Date</w:t>
            </w:r>
          </w:p>
        </w:tc>
      </w:tr>
      <w:tr w:rsidR="00C01E46" w:rsidRPr="0018341F" w14:paraId="2BCB5789" w14:textId="77777777" w:rsidTr="00954CA3">
        <w:tc>
          <w:tcPr>
            <w:tcW w:w="1545" w:type="dxa"/>
            <w:shd w:val="clear" w:color="auto" w:fill="auto"/>
          </w:tcPr>
          <w:p w14:paraId="3BDE2B5A" w14:textId="5ECC1796" w:rsidR="00C01E46" w:rsidRPr="002260D3" w:rsidRDefault="00C01E46" w:rsidP="00C01E46">
            <w:pPr>
              <w:keepNext/>
              <w:keepLines/>
              <w:spacing w:after="120" w:line="276" w:lineRule="auto"/>
              <w:jc w:val="both"/>
              <w:rPr>
                <w:rFonts w:ascii="Arial" w:hAnsi="Arial" w:cs="Arial"/>
                <w:sz w:val="22"/>
                <w:szCs w:val="22"/>
              </w:rPr>
            </w:pPr>
            <w:r w:rsidRPr="002260D3">
              <w:rPr>
                <w:rFonts w:ascii="Arial" w:hAnsi="Arial" w:cs="Arial"/>
                <w:sz w:val="22"/>
                <w:szCs w:val="22"/>
              </w:rPr>
              <w:t>Bidding</w:t>
            </w:r>
          </w:p>
        </w:tc>
        <w:tc>
          <w:tcPr>
            <w:tcW w:w="4252" w:type="dxa"/>
            <w:shd w:val="clear" w:color="auto" w:fill="auto"/>
          </w:tcPr>
          <w:p w14:paraId="5531F4C9" w14:textId="7AFED1C5" w:rsidR="00C01E46" w:rsidRPr="002260D3" w:rsidRDefault="00C01E46" w:rsidP="00C01E46">
            <w:pPr>
              <w:keepNext/>
              <w:keepLines/>
              <w:spacing w:after="120" w:line="276" w:lineRule="auto"/>
              <w:jc w:val="both"/>
              <w:rPr>
                <w:rFonts w:ascii="Arial" w:hAnsi="Arial" w:cs="Arial"/>
                <w:sz w:val="22"/>
                <w:szCs w:val="22"/>
              </w:rPr>
            </w:pPr>
            <w:r w:rsidRPr="002260D3">
              <w:rPr>
                <w:rFonts w:ascii="Arial" w:hAnsi="Arial" w:cs="Arial"/>
                <w:sz w:val="22"/>
                <w:szCs w:val="22"/>
              </w:rPr>
              <w:t>Bids received</w:t>
            </w:r>
          </w:p>
        </w:tc>
        <w:tc>
          <w:tcPr>
            <w:tcW w:w="2675" w:type="dxa"/>
            <w:shd w:val="clear" w:color="auto" w:fill="auto"/>
          </w:tcPr>
          <w:p w14:paraId="78889BBB" w14:textId="1CB8CC38" w:rsidR="00C01E46" w:rsidRPr="002260D3" w:rsidRDefault="005D4FEC" w:rsidP="005D4FEC">
            <w:pPr>
              <w:keepNext/>
              <w:keepLines/>
              <w:spacing w:after="120" w:line="276" w:lineRule="auto"/>
              <w:jc w:val="both"/>
              <w:rPr>
                <w:rFonts w:ascii="Arial" w:hAnsi="Arial" w:cs="Arial"/>
                <w:sz w:val="22"/>
                <w:szCs w:val="22"/>
              </w:rPr>
            </w:pPr>
            <w:r>
              <w:rPr>
                <w:rFonts w:ascii="Arial" w:hAnsi="Arial" w:cs="Arial"/>
                <w:sz w:val="22"/>
                <w:szCs w:val="22"/>
              </w:rPr>
              <w:t>15</w:t>
            </w:r>
            <w:r w:rsidRPr="00D558D7">
              <w:rPr>
                <w:rFonts w:ascii="Arial" w:hAnsi="Arial" w:cs="Arial"/>
                <w:sz w:val="22"/>
                <w:szCs w:val="22"/>
                <w:vertAlign w:val="superscript"/>
              </w:rPr>
              <w:t>th</w:t>
            </w:r>
            <w:r>
              <w:rPr>
                <w:rFonts w:ascii="Arial" w:hAnsi="Arial" w:cs="Arial"/>
                <w:sz w:val="22"/>
                <w:szCs w:val="22"/>
              </w:rPr>
              <w:t xml:space="preserve"> </w:t>
            </w:r>
            <w:r w:rsidR="00741B99">
              <w:rPr>
                <w:rFonts w:ascii="Arial" w:hAnsi="Arial" w:cs="Arial"/>
                <w:sz w:val="22"/>
                <w:szCs w:val="22"/>
              </w:rPr>
              <w:t>August</w:t>
            </w:r>
            <w:r w:rsidR="00F625C5">
              <w:rPr>
                <w:rFonts w:ascii="Arial" w:hAnsi="Arial" w:cs="Arial"/>
                <w:sz w:val="22"/>
                <w:szCs w:val="22"/>
              </w:rPr>
              <w:t xml:space="preserve"> </w:t>
            </w:r>
            <w:r w:rsidR="00C01E46" w:rsidRPr="002260D3">
              <w:rPr>
                <w:rFonts w:ascii="Arial" w:hAnsi="Arial" w:cs="Arial"/>
                <w:sz w:val="22"/>
                <w:szCs w:val="22"/>
              </w:rPr>
              <w:t>2018</w:t>
            </w:r>
          </w:p>
        </w:tc>
      </w:tr>
      <w:tr w:rsidR="00C01E46" w:rsidRPr="0018341F" w14:paraId="05DD2149" w14:textId="77777777" w:rsidTr="00954CA3">
        <w:tc>
          <w:tcPr>
            <w:tcW w:w="1545" w:type="dxa"/>
            <w:shd w:val="clear" w:color="auto" w:fill="auto"/>
          </w:tcPr>
          <w:p w14:paraId="32E9ED53" w14:textId="77777777" w:rsidR="00C01E46" w:rsidRPr="002260D3" w:rsidRDefault="00C01E46" w:rsidP="00C01E46">
            <w:pPr>
              <w:keepNext/>
              <w:keepLines/>
              <w:spacing w:after="120" w:line="276" w:lineRule="auto"/>
              <w:jc w:val="both"/>
              <w:rPr>
                <w:rFonts w:ascii="Arial" w:hAnsi="Arial" w:cs="Arial"/>
                <w:sz w:val="22"/>
                <w:szCs w:val="22"/>
              </w:rPr>
            </w:pPr>
          </w:p>
        </w:tc>
        <w:tc>
          <w:tcPr>
            <w:tcW w:w="4252" w:type="dxa"/>
            <w:shd w:val="clear" w:color="auto" w:fill="auto"/>
          </w:tcPr>
          <w:p w14:paraId="534258BA" w14:textId="1AB928FC" w:rsidR="00C01E46" w:rsidRPr="002260D3" w:rsidRDefault="00C01E46" w:rsidP="00C01E46">
            <w:pPr>
              <w:keepNext/>
              <w:keepLines/>
              <w:spacing w:after="120" w:line="276" w:lineRule="auto"/>
              <w:jc w:val="both"/>
              <w:rPr>
                <w:rFonts w:ascii="Arial" w:hAnsi="Arial" w:cs="Arial"/>
                <w:sz w:val="22"/>
                <w:szCs w:val="22"/>
              </w:rPr>
            </w:pPr>
            <w:r w:rsidRPr="002260D3">
              <w:rPr>
                <w:rFonts w:ascii="Arial" w:hAnsi="Arial" w:cs="Arial"/>
                <w:sz w:val="22"/>
                <w:szCs w:val="22"/>
              </w:rPr>
              <w:t>Interviews conducted</w:t>
            </w:r>
          </w:p>
        </w:tc>
        <w:tc>
          <w:tcPr>
            <w:tcW w:w="2675" w:type="dxa"/>
            <w:shd w:val="clear" w:color="auto" w:fill="auto"/>
          </w:tcPr>
          <w:p w14:paraId="3352ADAA" w14:textId="5B2E5F33" w:rsidR="00C01E46" w:rsidRPr="002260D3" w:rsidRDefault="00C01E46" w:rsidP="005D4FEC">
            <w:pPr>
              <w:keepNext/>
              <w:keepLines/>
              <w:spacing w:after="120" w:line="276" w:lineRule="auto"/>
              <w:jc w:val="both"/>
              <w:rPr>
                <w:rFonts w:ascii="Arial" w:hAnsi="Arial" w:cs="Arial"/>
                <w:sz w:val="22"/>
                <w:szCs w:val="22"/>
              </w:rPr>
            </w:pPr>
            <w:r w:rsidRPr="002260D3">
              <w:rPr>
                <w:rFonts w:ascii="Arial" w:hAnsi="Arial" w:cs="Arial"/>
                <w:sz w:val="22"/>
                <w:szCs w:val="22"/>
              </w:rPr>
              <w:t xml:space="preserve">w/c </w:t>
            </w:r>
            <w:r w:rsidR="005D4FEC">
              <w:rPr>
                <w:rFonts w:ascii="Arial" w:hAnsi="Arial" w:cs="Arial"/>
                <w:sz w:val="22"/>
                <w:szCs w:val="22"/>
              </w:rPr>
              <w:t>20</w:t>
            </w:r>
            <w:r w:rsidR="005D4FEC" w:rsidRPr="002260D3">
              <w:rPr>
                <w:rFonts w:ascii="Arial" w:hAnsi="Arial" w:cs="Arial"/>
                <w:sz w:val="22"/>
                <w:szCs w:val="22"/>
                <w:vertAlign w:val="superscript"/>
              </w:rPr>
              <w:t>th</w:t>
            </w:r>
            <w:r w:rsidR="005D4FEC" w:rsidRPr="002260D3">
              <w:rPr>
                <w:rFonts w:ascii="Arial" w:hAnsi="Arial" w:cs="Arial"/>
                <w:sz w:val="22"/>
                <w:szCs w:val="22"/>
              </w:rPr>
              <w:t xml:space="preserve"> </w:t>
            </w:r>
            <w:r w:rsidR="00741B99">
              <w:rPr>
                <w:rFonts w:ascii="Arial" w:hAnsi="Arial" w:cs="Arial"/>
                <w:sz w:val="22"/>
                <w:szCs w:val="22"/>
              </w:rPr>
              <w:t>August</w:t>
            </w:r>
            <w:r w:rsidRPr="002260D3">
              <w:rPr>
                <w:rFonts w:ascii="Arial" w:hAnsi="Arial" w:cs="Arial"/>
                <w:sz w:val="22"/>
                <w:szCs w:val="22"/>
              </w:rPr>
              <w:t xml:space="preserve"> 2018</w:t>
            </w:r>
          </w:p>
        </w:tc>
      </w:tr>
      <w:tr w:rsidR="00C01E46" w:rsidRPr="0018341F" w14:paraId="35983DF7" w14:textId="77777777" w:rsidTr="00954CA3">
        <w:tc>
          <w:tcPr>
            <w:tcW w:w="1545" w:type="dxa"/>
            <w:shd w:val="clear" w:color="auto" w:fill="auto"/>
          </w:tcPr>
          <w:p w14:paraId="0F52AEC9" w14:textId="77777777" w:rsidR="00C01E46" w:rsidRPr="002260D3" w:rsidRDefault="00C01E46" w:rsidP="00C01E46">
            <w:pPr>
              <w:keepNext/>
              <w:keepLines/>
              <w:spacing w:after="120" w:line="276" w:lineRule="auto"/>
              <w:jc w:val="both"/>
              <w:rPr>
                <w:rFonts w:ascii="Arial" w:hAnsi="Arial" w:cs="Arial"/>
                <w:sz w:val="22"/>
                <w:szCs w:val="22"/>
              </w:rPr>
            </w:pPr>
          </w:p>
        </w:tc>
        <w:tc>
          <w:tcPr>
            <w:tcW w:w="4252" w:type="dxa"/>
            <w:shd w:val="clear" w:color="auto" w:fill="auto"/>
          </w:tcPr>
          <w:p w14:paraId="72081083" w14:textId="5F380A5D" w:rsidR="00C01E46" w:rsidRPr="002260D3" w:rsidRDefault="00C01E46" w:rsidP="00C01E46">
            <w:pPr>
              <w:keepNext/>
              <w:keepLines/>
              <w:spacing w:after="120" w:line="276" w:lineRule="auto"/>
              <w:jc w:val="both"/>
              <w:rPr>
                <w:rFonts w:ascii="Arial" w:hAnsi="Arial" w:cs="Arial"/>
                <w:sz w:val="22"/>
                <w:szCs w:val="22"/>
              </w:rPr>
            </w:pPr>
            <w:r w:rsidRPr="002260D3">
              <w:rPr>
                <w:rFonts w:ascii="Arial" w:hAnsi="Arial" w:cs="Arial"/>
                <w:sz w:val="22"/>
                <w:szCs w:val="22"/>
              </w:rPr>
              <w:t>Contract awarded</w:t>
            </w:r>
          </w:p>
        </w:tc>
        <w:tc>
          <w:tcPr>
            <w:tcW w:w="2675" w:type="dxa"/>
            <w:shd w:val="clear" w:color="auto" w:fill="auto"/>
          </w:tcPr>
          <w:p w14:paraId="3A6E53F9" w14:textId="07764A45" w:rsidR="00C01E46" w:rsidRPr="002260D3" w:rsidRDefault="005D4FEC" w:rsidP="00C01E46">
            <w:pPr>
              <w:keepNext/>
              <w:keepLines/>
              <w:spacing w:after="120" w:line="276" w:lineRule="auto"/>
              <w:jc w:val="both"/>
              <w:rPr>
                <w:rFonts w:ascii="Arial" w:hAnsi="Arial" w:cs="Arial"/>
                <w:sz w:val="22"/>
                <w:szCs w:val="22"/>
              </w:rPr>
            </w:pPr>
            <w:r>
              <w:rPr>
                <w:rFonts w:ascii="Arial" w:hAnsi="Arial" w:cs="Arial"/>
                <w:sz w:val="22"/>
                <w:szCs w:val="22"/>
              </w:rPr>
              <w:t>24</w:t>
            </w:r>
            <w:r w:rsidRPr="00F625C5">
              <w:rPr>
                <w:rFonts w:ascii="Arial" w:hAnsi="Arial" w:cs="Arial"/>
                <w:sz w:val="22"/>
                <w:szCs w:val="22"/>
                <w:vertAlign w:val="superscript"/>
              </w:rPr>
              <w:t>th</w:t>
            </w:r>
            <w:r>
              <w:rPr>
                <w:rFonts w:ascii="Arial" w:hAnsi="Arial" w:cs="Arial"/>
                <w:sz w:val="22"/>
                <w:szCs w:val="22"/>
              </w:rPr>
              <w:t xml:space="preserve"> </w:t>
            </w:r>
            <w:r w:rsidR="00C01E46" w:rsidRPr="002260D3">
              <w:rPr>
                <w:rFonts w:ascii="Arial" w:hAnsi="Arial" w:cs="Arial"/>
                <w:sz w:val="22"/>
                <w:szCs w:val="22"/>
              </w:rPr>
              <w:t>August 2018</w:t>
            </w:r>
          </w:p>
        </w:tc>
      </w:tr>
      <w:tr w:rsidR="00C01E46" w:rsidRPr="0018341F" w14:paraId="6BCB348B" w14:textId="77777777" w:rsidTr="00954CA3">
        <w:trPr>
          <w:trHeight w:val="406"/>
        </w:trPr>
        <w:tc>
          <w:tcPr>
            <w:tcW w:w="1545" w:type="dxa"/>
            <w:shd w:val="clear" w:color="auto" w:fill="auto"/>
          </w:tcPr>
          <w:p w14:paraId="2C8E03A6" w14:textId="5A386543" w:rsidR="00C01E46" w:rsidRPr="002260D3" w:rsidRDefault="00C01E46" w:rsidP="00C01E46">
            <w:pPr>
              <w:keepNext/>
              <w:keepLines/>
              <w:spacing w:after="120" w:line="276" w:lineRule="auto"/>
              <w:rPr>
                <w:rFonts w:ascii="Arial" w:hAnsi="Arial" w:cs="Arial"/>
                <w:sz w:val="22"/>
                <w:szCs w:val="22"/>
              </w:rPr>
            </w:pPr>
            <w:r w:rsidRPr="002260D3">
              <w:rPr>
                <w:rFonts w:ascii="Arial" w:hAnsi="Arial" w:cs="Arial"/>
                <w:sz w:val="22"/>
                <w:szCs w:val="22"/>
              </w:rPr>
              <w:t>Project development</w:t>
            </w:r>
          </w:p>
        </w:tc>
        <w:tc>
          <w:tcPr>
            <w:tcW w:w="4252" w:type="dxa"/>
            <w:tcBorders>
              <w:bottom w:val="single" w:sz="4" w:space="0" w:color="auto"/>
            </w:tcBorders>
            <w:shd w:val="clear" w:color="auto" w:fill="auto"/>
          </w:tcPr>
          <w:p w14:paraId="5F2EC5C1" w14:textId="2DC1241D" w:rsidR="00C01E46" w:rsidRPr="002260D3" w:rsidRDefault="00C01E46" w:rsidP="00C01E46">
            <w:pPr>
              <w:keepNext/>
              <w:keepLines/>
              <w:spacing w:after="120" w:line="276" w:lineRule="auto"/>
              <w:jc w:val="both"/>
              <w:rPr>
                <w:rFonts w:ascii="Arial" w:hAnsi="Arial" w:cs="Arial"/>
                <w:sz w:val="22"/>
                <w:szCs w:val="22"/>
              </w:rPr>
            </w:pPr>
            <w:r w:rsidRPr="002260D3">
              <w:rPr>
                <w:rFonts w:ascii="Arial" w:hAnsi="Arial" w:cs="Arial"/>
                <w:sz w:val="22"/>
                <w:szCs w:val="22"/>
              </w:rPr>
              <w:t>Method development – draft method document</w:t>
            </w:r>
          </w:p>
        </w:tc>
        <w:tc>
          <w:tcPr>
            <w:tcW w:w="2675" w:type="dxa"/>
            <w:tcBorders>
              <w:bottom w:val="single" w:sz="4" w:space="0" w:color="auto"/>
            </w:tcBorders>
            <w:shd w:val="clear" w:color="auto" w:fill="auto"/>
          </w:tcPr>
          <w:p w14:paraId="20655DC6" w14:textId="254273FA" w:rsidR="00C01E46" w:rsidRPr="002260D3" w:rsidRDefault="00C01E46" w:rsidP="005D4FEC">
            <w:pPr>
              <w:keepNext/>
              <w:keepLines/>
              <w:spacing w:after="120" w:line="276" w:lineRule="auto"/>
              <w:jc w:val="both"/>
              <w:rPr>
                <w:rFonts w:ascii="Arial" w:hAnsi="Arial" w:cs="Arial"/>
                <w:sz w:val="22"/>
                <w:szCs w:val="22"/>
              </w:rPr>
            </w:pPr>
            <w:r w:rsidRPr="002260D3">
              <w:rPr>
                <w:rFonts w:ascii="Arial" w:hAnsi="Arial" w:cs="Arial"/>
                <w:sz w:val="22"/>
                <w:szCs w:val="22"/>
              </w:rPr>
              <w:t xml:space="preserve">w/c </w:t>
            </w:r>
            <w:r w:rsidR="005D4FEC">
              <w:rPr>
                <w:rFonts w:ascii="Arial" w:hAnsi="Arial" w:cs="Arial"/>
                <w:sz w:val="22"/>
                <w:szCs w:val="22"/>
              </w:rPr>
              <w:t>3</w:t>
            </w:r>
            <w:r w:rsidR="005D4FEC" w:rsidRPr="00D558D7">
              <w:rPr>
                <w:rFonts w:ascii="Arial" w:hAnsi="Arial" w:cs="Arial"/>
                <w:sz w:val="22"/>
                <w:szCs w:val="22"/>
                <w:vertAlign w:val="superscript"/>
              </w:rPr>
              <w:t>rd</w:t>
            </w:r>
            <w:r w:rsidR="005D4FEC">
              <w:rPr>
                <w:rFonts w:ascii="Arial" w:hAnsi="Arial" w:cs="Arial"/>
                <w:sz w:val="22"/>
                <w:szCs w:val="22"/>
              </w:rPr>
              <w:t xml:space="preserve"> September</w:t>
            </w:r>
            <w:r w:rsidRPr="002260D3">
              <w:rPr>
                <w:rFonts w:ascii="Arial" w:hAnsi="Arial" w:cs="Arial"/>
                <w:sz w:val="22"/>
                <w:szCs w:val="22"/>
              </w:rPr>
              <w:t xml:space="preserve"> 2018</w:t>
            </w:r>
          </w:p>
        </w:tc>
      </w:tr>
      <w:tr w:rsidR="00C01E46" w:rsidRPr="0018341F" w14:paraId="217E9057" w14:textId="77777777" w:rsidTr="00954CA3">
        <w:trPr>
          <w:trHeight w:val="406"/>
        </w:trPr>
        <w:tc>
          <w:tcPr>
            <w:tcW w:w="1545" w:type="dxa"/>
            <w:shd w:val="clear" w:color="auto" w:fill="auto"/>
          </w:tcPr>
          <w:p w14:paraId="7ECED207" w14:textId="77777777" w:rsidR="00C01E46" w:rsidRPr="002260D3" w:rsidRDefault="00C01E46" w:rsidP="00C01E46">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5F5C5E89" w14:textId="5291F53B" w:rsidR="00C01E46" w:rsidRPr="002260D3" w:rsidRDefault="00C01E46" w:rsidP="00C01E46">
            <w:pPr>
              <w:keepNext/>
              <w:keepLines/>
              <w:spacing w:after="120" w:line="276" w:lineRule="auto"/>
              <w:jc w:val="both"/>
              <w:rPr>
                <w:rFonts w:ascii="Arial" w:hAnsi="Arial" w:cs="Arial"/>
                <w:sz w:val="22"/>
                <w:szCs w:val="22"/>
              </w:rPr>
            </w:pPr>
            <w:r w:rsidRPr="002260D3">
              <w:rPr>
                <w:rFonts w:ascii="Arial" w:hAnsi="Arial" w:cs="Arial"/>
                <w:sz w:val="22"/>
                <w:szCs w:val="22"/>
              </w:rPr>
              <w:t>Method development – final method document</w:t>
            </w:r>
          </w:p>
        </w:tc>
        <w:tc>
          <w:tcPr>
            <w:tcW w:w="2675" w:type="dxa"/>
            <w:tcBorders>
              <w:bottom w:val="single" w:sz="4" w:space="0" w:color="auto"/>
            </w:tcBorders>
            <w:shd w:val="clear" w:color="auto" w:fill="auto"/>
          </w:tcPr>
          <w:p w14:paraId="75A3A1AE" w14:textId="44690E6E" w:rsidR="00C01E46" w:rsidRPr="002260D3" w:rsidRDefault="00C01E46" w:rsidP="005D4FEC">
            <w:pPr>
              <w:keepNext/>
              <w:keepLines/>
              <w:spacing w:after="120" w:line="276" w:lineRule="auto"/>
              <w:jc w:val="both"/>
              <w:rPr>
                <w:rFonts w:ascii="Arial" w:hAnsi="Arial" w:cs="Arial"/>
                <w:sz w:val="22"/>
                <w:szCs w:val="22"/>
              </w:rPr>
            </w:pPr>
            <w:r w:rsidRPr="002260D3">
              <w:rPr>
                <w:rFonts w:ascii="Arial" w:hAnsi="Arial" w:cs="Arial"/>
                <w:sz w:val="22"/>
                <w:szCs w:val="22"/>
              </w:rPr>
              <w:t xml:space="preserve">w/c </w:t>
            </w:r>
            <w:r w:rsidR="005D4FEC">
              <w:rPr>
                <w:rFonts w:ascii="Arial" w:hAnsi="Arial" w:cs="Arial"/>
                <w:sz w:val="22"/>
                <w:szCs w:val="22"/>
              </w:rPr>
              <w:t>10</w:t>
            </w:r>
            <w:r w:rsidR="005D4FEC" w:rsidRPr="002260D3">
              <w:rPr>
                <w:rFonts w:ascii="Arial" w:hAnsi="Arial" w:cs="Arial"/>
                <w:sz w:val="22"/>
                <w:szCs w:val="22"/>
                <w:vertAlign w:val="superscript"/>
              </w:rPr>
              <w:t>th</w:t>
            </w:r>
            <w:r w:rsidR="005D4FEC" w:rsidRPr="002260D3">
              <w:rPr>
                <w:rFonts w:ascii="Arial" w:hAnsi="Arial" w:cs="Arial"/>
                <w:sz w:val="22"/>
                <w:szCs w:val="22"/>
              </w:rPr>
              <w:t xml:space="preserve"> </w:t>
            </w:r>
            <w:r w:rsidR="005D4FEC">
              <w:rPr>
                <w:rFonts w:ascii="Arial" w:hAnsi="Arial" w:cs="Arial"/>
                <w:sz w:val="22"/>
                <w:szCs w:val="22"/>
              </w:rPr>
              <w:t>September</w:t>
            </w:r>
            <w:r w:rsidR="005D4FEC" w:rsidRPr="002260D3">
              <w:rPr>
                <w:rFonts w:ascii="Arial" w:hAnsi="Arial" w:cs="Arial"/>
                <w:sz w:val="22"/>
                <w:szCs w:val="22"/>
              </w:rPr>
              <w:t xml:space="preserve"> </w:t>
            </w:r>
            <w:r w:rsidRPr="002260D3">
              <w:rPr>
                <w:rFonts w:ascii="Arial" w:hAnsi="Arial" w:cs="Arial"/>
                <w:sz w:val="22"/>
                <w:szCs w:val="22"/>
              </w:rPr>
              <w:t>2018</w:t>
            </w:r>
          </w:p>
        </w:tc>
      </w:tr>
      <w:tr w:rsidR="00C01E46" w:rsidRPr="0018341F" w14:paraId="08D9779D" w14:textId="77777777" w:rsidTr="00954CA3">
        <w:tc>
          <w:tcPr>
            <w:tcW w:w="1545" w:type="dxa"/>
            <w:shd w:val="clear" w:color="auto" w:fill="auto"/>
          </w:tcPr>
          <w:p w14:paraId="7A89C28D" w14:textId="0F39D0C1" w:rsidR="00C01E46" w:rsidRPr="002260D3" w:rsidRDefault="00C01E46" w:rsidP="00C01E46">
            <w:pPr>
              <w:keepNext/>
              <w:keepLines/>
              <w:spacing w:after="120" w:line="276" w:lineRule="auto"/>
              <w:jc w:val="both"/>
              <w:rPr>
                <w:rFonts w:ascii="Arial" w:hAnsi="Arial" w:cs="Arial"/>
                <w:sz w:val="22"/>
                <w:szCs w:val="22"/>
              </w:rPr>
            </w:pPr>
          </w:p>
        </w:tc>
        <w:tc>
          <w:tcPr>
            <w:tcW w:w="4252" w:type="dxa"/>
            <w:tcBorders>
              <w:top w:val="single" w:sz="4" w:space="0" w:color="auto"/>
              <w:bottom w:val="single" w:sz="4" w:space="0" w:color="auto"/>
            </w:tcBorders>
            <w:shd w:val="clear" w:color="auto" w:fill="auto"/>
          </w:tcPr>
          <w:p w14:paraId="11F9A2C5" w14:textId="7C88263A" w:rsidR="00C01E46" w:rsidRPr="002260D3" w:rsidRDefault="00C01E46" w:rsidP="00C01E46">
            <w:pPr>
              <w:keepNext/>
              <w:keepLines/>
              <w:spacing w:after="120" w:line="276" w:lineRule="auto"/>
              <w:rPr>
                <w:rFonts w:ascii="Arial" w:hAnsi="Arial" w:cs="Arial"/>
                <w:sz w:val="22"/>
                <w:szCs w:val="22"/>
              </w:rPr>
            </w:pPr>
            <w:r w:rsidRPr="002260D3">
              <w:rPr>
                <w:rFonts w:ascii="Arial" w:hAnsi="Arial" w:cs="Arial"/>
                <w:sz w:val="22"/>
                <w:szCs w:val="22"/>
              </w:rPr>
              <w:t>Analysis undertaken</w:t>
            </w:r>
          </w:p>
        </w:tc>
        <w:tc>
          <w:tcPr>
            <w:tcW w:w="2675" w:type="dxa"/>
            <w:tcBorders>
              <w:top w:val="single" w:sz="4" w:space="0" w:color="auto"/>
              <w:bottom w:val="single" w:sz="4" w:space="0" w:color="auto"/>
            </w:tcBorders>
            <w:shd w:val="clear" w:color="auto" w:fill="auto"/>
          </w:tcPr>
          <w:p w14:paraId="30E629AC" w14:textId="06E8E194" w:rsidR="00C01E46" w:rsidRPr="002260D3" w:rsidRDefault="005D4FEC" w:rsidP="005D4FEC">
            <w:pPr>
              <w:keepNext/>
              <w:keepLines/>
              <w:spacing w:after="120"/>
              <w:rPr>
                <w:rFonts w:ascii="Arial" w:hAnsi="Arial" w:cs="Arial"/>
                <w:sz w:val="22"/>
                <w:szCs w:val="22"/>
              </w:rPr>
            </w:pPr>
            <w:r>
              <w:rPr>
                <w:rFonts w:ascii="Arial" w:hAnsi="Arial" w:cs="Arial"/>
                <w:sz w:val="22"/>
                <w:szCs w:val="22"/>
              </w:rPr>
              <w:t>Mid-September</w:t>
            </w:r>
            <w:r w:rsidR="00C01E46" w:rsidRPr="002260D3">
              <w:rPr>
                <w:rFonts w:ascii="Arial" w:hAnsi="Arial" w:cs="Arial"/>
                <w:sz w:val="22"/>
                <w:szCs w:val="22"/>
              </w:rPr>
              <w:t xml:space="preserve"> – </w:t>
            </w:r>
            <w:r>
              <w:rPr>
                <w:rFonts w:ascii="Arial" w:hAnsi="Arial" w:cs="Arial"/>
                <w:sz w:val="22"/>
                <w:szCs w:val="22"/>
              </w:rPr>
              <w:t>Early</w:t>
            </w:r>
            <w:r w:rsidR="002531C5">
              <w:rPr>
                <w:rFonts w:ascii="Arial" w:hAnsi="Arial" w:cs="Arial"/>
                <w:sz w:val="22"/>
                <w:szCs w:val="22"/>
              </w:rPr>
              <w:t>-</w:t>
            </w:r>
            <w:r>
              <w:rPr>
                <w:rFonts w:ascii="Arial" w:hAnsi="Arial" w:cs="Arial"/>
                <w:sz w:val="22"/>
                <w:szCs w:val="22"/>
              </w:rPr>
              <w:t>November</w:t>
            </w:r>
            <w:r w:rsidRPr="002260D3">
              <w:rPr>
                <w:rFonts w:ascii="Arial" w:hAnsi="Arial" w:cs="Arial"/>
                <w:sz w:val="22"/>
                <w:szCs w:val="22"/>
              </w:rPr>
              <w:t xml:space="preserve"> </w:t>
            </w:r>
            <w:r w:rsidR="00BA3A68">
              <w:rPr>
                <w:rFonts w:ascii="Arial" w:hAnsi="Arial" w:cs="Arial"/>
                <w:sz w:val="22"/>
                <w:szCs w:val="22"/>
              </w:rPr>
              <w:t>2018</w:t>
            </w:r>
          </w:p>
        </w:tc>
      </w:tr>
      <w:tr w:rsidR="0060016F" w:rsidRPr="00954CA3" w14:paraId="0DBB5538" w14:textId="77777777" w:rsidTr="00954CA3">
        <w:tc>
          <w:tcPr>
            <w:tcW w:w="1545" w:type="dxa"/>
            <w:shd w:val="clear" w:color="auto" w:fill="auto"/>
          </w:tcPr>
          <w:p w14:paraId="2F2CF822" w14:textId="77777777" w:rsidR="0060016F" w:rsidRPr="002260D3" w:rsidRDefault="0060016F" w:rsidP="00C01E46">
            <w:pPr>
              <w:keepNext/>
              <w:keepLines/>
              <w:spacing w:after="120" w:line="276" w:lineRule="auto"/>
              <w:jc w:val="both"/>
              <w:rPr>
                <w:rFonts w:ascii="Arial" w:hAnsi="Arial" w:cs="Arial"/>
                <w:sz w:val="22"/>
                <w:szCs w:val="22"/>
              </w:rPr>
            </w:pPr>
          </w:p>
        </w:tc>
        <w:tc>
          <w:tcPr>
            <w:tcW w:w="4252" w:type="dxa"/>
            <w:tcBorders>
              <w:top w:val="single" w:sz="4" w:space="0" w:color="auto"/>
              <w:bottom w:val="single" w:sz="4" w:space="0" w:color="auto"/>
            </w:tcBorders>
            <w:shd w:val="clear" w:color="auto" w:fill="auto"/>
          </w:tcPr>
          <w:p w14:paraId="6B38016C" w14:textId="66C0EEB4" w:rsidR="0060016F" w:rsidRPr="002260D3" w:rsidRDefault="0060016F" w:rsidP="00C01E46">
            <w:pPr>
              <w:keepNext/>
              <w:keepLines/>
              <w:spacing w:after="120" w:line="276" w:lineRule="auto"/>
              <w:rPr>
                <w:rFonts w:ascii="Arial" w:hAnsi="Arial" w:cs="Arial"/>
                <w:sz w:val="22"/>
              </w:rPr>
            </w:pPr>
            <w:r>
              <w:rPr>
                <w:rFonts w:ascii="Arial" w:hAnsi="Arial" w:cs="Arial"/>
                <w:sz w:val="22"/>
              </w:rPr>
              <w:t xml:space="preserve">Results submitted </w:t>
            </w:r>
            <w:bookmarkStart w:id="33" w:name="_GoBack"/>
            <w:bookmarkEnd w:id="33"/>
          </w:p>
        </w:tc>
        <w:tc>
          <w:tcPr>
            <w:tcW w:w="2675" w:type="dxa"/>
            <w:tcBorders>
              <w:top w:val="single" w:sz="4" w:space="0" w:color="auto"/>
              <w:bottom w:val="single" w:sz="4" w:space="0" w:color="auto"/>
            </w:tcBorders>
            <w:shd w:val="clear" w:color="auto" w:fill="auto"/>
          </w:tcPr>
          <w:p w14:paraId="5E9B7A9A" w14:textId="57B82904" w:rsidR="0060016F" w:rsidRPr="002260D3" w:rsidRDefault="005D4FEC" w:rsidP="005D4FEC">
            <w:pPr>
              <w:keepNext/>
              <w:keepLines/>
              <w:spacing w:after="120"/>
              <w:rPr>
                <w:rFonts w:ascii="Arial" w:hAnsi="Arial" w:cs="Arial"/>
                <w:sz w:val="22"/>
                <w:szCs w:val="22"/>
              </w:rPr>
            </w:pPr>
            <w:r>
              <w:rPr>
                <w:rFonts w:ascii="Arial" w:hAnsi="Arial" w:cs="Arial"/>
                <w:sz w:val="22"/>
                <w:szCs w:val="22"/>
              </w:rPr>
              <w:t>9</w:t>
            </w:r>
            <w:r w:rsidRPr="00266198">
              <w:rPr>
                <w:rFonts w:ascii="Arial" w:hAnsi="Arial" w:cs="Arial"/>
                <w:sz w:val="22"/>
                <w:szCs w:val="22"/>
                <w:vertAlign w:val="superscript"/>
              </w:rPr>
              <w:t>th</w:t>
            </w:r>
            <w:r>
              <w:rPr>
                <w:rFonts w:ascii="Arial" w:hAnsi="Arial" w:cs="Arial"/>
                <w:sz w:val="22"/>
                <w:szCs w:val="22"/>
              </w:rPr>
              <w:t xml:space="preserve"> November </w:t>
            </w:r>
            <w:r w:rsidR="00BA3A68">
              <w:rPr>
                <w:rFonts w:ascii="Arial" w:hAnsi="Arial" w:cs="Arial"/>
                <w:sz w:val="22"/>
                <w:szCs w:val="22"/>
              </w:rPr>
              <w:t>2018</w:t>
            </w:r>
          </w:p>
        </w:tc>
      </w:tr>
      <w:tr w:rsidR="00C01E46" w:rsidRPr="00954CA3" w14:paraId="07C80B29" w14:textId="77777777" w:rsidTr="00954CA3">
        <w:tc>
          <w:tcPr>
            <w:tcW w:w="1545" w:type="dxa"/>
            <w:shd w:val="clear" w:color="auto" w:fill="auto"/>
          </w:tcPr>
          <w:p w14:paraId="07061E3D" w14:textId="4F26F2B1" w:rsidR="00C01E46" w:rsidRPr="002260D3" w:rsidRDefault="00C01E46" w:rsidP="00C01E46">
            <w:pPr>
              <w:keepNext/>
              <w:keepLines/>
              <w:spacing w:after="120" w:line="276" w:lineRule="auto"/>
              <w:jc w:val="both"/>
              <w:rPr>
                <w:rFonts w:ascii="Arial" w:hAnsi="Arial" w:cs="Arial"/>
                <w:sz w:val="22"/>
                <w:szCs w:val="22"/>
              </w:rPr>
            </w:pPr>
            <w:r w:rsidRPr="002260D3">
              <w:rPr>
                <w:rFonts w:ascii="Arial" w:hAnsi="Arial" w:cs="Arial"/>
                <w:sz w:val="22"/>
                <w:szCs w:val="22"/>
              </w:rPr>
              <w:t>Reporting</w:t>
            </w:r>
          </w:p>
        </w:tc>
        <w:tc>
          <w:tcPr>
            <w:tcW w:w="4252" w:type="dxa"/>
            <w:tcBorders>
              <w:top w:val="single" w:sz="4" w:space="0" w:color="auto"/>
              <w:bottom w:val="single" w:sz="4" w:space="0" w:color="auto"/>
            </w:tcBorders>
            <w:shd w:val="clear" w:color="auto" w:fill="auto"/>
          </w:tcPr>
          <w:p w14:paraId="10C2C5A8" w14:textId="4F0A7045" w:rsidR="00C01E46" w:rsidRPr="002260D3" w:rsidRDefault="005D4FEC" w:rsidP="00C01E46">
            <w:pPr>
              <w:keepNext/>
              <w:keepLines/>
              <w:spacing w:after="120" w:line="276" w:lineRule="auto"/>
              <w:rPr>
                <w:rFonts w:ascii="Arial" w:hAnsi="Arial" w:cs="Arial"/>
                <w:sz w:val="22"/>
                <w:szCs w:val="22"/>
              </w:rPr>
            </w:pPr>
            <w:r w:rsidRPr="00010E2E">
              <w:rPr>
                <w:rFonts w:ascii="Arial" w:hAnsi="Arial" w:cs="Arial"/>
                <w:sz w:val="22"/>
              </w:rPr>
              <w:t>Initial draft report for comments by ASC</w:t>
            </w:r>
          </w:p>
        </w:tc>
        <w:tc>
          <w:tcPr>
            <w:tcW w:w="2675" w:type="dxa"/>
            <w:tcBorders>
              <w:top w:val="single" w:sz="4" w:space="0" w:color="auto"/>
              <w:bottom w:val="single" w:sz="4" w:space="0" w:color="auto"/>
            </w:tcBorders>
            <w:shd w:val="clear" w:color="auto" w:fill="auto"/>
          </w:tcPr>
          <w:p w14:paraId="1B257A0D" w14:textId="3C3CC2B0" w:rsidR="00C01E46" w:rsidRPr="002260D3" w:rsidRDefault="00D558D7" w:rsidP="00D558D7">
            <w:pPr>
              <w:keepNext/>
              <w:keepLines/>
              <w:spacing w:after="120"/>
              <w:rPr>
                <w:rFonts w:ascii="Arial" w:hAnsi="Arial" w:cs="Arial"/>
                <w:sz w:val="22"/>
                <w:szCs w:val="22"/>
              </w:rPr>
            </w:pPr>
            <w:r>
              <w:rPr>
                <w:rFonts w:ascii="Arial" w:hAnsi="Arial" w:cs="Arial"/>
                <w:sz w:val="22"/>
                <w:szCs w:val="22"/>
              </w:rPr>
              <w:t>23</w:t>
            </w:r>
            <w:r w:rsidRPr="00D558D7">
              <w:rPr>
                <w:rFonts w:ascii="Arial" w:hAnsi="Arial" w:cs="Arial"/>
                <w:sz w:val="22"/>
                <w:szCs w:val="22"/>
                <w:vertAlign w:val="superscript"/>
              </w:rPr>
              <w:t>rd</w:t>
            </w:r>
            <w:r>
              <w:rPr>
                <w:rFonts w:ascii="Arial" w:hAnsi="Arial" w:cs="Arial"/>
                <w:sz w:val="22"/>
                <w:szCs w:val="22"/>
              </w:rPr>
              <w:t xml:space="preserve"> </w:t>
            </w:r>
            <w:r w:rsidR="005D4FEC">
              <w:rPr>
                <w:rFonts w:ascii="Arial" w:hAnsi="Arial" w:cs="Arial"/>
                <w:sz w:val="22"/>
                <w:szCs w:val="22"/>
              </w:rPr>
              <w:t xml:space="preserve"> </w:t>
            </w:r>
            <w:r w:rsidR="0060016F">
              <w:rPr>
                <w:rFonts w:ascii="Arial" w:hAnsi="Arial" w:cs="Arial"/>
                <w:sz w:val="22"/>
                <w:szCs w:val="22"/>
              </w:rPr>
              <w:t>November</w:t>
            </w:r>
            <w:r w:rsidR="00C01E46" w:rsidRPr="002260D3">
              <w:rPr>
                <w:rFonts w:ascii="Arial" w:hAnsi="Arial" w:cs="Arial"/>
                <w:sz w:val="22"/>
                <w:szCs w:val="22"/>
              </w:rPr>
              <w:t xml:space="preserve"> </w:t>
            </w:r>
            <w:r w:rsidR="00BA3A68" w:rsidRPr="002260D3">
              <w:rPr>
                <w:rFonts w:ascii="Arial" w:hAnsi="Arial" w:cs="Arial"/>
                <w:sz w:val="22"/>
                <w:szCs w:val="22"/>
              </w:rPr>
              <w:t>201</w:t>
            </w:r>
            <w:r w:rsidR="00BA3A68">
              <w:rPr>
                <w:rFonts w:ascii="Arial" w:hAnsi="Arial" w:cs="Arial"/>
                <w:sz w:val="22"/>
                <w:szCs w:val="22"/>
              </w:rPr>
              <w:t>8</w:t>
            </w:r>
          </w:p>
        </w:tc>
      </w:tr>
      <w:tr w:rsidR="005D4FEC" w:rsidRPr="00954CA3" w14:paraId="7CCFA21B" w14:textId="77777777" w:rsidTr="00954CA3">
        <w:tc>
          <w:tcPr>
            <w:tcW w:w="1545" w:type="dxa"/>
            <w:shd w:val="clear" w:color="auto" w:fill="auto"/>
          </w:tcPr>
          <w:p w14:paraId="05DDA746" w14:textId="77777777" w:rsidR="005D4FEC" w:rsidRPr="002260D3" w:rsidRDefault="005D4FEC" w:rsidP="00C01E46">
            <w:pPr>
              <w:keepNext/>
              <w:keepLines/>
              <w:spacing w:after="120" w:line="276" w:lineRule="auto"/>
              <w:jc w:val="both"/>
              <w:rPr>
                <w:rFonts w:ascii="Arial" w:hAnsi="Arial" w:cs="Arial"/>
                <w:sz w:val="22"/>
                <w:szCs w:val="22"/>
              </w:rPr>
            </w:pPr>
          </w:p>
        </w:tc>
        <w:tc>
          <w:tcPr>
            <w:tcW w:w="4252" w:type="dxa"/>
            <w:tcBorders>
              <w:top w:val="single" w:sz="4" w:space="0" w:color="auto"/>
              <w:bottom w:val="single" w:sz="4" w:space="0" w:color="auto"/>
            </w:tcBorders>
            <w:shd w:val="clear" w:color="auto" w:fill="auto"/>
          </w:tcPr>
          <w:p w14:paraId="2366DA7C" w14:textId="0C5F4A1B" w:rsidR="005D4FEC" w:rsidRPr="002260D3" w:rsidRDefault="005D4FEC" w:rsidP="00C01E46">
            <w:pPr>
              <w:keepNext/>
              <w:keepLines/>
              <w:spacing w:after="120" w:line="276" w:lineRule="auto"/>
              <w:rPr>
                <w:rFonts w:ascii="Arial" w:hAnsi="Arial" w:cs="Arial"/>
                <w:sz w:val="22"/>
              </w:rPr>
            </w:pPr>
            <w:r w:rsidRPr="002260D3">
              <w:rPr>
                <w:rFonts w:ascii="Arial" w:hAnsi="Arial" w:cs="Arial"/>
                <w:sz w:val="22"/>
              </w:rPr>
              <w:t>Draft report submitted for review by expert group and academic peer review</w:t>
            </w:r>
          </w:p>
        </w:tc>
        <w:tc>
          <w:tcPr>
            <w:tcW w:w="2675" w:type="dxa"/>
            <w:tcBorders>
              <w:top w:val="single" w:sz="4" w:space="0" w:color="auto"/>
              <w:bottom w:val="single" w:sz="4" w:space="0" w:color="auto"/>
            </w:tcBorders>
            <w:shd w:val="clear" w:color="auto" w:fill="auto"/>
          </w:tcPr>
          <w:p w14:paraId="3BD88769" w14:textId="301C4779" w:rsidR="005D4FEC" w:rsidDel="005D4FEC" w:rsidRDefault="00D558D7" w:rsidP="00D558D7">
            <w:pPr>
              <w:keepNext/>
              <w:keepLines/>
              <w:spacing w:after="120"/>
              <w:rPr>
                <w:rFonts w:ascii="Arial" w:hAnsi="Arial" w:cs="Arial"/>
                <w:sz w:val="22"/>
                <w:szCs w:val="22"/>
              </w:rPr>
            </w:pPr>
            <w:r>
              <w:rPr>
                <w:rFonts w:ascii="Arial" w:hAnsi="Arial" w:cs="Arial"/>
                <w:sz w:val="22"/>
                <w:szCs w:val="22"/>
              </w:rPr>
              <w:t>7</w:t>
            </w:r>
            <w:r w:rsidR="00D5364F" w:rsidRPr="00D558D7">
              <w:rPr>
                <w:rFonts w:ascii="Arial" w:hAnsi="Arial" w:cs="Arial"/>
                <w:sz w:val="22"/>
                <w:szCs w:val="22"/>
                <w:vertAlign w:val="superscript"/>
              </w:rPr>
              <w:t>th</w:t>
            </w:r>
            <w:r w:rsidR="00D5364F">
              <w:rPr>
                <w:rFonts w:ascii="Arial" w:hAnsi="Arial" w:cs="Arial"/>
                <w:sz w:val="22"/>
                <w:szCs w:val="22"/>
              </w:rPr>
              <w:t xml:space="preserve"> </w:t>
            </w:r>
            <w:r>
              <w:rPr>
                <w:rFonts w:ascii="Arial" w:hAnsi="Arial" w:cs="Arial"/>
                <w:sz w:val="22"/>
                <w:szCs w:val="22"/>
              </w:rPr>
              <w:t>December</w:t>
            </w:r>
            <w:r w:rsidR="00D5364F">
              <w:rPr>
                <w:rFonts w:ascii="Arial" w:hAnsi="Arial" w:cs="Arial"/>
                <w:sz w:val="22"/>
                <w:szCs w:val="22"/>
              </w:rPr>
              <w:t xml:space="preserve"> 2018</w:t>
            </w:r>
          </w:p>
        </w:tc>
      </w:tr>
      <w:tr w:rsidR="00C01E46" w:rsidRPr="00954CA3" w14:paraId="24E1F687" w14:textId="77777777" w:rsidTr="00954CA3">
        <w:tc>
          <w:tcPr>
            <w:tcW w:w="1545" w:type="dxa"/>
            <w:shd w:val="clear" w:color="auto" w:fill="auto"/>
          </w:tcPr>
          <w:p w14:paraId="1E74B0E4" w14:textId="77777777" w:rsidR="00C01E46" w:rsidRPr="002260D3" w:rsidRDefault="00C01E46" w:rsidP="00C01E46">
            <w:pPr>
              <w:keepNext/>
              <w:keepLines/>
              <w:spacing w:after="120" w:line="276" w:lineRule="auto"/>
              <w:jc w:val="both"/>
              <w:rPr>
                <w:rFonts w:ascii="Arial" w:hAnsi="Arial" w:cs="Arial"/>
                <w:sz w:val="22"/>
                <w:szCs w:val="22"/>
              </w:rPr>
            </w:pPr>
          </w:p>
        </w:tc>
        <w:tc>
          <w:tcPr>
            <w:tcW w:w="4252" w:type="dxa"/>
            <w:tcBorders>
              <w:top w:val="single" w:sz="4" w:space="0" w:color="auto"/>
              <w:bottom w:val="single" w:sz="4" w:space="0" w:color="auto"/>
            </w:tcBorders>
            <w:shd w:val="clear" w:color="auto" w:fill="auto"/>
          </w:tcPr>
          <w:p w14:paraId="7DB2D63E" w14:textId="57F8A3DD" w:rsidR="00C01E46" w:rsidRPr="002260D3" w:rsidRDefault="00C01E46" w:rsidP="00C01E46">
            <w:pPr>
              <w:keepNext/>
              <w:keepLines/>
              <w:spacing w:after="120" w:line="276" w:lineRule="auto"/>
              <w:rPr>
                <w:rFonts w:ascii="Arial" w:hAnsi="Arial" w:cs="Arial"/>
                <w:sz w:val="22"/>
                <w:szCs w:val="22"/>
              </w:rPr>
            </w:pPr>
            <w:r w:rsidRPr="002260D3">
              <w:rPr>
                <w:rFonts w:ascii="Arial" w:hAnsi="Arial" w:cs="Arial"/>
                <w:sz w:val="22"/>
              </w:rPr>
              <w:t>Final draft report submitted for review by ASC secretariat following peer review</w:t>
            </w:r>
          </w:p>
        </w:tc>
        <w:tc>
          <w:tcPr>
            <w:tcW w:w="2675" w:type="dxa"/>
            <w:tcBorders>
              <w:top w:val="single" w:sz="4" w:space="0" w:color="auto"/>
              <w:bottom w:val="single" w:sz="4" w:space="0" w:color="auto"/>
            </w:tcBorders>
            <w:shd w:val="clear" w:color="auto" w:fill="auto"/>
          </w:tcPr>
          <w:p w14:paraId="50D20A4C" w14:textId="4D1A546C" w:rsidR="00C01E46" w:rsidRPr="002260D3" w:rsidRDefault="00D558D7" w:rsidP="00D558D7">
            <w:pPr>
              <w:keepNext/>
              <w:keepLines/>
              <w:spacing w:after="120"/>
              <w:rPr>
                <w:rFonts w:ascii="Arial" w:hAnsi="Arial" w:cs="Arial"/>
                <w:sz w:val="22"/>
                <w:szCs w:val="22"/>
              </w:rPr>
            </w:pPr>
            <w:r>
              <w:rPr>
                <w:rFonts w:ascii="Arial" w:hAnsi="Arial" w:cs="Arial"/>
                <w:sz w:val="22"/>
                <w:szCs w:val="22"/>
              </w:rPr>
              <w:t>20</w:t>
            </w:r>
            <w:r w:rsidR="005D4FEC" w:rsidRPr="00266198">
              <w:rPr>
                <w:rFonts w:ascii="Arial" w:hAnsi="Arial" w:cs="Arial"/>
                <w:sz w:val="22"/>
                <w:szCs w:val="22"/>
                <w:vertAlign w:val="superscript"/>
              </w:rPr>
              <w:t>th</w:t>
            </w:r>
            <w:r w:rsidR="005D4FEC">
              <w:rPr>
                <w:rFonts w:ascii="Arial" w:hAnsi="Arial" w:cs="Arial"/>
                <w:sz w:val="22"/>
                <w:szCs w:val="22"/>
              </w:rPr>
              <w:t xml:space="preserve"> </w:t>
            </w:r>
            <w:r>
              <w:rPr>
                <w:rFonts w:ascii="Arial" w:hAnsi="Arial" w:cs="Arial"/>
                <w:sz w:val="22"/>
                <w:szCs w:val="22"/>
              </w:rPr>
              <w:t>December</w:t>
            </w:r>
            <w:r w:rsidRPr="002260D3">
              <w:rPr>
                <w:rFonts w:ascii="Arial" w:hAnsi="Arial" w:cs="Arial"/>
                <w:sz w:val="22"/>
                <w:szCs w:val="22"/>
              </w:rPr>
              <w:t xml:space="preserve"> </w:t>
            </w:r>
            <w:r w:rsidR="00BA3A68" w:rsidRPr="002260D3">
              <w:rPr>
                <w:rFonts w:ascii="Arial" w:hAnsi="Arial" w:cs="Arial"/>
                <w:sz w:val="22"/>
                <w:szCs w:val="22"/>
              </w:rPr>
              <w:t>201</w:t>
            </w:r>
            <w:r w:rsidR="00BA3A68">
              <w:rPr>
                <w:rFonts w:ascii="Arial" w:hAnsi="Arial" w:cs="Arial"/>
                <w:sz w:val="22"/>
                <w:szCs w:val="22"/>
              </w:rPr>
              <w:t>8</w:t>
            </w:r>
          </w:p>
        </w:tc>
      </w:tr>
      <w:tr w:rsidR="00C01E46" w:rsidRPr="00954CA3" w14:paraId="5F2042E8" w14:textId="77777777" w:rsidTr="00954CA3">
        <w:tc>
          <w:tcPr>
            <w:tcW w:w="1545" w:type="dxa"/>
            <w:shd w:val="clear" w:color="auto" w:fill="auto"/>
          </w:tcPr>
          <w:p w14:paraId="5A266469" w14:textId="77777777" w:rsidR="00C01E46" w:rsidRPr="002260D3" w:rsidRDefault="00C01E46" w:rsidP="00C01E46">
            <w:pPr>
              <w:keepNext/>
              <w:keepLines/>
              <w:spacing w:after="120" w:line="276" w:lineRule="auto"/>
              <w:jc w:val="both"/>
              <w:rPr>
                <w:rFonts w:ascii="Arial" w:hAnsi="Arial" w:cs="Arial"/>
                <w:sz w:val="22"/>
                <w:szCs w:val="22"/>
              </w:rPr>
            </w:pPr>
          </w:p>
        </w:tc>
        <w:tc>
          <w:tcPr>
            <w:tcW w:w="4252" w:type="dxa"/>
            <w:tcBorders>
              <w:top w:val="single" w:sz="4" w:space="0" w:color="auto"/>
              <w:bottom w:val="single" w:sz="4" w:space="0" w:color="auto"/>
            </w:tcBorders>
            <w:shd w:val="clear" w:color="auto" w:fill="auto"/>
          </w:tcPr>
          <w:p w14:paraId="0DE6F168" w14:textId="0E8587E4" w:rsidR="00C01E46" w:rsidRPr="002260D3" w:rsidRDefault="00C01E46" w:rsidP="00C01E46">
            <w:pPr>
              <w:keepNext/>
              <w:keepLines/>
              <w:spacing w:after="120" w:line="276" w:lineRule="auto"/>
              <w:rPr>
                <w:rFonts w:ascii="Arial" w:hAnsi="Arial" w:cs="Arial"/>
                <w:sz w:val="22"/>
                <w:szCs w:val="22"/>
              </w:rPr>
            </w:pPr>
            <w:r w:rsidRPr="002260D3">
              <w:rPr>
                <w:rFonts w:ascii="Arial" w:hAnsi="Arial" w:cs="Arial"/>
                <w:sz w:val="22"/>
              </w:rPr>
              <w:t>Final report submitted – project completed</w:t>
            </w:r>
          </w:p>
        </w:tc>
        <w:tc>
          <w:tcPr>
            <w:tcW w:w="2675" w:type="dxa"/>
            <w:tcBorders>
              <w:top w:val="single" w:sz="4" w:space="0" w:color="auto"/>
              <w:bottom w:val="single" w:sz="4" w:space="0" w:color="auto"/>
            </w:tcBorders>
            <w:shd w:val="clear" w:color="auto" w:fill="auto"/>
          </w:tcPr>
          <w:p w14:paraId="6FC7CD6A" w14:textId="52FFA53D" w:rsidR="00C01E46" w:rsidRPr="002260D3" w:rsidRDefault="00C01E46" w:rsidP="00D5364F">
            <w:pPr>
              <w:keepNext/>
              <w:keepLines/>
              <w:spacing w:after="120"/>
              <w:rPr>
                <w:rFonts w:ascii="Arial" w:hAnsi="Arial" w:cs="Arial"/>
                <w:sz w:val="22"/>
                <w:szCs w:val="22"/>
              </w:rPr>
            </w:pPr>
            <w:r w:rsidRPr="002260D3">
              <w:rPr>
                <w:rFonts w:ascii="Arial" w:hAnsi="Arial" w:cs="Arial"/>
                <w:sz w:val="22"/>
                <w:szCs w:val="22"/>
              </w:rPr>
              <w:t xml:space="preserve"> </w:t>
            </w:r>
            <w:r w:rsidR="00D558D7">
              <w:rPr>
                <w:rFonts w:ascii="Arial" w:hAnsi="Arial" w:cs="Arial"/>
                <w:sz w:val="22"/>
                <w:szCs w:val="22"/>
              </w:rPr>
              <w:t>11</w:t>
            </w:r>
            <w:r w:rsidR="005D4FEC" w:rsidRPr="00266198">
              <w:rPr>
                <w:rFonts w:ascii="Arial" w:hAnsi="Arial" w:cs="Arial"/>
                <w:sz w:val="22"/>
                <w:szCs w:val="22"/>
                <w:vertAlign w:val="superscript"/>
              </w:rPr>
              <w:t>th</w:t>
            </w:r>
            <w:r w:rsidR="005D4FEC">
              <w:rPr>
                <w:rFonts w:ascii="Arial" w:hAnsi="Arial" w:cs="Arial"/>
                <w:sz w:val="22"/>
                <w:szCs w:val="22"/>
              </w:rPr>
              <w:t xml:space="preserve"> January</w:t>
            </w:r>
            <w:r w:rsidR="005D4FEC" w:rsidRPr="002260D3">
              <w:rPr>
                <w:rFonts w:ascii="Arial" w:hAnsi="Arial" w:cs="Arial"/>
                <w:sz w:val="22"/>
                <w:szCs w:val="22"/>
              </w:rPr>
              <w:t xml:space="preserve"> </w:t>
            </w:r>
            <w:r w:rsidR="00BA3A68" w:rsidRPr="002260D3">
              <w:rPr>
                <w:rFonts w:ascii="Arial" w:hAnsi="Arial" w:cs="Arial"/>
                <w:sz w:val="22"/>
                <w:szCs w:val="22"/>
              </w:rPr>
              <w:t>201</w:t>
            </w:r>
            <w:r w:rsidR="00C169AD">
              <w:rPr>
                <w:rFonts w:ascii="Arial" w:hAnsi="Arial" w:cs="Arial"/>
                <w:sz w:val="22"/>
                <w:szCs w:val="22"/>
              </w:rPr>
              <w:t>9</w:t>
            </w:r>
          </w:p>
        </w:tc>
      </w:tr>
    </w:tbl>
    <w:p w14:paraId="7A7FAE36" w14:textId="2F7066FE" w:rsidR="00D828F3" w:rsidRPr="00D828F3" w:rsidRDefault="00D828F3" w:rsidP="00D828F3">
      <w:pPr>
        <w:pStyle w:val="Heading1"/>
        <w:rPr>
          <w:rFonts w:ascii="Arial" w:hAnsi="Arial" w:cs="Arial"/>
          <w:b w:val="0"/>
          <w:bCs w:val="0"/>
          <w:kern w:val="0"/>
          <w:sz w:val="22"/>
          <w:szCs w:val="22"/>
        </w:rPr>
      </w:pPr>
      <w:bookmarkStart w:id="34" w:name="_Ref357541731"/>
      <w:bookmarkStart w:id="35" w:name="_Toc381969514"/>
      <w:bookmarkStart w:id="36" w:name="_Toc405888463"/>
      <w:bookmarkStart w:id="37" w:name="_Toc496603079"/>
      <w:r w:rsidRPr="00D828F3">
        <w:rPr>
          <w:rFonts w:ascii="Arial" w:hAnsi="Arial" w:cs="Arial"/>
          <w:b w:val="0"/>
          <w:bCs w:val="0"/>
          <w:kern w:val="0"/>
          <w:sz w:val="22"/>
          <w:szCs w:val="22"/>
        </w:rPr>
        <w:t xml:space="preserve">In order to ensure smooth and rapid progress the project plan should allow for regular interactions and meetings where necessary between the contractors and the ASC project team. We would ask bidders to set out when would be appropriate to meet during the project (after the initial kick-off meeting), given the </w:t>
      </w:r>
      <w:r w:rsidRPr="00D828F3">
        <w:rPr>
          <w:rFonts w:ascii="Arial" w:hAnsi="Arial" w:cs="Arial"/>
          <w:b w:val="0"/>
          <w:bCs w:val="0"/>
          <w:kern w:val="0"/>
          <w:sz w:val="22"/>
          <w:szCs w:val="22"/>
        </w:rPr>
        <w:lastRenderedPageBreak/>
        <w:t>timetable above</w:t>
      </w:r>
      <w:r w:rsidR="00741B99">
        <w:rPr>
          <w:rFonts w:ascii="Arial" w:hAnsi="Arial" w:cs="Arial"/>
          <w:b w:val="0"/>
          <w:bCs w:val="0"/>
          <w:kern w:val="0"/>
          <w:sz w:val="22"/>
          <w:szCs w:val="22"/>
        </w:rPr>
        <w:t xml:space="preserve"> but would anticipate at least one face to face meeting (after kick-off) and fortnightly catch ups. </w:t>
      </w:r>
    </w:p>
    <w:p w14:paraId="5EA87566" w14:textId="77777777" w:rsidR="002F59AC" w:rsidRDefault="004C7039" w:rsidP="007248E4">
      <w:pPr>
        <w:pStyle w:val="Heading1"/>
        <w:numPr>
          <w:ilvl w:val="0"/>
          <w:numId w:val="3"/>
        </w:numPr>
        <w:rPr>
          <w:rFonts w:ascii="Arial" w:hAnsi="Arial" w:cs="Arial"/>
          <w:sz w:val="24"/>
          <w:szCs w:val="24"/>
        </w:rPr>
      </w:pPr>
      <w:r w:rsidRPr="002D32D5">
        <w:rPr>
          <w:rFonts w:ascii="Arial" w:hAnsi="Arial" w:cs="Arial"/>
          <w:sz w:val="24"/>
          <w:szCs w:val="24"/>
        </w:rPr>
        <w:t>C</w:t>
      </w:r>
      <w:r w:rsidR="002F59AC" w:rsidRPr="002D32D5">
        <w:rPr>
          <w:rFonts w:ascii="Arial" w:hAnsi="Arial" w:cs="Arial"/>
          <w:sz w:val="24"/>
          <w:szCs w:val="24"/>
        </w:rPr>
        <w:t>hallenges</w:t>
      </w:r>
      <w:bookmarkEnd w:id="34"/>
      <w:bookmarkEnd w:id="35"/>
      <w:bookmarkEnd w:id="36"/>
      <w:bookmarkEnd w:id="37"/>
    </w:p>
    <w:p w14:paraId="284AE220" w14:textId="77777777" w:rsidR="00DD521A" w:rsidRPr="002133A0" w:rsidRDefault="00DD521A" w:rsidP="00DD521A">
      <w:pPr>
        <w:pStyle w:val="Norma"/>
        <w:rPr>
          <w:rFonts w:cs="Arial"/>
        </w:rPr>
      </w:pPr>
    </w:p>
    <w:p w14:paraId="0ED713B6" w14:textId="77777777" w:rsidR="00FD139A" w:rsidRDefault="00FD139A" w:rsidP="00FD139A">
      <w:pPr>
        <w:pStyle w:val="Norma"/>
        <w:rPr>
          <w:rFonts w:cs="Arial"/>
        </w:rPr>
      </w:pPr>
      <w:r w:rsidRPr="002133A0">
        <w:rPr>
          <w:rFonts w:cs="Arial"/>
        </w:rPr>
        <w:t>The specific challenges that the ASC envisage with this project include:</w:t>
      </w:r>
    </w:p>
    <w:p w14:paraId="24321E3B" w14:textId="77777777" w:rsidR="002260D3" w:rsidRPr="002133A0" w:rsidRDefault="002260D3" w:rsidP="00FD139A">
      <w:pPr>
        <w:pStyle w:val="Norma"/>
        <w:rPr>
          <w:rFonts w:cs="Arial"/>
        </w:rPr>
      </w:pPr>
    </w:p>
    <w:p w14:paraId="5EA87567" w14:textId="257CE50C" w:rsidR="00585DA5" w:rsidRDefault="009C22F5" w:rsidP="00D828F3">
      <w:pPr>
        <w:pStyle w:val="Norma"/>
        <w:numPr>
          <w:ilvl w:val="0"/>
          <w:numId w:val="35"/>
        </w:numPr>
        <w:jc w:val="both"/>
        <w:rPr>
          <w:rFonts w:cs="Arial"/>
          <w:bCs/>
          <w:iCs/>
          <w:szCs w:val="24"/>
        </w:rPr>
      </w:pPr>
      <w:r>
        <w:rPr>
          <w:rFonts w:cs="Arial"/>
          <w:bCs/>
          <w:iCs/>
          <w:szCs w:val="24"/>
        </w:rPr>
        <w:t xml:space="preserve">Developing the methodology. This project is characterised by a high degree of complexity. </w:t>
      </w:r>
    </w:p>
    <w:p w14:paraId="31BE90D4" w14:textId="77777777" w:rsidR="002260D3" w:rsidRDefault="002260D3" w:rsidP="002260D3">
      <w:pPr>
        <w:pStyle w:val="Norma"/>
        <w:ind w:left="720"/>
        <w:jc w:val="both"/>
        <w:rPr>
          <w:rFonts w:cs="Arial"/>
          <w:bCs/>
          <w:iCs/>
          <w:szCs w:val="24"/>
        </w:rPr>
      </w:pPr>
    </w:p>
    <w:p w14:paraId="4C55524A" w14:textId="5DCCCC03" w:rsidR="00DF1F16" w:rsidRDefault="00DF1F16" w:rsidP="00D828F3">
      <w:pPr>
        <w:pStyle w:val="Norma"/>
        <w:numPr>
          <w:ilvl w:val="0"/>
          <w:numId w:val="35"/>
        </w:numPr>
        <w:jc w:val="both"/>
        <w:rPr>
          <w:rFonts w:cs="Arial"/>
          <w:bCs/>
          <w:iCs/>
          <w:szCs w:val="24"/>
        </w:rPr>
      </w:pPr>
      <w:r>
        <w:rPr>
          <w:rFonts w:cs="Arial"/>
          <w:bCs/>
          <w:iCs/>
          <w:szCs w:val="24"/>
        </w:rPr>
        <w:t>Data availability. Particularly obtaining geographically-specific data on costs and benefits.</w:t>
      </w:r>
    </w:p>
    <w:p w14:paraId="76C6F538" w14:textId="77777777" w:rsidR="002260D3" w:rsidRDefault="002260D3" w:rsidP="002260D3">
      <w:pPr>
        <w:pStyle w:val="Norma"/>
        <w:jc w:val="both"/>
        <w:rPr>
          <w:rFonts w:cs="Arial"/>
          <w:bCs/>
          <w:iCs/>
          <w:szCs w:val="24"/>
        </w:rPr>
      </w:pPr>
    </w:p>
    <w:p w14:paraId="4F448D68" w14:textId="2477B686" w:rsidR="009C22F5" w:rsidRDefault="009C22F5" w:rsidP="00D828F3">
      <w:pPr>
        <w:pStyle w:val="Norma"/>
        <w:numPr>
          <w:ilvl w:val="0"/>
          <w:numId w:val="35"/>
        </w:numPr>
        <w:jc w:val="both"/>
        <w:rPr>
          <w:rFonts w:cs="Arial"/>
          <w:bCs/>
          <w:iCs/>
          <w:szCs w:val="24"/>
        </w:rPr>
      </w:pPr>
      <w:r>
        <w:rPr>
          <w:rFonts w:cs="Arial"/>
          <w:bCs/>
          <w:iCs/>
          <w:szCs w:val="24"/>
        </w:rPr>
        <w:t xml:space="preserve">Timing. The timescales are relatively short in order to feed into the ASC’s housing report. </w:t>
      </w:r>
    </w:p>
    <w:p w14:paraId="3310BEE2" w14:textId="77777777" w:rsidR="009C22F5" w:rsidRDefault="009C22F5" w:rsidP="009C22F5">
      <w:pPr>
        <w:pStyle w:val="Norma"/>
        <w:ind w:left="720"/>
        <w:jc w:val="both"/>
        <w:rPr>
          <w:rFonts w:cs="Arial"/>
          <w:bCs/>
          <w:iCs/>
          <w:szCs w:val="24"/>
        </w:rPr>
      </w:pPr>
    </w:p>
    <w:p w14:paraId="1F30D6EF" w14:textId="22901D89" w:rsidR="00D14531" w:rsidRPr="003646EA" w:rsidRDefault="00D14531" w:rsidP="007963DA">
      <w:pPr>
        <w:pStyle w:val="Norma"/>
        <w:jc w:val="both"/>
        <w:rPr>
          <w:rFonts w:cs="Arial"/>
          <w:bCs/>
          <w:iCs/>
          <w:szCs w:val="24"/>
        </w:rPr>
      </w:pPr>
      <w:r>
        <w:rPr>
          <w:rFonts w:cs="Arial"/>
          <w:bCs/>
          <w:iCs/>
          <w:szCs w:val="24"/>
        </w:rPr>
        <w:t>Bids should also set out other risks and challenges to successfully undertaking this work.</w:t>
      </w:r>
    </w:p>
    <w:p w14:paraId="5EA87568" w14:textId="4ACB39F2" w:rsidR="008F4BEB" w:rsidRPr="002D32D5" w:rsidRDefault="008F4BEB" w:rsidP="007248E4">
      <w:pPr>
        <w:pStyle w:val="Heading1"/>
        <w:numPr>
          <w:ilvl w:val="0"/>
          <w:numId w:val="3"/>
        </w:numPr>
        <w:rPr>
          <w:rFonts w:ascii="Arial" w:hAnsi="Arial" w:cs="Arial"/>
          <w:sz w:val="24"/>
          <w:szCs w:val="24"/>
        </w:rPr>
      </w:pPr>
      <w:bookmarkStart w:id="38" w:name="_Toc381969515"/>
      <w:bookmarkStart w:id="39" w:name="_Toc405888464"/>
      <w:bookmarkStart w:id="40" w:name="_Toc496603080"/>
      <w:bookmarkStart w:id="41" w:name="_Toc271272913"/>
      <w:r w:rsidRPr="002D32D5">
        <w:rPr>
          <w:rFonts w:ascii="Arial" w:hAnsi="Arial" w:cs="Arial"/>
          <w:sz w:val="24"/>
          <w:szCs w:val="24"/>
        </w:rPr>
        <w:t>Ethics</w:t>
      </w:r>
      <w:bookmarkEnd w:id="38"/>
      <w:bookmarkEnd w:id="39"/>
      <w:bookmarkEnd w:id="40"/>
    </w:p>
    <w:p w14:paraId="5EA87569" w14:textId="77777777" w:rsidR="002D32D5" w:rsidRDefault="002D32D5" w:rsidP="008F4BEB">
      <w:pPr>
        <w:pStyle w:val="ListParagraph"/>
        <w:spacing w:after="0" w:line="240" w:lineRule="auto"/>
        <w:ind w:left="0"/>
        <w:contextualSpacing w:val="0"/>
      </w:pPr>
    </w:p>
    <w:p w14:paraId="5EA8756A" w14:textId="77777777" w:rsidR="005C0467" w:rsidRPr="002133A0" w:rsidRDefault="008F4BEB" w:rsidP="00293D12">
      <w:pPr>
        <w:pStyle w:val="ListParagraph"/>
        <w:spacing w:after="0" w:line="240" w:lineRule="auto"/>
        <w:ind w:left="360"/>
        <w:contextualSpacing w:val="0"/>
        <w:jc w:val="both"/>
        <w:rPr>
          <w:rFonts w:ascii="Arial" w:hAnsi="Arial" w:cs="Arial"/>
          <w:szCs w:val="24"/>
        </w:rPr>
      </w:pPr>
      <w:r w:rsidRPr="002133A0">
        <w:rPr>
          <w:rFonts w:ascii="Arial" w:hAnsi="Arial" w:cs="Arial"/>
          <w:szCs w:val="24"/>
        </w:rPr>
        <w:t>All applicants will need to identify and propose arrangements for initial scrutiny and on-going monitoring of ethical issues.</w:t>
      </w:r>
      <w:r w:rsidR="00BF74E5" w:rsidRPr="002133A0">
        <w:rPr>
          <w:rFonts w:ascii="Arial" w:hAnsi="Arial" w:cs="Arial"/>
          <w:szCs w:val="24"/>
        </w:rPr>
        <w:t xml:space="preserve"> </w:t>
      </w:r>
      <w:r w:rsidR="005C0467" w:rsidRPr="002133A0">
        <w:rPr>
          <w:rFonts w:ascii="Arial" w:hAnsi="Arial" w:cs="Arial"/>
          <w:szCs w:val="24"/>
        </w:rPr>
        <w:t>The ap</w:t>
      </w:r>
      <w:r w:rsidR="005C0467" w:rsidRPr="002133A0">
        <w:rPr>
          <w:rFonts w:ascii="Arial" w:hAnsi="Arial" w:cs="Arial"/>
          <w:szCs w:val="24"/>
        </w:rPr>
        <w:lastRenderedPageBreak/>
        <w:t>propriate handling of ethical issues is part of the tender assessment exercise and proposals will be evaluated on this as part of the ‘addressing challenges and risks’ criterion.</w:t>
      </w:r>
    </w:p>
    <w:p w14:paraId="5EA8756B" w14:textId="77777777" w:rsidR="005C0467" w:rsidRPr="002133A0" w:rsidRDefault="005C0467" w:rsidP="002D32D5">
      <w:pPr>
        <w:pStyle w:val="ListParagraph"/>
        <w:spacing w:after="0" w:line="240" w:lineRule="auto"/>
        <w:ind w:left="0"/>
        <w:contextualSpacing w:val="0"/>
        <w:jc w:val="both"/>
        <w:rPr>
          <w:rFonts w:ascii="Arial" w:hAnsi="Arial" w:cs="Arial"/>
          <w:szCs w:val="24"/>
        </w:rPr>
      </w:pPr>
    </w:p>
    <w:p w14:paraId="5EA8756C" w14:textId="062BEB01" w:rsidR="00D75586" w:rsidRPr="000F78E0" w:rsidRDefault="00BF74E5" w:rsidP="00293D12">
      <w:pPr>
        <w:pStyle w:val="ListParagraph"/>
        <w:spacing w:after="0" w:line="240" w:lineRule="auto"/>
        <w:ind w:left="360"/>
        <w:contextualSpacing w:val="0"/>
        <w:jc w:val="both"/>
        <w:rPr>
          <w:rFonts w:ascii="Arial" w:hAnsi="Arial" w:cs="Arial"/>
        </w:rPr>
      </w:pPr>
      <w:r w:rsidRPr="000F78E0">
        <w:rPr>
          <w:rFonts w:ascii="Arial" w:hAnsi="Arial" w:cs="Arial"/>
        </w:rPr>
        <w:t>We expect contractors to adhere to the</w:t>
      </w:r>
      <w:r w:rsidR="00D75586" w:rsidRPr="000F78E0">
        <w:rPr>
          <w:rFonts w:ascii="Arial" w:hAnsi="Arial" w:cs="Arial"/>
        </w:rPr>
        <w:t xml:space="preserve"> following</w:t>
      </w:r>
      <w:r w:rsidRPr="000F78E0">
        <w:rPr>
          <w:rFonts w:ascii="Arial" w:hAnsi="Arial" w:cs="Arial"/>
        </w:rPr>
        <w:t xml:space="preserve"> GSR</w:t>
      </w:r>
      <w:r w:rsidR="00D75586" w:rsidRPr="000F78E0">
        <w:rPr>
          <w:rFonts w:ascii="Arial" w:hAnsi="Arial" w:cs="Arial"/>
        </w:rPr>
        <w:t xml:space="preserve"> Princip</w:t>
      </w:r>
      <w:r w:rsidR="006876EF">
        <w:rPr>
          <w:rFonts w:ascii="Arial" w:hAnsi="Arial" w:cs="Arial"/>
        </w:rPr>
        <w:t>les</w:t>
      </w:r>
      <w:r w:rsidR="00D75586" w:rsidRPr="000F78E0">
        <w:rPr>
          <w:rFonts w:ascii="Arial" w:hAnsi="Arial" w:cs="Arial"/>
        </w:rPr>
        <w:t>:</w:t>
      </w:r>
    </w:p>
    <w:p w14:paraId="5EA8756D" w14:textId="77777777" w:rsidR="00D75586" w:rsidRPr="000F78E0" w:rsidRDefault="00D75586" w:rsidP="007248E4">
      <w:pPr>
        <w:pStyle w:val="ListParagraph"/>
        <w:numPr>
          <w:ilvl w:val="0"/>
          <w:numId w:val="2"/>
        </w:numPr>
        <w:rPr>
          <w:rFonts w:ascii="Arial" w:hAnsi="Arial" w:cs="Arial"/>
          <w:iCs/>
        </w:rPr>
      </w:pPr>
      <w:r w:rsidRPr="000F78E0">
        <w:rPr>
          <w:rFonts w:ascii="Arial" w:hAnsi="Arial" w:cs="Arial"/>
          <w:iCs/>
        </w:rPr>
        <w:t>Sound application</w:t>
      </w:r>
      <w:r w:rsidR="009E2B4B" w:rsidRPr="000F78E0">
        <w:rPr>
          <w:rFonts w:ascii="Arial" w:hAnsi="Arial" w:cs="Arial"/>
          <w:iCs/>
        </w:rPr>
        <w:t xml:space="preserve"> and conduct of social research </w:t>
      </w:r>
      <w:r w:rsidRPr="000F78E0">
        <w:rPr>
          <w:rFonts w:ascii="Arial" w:hAnsi="Arial" w:cs="Arial"/>
          <w:iCs/>
        </w:rPr>
        <w:t>methods and appropriate dissemination and utilisation of findings</w:t>
      </w:r>
    </w:p>
    <w:p w14:paraId="5EA8756E" w14:textId="77777777" w:rsidR="00D75586" w:rsidRPr="000F78E0" w:rsidRDefault="00D75586" w:rsidP="007248E4">
      <w:pPr>
        <w:pStyle w:val="ListParagraph"/>
        <w:numPr>
          <w:ilvl w:val="0"/>
          <w:numId w:val="2"/>
        </w:numPr>
        <w:jc w:val="both"/>
        <w:rPr>
          <w:rFonts w:ascii="Arial" w:hAnsi="Arial" w:cs="Arial"/>
          <w:iCs/>
        </w:rPr>
      </w:pPr>
      <w:r w:rsidRPr="000F78E0">
        <w:rPr>
          <w:rFonts w:ascii="Arial" w:hAnsi="Arial" w:cs="Arial"/>
          <w:iCs/>
        </w:rPr>
        <w:t>Participation based on valid consent</w:t>
      </w:r>
    </w:p>
    <w:p w14:paraId="5EA8756F" w14:textId="77777777" w:rsidR="00D75586" w:rsidRPr="000F78E0" w:rsidRDefault="00D75586" w:rsidP="007248E4">
      <w:pPr>
        <w:pStyle w:val="ListParagraph"/>
        <w:numPr>
          <w:ilvl w:val="0"/>
          <w:numId w:val="2"/>
        </w:numPr>
        <w:jc w:val="both"/>
        <w:rPr>
          <w:rFonts w:ascii="Arial" w:hAnsi="Arial" w:cs="Arial"/>
          <w:iCs/>
        </w:rPr>
      </w:pPr>
      <w:r w:rsidRPr="000F78E0">
        <w:rPr>
          <w:rFonts w:ascii="Arial" w:hAnsi="Arial" w:cs="Arial"/>
          <w:iCs/>
        </w:rPr>
        <w:t>Enabling participation</w:t>
      </w:r>
    </w:p>
    <w:p w14:paraId="5EA87570" w14:textId="77777777" w:rsidR="00D75586" w:rsidRPr="000F78E0" w:rsidRDefault="00D75586" w:rsidP="007248E4">
      <w:pPr>
        <w:pStyle w:val="ListParagraph"/>
        <w:numPr>
          <w:ilvl w:val="0"/>
          <w:numId w:val="2"/>
        </w:numPr>
        <w:jc w:val="both"/>
        <w:rPr>
          <w:rFonts w:ascii="Arial" w:hAnsi="Arial" w:cs="Arial"/>
          <w:iCs/>
        </w:rPr>
      </w:pPr>
      <w:r w:rsidRPr="000F78E0">
        <w:rPr>
          <w:rFonts w:ascii="Arial" w:hAnsi="Arial" w:cs="Arial"/>
          <w:iCs/>
        </w:rPr>
        <w:t>Avoidance of personal harm</w:t>
      </w:r>
    </w:p>
    <w:p w14:paraId="5EA87571" w14:textId="77777777" w:rsidR="00D75586" w:rsidRPr="000F78E0" w:rsidRDefault="00D75586" w:rsidP="007248E4">
      <w:pPr>
        <w:pStyle w:val="ListParagraph"/>
        <w:numPr>
          <w:ilvl w:val="0"/>
          <w:numId w:val="2"/>
        </w:numPr>
        <w:spacing w:after="0" w:line="240" w:lineRule="auto"/>
        <w:contextualSpacing w:val="0"/>
        <w:jc w:val="both"/>
        <w:rPr>
          <w:rFonts w:ascii="Arial" w:hAnsi="Arial" w:cs="Arial"/>
          <w:iCs/>
        </w:rPr>
      </w:pPr>
      <w:r w:rsidRPr="000F78E0">
        <w:rPr>
          <w:rFonts w:ascii="Arial" w:hAnsi="Arial" w:cs="Arial"/>
          <w:iCs/>
        </w:rPr>
        <w:t>Non-disclosure of identity and personal information</w:t>
      </w:r>
    </w:p>
    <w:p w14:paraId="5EA87572" w14:textId="77777777" w:rsidR="00D75586" w:rsidRPr="000F78E0" w:rsidRDefault="00D75586" w:rsidP="002D32D5">
      <w:pPr>
        <w:pStyle w:val="ListParagraph"/>
        <w:spacing w:after="0" w:line="240" w:lineRule="auto"/>
        <w:ind w:left="0"/>
        <w:contextualSpacing w:val="0"/>
        <w:jc w:val="both"/>
        <w:rPr>
          <w:rFonts w:ascii="Arial" w:hAnsi="Arial" w:cs="Arial"/>
        </w:rPr>
      </w:pPr>
    </w:p>
    <w:p w14:paraId="5EA87573" w14:textId="77777777" w:rsidR="00E070AD" w:rsidRPr="002D32D5" w:rsidRDefault="00E070AD" w:rsidP="007248E4">
      <w:pPr>
        <w:pStyle w:val="Heading1"/>
        <w:numPr>
          <w:ilvl w:val="0"/>
          <w:numId w:val="3"/>
        </w:numPr>
        <w:rPr>
          <w:rFonts w:ascii="Arial" w:hAnsi="Arial" w:cs="Arial"/>
          <w:sz w:val="24"/>
          <w:szCs w:val="24"/>
        </w:rPr>
      </w:pPr>
      <w:bookmarkStart w:id="42" w:name="_Ref338852517"/>
      <w:bookmarkStart w:id="43" w:name="_Toc381969516"/>
      <w:bookmarkStart w:id="44" w:name="_Toc405888465"/>
      <w:bookmarkStart w:id="45" w:name="_Toc496603081"/>
      <w:bookmarkEnd w:id="41"/>
      <w:r w:rsidRPr="002D32D5">
        <w:rPr>
          <w:rFonts w:ascii="Arial" w:hAnsi="Arial" w:cs="Arial"/>
          <w:sz w:val="24"/>
          <w:szCs w:val="24"/>
        </w:rPr>
        <w:t>Working Arrangements</w:t>
      </w:r>
      <w:bookmarkEnd w:id="42"/>
      <w:bookmarkEnd w:id="43"/>
      <w:bookmarkEnd w:id="44"/>
      <w:bookmarkEnd w:id="45"/>
    </w:p>
    <w:p w14:paraId="5EA87574" w14:textId="77777777" w:rsidR="00AA62E8" w:rsidRPr="000F78E0" w:rsidRDefault="00AA62E8" w:rsidP="005A7FBC">
      <w:pPr>
        <w:pStyle w:val="Norma"/>
        <w:jc w:val="both"/>
        <w:rPr>
          <w:rFonts w:cs="Arial"/>
          <w:b/>
          <w:bCs/>
          <w:iCs/>
        </w:rPr>
      </w:pPr>
    </w:p>
    <w:p w14:paraId="5EA87578" w14:textId="3889F2B5" w:rsidR="00AA62E8" w:rsidRPr="008B0B0B" w:rsidRDefault="00AA62E8" w:rsidP="008B0B0B">
      <w:pPr>
        <w:pStyle w:val="Norma"/>
        <w:ind w:left="360"/>
        <w:jc w:val="both"/>
        <w:rPr>
          <w:rFonts w:cs="Arial"/>
          <w:bCs/>
        </w:rPr>
      </w:pPr>
      <w:r w:rsidRPr="000F78E0">
        <w:rPr>
          <w:rFonts w:cs="Arial"/>
          <w:bCs/>
        </w:rPr>
        <w:t>The successful contractor will be expected to identify one named point of contract through</w:t>
      </w:r>
      <w:r w:rsidR="005A7FBC" w:rsidRPr="000F78E0">
        <w:rPr>
          <w:rFonts w:cs="Arial"/>
          <w:bCs/>
        </w:rPr>
        <w:t xml:space="preserve"> </w:t>
      </w:r>
      <w:r w:rsidRPr="000F78E0">
        <w:rPr>
          <w:rFonts w:cs="Arial"/>
          <w:bCs/>
        </w:rPr>
        <w:t>whom all e</w:t>
      </w:r>
      <w:r w:rsidR="004C4D20">
        <w:rPr>
          <w:rFonts w:cs="Arial"/>
          <w:bCs/>
        </w:rPr>
        <w:t>nquiries can be filtered. A</w:t>
      </w:r>
      <w:r w:rsidR="00D14531">
        <w:rPr>
          <w:rFonts w:cs="Arial"/>
          <w:bCs/>
        </w:rPr>
        <w:t>n</w:t>
      </w:r>
      <w:r w:rsidR="004C4D20">
        <w:rPr>
          <w:rFonts w:cs="Arial"/>
          <w:bCs/>
        </w:rPr>
        <w:t xml:space="preserve"> ASC</w:t>
      </w:r>
      <w:r w:rsidRPr="000F78E0">
        <w:rPr>
          <w:rFonts w:cs="Arial"/>
          <w:bCs/>
        </w:rPr>
        <w:t xml:space="preserve"> project manager will be assigned to the project and will be the central point of contact. </w:t>
      </w:r>
    </w:p>
    <w:p w14:paraId="5EA87579" w14:textId="77777777" w:rsidR="003C1CE8" w:rsidRPr="002D32D5" w:rsidRDefault="007A7010" w:rsidP="007248E4">
      <w:pPr>
        <w:pStyle w:val="Heading1"/>
        <w:numPr>
          <w:ilvl w:val="0"/>
          <w:numId w:val="3"/>
        </w:numPr>
        <w:rPr>
          <w:rFonts w:ascii="Arial" w:hAnsi="Arial" w:cs="Arial"/>
          <w:sz w:val="24"/>
          <w:szCs w:val="24"/>
        </w:rPr>
      </w:pPr>
      <w:bookmarkStart w:id="46" w:name="_Toc496603082"/>
      <w:r>
        <w:rPr>
          <w:rFonts w:ascii="Arial" w:hAnsi="Arial" w:cs="Arial"/>
          <w:sz w:val="24"/>
          <w:szCs w:val="24"/>
        </w:rPr>
        <w:t>Skills and experience</w:t>
      </w:r>
      <w:bookmarkEnd w:id="46"/>
    </w:p>
    <w:p w14:paraId="5EA8757A" w14:textId="77777777" w:rsidR="00427AFA" w:rsidRPr="000F78E0" w:rsidRDefault="00427AFA" w:rsidP="00B960BC">
      <w:pPr>
        <w:pStyle w:val="Norma"/>
        <w:ind w:left="360"/>
        <w:jc w:val="both"/>
        <w:rPr>
          <w:rFonts w:cs="Arial"/>
        </w:rPr>
      </w:pPr>
    </w:p>
    <w:p w14:paraId="5EA8757B" w14:textId="17814D9C" w:rsidR="00FA702B" w:rsidRPr="000F78E0" w:rsidRDefault="008B0B0B" w:rsidP="00E72DB1">
      <w:pPr>
        <w:pStyle w:val="PTablebodyCharCharChar"/>
        <w:tabs>
          <w:tab w:val="clear" w:pos="7823"/>
          <w:tab w:val="right" w:pos="709"/>
        </w:tabs>
        <w:spacing w:after="0"/>
        <w:ind w:left="360"/>
        <w:rPr>
          <w:rFonts w:cs="Arial"/>
          <w:sz w:val="22"/>
          <w:szCs w:val="22"/>
          <w:highlight w:val="yellow"/>
        </w:rPr>
      </w:pPr>
      <w:r>
        <w:rPr>
          <w:rFonts w:ascii="Arial" w:hAnsi="Arial" w:cs="Arial"/>
          <w:sz w:val="22"/>
          <w:szCs w:val="22"/>
        </w:rPr>
        <w:lastRenderedPageBreak/>
        <w:t>The ASC</w:t>
      </w:r>
      <w:r w:rsidR="004B3AD5" w:rsidRPr="000F78E0">
        <w:rPr>
          <w:rFonts w:ascii="Arial" w:hAnsi="Arial" w:cs="Arial"/>
          <w:sz w:val="22"/>
          <w:szCs w:val="22"/>
        </w:rPr>
        <w:t xml:space="preserve"> </w:t>
      </w:r>
      <w:r w:rsidR="007A7010" w:rsidRPr="000F78E0">
        <w:rPr>
          <w:rFonts w:ascii="Arial" w:hAnsi="Arial" w:cs="Arial"/>
          <w:sz w:val="22"/>
          <w:szCs w:val="22"/>
        </w:rPr>
        <w:t xml:space="preserve">would like you to demonstrate that you have </w:t>
      </w:r>
      <w:r w:rsidR="009F7CC0" w:rsidRPr="000F78E0">
        <w:rPr>
          <w:rFonts w:ascii="Arial" w:hAnsi="Arial" w:cs="Arial"/>
          <w:sz w:val="22"/>
          <w:szCs w:val="22"/>
        </w:rPr>
        <w:t>the experience and capabilities to undertake the project</w:t>
      </w:r>
      <w:r w:rsidR="007A7010" w:rsidRPr="000F78E0">
        <w:rPr>
          <w:rFonts w:ascii="Arial" w:hAnsi="Arial" w:cs="Arial"/>
          <w:sz w:val="22"/>
          <w:szCs w:val="22"/>
        </w:rPr>
        <w:t xml:space="preserve">. Your tender response should include a summary of </w:t>
      </w:r>
      <w:r w:rsidR="009F7CC0" w:rsidRPr="000F78E0">
        <w:rPr>
          <w:rFonts w:ascii="Arial" w:hAnsi="Arial" w:cs="Arial"/>
          <w:sz w:val="22"/>
          <w:szCs w:val="22"/>
        </w:rPr>
        <w:t>each proposed team member</w:t>
      </w:r>
      <w:r w:rsidR="00C62E6E">
        <w:rPr>
          <w:rFonts w:ascii="Arial" w:hAnsi="Arial" w:cs="Arial"/>
          <w:sz w:val="22"/>
          <w:szCs w:val="22"/>
        </w:rPr>
        <w:t>’</w:t>
      </w:r>
      <w:r w:rsidR="009F7CC0" w:rsidRPr="000F78E0">
        <w:rPr>
          <w:rFonts w:ascii="Arial" w:hAnsi="Arial" w:cs="Arial"/>
          <w:sz w:val="22"/>
          <w:szCs w:val="22"/>
        </w:rPr>
        <w:t>s experience</w:t>
      </w:r>
      <w:r w:rsidR="007A7010" w:rsidRPr="000F78E0">
        <w:rPr>
          <w:rFonts w:ascii="Arial" w:hAnsi="Arial" w:cs="Arial"/>
          <w:sz w:val="22"/>
          <w:szCs w:val="22"/>
        </w:rPr>
        <w:t xml:space="preserve"> </w:t>
      </w:r>
      <w:r w:rsidR="009F7CC0" w:rsidRPr="000F78E0">
        <w:rPr>
          <w:rFonts w:ascii="Arial" w:hAnsi="Arial" w:cs="Arial"/>
          <w:sz w:val="22"/>
          <w:szCs w:val="22"/>
        </w:rPr>
        <w:t>and capabilities</w:t>
      </w:r>
      <w:r w:rsidR="007A7010" w:rsidRPr="000F78E0">
        <w:rPr>
          <w:rFonts w:ascii="Arial" w:hAnsi="Arial" w:cs="Arial"/>
          <w:sz w:val="22"/>
          <w:szCs w:val="22"/>
        </w:rPr>
        <w:t>.</w:t>
      </w:r>
      <w:r w:rsidR="00816371" w:rsidRPr="000F78E0">
        <w:rPr>
          <w:rFonts w:cs="Arial"/>
          <w:sz w:val="22"/>
          <w:szCs w:val="22"/>
          <w:highlight w:val="yellow"/>
        </w:rPr>
        <w:t xml:space="preserve"> </w:t>
      </w:r>
    </w:p>
    <w:p w14:paraId="5EA8757C" w14:textId="77777777" w:rsidR="00FA702B" w:rsidRPr="000F78E0" w:rsidRDefault="00FA702B" w:rsidP="00B960BC">
      <w:pPr>
        <w:pStyle w:val="PTablebodyCharCharChar"/>
        <w:spacing w:after="0"/>
        <w:ind w:left="0"/>
        <w:rPr>
          <w:rFonts w:ascii="Arial" w:hAnsi="Arial" w:cs="Arial"/>
          <w:sz w:val="22"/>
          <w:szCs w:val="22"/>
        </w:rPr>
      </w:pPr>
    </w:p>
    <w:p w14:paraId="5EA8757D" w14:textId="77777777" w:rsidR="003C1CE8" w:rsidRPr="000F78E0" w:rsidRDefault="003C1CE8" w:rsidP="00E72DB1">
      <w:pPr>
        <w:pStyle w:val="PTablebodyCharCharChar"/>
        <w:tabs>
          <w:tab w:val="clear" w:pos="7823"/>
          <w:tab w:val="right" w:pos="709"/>
        </w:tabs>
        <w:spacing w:after="0"/>
        <w:ind w:left="360"/>
        <w:rPr>
          <w:rFonts w:ascii="Arial" w:hAnsi="Arial" w:cs="Arial"/>
          <w:sz w:val="22"/>
          <w:szCs w:val="22"/>
        </w:rPr>
      </w:pPr>
      <w:r w:rsidRPr="000F78E0">
        <w:rPr>
          <w:rFonts w:ascii="Arial" w:hAnsi="Arial" w:cs="Arial"/>
          <w:sz w:val="22"/>
          <w:szCs w:val="22"/>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5EA8757E" w14:textId="77777777" w:rsidR="003C1CE8" w:rsidRPr="000F78E0" w:rsidRDefault="003C1CE8" w:rsidP="00B960BC">
      <w:pPr>
        <w:pStyle w:val="PTablebodyCharCharChar"/>
        <w:spacing w:after="0"/>
        <w:ind w:left="0"/>
        <w:rPr>
          <w:rFonts w:ascii="Arial" w:hAnsi="Arial" w:cs="Arial"/>
          <w:sz w:val="22"/>
          <w:szCs w:val="22"/>
        </w:rPr>
      </w:pPr>
    </w:p>
    <w:p w14:paraId="5EA8757F" w14:textId="77777777" w:rsidR="00D64BB0" w:rsidRPr="000F78E0" w:rsidRDefault="003C1CE8" w:rsidP="00E72DB1">
      <w:pPr>
        <w:pStyle w:val="Norma"/>
        <w:ind w:left="360"/>
        <w:jc w:val="both"/>
        <w:rPr>
          <w:rFonts w:cs="Arial"/>
        </w:rPr>
      </w:pPr>
      <w:r w:rsidRPr="000F78E0">
        <w:rPr>
          <w:rFonts w:cs="Arial"/>
        </w:rPr>
        <w:t>Contractors should identify the individual(s) who will be responsible for managing the project.</w:t>
      </w:r>
      <w:bookmarkStart w:id="47" w:name="_Ref338852499"/>
    </w:p>
    <w:p w14:paraId="5EA87580" w14:textId="77777777" w:rsidR="00986070" w:rsidRPr="000F78E0" w:rsidRDefault="00986070" w:rsidP="00D64BB0">
      <w:pPr>
        <w:pStyle w:val="Norma"/>
        <w:jc w:val="both"/>
        <w:rPr>
          <w:rFonts w:ascii="Calibri" w:hAnsi="Calibri" w:cs="Calibri"/>
        </w:rPr>
      </w:pPr>
    </w:p>
    <w:p w14:paraId="5EA87581" w14:textId="77777777" w:rsidR="003043AD" w:rsidRPr="002D32D5" w:rsidRDefault="00D64BB0" w:rsidP="007248E4">
      <w:pPr>
        <w:pStyle w:val="Heading1"/>
        <w:numPr>
          <w:ilvl w:val="0"/>
          <w:numId w:val="3"/>
        </w:numPr>
        <w:rPr>
          <w:rFonts w:ascii="Arial" w:hAnsi="Arial" w:cs="Arial"/>
          <w:sz w:val="24"/>
          <w:szCs w:val="24"/>
        </w:rPr>
      </w:pPr>
      <w:bookmarkStart w:id="48" w:name="_Ref373505239"/>
      <w:bookmarkStart w:id="49" w:name="_Toc381969518"/>
      <w:bookmarkStart w:id="50" w:name="_Toc405888467"/>
      <w:bookmarkStart w:id="51" w:name="_Toc496603083"/>
      <w:r w:rsidRPr="002D32D5">
        <w:rPr>
          <w:rFonts w:ascii="Arial" w:hAnsi="Arial" w:cs="Arial"/>
          <w:sz w:val="24"/>
          <w:szCs w:val="24"/>
        </w:rPr>
        <w:t>C</w:t>
      </w:r>
      <w:r w:rsidR="00A64B82" w:rsidRPr="002D32D5">
        <w:rPr>
          <w:rFonts w:ascii="Arial" w:hAnsi="Arial" w:cs="Arial"/>
          <w:sz w:val="24"/>
          <w:szCs w:val="24"/>
        </w:rPr>
        <w:t>onsortium Bids</w:t>
      </w:r>
      <w:bookmarkEnd w:id="48"/>
      <w:bookmarkEnd w:id="49"/>
      <w:bookmarkEnd w:id="50"/>
      <w:bookmarkEnd w:id="51"/>
    </w:p>
    <w:p w14:paraId="5EA87582" w14:textId="77777777" w:rsidR="00D64BB0" w:rsidRPr="000F78E0" w:rsidRDefault="00D64BB0" w:rsidP="00E4650D">
      <w:pPr>
        <w:pStyle w:val="Norma"/>
        <w:jc w:val="both"/>
        <w:rPr>
          <w:rFonts w:cs="Arial"/>
        </w:rPr>
      </w:pPr>
    </w:p>
    <w:p w14:paraId="5EA87583" w14:textId="77777777" w:rsidR="00D65A99" w:rsidRPr="000F78E0" w:rsidRDefault="003043AD" w:rsidP="00E72DB1">
      <w:pPr>
        <w:pStyle w:val="FootnoteText"/>
        <w:ind w:left="360"/>
        <w:jc w:val="both"/>
        <w:rPr>
          <w:rFonts w:ascii="Arial" w:hAnsi="Arial" w:cs="Arial"/>
          <w:sz w:val="22"/>
          <w:szCs w:val="22"/>
          <w:lang w:eastAsia="en-GB"/>
        </w:rPr>
      </w:pPr>
      <w:r w:rsidRPr="000F78E0">
        <w:rPr>
          <w:rFonts w:ascii="Arial" w:hAnsi="Arial" w:cs="Arial"/>
          <w:sz w:val="22"/>
          <w:szCs w:val="22"/>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0F78E0">
        <w:rPr>
          <w:rFonts w:ascii="Arial" w:hAnsi="Arial" w:cs="Arial"/>
          <w:sz w:val="22"/>
          <w:szCs w:val="22"/>
          <w:lang w:eastAsia="en-GB"/>
        </w:rPr>
        <w:t xml:space="preserve">  We </w:t>
      </w:r>
      <w:r w:rsidR="00D65A99" w:rsidRPr="000F78E0">
        <w:rPr>
          <w:rFonts w:ascii="Arial" w:hAnsi="Arial" w:cs="Arial"/>
          <w:sz w:val="22"/>
          <w:szCs w:val="22"/>
        </w:rPr>
        <w:t>expect the bidder to indicate who in the consortium will be th</w:t>
      </w:r>
      <w:r w:rsidR="00CD651A" w:rsidRPr="000F78E0">
        <w:rPr>
          <w:rFonts w:ascii="Arial" w:hAnsi="Arial" w:cs="Arial"/>
          <w:sz w:val="22"/>
          <w:szCs w:val="22"/>
        </w:rPr>
        <w:t xml:space="preserve">e </w:t>
      </w:r>
      <w:r w:rsidR="00CD651A" w:rsidRPr="000F78E0">
        <w:rPr>
          <w:rFonts w:ascii="Arial" w:hAnsi="Arial" w:cs="Arial"/>
          <w:sz w:val="22"/>
          <w:szCs w:val="22"/>
          <w:lang w:eastAsia="en-GB"/>
        </w:rPr>
        <w:t>lead contact for this project, and the organisation and governance associated with the consortia.</w:t>
      </w:r>
    </w:p>
    <w:p w14:paraId="5EA87584" w14:textId="77777777" w:rsidR="003043AD" w:rsidRPr="000F78E0" w:rsidRDefault="003043AD" w:rsidP="00E4650D">
      <w:pPr>
        <w:pStyle w:val="FootnoteText"/>
        <w:ind w:left="567"/>
        <w:jc w:val="both"/>
        <w:rPr>
          <w:rFonts w:ascii="Arial" w:hAnsi="Arial" w:cs="Arial"/>
          <w:sz w:val="22"/>
          <w:szCs w:val="22"/>
          <w:lang w:eastAsia="en-GB"/>
        </w:rPr>
      </w:pPr>
    </w:p>
    <w:p w14:paraId="5EA87585" w14:textId="77777777" w:rsidR="003043AD" w:rsidRPr="000F78E0" w:rsidRDefault="003043AD" w:rsidP="00E72DB1">
      <w:pPr>
        <w:pStyle w:val="FootnoteText"/>
        <w:ind w:left="360"/>
        <w:jc w:val="both"/>
        <w:rPr>
          <w:rFonts w:ascii="Arial" w:hAnsi="Arial" w:cs="Arial"/>
          <w:sz w:val="22"/>
          <w:szCs w:val="22"/>
          <w:lang w:eastAsia="en-GB"/>
        </w:rPr>
      </w:pPr>
      <w:r w:rsidRPr="000F78E0">
        <w:rPr>
          <w:rFonts w:ascii="Arial" w:hAnsi="Arial" w:cs="Arial"/>
          <w:sz w:val="22"/>
          <w:szCs w:val="22"/>
          <w:lang w:eastAsia="en-GB"/>
        </w:rPr>
        <w:lastRenderedPageBreak/>
        <w:t>Contractors must provide details as to how they will manage any sub-contractors and what percentage of the tendered activity (in terms of monetary value) will be sub-contracted.</w:t>
      </w:r>
    </w:p>
    <w:p w14:paraId="5EA87586" w14:textId="77777777" w:rsidR="003043AD" w:rsidRPr="000F78E0" w:rsidRDefault="003043AD" w:rsidP="00E4650D">
      <w:pPr>
        <w:pStyle w:val="FootnoteText"/>
        <w:ind w:left="567"/>
        <w:jc w:val="both"/>
        <w:rPr>
          <w:rFonts w:ascii="Arial" w:hAnsi="Arial" w:cs="Arial"/>
          <w:sz w:val="22"/>
          <w:szCs w:val="22"/>
          <w:lang w:eastAsia="en-GB"/>
        </w:rPr>
      </w:pPr>
    </w:p>
    <w:p w14:paraId="5EA87587" w14:textId="79EB2CDE" w:rsidR="00AD130E" w:rsidRPr="000F78E0" w:rsidRDefault="00AD130E" w:rsidP="00E72DB1">
      <w:pPr>
        <w:pStyle w:val="NoSpacing"/>
        <w:ind w:left="360"/>
        <w:jc w:val="both"/>
        <w:rPr>
          <w:rFonts w:ascii="Arial" w:hAnsi="Arial" w:cs="Arial"/>
        </w:rPr>
      </w:pPr>
      <w:r w:rsidRPr="000F78E0">
        <w:rPr>
          <w:rFonts w:ascii="Arial" w:hAnsi="Arial" w:cs="Arial"/>
        </w:rPr>
        <w:t>If a consortium is not proposing to form a corporate entity, full details of alternative proposed arran</w:t>
      </w:r>
      <w:r w:rsidR="007A11CB" w:rsidRPr="000F78E0">
        <w:rPr>
          <w:rFonts w:ascii="Arial" w:hAnsi="Arial" w:cs="Arial"/>
        </w:rPr>
        <w:t>gements should be provided</w:t>
      </w:r>
      <w:r w:rsidR="0097210C" w:rsidRPr="000F78E0">
        <w:rPr>
          <w:rFonts w:ascii="Arial" w:hAnsi="Arial" w:cs="Arial"/>
        </w:rPr>
        <w:t>. However, please note C</w:t>
      </w:r>
      <w:r w:rsidRPr="000F78E0">
        <w:rPr>
          <w:rFonts w:ascii="Arial" w:hAnsi="Arial" w:cs="Arial"/>
        </w:rPr>
        <w:t xml:space="preserve">CC reserves the right to require a successful consortium to form a single legal entity in accordance with Regulation 28 of the Public Contracts Regulations 2006. </w:t>
      </w:r>
    </w:p>
    <w:p w14:paraId="5EA87588" w14:textId="77777777" w:rsidR="00AD130E" w:rsidRPr="000F78E0" w:rsidRDefault="00AD130E" w:rsidP="00E4650D">
      <w:pPr>
        <w:pStyle w:val="NoSpacing"/>
        <w:jc w:val="both"/>
        <w:rPr>
          <w:rFonts w:ascii="Arial" w:hAnsi="Arial" w:cs="Arial"/>
        </w:rPr>
      </w:pPr>
    </w:p>
    <w:p w14:paraId="5EA87589" w14:textId="40024243" w:rsidR="00AD130E" w:rsidRPr="000F78E0" w:rsidRDefault="0097210C" w:rsidP="00E72DB1">
      <w:pPr>
        <w:pStyle w:val="NoSpacing"/>
        <w:ind w:left="360"/>
        <w:jc w:val="both"/>
        <w:rPr>
          <w:rFonts w:ascii="Arial" w:hAnsi="Arial" w:cs="Arial"/>
        </w:rPr>
      </w:pPr>
      <w:r w:rsidRPr="000F78E0">
        <w:rPr>
          <w:rFonts w:ascii="Arial" w:hAnsi="Arial" w:cs="Arial"/>
        </w:rPr>
        <w:t>C</w:t>
      </w:r>
      <w:r w:rsidR="00AD130E" w:rsidRPr="000F78E0">
        <w:rPr>
          <w:rFonts w:ascii="Arial" w:hAnsi="Arial" w:cs="Arial"/>
        </w:rPr>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sidRPr="000F78E0">
        <w:rPr>
          <w:rFonts w:ascii="Arial" w:hAnsi="Arial" w:cs="Arial"/>
        </w:rPr>
        <w:t>consortia must be notified to C</w:t>
      </w:r>
      <w:r w:rsidR="00AD130E" w:rsidRPr="000F78E0">
        <w:rPr>
          <w:rFonts w:ascii="Arial" w:hAnsi="Arial" w:cs="Arial"/>
        </w:rPr>
        <w:t xml:space="preserve">CC so that it can make a further assessment by applying the selection criteria to the new information provided. </w:t>
      </w:r>
    </w:p>
    <w:p w14:paraId="5EA8758A" w14:textId="77777777" w:rsidR="004A2B75" w:rsidRPr="000F78E0" w:rsidRDefault="004A2B75" w:rsidP="00053592">
      <w:pPr>
        <w:pStyle w:val="FootnoteText"/>
        <w:rPr>
          <w:rFonts w:cs="Calibri"/>
          <w:sz w:val="22"/>
          <w:szCs w:val="22"/>
          <w:lang w:eastAsia="en-GB"/>
        </w:rPr>
      </w:pPr>
    </w:p>
    <w:p w14:paraId="5EA8758B" w14:textId="77777777" w:rsidR="00F0291F" w:rsidRPr="002D32D5" w:rsidRDefault="00F0291F" w:rsidP="007248E4">
      <w:pPr>
        <w:pStyle w:val="Heading1"/>
        <w:numPr>
          <w:ilvl w:val="0"/>
          <w:numId w:val="3"/>
        </w:numPr>
        <w:rPr>
          <w:rFonts w:ascii="Arial" w:hAnsi="Arial" w:cs="Arial"/>
          <w:sz w:val="24"/>
          <w:szCs w:val="24"/>
        </w:rPr>
      </w:pPr>
      <w:bookmarkStart w:id="52" w:name="_Ref357541811"/>
      <w:bookmarkStart w:id="53" w:name="_Toc381969519"/>
      <w:bookmarkStart w:id="54" w:name="_Toc405888468"/>
      <w:bookmarkStart w:id="55" w:name="_Toc496603084"/>
      <w:bookmarkStart w:id="56" w:name="_Toc246831559"/>
      <w:bookmarkStart w:id="57" w:name="_Toc271272917"/>
      <w:bookmarkStart w:id="58" w:name="_Ref338852577"/>
      <w:bookmarkEnd w:id="47"/>
      <w:r w:rsidRPr="002D32D5">
        <w:rPr>
          <w:rFonts w:ascii="Arial" w:hAnsi="Arial" w:cs="Arial"/>
          <w:sz w:val="24"/>
          <w:szCs w:val="24"/>
        </w:rPr>
        <w:t>Budget</w:t>
      </w:r>
      <w:bookmarkEnd w:id="52"/>
      <w:bookmarkEnd w:id="53"/>
      <w:bookmarkEnd w:id="54"/>
      <w:bookmarkEnd w:id="55"/>
      <w:r w:rsidRPr="002D32D5">
        <w:rPr>
          <w:rFonts w:ascii="Arial" w:hAnsi="Arial" w:cs="Arial"/>
          <w:sz w:val="24"/>
          <w:szCs w:val="24"/>
        </w:rPr>
        <w:t xml:space="preserve"> </w:t>
      </w:r>
    </w:p>
    <w:p w14:paraId="5EA8758C" w14:textId="77777777" w:rsidR="004335BC" w:rsidRPr="000F78E0" w:rsidRDefault="004335BC" w:rsidP="004335BC">
      <w:pPr>
        <w:pStyle w:val="Norma"/>
        <w:rPr>
          <w:rFonts w:ascii="Calibri" w:hAnsi="Calibri" w:cs="Calibri"/>
          <w:b/>
          <w:bCs/>
          <w:iCs/>
        </w:rPr>
      </w:pPr>
    </w:p>
    <w:p w14:paraId="5EA8758D" w14:textId="24ED5999" w:rsidR="003C1CE8" w:rsidRPr="00853733" w:rsidRDefault="003C1CE8" w:rsidP="004759E5">
      <w:pPr>
        <w:pStyle w:val="Paragraph"/>
        <w:ind w:hanging="360"/>
        <w:rPr>
          <w:sz w:val="22"/>
          <w:szCs w:val="22"/>
        </w:rPr>
      </w:pPr>
      <w:r w:rsidRPr="000F78E0">
        <w:rPr>
          <w:sz w:val="22"/>
          <w:szCs w:val="22"/>
        </w:rPr>
        <w:t xml:space="preserve">The budget for this project is </w:t>
      </w:r>
      <w:r w:rsidR="003F50A3" w:rsidRPr="002260D3">
        <w:rPr>
          <w:b/>
          <w:color w:val="000000" w:themeColor="text1"/>
          <w:sz w:val="22"/>
          <w:szCs w:val="22"/>
        </w:rPr>
        <w:t>up to £</w:t>
      </w:r>
      <w:r w:rsidR="003C6FE2">
        <w:rPr>
          <w:b/>
          <w:color w:val="000000" w:themeColor="text1"/>
          <w:sz w:val="22"/>
          <w:szCs w:val="22"/>
        </w:rPr>
        <w:t>58,334</w:t>
      </w:r>
      <w:r w:rsidR="00685B87" w:rsidRPr="002260D3">
        <w:rPr>
          <w:b/>
          <w:color w:val="000000" w:themeColor="text1"/>
          <w:sz w:val="22"/>
          <w:szCs w:val="22"/>
        </w:rPr>
        <w:t xml:space="preserve"> </w:t>
      </w:r>
      <w:r w:rsidR="003C6FE2">
        <w:rPr>
          <w:b/>
          <w:sz w:val="22"/>
          <w:szCs w:val="22"/>
        </w:rPr>
        <w:t>excluding</w:t>
      </w:r>
      <w:r w:rsidR="00685B87" w:rsidRPr="002260D3">
        <w:rPr>
          <w:b/>
          <w:sz w:val="22"/>
          <w:szCs w:val="22"/>
        </w:rPr>
        <w:t xml:space="preserve"> VAT</w:t>
      </w:r>
      <w:r w:rsidR="004759E5" w:rsidRPr="002260D3">
        <w:rPr>
          <w:b/>
          <w:sz w:val="22"/>
          <w:szCs w:val="22"/>
        </w:rPr>
        <w:t>.</w:t>
      </w:r>
    </w:p>
    <w:p w14:paraId="5EA8758E" w14:textId="77777777" w:rsidR="00B00EA2" w:rsidRPr="000F78E0" w:rsidRDefault="00B00EA2" w:rsidP="00E4650D">
      <w:pPr>
        <w:pStyle w:val="ListParagraph"/>
        <w:spacing w:line="240" w:lineRule="auto"/>
        <w:ind w:left="0"/>
        <w:jc w:val="both"/>
        <w:rPr>
          <w:rFonts w:ascii="Arial" w:hAnsi="Arial" w:cs="Arial"/>
        </w:rPr>
      </w:pPr>
    </w:p>
    <w:p w14:paraId="5EA8758F" w14:textId="4586035A" w:rsidR="0089058C" w:rsidRPr="000F78E0" w:rsidRDefault="003C1CE8" w:rsidP="00E72DB1">
      <w:pPr>
        <w:pStyle w:val="ListParagraph"/>
        <w:spacing w:line="240" w:lineRule="auto"/>
        <w:ind w:left="360"/>
        <w:jc w:val="both"/>
        <w:rPr>
          <w:rFonts w:ascii="Arial" w:hAnsi="Arial" w:cs="Arial"/>
        </w:rPr>
      </w:pPr>
      <w:r w:rsidRPr="000F78E0">
        <w:rPr>
          <w:rFonts w:ascii="Arial" w:hAnsi="Arial" w:cs="Arial"/>
        </w:rPr>
        <w:t xml:space="preserve">Contractors should provide a full and detailed breakdown of costs (including options where appropriate). This should include staff (and day rate) allocated to specific tasks. </w:t>
      </w:r>
      <w:bookmarkEnd w:id="56"/>
      <w:bookmarkEnd w:id="57"/>
      <w:bookmarkEnd w:id="58"/>
      <w:r w:rsidR="005E51C4">
        <w:rPr>
          <w:rFonts w:ascii="Arial" w:hAnsi="Arial" w:cs="Arial"/>
        </w:rPr>
        <w:t>Please include the number of days in the unpriced bid.</w:t>
      </w:r>
    </w:p>
    <w:p w14:paraId="5EA87590" w14:textId="77777777" w:rsidR="00272E19" w:rsidRPr="000F78E0" w:rsidRDefault="00272E19" w:rsidP="00E4650D">
      <w:pPr>
        <w:pStyle w:val="ListParagraph"/>
        <w:spacing w:line="240" w:lineRule="auto"/>
        <w:ind w:left="0"/>
        <w:jc w:val="both"/>
        <w:rPr>
          <w:rFonts w:ascii="Arial" w:hAnsi="Arial" w:cs="Arial"/>
        </w:rPr>
      </w:pPr>
    </w:p>
    <w:p w14:paraId="5EA87591" w14:textId="3D0A577D" w:rsidR="00220792" w:rsidRPr="000F78E0" w:rsidRDefault="00220792" w:rsidP="00E72DB1">
      <w:pPr>
        <w:pStyle w:val="ListParagraph"/>
        <w:spacing w:line="240" w:lineRule="auto"/>
        <w:ind w:left="360"/>
        <w:jc w:val="both"/>
        <w:rPr>
          <w:rFonts w:ascii="Arial" w:hAnsi="Arial" w:cs="Arial"/>
          <w:b/>
          <w:color w:val="FF0000"/>
        </w:rPr>
      </w:pPr>
      <w:r w:rsidRPr="000F78E0">
        <w:rPr>
          <w:rFonts w:ascii="Arial" w:hAnsi="Arial" w:cs="Arial"/>
        </w:rPr>
        <w:t>Cost will be a criterion against wh</w:t>
      </w:r>
      <w:r w:rsidR="006A7480">
        <w:rPr>
          <w:rFonts w:ascii="Arial" w:hAnsi="Arial" w:cs="Arial"/>
        </w:rPr>
        <w:t>ich bids which will be ass</w:t>
      </w:r>
      <w:r w:rsidR="00BB4C3F">
        <w:rPr>
          <w:rFonts w:ascii="Arial" w:hAnsi="Arial" w:cs="Arial"/>
        </w:rPr>
        <w:t>ess</w:t>
      </w:r>
      <w:r w:rsidR="00C20EAE" w:rsidRPr="000F78E0">
        <w:rPr>
          <w:rFonts w:ascii="Arial" w:hAnsi="Arial" w:cs="Arial"/>
        </w:rPr>
        <w:t>ed</w:t>
      </w:r>
      <w:r w:rsidR="002133A0" w:rsidRPr="00CF718E">
        <w:rPr>
          <w:rFonts w:ascii="Arial" w:hAnsi="Arial" w:cs="Arial"/>
        </w:rPr>
        <w:t>.</w:t>
      </w:r>
    </w:p>
    <w:p w14:paraId="5EA87592" w14:textId="77777777" w:rsidR="00220792" w:rsidRPr="000F78E0" w:rsidRDefault="00220792" w:rsidP="00E4650D">
      <w:pPr>
        <w:pStyle w:val="ListParagraph"/>
        <w:spacing w:line="240" w:lineRule="auto"/>
        <w:ind w:left="0"/>
        <w:jc w:val="both"/>
        <w:rPr>
          <w:rFonts w:ascii="Arial" w:hAnsi="Arial" w:cs="Arial"/>
        </w:rPr>
      </w:pPr>
    </w:p>
    <w:p w14:paraId="5EA87593" w14:textId="50A2B491" w:rsidR="00272E19" w:rsidRPr="000F78E0" w:rsidRDefault="00272E19" w:rsidP="00E72DB1">
      <w:pPr>
        <w:pStyle w:val="ListParagraph"/>
        <w:spacing w:after="0" w:line="240" w:lineRule="auto"/>
        <w:ind w:left="360"/>
        <w:jc w:val="both"/>
        <w:rPr>
          <w:rFonts w:ascii="Arial" w:hAnsi="Arial" w:cs="Arial"/>
        </w:rPr>
      </w:pPr>
      <w:r w:rsidRPr="000F78E0">
        <w:rPr>
          <w:rFonts w:ascii="Arial" w:hAnsi="Arial" w:cs="Arial"/>
        </w:rPr>
        <w:t xml:space="preserve">Payments will be linked to delivery of key milestones. The indicative milestones and phasing of payments </w:t>
      </w:r>
      <w:r w:rsidR="00DC39C6" w:rsidRPr="000F78E0">
        <w:rPr>
          <w:rFonts w:ascii="Arial" w:hAnsi="Arial" w:cs="Arial"/>
        </w:rPr>
        <w:t>can be adjusted and agreed with the contractor</w:t>
      </w:r>
      <w:r w:rsidR="007A11CB" w:rsidRPr="000F78E0">
        <w:rPr>
          <w:rFonts w:ascii="Arial" w:hAnsi="Arial" w:cs="Arial"/>
        </w:rPr>
        <w:t xml:space="preserve"> and Project Manager. </w:t>
      </w:r>
      <w:r w:rsidR="00E41E71" w:rsidRPr="000F78E0">
        <w:rPr>
          <w:rFonts w:ascii="Arial" w:hAnsi="Arial" w:cs="Arial"/>
        </w:rPr>
        <w:t>P</w:t>
      </w:r>
      <w:r w:rsidR="00DC39C6" w:rsidRPr="000F78E0">
        <w:rPr>
          <w:rFonts w:ascii="Arial" w:hAnsi="Arial" w:cs="Arial"/>
        </w:rPr>
        <w:t>lease advise in your tender response how this breakdown reflects your usual payment processes</w:t>
      </w:r>
      <w:r w:rsidR="00796CF2">
        <w:rPr>
          <w:rFonts w:ascii="Arial" w:hAnsi="Arial" w:cs="Arial"/>
        </w:rPr>
        <w:t>.</w:t>
      </w:r>
    </w:p>
    <w:p w14:paraId="5EA87594" w14:textId="77777777" w:rsidR="00DC39C6" w:rsidRPr="000F78E0" w:rsidRDefault="00DC39C6" w:rsidP="00DC39C6">
      <w:pPr>
        <w:pStyle w:val="ListParagraph"/>
        <w:spacing w:after="0" w:line="240" w:lineRule="auto"/>
        <w:ind w:left="0"/>
        <w:jc w:val="both"/>
        <w:rPr>
          <w:rFonts w:ascii="Arial" w:hAnsi="Arial" w:cs="Arial"/>
        </w:rPr>
      </w:pPr>
    </w:p>
    <w:p w14:paraId="5EA87595" w14:textId="77777777" w:rsidR="008261E0" w:rsidRPr="000F78E0" w:rsidRDefault="003C06AA" w:rsidP="00E72DB1">
      <w:pPr>
        <w:pStyle w:val="Norma"/>
        <w:ind w:left="360"/>
        <w:jc w:val="both"/>
        <w:rPr>
          <w:rFonts w:eastAsia="MS Mincho" w:cs="Arial"/>
          <w:lang w:eastAsia="en-US"/>
        </w:rPr>
      </w:pPr>
      <w:r w:rsidRPr="000F78E0">
        <w:rPr>
          <w:rFonts w:eastAsia="MS Mincho" w:cs="Arial"/>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A87596" w14:textId="77777777" w:rsidR="00532695" w:rsidRPr="000F78E0" w:rsidRDefault="00532695" w:rsidP="00E4650D">
      <w:pPr>
        <w:pStyle w:val="Norma"/>
        <w:jc w:val="both"/>
        <w:rPr>
          <w:rFonts w:eastAsia="MS Mincho" w:cs="Arial"/>
          <w:lang w:eastAsia="en-US"/>
        </w:rPr>
      </w:pPr>
    </w:p>
    <w:p w14:paraId="5EA87597" w14:textId="56E6681C" w:rsidR="00443DE6" w:rsidRPr="000F78E0" w:rsidRDefault="00796CF2" w:rsidP="00E72DB1">
      <w:pPr>
        <w:pStyle w:val="Norma"/>
        <w:ind w:left="360"/>
        <w:jc w:val="both"/>
        <w:rPr>
          <w:rFonts w:eastAsia="MS Mincho" w:cs="Arial"/>
          <w:lang w:eastAsia="en-US"/>
        </w:rPr>
      </w:pPr>
      <w:r>
        <w:rPr>
          <w:rFonts w:eastAsia="MS Mincho" w:cs="Arial"/>
          <w:lang w:eastAsia="en-US"/>
        </w:rPr>
        <w:t>The CCC</w:t>
      </w:r>
      <w:r w:rsidR="008261E0" w:rsidRPr="000F78E0">
        <w:rPr>
          <w:rFonts w:eastAsia="MS Mincho" w:cs="Arial"/>
          <w:lang w:eastAsia="en-US"/>
        </w:rPr>
        <w:t xml:space="preserve"> aims to pay all correctly submitted invoices as soon as possible with a target of 10 days from the date of receipt and within 30 days at the latest in line with standard terms and conditions of contract</w:t>
      </w:r>
      <w:r w:rsidR="00443DE6" w:rsidRPr="000F78E0">
        <w:rPr>
          <w:rFonts w:eastAsia="MS Mincho" w:cs="Arial"/>
          <w:lang w:eastAsia="en-US"/>
        </w:rPr>
        <w:t>.</w:t>
      </w:r>
    </w:p>
    <w:p w14:paraId="5EA87598" w14:textId="77777777" w:rsidR="003C06AA" w:rsidRPr="002D4038" w:rsidRDefault="003C06AA" w:rsidP="003C1CE8">
      <w:pPr>
        <w:pStyle w:val="Norma"/>
        <w:jc w:val="both"/>
        <w:rPr>
          <w:rFonts w:ascii="Calibri" w:hAnsi="Calibri" w:cs="Calibri"/>
          <w:highlight w:val="yellow"/>
        </w:rPr>
      </w:pPr>
    </w:p>
    <w:p w14:paraId="5EA87599" w14:textId="77777777" w:rsidR="003C1CE8" w:rsidRPr="002D32D5" w:rsidRDefault="005C6FBA" w:rsidP="007248E4">
      <w:pPr>
        <w:pStyle w:val="Heading1"/>
        <w:numPr>
          <w:ilvl w:val="0"/>
          <w:numId w:val="3"/>
        </w:numPr>
        <w:rPr>
          <w:rFonts w:ascii="Arial" w:hAnsi="Arial" w:cs="Arial"/>
          <w:sz w:val="24"/>
          <w:szCs w:val="24"/>
        </w:rPr>
      </w:pPr>
      <w:bookmarkStart w:id="59" w:name="_Ref357541836"/>
      <w:bookmarkStart w:id="60" w:name="_Toc381969520"/>
      <w:bookmarkStart w:id="61" w:name="_Toc405888469"/>
      <w:bookmarkStart w:id="62" w:name="_Toc496603085"/>
      <w:r w:rsidRPr="002D32D5">
        <w:rPr>
          <w:rFonts w:ascii="Arial" w:hAnsi="Arial" w:cs="Arial"/>
          <w:sz w:val="24"/>
          <w:szCs w:val="24"/>
        </w:rPr>
        <w:t>Evaluation of Tenders</w:t>
      </w:r>
      <w:bookmarkEnd w:id="59"/>
      <w:bookmarkEnd w:id="60"/>
      <w:bookmarkEnd w:id="61"/>
      <w:bookmarkEnd w:id="62"/>
    </w:p>
    <w:p w14:paraId="5EA8759A" w14:textId="77777777" w:rsidR="003C1CE8" w:rsidRPr="00E4650D" w:rsidRDefault="003C1CE8" w:rsidP="00E4650D">
      <w:pPr>
        <w:pStyle w:val="Norma"/>
        <w:jc w:val="both"/>
        <w:rPr>
          <w:rFonts w:cs="Arial"/>
          <w:sz w:val="24"/>
          <w:szCs w:val="24"/>
        </w:rPr>
      </w:pPr>
    </w:p>
    <w:p w14:paraId="5EA8759B" w14:textId="26C2A24E" w:rsidR="005C788B" w:rsidRPr="000F78E0" w:rsidRDefault="003C1CE8" w:rsidP="00E72DB1">
      <w:pPr>
        <w:pStyle w:val="Norma"/>
        <w:ind w:left="360"/>
        <w:jc w:val="both"/>
        <w:rPr>
          <w:rFonts w:cs="Arial"/>
        </w:rPr>
      </w:pPr>
      <w:r w:rsidRPr="000F78E0">
        <w:rPr>
          <w:rFonts w:cs="Arial"/>
        </w:rPr>
        <w:t>Contractors are invited to submit full tenders of no more than</w:t>
      </w:r>
      <w:r w:rsidRPr="000F78E0">
        <w:rPr>
          <w:rFonts w:cs="Arial"/>
          <w:color w:val="0000FF"/>
        </w:rPr>
        <w:t xml:space="preserve"> </w:t>
      </w:r>
      <w:r w:rsidR="002133A0" w:rsidRPr="001A33AF">
        <w:rPr>
          <w:rFonts w:cs="Arial"/>
          <w:color w:val="000000" w:themeColor="text1"/>
        </w:rPr>
        <w:t>25</w:t>
      </w:r>
      <w:r w:rsidR="00832B02" w:rsidRPr="000F78E0">
        <w:rPr>
          <w:rFonts w:cs="Arial"/>
          <w:color w:val="FF0000"/>
        </w:rPr>
        <w:t xml:space="preserve"> </w:t>
      </w:r>
      <w:r w:rsidRPr="000F78E0">
        <w:rPr>
          <w:rFonts w:cs="Arial"/>
        </w:rPr>
        <w:t>pages</w:t>
      </w:r>
      <w:r w:rsidR="008036AA" w:rsidRPr="000F78E0">
        <w:rPr>
          <w:rFonts w:cs="Arial"/>
        </w:rPr>
        <w:t>, excluding declarations</w:t>
      </w:r>
      <w:r w:rsidRPr="000F78E0">
        <w:rPr>
          <w:rFonts w:cs="Arial"/>
        </w:rPr>
        <w:t>.</w:t>
      </w:r>
      <w:r w:rsidR="00E4650D" w:rsidRPr="000F78E0">
        <w:rPr>
          <w:rFonts w:cs="Arial"/>
        </w:rPr>
        <w:t xml:space="preserve"> </w:t>
      </w:r>
      <w:r w:rsidR="003C54D5" w:rsidRPr="000F78E0">
        <w:rPr>
          <w:rFonts w:cs="Arial"/>
        </w:rPr>
        <w:t xml:space="preserve">Tenders will be evaluated by at least three </w:t>
      </w:r>
      <w:r w:rsidR="0097210C" w:rsidRPr="000F78E0">
        <w:rPr>
          <w:rFonts w:cs="Arial"/>
        </w:rPr>
        <w:t>C</w:t>
      </w:r>
      <w:r w:rsidR="003C54D5" w:rsidRPr="000F78E0">
        <w:rPr>
          <w:rFonts w:cs="Arial"/>
        </w:rPr>
        <w:t>CC staff</w:t>
      </w:r>
      <w:r w:rsidR="005C788B" w:rsidRPr="000F78E0">
        <w:rPr>
          <w:rFonts w:cs="Arial"/>
        </w:rPr>
        <w:t>.</w:t>
      </w:r>
    </w:p>
    <w:p w14:paraId="5EA8759C" w14:textId="77777777" w:rsidR="00E4650D" w:rsidRPr="000F78E0" w:rsidRDefault="00E4650D" w:rsidP="00E4650D">
      <w:pPr>
        <w:pStyle w:val="Norma"/>
        <w:jc w:val="both"/>
        <w:rPr>
          <w:rFonts w:cs="Arial"/>
        </w:rPr>
      </w:pPr>
    </w:p>
    <w:p w14:paraId="5EA8759F" w14:textId="01609AEE" w:rsidR="00002825" w:rsidRPr="000F78E0" w:rsidRDefault="001A33AF" w:rsidP="00804221">
      <w:pPr>
        <w:pStyle w:val="NoSpacing"/>
        <w:ind w:left="360"/>
        <w:rPr>
          <w:rFonts w:ascii="Arial" w:hAnsi="Arial" w:cs="Arial"/>
        </w:rPr>
      </w:pPr>
      <w:r>
        <w:rPr>
          <w:rFonts w:ascii="Arial" w:hAnsi="Arial" w:cs="Arial"/>
        </w:rPr>
        <w:t>The ASC</w:t>
      </w:r>
      <w:r w:rsidR="003C54D5" w:rsidRPr="000F78E0">
        <w:rPr>
          <w:rFonts w:ascii="Arial" w:hAnsi="Arial" w:cs="Arial"/>
        </w:rPr>
        <w:t xml:space="preserve"> will select the bidder that </w:t>
      </w:r>
      <w:r w:rsidR="007C2B17" w:rsidRPr="000F78E0">
        <w:rPr>
          <w:rFonts w:ascii="Arial" w:hAnsi="Arial" w:cs="Arial"/>
        </w:rPr>
        <w:t>scores highest against the</w:t>
      </w:r>
      <w:r w:rsidR="003C54D5" w:rsidRPr="000F78E0">
        <w:rPr>
          <w:rFonts w:ascii="Arial" w:hAnsi="Arial" w:cs="Arial"/>
        </w:rPr>
        <w:t xml:space="preserve"> crit</w:t>
      </w:r>
      <w:r w:rsidR="00804221" w:rsidRPr="000F78E0">
        <w:rPr>
          <w:rFonts w:ascii="Arial" w:hAnsi="Arial" w:cs="Arial"/>
        </w:rPr>
        <w:t>eria and weighting listed below, s</w:t>
      </w:r>
      <w:r w:rsidR="00002825" w:rsidRPr="000F78E0">
        <w:rPr>
          <w:rFonts w:ascii="Arial" w:hAnsi="Arial" w:cs="Arial"/>
        </w:rPr>
        <w:t xml:space="preserve">ee </w:t>
      </w:r>
      <w:r w:rsidR="00EE50B0" w:rsidRPr="000F78E0">
        <w:rPr>
          <w:rFonts w:ascii="Arial" w:hAnsi="Arial" w:cs="Arial"/>
        </w:rPr>
        <w:t>the ITT</w:t>
      </w:r>
      <w:r w:rsidR="00002825" w:rsidRPr="000F78E0">
        <w:rPr>
          <w:rFonts w:ascii="Arial" w:hAnsi="Arial" w:cs="Arial"/>
        </w:rPr>
        <w:t xml:space="preserve"> for further information</w:t>
      </w:r>
      <w:r w:rsidR="00804221" w:rsidRPr="000F78E0">
        <w:rPr>
          <w:rFonts w:ascii="Arial" w:hAnsi="Arial" w:cs="Arial"/>
        </w:rPr>
        <w:t>.</w:t>
      </w:r>
    </w:p>
    <w:p w14:paraId="5EA875A0" w14:textId="77777777" w:rsidR="001623B7" w:rsidRDefault="001623B7" w:rsidP="001623B7">
      <w:pPr>
        <w:pStyle w:val="Norma"/>
        <w:widowControl/>
        <w:overflowPunct/>
        <w:autoSpaceDE/>
        <w:autoSpaceDN/>
        <w:adjustRightInd/>
        <w:jc w:val="both"/>
        <w:textAlignment w:val="auto"/>
        <w:rPr>
          <w:rFonts w:cs="Arial"/>
          <w:sz w:val="24"/>
          <w:szCs w:val="24"/>
        </w:rPr>
      </w:pPr>
    </w:p>
    <w:p w14:paraId="5EA875A1" w14:textId="77777777" w:rsidR="001623B7" w:rsidRDefault="001623B7" w:rsidP="001623B7">
      <w:pPr>
        <w:pStyle w:val="Norma"/>
        <w:spacing w:line="276" w:lineRule="auto"/>
        <w:rPr>
          <w:rFonts w:cs="Arial"/>
          <w:b/>
        </w:rPr>
      </w:pPr>
    </w:p>
    <w:p w14:paraId="5EA875A2" w14:textId="77777777" w:rsidR="001623B7" w:rsidRDefault="001623B7" w:rsidP="00941465">
      <w:pPr>
        <w:pStyle w:val="Norma"/>
        <w:spacing w:line="276" w:lineRule="auto"/>
        <w:ind w:left="360"/>
        <w:rPr>
          <w:rFonts w:cs="Arial"/>
          <w:b/>
        </w:rPr>
      </w:pPr>
      <w:r>
        <w:rPr>
          <w:rFonts w:cs="Arial"/>
          <w:b/>
        </w:rPr>
        <w:t>EVALUATION CRITERIA AND SCORING METHODOLOGY</w:t>
      </w:r>
    </w:p>
    <w:p w14:paraId="5EA875A3" w14:textId="77777777" w:rsidR="001623B7" w:rsidRDefault="001623B7" w:rsidP="001623B7">
      <w:pPr>
        <w:pStyle w:val="Norma"/>
        <w:spacing w:line="276" w:lineRule="auto"/>
        <w:rPr>
          <w:rFonts w:cs="Arial"/>
          <w:b/>
        </w:rPr>
      </w:pPr>
    </w:p>
    <w:p w14:paraId="5EA875A9" w14:textId="77777777" w:rsidR="001623B7" w:rsidRPr="00C6546D" w:rsidRDefault="001623B7" w:rsidP="001623B7">
      <w:pPr>
        <w:pStyle w:val="Norma"/>
        <w:ind w:left="1197"/>
        <w:rPr>
          <w:rFonts w:cs="Arial"/>
          <w:color w:val="FF0000"/>
        </w:rPr>
      </w:pPr>
    </w:p>
    <w:tbl>
      <w:tblPr>
        <w:tblStyle w:val="NormalTable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638"/>
        <w:gridCol w:w="2693"/>
      </w:tblGrid>
      <w:tr w:rsidR="001623B7" w:rsidRPr="00C6546D" w14:paraId="5EA875AD" w14:textId="77777777" w:rsidTr="00FF4DBE">
        <w:tc>
          <w:tcPr>
            <w:tcW w:w="1133" w:type="dxa"/>
          </w:tcPr>
          <w:p w14:paraId="5EA875AA" w14:textId="77777777" w:rsidR="001623B7" w:rsidRPr="00F7796D" w:rsidRDefault="001623B7" w:rsidP="00FD139A">
            <w:pPr>
              <w:pStyle w:val="Heading4"/>
              <w:rPr>
                <w:rFonts w:ascii="Arial" w:hAnsi="Arial" w:cs="Arial"/>
              </w:rPr>
            </w:pPr>
            <w:bookmarkStart w:id="63" w:name="p2"/>
            <w:bookmarkStart w:id="64" w:name="_Toc496603086"/>
            <w:r w:rsidRPr="00F7796D">
              <w:rPr>
                <w:rFonts w:ascii="Arial" w:hAnsi="Arial" w:cs="Arial"/>
              </w:rPr>
              <w:t>Criterion</w:t>
            </w:r>
            <w:bookmarkEnd w:id="63"/>
            <w:bookmarkEnd w:id="64"/>
          </w:p>
        </w:tc>
        <w:tc>
          <w:tcPr>
            <w:tcW w:w="5638" w:type="dxa"/>
            <w:shd w:val="clear" w:color="auto" w:fill="auto"/>
          </w:tcPr>
          <w:p w14:paraId="5EA875AB" w14:textId="77777777" w:rsidR="001623B7" w:rsidRPr="00F7796D" w:rsidRDefault="001623B7" w:rsidP="00FD139A">
            <w:pPr>
              <w:pStyle w:val="Heading4"/>
              <w:rPr>
                <w:rFonts w:ascii="Arial" w:hAnsi="Arial" w:cs="Arial"/>
              </w:rPr>
            </w:pPr>
            <w:bookmarkStart w:id="65" w:name="_Toc496603087"/>
            <w:r w:rsidRPr="00F7796D">
              <w:rPr>
                <w:rFonts w:ascii="Arial" w:hAnsi="Arial" w:cs="Arial"/>
              </w:rPr>
              <w:t>Description</w:t>
            </w:r>
            <w:bookmarkEnd w:id="65"/>
          </w:p>
        </w:tc>
        <w:tc>
          <w:tcPr>
            <w:tcW w:w="2693" w:type="dxa"/>
            <w:shd w:val="clear" w:color="auto" w:fill="auto"/>
          </w:tcPr>
          <w:p w14:paraId="5EA875AC" w14:textId="3988126B" w:rsidR="001623B7" w:rsidRPr="00F7796D" w:rsidRDefault="001623B7" w:rsidP="001B1C15">
            <w:pPr>
              <w:pStyle w:val="Heading4"/>
              <w:rPr>
                <w:rFonts w:ascii="Arial" w:hAnsi="Arial" w:cs="Arial"/>
              </w:rPr>
            </w:pPr>
            <w:bookmarkStart w:id="66" w:name="_Toc496603088"/>
            <w:r w:rsidRPr="00F7796D">
              <w:rPr>
                <w:rFonts w:ascii="Arial" w:hAnsi="Arial" w:cs="Arial"/>
              </w:rPr>
              <w:t>Weighting</w:t>
            </w:r>
            <w:bookmarkEnd w:id="66"/>
          </w:p>
        </w:tc>
      </w:tr>
      <w:tr w:rsidR="0067516A" w:rsidRPr="00C6546D" w14:paraId="5EA875B1" w14:textId="77777777" w:rsidTr="00FF4DBE">
        <w:tc>
          <w:tcPr>
            <w:tcW w:w="1133" w:type="dxa"/>
          </w:tcPr>
          <w:p w14:paraId="5EA875AE" w14:textId="1AB4F7BB" w:rsidR="0067516A" w:rsidRPr="00F7796D" w:rsidRDefault="0067516A" w:rsidP="0067516A">
            <w:pPr>
              <w:pStyle w:val="Norma"/>
              <w:rPr>
                <w:rFonts w:cs="Arial"/>
              </w:rPr>
            </w:pPr>
            <w:r>
              <w:rPr>
                <w:rFonts w:cs="Arial"/>
              </w:rPr>
              <w:t>1</w:t>
            </w:r>
          </w:p>
        </w:tc>
        <w:tc>
          <w:tcPr>
            <w:tcW w:w="5638" w:type="dxa"/>
            <w:shd w:val="clear" w:color="auto" w:fill="auto"/>
          </w:tcPr>
          <w:p w14:paraId="5EA875AF" w14:textId="62D6CEE6" w:rsidR="0067516A" w:rsidRPr="00F7796D" w:rsidRDefault="0067516A" w:rsidP="0067516A">
            <w:pPr>
              <w:pStyle w:val="Norma"/>
              <w:rPr>
                <w:rFonts w:cs="Arial"/>
              </w:rPr>
            </w:pPr>
            <w:r w:rsidRPr="00334AEE">
              <w:rPr>
                <w:rFonts w:ascii="Calibri" w:hAnsi="Calibri"/>
                <w:b/>
              </w:rPr>
              <w:t>RELEVANT EXPERIENCE</w:t>
            </w:r>
            <w:r>
              <w:rPr>
                <w:rFonts w:ascii="Calibri" w:hAnsi="Calibri"/>
                <w:b/>
              </w:rPr>
              <w:t xml:space="preserve"> / DEMONSTRATION OF CABABILITY OF THE PROPOSED PROJECT TEAM</w:t>
            </w:r>
          </w:p>
        </w:tc>
        <w:tc>
          <w:tcPr>
            <w:tcW w:w="2693" w:type="dxa"/>
            <w:shd w:val="clear" w:color="auto" w:fill="auto"/>
          </w:tcPr>
          <w:p w14:paraId="5EA875B0" w14:textId="65CC26CB" w:rsidR="0067516A" w:rsidRPr="00F7796D" w:rsidRDefault="0067516A" w:rsidP="0067516A">
            <w:pPr>
              <w:pStyle w:val="Norma"/>
              <w:rPr>
                <w:rFonts w:cs="Arial"/>
              </w:rPr>
            </w:pPr>
            <w:r>
              <w:rPr>
                <w:rFonts w:cs="Arial"/>
              </w:rPr>
              <w:t>30%</w:t>
            </w:r>
          </w:p>
        </w:tc>
      </w:tr>
      <w:tr w:rsidR="0067516A" w:rsidRPr="00C6546D" w14:paraId="5EA875B5" w14:textId="77777777" w:rsidTr="00FF4DBE">
        <w:tc>
          <w:tcPr>
            <w:tcW w:w="1133" w:type="dxa"/>
          </w:tcPr>
          <w:p w14:paraId="5EA875B2" w14:textId="63F92065" w:rsidR="0067516A" w:rsidRPr="00F7796D" w:rsidRDefault="0067516A" w:rsidP="0067516A">
            <w:pPr>
              <w:pStyle w:val="Norma"/>
              <w:rPr>
                <w:rFonts w:cs="Arial"/>
              </w:rPr>
            </w:pPr>
            <w:r>
              <w:rPr>
                <w:rFonts w:cs="Arial"/>
              </w:rPr>
              <w:t>2</w:t>
            </w:r>
          </w:p>
        </w:tc>
        <w:tc>
          <w:tcPr>
            <w:tcW w:w="5638" w:type="dxa"/>
            <w:shd w:val="clear" w:color="auto" w:fill="auto"/>
          </w:tcPr>
          <w:p w14:paraId="5EA875B3" w14:textId="6BCD66F3" w:rsidR="0067516A" w:rsidRPr="00F7796D" w:rsidRDefault="0067516A" w:rsidP="0067516A">
            <w:pPr>
              <w:pStyle w:val="Norma"/>
              <w:rPr>
                <w:rFonts w:cs="Arial"/>
              </w:rPr>
            </w:pPr>
            <w:r w:rsidRPr="00334AEE">
              <w:rPr>
                <w:rFonts w:ascii="Calibri" w:hAnsi="Calibri"/>
                <w:b/>
              </w:rPr>
              <w:t>QUALITY ASSURING THE SERVICES YOU PROVIDE</w:t>
            </w:r>
          </w:p>
        </w:tc>
        <w:tc>
          <w:tcPr>
            <w:tcW w:w="2693" w:type="dxa"/>
            <w:shd w:val="clear" w:color="auto" w:fill="auto"/>
          </w:tcPr>
          <w:p w14:paraId="5EA875B4" w14:textId="41F36034" w:rsidR="0067516A" w:rsidRPr="00F7796D" w:rsidRDefault="0067516A" w:rsidP="0067516A">
            <w:pPr>
              <w:pStyle w:val="Norma"/>
              <w:rPr>
                <w:rFonts w:cs="Arial"/>
              </w:rPr>
            </w:pPr>
            <w:r>
              <w:rPr>
                <w:rFonts w:cs="Arial"/>
              </w:rPr>
              <w:t>5%</w:t>
            </w:r>
          </w:p>
        </w:tc>
      </w:tr>
      <w:tr w:rsidR="0067516A" w:rsidRPr="00C6546D" w14:paraId="5EA875B9" w14:textId="77777777" w:rsidTr="00FF4DBE">
        <w:tc>
          <w:tcPr>
            <w:tcW w:w="1133" w:type="dxa"/>
          </w:tcPr>
          <w:p w14:paraId="5EA875B6" w14:textId="30BE8255" w:rsidR="0067516A" w:rsidRPr="00F7796D" w:rsidRDefault="0067516A" w:rsidP="0067516A">
            <w:pPr>
              <w:pStyle w:val="Norma"/>
              <w:rPr>
                <w:rFonts w:cs="Arial"/>
              </w:rPr>
            </w:pPr>
            <w:r>
              <w:rPr>
                <w:rFonts w:cs="Arial"/>
              </w:rPr>
              <w:t>3</w:t>
            </w:r>
          </w:p>
        </w:tc>
        <w:tc>
          <w:tcPr>
            <w:tcW w:w="5638" w:type="dxa"/>
            <w:shd w:val="clear" w:color="auto" w:fill="auto"/>
          </w:tcPr>
          <w:p w14:paraId="5EA875B7" w14:textId="179ACFBF" w:rsidR="0067516A" w:rsidRPr="00F7796D" w:rsidRDefault="0067516A" w:rsidP="0067516A">
            <w:pPr>
              <w:pStyle w:val="Norma"/>
              <w:rPr>
                <w:rFonts w:cs="Arial"/>
              </w:rPr>
            </w:pPr>
            <w:r w:rsidRPr="00334AEE">
              <w:rPr>
                <w:rFonts w:ascii="Calibri" w:hAnsi="Calibri"/>
                <w:b/>
              </w:rPr>
              <w:t>MANAGEMENT STRUCTURE</w:t>
            </w:r>
            <w:r>
              <w:rPr>
                <w:rFonts w:ascii="Calibri" w:hAnsi="Calibri"/>
                <w:b/>
              </w:rPr>
              <w:t xml:space="preserve"> AND MANAGING RELATIONSHIP WITH THE CCC</w:t>
            </w:r>
          </w:p>
        </w:tc>
        <w:tc>
          <w:tcPr>
            <w:tcW w:w="2693" w:type="dxa"/>
            <w:shd w:val="clear" w:color="auto" w:fill="auto"/>
          </w:tcPr>
          <w:p w14:paraId="5EA875B8" w14:textId="29209633" w:rsidR="0067516A" w:rsidRPr="00F7796D" w:rsidRDefault="0067516A" w:rsidP="0067516A">
            <w:pPr>
              <w:pStyle w:val="Norma"/>
              <w:rPr>
                <w:rFonts w:cs="Arial"/>
              </w:rPr>
            </w:pPr>
            <w:r>
              <w:rPr>
                <w:rFonts w:cs="Arial"/>
              </w:rPr>
              <w:t>10%</w:t>
            </w:r>
          </w:p>
        </w:tc>
      </w:tr>
      <w:tr w:rsidR="0067516A" w:rsidRPr="00C6546D" w14:paraId="5EA875BD" w14:textId="77777777" w:rsidTr="00FF4DBE">
        <w:tc>
          <w:tcPr>
            <w:tcW w:w="1133" w:type="dxa"/>
          </w:tcPr>
          <w:p w14:paraId="5EA875BA" w14:textId="622EE4C3" w:rsidR="0067516A" w:rsidRPr="00F7796D" w:rsidRDefault="0067516A" w:rsidP="0067516A">
            <w:pPr>
              <w:pStyle w:val="Norma"/>
              <w:rPr>
                <w:rFonts w:cs="Arial"/>
              </w:rPr>
            </w:pPr>
            <w:r>
              <w:rPr>
                <w:rFonts w:cs="Arial"/>
              </w:rPr>
              <w:t>4</w:t>
            </w:r>
          </w:p>
        </w:tc>
        <w:tc>
          <w:tcPr>
            <w:tcW w:w="5638" w:type="dxa"/>
            <w:shd w:val="clear" w:color="auto" w:fill="auto"/>
          </w:tcPr>
          <w:p w14:paraId="5EA875BB" w14:textId="3C0AFC8F" w:rsidR="0067516A" w:rsidRPr="00F7796D" w:rsidRDefault="0067516A" w:rsidP="0067516A">
            <w:pPr>
              <w:pStyle w:val="Norma"/>
              <w:rPr>
                <w:rFonts w:cs="Arial"/>
              </w:rPr>
            </w:pPr>
            <w:r w:rsidRPr="00334AEE">
              <w:rPr>
                <w:rFonts w:ascii="Calibri" w:hAnsi="Calibri"/>
                <w:b/>
              </w:rPr>
              <w:t>METHOD</w:t>
            </w:r>
          </w:p>
        </w:tc>
        <w:tc>
          <w:tcPr>
            <w:tcW w:w="2693" w:type="dxa"/>
            <w:shd w:val="clear" w:color="auto" w:fill="auto"/>
          </w:tcPr>
          <w:p w14:paraId="5EA875BC" w14:textId="0C87CD20" w:rsidR="0067516A" w:rsidRPr="00F7796D" w:rsidRDefault="0067516A" w:rsidP="0067516A">
            <w:pPr>
              <w:pStyle w:val="Norma"/>
              <w:rPr>
                <w:rFonts w:cs="Arial"/>
              </w:rPr>
            </w:pPr>
            <w:r>
              <w:rPr>
                <w:rFonts w:cs="Arial"/>
              </w:rPr>
              <w:t>35%</w:t>
            </w:r>
          </w:p>
        </w:tc>
      </w:tr>
      <w:tr w:rsidR="0067516A" w:rsidRPr="00C6546D" w14:paraId="5EA875C1" w14:textId="77777777" w:rsidTr="00FF4DBE">
        <w:tc>
          <w:tcPr>
            <w:tcW w:w="1133" w:type="dxa"/>
          </w:tcPr>
          <w:p w14:paraId="5EA875BE" w14:textId="50D4E990" w:rsidR="0067516A" w:rsidRPr="00F7796D" w:rsidRDefault="0067516A" w:rsidP="0067516A">
            <w:pPr>
              <w:pStyle w:val="Norma"/>
              <w:rPr>
                <w:rFonts w:cs="Arial"/>
              </w:rPr>
            </w:pPr>
            <w:r>
              <w:rPr>
                <w:rFonts w:cs="Arial"/>
              </w:rPr>
              <w:t>5</w:t>
            </w:r>
          </w:p>
        </w:tc>
        <w:tc>
          <w:tcPr>
            <w:tcW w:w="5638" w:type="dxa"/>
            <w:shd w:val="clear" w:color="auto" w:fill="auto"/>
          </w:tcPr>
          <w:p w14:paraId="5EA875BF" w14:textId="14404C81" w:rsidR="0067516A" w:rsidRPr="00F7796D" w:rsidRDefault="0067516A" w:rsidP="0067516A">
            <w:pPr>
              <w:pStyle w:val="Norma"/>
              <w:rPr>
                <w:rFonts w:cs="Arial"/>
              </w:rPr>
            </w:pPr>
            <w:r w:rsidRPr="00334AEE">
              <w:rPr>
                <w:rFonts w:ascii="Calibri" w:hAnsi="Calibri"/>
                <w:b/>
              </w:rPr>
              <w:t>UNDERSTANDING OF REQUIREMENTS</w:t>
            </w:r>
          </w:p>
        </w:tc>
        <w:tc>
          <w:tcPr>
            <w:tcW w:w="2693" w:type="dxa"/>
            <w:shd w:val="clear" w:color="auto" w:fill="auto"/>
          </w:tcPr>
          <w:p w14:paraId="5EA875C0" w14:textId="01C39CC6" w:rsidR="0067516A" w:rsidRPr="00F7796D" w:rsidRDefault="0067516A" w:rsidP="0067516A">
            <w:pPr>
              <w:pStyle w:val="Norma"/>
              <w:rPr>
                <w:rFonts w:cs="Arial"/>
              </w:rPr>
            </w:pPr>
            <w:r>
              <w:rPr>
                <w:rFonts w:cs="Arial"/>
              </w:rPr>
              <w:t>10%</w:t>
            </w:r>
          </w:p>
        </w:tc>
      </w:tr>
      <w:tr w:rsidR="0067516A" w:rsidRPr="00C6546D" w14:paraId="5EA875C5" w14:textId="77777777" w:rsidTr="00FF4DBE">
        <w:tc>
          <w:tcPr>
            <w:tcW w:w="1133" w:type="dxa"/>
          </w:tcPr>
          <w:p w14:paraId="5EA875C2" w14:textId="48621C57" w:rsidR="0067516A" w:rsidRPr="00F7796D" w:rsidRDefault="0067516A" w:rsidP="0067516A">
            <w:pPr>
              <w:pStyle w:val="Norma"/>
              <w:rPr>
                <w:rFonts w:cs="Arial"/>
              </w:rPr>
            </w:pPr>
            <w:r>
              <w:rPr>
                <w:rFonts w:cs="Arial"/>
              </w:rPr>
              <w:t>6</w:t>
            </w:r>
          </w:p>
        </w:tc>
        <w:tc>
          <w:tcPr>
            <w:tcW w:w="5638" w:type="dxa"/>
            <w:shd w:val="clear" w:color="auto" w:fill="auto"/>
          </w:tcPr>
          <w:p w14:paraId="5EA875C3" w14:textId="71FCDBD2" w:rsidR="0067516A" w:rsidRPr="00F7796D" w:rsidRDefault="0067516A" w:rsidP="0067516A">
            <w:pPr>
              <w:pStyle w:val="Norma"/>
              <w:rPr>
                <w:rFonts w:cs="Arial"/>
              </w:rPr>
            </w:pPr>
            <w:r>
              <w:rPr>
                <w:rFonts w:ascii="Calibri" w:hAnsi="Calibri"/>
                <w:b/>
              </w:rPr>
              <w:t xml:space="preserve">RISK AND </w:t>
            </w:r>
            <w:r w:rsidRPr="00334AEE">
              <w:rPr>
                <w:rFonts w:ascii="Calibri" w:hAnsi="Calibri"/>
                <w:b/>
              </w:rPr>
              <w:t>CHALLENGES</w:t>
            </w:r>
          </w:p>
        </w:tc>
        <w:tc>
          <w:tcPr>
            <w:tcW w:w="2693" w:type="dxa"/>
            <w:shd w:val="clear" w:color="auto" w:fill="auto"/>
          </w:tcPr>
          <w:p w14:paraId="5EA875C4" w14:textId="0C89FAE8" w:rsidR="0067516A" w:rsidRPr="00F7796D" w:rsidRDefault="0067516A" w:rsidP="0067516A">
            <w:pPr>
              <w:pStyle w:val="Norma"/>
              <w:rPr>
                <w:rFonts w:cs="Arial"/>
              </w:rPr>
            </w:pPr>
            <w:r>
              <w:rPr>
                <w:rFonts w:cs="Arial"/>
              </w:rPr>
              <w:t>10%</w:t>
            </w:r>
          </w:p>
        </w:tc>
      </w:tr>
      <w:tr w:rsidR="0067516A" w:rsidRPr="00C6546D" w14:paraId="5EA875C9" w14:textId="77777777" w:rsidTr="00FF4DBE">
        <w:tc>
          <w:tcPr>
            <w:tcW w:w="1133" w:type="dxa"/>
          </w:tcPr>
          <w:p w14:paraId="5EA875C6" w14:textId="246B5440" w:rsidR="0067516A" w:rsidRPr="00F7796D" w:rsidRDefault="0067516A" w:rsidP="0067516A">
            <w:pPr>
              <w:pStyle w:val="Norma"/>
              <w:rPr>
                <w:rFonts w:cs="Arial"/>
              </w:rPr>
            </w:pPr>
          </w:p>
        </w:tc>
        <w:tc>
          <w:tcPr>
            <w:tcW w:w="5638" w:type="dxa"/>
            <w:shd w:val="clear" w:color="auto" w:fill="auto"/>
          </w:tcPr>
          <w:p w14:paraId="5EA875C7" w14:textId="448BD70B" w:rsidR="0067516A" w:rsidRPr="00F7796D" w:rsidRDefault="0067516A" w:rsidP="0067516A">
            <w:pPr>
              <w:pStyle w:val="Norma"/>
              <w:rPr>
                <w:rFonts w:cs="Arial"/>
              </w:rPr>
            </w:pPr>
          </w:p>
        </w:tc>
        <w:tc>
          <w:tcPr>
            <w:tcW w:w="2693" w:type="dxa"/>
            <w:shd w:val="clear" w:color="auto" w:fill="auto"/>
          </w:tcPr>
          <w:p w14:paraId="5EA875C8" w14:textId="43C598E3" w:rsidR="0067516A" w:rsidRPr="00F7796D" w:rsidRDefault="0067516A" w:rsidP="0067516A">
            <w:pPr>
              <w:pStyle w:val="Norma"/>
              <w:rPr>
                <w:rFonts w:cs="Arial"/>
              </w:rPr>
            </w:pPr>
          </w:p>
        </w:tc>
      </w:tr>
      <w:tr w:rsidR="0067516A" w:rsidRPr="00C6546D" w14:paraId="2E6C8FB4" w14:textId="77777777" w:rsidTr="00FF4DBE">
        <w:tc>
          <w:tcPr>
            <w:tcW w:w="1133" w:type="dxa"/>
          </w:tcPr>
          <w:p w14:paraId="1E560CCE" w14:textId="0E8718C8" w:rsidR="0067516A" w:rsidRPr="00F7796D" w:rsidRDefault="0067516A" w:rsidP="0067516A">
            <w:pPr>
              <w:pStyle w:val="Norma"/>
              <w:rPr>
                <w:rFonts w:cs="Arial"/>
              </w:rPr>
            </w:pPr>
          </w:p>
        </w:tc>
        <w:tc>
          <w:tcPr>
            <w:tcW w:w="5638" w:type="dxa"/>
            <w:shd w:val="clear" w:color="auto" w:fill="auto"/>
          </w:tcPr>
          <w:p w14:paraId="66360B15" w14:textId="5AA24C82" w:rsidR="0067516A" w:rsidRPr="00F7796D" w:rsidRDefault="0067516A" w:rsidP="0067516A">
            <w:pPr>
              <w:pStyle w:val="Norma"/>
              <w:rPr>
                <w:rFonts w:cs="Arial"/>
              </w:rPr>
            </w:pPr>
          </w:p>
        </w:tc>
        <w:tc>
          <w:tcPr>
            <w:tcW w:w="2693" w:type="dxa"/>
            <w:shd w:val="clear" w:color="auto" w:fill="auto"/>
          </w:tcPr>
          <w:p w14:paraId="42541313" w14:textId="1F5DF1F8" w:rsidR="0067516A" w:rsidRPr="00F7796D" w:rsidRDefault="0067516A" w:rsidP="0067516A">
            <w:pPr>
              <w:pStyle w:val="Norma"/>
              <w:rPr>
                <w:rFonts w:cs="Arial"/>
              </w:rPr>
            </w:pPr>
            <w:r>
              <w:rPr>
                <w:rFonts w:cs="Arial"/>
              </w:rPr>
              <w:t>100%</w:t>
            </w:r>
          </w:p>
        </w:tc>
      </w:tr>
    </w:tbl>
    <w:p w14:paraId="5EA875CD" w14:textId="77777777" w:rsidR="001623B7" w:rsidRDefault="001623B7" w:rsidP="001623B7">
      <w:pPr>
        <w:pStyle w:val="Norma"/>
      </w:pPr>
    </w:p>
    <w:p w14:paraId="405ED9CC" w14:textId="77777777" w:rsidR="0089389E" w:rsidRDefault="0089389E" w:rsidP="00F129F3">
      <w:pPr>
        <w:pStyle w:val="Norma"/>
        <w:jc w:val="both"/>
        <w:rPr>
          <w:rFonts w:cs="Arial"/>
          <w:b/>
          <w:bCs/>
          <w:sz w:val="24"/>
          <w:szCs w:val="24"/>
        </w:rPr>
      </w:pPr>
    </w:p>
    <w:p w14:paraId="5EA875CE" w14:textId="77777777" w:rsidR="00F129F3" w:rsidRPr="00E4650D" w:rsidRDefault="00F129F3" w:rsidP="00F129F3">
      <w:pPr>
        <w:pStyle w:val="Norma"/>
        <w:jc w:val="both"/>
        <w:rPr>
          <w:rFonts w:cs="Arial"/>
          <w:b/>
          <w:bCs/>
          <w:sz w:val="24"/>
          <w:szCs w:val="24"/>
        </w:rPr>
      </w:pPr>
      <w:r w:rsidRPr="00E4650D">
        <w:rPr>
          <w:rFonts w:cs="Arial"/>
          <w:b/>
          <w:bCs/>
          <w:sz w:val="24"/>
          <w:szCs w:val="24"/>
        </w:rPr>
        <w:t>Scoring Method</w:t>
      </w:r>
    </w:p>
    <w:p w14:paraId="5EA875CF" w14:textId="77777777" w:rsidR="00F129F3" w:rsidRPr="000F78E0" w:rsidRDefault="00F129F3" w:rsidP="00F129F3">
      <w:pPr>
        <w:pStyle w:val="Norma"/>
        <w:jc w:val="both"/>
        <w:rPr>
          <w:rFonts w:cs="Arial"/>
          <w:b/>
          <w:bCs/>
        </w:rPr>
      </w:pPr>
    </w:p>
    <w:p w14:paraId="5EA875D0" w14:textId="77777777" w:rsidR="00F129F3" w:rsidRPr="000F78E0" w:rsidRDefault="00F129F3" w:rsidP="00F129F3">
      <w:pPr>
        <w:pStyle w:val="Norma"/>
        <w:jc w:val="both"/>
        <w:rPr>
          <w:rFonts w:cs="Arial"/>
          <w:bCs/>
        </w:rPr>
      </w:pPr>
      <w:r w:rsidRPr="000F78E0">
        <w:rPr>
          <w:rFonts w:cs="Arial"/>
          <w:bCs/>
        </w:rPr>
        <w:t xml:space="preserve">Tenders will be scored against each of the criteria above, according to the extent to which they meet the requirements of the tender. The meaning of each score is outlined in the table below. </w:t>
      </w:r>
    </w:p>
    <w:p w14:paraId="5EA875D1" w14:textId="77777777" w:rsidR="00F129F3" w:rsidRPr="000F78E0" w:rsidRDefault="00F129F3" w:rsidP="00F129F3">
      <w:pPr>
        <w:pStyle w:val="Norma"/>
        <w:jc w:val="both"/>
        <w:rPr>
          <w:rFonts w:cs="Arial"/>
          <w:bCs/>
        </w:rPr>
      </w:pPr>
    </w:p>
    <w:p w14:paraId="5EA875D2" w14:textId="77777777" w:rsidR="00F129F3" w:rsidRPr="000F78E0" w:rsidRDefault="00F129F3" w:rsidP="00F129F3">
      <w:pPr>
        <w:pStyle w:val="Norma"/>
        <w:jc w:val="both"/>
        <w:rPr>
          <w:rFonts w:cs="Arial"/>
        </w:rPr>
      </w:pPr>
      <w:r w:rsidRPr="000F78E0">
        <w:rPr>
          <w:rFonts w:cs="Arial"/>
        </w:rPr>
        <w:lastRenderedPageBreak/>
        <w:t>The total score will be calculated by applying the weighting set against each criterion, outlined above; the maximum number of marks possible will be 100.  Should any contractor score 1 in any of the criteria, they will be excluded from the tender competition.</w:t>
      </w:r>
    </w:p>
    <w:p w14:paraId="11D63197" w14:textId="77777777" w:rsidR="0089389E" w:rsidRPr="000F78E0" w:rsidRDefault="0089389E" w:rsidP="00F129F3">
      <w:pPr>
        <w:pStyle w:val="Norma"/>
        <w:jc w:val="both"/>
        <w:rPr>
          <w:rFonts w:cs="Arial"/>
        </w:rPr>
      </w:pPr>
    </w:p>
    <w:p w14:paraId="5EA875D3" w14:textId="77777777" w:rsidR="00F129F3" w:rsidRPr="000F78E0" w:rsidRDefault="00F129F3" w:rsidP="00F129F3">
      <w:pPr>
        <w:pStyle w:val="Norma"/>
        <w:spacing w:line="276" w:lineRule="auto"/>
        <w:rPr>
          <w:rFonts w:ascii="Calibri" w:hAnsi="Calibri" w:cs="Calibri"/>
          <w:color w:val="0000FF"/>
        </w:rPr>
      </w:pPr>
    </w:p>
    <w:tbl>
      <w:tblPr>
        <w:tblStyle w:val="Normal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939"/>
      </w:tblGrid>
      <w:tr w:rsidR="00F129F3" w:rsidRPr="000F78E0" w14:paraId="5EA875D6" w14:textId="77777777" w:rsidTr="00FD139A">
        <w:tc>
          <w:tcPr>
            <w:tcW w:w="816" w:type="dxa"/>
          </w:tcPr>
          <w:p w14:paraId="5EA875D4" w14:textId="77777777" w:rsidR="00F129F3" w:rsidRPr="000F78E0" w:rsidRDefault="00F129F3" w:rsidP="00914FB8">
            <w:pPr>
              <w:pStyle w:val="Norma"/>
              <w:keepNext/>
              <w:keepLines/>
              <w:spacing w:line="276" w:lineRule="auto"/>
              <w:jc w:val="both"/>
              <w:rPr>
                <w:rFonts w:cs="Arial"/>
                <w:b/>
              </w:rPr>
            </w:pPr>
            <w:r w:rsidRPr="000F78E0">
              <w:rPr>
                <w:rFonts w:cs="Arial"/>
                <w:b/>
              </w:rPr>
              <w:t>Score</w:t>
            </w:r>
          </w:p>
        </w:tc>
        <w:tc>
          <w:tcPr>
            <w:tcW w:w="7939" w:type="dxa"/>
          </w:tcPr>
          <w:p w14:paraId="5EA875D5" w14:textId="77777777" w:rsidR="00F129F3" w:rsidRPr="000F78E0" w:rsidRDefault="00F129F3" w:rsidP="00914FB8">
            <w:pPr>
              <w:pStyle w:val="Norma"/>
              <w:keepNext/>
              <w:keepLines/>
              <w:spacing w:line="276" w:lineRule="auto"/>
              <w:jc w:val="both"/>
              <w:rPr>
                <w:rFonts w:cs="Arial"/>
                <w:b/>
              </w:rPr>
            </w:pPr>
            <w:r w:rsidRPr="000F78E0">
              <w:rPr>
                <w:rFonts w:cs="Arial"/>
                <w:b/>
              </w:rPr>
              <w:t>Description</w:t>
            </w:r>
          </w:p>
        </w:tc>
      </w:tr>
      <w:tr w:rsidR="00F129F3" w:rsidRPr="000F78E0" w14:paraId="5EA875D9" w14:textId="77777777" w:rsidTr="00FD139A">
        <w:trPr>
          <w:trHeight w:val="313"/>
        </w:trPr>
        <w:tc>
          <w:tcPr>
            <w:tcW w:w="816" w:type="dxa"/>
          </w:tcPr>
          <w:p w14:paraId="5EA875D7" w14:textId="77777777" w:rsidR="00F129F3" w:rsidRPr="000F78E0" w:rsidRDefault="00F129F3" w:rsidP="00914FB8">
            <w:pPr>
              <w:pStyle w:val="Norma"/>
              <w:keepNext/>
              <w:keepLines/>
              <w:spacing w:line="276" w:lineRule="auto"/>
              <w:jc w:val="both"/>
              <w:rPr>
                <w:rFonts w:cs="Arial"/>
              </w:rPr>
            </w:pPr>
            <w:r w:rsidRPr="000F78E0">
              <w:rPr>
                <w:rFonts w:cs="Arial"/>
              </w:rPr>
              <w:t>1</w:t>
            </w:r>
          </w:p>
        </w:tc>
        <w:tc>
          <w:tcPr>
            <w:tcW w:w="7939" w:type="dxa"/>
          </w:tcPr>
          <w:p w14:paraId="5EA875D8" w14:textId="77777777" w:rsidR="00F129F3" w:rsidRPr="000F78E0" w:rsidRDefault="00F129F3" w:rsidP="00914FB8">
            <w:pPr>
              <w:pStyle w:val="NoSpacing"/>
              <w:keepNext/>
              <w:keepLines/>
              <w:rPr>
                <w:rFonts w:ascii="Arial" w:hAnsi="Arial" w:cs="Arial"/>
              </w:rPr>
            </w:pPr>
            <w:r w:rsidRPr="000F78E0">
              <w:rPr>
                <w:rFonts w:ascii="Arial" w:hAnsi="Arial" w:cs="Arial"/>
              </w:rPr>
              <w:t>Not Satisfactory: Proposal contains significant shortcomings and does not meet the required standard</w:t>
            </w:r>
          </w:p>
        </w:tc>
      </w:tr>
      <w:tr w:rsidR="00F129F3" w:rsidRPr="000F78E0" w14:paraId="5EA875DC" w14:textId="77777777" w:rsidTr="00FD139A">
        <w:tc>
          <w:tcPr>
            <w:tcW w:w="816" w:type="dxa"/>
          </w:tcPr>
          <w:p w14:paraId="5EA875DA" w14:textId="77777777" w:rsidR="00F129F3" w:rsidRPr="000F78E0" w:rsidRDefault="00F129F3" w:rsidP="00914FB8">
            <w:pPr>
              <w:pStyle w:val="Norma"/>
              <w:keepNext/>
              <w:keepLines/>
              <w:spacing w:line="276" w:lineRule="auto"/>
              <w:jc w:val="both"/>
              <w:rPr>
                <w:rFonts w:cs="Arial"/>
              </w:rPr>
            </w:pPr>
            <w:r w:rsidRPr="000F78E0">
              <w:rPr>
                <w:rFonts w:cs="Arial"/>
              </w:rPr>
              <w:t>2</w:t>
            </w:r>
          </w:p>
        </w:tc>
        <w:tc>
          <w:tcPr>
            <w:tcW w:w="7939" w:type="dxa"/>
          </w:tcPr>
          <w:p w14:paraId="5EA875DB" w14:textId="77777777" w:rsidR="00F129F3" w:rsidRPr="000F78E0" w:rsidRDefault="00F129F3" w:rsidP="00914FB8">
            <w:pPr>
              <w:pStyle w:val="NoSpacing"/>
              <w:keepNext/>
              <w:keepLines/>
              <w:rPr>
                <w:rFonts w:ascii="Arial" w:hAnsi="Arial" w:cs="Arial"/>
              </w:rPr>
            </w:pPr>
            <w:r w:rsidRPr="000F78E0">
              <w:rPr>
                <w:rFonts w:ascii="Arial" w:hAnsi="Arial" w:cs="Arial"/>
              </w:rPr>
              <w:t xml:space="preserve">Partially Satisfactory: Proposal partially meets the required standard, with one or more moderate weaknesses or gaps </w:t>
            </w:r>
          </w:p>
        </w:tc>
      </w:tr>
      <w:tr w:rsidR="00F129F3" w:rsidRPr="000F78E0" w14:paraId="5EA875DF" w14:textId="77777777" w:rsidTr="00FD139A">
        <w:tc>
          <w:tcPr>
            <w:tcW w:w="816" w:type="dxa"/>
          </w:tcPr>
          <w:p w14:paraId="5EA875DD" w14:textId="77777777" w:rsidR="00F129F3" w:rsidRPr="000F78E0" w:rsidRDefault="00F129F3" w:rsidP="00914FB8">
            <w:pPr>
              <w:pStyle w:val="Norma"/>
              <w:keepNext/>
              <w:keepLines/>
              <w:spacing w:line="276" w:lineRule="auto"/>
              <w:jc w:val="both"/>
              <w:rPr>
                <w:rFonts w:cs="Arial"/>
              </w:rPr>
            </w:pPr>
            <w:r w:rsidRPr="000F78E0">
              <w:rPr>
                <w:rFonts w:cs="Arial"/>
              </w:rPr>
              <w:t>3</w:t>
            </w:r>
          </w:p>
        </w:tc>
        <w:tc>
          <w:tcPr>
            <w:tcW w:w="7939" w:type="dxa"/>
          </w:tcPr>
          <w:p w14:paraId="5EA875DE" w14:textId="77777777" w:rsidR="00F129F3" w:rsidRPr="000F78E0" w:rsidRDefault="00F129F3" w:rsidP="00914FB8">
            <w:pPr>
              <w:pStyle w:val="NoSpacing"/>
              <w:keepNext/>
              <w:keepLines/>
              <w:rPr>
                <w:rFonts w:ascii="Arial" w:hAnsi="Arial" w:cs="Arial"/>
              </w:rPr>
            </w:pPr>
            <w:r w:rsidRPr="000F78E0">
              <w:rPr>
                <w:rFonts w:ascii="Arial" w:hAnsi="Arial" w:cs="Arial"/>
              </w:rPr>
              <w:t>Satisfactory: Proposal mostly meets the required standard, with one or more minor weaknesses or gaps.</w:t>
            </w:r>
          </w:p>
        </w:tc>
      </w:tr>
      <w:tr w:rsidR="00F129F3" w:rsidRPr="000F78E0" w14:paraId="5EA875E2" w14:textId="77777777" w:rsidTr="00FD139A">
        <w:tc>
          <w:tcPr>
            <w:tcW w:w="816" w:type="dxa"/>
          </w:tcPr>
          <w:p w14:paraId="5EA875E0" w14:textId="77777777" w:rsidR="00F129F3" w:rsidRPr="000F78E0" w:rsidRDefault="00F129F3" w:rsidP="00914FB8">
            <w:pPr>
              <w:pStyle w:val="Norma"/>
              <w:keepNext/>
              <w:keepLines/>
              <w:spacing w:line="276" w:lineRule="auto"/>
              <w:jc w:val="both"/>
              <w:rPr>
                <w:rFonts w:cs="Arial"/>
              </w:rPr>
            </w:pPr>
            <w:r w:rsidRPr="000F78E0">
              <w:rPr>
                <w:rFonts w:cs="Arial"/>
              </w:rPr>
              <w:t>4</w:t>
            </w:r>
          </w:p>
        </w:tc>
        <w:tc>
          <w:tcPr>
            <w:tcW w:w="7939" w:type="dxa"/>
          </w:tcPr>
          <w:p w14:paraId="5EA875E1" w14:textId="77777777" w:rsidR="00F129F3" w:rsidRPr="000F78E0" w:rsidRDefault="00F129F3" w:rsidP="00914FB8">
            <w:pPr>
              <w:pStyle w:val="NoSpacing"/>
              <w:keepNext/>
              <w:keepLines/>
              <w:rPr>
                <w:rFonts w:ascii="Arial" w:hAnsi="Arial" w:cs="Arial"/>
              </w:rPr>
            </w:pPr>
            <w:r w:rsidRPr="000F78E0">
              <w:rPr>
                <w:rFonts w:ascii="Arial" w:hAnsi="Arial" w:cs="Arial"/>
              </w:rPr>
              <w:t>Good: Proposal meets the required standard, with moderate levels of assurance</w:t>
            </w:r>
          </w:p>
        </w:tc>
      </w:tr>
      <w:tr w:rsidR="00F129F3" w:rsidRPr="000F78E0" w14:paraId="5EA875E5" w14:textId="77777777" w:rsidTr="00FD139A">
        <w:tc>
          <w:tcPr>
            <w:tcW w:w="816" w:type="dxa"/>
          </w:tcPr>
          <w:p w14:paraId="5EA875E3" w14:textId="77777777" w:rsidR="00F129F3" w:rsidRPr="000F78E0" w:rsidRDefault="00F129F3" w:rsidP="00914FB8">
            <w:pPr>
              <w:pStyle w:val="Norma"/>
              <w:keepNext/>
              <w:keepLines/>
              <w:spacing w:line="276" w:lineRule="auto"/>
              <w:jc w:val="both"/>
              <w:rPr>
                <w:rFonts w:cs="Arial"/>
              </w:rPr>
            </w:pPr>
            <w:r w:rsidRPr="000F78E0">
              <w:rPr>
                <w:rFonts w:cs="Arial"/>
              </w:rPr>
              <w:t>5</w:t>
            </w:r>
          </w:p>
        </w:tc>
        <w:tc>
          <w:tcPr>
            <w:tcW w:w="7939" w:type="dxa"/>
          </w:tcPr>
          <w:p w14:paraId="5EA875E4" w14:textId="77777777" w:rsidR="00F129F3" w:rsidRPr="000F78E0" w:rsidRDefault="00F129F3" w:rsidP="00914FB8">
            <w:pPr>
              <w:pStyle w:val="NoSpacing"/>
              <w:keepNext/>
              <w:keepLines/>
              <w:rPr>
                <w:rFonts w:ascii="Arial" w:hAnsi="Arial" w:cs="Arial"/>
              </w:rPr>
            </w:pPr>
            <w:r w:rsidRPr="000F78E0">
              <w:rPr>
                <w:rFonts w:ascii="Arial" w:hAnsi="Arial" w:cs="Arial"/>
              </w:rPr>
              <w:t>Excellent: Proposal fully meets the required standard with high levels of assurance</w:t>
            </w:r>
          </w:p>
        </w:tc>
      </w:tr>
    </w:tbl>
    <w:p w14:paraId="5EA87614" w14:textId="77777777" w:rsidR="001623B7" w:rsidRPr="000F78E0" w:rsidRDefault="001623B7" w:rsidP="001623B7">
      <w:pPr>
        <w:pStyle w:val="Norma"/>
        <w:widowControl/>
        <w:overflowPunct/>
        <w:autoSpaceDE/>
        <w:autoSpaceDN/>
        <w:adjustRightInd/>
        <w:jc w:val="both"/>
        <w:textAlignment w:val="auto"/>
        <w:rPr>
          <w:rFonts w:cs="Arial"/>
        </w:rPr>
      </w:pPr>
      <w:bookmarkStart w:id="67" w:name="nine01"/>
      <w:bookmarkEnd w:id="67"/>
    </w:p>
    <w:p w14:paraId="5EA87615" w14:textId="77777777" w:rsidR="004A2B75" w:rsidRPr="000F78E0" w:rsidRDefault="004A2B75" w:rsidP="00E4650D">
      <w:pPr>
        <w:pStyle w:val="Norma"/>
        <w:jc w:val="both"/>
        <w:rPr>
          <w:rFonts w:cs="Arial"/>
          <w:b/>
        </w:rPr>
      </w:pPr>
    </w:p>
    <w:p w14:paraId="5EA87616" w14:textId="77777777" w:rsidR="00BD1875" w:rsidRPr="00E4650D" w:rsidRDefault="00BD1875" w:rsidP="00E4650D">
      <w:pPr>
        <w:pStyle w:val="Norma"/>
        <w:jc w:val="both"/>
        <w:rPr>
          <w:rFonts w:cs="Arial"/>
          <w:b/>
          <w:sz w:val="24"/>
          <w:szCs w:val="24"/>
        </w:rPr>
      </w:pPr>
      <w:r w:rsidRPr="00E4650D">
        <w:rPr>
          <w:rFonts w:cs="Arial"/>
          <w:b/>
          <w:sz w:val="24"/>
          <w:szCs w:val="24"/>
        </w:rPr>
        <w:t>Structure of Tenders</w:t>
      </w:r>
    </w:p>
    <w:p w14:paraId="5EA87617" w14:textId="77777777" w:rsidR="00BD1875" w:rsidRPr="00E4650D" w:rsidRDefault="00BD1875" w:rsidP="00E4650D">
      <w:pPr>
        <w:pStyle w:val="Norma"/>
        <w:jc w:val="both"/>
        <w:rPr>
          <w:rFonts w:cs="Arial"/>
          <w:sz w:val="24"/>
          <w:szCs w:val="24"/>
        </w:rPr>
      </w:pPr>
    </w:p>
    <w:p w14:paraId="5EA87618" w14:textId="6E218984" w:rsidR="00D648EC" w:rsidRPr="000F78E0" w:rsidRDefault="007B668D" w:rsidP="00E4650D">
      <w:pPr>
        <w:pStyle w:val="Norma"/>
        <w:jc w:val="both"/>
        <w:rPr>
          <w:rFonts w:eastAsia="Calibri" w:cs="Arial"/>
          <w:lang w:eastAsia="en-US"/>
        </w:rPr>
      </w:pPr>
      <w:r w:rsidRPr="000F78E0">
        <w:rPr>
          <w:rFonts w:cs="Arial"/>
        </w:rPr>
        <w:t>Contractors are strongly advised to structure their tender submissions to cover</w:t>
      </w:r>
      <w:r w:rsidR="000B765B" w:rsidRPr="000F78E0">
        <w:rPr>
          <w:rFonts w:cs="Arial"/>
        </w:rPr>
        <w:t xml:space="preserve"> each of</w:t>
      </w:r>
      <w:r w:rsidRPr="000F78E0">
        <w:rPr>
          <w:rFonts w:cs="Arial"/>
        </w:rPr>
        <w:t xml:space="preserve"> the criteria above</w:t>
      </w:r>
      <w:r w:rsidR="00F81BC1" w:rsidRPr="000F78E0">
        <w:rPr>
          <w:rFonts w:cs="Arial"/>
        </w:rPr>
        <w:t xml:space="preserve"> and supply a price </w:t>
      </w:r>
      <w:r w:rsidR="006D62F6" w:rsidRPr="000F78E0">
        <w:rPr>
          <w:rFonts w:eastAsia="Calibri" w:cs="Arial"/>
          <w:lang w:eastAsia="en-US"/>
        </w:rPr>
        <w:t xml:space="preserve">schedule </w:t>
      </w:r>
      <w:r w:rsidR="00D648EC" w:rsidRPr="000F78E0">
        <w:rPr>
          <w:rFonts w:eastAsia="Calibri" w:cs="Arial"/>
          <w:lang w:eastAsia="en-US"/>
        </w:rPr>
        <w:t xml:space="preserve">specifying the daily rates (ex-VAT) you will charge for each level of your staff. </w:t>
      </w:r>
    </w:p>
    <w:p w14:paraId="5EA8761A" w14:textId="77777777" w:rsidR="003B5CAF" w:rsidRPr="002D4038" w:rsidRDefault="003B5CAF" w:rsidP="003C1CE8">
      <w:pPr>
        <w:pStyle w:val="Norma"/>
        <w:jc w:val="both"/>
        <w:rPr>
          <w:rFonts w:ascii="Calibri" w:hAnsi="Calibri" w:cs="Calibri"/>
          <w:b/>
        </w:rPr>
      </w:pPr>
    </w:p>
    <w:p w14:paraId="5EA8761B" w14:textId="77777777" w:rsidR="000B02C5" w:rsidRPr="008A0415" w:rsidRDefault="000B02C5" w:rsidP="008A0415">
      <w:pPr>
        <w:pStyle w:val="Norma"/>
        <w:jc w:val="both"/>
        <w:rPr>
          <w:rFonts w:cs="Arial"/>
          <w:b/>
          <w:sz w:val="24"/>
          <w:szCs w:val="24"/>
        </w:rPr>
      </w:pPr>
      <w:r w:rsidRPr="008A0415">
        <w:rPr>
          <w:rFonts w:cs="Arial"/>
          <w:b/>
          <w:sz w:val="24"/>
          <w:szCs w:val="24"/>
        </w:rPr>
        <w:t>Evaluation for Interviews</w:t>
      </w:r>
      <w:r w:rsidR="00CF00CA">
        <w:rPr>
          <w:rFonts w:cs="Arial"/>
          <w:b/>
          <w:sz w:val="24"/>
          <w:szCs w:val="24"/>
        </w:rPr>
        <w:t>, if held</w:t>
      </w:r>
      <w:r w:rsidRPr="008A0415">
        <w:rPr>
          <w:rFonts w:cs="Arial"/>
          <w:b/>
          <w:sz w:val="24"/>
          <w:szCs w:val="24"/>
        </w:rPr>
        <w:t xml:space="preserve"> </w:t>
      </w:r>
    </w:p>
    <w:p w14:paraId="5EA8761C" w14:textId="77777777" w:rsidR="000B02C5" w:rsidRPr="008A0415" w:rsidRDefault="000B02C5" w:rsidP="008A0415">
      <w:pPr>
        <w:pStyle w:val="Norma"/>
        <w:jc w:val="both"/>
        <w:rPr>
          <w:rFonts w:cs="Arial"/>
          <w:b/>
          <w:sz w:val="24"/>
          <w:szCs w:val="24"/>
        </w:rPr>
      </w:pPr>
    </w:p>
    <w:p w14:paraId="5EA8761D" w14:textId="4BB87FDC" w:rsidR="002E198B" w:rsidRPr="000F78E0" w:rsidRDefault="0097210C" w:rsidP="008A0415">
      <w:pPr>
        <w:pStyle w:val="Norma"/>
        <w:jc w:val="both"/>
        <w:rPr>
          <w:rFonts w:cs="Arial"/>
          <w:szCs w:val="24"/>
        </w:rPr>
      </w:pPr>
      <w:r w:rsidRPr="000F78E0">
        <w:rPr>
          <w:rFonts w:cs="Arial"/>
          <w:szCs w:val="24"/>
        </w:rPr>
        <w:t>C</w:t>
      </w:r>
      <w:r w:rsidR="00222DF8" w:rsidRPr="000F78E0">
        <w:rPr>
          <w:rFonts w:cs="Arial"/>
          <w:szCs w:val="24"/>
        </w:rPr>
        <w:t xml:space="preserve">CC reserves the right to award the contract based on applicants’ </w:t>
      </w:r>
      <w:r w:rsidR="00222DF8" w:rsidRPr="000F78E0">
        <w:rPr>
          <w:rFonts w:cs="Arial"/>
          <w:szCs w:val="24"/>
        </w:rPr>
        <w:lastRenderedPageBreak/>
        <w:t xml:space="preserve">written evaluation only if one candidate emerges from the evaluation stage as significantly stronger than the others.  </w:t>
      </w:r>
    </w:p>
    <w:p w14:paraId="5EA8761E" w14:textId="77777777" w:rsidR="002E198B" w:rsidRPr="000F78E0" w:rsidRDefault="002E198B" w:rsidP="008A0415">
      <w:pPr>
        <w:pStyle w:val="Norma"/>
        <w:jc w:val="both"/>
        <w:rPr>
          <w:rFonts w:cs="Arial"/>
          <w:szCs w:val="24"/>
        </w:rPr>
      </w:pPr>
    </w:p>
    <w:p w14:paraId="3DADA445" w14:textId="67590C3F" w:rsidR="00802C0A" w:rsidRPr="000F78E0" w:rsidRDefault="00802C0A" w:rsidP="00802C0A">
      <w:pPr>
        <w:pStyle w:val="Norma"/>
        <w:jc w:val="both"/>
        <w:rPr>
          <w:rFonts w:cs="Arial"/>
          <w:szCs w:val="24"/>
        </w:rPr>
      </w:pPr>
      <w:r w:rsidRPr="000F78E0">
        <w:rPr>
          <w:rFonts w:cs="Arial"/>
          <w:szCs w:val="24"/>
        </w:rPr>
        <w:t xml:space="preserve">Should interviews go ahead, </w:t>
      </w:r>
      <w:r w:rsidR="00796CF2">
        <w:rPr>
          <w:rFonts w:cs="Arial"/>
          <w:szCs w:val="24"/>
        </w:rPr>
        <w:t xml:space="preserve">they </w:t>
      </w:r>
      <w:r w:rsidRPr="000F78E0">
        <w:rPr>
          <w:rFonts w:cs="Arial"/>
          <w:szCs w:val="24"/>
        </w:rPr>
        <w:t xml:space="preserve">are provisionally expected to be held </w:t>
      </w:r>
      <w:r w:rsidRPr="001A33AF">
        <w:rPr>
          <w:rFonts w:cs="Arial"/>
          <w:color w:val="000000" w:themeColor="text1"/>
          <w:szCs w:val="24"/>
        </w:rPr>
        <w:t>on</w:t>
      </w:r>
      <w:r w:rsidR="000239BD">
        <w:rPr>
          <w:rFonts w:cs="Arial"/>
          <w:color w:val="000000" w:themeColor="text1"/>
          <w:szCs w:val="24"/>
        </w:rPr>
        <w:t xml:space="preserve"> the week commencing </w:t>
      </w:r>
      <w:r w:rsidR="00112415">
        <w:rPr>
          <w:rFonts w:cs="Arial"/>
          <w:color w:val="000000" w:themeColor="text1"/>
          <w:szCs w:val="24"/>
        </w:rPr>
        <w:t>20</w:t>
      </w:r>
      <w:r w:rsidR="00112415" w:rsidRPr="002531C5">
        <w:rPr>
          <w:rFonts w:cs="Arial"/>
          <w:color w:val="000000" w:themeColor="text1"/>
          <w:szCs w:val="24"/>
          <w:vertAlign w:val="superscript"/>
        </w:rPr>
        <w:t>th</w:t>
      </w:r>
      <w:r w:rsidR="00112415" w:rsidRPr="002531C5">
        <w:rPr>
          <w:rFonts w:cs="Arial"/>
          <w:color w:val="000000" w:themeColor="text1"/>
          <w:szCs w:val="24"/>
        </w:rPr>
        <w:t xml:space="preserve"> </w:t>
      </w:r>
      <w:r w:rsidR="00F35D1C">
        <w:rPr>
          <w:rFonts w:cs="Arial"/>
          <w:color w:val="000000" w:themeColor="text1"/>
          <w:szCs w:val="24"/>
        </w:rPr>
        <w:t>August</w:t>
      </w:r>
      <w:r w:rsidR="008B0B0B" w:rsidRPr="002531C5">
        <w:rPr>
          <w:rFonts w:cs="Arial"/>
          <w:color w:val="000000" w:themeColor="text1"/>
          <w:szCs w:val="24"/>
        </w:rPr>
        <w:t>.</w:t>
      </w:r>
      <w:r w:rsidR="008B0B0B">
        <w:rPr>
          <w:rFonts w:cs="Arial"/>
          <w:szCs w:val="24"/>
        </w:rPr>
        <w:t xml:space="preserve"> If this date changes, the ASC</w:t>
      </w:r>
      <w:r w:rsidRPr="000F78E0">
        <w:rPr>
          <w:rFonts w:cs="Arial"/>
          <w:szCs w:val="24"/>
        </w:rPr>
        <w:t xml:space="preserve"> will notify applicants. </w:t>
      </w:r>
    </w:p>
    <w:p w14:paraId="1D18D5ED" w14:textId="77777777" w:rsidR="00802C0A" w:rsidRPr="000F78E0" w:rsidRDefault="00802C0A" w:rsidP="008A0415">
      <w:pPr>
        <w:pStyle w:val="Norma"/>
        <w:jc w:val="both"/>
        <w:rPr>
          <w:rFonts w:cs="Arial"/>
          <w:szCs w:val="24"/>
        </w:rPr>
      </w:pPr>
    </w:p>
    <w:p w14:paraId="5EA87621" w14:textId="6B5C7EB7" w:rsidR="006C44C2" w:rsidRPr="000F78E0" w:rsidRDefault="006C44C2" w:rsidP="008A0415">
      <w:pPr>
        <w:pStyle w:val="Norma"/>
        <w:jc w:val="both"/>
        <w:rPr>
          <w:rFonts w:cs="Arial"/>
          <w:szCs w:val="24"/>
        </w:rPr>
      </w:pPr>
      <w:r w:rsidRPr="000F78E0">
        <w:rPr>
          <w:rFonts w:cs="Arial"/>
          <w:szCs w:val="24"/>
        </w:rPr>
        <w:t xml:space="preserve">The areas </w:t>
      </w:r>
      <w:r w:rsidR="00796CF2">
        <w:rPr>
          <w:rFonts w:cs="Arial"/>
          <w:szCs w:val="24"/>
        </w:rPr>
        <w:t xml:space="preserve">to be covered in the interview </w:t>
      </w:r>
      <w:r w:rsidRPr="000F78E0">
        <w:rPr>
          <w:rFonts w:cs="Arial"/>
          <w:szCs w:val="24"/>
        </w:rPr>
        <w:t>will be sent to the shortlisted supplier prior to interview.</w:t>
      </w:r>
    </w:p>
    <w:p w14:paraId="5EA87622" w14:textId="77777777" w:rsidR="006C44C2" w:rsidRPr="000F78E0" w:rsidRDefault="006C44C2" w:rsidP="008A0415">
      <w:pPr>
        <w:pStyle w:val="Norma"/>
        <w:jc w:val="both"/>
        <w:rPr>
          <w:rFonts w:cs="Arial"/>
          <w:szCs w:val="24"/>
        </w:rPr>
      </w:pPr>
    </w:p>
    <w:p w14:paraId="5EA87623" w14:textId="77777777" w:rsidR="00A54FFC" w:rsidRPr="000F78E0" w:rsidRDefault="00222DF8" w:rsidP="008A0415">
      <w:pPr>
        <w:pStyle w:val="Norma"/>
        <w:jc w:val="both"/>
        <w:rPr>
          <w:rFonts w:cs="Arial"/>
          <w:szCs w:val="24"/>
        </w:rPr>
      </w:pPr>
      <w:r w:rsidRPr="000F78E0">
        <w:rPr>
          <w:rFonts w:cs="Arial"/>
          <w:szCs w:val="24"/>
        </w:rPr>
        <w:t>Further details of interview</w:t>
      </w:r>
      <w:r w:rsidR="000967DA" w:rsidRPr="000F78E0">
        <w:rPr>
          <w:rFonts w:cs="Arial"/>
          <w:szCs w:val="24"/>
        </w:rPr>
        <w:t>s</w:t>
      </w:r>
      <w:r w:rsidRPr="000F78E0">
        <w:rPr>
          <w:rFonts w:cs="Arial"/>
          <w:szCs w:val="24"/>
        </w:rPr>
        <w:t xml:space="preserve"> will be sent to successful applicants on selection.</w:t>
      </w:r>
      <w:r w:rsidR="001C6E36" w:rsidRPr="000F78E0">
        <w:rPr>
          <w:rFonts w:cs="Arial"/>
          <w:szCs w:val="24"/>
        </w:rPr>
        <w:t xml:space="preserve"> </w:t>
      </w:r>
    </w:p>
    <w:p w14:paraId="5EA87624" w14:textId="77777777" w:rsidR="00A54FFC" w:rsidRPr="000F78E0" w:rsidRDefault="00A54FFC" w:rsidP="008A0415">
      <w:pPr>
        <w:pStyle w:val="Norma"/>
        <w:jc w:val="both"/>
        <w:rPr>
          <w:rFonts w:cs="Arial"/>
          <w:szCs w:val="24"/>
        </w:rPr>
      </w:pPr>
    </w:p>
    <w:p w14:paraId="5EA87626" w14:textId="2A935868"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5EA87627" w14:textId="77777777" w:rsidR="00480D1F" w:rsidRPr="000F78E0" w:rsidRDefault="00480D1F" w:rsidP="008A0415">
      <w:pPr>
        <w:pStyle w:val="Norma"/>
        <w:widowControl/>
        <w:tabs>
          <w:tab w:val="left" w:pos="-1440"/>
          <w:tab w:val="left" w:pos="-720"/>
          <w:tab w:val="left" w:pos="0"/>
        </w:tabs>
        <w:suppressAutoHyphens/>
        <w:overflowPunct/>
        <w:autoSpaceDE/>
        <w:autoSpaceDN/>
        <w:adjustRightInd/>
        <w:textAlignment w:val="auto"/>
        <w:rPr>
          <w:rFonts w:cs="Arial"/>
          <w:szCs w:val="24"/>
        </w:rPr>
      </w:pPr>
    </w:p>
    <w:p w14:paraId="5EA87628" w14:textId="01ACF802" w:rsidR="00A10F62" w:rsidRPr="000F78E0" w:rsidRDefault="00AA6AF5" w:rsidP="008A0415">
      <w:pPr>
        <w:pStyle w:val="Norma"/>
        <w:widowControl/>
        <w:tabs>
          <w:tab w:val="left" w:pos="-1440"/>
          <w:tab w:val="left" w:pos="-720"/>
          <w:tab w:val="left" w:pos="0"/>
        </w:tabs>
        <w:suppressAutoHyphens/>
        <w:overflowPunct/>
        <w:autoSpaceDE/>
        <w:autoSpaceDN/>
        <w:adjustRightInd/>
        <w:textAlignment w:val="auto"/>
        <w:rPr>
          <w:rFonts w:cs="Arial"/>
          <w:szCs w:val="24"/>
        </w:rPr>
      </w:pPr>
      <w:r w:rsidRPr="000F78E0">
        <w:rPr>
          <w:rFonts w:cs="Arial"/>
          <w:szCs w:val="24"/>
        </w:rPr>
        <w:t>F</w:t>
      </w:r>
      <w:r w:rsidR="00480D1F" w:rsidRPr="000F78E0">
        <w:rPr>
          <w:rFonts w:cs="Arial"/>
          <w:szCs w:val="24"/>
        </w:rPr>
        <w:t xml:space="preserve">eedback </w:t>
      </w:r>
      <w:r w:rsidR="000967DA" w:rsidRPr="000F78E0">
        <w:rPr>
          <w:rFonts w:cs="Arial"/>
          <w:szCs w:val="24"/>
        </w:rPr>
        <w:t xml:space="preserve">will be given </w:t>
      </w:r>
      <w:r w:rsidR="008B0B0B">
        <w:rPr>
          <w:rFonts w:cs="Arial"/>
          <w:szCs w:val="24"/>
        </w:rPr>
        <w:t>by email</w:t>
      </w:r>
      <w:r w:rsidR="000967DA" w:rsidRPr="000F78E0">
        <w:rPr>
          <w:rFonts w:cs="Arial"/>
          <w:szCs w:val="24"/>
        </w:rPr>
        <w:t>.</w:t>
      </w:r>
      <w:bookmarkEnd w:id="7"/>
    </w:p>
    <w:p w14:paraId="5EA87629" w14:textId="77777777" w:rsidR="00A10F62" w:rsidRPr="000F78E0" w:rsidRDefault="00A10F62" w:rsidP="008A0415">
      <w:pPr>
        <w:pStyle w:val="Norma"/>
        <w:widowControl/>
        <w:tabs>
          <w:tab w:val="left" w:pos="-1440"/>
          <w:tab w:val="left" w:pos="-720"/>
          <w:tab w:val="left" w:pos="0"/>
        </w:tabs>
        <w:suppressAutoHyphens/>
        <w:overflowPunct/>
        <w:autoSpaceDE/>
        <w:autoSpaceDN/>
        <w:adjustRightInd/>
        <w:textAlignment w:val="auto"/>
        <w:rPr>
          <w:rFonts w:cs="Arial"/>
          <w:szCs w:val="24"/>
        </w:rPr>
      </w:pPr>
    </w:p>
    <w:sectPr w:rsidR="00A10F62" w:rsidRPr="000F78E0" w:rsidSect="005F738A">
      <w:footerReference w:type="default" r:id="rId16"/>
      <w:headerReference w:type="first" r:id="rId17"/>
      <w:pgSz w:w="11906" w:h="16838"/>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D31818" w16cid:durableId="1EED89A8"/>
  <w16cid:commentId w16cid:paraId="7842B1EB" w16cid:durableId="1EED9347"/>
  <w16cid:commentId w16cid:paraId="352A7CDE" w16cid:durableId="1EED924E"/>
  <w16cid:commentId w16cid:paraId="17EE174F" w16cid:durableId="1EED9298"/>
  <w16cid:commentId w16cid:paraId="59454E84" w16cid:durableId="1EED930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836FD" w14:textId="77777777" w:rsidR="009761C9" w:rsidRDefault="009761C9" w:rsidP="00EB43D8">
      <w:pPr>
        <w:pStyle w:val="Norma"/>
      </w:pPr>
      <w:r>
        <w:separator/>
      </w:r>
    </w:p>
  </w:endnote>
  <w:endnote w:type="continuationSeparator" w:id="0">
    <w:p w14:paraId="393F275C" w14:textId="77777777" w:rsidR="009761C9" w:rsidRDefault="009761C9"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0" w14:textId="77777777" w:rsidR="00F60037" w:rsidRDefault="00F60037" w:rsidP="00602CDD">
    <w:pPr>
      <w:pStyle w:val="Footer"/>
      <w:pBdr>
        <w:top w:val="single" w:sz="4" w:space="1" w:color="D9D9D9"/>
      </w:pBdr>
      <w:jc w:val="right"/>
    </w:pPr>
    <w:r>
      <w:fldChar w:fldCharType="begin"/>
    </w:r>
    <w:r>
      <w:instrText xml:space="preserve"> PAGE   \* MERGEFORMAT </w:instrText>
    </w:r>
    <w:r>
      <w:fldChar w:fldCharType="separate"/>
    </w:r>
    <w:r w:rsidR="00C169AD">
      <w:rPr>
        <w:noProof/>
      </w:rPr>
      <w:t>10</w:t>
    </w:r>
    <w:r>
      <w:rPr>
        <w:noProof/>
      </w:rPr>
      <w:fldChar w:fldCharType="end"/>
    </w:r>
    <w:r>
      <w:t xml:space="preserve"> | </w:t>
    </w:r>
    <w:r w:rsidRPr="00602CDD">
      <w:rPr>
        <w:color w:val="808080"/>
        <w:spacing w:val="60"/>
      </w:rPr>
      <w:t>Page</w:t>
    </w:r>
  </w:p>
  <w:p w14:paraId="5EA87631" w14:textId="77777777" w:rsidR="00F60037" w:rsidRDefault="00F60037"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DBA85" w14:textId="77777777" w:rsidR="009761C9" w:rsidRDefault="009761C9" w:rsidP="00EB43D8">
      <w:pPr>
        <w:pStyle w:val="Norma"/>
      </w:pPr>
      <w:r>
        <w:separator/>
      </w:r>
    </w:p>
  </w:footnote>
  <w:footnote w:type="continuationSeparator" w:id="0">
    <w:p w14:paraId="46FD99F1" w14:textId="77777777" w:rsidR="009761C9" w:rsidRDefault="009761C9" w:rsidP="00EB43D8">
      <w:pPr>
        <w:pStyle w:val="Norma"/>
      </w:pPr>
      <w:r>
        <w:continuationSeparator/>
      </w:r>
    </w:p>
  </w:footnote>
  <w:footnote w:id="1">
    <w:p w14:paraId="6B7B466F" w14:textId="1EF207C7" w:rsidR="00A16D87" w:rsidRDefault="00A16D87">
      <w:pPr>
        <w:pStyle w:val="FootnoteText"/>
      </w:pPr>
      <w:r>
        <w:rPr>
          <w:rStyle w:val="FootnoteReference"/>
        </w:rPr>
        <w:footnoteRef/>
      </w:r>
      <w:r>
        <w:t xml:space="preserve"> </w:t>
      </w:r>
      <w:r w:rsidRPr="001232AB">
        <w:t>Low-regret options are measures that provide immediate benefits today and in the future, and are not sensitive to pre</w:t>
      </w:r>
      <w:r>
        <w:t>cise climate change predictions. Low-regret options encompass no-cost, low-cost and win-win options</w:t>
      </w:r>
      <w:r w:rsidR="00107E72">
        <w:t>.</w:t>
      </w:r>
    </w:p>
  </w:footnote>
  <w:footnote w:id="2">
    <w:p w14:paraId="5ACE19F4" w14:textId="7218694B" w:rsidR="00F60037" w:rsidRPr="0084113F" w:rsidRDefault="00F60037" w:rsidP="00F66DC9">
      <w:pPr>
        <w:pStyle w:val="FootnoteText"/>
      </w:pPr>
      <w:r w:rsidRPr="0084113F">
        <w:rPr>
          <w:rStyle w:val="FootnoteReference"/>
        </w:rPr>
        <w:footnoteRef/>
      </w:r>
      <w:r w:rsidRPr="0084113F">
        <w:t xml:space="preserve"> </w:t>
      </w:r>
      <w:r w:rsidR="00E33468">
        <w:t>ASC (2014) Managing climate risks to well-being and the economy</w:t>
      </w:r>
    </w:p>
  </w:footnote>
  <w:footnote w:id="3">
    <w:p w14:paraId="397DE405" w14:textId="7112EEA3" w:rsidR="00857C61" w:rsidRDefault="00857C61">
      <w:pPr>
        <w:pStyle w:val="FootnoteText"/>
      </w:pPr>
      <w:r>
        <w:rPr>
          <w:rStyle w:val="FootnoteReference"/>
        </w:rPr>
        <w:footnoteRef/>
      </w:r>
      <w:r>
        <w:t xml:space="preserve"> It is not possible to build defences for all properties at risk of flooding. Funding for defences is allocated by cost-benefit analysis. </w:t>
      </w:r>
    </w:p>
  </w:footnote>
  <w:footnote w:id="4">
    <w:p w14:paraId="605AB057" w14:textId="2BEAD295" w:rsidR="00857C61" w:rsidRDefault="00857C61">
      <w:pPr>
        <w:pStyle w:val="FootnoteText"/>
      </w:pPr>
      <w:r>
        <w:rPr>
          <w:rStyle w:val="FootnoteReference"/>
        </w:rPr>
        <w:footnoteRef/>
      </w:r>
      <w:r>
        <w:t xml:space="preserve"> Alongside more ambitious leakage targets for water companies. </w:t>
      </w:r>
    </w:p>
  </w:footnote>
  <w:footnote w:id="5">
    <w:p w14:paraId="06B646D0" w14:textId="7B043970" w:rsidR="00F60037" w:rsidRDefault="00F60037">
      <w:pPr>
        <w:pStyle w:val="FootnoteText"/>
      </w:pPr>
      <w:r>
        <w:rPr>
          <w:rStyle w:val="FootnoteReference"/>
        </w:rPr>
        <w:footnoteRef/>
      </w:r>
      <w:r>
        <w:t xml:space="preserve"> BRE for ASC (2017) </w:t>
      </w:r>
      <w:r w:rsidRPr="00A16D87">
        <w:rPr>
          <w:i/>
        </w:rPr>
        <w:t>Resilience of new developments to high temperatures and flooding</w:t>
      </w:r>
      <w:r>
        <w:rPr>
          <w:i/>
        </w:rPr>
        <w:t>.</w:t>
      </w:r>
    </w:p>
  </w:footnote>
  <w:footnote w:id="6">
    <w:p w14:paraId="1D5B5782" w14:textId="37D3F042" w:rsidR="00F60037" w:rsidRPr="00A16D87" w:rsidRDefault="00F60037">
      <w:pPr>
        <w:pStyle w:val="FootnoteText"/>
        <w:rPr>
          <w:rFonts w:ascii="Arial" w:hAnsi="Arial" w:cs="Arial"/>
        </w:rPr>
      </w:pPr>
      <w:r>
        <w:rPr>
          <w:rStyle w:val="FootnoteReference"/>
        </w:rPr>
        <w:footnoteRef/>
      </w:r>
      <w:r>
        <w:t xml:space="preserve"> </w:t>
      </w:r>
      <w:hyperlink r:id="rId1" w:history="1">
        <w:r w:rsidRPr="00A16D87">
          <w:rPr>
            <w:rStyle w:val="Hyperlink"/>
            <w:rFonts w:ascii="Arial" w:hAnsi="Arial" w:cs="Arial"/>
          </w:rPr>
          <w:t>https://www.theccc.org.uk/archive/aws2/ASC%202nd%20Report/Davis_Langdon%20_Final.pdf</w:t>
        </w:r>
      </w:hyperlink>
      <w:r w:rsidRPr="00A16D87">
        <w:rPr>
          <w:rFonts w:ascii="Arial" w:hAnsi="Arial" w:cs="Arial"/>
        </w:rPr>
        <w:t xml:space="preserve"> </w:t>
      </w:r>
    </w:p>
  </w:footnote>
  <w:footnote w:id="7">
    <w:p w14:paraId="53177A17" w14:textId="1F028498" w:rsidR="00F60037" w:rsidRPr="00A16D87" w:rsidRDefault="00F60037">
      <w:pPr>
        <w:pStyle w:val="FootnoteText"/>
        <w:rPr>
          <w:rFonts w:ascii="Arial" w:hAnsi="Arial" w:cs="Arial"/>
        </w:rPr>
      </w:pPr>
      <w:r w:rsidRPr="00A16D87">
        <w:rPr>
          <w:rStyle w:val="FootnoteReference"/>
          <w:rFonts w:ascii="Arial" w:hAnsi="Arial" w:cs="Arial"/>
        </w:rPr>
        <w:footnoteRef/>
      </w:r>
      <w:r w:rsidRPr="00A16D87">
        <w:rPr>
          <w:rFonts w:ascii="Arial" w:hAnsi="Arial" w:cs="Arial"/>
        </w:rPr>
        <w:t xml:space="preserve"> </w:t>
      </w:r>
      <w:hyperlink r:id="rId2" w:history="1">
        <w:r w:rsidRPr="00A16D87">
          <w:rPr>
            <w:rStyle w:val="Hyperlink"/>
            <w:rFonts w:ascii="Arial" w:hAnsi="Arial" w:cs="Arial"/>
          </w:rPr>
          <w:t>https://www.theccc.org.uk/archive/aws2/ASC%202nd%20Report/N%20Granger.%20Commentary_cost_curves_jul11.pdf</w:t>
        </w:r>
      </w:hyperlink>
      <w:r w:rsidRPr="00A16D87">
        <w:rPr>
          <w:rFonts w:ascii="Arial" w:hAnsi="Arial" w:cs="Arial"/>
        </w:rPr>
        <w:t xml:space="preserve"> </w:t>
      </w:r>
    </w:p>
  </w:footnote>
  <w:footnote w:id="8">
    <w:p w14:paraId="2BDB8044" w14:textId="682BA17A" w:rsidR="00F60037" w:rsidRPr="00A16D87" w:rsidRDefault="00F60037">
      <w:pPr>
        <w:pStyle w:val="FootnoteText"/>
        <w:rPr>
          <w:rFonts w:ascii="Arial" w:hAnsi="Arial" w:cs="Arial"/>
        </w:rPr>
      </w:pPr>
      <w:r w:rsidRPr="00A16D87">
        <w:rPr>
          <w:rStyle w:val="FootnoteReference"/>
          <w:rFonts w:ascii="Arial" w:hAnsi="Arial" w:cs="Arial"/>
        </w:rPr>
        <w:footnoteRef/>
      </w:r>
      <w:r w:rsidRPr="00A16D87">
        <w:rPr>
          <w:rFonts w:ascii="Arial" w:hAnsi="Arial" w:cs="Arial"/>
        </w:rPr>
        <w:t xml:space="preserve"> For example, the benefits of increased comfort levels of adapting a home that overheats. </w:t>
      </w:r>
    </w:p>
  </w:footnote>
  <w:footnote w:id="9">
    <w:p w14:paraId="759F38E7" w14:textId="46211BC8" w:rsidR="00F60037" w:rsidRDefault="00F60037">
      <w:pPr>
        <w:pStyle w:val="FootnoteText"/>
      </w:pPr>
      <w:r w:rsidRPr="00A16D87">
        <w:rPr>
          <w:rStyle w:val="FootnoteReference"/>
          <w:rFonts w:ascii="Arial" w:hAnsi="Arial" w:cs="Arial"/>
        </w:rPr>
        <w:footnoteRef/>
      </w:r>
      <w:r w:rsidRPr="00A16D87">
        <w:rPr>
          <w:rFonts w:ascii="Arial" w:hAnsi="Arial" w:cs="Arial"/>
        </w:rPr>
        <w:t xml:space="preserve"> Indirect cost</w:t>
      </w:r>
      <w:r w:rsidR="00906598">
        <w:rPr>
          <w:rFonts w:ascii="Arial" w:hAnsi="Arial" w:cs="Arial"/>
        </w:rPr>
        <w:t>s</w:t>
      </w:r>
      <w:r w:rsidRPr="00A16D87">
        <w:rPr>
          <w:rFonts w:ascii="Arial" w:hAnsi="Arial" w:cs="Arial"/>
        </w:rPr>
        <w:t xml:space="preserve"> and benefits include, for example, a valuation of the trade-offs and </w:t>
      </w:r>
      <w:r w:rsidR="00906598">
        <w:rPr>
          <w:rFonts w:ascii="Arial" w:hAnsi="Arial" w:cs="Arial"/>
        </w:rPr>
        <w:t>co-</w:t>
      </w:r>
      <w:r w:rsidRPr="00A16D87">
        <w:rPr>
          <w:rFonts w:ascii="Arial" w:hAnsi="Arial" w:cs="Arial"/>
        </w:rPr>
        <w:t>benefits.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2" w14:textId="0D3A7AEB" w:rsidR="00F60037" w:rsidRDefault="00F60037" w:rsidP="005F738A">
    <w:pPr>
      <w:pStyle w:val="Header"/>
    </w:pPr>
    <w:r w:rsidRPr="0097210C">
      <w:rPr>
        <w:b/>
        <w:noProof/>
        <w:lang w:eastAsia="en-GB"/>
      </w:rPr>
      <w:drawing>
        <wp:inline distT="0" distB="0" distL="0" distR="0" wp14:anchorId="4AA5F1E7" wp14:editId="2519C171">
          <wp:extent cx="2674189" cy="1949569"/>
          <wp:effectExtent l="0" t="0" r="0" b="0"/>
          <wp:docPr id="2" name="Picture 2"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40882"/>
    <w:multiLevelType w:val="hybridMultilevel"/>
    <w:tmpl w:val="8DA47598"/>
    <w:lvl w:ilvl="0" w:tplc="05E2167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F2360"/>
    <w:multiLevelType w:val="hybridMultilevel"/>
    <w:tmpl w:val="CA8E670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F06193D"/>
    <w:multiLevelType w:val="hybridMultilevel"/>
    <w:tmpl w:val="D9F4E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22454"/>
    <w:multiLevelType w:val="hybridMultilevel"/>
    <w:tmpl w:val="D812E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E4295"/>
    <w:multiLevelType w:val="hybridMultilevel"/>
    <w:tmpl w:val="9A7AAADC"/>
    <w:lvl w:ilvl="0" w:tplc="321E122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C36BD6"/>
    <w:multiLevelType w:val="hybridMultilevel"/>
    <w:tmpl w:val="5C5CC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FB619E"/>
    <w:multiLevelType w:val="hybridMultilevel"/>
    <w:tmpl w:val="7BE8D1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A03140"/>
    <w:multiLevelType w:val="hybridMultilevel"/>
    <w:tmpl w:val="4030C164"/>
    <w:lvl w:ilvl="0" w:tplc="6CAEE2F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2F6EF3"/>
    <w:multiLevelType w:val="hybridMultilevel"/>
    <w:tmpl w:val="1CAEB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DA0184"/>
    <w:multiLevelType w:val="hybridMultilevel"/>
    <w:tmpl w:val="C7BAA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5D0327"/>
    <w:multiLevelType w:val="hybridMultilevel"/>
    <w:tmpl w:val="B194F4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3F6208"/>
    <w:multiLevelType w:val="hybridMultilevel"/>
    <w:tmpl w:val="374CB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01967"/>
    <w:multiLevelType w:val="hybridMultilevel"/>
    <w:tmpl w:val="7FAEB0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535D7B"/>
    <w:multiLevelType w:val="hybridMultilevel"/>
    <w:tmpl w:val="0812E7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40571448"/>
    <w:multiLevelType w:val="hybridMultilevel"/>
    <w:tmpl w:val="7744D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423AB4"/>
    <w:multiLevelType w:val="hybridMultilevel"/>
    <w:tmpl w:val="BAB68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6E23F1"/>
    <w:multiLevelType w:val="hybridMultilevel"/>
    <w:tmpl w:val="6DB2D30A"/>
    <w:lvl w:ilvl="0" w:tplc="AA40F130">
      <w:start w:val="4"/>
      <w:numFmt w:val="decimal"/>
      <w:lvlText w:val="%1"/>
      <w:lvlJc w:val="left"/>
      <w:pPr>
        <w:ind w:left="720" w:hanging="360"/>
      </w:pPr>
      <w:rPr>
        <w:rFonts w:ascii="Arial" w:hAnsi="Arial" w:cs="Arial"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931398"/>
    <w:multiLevelType w:val="hybridMultilevel"/>
    <w:tmpl w:val="B456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C62854"/>
    <w:multiLevelType w:val="hybridMultilevel"/>
    <w:tmpl w:val="9CBA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6C6E9C"/>
    <w:multiLevelType w:val="hybridMultilevel"/>
    <w:tmpl w:val="88DE1A82"/>
    <w:lvl w:ilvl="0" w:tplc="03B0B8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B55965"/>
    <w:multiLevelType w:val="hybridMultilevel"/>
    <w:tmpl w:val="D1B493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C376C3F"/>
    <w:multiLevelType w:val="hybridMultilevel"/>
    <w:tmpl w:val="805CDC10"/>
    <w:lvl w:ilvl="0" w:tplc="F59607D2">
      <w:start w:val="15"/>
      <w:numFmt w:val="bullet"/>
      <w:lvlText w:val="-"/>
      <w:lvlJc w:val="left"/>
      <w:pPr>
        <w:ind w:left="720" w:hanging="360"/>
      </w:pPr>
      <w:rPr>
        <w:rFonts w:ascii="Calibri" w:eastAsia="Times New Roman" w:hAnsi="Calibri"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806BBE"/>
    <w:multiLevelType w:val="hybridMultilevel"/>
    <w:tmpl w:val="6EC60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780C54"/>
    <w:multiLevelType w:val="hybridMultilevel"/>
    <w:tmpl w:val="123E4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594028"/>
    <w:multiLevelType w:val="hybridMultilevel"/>
    <w:tmpl w:val="6FAA3098"/>
    <w:lvl w:ilvl="0" w:tplc="321E122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A60694"/>
    <w:multiLevelType w:val="hybridMultilevel"/>
    <w:tmpl w:val="B00080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751A89"/>
    <w:multiLevelType w:val="hybridMultilevel"/>
    <w:tmpl w:val="60DA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BE679B"/>
    <w:multiLevelType w:val="hybridMultilevel"/>
    <w:tmpl w:val="CA34D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666362"/>
    <w:multiLevelType w:val="hybridMultilevel"/>
    <w:tmpl w:val="0A861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CE6F3A"/>
    <w:multiLevelType w:val="hybridMultilevel"/>
    <w:tmpl w:val="B9E63B08"/>
    <w:lvl w:ilvl="0" w:tplc="321E122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921F39"/>
    <w:multiLevelType w:val="hybridMultilevel"/>
    <w:tmpl w:val="206C4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FE7AA9"/>
    <w:multiLevelType w:val="hybridMultilevel"/>
    <w:tmpl w:val="125A5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D95A61"/>
    <w:multiLevelType w:val="hybridMultilevel"/>
    <w:tmpl w:val="B0D0965A"/>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5F1CD3"/>
    <w:multiLevelType w:val="hybridMultilevel"/>
    <w:tmpl w:val="ED78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D82989"/>
    <w:multiLevelType w:val="hybridMultilevel"/>
    <w:tmpl w:val="5A9A4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8"/>
  </w:num>
  <w:num w:numId="4">
    <w:abstractNumId w:val="36"/>
  </w:num>
  <w:num w:numId="5">
    <w:abstractNumId w:val="24"/>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8"/>
  </w:num>
  <w:num w:numId="9">
    <w:abstractNumId w:val="23"/>
  </w:num>
  <w:num w:numId="10">
    <w:abstractNumId w:val="8"/>
  </w:num>
  <w:num w:numId="11">
    <w:abstractNumId w:val="25"/>
  </w:num>
  <w:num w:numId="12">
    <w:abstractNumId w:val="33"/>
  </w:num>
  <w:num w:numId="13">
    <w:abstractNumId w:val="35"/>
  </w:num>
  <w:num w:numId="14">
    <w:abstractNumId w:val="3"/>
  </w:num>
  <w:num w:numId="15">
    <w:abstractNumId w:val="19"/>
  </w:num>
  <w:num w:numId="16">
    <w:abstractNumId w:val="12"/>
  </w:num>
  <w:num w:numId="17">
    <w:abstractNumId w:val="1"/>
  </w:num>
  <w:num w:numId="18">
    <w:abstractNumId w:val="34"/>
  </w:num>
  <w:num w:numId="19">
    <w:abstractNumId w:val="0"/>
  </w:num>
  <w:num w:numId="20">
    <w:abstractNumId w:val="6"/>
  </w:num>
  <w:num w:numId="21">
    <w:abstractNumId w:val="15"/>
  </w:num>
  <w:num w:numId="22">
    <w:abstractNumId w:val="9"/>
  </w:num>
  <w:num w:numId="23">
    <w:abstractNumId w:val="10"/>
  </w:num>
  <w:num w:numId="24">
    <w:abstractNumId w:val="2"/>
  </w:num>
  <w:num w:numId="25">
    <w:abstractNumId w:val="20"/>
  </w:num>
  <w:num w:numId="26">
    <w:abstractNumId w:val="5"/>
  </w:num>
  <w:num w:numId="27">
    <w:abstractNumId w:val="4"/>
  </w:num>
  <w:num w:numId="28">
    <w:abstractNumId w:val="16"/>
  </w:num>
  <w:num w:numId="29">
    <w:abstractNumId w:val="21"/>
  </w:num>
  <w:num w:numId="30">
    <w:abstractNumId w:val="13"/>
  </w:num>
  <w:num w:numId="31">
    <w:abstractNumId w:val="31"/>
  </w:num>
  <w:num w:numId="32">
    <w:abstractNumId w:val="26"/>
  </w:num>
  <w:num w:numId="33">
    <w:abstractNumId w:val="27"/>
  </w:num>
  <w:num w:numId="34">
    <w:abstractNumId w:val="29"/>
  </w:num>
  <w:num w:numId="35">
    <w:abstractNumId w:val="32"/>
  </w:num>
  <w:num w:numId="36">
    <w:abstractNumId w:val="7"/>
  </w:num>
  <w:num w:numId="37">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6625"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190C"/>
    <w:rsid w:val="00022105"/>
    <w:rsid w:val="00023086"/>
    <w:rsid w:val="0002313F"/>
    <w:rsid w:val="000235D4"/>
    <w:rsid w:val="000238CE"/>
    <w:rsid w:val="000239BD"/>
    <w:rsid w:val="00023E5D"/>
    <w:rsid w:val="000249BF"/>
    <w:rsid w:val="00025795"/>
    <w:rsid w:val="00025B72"/>
    <w:rsid w:val="000260AD"/>
    <w:rsid w:val="00026111"/>
    <w:rsid w:val="00026299"/>
    <w:rsid w:val="0002645F"/>
    <w:rsid w:val="00026F2A"/>
    <w:rsid w:val="000276FD"/>
    <w:rsid w:val="00030381"/>
    <w:rsid w:val="00030A13"/>
    <w:rsid w:val="00031104"/>
    <w:rsid w:val="00031ABF"/>
    <w:rsid w:val="00034286"/>
    <w:rsid w:val="00034A03"/>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423"/>
    <w:rsid w:val="00052BF9"/>
    <w:rsid w:val="00053592"/>
    <w:rsid w:val="00053F76"/>
    <w:rsid w:val="00054C04"/>
    <w:rsid w:val="00055C46"/>
    <w:rsid w:val="00056362"/>
    <w:rsid w:val="00056DFD"/>
    <w:rsid w:val="00057AFC"/>
    <w:rsid w:val="00061338"/>
    <w:rsid w:val="00062023"/>
    <w:rsid w:val="00062948"/>
    <w:rsid w:val="00062BF1"/>
    <w:rsid w:val="00062DD8"/>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08F"/>
    <w:rsid w:val="0007416C"/>
    <w:rsid w:val="000744BD"/>
    <w:rsid w:val="00074692"/>
    <w:rsid w:val="00075D2C"/>
    <w:rsid w:val="00075F1B"/>
    <w:rsid w:val="000768E3"/>
    <w:rsid w:val="000771F7"/>
    <w:rsid w:val="00077D40"/>
    <w:rsid w:val="00077DFE"/>
    <w:rsid w:val="000806CD"/>
    <w:rsid w:val="00080725"/>
    <w:rsid w:val="0008124C"/>
    <w:rsid w:val="00081EB9"/>
    <w:rsid w:val="000822D5"/>
    <w:rsid w:val="0008262D"/>
    <w:rsid w:val="00082E6D"/>
    <w:rsid w:val="00083573"/>
    <w:rsid w:val="00083C0D"/>
    <w:rsid w:val="000850B3"/>
    <w:rsid w:val="000851D0"/>
    <w:rsid w:val="0008720B"/>
    <w:rsid w:val="00087BB8"/>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6C2"/>
    <w:rsid w:val="000B3D28"/>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30E3"/>
    <w:rsid w:val="000D3B47"/>
    <w:rsid w:val="000D56BC"/>
    <w:rsid w:val="000D59A2"/>
    <w:rsid w:val="000D6953"/>
    <w:rsid w:val="000D6992"/>
    <w:rsid w:val="000D6AE5"/>
    <w:rsid w:val="000D7FE1"/>
    <w:rsid w:val="000E01D1"/>
    <w:rsid w:val="000E1064"/>
    <w:rsid w:val="000E15A8"/>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78E0"/>
    <w:rsid w:val="00100D31"/>
    <w:rsid w:val="00102371"/>
    <w:rsid w:val="0010274D"/>
    <w:rsid w:val="00103118"/>
    <w:rsid w:val="001038F2"/>
    <w:rsid w:val="00103E3B"/>
    <w:rsid w:val="00104197"/>
    <w:rsid w:val="00105CAD"/>
    <w:rsid w:val="001060C6"/>
    <w:rsid w:val="00107E72"/>
    <w:rsid w:val="0011055B"/>
    <w:rsid w:val="00110E9E"/>
    <w:rsid w:val="00111E58"/>
    <w:rsid w:val="00111EBB"/>
    <w:rsid w:val="00111FE9"/>
    <w:rsid w:val="001120A5"/>
    <w:rsid w:val="00112415"/>
    <w:rsid w:val="00112508"/>
    <w:rsid w:val="00113696"/>
    <w:rsid w:val="00114EC5"/>
    <w:rsid w:val="0011511A"/>
    <w:rsid w:val="00115570"/>
    <w:rsid w:val="001158F6"/>
    <w:rsid w:val="00115A26"/>
    <w:rsid w:val="001168D0"/>
    <w:rsid w:val="00116BFD"/>
    <w:rsid w:val="00116D4C"/>
    <w:rsid w:val="001171E5"/>
    <w:rsid w:val="0011747B"/>
    <w:rsid w:val="001176C8"/>
    <w:rsid w:val="001176E9"/>
    <w:rsid w:val="00120534"/>
    <w:rsid w:val="00120943"/>
    <w:rsid w:val="00120FD0"/>
    <w:rsid w:val="00121E96"/>
    <w:rsid w:val="00122D16"/>
    <w:rsid w:val="00123880"/>
    <w:rsid w:val="00123F44"/>
    <w:rsid w:val="00124072"/>
    <w:rsid w:val="0012437E"/>
    <w:rsid w:val="001263B0"/>
    <w:rsid w:val="001266BA"/>
    <w:rsid w:val="00126888"/>
    <w:rsid w:val="0012785A"/>
    <w:rsid w:val="00127892"/>
    <w:rsid w:val="00130F60"/>
    <w:rsid w:val="00131E76"/>
    <w:rsid w:val="001335BE"/>
    <w:rsid w:val="001336CC"/>
    <w:rsid w:val="0013378E"/>
    <w:rsid w:val="001337CC"/>
    <w:rsid w:val="00133C30"/>
    <w:rsid w:val="00134531"/>
    <w:rsid w:val="001354A1"/>
    <w:rsid w:val="001359BC"/>
    <w:rsid w:val="00136EDE"/>
    <w:rsid w:val="001371DB"/>
    <w:rsid w:val="0013746E"/>
    <w:rsid w:val="001379EE"/>
    <w:rsid w:val="0014013A"/>
    <w:rsid w:val="00140970"/>
    <w:rsid w:val="00140A8F"/>
    <w:rsid w:val="00140F21"/>
    <w:rsid w:val="00141232"/>
    <w:rsid w:val="001413BC"/>
    <w:rsid w:val="00141B0C"/>
    <w:rsid w:val="0014215A"/>
    <w:rsid w:val="001427FC"/>
    <w:rsid w:val="00142EF4"/>
    <w:rsid w:val="0014308C"/>
    <w:rsid w:val="0014325E"/>
    <w:rsid w:val="001433A3"/>
    <w:rsid w:val="00143977"/>
    <w:rsid w:val="00144BC8"/>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0BD1"/>
    <w:rsid w:val="001610E5"/>
    <w:rsid w:val="00162217"/>
    <w:rsid w:val="001622D1"/>
    <w:rsid w:val="001623B7"/>
    <w:rsid w:val="001648CA"/>
    <w:rsid w:val="001651C5"/>
    <w:rsid w:val="00165B5B"/>
    <w:rsid w:val="00165F5A"/>
    <w:rsid w:val="00166064"/>
    <w:rsid w:val="00166FD4"/>
    <w:rsid w:val="00167E2F"/>
    <w:rsid w:val="00167EA2"/>
    <w:rsid w:val="00170B81"/>
    <w:rsid w:val="00171F7F"/>
    <w:rsid w:val="00172803"/>
    <w:rsid w:val="00172956"/>
    <w:rsid w:val="00172A29"/>
    <w:rsid w:val="00174855"/>
    <w:rsid w:val="00176556"/>
    <w:rsid w:val="00177003"/>
    <w:rsid w:val="0018093D"/>
    <w:rsid w:val="00180A58"/>
    <w:rsid w:val="00182296"/>
    <w:rsid w:val="001825DA"/>
    <w:rsid w:val="0018341F"/>
    <w:rsid w:val="00183D41"/>
    <w:rsid w:val="00183E6B"/>
    <w:rsid w:val="00186D9B"/>
    <w:rsid w:val="00187A2E"/>
    <w:rsid w:val="001901A2"/>
    <w:rsid w:val="0019065C"/>
    <w:rsid w:val="001911B4"/>
    <w:rsid w:val="001914C9"/>
    <w:rsid w:val="00192A40"/>
    <w:rsid w:val="00192C0C"/>
    <w:rsid w:val="00192CDD"/>
    <w:rsid w:val="001946EB"/>
    <w:rsid w:val="001978FC"/>
    <w:rsid w:val="001A1F4F"/>
    <w:rsid w:val="001A1FA4"/>
    <w:rsid w:val="001A33AF"/>
    <w:rsid w:val="001A380A"/>
    <w:rsid w:val="001A4227"/>
    <w:rsid w:val="001A5F6A"/>
    <w:rsid w:val="001A6304"/>
    <w:rsid w:val="001A6487"/>
    <w:rsid w:val="001A6D88"/>
    <w:rsid w:val="001A6F0E"/>
    <w:rsid w:val="001A7BE7"/>
    <w:rsid w:val="001A7D1F"/>
    <w:rsid w:val="001B0C37"/>
    <w:rsid w:val="001B0DFA"/>
    <w:rsid w:val="001B13FE"/>
    <w:rsid w:val="001B1B78"/>
    <w:rsid w:val="001B1C15"/>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1DE3"/>
    <w:rsid w:val="001D26F4"/>
    <w:rsid w:val="001D28C6"/>
    <w:rsid w:val="001D2E3F"/>
    <w:rsid w:val="001D393B"/>
    <w:rsid w:val="001D4DDF"/>
    <w:rsid w:val="001D5D04"/>
    <w:rsid w:val="001D5D56"/>
    <w:rsid w:val="001D62B9"/>
    <w:rsid w:val="001D6493"/>
    <w:rsid w:val="001D7041"/>
    <w:rsid w:val="001E014D"/>
    <w:rsid w:val="001E0589"/>
    <w:rsid w:val="001E07A7"/>
    <w:rsid w:val="001E0B6F"/>
    <w:rsid w:val="001E15AD"/>
    <w:rsid w:val="001E219F"/>
    <w:rsid w:val="001E3BA2"/>
    <w:rsid w:val="001E3D66"/>
    <w:rsid w:val="001E47FA"/>
    <w:rsid w:val="001E4BE7"/>
    <w:rsid w:val="001E52C2"/>
    <w:rsid w:val="001E58A8"/>
    <w:rsid w:val="001E66BE"/>
    <w:rsid w:val="001E749C"/>
    <w:rsid w:val="001E7F7D"/>
    <w:rsid w:val="001F085F"/>
    <w:rsid w:val="001F0E06"/>
    <w:rsid w:val="001F1F20"/>
    <w:rsid w:val="001F2F89"/>
    <w:rsid w:val="001F3CF9"/>
    <w:rsid w:val="001F4630"/>
    <w:rsid w:val="001F4DA0"/>
    <w:rsid w:val="001F4F20"/>
    <w:rsid w:val="001F644B"/>
    <w:rsid w:val="001F75AB"/>
    <w:rsid w:val="001F7FAB"/>
    <w:rsid w:val="0020020F"/>
    <w:rsid w:val="00200C5B"/>
    <w:rsid w:val="002014BF"/>
    <w:rsid w:val="00201D1D"/>
    <w:rsid w:val="00203272"/>
    <w:rsid w:val="0020384C"/>
    <w:rsid w:val="00204E68"/>
    <w:rsid w:val="002061A0"/>
    <w:rsid w:val="00206644"/>
    <w:rsid w:val="00206939"/>
    <w:rsid w:val="0020695E"/>
    <w:rsid w:val="00206992"/>
    <w:rsid w:val="00206FE9"/>
    <w:rsid w:val="002073BA"/>
    <w:rsid w:val="002109B5"/>
    <w:rsid w:val="00210D71"/>
    <w:rsid w:val="00211193"/>
    <w:rsid w:val="00211562"/>
    <w:rsid w:val="00212DA5"/>
    <w:rsid w:val="002133A0"/>
    <w:rsid w:val="002134AD"/>
    <w:rsid w:val="00213F1A"/>
    <w:rsid w:val="002152CC"/>
    <w:rsid w:val="0021679F"/>
    <w:rsid w:val="0021724C"/>
    <w:rsid w:val="002174A1"/>
    <w:rsid w:val="002203AF"/>
    <w:rsid w:val="00220792"/>
    <w:rsid w:val="002208AE"/>
    <w:rsid w:val="00220F36"/>
    <w:rsid w:val="00221A0D"/>
    <w:rsid w:val="00221B09"/>
    <w:rsid w:val="00222DF8"/>
    <w:rsid w:val="00223703"/>
    <w:rsid w:val="002240C8"/>
    <w:rsid w:val="0022531F"/>
    <w:rsid w:val="00225A9F"/>
    <w:rsid w:val="002260D3"/>
    <w:rsid w:val="002275B7"/>
    <w:rsid w:val="00227600"/>
    <w:rsid w:val="002311ED"/>
    <w:rsid w:val="00231C14"/>
    <w:rsid w:val="002352C0"/>
    <w:rsid w:val="002352D3"/>
    <w:rsid w:val="0023606D"/>
    <w:rsid w:val="00237EE2"/>
    <w:rsid w:val="00240136"/>
    <w:rsid w:val="002403A0"/>
    <w:rsid w:val="002411A0"/>
    <w:rsid w:val="00242001"/>
    <w:rsid w:val="002437E8"/>
    <w:rsid w:val="002445CE"/>
    <w:rsid w:val="00244FDA"/>
    <w:rsid w:val="00245373"/>
    <w:rsid w:val="002459FA"/>
    <w:rsid w:val="0024686C"/>
    <w:rsid w:val="00247920"/>
    <w:rsid w:val="0025019A"/>
    <w:rsid w:val="0025083B"/>
    <w:rsid w:val="0025111D"/>
    <w:rsid w:val="00251EBC"/>
    <w:rsid w:val="00252244"/>
    <w:rsid w:val="00252C4B"/>
    <w:rsid w:val="00253106"/>
    <w:rsid w:val="002531C5"/>
    <w:rsid w:val="002540A3"/>
    <w:rsid w:val="00255013"/>
    <w:rsid w:val="00255185"/>
    <w:rsid w:val="00255317"/>
    <w:rsid w:val="002563B4"/>
    <w:rsid w:val="0025697D"/>
    <w:rsid w:val="00261414"/>
    <w:rsid w:val="00262AF5"/>
    <w:rsid w:val="002636E8"/>
    <w:rsid w:val="00263BCE"/>
    <w:rsid w:val="00264A4C"/>
    <w:rsid w:val="00265940"/>
    <w:rsid w:val="00266198"/>
    <w:rsid w:val="00266DFF"/>
    <w:rsid w:val="00267145"/>
    <w:rsid w:val="002673E0"/>
    <w:rsid w:val="00270012"/>
    <w:rsid w:val="0027038A"/>
    <w:rsid w:val="00271DED"/>
    <w:rsid w:val="00272626"/>
    <w:rsid w:val="00272E19"/>
    <w:rsid w:val="00273493"/>
    <w:rsid w:val="00273A3E"/>
    <w:rsid w:val="00273F4F"/>
    <w:rsid w:val="00274BE9"/>
    <w:rsid w:val="00275F70"/>
    <w:rsid w:val="00277E10"/>
    <w:rsid w:val="00280876"/>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0FFE"/>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3D65"/>
    <w:rsid w:val="002A406B"/>
    <w:rsid w:val="002A4E55"/>
    <w:rsid w:val="002A5504"/>
    <w:rsid w:val="002A5ABB"/>
    <w:rsid w:val="002A5C78"/>
    <w:rsid w:val="002A638F"/>
    <w:rsid w:val="002A76E7"/>
    <w:rsid w:val="002A7790"/>
    <w:rsid w:val="002B1525"/>
    <w:rsid w:val="002B2189"/>
    <w:rsid w:val="002B22AC"/>
    <w:rsid w:val="002B27E6"/>
    <w:rsid w:val="002B2EEE"/>
    <w:rsid w:val="002B4895"/>
    <w:rsid w:val="002B550C"/>
    <w:rsid w:val="002B5F61"/>
    <w:rsid w:val="002B622B"/>
    <w:rsid w:val="002B7281"/>
    <w:rsid w:val="002B769F"/>
    <w:rsid w:val="002C06A2"/>
    <w:rsid w:val="002C168E"/>
    <w:rsid w:val="002C1C15"/>
    <w:rsid w:val="002C2145"/>
    <w:rsid w:val="002C3787"/>
    <w:rsid w:val="002C3B69"/>
    <w:rsid w:val="002C466D"/>
    <w:rsid w:val="002C47F3"/>
    <w:rsid w:val="002C5064"/>
    <w:rsid w:val="002C533F"/>
    <w:rsid w:val="002C53C0"/>
    <w:rsid w:val="002C54D9"/>
    <w:rsid w:val="002C5AF6"/>
    <w:rsid w:val="002C64AF"/>
    <w:rsid w:val="002C6CEC"/>
    <w:rsid w:val="002C79DE"/>
    <w:rsid w:val="002D0602"/>
    <w:rsid w:val="002D09B9"/>
    <w:rsid w:val="002D17C1"/>
    <w:rsid w:val="002D2073"/>
    <w:rsid w:val="002D233F"/>
    <w:rsid w:val="002D32D5"/>
    <w:rsid w:val="002D34FA"/>
    <w:rsid w:val="002D3ECE"/>
    <w:rsid w:val="002D4038"/>
    <w:rsid w:val="002D42C1"/>
    <w:rsid w:val="002D5B89"/>
    <w:rsid w:val="002D6DE8"/>
    <w:rsid w:val="002D743D"/>
    <w:rsid w:val="002D7BBA"/>
    <w:rsid w:val="002E14D0"/>
    <w:rsid w:val="002E16AA"/>
    <w:rsid w:val="002E198B"/>
    <w:rsid w:val="002E41ED"/>
    <w:rsid w:val="002E44EC"/>
    <w:rsid w:val="002E4799"/>
    <w:rsid w:val="002E5F4E"/>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5BAD"/>
    <w:rsid w:val="003075E1"/>
    <w:rsid w:val="003100B6"/>
    <w:rsid w:val="003110E9"/>
    <w:rsid w:val="00312155"/>
    <w:rsid w:val="00314744"/>
    <w:rsid w:val="0031585F"/>
    <w:rsid w:val="0032023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2A15"/>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47F54"/>
    <w:rsid w:val="003505B8"/>
    <w:rsid w:val="00350882"/>
    <w:rsid w:val="003508FB"/>
    <w:rsid w:val="003510BA"/>
    <w:rsid w:val="00351C94"/>
    <w:rsid w:val="00355955"/>
    <w:rsid w:val="003563F7"/>
    <w:rsid w:val="003604FC"/>
    <w:rsid w:val="0036229E"/>
    <w:rsid w:val="00362414"/>
    <w:rsid w:val="00362775"/>
    <w:rsid w:val="00362BFA"/>
    <w:rsid w:val="003632C5"/>
    <w:rsid w:val="003646E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6582"/>
    <w:rsid w:val="003874FF"/>
    <w:rsid w:val="00390503"/>
    <w:rsid w:val="00390748"/>
    <w:rsid w:val="003911FA"/>
    <w:rsid w:val="003912A7"/>
    <w:rsid w:val="00391C9C"/>
    <w:rsid w:val="00392A3E"/>
    <w:rsid w:val="00393117"/>
    <w:rsid w:val="00393D1B"/>
    <w:rsid w:val="00396844"/>
    <w:rsid w:val="00396C1F"/>
    <w:rsid w:val="0039730D"/>
    <w:rsid w:val="003976BC"/>
    <w:rsid w:val="00397841"/>
    <w:rsid w:val="003A05EA"/>
    <w:rsid w:val="003A0A53"/>
    <w:rsid w:val="003A1EC8"/>
    <w:rsid w:val="003A20B1"/>
    <w:rsid w:val="003A2171"/>
    <w:rsid w:val="003A3424"/>
    <w:rsid w:val="003A461D"/>
    <w:rsid w:val="003A5F9E"/>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9D6"/>
    <w:rsid w:val="003C1CE8"/>
    <w:rsid w:val="003C1DD1"/>
    <w:rsid w:val="003C22D0"/>
    <w:rsid w:val="003C33BD"/>
    <w:rsid w:val="003C4E33"/>
    <w:rsid w:val="003C54D5"/>
    <w:rsid w:val="003C5AFF"/>
    <w:rsid w:val="003C6935"/>
    <w:rsid w:val="003C6ABE"/>
    <w:rsid w:val="003C6FE2"/>
    <w:rsid w:val="003C76EB"/>
    <w:rsid w:val="003D0678"/>
    <w:rsid w:val="003D0AA3"/>
    <w:rsid w:val="003D19B3"/>
    <w:rsid w:val="003D1BD8"/>
    <w:rsid w:val="003D2787"/>
    <w:rsid w:val="003D2AEA"/>
    <w:rsid w:val="003D2B6C"/>
    <w:rsid w:val="003D2C5D"/>
    <w:rsid w:val="003D33A3"/>
    <w:rsid w:val="003D3A8C"/>
    <w:rsid w:val="003D4452"/>
    <w:rsid w:val="003D4E70"/>
    <w:rsid w:val="003D513E"/>
    <w:rsid w:val="003D59D5"/>
    <w:rsid w:val="003D5E72"/>
    <w:rsid w:val="003D6551"/>
    <w:rsid w:val="003E10B2"/>
    <w:rsid w:val="003E1157"/>
    <w:rsid w:val="003E1579"/>
    <w:rsid w:val="003E3803"/>
    <w:rsid w:val="003E482D"/>
    <w:rsid w:val="003E546D"/>
    <w:rsid w:val="003E59CB"/>
    <w:rsid w:val="003E5C19"/>
    <w:rsid w:val="003E6534"/>
    <w:rsid w:val="003E6A7A"/>
    <w:rsid w:val="003F0792"/>
    <w:rsid w:val="003F0A2B"/>
    <w:rsid w:val="003F0A32"/>
    <w:rsid w:val="003F1149"/>
    <w:rsid w:val="003F11DD"/>
    <w:rsid w:val="003F2838"/>
    <w:rsid w:val="003F3EAB"/>
    <w:rsid w:val="003F40F7"/>
    <w:rsid w:val="003F492A"/>
    <w:rsid w:val="003F4D30"/>
    <w:rsid w:val="003F50A3"/>
    <w:rsid w:val="003F7DF5"/>
    <w:rsid w:val="00400003"/>
    <w:rsid w:val="00400CBF"/>
    <w:rsid w:val="004013BF"/>
    <w:rsid w:val="0040149D"/>
    <w:rsid w:val="00401790"/>
    <w:rsid w:val="00401BCC"/>
    <w:rsid w:val="00401ED6"/>
    <w:rsid w:val="004027F1"/>
    <w:rsid w:val="00404E19"/>
    <w:rsid w:val="00404E82"/>
    <w:rsid w:val="00405192"/>
    <w:rsid w:val="00405547"/>
    <w:rsid w:val="00405DAC"/>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0237"/>
    <w:rsid w:val="0046101F"/>
    <w:rsid w:val="004630F7"/>
    <w:rsid w:val="00464000"/>
    <w:rsid w:val="0046424C"/>
    <w:rsid w:val="00464A1C"/>
    <w:rsid w:val="004666C3"/>
    <w:rsid w:val="00466A6F"/>
    <w:rsid w:val="004679FF"/>
    <w:rsid w:val="0047021B"/>
    <w:rsid w:val="00470E7F"/>
    <w:rsid w:val="00471B38"/>
    <w:rsid w:val="004721F4"/>
    <w:rsid w:val="004724DE"/>
    <w:rsid w:val="00473065"/>
    <w:rsid w:val="0047307F"/>
    <w:rsid w:val="0047472C"/>
    <w:rsid w:val="00474C51"/>
    <w:rsid w:val="00475747"/>
    <w:rsid w:val="0047579B"/>
    <w:rsid w:val="004759E5"/>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29"/>
    <w:rsid w:val="00495AA1"/>
    <w:rsid w:val="00496C13"/>
    <w:rsid w:val="004977B0"/>
    <w:rsid w:val="00497E26"/>
    <w:rsid w:val="00497E9B"/>
    <w:rsid w:val="004A2B75"/>
    <w:rsid w:val="004A4B3D"/>
    <w:rsid w:val="004A4CDB"/>
    <w:rsid w:val="004A5C1C"/>
    <w:rsid w:val="004A67F8"/>
    <w:rsid w:val="004B0C5B"/>
    <w:rsid w:val="004B11F8"/>
    <w:rsid w:val="004B1226"/>
    <w:rsid w:val="004B1235"/>
    <w:rsid w:val="004B2057"/>
    <w:rsid w:val="004B2557"/>
    <w:rsid w:val="004B2BB0"/>
    <w:rsid w:val="004B3AD5"/>
    <w:rsid w:val="004B40EE"/>
    <w:rsid w:val="004B5652"/>
    <w:rsid w:val="004B5CDC"/>
    <w:rsid w:val="004B602B"/>
    <w:rsid w:val="004B7B6A"/>
    <w:rsid w:val="004C0ADD"/>
    <w:rsid w:val="004C1130"/>
    <w:rsid w:val="004C2190"/>
    <w:rsid w:val="004C21A4"/>
    <w:rsid w:val="004C2D78"/>
    <w:rsid w:val="004C3DCC"/>
    <w:rsid w:val="004C4D20"/>
    <w:rsid w:val="004C50A6"/>
    <w:rsid w:val="004C5366"/>
    <w:rsid w:val="004C5B9F"/>
    <w:rsid w:val="004C5BF7"/>
    <w:rsid w:val="004C6670"/>
    <w:rsid w:val="004C6950"/>
    <w:rsid w:val="004C7039"/>
    <w:rsid w:val="004C7EF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3614"/>
    <w:rsid w:val="004F444A"/>
    <w:rsid w:val="004F66E4"/>
    <w:rsid w:val="004F6FF9"/>
    <w:rsid w:val="0050136D"/>
    <w:rsid w:val="005015C6"/>
    <w:rsid w:val="00501946"/>
    <w:rsid w:val="0050316D"/>
    <w:rsid w:val="00503679"/>
    <w:rsid w:val="00503CF7"/>
    <w:rsid w:val="0050409E"/>
    <w:rsid w:val="00504A30"/>
    <w:rsid w:val="005062F1"/>
    <w:rsid w:val="00506C08"/>
    <w:rsid w:val="005107B1"/>
    <w:rsid w:val="0051253C"/>
    <w:rsid w:val="00512991"/>
    <w:rsid w:val="005134ED"/>
    <w:rsid w:val="005139ED"/>
    <w:rsid w:val="00513D83"/>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2D9"/>
    <w:rsid w:val="00530343"/>
    <w:rsid w:val="00530762"/>
    <w:rsid w:val="0053119E"/>
    <w:rsid w:val="00532695"/>
    <w:rsid w:val="005343A8"/>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4FF"/>
    <w:rsid w:val="00547CBF"/>
    <w:rsid w:val="00547EB4"/>
    <w:rsid w:val="00550203"/>
    <w:rsid w:val="00550B6E"/>
    <w:rsid w:val="00552492"/>
    <w:rsid w:val="00554FE6"/>
    <w:rsid w:val="005553CF"/>
    <w:rsid w:val="0055732C"/>
    <w:rsid w:val="00560AAB"/>
    <w:rsid w:val="005611CF"/>
    <w:rsid w:val="0056237D"/>
    <w:rsid w:val="00562C95"/>
    <w:rsid w:val="005644AF"/>
    <w:rsid w:val="00567328"/>
    <w:rsid w:val="00570BF6"/>
    <w:rsid w:val="00570C67"/>
    <w:rsid w:val="0057260A"/>
    <w:rsid w:val="005731BE"/>
    <w:rsid w:val="00574A2F"/>
    <w:rsid w:val="00574B0F"/>
    <w:rsid w:val="00575D92"/>
    <w:rsid w:val="00575F56"/>
    <w:rsid w:val="005764AA"/>
    <w:rsid w:val="005769DA"/>
    <w:rsid w:val="00576AE6"/>
    <w:rsid w:val="00576D54"/>
    <w:rsid w:val="005774AA"/>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6E1"/>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A3B"/>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4FEC"/>
    <w:rsid w:val="005D5089"/>
    <w:rsid w:val="005D57DB"/>
    <w:rsid w:val="005D6059"/>
    <w:rsid w:val="005E1AA2"/>
    <w:rsid w:val="005E1D7F"/>
    <w:rsid w:val="005E2414"/>
    <w:rsid w:val="005E3549"/>
    <w:rsid w:val="005E4F42"/>
    <w:rsid w:val="005E51C4"/>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016F"/>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BC6"/>
    <w:rsid w:val="00622C1E"/>
    <w:rsid w:val="00622DC2"/>
    <w:rsid w:val="00622E6B"/>
    <w:rsid w:val="00623952"/>
    <w:rsid w:val="00623C43"/>
    <w:rsid w:val="0062440D"/>
    <w:rsid w:val="00624C8B"/>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37B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576A"/>
    <w:rsid w:val="00656425"/>
    <w:rsid w:val="0065648B"/>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1F0"/>
    <w:rsid w:val="0067230A"/>
    <w:rsid w:val="0067240E"/>
    <w:rsid w:val="00672A0F"/>
    <w:rsid w:val="00673C83"/>
    <w:rsid w:val="00674737"/>
    <w:rsid w:val="0067516A"/>
    <w:rsid w:val="0067520E"/>
    <w:rsid w:val="00675CDC"/>
    <w:rsid w:val="006766CA"/>
    <w:rsid w:val="006775D4"/>
    <w:rsid w:val="00677816"/>
    <w:rsid w:val="006779F8"/>
    <w:rsid w:val="006803EF"/>
    <w:rsid w:val="00680969"/>
    <w:rsid w:val="00680DC1"/>
    <w:rsid w:val="00680EA6"/>
    <w:rsid w:val="00682893"/>
    <w:rsid w:val="006828EE"/>
    <w:rsid w:val="00682D51"/>
    <w:rsid w:val="0068307F"/>
    <w:rsid w:val="006830CE"/>
    <w:rsid w:val="00683865"/>
    <w:rsid w:val="00683894"/>
    <w:rsid w:val="006840AD"/>
    <w:rsid w:val="006843D1"/>
    <w:rsid w:val="00685B87"/>
    <w:rsid w:val="0068684D"/>
    <w:rsid w:val="00686C20"/>
    <w:rsid w:val="00686F06"/>
    <w:rsid w:val="006876EF"/>
    <w:rsid w:val="006918B2"/>
    <w:rsid w:val="00692617"/>
    <w:rsid w:val="00692A1C"/>
    <w:rsid w:val="0069459D"/>
    <w:rsid w:val="00695005"/>
    <w:rsid w:val="0069541B"/>
    <w:rsid w:val="006954C5"/>
    <w:rsid w:val="00695A92"/>
    <w:rsid w:val="00695F18"/>
    <w:rsid w:val="00696533"/>
    <w:rsid w:val="006A02A3"/>
    <w:rsid w:val="006A0417"/>
    <w:rsid w:val="006A09D5"/>
    <w:rsid w:val="006A491B"/>
    <w:rsid w:val="006A4A75"/>
    <w:rsid w:val="006A551A"/>
    <w:rsid w:val="006A5B86"/>
    <w:rsid w:val="006A5EB2"/>
    <w:rsid w:val="006A645E"/>
    <w:rsid w:val="006A739E"/>
    <w:rsid w:val="006A7480"/>
    <w:rsid w:val="006B18F4"/>
    <w:rsid w:val="006B1EE2"/>
    <w:rsid w:val="006B1EFC"/>
    <w:rsid w:val="006B4A3D"/>
    <w:rsid w:val="006B4A86"/>
    <w:rsid w:val="006B50F4"/>
    <w:rsid w:val="006B5381"/>
    <w:rsid w:val="006B6AB5"/>
    <w:rsid w:val="006B7F63"/>
    <w:rsid w:val="006C0E63"/>
    <w:rsid w:val="006C124F"/>
    <w:rsid w:val="006C1B61"/>
    <w:rsid w:val="006C1E1F"/>
    <w:rsid w:val="006C2247"/>
    <w:rsid w:val="006C264E"/>
    <w:rsid w:val="006C2854"/>
    <w:rsid w:val="006C2F62"/>
    <w:rsid w:val="006C34ED"/>
    <w:rsid w:val="006C405F"/>
    <w:rsid w:val="006C44C2"/>
    <w:rsid w:val="006C44DE"/>
    <w:rsid w:val="006C479E"/>
    <w:rsid w:val="006C4DA5"/>
    <w:rsid w:val="006C63EF"/>
    <w:rsid w:val="006C708E"/>
    <w:rsid w:val="006C75C4"/>
    <w:rsid w:val="006D060A"/>
    <w:rsid w:val="006D09D2"/>
    <w:rsid w:val="006D1EB5"/>
    <w:rsid w:val="006D20B7"/>
    <w:rsid w:val="006D24C3"/>
    <w:rsid w:val="006D3848"/>
    <w:rsid w:val="006D62F6"/>
    <w:rsid w:val="006D645F"/>
    <w:rsid w:val="006D6807"/>
    <w:rsid w:val="006D758D"/>
    <w:rsid w:val="006D7E05"/>
    <w:rsid w:val="006E1379"/>
    <w:rsid w:val="006E31A8"/>
    <w:rsid w:val="006E44C1"/>
    <w:rsid w:val="006E49A8"/>
    <w:rsid w:val="006E5396"/>
    <w:rsid w:val="006E576A"/>
    <w:rsid w:val="006E576B"/>
    <w:rsid w:val="006E5E48"/>
    <w:rsid w:val="006E686B"/>
    <w:rsid w:val="006E6F4C"/>
    <w:rsid w:val="006E77DF"/>
    <w:rsid w:val="006E7D4B"/>
    <w:rsid w:val="006E7E12"/>
    <w:rsid w:val="006F0FBC"/>
    <w:rsid w:val="006F1DD1"/>
    <w:rsid w:val="006F2485"/>
    <w:rsid w:val="006F293F"/>
    <w:rsid w:val="006F2FBA"/>
    <w:rsid w:val="006F3E50"/>
    <w:rsid w:val="006F4420"/>
    <w:rsid w:val="006F4A6B"/>
    <w:rsid w:val="006F53CD"/>
    <w:rsid w:val="006F5702"/>
    <w:rsid w:val="006F684D"/>
    <w:rsid w:val="006F70A3"/>
    <w:rsid w:val="006F752B"/>
    <w:rsid w:val="006F7FC2"/>
    <w:rsid w:val="00703801"/>
    <w:rsid w:val="007044BB"/>
    <w:rsid w:val="0070501A"/>
    <w:rsid w:val="00705ADE"/>
    <w:rsid w:val="007068EB"/>
    <w:rsid w:val="00707787"/>
    <w:rsid w:val="00707990"/>
    <w:rsid w:val="00707C6D"/>
    <w:rsid w:val="0071005D"/>
    <w:rsid w:val="007105E2"/>
    <w:rsid w:val="007106CD"/>
    <w:rsid w:val="00710903"/>
    <w:rsid w:val="00711E2A"/>
    <w:rsid w:val="00712A2A"/>
    <w:rsid w:val="00714560"/>
    <w:rsid w:val="00715318"/>
    <w:rsid w:val="0071598B"/>
    <w:rsid w:val="00715DDE"/>
    <w:rsid w:val="00715F60"/>
    <w:rsid w:val="0071629D"/>
    <w:rsid w:val="00716B66"/>
    <w:rsid w:val="007179B4"/>
    <w:rsid w:val="00717C63"/>
    <w:rsid w:val="00720588"/>
    <w:rsid w:val="007206D3"/>
    <w:rsid w:val="00724754"/>
    <w:rsid w:val="007248E4"/>
    <w:rsid w:val="00725527"/>
    <w:rsid w:val="007258A3"/>
    <w:rsid w:val="007313AA"/>
    <w:rsid w:val="007319FF"/>
    <w:rsid w:val="0073211D"/>
    <w:rsid w:val="007349D6"/>
    <w:rsid w:val="007360F8"/>
    <w:rsid w:val="00736C52"/>
    <w:rsid w:val="00736C53"/>
    <w:rsid w:val="0073736A"/>
    <w:rsid w:val="007373ED"/>
    <w:rsid w:val="00741615"/>
    <w:rsid w:val="007416C3"/>
    <w:rsid w:val="00741B99"/>
    <w:rsid w:val="00741CAF"/>
    <w:rsid w:val="007424A9"/>
    <w:rsid w:val="00742AD0"/>
    <w:rsid w:val="00743649"/>
    <w:rsid w:val="00743A43"/>
    <w:rsid w:val="00743AF8"/>
    <w:rsid w:val="00744A16"/>
    <w:rsid w:val="00745159"/>
    <w:rsid w:val="00745A59"/>
    <w:rsid w:val="00745D6F"/>
    <w:rsid w:val="007462BE"/>
    <w:rsid w:val="007465EC"/>
    <w:rsid w:val="00746807"/>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585D"/>
    <w:rsid w:val="007762E4"/>
    <w:rsid w:val="00776BDD"/>
    <w:rsid w:val="00777503"/>
    <w:rsid w:val="00777A99"/>
    <w:rsid w:val="00780375"/>
    <w:rsid w:val="0078042F"/>
    <w:rsid w:val="00781BF5"/>
    <w:rsid w:val="0078390D"/>
    <w:rsid w:val="00784217"/>
    <w:rsid w:val="00784CAA"/>
    <w:rsid w:val="00786528"/>
    <w:rsid w:val="0078754F"/>
    <w:rsid w:val="00787894"/>
    <w:rsid w:val="0079024F"/>
    <w:rsid w:val="00790CE1"/>
    <w:rsid w:val="007918CA"/>
    <w:rsid w:val="0079191B"/>
    <w:rsid w:val="00791D12"/>
    <w:rsid w:val="007925CC"/>
    <w:rsid w:val="00793C96"/>
    <w:rsid w:val="00793DAC"/>
    <w:rsid w:val="00794727"/>
    <w:rsid w:val="00794809"/>
    <w:rsid w:val="00795D6A"/>
    <w:rsid w:val="007963DA"/>
    <w:rsid w:val="007964CA"/>
    <w:rsid w:val="00796CF2"/>
    <w:rsid w:val="00796FD9"/>
    <w:rsid w:val="0079783F"/>
    <w:rsid w:val="007979D8"/>
    <w:rsid w:val="007A11CB"/>
    <w:rsid w:val="007A1C17"/>
    <w:rsid w:val="007A32A0"/>
    <w:rsid w:val="007A3C95"/>
    <w:rsid w:val="007A4019"/>
    <w:rsid w:val="007A4AF6"/>
    <w:rsid w:val="007A6A09"/>
    <w:rsid w:val="007A7010"/>
    <w:rsid w:val="007A71C6"/>
    <w:rsid w:val="007A7668"/>
    <w:rsid w:val="007B1B4B"/>
    <w:rsid w:val="007B33B1"/>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5F"/>
    <w:rsid w:val="007C29FA"/>
    <w:rsid w:val="007C2B17"/>
    <w:rsid w:val="007C3DE6"/>
    <w:rsid w:val="007C43D5"/>
    <w:rsid w:val="007C59AF"/>
    <w:rsid w:val="007C620D"/>
    <w:rsid w:val="007C661F"/>
    <w:rsid w:val="007C729A"/>
    <w:rsid w:val="007C7DF0"/>
    <w:rsid w:val="007D0B26"/>
    <w:rsid w:val="007D0D99"/>
    <w:rsid w:val="007D1049"/>
    <w:rsid w:val="007D1A3E"/>
    <w:rsid w:val="007D28A7"/>
    <w:rsid w:val="007D3018"/>
    <w:rsid w:val="007D355B"/>
    <w:rsid w:val="007D382F"/>
    <w:rsid w:val="007D4E3C"/>
    <w:rsid w:val="007D5390"/>
    <w:rsid w:val="007D6D9F"/>
    <w:rsid w:val="007E0533"/>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3ECE"/>
    <w:rsid w:val="007F49CB"/>
    <w:rsid w:val="007F5016"/>
    <w:rsid w:val="007F59C0"/>
    <w:rsid w:val="007F6ED8"/>
    <w:rsid w:val="007F77FF"/>
    <w:rsid w:val="00801A11"/>
    <w:rsid w:val="00801CCB"/>
    <w:rsid w:val="008022E1"/>
    <w:rsid w:val="00802C0A"/>
    <w:rsid w:val="00802D74"/>
    <w:rsid w:val="00802F1B"/>
    <w:rsid w:val="008036AA"/>
    <w:rsid w:val="00804030"/>
    <w:rsid w:val="00804221"/>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51D"/>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0193"/>
    <w:rsid w:val="00841AA1"/>
    <w:rsid w:val="00841B2E"/>
    <w:rsid w:val="00841DBC"/>
    <w:rsid w:val="008425F7"/>
    <w:rsid w:val="0084292C"/>
    <w:rsid w:val="00842A67"/>
    <w:rsid w:val="00843767"/>
    <w:rsid w:val="00843A65"/>
    <w:rsid w:val="00843F6D"/>
    <w:rsid w:val="0084400E"/>
    <w:rsid w:val="0084523F"/>
    <w:rsid w:val="00845487"/>
    <w:rsid w:val="00846C09"/>
    <w:rsid w:val="00847937"/>
    <w:rsid w:val="00850490"/>
    <w:rsid w:val="00852FFE"/>
    <w:rsid w:val="008532FF"/>
    <w:rsid w:val="00853733"/>
    <w:rsid w:val="00853767"/>
    <w:rsid w:val="008546A9"/>
    <w:rsid w:val="008548F1"/>
    <w:rsid w:val="00854BF4"/>
    <w:rsid w:val="00856878"/>
    <w:rsid w:val="008569C2"/>
    <w:rsid w:val="00856C27"/>
    <w:rsid w:val="0085716A"/>
    <w:rsid w:val="008571A3"/>
    <w:rsid w:val="00857C61"/>
    <w:rsid w:val="00857D51"/>
    <w:rsid w:val="008600DA"/>
    <w:rsid w:val="0086024C"/>
    <w:rsid w:val="00861B94"/>
    <w:rsid w:val="00861D82"/>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4B33"/>
    <w:rsid w:val="00875202"/>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4FC"/>
    <w:rsid w:val="0089058C"/>
    <w:rsid w:val="008924F5"/>
    <w:rsid w:val="00892698"/>
    <w:rsid w:val="00893015"/>
    <w:rsid w:val="008937AF"/>
    <w:rsid w:val="0089389E"/>
    <w:rsid w:val="00893A3F"/>
    <w:rsid w:val="00893DE0"/>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A73C4"/>
    <w:rsid w:val="008B074D"/>
    <w:rsid w:val="008B09B6"/>
    <w:rsid w:val="008B0B0B"/>
    <w:rsid w:val="008B131E"/>
    <w:rsid w:val="008B1AD6"/>
    <w:rsid w:val="008B1B8A"/>
    <w:rsid w:val="008B20FE"/>
    <w:rsid w:val="008B2B65"/>
    <w:rsid w:val="008B335D"/>
    <w:rsid w:val="008B3982"/>
    <w:rsid w:val="008B40B0"/>
    <w:rsid w:val="008B4415"/>
    <w:rsid w:val="008B486D"/>
    <w:rsid w:val="008B5319"/>
    <w:rsid w:val="008B723C"/>
    <w:rsid w:val="008B7C4E"/>
    <w:rsid w:val="008C1587"/>
    <w:rsid w:val="008C1E3C"/>
    <w:rsid w:val="008C3108"/>
    <w:rsid w:val="008C336D"/>
    <w:rsid w:val="008C4457"/>
    <w:rsid w:val="008C617E"/>
    <w:rsid w:val="008C6A2D"/>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AAF"/>
    <w:rsid w:val="008D7CCD"/>
    <w:rsid w:val="008D7F58"/>
    <w:rsid w:val="008E01E3"/>
    <w:rsid w:val="008E0585"/>
    <w:rsid w:val="008E151A"/>
    <w:rsid w:val="008E2B6C"/>
    <w:rsid w:val="008E3CC4"/>
    <w:rsid w:val="008E4129"/>
    <w:rsid w:val="008E4C96"/>
    <w:rsid w:val="008E4CC9"/>
    <w:rsid w:val="008E5033"/>
    <w:rsid w:val="008E5C56"/>
    <w:rsid w:val="008E60B7"/>
    <w:rsid w:val="008E66CC"/>
    <w:rsid w:val="008E72F4"/>
    <w:rsid w:val="008E7CB9"/>
    <w:rsid w:val="008F04F7"/>
    <w:rsid w:val="008F0A2D"/>
    <w:rsid w:val="008F0D18"/>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85D"/>
    <w:rsid w:val="00904A50"/>
    <w:rsid w:val="0090576D"/>
    <w:rsid w:val="00906598"/>
    <w:rsid w:val="00906C2C"/>
    <w:rsid w:val="009076F2"/>
    <w:rsid w:val="009079E3"/>
    <w:rsid w:val="00907A18"/>
    <w:rsid w:val="00907B78"/>
    <w:rsid w:val="00910A71"/>
    <w:rsid w:val="00910D86"/>
    <w:rsid w:val="00913C1C"/>
    <w:rsid w:val="00914181"/>
    <w:rsid w:val="00914B78"/>
    <w:rsid w:val="00914EAA"/>
    <w:rsid w:val="00914FB8"/>
    <w:rsid w:val="00916E0C"/>
    <w:rsid w:val="0092037B"/>
    <w:rsid w:val="009206DA"/>
    <w:rsid w:val="009214F0"/>
    <w:rsid w:val="00921FD4"/>
    <w:rsid w:val="009222FF"/>
    <w:rsid w:val="0092271F"/>
    <w:rsid w:val="009229A3"/>
    <w:rsid w:val="00922E38"/>
    <w:rsid w:val="0092341D"/>
    <w:rsid w:val="00924CEB"/>
    <w:rsid w:val="009251DE"/>
    <w:rsid w:val="00926D5D"/>
    <w:rsid w:val="0092748C"/>
    <w:rsid w:val="00927CEE"/>
    <w:rsid w:val="0093005D"/>
    <w:rsid w:val="00930121"/>
    <w:rsid w:val="009306C3"/>
    <w:rsid w:val="009308C2"/>
    <w:rsid w:val="00931E23"/>
    <w:rsid w:val="009320A6"/>
    <w:rsid w:val="009328F3"/>
    <w:rsid w:val="009334C6"/>
    <w:rsid w:val="00933E53"/>
    <w:rsid w:val="00934824"/>
    <w:rsid w:val="00935B72"/>
    <w:rsid w:val="009365DB"/>
    <w:rsid w:val="009367B7"/>
    <w:rsid w:val="00936F29"/>
    <w:rsid w:val="0093772F"/>
    <w:rsid w:val="00937AE2"/>
    <w:rsid w:val="00940953"/>
    <w:rsid w:val="00941465"/>
    <w:rsid w:val="0094162A"/>
    <w:rsid w:val="009423F9"/>
    <w:rsid w:val="00944216"/>
    <w:rsid w:val="00944EA8"/>
    <w:rsid w:val="00945C0C"/>
    <w:rsid w:val="00945CEE"/>
    <w:rsid w:val="00950092"/>
    <w:rsid w:val="00950E15"/>
    <w:rsid w:val="00952191"/>
    <w:rsid w:val="00952A4C"/>
    <w:rsid w:val="009531E2"/>
    <w:rsid w:val="009535BC"/>
    <w:rsid w:val="00954726"/>
    <w:rsid w:val="00954CA3"/>
    <w:rsid w:val="00954D7D"/>
    <w:rsid w:val="00955230"/>
    <w:rsid w:val="009559D9"/>
    <w:rsid w:val="0095616F"/>
    <w:rsid w:val="00956301"/>
    <w:rsid w:val="00956423"/>
    <w:rsid w:val="00956869"/>
    <w:rsid w:val="00956BBC"/>
    <w:rsid w:val="0096045F"/>
    <w:rsid w:val="0096082B"/>
    <w:rsid w:val="0096099B"/>
    <w:rsid w:val="00960D10"/>
    <w:rsid w:val="00963846"/>
    <w:rsid w:val="00963DF5"/>
    <w:rsid w:val="0096411D"/>
    <w:rsid w:val="009657D1"/>
    <w:rsid w:val="0097029F"/>
    <w:rsid w:val="0097210C"/>
    <w:rsid w:val="00973423"/>
    <w:rsid w:val="00973737"/>
    <w:rsid w:val="00973828"/>
    <w:rsid w:val="00973BFB"/>
    <w:rsid w:val="00974E94"/>
    <w:rsid w:val="00974FE0"/>
    <w:rsid w:val="00975A9D"/>
    <w:rsid w:val="00975BA4"/>
    <w:rsid w:val="009761C9"/>
    <w:rsid w:val="00976969"/>
    <w:rsid w:val="00977625"/>
    <w:rsid w:val="00977C7A"/>
    <w:rsid w:val="00980288"/>
    <w:rsid w:val="00980380"/>
    <w:rsid w:val="009803D6"/>
    <w:rsid w:val="009808A3"/>
    <w:rsid w:val="00980E5D"/>
    <w:rsid w:val="0098121C"/>
    <w:rsid w:val="00981CC9"/>
    <w:rsid w:val="00981E06"/>
    <w:rsid w:val="00982706"/>
    <w:rsid w:val="00982B26"/>
    <w:rsid w:val="00983193"/>
    <w:rsid w:val="00983359"/>
    <w:rsid w:val="0098428A"/>
    <w:rsid w:val="009847F0"/>
    <w:rsid w:val="009848EC"/>
    <w:rsid w:val="00986070"/>
    <w:rsid w:val="00986539"/>
    <w:rsid w:val="0098666E"/>
    <w:rsid w:val="00986DFF"/>
    <w:rsid w:val="0098712B"/>
    <w:rsid w:val="009904B5"/>
    <w:rsid w:val="009909D9"/>
    <w:rsid w:val="00991184"/>
    <w:rsid w:val="009928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4FD7"/>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2F5"/>
    <w:rsid w:val="009C25E7"/>
    <w:rsid w:val="009C2990"/>
    <w:rsid w:val="009C2D5F"/>
    <w:rsid w:val="009C3580"/>
    <w:rsid w:val="009C4157"/>
    <w:rsid w:val="009C42E1"/>
    <w:rsid w:val="009C4363"/>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53A"/>
    <w:rsid w:val="00A00BB3"/>
    <w:rsid w:val="00A01286"/>
    <w:rsid w:val="00A0171F"/>
    <w:rsid w:val="00A01FDC"/>
    <w:rsid w:val="00A020B2"/>
    <w:rsid w:val="00A02100"/>
    <w:rsid w:val="00A0258C"/>
    <w:rsid w:val="00A03C8F"/>
    <w:rsid w:val="00A03FA3"/>
    <w:rsid w:val="00A04DB7"/>
    <w:rsid w:val="00A05A58"/>
    <w:rsid w:val="00A05A8C"/>
    <w:rsid w:val="00A05B07"/>
    <w:rsid w:val="00A069CE"/>
    <w:rsid w:val="00A073AF"/>
    <w:rsid w:val="00A10F62"/>
    <w:rsid w:val="00A115D6"/>
    <w:rsid w:val="00A12EB1"/>
    <w:rsid w:val="00A1336D"/>
    <w:rsid w:val="00A13F5C"/>
    <w:rsid w:val="00A13FA3"/>
    <w:rsid w:val="00A14D41"/>
    <w:rsid w:val="00A14F23"/>
    <w:rsid w:val="00A159D9"/>
    <w:rsid w:val="00A16D87"/>
    <w:rsid w:val="00A17BD2"/>
    <w:rsid w:val="00A17DE7"/>
    <w:rsid w:val="00A17FCD"/>
    <w:rsid w:val="00A2053D"/>
    <w:rsid w:val="00A20559"/>
    <w:rsid w:val="00A20927"/>
    <w:rsid w:val="00A215C2"/>
    <w:rsid w:val="00A22322"/>
    <w:rsid w:val="00A22425"/>
    <w:rsid w:val="00A2373A"/>
    <w:rsid w:val="00A23C0A"/>
    <w:rsid w:val="00A25952"/>
    <w:rsid w:val="00A26A69"/>
    <w:rsid w:val="00A26E84"/>
    <w:rsid w:val="00A301B3"/>
    <w:rsid w:val="00A304E0"/>
    <w:rsid w:val="00A30D84"/>
    <w:rsid w:val="00A30D9B"/>
    <w:rsid w:val="00A31117"/>
    <w:rsid w:val="00A31498"/>
    <w:rsid w:val="00A33517"/>
    <w:rsid w:val="00A3372C"/>
    <w:rsid w:val="00A34E05"/>
    <w:rsid w:val="00A35329"/>
    <w:rsid w:val="00A360F9"/>
    <w:rsid w:val="00A37004"/>
    <w:rsid w:val="00A374E1"/>
    <w:rsid w:val="00A402D7"/>
    <w:rsid w:val="00A404A0"/>
    <w:rsid w:val="00A40528"/>
    <w:rsid w:val="00A40545"/>
    <w:rsid w:val="00A407CB"/>
    <w:rsid w:val="00A409D2"/>
    <w:rsid w:val="00A413C6"/>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55FE"/>
    <w:rsid w:val="00A5620C"/>
    <w:rsid w:val="00A56406"/>
    <w:rsid w:val="00A56686"/>
    <w:rsid w:val="00A56738"/>
    <w:rsid w:val="00A567BC"/>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07F4"/>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15B"/>
    <w:rsid w:val="00A97B03"/>
    <w:rsid w:val="00AA04AA"/>
    <w:rsid w:val="00AA161E"/>
    <w:rsid w:val="00AA18C9"/>
    <w:rsid w:val="00AA2444"/>
    <w:rsid w:val="00AA24BE"/>
    <w:rsid w:val="00AA2BAC"/>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447E"/>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4E34"/>
    <w:rsid w:val="00AC500E"/>
    <w:rsid w:val="00AC5F70"/>
    <w:rsid w:val="00AC7134"/>
    <w:rsid w:val="00AC7BBF"/>
    <w:rsid w:val="00AD0A20"/>
    <w:rsid w:val="00AD130E"/>
    <w:rsid w:val="00AD172A"/>
    <w:rsid w:val="00AD2444"/>
    <w:rsid w:val="00AD3824"/>
    <w:rsid w:val="00AD4822"/>
    <w:rsid w:val="00AD491A"/>
    <w:rsid w:val="00AD5E7A"/>
    <w:rsid w:val="00AD7E54"/>
    <w:rsid w:val="00AE109F"/>
    <w:rsid w:val="00AE11EF"/>
    <w:rsid w:val="00AE18A3"/>
    <w:rsid w:val="00AE3618"/>
    <w:rsid w:val="00AE3841"/>
    <w:rsid w:val="00AE3A63"/>
    <w:rsid w:val="00AE3E25"/>
    <w:rsid w:val="00AE3F40"/>
    <w:rsid w:val="00AE4ACA"/>
    <w:rsid w:val="00AE4B88"/>
    <w:rsid w:val="00AE583B"/>
    <w:rsid w:val="00AE5A1C"/>
    <w:rsid w:val="00AE65D8"/>
    <w:rsid w:val="00AE76F5"/>
    <w:rsid w:val="00AE795A"/>
    <w:rsid w:val="00AE7E54"/>
    <w:rsid w:val="00AF00F1"/>
    <w:rsid w:val="00AF0CCD"/>
    <w:rsid w:val="00AF0CDF"/>
    <w:rsid w:val="00AF122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667D"/>
    <w:rsid w:val="00B072CD"/>
    <w:rsid w:val="00B07399"/>
    <w:rsid w:val="00B0742C"/>
    <w:rsid w:val="00B0798A"/>
    <w:rsid w:val="00B10000"/>
    <w:rsid w:val="00B10C8E"/>
    <w:rsid w:val="00B1139B"/>
    <w:rsid w:val="00B117EF"/>
    <w:rsid w:val="00B11C87"/>
    <w:rsid w:val="00B12058"/>
    <w:rsid w:val="00B127F3"/>
    <w:rsid w:val="00B130F4"/>
    <w:rsid w:val="00B14236"/>
    <w:rsid w:val="00B15DC4"/>
    <w:rsid w:val="00B1630E"/>
    <w:rsid w:val="00B1732B"/>
    <w:rsid w:val="00B17FCD"/>
    <w:rsid w:val="00B23510"/>
    <w:rsid w:val="00B2415A"/>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812"/>
    <w:rsid w:val="00B43DA7"/>
    <w:rsid w:val="00B4477D"/>
    <w:rsid w:val="00B44974"/>
    <w:rsid w:val="00B44DDF"/>
    <w:rsid w:val="00B45287"/>
    <w:rsid w:val="00B45709"/>
    <w:rsid w:val="00B465CE"/>
    <w:rsid w:val="00B46691"/>
    <w:rsid w:val="00B4783F"/>
    <w:rsid w:val="00B47F71"/>
    <w:rsid w:val="00B5066A"/>
    <w:rsid w:val="00B5166A"/>
    <w:rsid w:val="00B51EB2"/>
    <w:rsid w:val="00B52732"/>
    <w:rsid w:val="00B5427A"/>
    <w:rsid w:val="00B543C1"/>
    <w:rsid w:val="00B545C2"/>
    <w:rsid w:val="00B546EF"/>
    <w:rsid w:val="00B54F11"/>
    <w:rsid w:val="00B55340"/>
    <w:rsid w:val="00B553CC"/>
    <w:rsid w:val="00B566FD"/>
    <w:rsid w:val="00B56B34"/>
    <w:rsid w:val="00B56BAF"/>
    <w:rsid w:val="00B5763D"/>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0B1"/>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3A68"/>
    <w:rsid w:val="00BA4288"/>
    <w:rsid w:val="00BA4851"/>
    <w:rsid w:val="00BA4BFF"/>
    <w:rsid w:val="00BA54B1"/>
    <w:rsid w:val="00BA5A38"/>
    <w:rsid w:val="00BA701E"/>
    <w:rsid w:val="00BA7138"/>
    <w:rsid w:val="00BA72B9"/>
    <w:rsid w:val="00BA7E86"/>
    <w:rsid w:val="00BB1E21"/>
    <w:rsid w:val="00BB2A80"/>
    <w:rsid w:val="00BB353F"/>
    <w:rsid w:val="00BB38FE"/>
    <w:rsid w:val="00BB4C3F"/>
    <w:rsid w:val="00BB4DA3"/>
    <w:rsid w:val="00BB5157"/>
    <w:rsid w:val="00BB57AF"/>
    <w:rsid w:val="00BB5825"/>
    <w:rsid w:val="00BB6317"/>
    <w:rsid w:val="00BB71D0"/>
    <w:rsid w:val="00BC05DF"/>
    <w:rsid w:val="00BC082C"/>
    <w:rsid w:val="00BC16C3"/>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17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0E8A"/>
    <w:rsid w:val="00C01E46"/>
    <w:rsid w:val="00C0212B"/>
    <w:rsid w:val="00C0230D"/>
    <w:rsid w:val="00C025A2"/>
    <w:rsid w:val="00C0278E"/>
    <w:rsid w:val="00C02B44"/>
    <w:rsid w:val="00C0321F"/>
    <w:rsid w:val="00C0341E"/>
    <w:rsid w:val="00C05380"/>
    <w:rsid w:val="00C054A2"/>
    <w:rsid w:val="00C05944"/>
    <w:rsid w:val="00C0638C"/>
    <w:rsid w:val="00C06839"/>
    <w:rsid w:val="00C07D9E"/>
    <w:rsid w:val="00C10CB7"/>
    <w:rsid w:val="00C10EEF"/>
    <w:rsid w:val="00C12264"/>
    <w:rsid w:val="00C14C76"/>
    <w:rsid w:val="00C14D8A"/>
    <w:rsid w:val="00C14E63"/>
    <w:rsid w:val="00C14E6C"/>
    <w:rsid w:val="00C1623B"/>
    <w:rsid w:val="00C169AD"/>
    <w:rsid w:val="00C17880"/>
    <w:rsid w:val="00C178B0"/>
    <w:rsid w:val="00C17902"/>
    <w:rsid w:val="00C17AE5"/>
    <w:rsid w:val="00C2070F"/>
    <w:rsid w:val="00C20EAE"/>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16E"/>
    <w:rsid w:val="00C36870"/>
    <w:rsid w:val="00C3703E"/>
    <w:rsid w:val="00C41317"/>
    <w:rsid w:val="00C4141B"/>
    <w:rsid w:val="00C41A19"/>
    <w:rsid w:val="00C4360B"/>
    <w:rsid w:val="00C43AB5"/>
    <w:rsid w:val="00C442A8"/>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470"/>
    <w:rsid w:val="00C56E6C"/>
    <w:rsid w:val="00C57864"/>
    <w:rsid w:val="00C57C71"/>
    <w:rsid w:val="00C57DBC"/>
    <w:rsid w:val="00C6064F"/>
    <w:rsid w:val="00C60BF7"/>
    <w:rsid w:val="00C6136E"/>
    <w:rsid w:val="00C618FF"/>
    <w:rsid w:val="00C61FB0"/>
    <w:rsid w:val="00C62037"/>
    <w:rsid w:val="00C628D5"/>
    <w:rsid w:val="00C62E6E"/>
    <w:rsid w:val="00C633C7"/>
    <w:rsid w:val="00C648A2"/>
    <w:rsid w:val="00C648EB"/>
    <w:rsid w:val="00C6551C"/>
    <w:rsid w:val="00C65E41"/>
    <w:rsid w:val="00C67EE4"/>
    <w:rsid w:val="00C70012"/>
    <w:rsid w:val="00C70564"/>
    <w:rsid w:val="00C71B96"/>
    <w:rsid w:val="00C7241A"/>
    <w:rsid w:val="00C727F6"/>
    <w:rsid w:val="00C73CF1"/>
    <w:rsid w:val="00C7491D"/>
    <w:rsid w:val="00C75751"/>
    <w:rsid w:val="00C768F6"/>
    <w:rsid w:val="00C8035F"/>
    <w:rsid w:val="00C8164F"/>
    <w:rsid w:val="00C81B38"/>
    <w:rsid w:val="00C81E75"/>
    <w:rsid w:val="00C82462"/>
    <w:rsid w:val="00C8253F"/>
    <w:rsid w:val="00C82F6A"/>
    <w:rsid w:val="00C835CA"/>
    <w:rsid w:val="00C836A1"/>
    <w:rsid w:val="00C839DC"/>
    <w:rsid w:val="00C840CE"/>
    <w:rsid w:val="00C859F6"/>
    <w:rsid w:val="00C85E40"/>
    <w:rsid w:val="00C86F29"/>
    <w:rsid w:val="00C87869"/>
    <w:rsid w:val="00C87E76"/>
    <w:rsid w:val="00C916C2"/>
    <w:rsid w:val="00C9269B"/>
    <w:rsid w:val="00C92893"/>
    <w:rsid w:val="00C92C33"/>
    <w:rsid w:val="00C93D5D"/>
    <w:rsid w:val="00C94BA7"/>
    <w:rsid w:val="00C97182"/>
    <w:rsid w:val="00CA02C7"/>
    <w:rsid w:val="00CA0371"/>
    <w:rsid w:val="00CA107F"/>
    <w:rsid w:val="00CA19E0"/>
    <w:rsid w:val="00CA1E75"/>
    <w:rsid w:val="00CA23BC"/>
    <w:rsid w:val="00CA4031"/>
    <w:rsid w:val="00CA4FC1"/>
    <w:rsid w:val="00CA7099"/>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59EA"/>
    <w:rsid w:val="00CC70D6"/>
    <w:rsid w:val="00CC7176"/>
    <w:rsid w:val="00CC769F"/>
    <w:rsid w:val="00CD022C"/>
    <w:rsid w:val="00CD06EB"/>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8AF"/>
    <w:rsid w:val="00CF39C3"/>
    <w:rsid w:val="00CF4136"/>
    <w:rsid w:val="00CF545C"/>
    <w:rsid w:val="00CF5A5B"/>
    <w:rsid w:val="00CF6A64"/>
    <w:rsid w:val="00CF6C2F"/>
    <w:rsid w:val="00CF7103"/>
    <w:rsid w:val="00CF718E"/>
    <w:rsid w:val="00CF7A4A"/>
    <w:rsid w:val="00D01546"/>
    <w:rsid w:val="00D019FF"/>
    <w:rsid w:val="00D01DBB"/>
    <w:rsid w:val="00D040DD"/>
    <w:rsid w:val="00D05A56"/>
    <w:rsid w:val="00D0662E"/>
    <w:rsid w:val="00D071A1"/>
    <w:rsid w:val="00D07593"/>
    <w:rsid w:val="00D1059B"/>
    <w:rsid w:val="00D1181D"/>
    <w:rsid w:val="00D13EC9"/>
    <w:rsid w:val="00D14531"/>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9C5"/>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364F"/>
    <w:rsid w:val="00D5455A"/>
    <w:rsid w:val="00D555C0"/>
    <w:rsid w:val="00D558D7"/>
    <w:rsid w:val="00D5590C"/>
    <w:rsid w:val="00D568CC"/>
    <w:rsid w:val="00D648EC"/>
    <w:rsid w:val="00D64BB0"/>
    <w:rsid w:val="00D64CE0"/>
    <w:rsid w:val="00D65A1E"/>
    <w:rsid w:val="00D65A99"/>
    <w:rsid w:val="00D66A16"/>
    <w:rsid w:val="00D66BC5"/>
    <w:rsid w:val="00D67F23"/>
    <w:rsid w:val="00D70E67"/>
    <w:rsid w:val="00D71BCB"/>
    <w:rsid w:val="00D71C5C"/>
    <w:rsid w:val="00D72FE8"/>
    <w:rsid w:val="00D73FD0"/>
    <w:rsid w:val="00D75586"/>
    <w:rsid w:val="00D759DF"/>
    <w:rsid w:val="00D7653B"/>
    <w:rsid w:val="00D76B07"/>
    <w:rsid w:val="00D774F1"/>
    <w:rsid w:val="00D777EA"/>
    <w:rsid w:val="00D77E24"/>
    <w:rsid w:val="00D80757"/>
    <w:rsid w:val="00D81247"/>
    <w:rsid w:val="00D81A3B"/>
    <w:rsid w:val="00D81B9C"/>
    <w:rsid w:val="00D81D00"/>
    <w:rsid w:val="00D828F3"/>
    <w:rsid w:val="00D838A7"/>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6EAB"/>
    <w:rsid w:val="00D979FA"/>
    <w:rsid w:val="00D97B77"/>
    <w:rsid w:val="00D97FAC"/>
    <w:rsid w:val="00DA0A3B"/>
    <w:rsid w:val="00DA0DA7"/>
    <w:rsid w:val="00DA181B"/>
    <w:rsid w:val="00DA1C13"/>
    <w:rsid w:val="00DA1E84"/>
    <w:rsid w:val="00DA2B8E"/>
    <w:rsid w:val="00DA435C"/>
    <w:rsid w:val="00DA4E3A"/>
    <w:rsid w:val="00DA5926"/>
    <w:rsid w:val="00DA5B53"/>
    <w:rsid w:val="00DA629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C7D19"/>
    <w:rsid w:val="00DD15F0"/>
    <w:rsid w:val="00DD34B0"/>
    <w:rsid w:val="00DD3909"/>
    <w:rsid w:val="00DD5078"/>
    <w:rsid w:val="00DD521A"/>
    <w:rsid w:val="00DD53FC"/>
    <w:rsid w:val="00DD5AF5"/>
    <w:rsid w:val="00DD645B"/>
    <w:rsid w:val="00DD667C"/>
    <w:rsid w:val="00DD6D5F"/>
    <w:rsid w:val="00DD6F29"/>
    <w:rsid w:val="00DD7ADA"/>
    <w:rsid w:val="00DE041F"/>
    <w:rsid w:val="00DE0E41"/>
    <w:rsid w:val="00DE2FF0"/>
    <w:rsid w:val="00DE381A"/>
    <w:rsid w:val="00DE43C3"/>
    <w:rsid w:val="00DE4B85"/>
    <w:rsid w:val="00DE4FB5"/>
    <w:rsid w:val="00DE5A61"/>
    <w:rsid w:val="00DE5E70"/>
    <w:rsid w:val="00DE62AF"/>
    <w:rsid w:val="00DE6D37"/>
    <w:rsid w:val="00DE76AF"/>
    <w:rsid w:val="00DE7E18"/>
    <w:rsid w:val="00DF0624"/>
    <w:rsid w:val="00DF16DB"/>
    <w:rsid w:val="00DF1F16"/>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0E63"/>
    <w:rsid w:val="00E1104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6A"/>
    <w:rsid w:val="00E17AE3"/>
    <w:rsid w:val="00E17B48"/>
    <w:rsid w:val="00E17CDF"/>
    <w:rsid w:val="00E2024F"/>
    <w:rsid w:val="00E20756"/>
    <w:rsid w:val="00E214CC"/>
    <w:rsid w:val="00E21D0E"/>
    <w:rsid w:val="00E2336E"/>
    <w:rsid w:val="00E237E9"/>
    <w:rsid w:val="00E242F7"/>
    <w:rsid w:val="00E2462B"/>
    <w:rsid w:val="00E250E1"/>
    <w:rsid w:val="00E266FD"/>
    <w:rsid w:val="00E30A04"/>
    <w:rsid w:val="00E31148"/>
    <w:rsid w:val="00E311FF"/>
    <w:rsid w:val="00E3150C"/>
    <w:rsid w:val="00E31EE0"/>
    <w:rsid w:val="00E31F9B"/>
    <w:rsid w:val="00E32464"/>
    <w:rsid w:val="00E330B5"/>
    <w:rsid w:val="00E33468"/>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46EBC"/>
    <w:rsid w:val="00E47428"/>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478F"/>
    <w:rsid w:val="00E64E98"/>
    <w:rsid w:val="00E65009"/>
    <w:rsid w:val="00E66740"/>
    <w:rsid w:val="00E66BF7"/>
    <w:rsid w:val="00E66C02"/>
    <w:rsid w:val="00E67A14"/>
    <w:rsid w:val="00E67A37"/>
    <w:rsid w:val="00E71947"/>
    <w:rsid w:val="00E72065"/>
    <w:rsid w:val="00E72DB1"/>
    <w:rsid w:val="00E72F95"/>
    <w:rsid w:val="00E7340D"/>
    <w:rsid w:val="00E73B6C"/>
    <w:rsid w:val="00E73BE3"/>
    <w:rsid w:val="00E74609"/>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A51"/>
    <w:rsid w:val="00E90E34"/>
    <w:rsid w:val="00E90E9D"/>
    <w:rsid w:val="00E91262"/>
    <w:rsid w:val="00E91346"/>
    <w:rsid w:val="00E91FB7"/>
    <w:rsid w:val="00E9212F"/>
    <w:rsid w:val="00E93CED"/>
    <w:rsid w:val="00E95DAA"/>
    <w:rsid w:val="00E95E37"/>
    <w:rsid w:val="00E96739"/>
    <w:rsid w:val="00E967D0"/>
    <w:rsid w:val="00E96881"/>
    <w:rsid w:val="00E96AC4"/>
    <w:rsid w:val="00E96B80"/>
    <w:rsid w:val="00E96CD3"/>
    <w:rsid w:val="00E972E3"/>
    <w:rsid w:val="00E97872"/>
    <w:rsid w:val="00EA14A6"/>
    <w:rsid w:val="00EA2603"/>
    <w:rsid w:val="00EA2A68"/>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11BA"/>
    <w:rsid w:val="00EC257A"/>
    <w:rsid w:val="00EC2A78"/>
    <w:rsid w:val="00EC305B"/>
    <w:rsid w:val="00EC33D1"/>
    <w:rsid w:val="00EC4647"/>
    <w:rsid w:val="00EC4E4A"/>
    <w:rsid w:val="00EC4E98"/>
    <w:rsid w:val="00EC5632"/>
    <w:rsid w:val="00EC588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6C3"/>
    <w:rsid w:val="00EE6927"/>
    <w:rsid w:val="00EF0CD5"/>
    <w:rsid w:val="00EF197F"/>
    <w:rsid w:val="00EF21A0"/>
    <w:rsid w:val="00EF23E7"/>
    <w:rsid w:val="00EF39A2"/>
    <w:rsid w:val="00EF432A"/>
    <w:rsid w:val="00EF4948"/>
    <w:rsid w:val="00EF6D9C"/>
    <w:rsid w:val="00EF70E8"/>
    <w:rsid w:val="00EF7161"/>
    <w:rsid w:val="00EF7248"/>
    <w:rsid w:val="00EF775C"/>
    <w:rsid w:val="00EF7A19"/>
    <w:rsid w:val="00F000A0"/>
    <w:rsid w:val="00F001C6"/>
    <w:rsid w:val="00F01223"/>
    <w:rsid w:val="00F022BC"/>
    <w:rsid w:val="00F028B8"/>
    <w:rsid w:val="00F0291F"/>
    <w:rsid w:val="00F038C9"/>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5D1C"/>
    <w:rsid w:val="00F36AD1"/>
    <w:rsid w:val="00F36EDF"/>
    <w:rsid w:val="00F3791D"/>
    <w:rsid w:val="00F37E3E"/>
    <w:rsid w:val="00F403BC"/>
    <w:rsid w:val="00F42089"/>
    <w:rsid w:val="00F420F5"/>
    <w:rsid w:val="00F42A27"/>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5C3D"/>
    <w:rsid w:val="00F5651A"/>
    <w:rsid w:val="00F56D4D"/>
    <w:rsid w:val="00F5782B"/>
    <w:rsid w:val="00F60037"/>
    <w:rsid w:val="00F60C49"/>
    <w:rsid w:val="00F61608"/>
    <w:rsid w:val="00F616E1"/>
    <w:rsid w:val="00F625C5"/>
    <w:rsid w:val="00F628B4"/>
    <w:rsid w:val="00F632E0"/>
    <w:rsid w:val="00F6349F"/>
    <w:rsid w:val="00F63D95"/>
    <w:rsid w:val="00F64861"/>
    <w:rsid w:val="00F65962"/>
    <w:rsid w:val="00F65D1E"/>
    <w:rsid w:val="00F66A19"/>
    <w:rsid w:val="00F66DC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62C"/>
    <w:rsid w:val="00F8064F"/>
    <w:rsid w:val="00F80A85"/>
    <w:rsid w:val="00F81BC1"/>
    <w:rsid w:val="00F82931"/>
    <w:rsid w:val="00F82AA1"/>
    <w:rsid w:val="00F847F5"/>
    <w:rsid w:val="00F84E65"/>
    <w:rsid w:val="00F85874"/>
    <w:rsid w:val="00F858B7"/>
    <w:rsid w:val="00F913FB"/>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03D"/>
    <w:rsid w:val="00FA75BA"/>
    <w:rsid w:val="00FA7728"/>
    <w:rsid w:val="00FB0B46"/>
    <w:rsid w:val="00FB21B1"/>
    <w:rsid w:val="00FB267F"/>
    <w:rsid w:val="00FB55B7"/>
    <w:rsid w:val="00FB5B69"/>
    <w:rsid w:val="00FB641F"/>
    <w:rsid w:val="00FB68DD"/>
    <w:rsid w:val="00FB6E93"/>
    <w:rsid w:val="00FC467D"/>
    <w:rsid w:val="00FC5BB2"/>
    <w:rsid w:val="00FC7582"/>
    <w:rsid w:val="00FD139A"/>
    <w:rsid w:val="00FD1471"/>
    <w:rsid w:val="00FD170D"/>
    <w:rsid w:val="00FD280F"/>
    <w:rsid w:val="00FD2A89"/>
    <w:rsid w:val="00FD2F38"/>
    <w:rsid w:val="00FD3050"/>
    <w:rsid w:val="00FD4833"/>
    <w:rsid w:val="00FD56C2"/>
    <w:rsid w:val="00FD6D9C"/>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4DBE"/>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15:docId w15:val="{E5EF5122-A869-430E-964D-6144BC5C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TOC4">
    <w:name w:val="toc 4"/>
    <w:basedOn w:val="Normal"/>
    <w:next w:val="Normal"/>
    <w:autoRedefine/>
    <w:uiPriority w:val="39"/>
    <w:unhideWhenUsed/>
    <w:rsid w:val="002133A0"/>
    <w:pPr>
      <w:spacing w:after="100"/>
      <w:ind w:left="600"/>
    </w:pPr>
  </w:style>
  <w:style w:type="paragraph" w:styleId="BodyText">
    <w:name w:val="Body Text"/>
    <w:basedOn w:val="Norma"/>
    <w:link w:val="BodyTextChar"/>
    <w:rsid w:val="002B4895"/>
    <w:pPr>
      <w:widowControl/>
      <w:overflowPunct/>
      <w:autoSpaceDE/>
      <w:autoSpaceDN/>
      <w:adjustRightInd/>
      <w:jc w:val="both"/>
      <w:textAlignment w:val="auto"/>
    </w:pPr>
    <w:rPr>
      <w:rFonts w:ascii="Verdana" w:hAnsi="Verdana" w:cs="Times New Roman"/>
      <w:sz w:val="20"/>
      <w:szCs w:val="20"/>
      <w:lang w:eastAsia="en-US"/>
    </w:rPr>
  </w:style>
  <w:style w:type="character" w:customStyle="1" w:styleId="BodyTextChar">
    <w:name w:val="Body Text Char"/>
    <w:basedOn w:val="DefaultParagraphFont"/>
    <w:link w:val="BodyText"/>
    <w:rsid w:val="002B4895"/>
    <w:rPr>
      <w:rFonts w:ascii="Verdana" w:eastAsia="Times New Roman" w:hAnsi="Verdana"/>
      <w:lang w:eastAsia="en-US"/>
    </w:rPr>
  </w:style>
  <w:style w:type="character" w:styleId="FollowedHyperlink">
    <w:name w:val="FollowedHyperlink"/>
    <w:basedOn w:val="DefaultParagraphFont"/>
    <w:uiPriority w:val="99"/>
    <w:semiHidden/>
    <w:unhideWhenUsed/>
    <w:rsid w:val="00C62E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294142298">
      <w:bodyDiv w:val="1"/>
      <w:marLeft w:val="0"/>
      <w:marRight w:val="0"/>
      <w:marTop w:val="0"/>
      <w:marBottom w:val="0"/>
      <w:divBdr>
        <w:top w:val="none" w:sz="0" w:space="0" w:color="auto"/>
        <w:left w:val="none" w:sz="0" w:space="0" w:color="auto"/>
        <w:bottom w:val="none" w:sz="0" w:space="0" w:color="auto"/>
        <w:right w:val="none" w:sz="0" w:space="0" w:color="auto"/>
      </w:divBdr>
      <w:divsChild>
        <w:div w:id="86585332">
          <w:marLeft w:val="0"/>
          <w:marRight w:val="0"/>
          <w:marTop w:val="0"/>
          <w:marBottom w:val="0"/>
          <w:divBdr>
            <w:top w:val="none" w:sz="0" w:space="0" w:color="auto"/>
            <w:left w:val="none" w:sz="0" w:space="0" w:color="auto"/>
            <w:bottom w:val="none" w:sz="0" w:space="0" w:color="auto"/>
            <w:right w:val="none" w:sz="0" w:space="0" w:color="auto"/>
          </w:divBdr>
        </w:div>
        <w:div w:id="816458962">
          <w:marLeft w:val="0"/>
          <w:marRight w:val="0"/>
          <w:marTop w:val="0"/>
          <w:marBottom w:val="0"/>
          <w:divBdr>
            <w:top w:val="none" w:sz="0" w:space="0" w:color="auto"/>
            <w:left w:val="none" w:sz="0" w:space="0" w:color="auto"/>
            <w:bottom w:val="none" w:sz="0" w:space="0" w:color="auto"/>
            <w:right w:val="none" w:sz="0" w:space="0" w:color="auto"/>
          </w:divBdr>
        </w:div>
        <w:div w:id="409810295">
          <w:marLeft w:val="0"/>
          <w:marRight w:val="0"/>
          <w:marTop w:val="0"/>
          <w:marBottom w:val="0"/>
          <w:divBdr>
            <w:top w:val="none" w:sz="0" w:space="0" w:color="auto"/>
            <w:left w:val="none" w:sz="0" w:space="0" w:color="auto"/>
            <w:bottom w:val="none" w:sz="0" w:space="0" w:color="auto"/>
            <w:right w:val="none" w:sz="0" w:space="0" w:color="auto"/>
          </w:divBdr>
        </w:div>
        <w:div w:id="502550821">
          <w:marLeft w:val="0"/>
          <w:marRight w:val="0"/>
          <w:marTop w:val="0"/>
          <w:marBottom w:val="0"/>
          <w:divBdr>
            <w:top w:val="none" w:sz="0" w:space="0" w:color="auto"/>
            <w:left w:val="none" w:sz="0" w:space="0" w:color="auto"/>
            <w:bottom w:val="none" w:sz="0" w:space="0" w:color="auto"/>
            <w:right w:val="none" w:sz="0" w:space="0" w:color="auto"/>
          </w:divBdr>
        </w:div>
        <w:div w:id="605384746">
          <w:marLeft w:val="0"/>
          <w:marRight w:val="0"/>
          <w:marTop w:val="0"/>
          <w:marBottom w:val="0"/>
          <w:divBdr>
            <w:top w:val="none" w:sz="0" w:space="0" w:color="auto"/>
            <w:left w:val="none" w:sz="0" w:space="0" w:color="auto"/>
            <w:bottom w:val="none" w:sz="0" w:space="0" w:color="auto"/>
            <w:right w:val="none" w:sz="0" w:space="0" w:color="auto"/>
          </w:divBdr>
        </w:div>
        <w:div w:id="824204308">
          <w:marLeft w:val="0"/>
          <w:marRight w:val="0"/>
          <w:marTop w:val="0"/>
          <w:marBottom w:val="0"/>
          <w:divBdr>
            <w:top w:val="none" w:sz="0" w:space="0" w:color="auto"/>
            <w:left w:val="none" w:sz="0" w:space="0" w:color="auto"/>
            <w:bottom w:val="none" w:sz="0" w:space="0" w:color="auto"/>
            <w:right w:val="none" w:sz="0" w:space="0" w:color="auto"/>
          </w:divBdr>
        </w:div>
        <w:div w:id="242571100">
          <w:marLeft w:val="0"/>
          <w:marRight w:val="0"/>
          <w:marTop w:val="0"/>
          <w:marBottom w:val="0"/>
          <w:divBdr>
            <w:top w:val="none" w:sz="0" w:space="0" w:color="auto"/>
            <w:left w:val="none" w:sz="0" w:space="0" w:color="auto"/>
            <w:bottom w:val="none" w:sz="0" w:space="0" w:color="auto"/>
            <w:right w:val="none" w:sz="0" w:space="0" w:color="auto"/>
          </w:divBdr>
        </w:div>
        <w:div w:id="263153126">
          <w:marLeft w:val="0"/>
          <w:marRight w:val="0"/>
          <w:marTop w:val="0"/>
          <w:marBottom w:val="0"/>
          <w:divBdr>
            <w:top w:val="none" w:sz="0" w:space="0" w:color="auto"/>
            <w:left w:val="none" w:sz="0" w:space="0" w:color="auto"/>
            <w:bottom w:val="none" w:sz="0" w:space="0" w:color="auto"/>
            <w:right w:val="none" w:sz="0" w:space="0" w:color="auto"/>
          </w:divBdr>
        </w:div>
        <w:div w:id="1292051197">
          <w:marLeft w:val="0"/>
          <w:marRight w:val="0"/>
          <w:marTop w:val="0"/>
          <w:marBottom w:val="0"/>
          <w:divBdr>
            <w:top w:val="none" w:sz="0" w:space="0" w:color="auto"/>
            <w:left w:val="none" w:sz="0" w:space="0" w:color="auto"/>
            <w:bottom w:val="none" w:sz="0" w:space="0" w:color="auto"/>
            <w:right w:val="none" w:sz="0" w:space="0" w:color="auto"/>
          </w:divBdr>
        </w:div>
        <w:div w:id="1456870729">
          <w:marLeft w:val="0"/>
          <w:marRight w:val="0"/>
          <w:marTop w:val="0"/>
          <w:marBottom w:val="0"/>
          <w:divBdr>
            <w:top w:val="none" w:sz="0" w:space="0" w:color="auto"/>
            <w:left w:val="none" w:sz="0" w:space="0" w:color="auto"/>
            <w:bottom w:val="none" w:sz="0" w:space="0" w:color="auto"/>
            <w:right w:val="none" w:sz="0" w:space="0" w:color="auto"/>
          </w:divBdr>
        </w:div>
        <w:div w:id="841966249">
          <w:marLeft w:val="0"/>
          <w:marRight w:val="0"/>
          <w:marTop w:val="0"/>
          <w:marBottom w:val="0"/>
          <w:divBdr>
            <w:top w:val="none" w:sz="0" w:space="0" w:color="auto"/>
            <w:left w:val="none" w:sz="0" w:space="0" w:color="auto"/>
            <w:bottom w:val="none" w:sz="0" w:space="0" w:color="auto"/>
            <w:right w:val="none" w:sz="0" w:space="0" w:color="auto"/>
          </w:divBdr>
        </w:div>
        <w:div w:id="559098512">
          <w:marLeft w:val="0"/>
          <w:marRight w:val="0"/>
          <w:marTop w:val="0"/>
          <w:marBottom w:val="0"/>
          <w:divBdr>
            <w:top w:val="none" w:sz="0" w:space="0" w:color="auto"/>
            <w:left w:val="none" w:sz="0" w:space="0" w:color="auto"/>
            <w:bottom w:val="none" w:sz="0" w:space="0" w:color="auto"/>
            <w:right w:val="none" w:sz="0" w:space="0" w:color="auto"/>
          </w:divBdr>
        </w:div>
        <w:div w:id="1951935824">
          <w:marLeft w:val="0"/>
          <w:marRight w:val="0"/>
          <w:marTop w:val="0"/>
          <w:marBottom w:val="0"/>
          <w:divBdr>
            <w:top w:val="none" w:sz="0" w:space="0" w:color="auto"/>
            <w:left w:val="none" w:sz="0" w:space="0" w:color="auto"/>
            <w:bottom w:val="none" w:sz="0" w:space="0" w:color="auto"/>
            <w:right w:val="none" w:sz="0" w:space="0" w:color="auto"/>
          </w:divBdr>
        </w:div>
        <w:div w:id="1576469914">
          <w:marLeft w:val="0"/>
          <w:marRight w:val="0"/>
          <w:marTop w:val="0"/>
          <w:marBottom w:val="0"/>
          <w:divBdr>
            <w:top w:val="none" w:sz="0" w:space="0" w:color="auto"/>
            <w:left w:val="none" w:sz="0" w:space="0" w:color="auto"/>
            <w:bottom w:val="none" w:sz="0" w:space="0" w:color="auto"/>
            <w:right w:val="none" w:sz="0" w:space="0" w:color="auto"/>
          </w:divBdr>
        </w:div>
        <w:div w:id="1729260747">
          <w:marLeft w:val="0"/>
          <w:marRight w:val="0"/>
          <w:marTop w:val="0"/>
          <w:marBottom w:val="0"/>
          <w:divBdr>
            <w:top w:val="none" w:sz="0" w:space="0" w:color="auto"/>
            <w:left w:val="none" w:sz="0" w:space="0" w:color="auto"/>
            <w:bottom w:val="none" w:sz="0" w:space="0" w:color="auto"/>
            <w:right w:val="none" w:sz="0" w:space="0" w:color="auto"/>
          </w:divBdr>
        </w:div>
        <w:div w:id="1661351190">
          <w:marLeft w:val="0"/>
          <w:marRight w:val="0"/>
          <w:marTop w:val="0"/>
          <w:marBottom w:val="0"/>
          <w:divBdr>
            <w:top w:val="none" w:sz="0" w:space="0" w:color="auto"/>
            <w:left w:val="none" w:sz="0" w:space="0" w:color="auto"/>
            <w:bottom w:val="none" w:sz="0" w:space="0" w:color="auto"/>
            <w:right w:val="none" w:sz="0" w:space="0" w:color="auto"/>
          </w:divBdr>
        </w:div>
        <w:div w:id="777220873">
          <w:marLeft w:val="0"/>
          <w:marRight w:val="0"/>
          <w:marTop w:val="0"/>
          <w:marBottom w:val="0"/>
          <w:divBdr>
            <w:top w:val="none" w:sz="0" w:space="0" w:color="auto"/>
            <w:left w:val="none" w:sz="0" w:space="0" w:color="auto"/>
            <w:bottom w:val="none" w:sz="0" w:space="0" w:color="auto"/>
            <w:right w:val="none" w:sz="0" w:space="0" w:color="auto"/>
          </w:divBdr>
        </w:div>
        <w:div w:id="1539203499">
          <w:marLeft w:val="0"/>
          <w:marRight w:val="0"/>
          <w:marTop w:val="0"/>
          <w:marBottom w:val="0"/>
          <w:divBdr>
            <w:top w:val="none" w:sz="0" w:space="0" w:color="auto"/>
            <w:left w:val="none" w:sz="0" w:space="0" w:color="auto"/>
            <w:bottom w:val="none" w:sz="0" w:space="0" w:color="auto"/>
            <w:right w:val="none" w:sz="0" w:space="0" w:color="auto"/>
          </w:divBdr>
        </w:div>
      </w:divsChild>
    </w:div>
    <w:div w:id="302153569">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15909422">
      <w:bodyDiv w:val="1"/>
      <w:marLeft w:val="0"/>
      <w:marRight w:val="0"/>
      <w:marTop w:val="0"/>
      <w:marBottom w:val="0"/>
      <w:divBdr>
        <w:top w:val="none" w:sz="0" w:space="0" w:color="auto"/>
        <w:left w:val="none" w:sz="0" w:space="0" w:color="auto"/>
        <w:bottom w:val="none" w:sz="0" w:space="0" w:color="auto"/>
        <w:right w:val="none" w:sz="0" w:space="0" w:color="auto"/>
      </w:divBdr>
      <w:divsChild>
        <w:div w:id="1682390388">
          <w:marLeft w:val="0"/>
          <w:marRight w:val="0"/>
          <w:marTop w:val="0"/>
          <w:marBottom w:val="0"/>
          <w:divBdr>
            <w:top w:val="none" w:sz="0" w:space="0" w:color="auto"/>
            <w:left w:val="none" w:sz="0" w:space="0" w:color="auto"/>
            <w:bottom w:val="none" w:sz="0" w:space="0" w:color="auto"/>
            <w:right w:val="none" w:sz="0" w:space="0" w:color="auto"/>
          </w:divBdr>
        </w:div>
        <w:div w:id="886917695">
          <w:marLeft w:val="0"/>
          <w:marRight w:val="0"/>
          <w:marTop w:val="0"/>
          <w:marBottom w:val="0"/>
          <w:divBdr>
            <w:top w:val="none" w:sz="0" w:space="0" w:color="auto"/>
            <w:left w:val="none" w:sz="0" w:space="0" w:color="auto"/>
            <w:bottom w:val="none" w:sz="0" w:space="0" w:color="auto"/>
            <w:right w:val="none" w:sz="0" w:space="0" w:color="auto"/>
          </w:divBdr>
        </w:div>
        <w:div w:id="2007783242">
          <w:marLeft w:val="0"/>
          <w:marRight w:val="0"/>
          <w:marTop w:val="0"/>
          <w:marBottom w:val="0"/>
          <w:divBdr>
            <w:top w:val="none" w:sz="0" w:space="0" w:color="auto"/>
            <w:left w:val="none" w:sz="0" w:space="0" w:color="auto"/>
            <w:bottom w:val="none" w:sz="0" w:space="0" w:color="auto"/>
            <w:right w:val="none" w:sz="0" w:space="0" w:color="auto"/>
          </w:divBdr>
        </w:div>
      </w:divsChild>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7433900">
      <w:bodyDiv w:val="1"/>
      <w:marLeft w:val="0"/>
      <w:marRight w:val="0"/>
      <w:marTop w:val="0"/>
      <w:marBottom w:val="0"/>
      <w:divBdr>
        <w:top w:val="none" w:sz="0" w:space="0" w:color="auto"/>
        <w:left w:val="none" w:sz="0" w:space="0" w:color="auto"/>
        <w:bottom w:val="none" w:sz="0" w:space="0" w:color="auto"/>
        <w:right w:val="none" w:sz="0" w:space="0" w:color="auto"/>
      </w:divBdr>
      <w:divsChild>
        <w:div w:id="1848515959">
          <w:marLeft w:val="0"/>
          <w:marRight w:val="0"/>
          <w:marTop w:val="0"/>
          <w:marBottom w:val="0"/>
          <w:divBdr>
            <w:top w:val="none" w:sz="0" w:space="0" w:color="auto"/>
            <w:left w:val="none" w:sz="0" w:space="0" w:color="auto"/>
            <w:bottom w:val="none" w:sz="0" w:space="0" w:color="auto"/>
            <w:right w:val="none" w:sz="0" w:space="0" w:color="auto"/>
          </w:divBdr>
        </w:div>
        <w:div w:id="1871650928">
          <w:marLeft w:val="0"/>
          <w:marRight w:val="0"/>
          <w:marTop w:val="0"/>
          <w:marBottom w:val="0"/>
          <w:divBdr>
            <w:top w:val="none" w:sz="0" w:space="0" w:color="auto"/>
            <w:left w:val="none" w:sz="0" w:space="0" w:color="auto"/>
            <w:bottom w:val="none" w:sz="0" w:space="0" w:color="auto"/>
            <w:right w:val="none" w:sz="0" w:space="0" w:color="auto"/>
          </w:divBdr>
        </w:div>
        <w:div w:id="2072535524">
          <w:marLeft w:val="0"/>
          <w:marRight w:val="0"/>
          <w:marTop w:val="0"/>
          <w:marBottom w:val="0"/>
          <w:divBdr>
            <w:top w:val="none" w:sz="0" w:space="0" w:color="auto"/>
            <w:left w:val="none" w:sz="0" w:space="0" w:color="auto"/>
            <w:bottom w:val="none" w:sz="0" w:space="0" w:color="auto"/>
            <w:right w:val="none" w:sz="0" w:space="0" w:color="auto"/>
          </w:divBdr>
        </w:div>
        <w:div w:id="357198965">
          <w:marLeft w:val="0"/>
          <w:marRight w:val="0"/>
          <w:marTop w:val="0"/>
          <w:marBottom w:val="0"/>
          <w:divBdr>
            <w:top w:val="none" w:sz="0" w:space="0" w:color="auto"/>
            <w:left w:val="none" w:sz="0" w:space="0" w:color="auto"/>
            <w:bottom w:val="none" w:sz="0" w:space="0" w:color="auto"/>
            <w:right w:val="none" w:sz="0" w:space="0" w:color="auto"/>
          </w:divBdr>
        </w:div>
      </w:divsChild>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37796506">
      <w:bodyDiv w:val="1"/>
      <w:marLeft w:val="0"/>
      <w:marRight w:val="0"/>
      <w:marTop w:val="0"/>
      <w:marBottom w:val="0"/>
      <w:divBdr>
        <w:top w:val="none" w:sz="0" w:space="0" w:color="auto"/>
        <w:left w:val="none" w:sz="0" w:space="0" w:color="auto"/>
        <w:bottom w:val="none" w:sz="0" w:space="0" w:color="auto"/>
        <w:right w:val="none" w:sz="0" w:space="0" w:color="auto"/>
      </w:divBdr>
      <w:divsChild>
        <w:div w:id="228542257">
          <w:marLeft w:val="0"/>
          <w:marRight w:val="0"/>
          <w:marTop w:val="0"/>
          <w:marBottom w:val="0"/>
          <w:divBdr>
            <w:top w:val="none" w:sz="0" w:space="0" w:color="auto"/>
            <w:left w:val="none" w:sz="0" w:space="0" w:color="auto"/>
            <w:bottom w:val="none" w:sz="0" w:space="0" w:color="auto"/>
            <w:right w:val="none" w:sz="0" w:space="0" w:color="auto"/>
          </w:divBdr>
        </w:div>
        <w:div w:id="1203439790">
          <w:marLeft w:val="0"/>
          <w:marRight w:val="0"/>
          <w:marTop w:val="0"/>
          <w:marBottom w:val="0"/>
          <w:divBdr>
            <w:top w:val="none" w:sz="0" w:space="0" w:color="auto"/>
            <w:left w:val="none" w:sz="0" w:space="0" w:color="auto"/>
            <w:bottom w:val="none" w:sz="0" w:space="0" w:color="auto"/>
            <w:right w:val="none" w:sz="0" w:space="0" w:color="auto"/>
          </w:divBdr>
        </w:div>
      </w:divsChild>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uk-climate-change-risk-assessment-201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ccc.org.uk/tackling-climate-change/preparing-for-climate-change/uk-climate-change-risk-assessment-201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ccc.org.uk/publications/" TargetMode="External"/><Relationship Id="rId5" Type="http://schemas.openxmlformats.org/officeDocument/2006/relationships/numbering" Target="numbering.xml"/><Relationship Id="rId15" Type="http://schemas.openxmlformats.org/officeDocument/2006/relationships/hyperlink" Target="https://www.theccc.org.uk/publication/2017-report-to-parliament-progress-in-preparing-for-climate-change/"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uments.theccc.org.uk/wp-content/uploads/2015/06/6.736_CCC_ASC_Adaptation-Progress-Report_2015_FINAL_WEB_070715_RFS.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theccc.org.uk/archive/aws2/ASC%202nd%20Report/N%20Granger.%20Commentary_cost_curves_jul11.pdf" TargetMode="External"/><Relationship Id="rId1" Type="http://schemas.openxmlformats.org/officeDocument/2006/relationships/hyperlink" Target="https://www.theccc.org.uk/archive/aws2/ASC%202nd%20Report/Davis_Langdon%20_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purl.org/dc/elements/1.1/"/>
    <ds:schemaRef ds:uri="http://schemas.microsoft.com/office/infopath/2007/PartnerControls"/>
    <ds:schemaRef ds:uri="http://schemas.microsoft.com/sharepoint/v3"/>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2D86D5-45DF-42B4-8174-49B5E741F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4035</Words>
  <Characters>23002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26984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 Daniel (CCC)</dc:creator>
  <cp:lastModifiedBy>Taylor, Sean</cp:lastModifiedBy>
  <cp:revision>3</cp:revision>
  <cp:lastPrinted>2018-07-19T09:25:00Z</cp:lastPrinted>
  <dcterms:created xsi:type="dcterms:W3CDTF">2018-07-19T09:49:00Z</dcterms:created>
  <dcterms:modified xsi:type="dcterms:W3CDTF">2018-07-19T09:55:00Z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y fmtid="{D5CDD505-2E9C-101B-9397-08002B2CF9AE}" pid="3" name="_NewReviewCycle">
    <vt:lpwstr/>
  </property>
</Properties>
</file>