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C37" w:rsidRDefault="00977C37" w:rsidP="00977C37">
      <w:pPr>
        <w:jc w:val="both"/>
        <w:rPr>
          <w:rFonts w:ascii="Arial" w:hAnsi="Arial" w:cs="Arial"/>
          <w:b/>
          <w:u w:val="single"/>
        </w:rPr>
      </w:pPr>
      <w:r w:rsidRPr="0068707C">
        <w:rPr>
          <w:rFonts w:ascii="Arial" w:hAnsi="Arial" w:cs="Arial"/>
          <w:b/>
          <w:noProof/>
          <w:u w:val="single"/>
          <w:lang w:eastAsia="en-GB"/>
        </w:rPr>
        <w:drawing>
          <wp:anchor distT="0" distB="0" distL="114300" distR="114300" simplePos="0" relativeHeight="251659264" behindDoc="0" locked="0" layoutInCell="1" allowOverlap="1" wp14:anchorId="0662E623" wp14:editId="1B238729">
            <wp:simplePos x="0" y="0"/>
            <wp:positionH relativeFrom="column">
              <wp:posOffset>-54610</wp:posOffset>
            </wp:positionH>
            <wp:positionV relativeFrom="paragraph">
              <wp:posOffset>-350520</wp:posOffset>
            </wp:positionV>
            <wp:extent cx="1309370" cy="97345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Logo-WHI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9370" cy="973455"/>
                    </a:xfrm>
                    <a:prstGeom prst="rect">
                      <a:avLst/>
                    </a:prstGeom>
                  </pic:spPr>
                </pic:pic>
              </a:graphicData>
            </a:graphic>
            <wp14:sizeRelH relativeFrom="page">
              <wp14:pctWidth>0</wp14:pctWidth>
            </wp14:sizeRelH>
            <wp14:sizeRelV relativeFrom="page">
              <wp14:pctHeight>0</wp14:pctHeight>
            </wp14:sizeRelV>
          </wp:anchor>
        </w:drawing>
      </w:r>
      <w:r>
        <w:rPr>
          <w:noProof/>
          <w:color w:val="1F497D"/>
          <w:lang w:eastAsia="en-GB"/>
        </w:rPr>
        <w:drawing>
          <wp:anchor distT="0" distB="0" distL="114300" distR="114300" simplePos="0" relativeHeight="251661312" behindDoc="1" locked="0" layoutInCell="1" allowOverlap="1" wp14:anchorId="2CB612BD" wp14:editId="5FF99F58">
            <wp:simplePos x="0" y="0"/>
            <wp:positionH relativeFrom="column">
              <wp:posOffset>4746625</wp:posOffset>
            </wp:positionH>
            <wp:positionV relativeFrom="paragraph">
              <wp:posOffset>-345440</wp:posOffset>
            </wp:positionV>
            <wp:extent cx="1235710" cy="976630"/>
            <wp:effectExtent l="0" t="0" r="2540" b="0"/>
            <wp:wrapTight wrapText="bothSides">
              <wp:wrapPolygon edited="0">
                <wp:start x="0" y="0"/>
                <wp:lineTo x="0" y="21066"/>
                <wp:lineTo x="21311" y="21066"/>
                <wp:lineTo x="21311" y="0"/>
                <wp:lineTo x="0" y="0"/>
              </wp:wrapPolygon>
            </wp:wrapTight>
            <wp:docPr id="3" name="Picture 3" descr="cid:image003.jpg@01D27B07.0E235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7B07.0E2355F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35710" cy="976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C37" w:rsidRDefault="00977C37" w:rsidP="00977C37">
      <w:pPr>
        <w:jc w:val="both"/>
        <w:rPr>
          <w:rFonts w:ascii="Arial" w:hAnsi="Arial" w:cs="Arial"/>
          <w:b/>
          <w:u w:val="single"/>
        </w:rPr>
      </w:pPr>
    </w:p>
    <w:p w:rsidR="00977C37" w:rsidRDefault="00977C37" w:rsidP="00977C37">
      <w:pPr>
        <w:jc w:val="both"/>
        <w:rPr>
          <w:rFonts w:ascii="Arial" w:hAnsi="Arial" w:cs="Arial"/>
          <w:b/>
          <w:u w:val="single"/>
        </w:rPr>
      </w:pPr>
      <w:r>
        <w:rPr>
          <w:rFonts w:ascii="Arial" w:hAnsi="Arial" w:cs="Arial"/>
          <w:b/>
          <w:u w:val="single"/>
        </w:rPr>
        <w:t xml:space="preserve">  </w:t>
      </w:r>
    </w:p>
    <w:p w:rsidR="00977C37" w:rsidRPr="00977C37" w:rsidRDefault="00977C37" w:rsidP="00977C37">
      <w:pPr>
        <w:jc w:val="center"/>
        <w:rPr>
          <w:rFonts w:ascii="Arial" w:hAnsi="Arial" w:cs="Arial"/>
          <w:b/>
          <w:sz w:val="24"/>
          <w:u w:val="single"/>
        </w:rPr>
      </w:pPr>
      <w:r w:rsidRPr="00977C37">
        <w:rPr>
          <w:rFonts w:ascii="Arial" w:hAnsi="Arial" w:cs="Arial"/>
          <w:b/>
          <w:sz w:val="24"/>
          <w:u w:val="single"/>
        </w:rPr>
        <w:t>Dental Services as a Branch Surgery in Bicester, Oxfordshire</w:t>
      </w:r>
    </w:p>
    <w:p w:rsidR="00977C37" w:rsidRDefault="00977C37" w:rsidP="00977C37">
      <w:pPr>
        <w:jc w:val="both"/>
        <w:rPr>
          <w:rFonts w:ascii="Arial" w:hAnsi="Arial" w:cs="Arial"/>
        </w:rPr>
      </w:pPr>
    </w:p>
    <w:p w:rsidR="00977C37" w:rsidRPr="00977C37" w:rsidRDefault="00977C37" w:rsidP="00977C37">
      <w:pPr>
        <w:jc w:val="both"/>
        <w:rPr>
          <w:rFonts w:ascii="Arial" w:hAnsi="Arial" w:cs="Arial"/>
          <w:b/>
        </w:rPr>
      </w:pPr>
      <w:r w:rsidRPr="00977C37">
        <w:rPr>
          <w:rFonts w:ascii="Arial" w:hAnsi="Arial" w:cs="Arial"/>
          <w:b/>
        </w:rPr>
        <w:t>Background Information</w:t>
      </w:r>
    </w:p>
    <w:p w:rsidR="00977C37" w:rsidRPr="00D1427A" w:rsidRDefault="00977C37" w:rsidP="00977C37">
      <w:pPr>
        <w:jc w:val="both"/>
        <w:rPr>
          <w:rFonts w:ascii="Arial" w:hAnsi="Arial" w:cs="Arial"/>
        </w:rPr>
      </w:pPr>
      <w:r w:rsidRPr="00D1427A">
        <w:rPr>
          <w:rFonts w:ascii="Arial" w:hAnsi="Arial" w:cs="Arial"/>
        </w:rPr>
        <w:t>NHS England (South East) is reviewing dental provision across the Thames Valley with the aim of meeting one of its key priorities to achieve on-going improvements in access to services.  This will take account of areas experiencing substantial housing growth.   It is planned that this work will be completed in 2018 with implementation from 2020 onwards.  The proposed interim solution in Bicester is to support maintenance of access to services whilst this review is carried out.</w:t>
      </w:r>
    </w:p>
    <w:p w:rsidR="00977C37" w:rsidRPr="00D1427A" w:rsidRDefault="00977C37" w:rsidP="00977C37">
      <w:pPr>
        <w:jc w:val="both"/>
        <w:rPr>
          <w:rFonts w:ascii="Arial" w:hAnsi="Arial" w:cs="Arial"/>
          <w:iCs/>
        </w:rPr>
      </w:pPr>
      <w:r w:rsidRPr="00D1427A">
        <w:rPr>
          <w:rFonts w:ascii="Arial" w:hAnsi="Arial" w:cs="Arial"/>
          <w:iCs/>
        </w:rPr>
        <w:t>Bicester is a market town in the Cherwell District of Oxfordshire.  It is one of the three main towns in the District – the others being Banbury 21.1 miles to the north and Kidlington 8.8 miles to the south.  The nearest major towns are Oxford (12.5 miles) and Aylesbury (16.5 miles).  The population of the town is 32,860 (2016 estimate). It is served by 4 NHS dental practices and between 2014 and 2018 it expected that up to 4,793 new houses will be built with plans indicating another 3,680 in the period up to 2022.</w:t>
      </w:r>
    </w:p>
    <w:p w:rsidR="00977C37" w:rsidRPr="00977C37" w:rsidRDefault="00977C37" w:rsidP="00977C37">
      <w:pPr>
        <w:jc w:val="both"/>
        <w:rPr>
          <w:rFonts w:ascii="Arial" w:hAnsi="Arial" w:cs="Arial"/>
          <w:iCs/>
        </w:rPr>
      </w:pPr>
      <w:r w:rsidRPr="00D1427A">
        <w:rPr>
          <w:rFonts w:ascii="Arial" w:hAnsi="Arial" w:cs="Arial"/>
          <w:iCs/>
        </w:rPr>
        <w:t>The 4 NHS Dental practices in the town are currently closed to new patients.</w:t>
      </w:r>
    </w:p>
    <w:p w:rsidR="00977C37" w:rsidRPr="00803765" w:rsidRDefault="00977C37" w:rsidP="00977C37">
      <w:pPr>
        <w:jc w:val="both"/>
        <w:rPr>
          <w:rFonts w:ascii="Arial" w:hAnsi="Arial" w:cs="Arial"/>
          <w:b/>
          <w:iCs/>
        </w:rPr>
      </w:pPr>
      <w:r w:rsidRPr="00803765">
        <w:rPr>
          <w:rFonts w:ascii="Arial" w:hAnsi="Arial" w:cs="Arial"/>
          <w:b/>
          <w:iCs/>
        </w:rPr>
        <w:t>There are a number of issues applicants will need to consider</w:t>
      </w:r>
      <w:r w:rsidR="00803765">
        <w:rPr>
          <w:rFonts w:ascii="Arial" w:hAnsi="Arial" w:cs="Arial"/>
          <w:b/>
          <w:iCs/>
        </w:rPr>
        <w:t>:</w:t>
      </w:r>
      <w:r w:rsidRPr="00803765">
        <w:rPr>
          <w:rFonts w:ascii="Arial" w:hAnsi="Arial" w:cs="Arial"/>
          <w:b/>
          <w:iCs/>
        </w:rPr>
        <w:t xml:space="preserve"> </w:t>
      </w: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t xml:space="preserve">The service will be commissioned within contractual arrangements currently in place with the applicant under the NHS (General/Personal Dental Services) Regulations 2005 </w:t>
      </w:r>
    </w:p>
    <w:p w:rsidR="00977C37" w:rsidRPr="00D1427A" w:rsidRDefault="00977C37" w:rsidP="00977C37">
      <w:pPr>
        <w:pStyle w:val="ListParagraph"/>
        <w:jc w:val="both"/>
        <w:rPr>
          <w:rFonts w:cs="Arial"/>
          <w:iCs/>
          <w:sz w:val="22"/>
          <w:szCs w:val="22"/>
        </w:rPr>
      </w:pP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t>NHS England will reserve the right to review the price of the UDAs if appropriate</w:t>
      </w:r>
    </w:p>
    <w:p w:rsidR="00977C37" w:rsidRPr="00D1427A" w:rsidRDefault="00977C37" w:rsidP="00977C37">
      <w:pPr>
        <w:jc w:val="both"/>
        <w:rPr>
          <w:rFonts w:ascii="Arial" w:hAnsi="Arial" w:cs="Arial"/>
          <w:iCs/>
        </w:rPr>
      </w:pP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t xml:space="preserve">The provider will be responsible for identifying, securing, financing and utilising the premises from which services will be delivered.  </w:t>
      </w:r>
    </w:p>
    <w:p w:rsidR="00977C37" w:rsidRPr="00D1427A" w:rsidRDefault="00977C37" w:rsidP="00977C37">
      <w:pPr>
        <w:jc w:val="both"/>
        <w:rPr>
          <w:rFonts w:ascii="Arial" w:hAnsi="Arial" w:cs="Arial"/>
          <w:iCs/>
        </w:rPr>
      </w:pP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t>The premises will need to comply with all relevant legislation for the provision of NHS Dental Services, which will include Care Quality Commission registration</w:t>
      </w:r>
    </w:p>
    <w:p w:rsidR="00977C37" w:rsidRPr="00D1427A" w:rsidRDefault="00977C37" w:rsidP="00977C37">
      <w:pPr>
        <w:jc w:val="both"/>
        <w:rPr>
          <w:rFonts w:ascii="Arial" w:hAnsi="Arial" w:cs="Arial"/>
          <w:iCs/>
        </w:rPr>
      </w:pP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t>The branch surgery arrangements should allow staff to work across sites if appropriate without requiring substantial travel distances</w:t>
      </w:r>
    </w:p>
    <w:p w:rsidR="00977C37" w:rsidRPr="00D1427A" w:rsidRDefault="00977C37" w:rsidP="00977C37">
      <w:pPr>
        <w:jc w:val="both"/>
        <w:rPr>
          <w:rFonts w:ascii="Arial" w:hAnsi="Arial" w:cs="Arial"/>
          <w:iCs/>
        </w:rPr>
      </w:pP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t>The applicant will need to demonstrate governance arrangements in place and how they will be applied to the service to be provided from Bicester</w:t>
      </w:r>
    </w:p>
    <w:p w:rsidR="00977C37" w:rsidRPr="00D1427A" w:rsidRDefault="00977C37" w:rsidP="00977C37">
      <w:pPr>
        <w:jc w:val="both"/>
        <w:rPr>
          <w:rFonts w:ascii="Arial" w:hAnsi="Arial" w:cs="Arial"/>
          <w:iCs/>
        </w:rPr>
      </w:pP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lastRenderedPageBreak/>
        <w:t>The level of activity to be commissioned from Bicester will be subject to agreement with NHS England, which will include a review of impact on current provision to ensure there is no adverse impact on the area already served</w:t>
      </w:r>
    </w:p>
    <w:p w:rsidR="00977C37" w:rsidRPr="00D1427A" w:rsidRDefault="00977C37" w:rsidP="00977C37">
      <w:pPr>
        <w:jc w:val="both"/>
        <w:rPr>
          <w:rFonts w:ascii="Arial" w:hAnsi="Arial" w:cs="Arial"/>
          <w:iCs/>
        </w:rPr>
      </w:pP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t>The agreed activity for Bicester will form part of the provider’s contracted activity for the period up to 30</w:t>
      </w:r>
      <w:r w:rsidRPr="00D1427A">
        <w:rPr>
          <w:rFonts w:cs="Arial"/>
          <w:iCs/>
          <w:sz w:val="22"/>
          <w:szCs w:val="22"/>
          <w:vertAlign w:val="superscript"/>
        </w:rPr>
        <w:t>th</w:t>
      </w:r>
      <w:r w:rsidRPr="00D1427A">
        <w:rPr>
          <w:rFonts w:cs="Arial"/>
          <w:iCs/>
          <w:sz w:val="22"/>
          <w:szCs w:val="22"/>
        </w:rPr>
        <w:t xml:space="preserve"> June 2020 to which the relevant contractual clauses will apply. The activity will be delivered evenly across the year</w:t>
      </w:r>
    </w:p>
    <w:p w:rsidR="00977C37" w:rsidRPr="00D1427A" w:rsidRDefault="00977C37" w:rsidP="00977C37">
      <w:pPr>
        <w:jc w:val="both"/>
        <w:rPr>
          <w:rFonts w:ascii="Arial" w:hAnsi="Arial" w:cs="Arial"/>
          <w:iCs/>
        </w:rPr>
      </w:pPr>
    </w:p>
    <w:p w:rsidR="00977C37" w:rsidRPr="00D1427A" w:rsidRDefault="00977C37" w:rsidP="00977C37">
      <w:pPr>
        <w:pStyle w:val="ListParagraph"/>
        <w:numPr>
          <w:ilvl w:val="0"/>
          <w:numId w:val="1"/>
        </w:numPr>
        <w:jc w:val="both"/>
        <w:rPr>
          <w:rFonts w:cs="Arial"/>
          <w:iCs/>
          <w:sz w:val="22"/>
          <w:szCs w:val="22"/>
        </w:rPr>
      </w:pPr>
      <w:r w:rsidRPr="00D1427A">
        <w:rPr>
          <w:rFonts w:cs="Arial"/>
          <w:iCs/>
          <w:sz w:val="22"/>
          <w:szCs w:val="22"/>
        </w:rPr>
        <w:t xml:space="preserve">The provider will deliver services in Bicester on 5 days per week, remaining open to new patients over the life of the interim arrangement, ensuring information re access is maintained on NHS Choices and supporting NHS 111 to provide urgent access for patients  </w:t>
      </w:r>
    </w:p>
    <w:p w:rsidR="00977C37" w:rsidRDefault="00977C37" w:rsidP="00977C37">
      <w:pPr>
        <w:jc w:val="both"/>
        <w:rPr>
          <w:rFonts w:cs="Arial"/>
          <w:iCs/>
        </w:rPr>
      </w:pPr>
    </w:p>
    <w:p w:rsidR="00803765" w:rsidRPr="00533F15" w:rsidRDefault="00803765" w:rsidP="00977C37">
      <w:pPr>
        <w:jc w:val="both"/>
        <w:rPr>
          <w:rFonts w:ascii="Arial" w:hAnsi="Arial" w:cs="Arial"/>
          <w:b/>
          <w:iCs/>
        </w:rPr>
      </w:pPr>
      <w:r w:rsidRPr="00533F15">
        <w:rPr>
          <w:rFonts w:ascii="Arial" w:hAnsi="Arial" w:cs="Arial"/>
          <w:b/>
          <w:iCs/>
        </w:rPr>
        <w:t>NHS E South (South East) review</w:t>
      </w:r>
    </w:p>
    <w:p w:rsidR="00977C37" w:rsidRPr="00533F15" w:rsidRDefault="00977C37" w:rsidP="00977C37">
      <w:pPr>
        <w:jc w:val="both"/>
        <w:rPr>
          <w:rFonts w:ascii="Arial" w:hAnsi="Arial" w:cs="Arial"/>
          <w:iCs/>
        </w:rPr>
      </w:pPr>
      <w:r w:rsidRPr="00533F15">
        <w:rPr>
          <w:rFonts w:ascii="Arial" w:hAnsi="Arial" w:cs="Arial"/>
          <w:iCs/>
        </w:rPr>
        <w:t>This interim proposal is in the context of an NHS England (South East) review of activity commissioned from primary care providers in the Thames Valley to ensure efficient use is being made of NHS resources.  This may result in contracts being rebased and the re-distribution of activity t</w:t>
      </w:r>
      <w:bookmarkStart w:id="0" w:name="_GoBack"/>
      <w:bookmarkEnd w:id="0"/>
      <w:r w:rsidRPr="00533F15">
        <w:rPr>
          <w:rFonts w:ascii="Arial" w:hAnsi="Arial" w:cs="Arial"/>
          <w:iCs/>
        </w:rPr>
        <w:t>o areas of greatest need. This will result in a region wide procurement exercise and the provider will have the opportunity to take part in the procurement exercise for services in the area in the period after 1</w:t>
      </w:r>
      <w:r w:rsidRPr="00533F15">
        <w:rPr>
          <w:rFonts w:ascii="Arial" w:hAnsi="Arial" w:cs="Arial"/>
          <w:iCs/>
          <w:vertAlign w:val="superscript"/>
        </w:rPr>
        <w:t>st</w:t>
      </w:r>
      <w:r w:rsidRPr="00533F15">
        <w:rPr>
          <w:rFonts w:ascii="Arial" w:hAnsi="Arial" w:cs="Arial"/>
          <w:iCs/>
        </w:rPr>
        <w:t xml:space="preserve"> July 2020 if this avenue is pursued via NHS England.</w:t>
      </w:r>
    </w:p>
    <w:p w:rsidR="00977C37" w:rsidRPr="00622A9F" w:rsidRDefault="00977C37" w:rsidP="00977C37">
      <w:pPr>
        <w:tabs>
          <w:tab w:val="left" w:pos="1848"/>
        </w:tabs>
        <w:rPr>
          <w:rFonts w:ascii="Arial" w:hAnsi="Arial" w:cs="Arial"/>
        </w:rPr>
      </w:pPr>
    </w:p>
    <w:p w:rsidR="00872523" w:rsidRDefault="00533F15"/>
    <w:sectPr w:rsidR="00872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3104"/>
    <w:multiLevelType w:val="hybridMultilevel"/>
    <w:tmpl w:val="E4D8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37"/>
    <w:rsid w:val="00533F15"/>
    <w:rsid w:val="005E596B"/>
    <w:rsid w:val="00803765"/>
    <w:rsid w:val="00977C37"/>
    <w:rsid w:val="00E72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C37"/>
    <w:pPr>
      <w:spacing w:after="0" w:line="240" w:lineRule="auto"/>
      <w:ind w:left="720"/>
      <w:contextualSpacing/>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C37"/>
    <w:pPr>
      <w:spacing w:after="0" w:line="240" w:lineRule="auto"/>
      <w:ind w:left="720"/>
      <w:contextualSpacing/>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27B07.0E2355F0"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Searle Alexandra</dc:creator>
  <cp:lastModifiedBy>Searle Alexandra</cp:lastModifiedBy>
  <cp:revision>3</cp:revision>
  <dcterms:created xsi:type="dcterms:W3CDTF">2018-03-01T15:48:00Z</dcterms:created>
  <dcterms:modified xsi:type="dcterms:W3CDTF">2018-03-02T11:34:00Z</dcterms:modified>
</cp:coreProperties>
</file>