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AA" w:rsidRDefault="00F547AA" w:rsidP="00724227">
      <w:pPr>
        <w:rPr>
          <w:rFonts w:cs="Arial"/>
          <w:b/>
          <w:bCs/>
          <w:color w:val="215868" w:themeColor="accent5" w:themeShade="80"/>
          <w:sz w:val="44"/>
          <w:szCs w:val="44"/>
        </w:rPr>
      </w:pPr>
      <w:r>
        <w:rPr>
          <w:rFonts w:ascii="Gill Sans MT" w:hAnsi="Gill Sans MT" w:cs="Arial"/>
          <w:noProof/>
          <w:lang w:eastAsia="en-GB"/>
        </w:rPr>
        <w:drawing>
          <wp:anchor distT="0" distB="0" distL="114300" distR="114300" simplePos="0" relativeHeight="251661312" behindDoc="0" locked="0" layoutInCell="1" allowOverlap="1" wp14:anchorId="5490E329" wp14:editId="55677848">
            <wp:simplePos x="0" y="0"/>
            <wp:positionH relativeFrom="column">
              <wp:posOffset>3860800</wp:posOffset>
            </wp:positionH>
            <wp:positionV relativeFrom="paragraph">
              <wp:posOffset>-563880</wp:posOffset>
            </wp:positionV>
            <wp:extent cx="2362835" cy="1228725"/>
            <wp:effectExtent l="0" t="0" r="0" b="9525"/>
            <wp:wrapSquare wrapText="bothSides"/>
            <wp:docPr id="1" name="Picture 5" descr="http://www.southwarkartsforum.org/usrdata/Image/southwark%20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uthwarkartsforum.org/usrdata/Image/southwark%20council-logo.jpg"/>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2362835" cy="1228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547AA" w:rsidRDefault="00724227" w:rsidP="00724227">
      <w:pPr>
        <w:rPr>
          <w:rFonts w:cs="Arial"/>
          <w:b/>
          <w:bCs/>
          <w:color w:val="215868" w:themeColor="accent5" w:themeShade="80"/>
          <w:sz w:val="44"/>
          <w:szCs w:val="44"/>
        </w:rPr>
      </w:pPr>
      <w:r>
        <w:rPr>
          <w:rFonts w:cs="Arial"/>
          <w:b/>
          <w:bCs/>
          <w:color w:val="215868" w:themeColor="accent5" w:themeShade="80"/>
          <w:sz w:val="44"/>
          <w:szCs w:val="44"/>
        </w:rPr>
        <w:t>Appendix A</w:t>
      </w:r>
    </w:p>
    <w:p w:rsidR="00724227" w:rsidRDefault="00724227" w:rsidP="00724227">
      <w:pPr>
        <w:rPr>
          <w:rFonts w:cs="Arial"/>
          <w:b/>
          <w:bCs/>
          <w:color w:val="215868" w:themeColor="accent5" w:themeShade="80"/>
          <w:sz w:val="44"/>
          <w:szCs w:val="44"/>
        </w:rPr>
      </w:pPr>
      <w:r w:rsidRPr="00546A7A">
        <w:rPr>
          <w:rFonts w:cs="Arial"/>
          <w:b/>
          <w:bCs/>
          <w:noProof/>
          <w:color w:val="215868" w:themeColor="accent5" w:themeShade="80"/>
          <w:sz w:val="44"/>
          <w:szCs w:val="44"/>
          <w:lang w:eastAsia="en-GB"/>
        </w:rPr>
        <mc:AlternateContent>
          <mc:Choice Requires="wps">
            <w:drawing>
              <wp:anchor distT="0" distB="0" distL="114300" distR="114300" simplePos="0" relativeHeight="251659264" behindDoc="0" locked="0" layoutInCell="1" allowOverlap="1" wp14:anchorId="616289F8" wp14:editId="1C53DAD8">
                <wp:simplePos x="0" y="0"/>
                <wp:positionH relativeFrom="column">
                  <wp:posOffset>52069</wp:posOffset>
                </wp:positionH>
                <wp:positionV relativeFrom="paragraph">
                  <wp:posOffset>84455</wp:posOffset>
                </wp:positionV>
                <wp:extent cx="5553075" cy="9525"/>
                <wp:effectExtent l="19050" t="19050" r="9525" b="28575"/>
                <wp:wrapNone/>
                <wp:docPr id="3" name="Straight Connector 3"/>
                <wp:cNvGraphicFramePr/>
                <a:graphic xmlns:a="http://schemas.openxmlformats.org/drawingml/2006/main">
                  <a:graphicData uri="http://schemas.microsoft.com/office/word/2010/wordprocessingShape">
                    <wps:wsp>
                      <wps:cNvCnPr/>
                      <wps:spPr>
                        <a:xfrm flipV="1">
                          <a:off x="0" y="0"/>
                          <a:ext cx="5553075" cy="9525"/>
                        </a:xfrm>
                        <a:prstGeom prst="line">
                          <a:avLst/>
                        </a:prstGeom>
                        <a:ln w="285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pt,6.65pt" to="441.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" strokecolor="#205867 [1608]" strokeweight="2.25pt"/>
            </w:pict>
          </mc:Fallback>
        </mc:AlternateContent>
      </w:r>
    </w:p>
    <w:p w:rsidR="00724227" w:rsidRDefault="00724227" w:rsidP="00724227">
      <w:pPr>
        <w:spacing w:line="360" w:lineRule="auto"/>
        <w:jc w:val="center"/>
        <w:outlineLvl w:val="0"/>
        <w:rPr>
          <w:rFonts w:cs="Arial"/>
          <w:b/>
          <w:sz w:val="56"/>
          <w:szCs w:val="56"/>
        </w:rPr>
      </w:pPr>
    </w:p>
    <w:p w:rsidR="00724227" w:rsidRPr="00F94750" w:rsidRDefault="00724227" w:rsidP="00724227">
      <w:pPr>
        <w:spacing w:line="360" w:lineRule="auto"/>
        <w:jc w:val="center"/>
        <w:outlineLvl w:val="0"/>
        <w:rPr>
          <w:rFonts w:cs="Arial"/>
          <w:b/>
          <w:sz w:val="56"/>
          <w:szCs w:val="56"/>
        </w:rPr>
      </w:pPr>
      <w:bookmarkStart w:id="0" w:name="_Toc450894349"/>
      <w:r>
        <w:rPr>
          <w:rFonts w:cs="Arial"/>
          <w:b/>
          <w:sz w:val="56"/>
          <w:szCs w:val="56"/>
        </w:rPr>
        <w:t>Suitability Assessment Questions</w:t>
      </w:r>
      <w:bookmarkEnd w:id="0"/>
    </w:p>
    <w:p w:rsidR="00724227" w:rsidRPr="004009D7" w:rsidRDefault="00724227" w:rsidP="00724227">
      <w:pPr>
        <w:spacing w:line="360" w:lineRule="auto"/>
        <w:jc w:val="center"/>
        <w:outlineLvl w:val="0"/>
        <w:rPr>
          <w:rFonts w:cs="Arial"/>
          <w:b/>
          <w:sz w:val="56"/>
          <w:szCs w:val="56"/>
        </w:rPr>
      </w:pPr>
    </w:p>
    <w:p w:rsidR="00724227" w:rsidRDefault="00724227" w:rsidP="00724227">
      <w:pPr>
        <w:spacing w:line="360" w:lineRule="auto"/>
        <w:jc w:val="center"/>
        <w:rPr>
          <w:rFonts w:cs="Arial"/>
          <w:sz w:val="56"/>
          <w:szCs w:val="56"/>
        </w:rPr>
      </w:pPr>
    </w:p>
    <w:p w:rsidR="00724227" w:rsidRPr="00EF7017" w:rsidRDefault="00724227" w:rsidP="00724227">
      <w:pPr>
        <w:spacing w:line="360" w:lineRule="auto"/>
        <w:jc w:val="center"/>
        <w:rPr>
          <w:rFonts w:cs="Arial"/>
          <w:sz w:val="56"/>
          <w:szCs w:val="56"/>
        </w:rPr>
      </w:pPr>
      <w:r>
        <w:rPr>
          <w:rFonts w:cs="Arial"/>
          <w:sz w:val="56"/>
          <w:szCs w:val="56"/>
        </w:rPr>
        <w:t>St Paul’s Sports Ground Management Provider Tender</w:t>
      </w:r>
    </w:p>
    <w:p w:rsidR="00724227" w:rsidRPr="00F94750" w:rsidRDefault="00724227" w:rsidP="00724227">
      <w:pPr>
        <w:spacing w:line="360" w:lineRule="auto"/>
        <w:jc w:val="center"/>
        <w:rPr>
          <w:rFonts w:cs="Arial"/>
          <w:b/>
          <w:sz w:val="56"/>
          <w:szCs w:val="56"/>
        </w:rPr>
      </w:pPr>
    </w:p>
    <w:p w:rsidR="00724227" w:rsidRPr="00EF7017" w:rsidRDefault="00724227" w:rsidP="00724227">
      <w:pPr>
        <w:spacing w:line="360" w:lineRule="auto"/>
        <w:jc w:val="center"/>
        <w:outlineLvl w:val="0"/>
        <w:rPr>
          <w:rFonts w:cs="Arial"/>
          <w:sz w:val="56"/>
          <w:szCs w:val="56"/>
        </w:rPr>
      </w:pPr>
      <w:bookmarkStart w:id="1" w:name="_Toc450894350"/>
      <w:r w:rsidRPr="00EF7017">
        <w:rPr>
          <w:rFonts w:cs="Arial"/>
          <w:sz w:val="56"/>
          <w:szCs w:val="56"/>
        </w:rPr>
        <w:t>London Borough of Southwark</w:t>
      </w:r>
      <w:bookmarkEnd w:id="1"/>
    </w:p>
    <w:p w:rsidR="00724227" w:rsidRDefault="00724227" w:rsidP="00724227">
      <w:pPr>
        <w:spacing w:line="360" w:lineRule="auto"/>
        <w:jc w:val="center"/>
        <w:outlineLvl w:val="0"/>
        <w:rPr>
          <w:rFonts w:cs="Arial"/>
          <w:b/>
          <w:sz w:val="56"/>
          <w:szCs w:val="56"/>
        </w:rPr>
      </w:pPr>
    </w:p>
    <w:p w:rsidR="00724227" w:rsidRDefault="00724227" w:rsidP="00724227">
      <w:pPr>
        <w:rPr>
          <w:rFonts w:cs="Arial"/>
          <w:b/>
        </w:rPr>
      </w:pPr>
    </w:p>
    <w:p w:rsidR="00724227" w:rsidRDefault="00724227" w:rsidP="00724227">
      <w:pPr>
        <w:rPr>
          <w:rFonts w:cs="Arial"/>
          <w:b/>
        </w:rPr>
      </w:pPr>
      <w:r>
        <w:rPr>
          <w:rFonts w:cs="Arial"/>
          <w:b/>
        </w:rPr>
        <w:br w:type="page"/>
      </w:r>
    </w:p>
    <w:p w:rsidR="00724227" w:rsidRPr="00FA62DB" w:rsidRDefault="00724227" w:rsidP="00724227">
      <w:pPr>
        <w:pStyle w:val="NoSpacing"/>
        <w:jc w:val="center"/>
        <w:rPr>
          <w:rFonts w:ascii="Arial" w:hAnsi="Arial" w:cs="Arial"/>
          <w:b/>
        </w:rPr>
      </w:pPr>
      <w:r w:rsidRPr="00FA62DB">
        <w:rPr>
          <w:rFonts w:ascii="Arial" w:hAnsi="Arial" w:cs="Arial"/>
          <w:b/>
        </w:rPr>
        <w:lastRenderedPageBreak/>
        <w:t>Suitability assessment questions</w:t>
      </w:r>
    </w:p>
    <w:p w:rsidR="00724227" w:rsidRPr="00FA62DB" w:rsidRDefault="00724227" w:rsidP="00724227">
      <w:pPr>
        <w:pStyle w:val="NoSpacing"/>
        <w:rPr>
          <w:rFonts w:ascii="Arial" w:hAnsi="Arial" w:cs="Arial"/>
        </w:rPr>
      </w:pPr>
    </w:p>
    <w:p w:rsidR="00724227" w:rsidRPr="00FA62DB" w:rsidRDefault="00724227" w:rsidP="00724227">
      <w:pPr>
        <w:pStyle w:val="NoSpacing"/>
        <w:rPr>
          <w:rFonts w:ascii="Arial" w:hAnsi="Arial" w:cs="Arial"/>
          <w:b/>
        </w:rPr>
      </w:pPr>
      <w:r w:rsidRPr="00FA62DB">
        <w:rPr>
          <w:rFonts w:ascii="Arial" w:hAnsi="Arial" w:cs="Arial"/>
          <w:b/>
        </w:rPr>
        <w:t>Notes for completion</w:t>
      </w:r>
    </w:p>
    <w:p w:rsidR="00724227" w:rsidRPr="00FA62DB" w:rsidRDefault="00724227" w:rsidP="00724227">
      <w:pPr>
        <w:pStyle w:val="NoSpacing"/>
        <w:rPr>
          <w:rFonts w:ascii="Arial" w:hAnsi="Arial" w:cs="Arial"/>
          <w:b/>
        </w:rPr>
      </w:pPr>
    </w:p>
    <w:p w:rsidR="00724227" w:rsidRPr="00FA62DB" w:rsidRDefault="00724227" w:rsidP="00724227">
      <w:pPr>
        <w:pStyle w:val="NoSpacing"/>
        <w:numPr>
          <w:ilvl w:val="0"/>
          <w:numId w:val="1"/>
        </w:numPr>
        <w:ind w:left="567" w:hanging="425"/>
        <w:jc w:val="both"/>
        <w:rPr>
          <w:rFonts w:ascii="Arial" w:hAnsi="Arial" w:cs="Arial"/>
        </w:rPr>
      </w:pPr>
      <w:r w:rsidRPr="00FA62DB">
        <w:rPr>
          <w:rFonts w:ascii="Arial" w:hAnsi="Arial" w:cs="Arial"/>
        </w:rPr>
        <w:t xml:space="preserve">These suitability assessment questions have been designed to assess the suitability of a Provider to deliver the </w:t>
      </w:r>
      <w:r>
        <w:rPr>
          <w:rFonts w:ascii="Arial" w:hAnsi="Arial" w:cs="Arial"/>
        </w:rPr>
        <w:t>Council</w:t>
      </w:r>
      <w:r w:rsidRPr="00FA62DB">
        <w:rPr>
          <w:rFonts w:ascii="Arial" w:hAnsi="Arial" w:cs="Arial"/>
        </w:rPr>
        <w:t xml:space="preserve">’s contract requirement(s). The </w:t>
      </w:r>
      <w:r>
        <w:rPr>
          <w:rFonts w:ascii="Arial" w:hAnsi="Arial" w:cs="Arial"/>
        </w:rPr>
        <w:t>Council</w:t>
      </w:r>
      <w:r w:rsidRPr="00FA62DB">
        <w:rPr>
          <w:rFonts w:ascii="Arial" w:hAnsi="Arial" w:cs="Arial"/>
        </w:rPr>
        <w:t xml:space="preserve"> reserves the right to reject any Tender without further consideration in the event that the Tenderer fails at this stage of the evaluation process</w:t>
      </w:r>
      <w:r>
        <w:rPr>
          <w:rFonts w:ascii="Arial" w:hAnsi="Arial" w:cs="Arial"/>
        </w:rPr>
        <w:t>.</w:t>
      </w:r>
      <w:r w:rsidRPr="00FA62DB">
        <w:rPr>
          <w:rFonts w:ascii="Arial" w:hAnsi="Arial" w:cs="Arial"/>
        </w:rPr>
        <w:t xml:space="preserve"> If you are successful at this stage of the evaluation process, the </w:t>
      </w:r>
      <w:r>
        <w:rPr>
          <w:rFonts w:ascii="Arial" w:hAnsi="Arial" w:cs="Arial"/>
        </w:rPr>
        <w:t>Council</w:t>
      </w:r>
      <w:r w:rsidRPr="00FA62DB">
        <w:rPr>
          <w:rFonts w:ascii="Arial" w:hAnsi="Arial" w:cs="Arial"/>
        </w:rPr>
        <w:t xml:space="preserve"> shall proceed to the subsequent stages of the process.</w:t>
      </w:r>
    </w:p>
    <w:p w:rsidR="00724227" w:rsidRPr="00FA62DB" w:rsidRDefault="00724227" w:rsidP="00724227">
      <w:pPr>
        <w:pStyle w:val="NoSpacing"/>
        <w:ind w:left="567" w:hanging="425"/>
        <w:jc w:val="both"/>
        <w:rPr>
          <w:rFonts w:ascii="Arial" w:hAnsi="Arial" w:cs="Arial"/>
        </w:rPr>
      </w:pPr>
    </w:p>
    <w:p w:rsidR="00724227" w:rsidRPr="00FA62DB" w:rsidRDefault="00724227" w:rsidP="00724227">
      <w:pPr>
        <w:pStyle w:val="NoSpacing"/>
        <w:numPr>
          <w:ilvl w:val="0"/>
          <w:numId w:val="1"/>
        </w:numPr>
        <w:ind w:left="567" w:hanging="425"/>
        <w:jc w:val="both"/>
        <w:rPr>
          <w:rFonts w:ascii="Arial" w:hAnsi="Arial" w:cs="Arial"/>
        </w:rPr>
      </w:pPr>
      <w:r w:rsidRPr="00FA62DB">
        <w:rPr>
          <w:rFonts w:ascii="Arial" w:hAnsi="Arial" w:cs="Arial"/>
        </w:rPr>
        <w:t>The Tenderer must ensure that all questions are completed in full, and in the format requested. Failure to do so may result in your submission being disqualified. If the question does not apply to you, please state clearly ‘N/A’.</w:t>
      </w:r>
    </w:p>
    <w:p w:rsidR="00724227" w:rsidRPr="00FA62DB" w:rsidRDefault="00724227" w:rsidP="00724227">
      <w:pPr>
        <w:pStyle w:val="NoSpacing"/>
        <w:ind w:left="567" w:hanging="425"/>
        <w:jc w:val="both"/>
        <w:rPr>
          <w:rFonts w:ascii="Arial" w:hAnsi="Arial" w:cs="Arial"/>
        </w:rPr>
      </w:pPr>
    </w:p>
    <w:p w:rsidR="00724227" w:rsidRPr="00FA62DB" w:rsidRDefault="00724227" w:rsidP="00724227">
      <w:pPr>
        <w:pStyle w:val="NoSpacing"/>
        <w:numPr>
          <w:ilvl w:val="0"/>
          <w:numId w:val="1"/>
        </w:numPr>
        <w:ind w:left="567" w:hanging="425"/>
        <w:jc w:val="both"/>
        <w:rPr>
          <w:rFonts w:ascii="Arial" w:hAnsi="Arial" w:cs="Arial"/>
        </w:rPr>
      </w:pPr>
      <w:r w:rsidRPr="00FA62DB">
        <w:rPr>
          <w:rFonts w:ascii="Arial" w:hAnsi="Arial" w:cs="Arial"/>
        </w:rPr>
        <w:t>Should you need to provide additional Appendices in response to the questions, these should be numbered clearly and listed as part of your declaration. A template for providing additional information is provided at the end of this document.</w:t>
      </w:r>
    </w:p>
    <w:p w:rsidR="00724227" w:rsidRPr="00FA62DB" w:rsidRDefault="00724227" w:rsidP="00724227">
      <w:pPr>
        <w:pStyle w:val="NoSpacing"/>
        <w:rPr>
          <w:rFonts w:ascii="Arial" w:hAnsi="Arial" w:cs="Arial"/>
        </w:rPr>
      </w:pPr>
    </w:p>
    <w:p w:rsidR="00724227" w:rsidRPr="00FA62DB" w:rsidRDefault="00724227" w:rsidP="00724227">
      <w:pPr>
        <w:pStyle w:val="NoSpacing"/>
        <w:rPr>
          <w:rFonts w:ascii="Arial" w:hAnsi="Arial" w:cs="Arial"/>
          <w:b/>
        </w:rPr>
      </w:pPr>
      <w:r w:rsidRPr="00FA62DB">
        <w:rPr>
          <w:rFonts w:ascii="Arial" w:hAnsi="Arial" w:cs="Arial"/>
          <w:b/>
        </w:rPr>
        <w:t>Grounds for mandatory exclusion</w:t>
      </w:r>
    </w:p>
    <w:p w:rsidR="00724227" w:rsidRPr="00FA62DB" w:rsidRDefault="00724227" w:rsidP="00724227">
      <w:pPr>
        <w:pStyle w:val="NoSpacing"/>
        <w:rPr>
          <w:rFonts w:ascii="Arial" w:hAnsi="Arial" w:cs="Arial"/>
          <w:b/>
        </w:rPr>
      </w:pPr>
    </w:p>
    <w:p w:rsidR="00724227" w:rsidRPr="00FA62DB" w:rsidRDefault="00724227" w:rsidP="00724227">
      <w:pPr>
        <w:pStyle w:val="NoSpacing"/>
        <w:numPr>
          <w:ilvl w:val="0"/>
          <w:numId w:val="1"/>
        </w:numPr>
        <w:ind w:left="567" w:hanging="425"/>
        <w:jc w:val="both"/>
        <w:rPr>
          <w:rFonts w:ascii="Arial" w:hAnsi="Arial" w:cs="Arial"/>
        </w:rPr>
      </w:pPr>
      <w:r w:rsidRPr="00FA62DB">
        <w:rPr>
          <w:rFonts w:ascii="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724227" w:rsidRPr="00FA62DB" w:rsidRDefault="00724227" w:rsidP="00724227">
      <w:pPr>
        <w:pStyle w:val="NoSpacing"/>
        <w:ind w:left="567" w:hanging="425"/>
        <w:rPr>
          <w:rFonts w:ascii="Arial" w:hAnsi="Arial" w:cs="Arial"/>
        </w:rPr>
      </w:pPr>
    </w:p>
    <w:p w:rsidR="00724227" w:rsidRPr="00FA62DB" w:rsidRDefault="00724227" w:rsidP="00724227">
      <w:pPr>
        <w:pStyle w:val="NoSpacing"/>
        <w:numPr>
          <w:ilvl w:val="0"/>
          <w:numId w:val="1"/>
        </w:numPr>
        <w:ind w:left="567" w:hanging="425"/>
        <w:jc w:val="both"/>
        <w:rPr>
          <w:rFonts w:ascii="Arial" w:hAnsi="Arial" w:cs="Arial"/>
        </w:rPr>
      </w:pPr>
      <w:r w:rsidRPr="00FA62DB">
        <w:rPr>
          <w:rFonts w:ascii="Arial" w:hAnsi="Arial" w:cs="Arial"/>
        </w:rPr>
        <w:t xml:space="preserve">If you have answered “yes” to question 1.2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w:t>
      </w:r>
      <w:r>
        <w:rPr>
          <w:rFonts w:ascii="Arial" w:hAnsi="Arial" w:cs="Arial"/>
        </w:rPr>
        <w:t>Council</w:t>
      </w:r>
      <w:r w:rsidRPr="00FA62DB">
        <w:rPr>
          <w:rFonts w:ascii="Arial" w:hAnsi="Arial" w:cs="Arial"/>
        </w:rPr>
        <w:t xml:space="preserve"> for advice before completing this form. </w:t>
      </w:r>
    </w:p>
    <w:p w:rsidR="00724227" w:rsidRDefault="00724227" w:rsidP="00724227">
      <w:pPr>
        <w:pStyle w:val="NoSpacing"/>
        <w:rPr>
          <w:rFonts w:ascii="Arial" w:hAnsi="Arial" w:cs="Arial"/>
          <w:b/>
        </w:rPr>
      </w:pPr>
    </w:p>
    <w:p w:rsidR="00724227" w:rsidRPr="00FA62DB" w:rsidRDefault="00724227" w:rsidP="00724227">
      <w:pPr>
        <w:pStyle w:val="NoSpacing"/>
        <w:rPr>
          <w:rFonts w:ascii="Arial" w:hAnsi="Arial" w:cs="Arial"/>
          <w:b/>
        </w:rPr>
      </w:pPr>
      <w:r w:rsidRPr="00FA62DB">
        <w:rPr>
          <w:rFonts w:ascii="Arial" w:hAnsi="Arial" w:cs="Arial"/>
          <w:b/>
        </w:rPr>
        <w:t xml:space="preserve">Grounds for discretionary exclusion </w:t>
      </w:r>
      <w:bookmarkStart w:id="2" w:name="_GoBack"/>
      <w:bookmarkEnd w:id="2"/>
    </w:p>
    <w:p w:rsidR="00724227" w:rsidRPr="00FA62DB" w:rsidRDefault="00724227" w:rsidP="00724227">
      <w:pPr>
        <w:pStyle w:val="NoSpacing"/>
        <w:rPr>
          <w:rFonts w:ascii="Arial" w:hAnsi="Arial" w:cs="Arial"/>
        </w:rPr>
      </w:pPr>
    </w:p>
    <w:p w:rsidR="00724227" w:rsidRPr="002B2F76" w:rsidRDefault="00724227" w:rsidP="00724227">
      <w:pPr>
        <w:pStyle w:val="NoSpacing"/>
        <w:rPr>
          <w:rFonts w:ascii="Arial" w:hAnsi="Arial" w:cs="Arial"/>
          <w:u w:val="single"/>
        </w:rPr>
      </w:pPr>
      <w:r w:rsidRPr="002B2F76">
        <w:rPr>
          <w:rFonts w:ascii="Arial" w:hAnsi="Arial" w:cs="Arial"/>
          <w:u w:val="single"/>
        </w:rPr>
        <w:t>Conflicts of interest</w:t>
      </w:r>
    </w:p>
    <w:p w:rsidR="00724227" w:rsidRPr="00FA62DB" w:rsidRDefault="00724227" w:rsidP="00724227">
      <w:pPr>
        <w:pStyle w:val="NoSpacing"/>
        <w:rPr>
          <w:rFonts w:ascii="Arial" w:hAnsi="Arial" w:cs="Arial"/>
        </w:rPr>
      </w:pPr>
    </w:p>
    <w:p w:rsidR="00724227" w:rsidRPr="00FA62DB" w:rsidRDefault="00724227" w:rsidP="00724227">
      <w:pPr>
        <w:pStyle w:val="NoSpacing"/>
        <w:numPr>
          <w:ilvl w:val="0"/>
          <w:numId w:val="1"/>
        </w:numPr>
        <w:ind w:left="567" w:hanging="425"/>
        <w:jc w:val="both"/>
        <w:rPr>
          <w:rFonts w:ascii="Arial" w:hAnsi="Arial" w:cs="Arial"/>
        </w:rPr>
      </w:pPr>
      <w:r w:rsidRPr="00FA62DB">
        <w:rPr>
          <w:rFonts w:ascii="Arial" w:hAnsi="Arial" w:cs="Arial"/>
        </w:rPr>
        <w:t xml:space="preserve">In accordance with question 2.1 (e), the </w:t>
      </w:r>
      <w:r>
        <w:rPr>
          <w:rFonts w:ascii="Arial" w:hAnsi="Arial" w:cs="Arial"/>
        </w:rPr>
        <w:t>Council</w:t>
      </w:r>
      <w:r w:rsidRPr="00FA62DB">
        <w:rPr>
          <w:rFonts w:ascii="Arial" w:hAnsi="Arial" w:cs="Arial"/>
        </w:rPr>
        <w:t xml:space="preserve"> may exclude the Provider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724227" w:rsidRPr="00FA62DB" w:rsidRDefault="00724227" w:rsidP="00724227">
      <w:pPr>
        <w:pStyle w:val="NoSpacing"/>
        <w:ind w:left="567" w:hanging="425"/>
        <w:rPr>
          <w:rFonts w:ascii="Arial" w:hAnsi="Arial" w:cs="Arial"/>
        </w:rPr>
      </w:pPr>
    </w:p>
    <w:p w:rsidR="00724227" w:rsidRPr="00546A7A" w:rsidRDefault="00724227" w:rsidP="00724227">
      <w:pPr>
        <w:pStyle w:val="NoSpacing"/>
        <w:numPr>
          <w:ilvl w:val="0"/>
          <w:numId w:val="1"/>
        </w:numPr>
        <w:ind w:left="567" w:hanging="425"/>
        <w:jc w:val="both"/>
        <w:rPr>
          <w:rFonts w:ascii="Arial" w:hAnsi="Arial" w:cs="Arial"/>
        </w:rPr>
      </w:pPr>
      <w:r w:rsidRPr="00FA62DB">
        <w:rPr>
          <w:rFonts w:ascii="Arial" w:hAnsi="Arial" w:cs="Arial"/>
        </w:rPr>
        <w:t xml:space="preserve">Where there is any indication that a conflict of interest exists or may arise then it is the responsibility of the Provider to inform the </w:t>
      </w:r>
      <w:r>
        <w:rPr>
          <w:rFonts w:ascii="Arial" w:hAnsi="Arial" w:cs="Arial"/>
        </w:rPr>
        <w:t>Council</w:t>
      </w:r>
      <w:r w:rsidRPr="00FA62DB">
        <w:rPr>
          <w:rFonts w:ascii="Arial" w:hAnsi="Arial" w:cs="Arial"/>
        </w:rPr>
        <w:t xml:space="preserve">, detailing the conflict in a separate Appendix. Provided that it has been carried out in a transparent manner, routine pre-market engagement carried out by the </w:t>
      </w:r>
      <w:r>
        <w:rPr>
          <w:rFonts w:ascii="Arial" w:hAnsi="Arial" w:cs="Arial"/>
        </w:rPr>
        <w:t>Council</w:t>
      </w:r>
      <w:r w:rsidRPr="00FA62DB">
        <w:rPr>
          <w:rFonts w:ascii="Arial" w:hAnsi="Arial" w:cs="Arial"/>
        </w:rPr>
        <w:t xml:space="preserve"> should not represent a conflict of interest for the Provider.</w:t>
      </w:r>
    </w:p>
    <w:p w:rsidR="00724227" w:rsidRPr="00FA62DB" w:rsidRDefault="00724227" w:rsidP="00724227">
      <w:pPr>
        <w:pStyle w:val="NoSpacing"/>
        <w:rPr>
          <w:rFonts w:ascii="Arial" w:hAnsi="Arial" w:cs="Arial"/>
        </w:rPr>
      </w:pPr>
    </w:p>
    <w:p w:rsidR="00724227" w:rsidRPr="002B2F76" w:rsidRDefault="00724227" w:rsidP="00724227">
      <w:pPr>
        <w:pStyle w:val="NoSpacing"/>
        <w:rPr>
          <w:rFonts w:ascii="Arial" w:hAnsi="Arial" w:cs="Arial"/>
          <w:u w:val="single"/>
        </w:rPr>
      </w:pPr>
      <w:r w:rsidRPr="002B2F76">
        <w:rPr>
          <w:rFonts w:ascii="Arial" w:hAnsi="Arial" w:cs="Arial"/>
          <w:u w:val="single"/>
        </w:rPr>
        <w:t xml:space="preserve">‘Self-cleaning’ </w:t>
      </w:r>
    </w:p>
    <w:p w:rsidR="00724227" w:rsidRPr="00FA62DB" w:rsidRDefault="00724227" w:rsidP="00724227">
      <w:pPr>
        <w:pStyle w:val="NoSpacing"/>
        <w:rPr>
          <w:rFonts w:ascii="Arial" w:hAnsi="Arial" w:cs="Arial"/>
        </w:rPr>
      </w:pPr>
    </w:p>
    <w:p w:rsidR="00724227" w:rsidRPr="00FA62DB" w:rsidRDefault="00724227" w:rsidP="00724227">
      <w:pPr>
        <w:pStyle w:val="NoSpacing"/>
        <w:numPr>
          <w:ilvl w:val="0"/>
          <w:numId w:val="1"/>
        </w:numPr>
        <w:ind w:left="567" w:hanging="425"/>
        <w:jc w:val="both"/>
        <w:rPr>
          <w:rFonts w:ascii="Arial" w:hAnsi="Arial" w:cs="Arial"/>
        </w:rPr>
      </w:pPr>
      <w:r w:rsidRPr="00FA62DB">
        <w:rPr>
          <w:rFonts w:ascii="Arial" w:hAnsi="Arial" w:cs="Arial"/>
        </w:rPr>
        <w:lastRenderedPageBreak/>
        <w:t xml:space="preserve">Any Provider that answers ‘Yes’ to questions 1.1, 1.2 and 2.1 should provide sufficient evidence, in a separate Appendix, that provides a summary of the circumstances and any remedial action that has taken place subsequently and effectively “self cleans” the situation referred to in that question. The Provider has to demonstrate it has taken such remedial action, to the satisfaction of the </w:t>
      </w:r>
      <w:r>
        <w:rPr>
          <w:rFonts w:ascii="Arial" w:hAnsi="Arial" w:cs="Arial"/>
        </w:rPr>
        <w:t>Council</w:t>
      </w:r>
      <w:r w:rsidRPr="00FA62DB">
        <w:rPr>
          <w:rFonts w:ascii="Arial" w:hAnsi="Arial" w:cs="Arial"/>
        </w:rPr>
        <w:t xml:space="preserve"> in each case.  </w:t>
      </w:r>
    </w:p>
    <w:p w:rsidR="00724227" w:rsidRPr="00FA62DB" w:rsidRDefault="00724227" w:rsidP="00724227">
      <w:pPr>
        <w:pStyle w:val="NoSpacing"/>
        <w:rPr>
          <w:rFonts w:ascii="Arial" w:hAnsi="Arial" w:cs="Arial"/>
        </w:rPr>
      </w:pPr>
    </w:p>
    <w:p w:rsidR="00724227" w:rsidRPr="00FA62DB" w:rsidRDefault="00724227" w:rsidP="00724227">
      <w:pPr>
        <w:pStyle w:val="NoSpacing"/>
        <w:numPr>
          <w:ilvl w:val="0"/>
          <w:numId w:val="1"/>
        </w:numPr>
        <w:ind w:left="567" w:hanging="425"/>
        <w:jc w:val="both"/>
        <w:rPr>
          <w:rFonts w:ascii="Arial" w:hAnsi="Arial" w:cs="Arial"/>
        </w:rPr>
      </w:pPr>
      <w:r w:rsidRPr="00FA62DB">
        <w:rPr>
          <w:rFonts w:ascii="Arial" w:hAnsi="Arial" w:cs="Arial"/>
        </w:rPr>
        <w:t xml:space="preserve">If such evidence is considered by the </w:t>
      </w:r>
      <w:r>
        <w:rPr>
          <w:rFonts w:ascii="Arial" w:hAnsi="Arial" w:cs="Arial"/>
        </w:rPr>
        <w:t>Council</w:t>
      </w:r>
      <w:r w:rsidRPr="00FA62DB">
        <w:rPr>
          <w:rFonts w:ascii="Arial" w:hAnsi="Arial" w:cs="Arial"/>
        </w:rPr>
        <w:t xml:space="preserve"> (whose decision will be final) as sufficient, </w:t>
      </w:r>
      <w:r>
        <w:rPr>
          <w:rFonts w:ascii="Arial" w:hAnsi="Arial" w:cs="Arial"/>
        </w:rPr>
        <w:t>the Provider</w:t>
      </w:r>
      <w:r w:rsidRPr="00FA62DB">
        <w:rPr>
          <w:rFonts w:ascii="Arial" w:hAnsi="Arial" w:cs="Arial"/>
        </w:rPr>
        <w:t xml:space="preserve"> concerned shall be allowed to continue in the procurement process.</w:t>
      </w:r>
    </w:p>
    <w:p w:rsidR="00724227" w:rsidRPr="00FA62DB" w:rsidRDefault="00724227" w:rsidP="00724227">
      <w:pPr>
        <w:pStyle w:val="NoSpacing"/>
        <w:rPr>
          <w:rFonts w:ascii="Arial" w:hAnsi="Arial" w:cs="Arial"/>
        </w:rPr>
      </w:pPr>
    </w:p>
    <w:p w:rsidR="00724227" w:rsidRPr="00FA62DB" w:rsidRDefault="00724227" w:rsidP="00724227">
      <w:pPr>
        <w:pStyle w:val="NoSpacing"/>
        <w:numPr>
          <w:ilvl w:val="0"/>
          <w:numId w:val="1"/>
        </w:numPr>
        <w:ind w:left="567" w:hanging="425"/>
        <w:jc w:val="both"/>
        <w:rPr>
          <w:rFonts w:ascii="Arial" w:hAnsi="Arial" w:cs="Arial"/>
        </w:rPr>
      </w:pPr>
      <w:r w:rsidRPr="00FA62DB">
        <w:rPr>
          <w:rFonts w:ascii="Arial" w:hAnsi="Arial" w:cs="Arial"/>
        </w:rPr>
        <w:t>In order for the evidence referred to above to be sufficient, the Provider shall, as a minimum, prove that it has;</w:t>
      </w:r>
    </w:p>
    <w:p w:rsidR="00724227" w:rsidRPr="00FA62DB" w:rsidRDefault="00724227" w:rsidP="00724227">
      <w:pPr>
        <w:pStyle w:val="NoSpacing"/>
        <w:numPr>
          <w:ilvl w:val="0"/>
          <w:numId w:val="2"/>
        </w:numPr>
        <w:ind w:left="1560" w:hanging="284"/>
        <w:rPr>
          <w:rFonts w:ascii="Arial" w:hAnsi="Arial" w:cs="Arial"/>
        </w:rPr>
      </w:pPr>
      <w:r w:rsidRPr="00FA62DB">
        <w:rPr>
          <w:rFonts w:ascii="Arial" w:hAnsi="Arial" w:cs="Arial"/>
        </w:rPr>
        <w:t>paid or undertaken to pay compensation in respect of any damage caused by the criminal offence or misconduct;</w:t>
      </w:r>
    </w:p>
    <w:p w:rsidR="00724227" w:rsidRPr="00FA62DB" w:rsidRDefault="00724227" w:rsidP="00724227">
      <w:pPr>
        <w:pStyle w:val="NoSpacing"/>
        <w:numPr>
          <w:ilvl w:val="0"/>
          <w:numId w:val="2"/>
        </w:numPr>
        <w:ind w:left="1560" w:hanging="284"/>
        <w:rPr>
          <w:rFonts w:ascii="Arial" w:hAnsi="Arial" w:cs="Arial"/>
        </w:rPr>
      </w:pPr>
      <w:r w:rsidRPr="00FA62DB">
        <w:rPr>
          <w:rFonts w:ascii="Arial" w:hAnsi="Arial" w:cs="Arial"/>
        </w:rPr>
        <w:t>clarified the facts and circumstances in a comprehensive manner by actively collaborating with the investigating authorities; and</w:t>
      </w:r>
    </w:p>
    <w:p w:rsidR="00724227" w:rsidRPr="00FA62DB" w:rsidRDefault="00724227" w:rsidP="00724227">
      <w:pPr>
        <w:pStyle w:val="NoSpacing"/>
        <w:numPr>
          <w:ilvl w:val="0"/>
          <w:numId w:val="2"/>
        </w:numPr>
        <w:ind w:left="1560" w:hanging="284"/>
        <w:rPr>
          <w:rFonts w:ascii="Arial" w:hAnsi="Arial" w:cs="Arial"/>
        </w:rPr>
      </w:pPr>
      <w:r w:rsidRPr="00FA62DB">
        <w:rPr>
          <w:rFonts w:ascii="Arial" w:hAnsi="Arial" w:cs="Arial"/>
        </w:rPr>
        <w:t>taken concrete technical, organisational and personnel measures that are appropriate to prevent further criminal offences or misconduct.</w:t>
      </w:r>
    </w:p>
    <w:p w:rsidR="00724227" w:rsidRPr="00FA62DB" w:rsidRDefault="00724227" w:rsidP="00724227">
      <w:pPr>
        <w:pStyle w:val="NoSpacing"/>
        <w:rPr>
          <w:rFonts w:ascii="Arial" w:hAnsi="Arial" w:cs="Arial"/>
        </w:rPr>
      </w:pPr>
    </w:p>
    <w:p w:rsidR="00724227" w:rsidRPr="00FA62DB" w:rsidRDefault="00724227" w:rsidP="00724227">
      <w:pPr>
        <w:pStyle w:val="NoSpacing"/>
        <w:numPr>
          <w:ilvl w:val="0"/>
          <w:numId w:val="1"/>
        </w:numPr>
        <w:ind w:left="567" w:hanging="425"/>
        <w:jc w:val="both"/>
        <w:rPr>
          <w:rFonts w:ascii="Arial" w:hAnsi="Arial" w:cs="Arial"/>
        </w:rPr>
      </w:pPr>
      <w:r w:rsidRPr="00FA62DB">
        <w:rPr>
          <w:rFonts w:ascii="Arial" w:hAnsi="Arial" w:cs="Arial"/>
        </w:rPr>
        <w:t xml:space="preserve">The measures taken by the Provider shall be evaluated taking into account the gravity and particular circumstances of the criminal offence or misconduct. Where the measures are considered by the </w:t>
      </w:r>
      <w:r>
        <w:rPr>
          <w:rFonts w:ascii="Arial" w:hAnsi="Arial" w:cs="Arial"/>
        </w:rPr>
        <w:t>Council</w:t>
      </w:r>
      <w:r w:rsidRPr="00FA62DB">
        <w:rPr>
          <w:rFonts w:ascii="Arial" w:hAnsi="Arial" w:cs="Arial"/>
        </w:rPr>
        <w:t xml:space="preserve"> to be insufficient, the Provider shall be given a statement of the reasons for that decision.</w:t>
      </w:r>
    </w:p>
    <w:p w:rsidR="00724227" w:rsidRDefault="00724227" w:rsidP="00724227">
      <w:pPr>
        <w:rPr>
          <w:rFonts w:cs="Arial"/>
        </w:rPr>
      </w:pPr>
    </w:p>
    <w:p w:rsidR="00724227" w:rsidRPr="00FA62DB" w:rsidRDefault="00724227" w:rsidP="00724227">
      <w:pPr>
        <w:rPr>
          <w:rFonts w:cs="Arial"/>
          <w:b/>
        </w:rPr>
      </w:pPr>
      <w:r w:rsidRPr="00FA62DB">
        <w:rPr>
          <w:rFonts w:cs="Arial"/>
          <w:b/>
        </w:rPr>
        <w:t>1 - Grounds for mandatory exclusion</w:t>
      </w:r>
    </w:p>
    <w:tbl>
      <w:tblPr>
        <w:tblW w:w="9276" w:type="dxa"/>
        <w:tblInd w:w="-262" w:type="dxa"/>
        <w:tblLayout w:type="fixed"/>
        <w:tblCellMar>
          <w:left w:w="10" w:type="dxa"/>
          <w:right w:w="10" w:type="dxa"/>
        </w:tblCellMar>
        <w:tblLook w:val="04A0" w:firstRow="1" w:lastRow="0" w:firstColumn="1" w:lastColumn="0" w:noHBand="0" w:noVBand="1"/>
      </w:tblPr>
      <w:tblGrid>
        <w:gridCol w:w="6216"/>
        <w:gridCol w:w="1439"/>
        <w:gridCol w:w="1621"/>
      </w:tblGrid>
      <w:tr w:rsidR="00724227" w:rsidRPr="00FA62DB" w:rsidTr="00D20784">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b/>
              </w:rPr>
              <w:t>1.1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b/>
              </w:rPr>
              <w:t>Please indicate your answer by marking ‘X’ in the relevant box.</w:t>
            </w:r>
          </w:p>
        </w:tc>
      </w:tr>
      <w:tr w:rsidR="00724227" w:rsidRPr="00FA62DB" w:rsidTr="00D20784">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b/>
              </w:rPr>
              <w:t>No</w:t>
            </w: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rPr>
                <w:rFonts w:cs="Arial"/>
              </w:rPr>
            </w:pPr>
            <w:r w:rsidRPr="00FA62DB">
              <w:rPr>
                <w:rFonts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rPr>
                <w:rFonts w:cs="Arial"/>
              </w:rPr>
            </w:pPr>
            <w:r w:rsidRPr="00FA62DB">
              <w:rPr>
                <w:rFonts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rPr>
                <w:rFonts w:cs="Arial"/>
              </w:rPr>
            </w:pPr>
            <w:r w:rsidRPr="00FA62DB">
              <w:rPr>
                <w:rFonts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rPr>
                <w:rFonts w:cs="Arial"/>
              </w:rPr>
            </w:pPr>
            <w:r w:rsidRPr="00FA62DB">
              <w:rPr>
                <w:rFonts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rPr>
                <w:rFonts w:cs="Arial"/>
              </w:rPr>
            </w:pPr>
            <w:r w:rsidRPr="00FA62DB">
              <w:rPr>
                <w:rFonts w:cs="Arial"/>
              </w:rPr>
              <w:t xml:space="preserve">any of the following offences, where the offence relates to fraud affecting the European Communities’ financial interests as defined by Article 1 of the Convention on the protection of the financial </w:t>
            </w:r>
            <w:r w:rsidRPr="00FA62DB">
              <w:rPr>
                <w:rFonts w:cs="Arial"/>
              </w:rPr>
              <w:lastRenderedPageBreak/>
              <w:t>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lastRenderedPageBreak/>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(iii)</w:t>
            </w:r>
            <w:r w:rsidRPr="00FA62DB">
              <w:rPr>
                <w:rFonts w:cs="Arial"/>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(vii)</w:t>
            </w:r>
            <w:r w:rsidRPr="00FA62DB">
              <w:rPr>
                <w:rFonts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(ix)</w:t>
            </w:r>
            <w:r w:rsidRPr="00FA62DB">
              <w:rPr>
                <w:rFonts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rPr>
                <w:rFonts w:cs="Arial"/>
              </w:rPr>
            </w:pPr>
            <w:r w:rsidRPr="00FA62DB">
              <w:rPr>
                <w:rFonts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(i)</w:t>
            </w:r>
            <w:r w:rsidRPr="00FA62DB">
              <w:rPr>
                <w:rFonts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(ii)</w:t>
            </w:r>
            <w:r w:rsidRPr="00FA62DB">
              <w:rPr>
                <w:rFonts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ind w:left="1255" w:hanging="433"/>
              <w:rPr>
                <w:rFonts w:cs="Arial"/>
              </w:rPr>
            </w:pPr>
            <w:r w:rsidRPr="00FA62DB">
              <w:rPr>
                <w:rFonts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ind w:left="1255" w:hanging="426"/>
              <w:rPr>
                <w:rFonts w:cs="Arial"/>
              </w:rPr>
            </w:pPr>
            <w:r w:rsidRPr="00FA62DB">
              <w:rPr>
                <w:rFonts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ind w:left="1255" w:hanging="426"/>
              <w:rPr>
                <w:rFonts w:cs="Arial"/>
              </w:rPr>
            </w:pPr>
            <w:r w:rsidRPr="00FA62DB">
              <w:rPr>
                <w:rFonts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ind w:left="1255" w:hanging="426"/>
              <w:rPr>
                <w:rFonts w:cs="Arial"/>
              </w:rPr>
            </w:pPr>
            <w:r w:rsidRPr="00FA62DB">
              <w:rPr>
                <w:rFonts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ind w:left="1255" w:hanging="426"/>
              <w:rPr>
                <w:rFonts w:cs="Arial"/>
              </w:rPr>
            </w:pPr>
            <w:r w:rsidRPr="00FA62DB">
              <w:rPr>
                <w:rFonts w:cs="Arial"/>
              </w:rPr>
              <w:lastRenderedPageBreak/>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ind w:left="1255" w:hanging="426"/>
              <w:rPr>
                <w:rFonts w:cs="Arial"/>
              </w:rPr>
            </w:pPr>
            <w:r w:rsidRPr="00FA62DB">
              <w:rPr>
                <w:rFonts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ind w:left="1255" w:hanging="433"/>
              <w:rPr>
                <w:rFonts w:cs="Arial"/>
              </w:rPr>
            </w:pPr>
            <w:r w:rsidRPr="00FA62DB">
              <w:rPr>
                <w:rFonts w:cs="Arial"/>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ind w:left="1255" w:hanging="433"/>
              <w:rPr>
                <w:rFonts w:cs="Arial"/>
              </w:rPr>
            </w:pPr>
            <w:r w:rsidRPr="00056299">
              <w:rPr>
                <w:rFonts w:ascii="Times-Roman" w:hAnsi="Times-Roman" w:cs="Times-Roman"/>
                <w:sz w:val="21"/>
                <w:szCs w:val="21"/>
                <w:lang w:eastAsia="en-GB"/>
              </w:rPr>
              <w:t>an offence under section 2 or 4 of the Modern Slavery Act 2015</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ind w:left="1255" w:hanging="433"/>
              <w:rPr>
                <w:rFonts w:cs="Arial"/>
              </w:rPr>
            </w:pPr>
            <w:r w:rsidRPr="00FA62DB">
              <w:rPr>
                <w:rFonts w:cs="Arial"/>
              </w:rPr>
              <w:t>any other offence within the meaning of Article 57(1) of</w:t>
            </w:r>
            <w:r>
              <w:rPr>
                <w:rFonts w:cs="Arial"/>
              </w:rPr>
              <w:t xml:space="preserve">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3"/>
              </w:numPr>
              <w:spacing w:after="200" w:line="276" w:lineRule="auto"/>
              <w:ind w:left="1255" w:hanging="433"/>
              <w:rPr>
                <w:rFonts w:cs="Arial"/>
              </w:rPr>
            </w:pPr>
            <w:r>
              <w:rPr>
                <w:rFonts w:cs="Arial"/>
                <w:color w:val="000000"/>
              </w:rPr>
              <w:t>any</w:t>
            </w:r>
            <w:r w:rsidRPr="00C52640">
              <w:rPr>
                <w:rFonts w:cs="Arial"/>
                <w:color w:val="000000"/>
              </w:rPr>
              <w:t xml:space="preserve"> of the requirements under Regulation 3(1) of the Employment Relations Act 1999 (Blacklisting) Regulations 2010;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45E5A" w:rsidRDefault="00724227" w:rsidP="00F45E5A">
            <w:pPr>
              <w:numPr>
                <w:ilvl w:val="0"/>
                <w:numId w:val="3"/>
              </w:numPr>
              <w:spacing w:after="200" w:line="276" w:lineRule="auto"/>
              <w:ind w:left="1255" w:hanging="433"/>
              <w:rPr>
                <w:rFonts w:cs="Arial"/>
                <w:color w:val="000000"/>
              </w:rPr>
            </w:pPr>
            <w:r w:rsidRPr="00F45E5A">
              <w:rPr>
                <w:rFonts w:cs="Arial"/>
                <w:color w:val="000000"/>
              </w:rPr>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45E5A" w:rsidRDefault="00724227" w:rsidP="00F45E5A">
            <w:pPr>
              <w:numPr>
                <w:ilvl w:val="0"/>
                <w:numId w:val="3"/>
              </w:numPr>
              <w:spacing w:after="200" w:line="276" w:lineRule="auto"/>
              <w:ind w:left="1255" w:hanging="433"/>
              <w:rPr>
                <w:rFonts w:cs="Arial"/>
                <w:color w:val="000000"/>
              </w:rPr>
            </w:pPr>
            <w:r w:rsidRPr="00F45E5A">
              <w:rPr>
                <w:rFonts w:cs="Arial"/>
                <w:color w:val="000000"/>
              </w:rPr>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D20784">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b/>
                <w:u w:val="single"/>
              </w:rPr>
              <w:t>Non-payment of taxes</w:t>
            </w:r>
          </w:p>
          <w:p w:rsidR="00724227" w:rsidRPr="00FA62DB" w:rsidRDefault="00724227" w:rsidP="00D20784">
            <w:pPr>
              <w:rPr>
                <w:rFonts w:cs="Arial"/>
              </w:rPr>
            </w:pPr>
            <w:r w:rsidRPr="00FA62DB">
              <w:rPr>
                <w:rFonts w:cs="Arial"/>
                <w:b/>
              </w:rPr>
              <w:t>1.2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724227" w:rsidRPr="00FA62DB" w:rsidRDefault="00724227" w:rsidP="00D20784">
            <w:pPr>
              <w:rPr>
                <w:rFonts w:cs="Arial"/>
              </w:rPr>
            </w:pPr>
            <w:r w:rsidRPr="00FA62DB">
              <w:rPr>
                <w:rFonts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bl>
    <w:p w:rsidR="00724227" w:rsidRDefault="00724227" w:rsidP="00724227">
      <w:pPr>
        <w:rPr>
          <w:rFonts w:cs="Arial"/>
          <w:b/>
        </w:rPr>
      </w:pPr>
    </w:p>
    <w:p w:rsidR="00F45E5A" w:rsidRDefault="00F45E5A" w:rsidP="00724227">
      <w:pPr>
        <w:rPr>
          <w:rFonts w:cs="Arial"/>
          <w:b/>
        </w:rPr>
      </w:pPr>
    </w:p>
    <w:p w:rsidR="00F45E5A" w:rsidRDefault="00F45E5A" w:rsidP="00724227">
      <w:pPr>
        <w:rPr>
          <w:rFonts w:cs="Arial"/>
          <w:b/>
        </w:rPr>
      </w:pPr>
    </w:p>
    <w:p w:rsidR="00F45E5A" w:rsidRDefault="00F45E5A" w:rsidP="00724227">
      <w:pPr>
        <w:rPr>
          <w:rFonts w:cs="Arial"/>
          <w:b/>
        </w:rPr>
      </w:pPr>
    </w:p>
    <w:p w:rsidR="00F45E5A" w:rsidRDefault="00F45E5A" w:rsidP="00724227">
      <w:pPr>
        <w:rPr>
          <w:rFonts w:cs="Arial"/>
          <w:b/>
        </w:rPr>
      </w:pPr>
    </w:p>
    <w:p w:rsidR="00F45E5A" w:rsidRDefault="00F45E5A" w:rsidP="00724227">
      <w:pPr>
        <w:rPr>
          <w:rFonts w:cs="Arial"/>
          <w:b/>
        </w:rPr>
      </w:pPr>
    </w:p>
    <w:p w:rsidR="00F45E5A" w:rsidRDefault="00F45E5A" w:rsidP="00724227">
      <w:pPr>
        <w:rPr>
          <w:rFonts w:cs="Arial"/>
          <w:b/>
        </w:rPr>
      </w:pPr>
    </w:p>
    <w:p w:rsidR="00724227" w:rsidRPr="00FA62DB" w:rsidRDefault="00724227" w:rsidP="00724227">
      <w:pPr>
        <w:rPr>
          <w:rFonts w:cs="Arial"/>
          <w:b/>
        </w:rPr>
      </w:pPr>
      <w:r w:rsidRPr="00FA62DB">
        <w:rPr>
          <w:rFonts w:cs="Arial"/>
          <w:b/>
        </w:rPr>
        <w:lastRenderedPageBreak/>
        <w:t xml:space="preserve">2. Grounds for discretionary exclusion </w:t>
      </w:r>
    </w:p>
    <w:p w:rsidR="00724227" w:rsidRPr="00FA62DB" w:rsidRDefault="00724227" w:rsidP="00724227">
      <w:pPr>
        <w:rPr>
          <w:rFonts w:cs="Arial"/>
        </w:rPr>
      </w:pPr>
      <w:r w:rsidRPr="00FA62DB">
        <w:rPr>
          <w:rFonts w:cs="Arial"/>
        </w:rPr>
        <w:t xml:space="preserve">The </w:t>
      </w:r>
      <w:r>
        <w:rPr>
          <w:rFonts w:cs="Arial"/>
        </w:rPr>
        <w:t>Council</w:t>
      </w:r>
      <w:r w:rsidRPr="00FA62DB">
        <w:rPr>
          <w:rFonts w:cs="Arial"/>
        </w:rPr>
        <w:t xml:space="preserve"> may exclude any Provider who answers ‘Yes’ in any of the following situations set out in paragraphs (a) to (i);</w:t>
      </w:r>
    </w:p>
    <w:tbl>
      <w:tblPr>
        <w:tblpPr w:leftFromText="180" w:rightFromText="180" w:vertAnchor="text" w:horzAnchor="margin" w:tblpXSpec="center" w:tblpY="94"/>
        <w:tblW w:w="9471" w:type="dxa"/>
        <w:tblLayout w:type="fixed"/>
        <w:tblCellMar>
          <w:left w:w="10" w:type="dxa"/>
          <w:right w:w="10" w:type="dxa"/>
        </w:tblCellMar>
        <w:tblLook w:val="04A0" w:firstRow="1" w:lastRow="0" w:firstColumn="1" w:lastColumn="0" w:noHBand="0" w:noVBand="1"/>
      </w:tblPr>
      <w:tblGrid>
        <w:gridCol w:w="6494"/>
        <w:gridCol w:w="1418"/>
        <w:gridCol w:w="1559"/>
      </w:tblGrid>
      <w:tr w:rsidR="00724227" w:rsidRPr="00FA62DB" w:rsidTr="00F45E5A">
        <w:tc>
          <w:tcPr>
            <w:tcW w:w="64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b/>
              </w:rPr>
              <w:t>2. Within the past three years, please indicate if any of the following situations have applied, or currently apply, to your organisation.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b/>
              </w:rPr>
              <w:t>Please indicate your answer by marking ‘X’ in the relevant box.</w:t>
            </w:r>
          </w:p>
        </w:tc>
      </w:tr>
      <w:tr w:rsidR="00724227" w:rsidRPr="00FA62DB" w:rsidTr="00F45E5A">
        <w:tc>
          <w:tcPr>
            <w:tcW w:w="64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b/>
              </w:rPr>
              <w:t>Yes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b/>
              </w:rPr>
              <w:t>No</w:t>
            </w: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4"/>
              </w:numPr>
              <w:spacing w:after="200" w:line="276" w:lineRule="auto"/>
              <w:rPr>
                <w:rFonts w:cs="Arial"/>
              </w:rPr>
            </w:pPr>
            <w:bookmarkStart w:id="3" w:name="h.1fob9te"/>
            <w:bookmarkEnd w:id="3"/>
            <w:r w:rsidRPr="00FA62DB">
              <w:rPr>
                <w:rFonts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b/>
              </w:rPr>
              <w:t xml:space="preserve">  </w:t>
            </w: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4"/>
              </w:numPr>
              <w:spacing w:after="200" w:line="276" w:lineRule="auto"/>
              <w:rPr>
                <w:rFonts w:cs="Arial"/>
              </w:rPr>
            </w:pPr>
            <w:r w:rsidRPr="00FA62DB">
              <w:rPr>
                <w:rFonts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F45E5A">
        <w:trPr>
          <w:trHeight w:val="660"/>
        </w:trPr>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4"/>
              </w:numPr>
              <w:spacing w:after="200" w:line="276" w:lineRule="auto"/>
              <w:rPr>
                <w:rFonts w:cs="Arial"/>
              </w:rPr>
            </w:pPr>
            <w:r w:rsidRPr="00FA62DB">
              <w:rPr>
                <w:rFonts w:cs="Arial"/>
              </w:rPr>
              <w:t>your organisation is guilty of grave professional misconduct,  which renders its integrity questionable;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4"/>
              </w:numPr>
              <w:spacing w:after="200" w:line="276" w:lineRule="auto"/>
              <w:rPr>
                <w:rFonts w:cs="Arial"/>
              </w:rPr>
            </w:pPr>
            <w:r w:rsidRPr="00FA62DB">
              <w:rPr>
                <w:rFonts w:cs="Arial"/>
              </w:rPr>
              <w:t>your organisation has entered into agreements with other economic operators aimed at distorting competition;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4"/>
              </w:numPr>
              <w:spacing w:after="200" w:line="276" w:lineRule="auto"/>
              <w:rPr>
                <w:rFonts w:cs="Arial"/>
              </w:rPr>
            </w:pPr>
            <w:r w:rsidRPr="00FA62DB">
              <w:rPr>
                <w:rFonts w:cs="Arial"/>
              </w:rPr>
              <w:t>your organisation has a conflict of interest within the meaning of regulation 24 of the Public Contract Regulations 2015 that cannot be effectively remedied by other, less intrusive, measures;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4"/>
              </w:numPr>
              <w:spacing w:after="200" w:line="276" w:lineRule="auto"/>
              <w:rPr>
                <w:rFonts w:cs="Arial"/>
              </w:rPr>
            </w:pPr>
            <w:r w:rsidRPr="00FA62DB">
              <w:rPr>
                <w:rFonts w:cs="Arial"/>
              </w:rPr>
              <w:t>the prior involvement of your organisation in the preparation of the procurement procedure has resulted in a distortion of competition, as referred to in regulation 41, that cannot be remedied by other, less intrusive, measures;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4"/>
              </w:numPr>
              <w:spacing w:after="200" w:line="276" w:lineRule="auto"/>
              <w:rPr>
                <w:rFonts w:cs="Arial"/>
              </w:rPr>
            </w:pPr>
            <w:r w:rsidRPr="00FA62DB">
              <w:rPr>
                <w:rFonts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724227">
            <w:pPr>
              <w:numPr>
                <w:ilvl w:val="0"/>
                <w:numId w:val="4"/>
              </w:numPr>
              <w:spacing w:after="200" w:line="276" w:lineRule="auto"/>
              <w:rPr>
                <w:rFonts w:cs="Arial"/>
              </w:rPr>
            </w:pPr>
            <w:r w:rsidRPr="00FA62DB">
              <w:rPr>
                <w:rFonts w:cs="Arial"/>
              </w:rPr>
              <w:t>your organisation—</w:t>
            </w:r>
          </w:p>
          <w:p w:rsidR="00724227" w:rsidRPr="00FA62DB" w:rsidRDefault="00724227" w:rsidP="00D20784">
            <w:pPr>
              <w:rPr>
                <w:rFonts w:cs="Arial"/>
              </w:rPr>
            </w:pPr>
            <w:r w:rsidRPr="00FA62DB">
              <w:rPr>
                <w:rFonts w:cs="Arial"/>
              </w:rPr>
              <w:t>(i)</w:t>
            </w:r>
            <w:r w:rsidRPr="00FA62DB">
              <w:rPr>
                <w:rFonts w:cs="Arial"/>
              </w:rPr>
              <w:tab/>
              <w:t>has been guilty of serious misrepresentation in supplying the information required for the verification of the absence of grounds for exclusion or the fulfilment of the selection criteria; or</w:t>
            </w:r>
          </w:p>
          <w:p w:rsidR="00724227" w:rsidRPr="00FA62DB" w:rsidRDefault="00724227" w:rsidP="00D20784">
            <w:pPr>
              <w:rPr>
                <w:rFonts w:cs="Arial"/>
              </w:rPr>
            </w:pPr>
            <w:r w:rsidRPr="00FA62DB">
              <w:rPr>
                <w:rFonts w:cs="Arial"/>
              </w:rPr>
              <w:lastRenderedPageBreak/>
              <w:t>(ii)</w:t>
            </w:r>
            <w:r w:rsidRPr="00FA62DB">
              <w:rPr>
                <w:rFonts w:cs="Arial"/>
              </w:rPr>
              <w:tab/>
              <w:t>has withheld such information or is not able to submit supporting documents required under regulation 59 of the Public Contract Regulations 2015; 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lastRenderedPageBreak/>
              <w:t>(i) your organisation has undertaken 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(aa)</w:t>
            </w:r>
            <w:r w:rsidRPr="00FA62DB">
              <w:rPr>
                <w:rFonts w:cs="Arial"/>
              </w:rPr>
              <w:tab/>
              <w:t xml:space="preserve">unduly influence the decision-making process of the  </w:t>
            </w:r>
            <w:r>
              <w:rPr>
                <w:rFonts w:cs="Arial"/>
              </w:rPr>
              <w:t>Council</w:t>
            </w:r>
            <w:r w:rsidRPr="00FA62DB">
              <w:rPr>
                <w:rFonts w:cs="Arial"/>
              </w:rPr>
              <w:t>, 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(bb)</w:t>
            </w:r>
            <w:r w:rsidRPr="00FA62DB">
              <w:rPr>
                <w:rFonts w:cs="Arial"/>
              </w:rPr>
              <w:tab/>
              <w:t>obtain confidential information that may confer upon your organisation undue advantages in the procurement procedure; 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r w:rsidR="00724227" w:rsidRPr="00FA62DB" w:rsidTr="00F45E5A">
        <w:tc>
          <w:tcPr>
            <w:tcW w:w="6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r w:rsidRPr="00FA62DB">
              <w:rPr>
                <w:rFonts w:cs="Arial"/>
              </w:rPr>
              <w:t xml:space="preserve">       (j)</w:t>
            </w:r>
            <w:r w:rsidRPr="00FA62DB">
              <w:rPr>
                <w:rFonts w:cs="Arial"/>
              </w:rPr>
              <w:tab/>
              <w:t>your organisation has negligently provided misleading information that may have a material influence on decisions concerning exclusion, selection or award.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rPr>
                <w:rFonts w:cs="Arial"/>
              </w:rPr>
            </w:pPr>
          </w:p>
        </w:tc>
      </w:tr>
    </w:tbl>
    <w:p w:rsidR="00724227" w:rsidRPr="00FA62DB" w:rsidRDefault="00724227" w:rsidP="00724227">
      <w:pPr>
        <w:rPr>
          <w:rFonts w:cs="Arial"/>
        </w:rPr>
      </w:pPr>
    </w:p>
    <w:p w:rsidR="00724227" w:rsidRPr="00FA62DB" w:rsidRDefault="00724227" w:rsidP="00724227">
      <w:pPr>
        <w:rPr>
          <w:rFonts w:cs="Arial"/>
          <w:b/>
        </w:rPr>
      </w:pPr>
      <w:r w:rsidRPr="00FA62DB">
        <w:rPr>
          <w:rFonts w:cs="Arial"/>
          <w:b/>
        </w:rPr>
        <w:t>3 - Economic and Financial Standing</w:t>
      </w:r>
    </w:p>
    <w:tbl>
      <w:tblPr>
        <w:tblW w:w="9180" w:type="dxa"/>
        <w:tblInd w:w="-214" w:type="dxa"/>
        <w:tblLayout w:type="fixed"/>
        <w:tblCellMar>
          <w:left w:w="10" w:type="dxa"/>
          <w:right w:w="10" w:type="dxa"/>
        </w:tblCellMar>
        <w:tblLook w:val="04A0" w:firstRow="1" w:lastRow="0" w:firstColumn="1" w:lastColumn="0" w:noHBand="0" w:noVBand="1"/>
      </w:tblPr>
      <w:tblGrid>
        <w:gridCol w:w="1084"/>
        <w:gridCol w:w="6893"/>
        <w:gridCol w:w="1203"/>
      </w:tblGrid>
      <w:tr w:rsidR="00724227" w:rsidRPr="00FA62DB" w:rsidTr="00D20784">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724227" w:rsidRPr="00FA62DB" w:rsidRDefault="00724227" w:rsidP="00F45E5A">
            <w:pPr>
              <w:spacing w:after="200" w:line="276" w:lineRule="auto"/>
              <w:ind w:left="360"/>
              <w:rPr>
                <w:rFonts w:cs="Arial"/>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724227" w:rsidRPr="00FA62DB" w:rsidRDefault="00724227" w:rsidP="00F45E5A">
            <w:pPr>
              <w:spacing w:after="200" w:line="276" w:lineRule="auto"/>
              <w:ind w:left="360"/>
              <w:rPr>
                <w:rFonts w:cs="Arial"/>
              </w:rPr>
            </w:pPr>
            <w:r w:rsidRPr="006B425D">
              <w:rPr>
                <w:rFonts w:cs="Arial"/>
              </w:rPr>
              <w:t xml:space="preserve">FINANCIAL INFORMATION </w:t>
            </w:r>
          </w:p>
        </w:tc>
      </w:tr>
      <w:tr w:rsidR="00724227" w:rsidRPr="00FA62DB" w:rsidTr="00D20784">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724227" w:rsidRPr="00FA62DB" w:rsidRDefault="00724227" w:rsidP="00F45E5A">
            <w:pPr>
              <w:spacing w:after="200" w:line="276" w:lineRule="auto"/>
              <w:ind w:left="360"/>
              <w:rPr>
                <w:rFonts w:cs="Arial"/>
              </w:rPr>
            </w:pPr>
            <w:r w:rsidRPr="00FA62DB">
              <w:rPr>
                <w:rFonts w:cs="Arial"/>
              </w:rPr>
              <w:t>3.1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rsidR="00724227" w:rsidRPr="00FA62DB" w:rsidRDefault="00724227" w:rsidP="00F45E5A">
            <w:pPr>
              <w:spacing w:after="200" w:line="276" w:lineRule="auto"/>
              <w:ind w:left="360"/>
              <w:rPr>
                <w:rFonts w:cs="Arial"/>
              </w:rPr>
            </w:pPr>
            <w:r w:rsidRPr="006B425D">
              <w:rPr>
                <w:rFonts w:cs="Arial"/>
              </w:rPr>
              <w:t xml:space="preserve">Please provide one of the following to demonstrate your economic/financial standing; </w:t>
            </w:r>
          </w:p>
          <w:p w:rsidR="00724227" w:rsidRPr="00FA62DB" w:rsidRDefault="00724227" w:rsidP="00F45E5A">
            <w:pPr>
              <w:spacing w:after="200" w:line="276" w:lineRule="auto"/>
              <w:ind w:left="360"/>
              <w:rPr>
                <w:rFonts w:cs="Arial"/>
              </w:rPr>
            </w:pPr>
            <w:r w:rsidRPr="00FA62DB">
              <w:rPr>
                <w:rFonts w:cs="Arial"/>
              </w:rPr>
              <w:t>Please indicate your answer with an ‘X’ in the relevant box.</w:t>
            </w:r>
          </w:p>
        </w:tc>
      </w:tr>
      <w:tr w:rsidR="00724227" w:rsidRPr="00FA62DB" w:rsidTr="00D20784">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724227" w:rsidRPr="00FA62DB" w:rsidRDefault="00724227" w:rsidP="00F45E5A">
            <w:pPr>
              <w:numPr>
                <w:ilvl w:val="0"/>
                <w:numId w:val="6"/>
              </w:numPr>
              <w:spacing w:after="200" w:line="276" w:lineRule="auto"/>
              <w:rPr>
                <w:rFonts w:cs="Arial"/>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724227" w:rsidRPr="00FA62DB" w:rsidRDefault="00724227" w:rsidP="00F45E5A">
            <w:pPr>
              <w:numPr>
                <w:ilvl w:val="0"/>
                <w:numId w:val="6"/>
              </w:numPr>
              <w:spacing w:after="200" w:line="276" w:lineRule="auto"/>
              <w:rPr>
                <w:rFonts w:cs="Arial"/>
              </w:rPr>
            </w:pPr>
            <w:r>
              <w:rPr>
                <w:rFonts w:cs="Arial"/>
              </w:rPr>
              <w:t xml:space="preserve">A bank letter confirming the ability able to meet annual rent payments </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724227" w:rsidRPr="00FA62DB" w:rsidRDefault="00724227" w:rsidP="00F45E5A">
            <w:pPr>
              <w:spacing w:after="200" w:line="276" w:lineRule="auto"/>
              <w:ind w:left="360"/>
              <w:rPr>
                <w:rFonts w:cs="Arial"/>
              </w:rPr>
            </w:pPr>
          </w:p>
        </w:tc>
      </w:tr>
      <w:tr w:rsidR="00724227" w:rsidRPr="00FA62DB" w:rsidTr="00D20784">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724227" w:rsidRPr="00FA62DB" w:rsidRDefault="00724227" w:rsidP="00F45E5A">
            <w:pPr>
              <w:numPr>
                <w:ilvl w:val="0"/>
                <w:numId w:val="6"/>
              </w:numPr>
              <w:spacing w:after="200" w:line="276" w:lineRule="auto"/>
              <w:rPr>
                <w:rFonts w:cs="Arial"/>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724227" w:rsidRPr="00FA62DB" w:rsidRDefault="00724227" w:rsidP="00F45E5A">
            <w:pPr>
              <w:numPr>
                <w:ilvl w:val="0"/>
                <w:numId w:val="6"/>
              </w:numPr>
              <w:spacing w:after="200" w:line="276" w:lineRule="auto"/>
              <w:rPr>
                <w:rFonts w:cs="Arial"/>
              </w:rPr>
            </w:pPr>
            <w:r w:rsidRPr="00FA62DB">
              <w:rPr>
                <w:rFonts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724227" w:rsidRPr="00FA62DB" w:rsidRDefault="00724227" w:rsidP="00F45E5A">
            <w:pPr>
              <w:spacing w:after="200" w:line="276" w:lineRule="auto"/>
              <w:ind w:left="360"/>
              <w:rPr>
                <w:rFonts w:cs="Arial"/>
              </w:rPr>
            </w:pPr>
          </w:p>
        </w:tc>
      </w:tr>
      <w:tr w:rsidR="00724227" w:rsidRPr="006B425D" w:rsidTr="00D20784">
        <w:trPr>
          <w:gridAfter w:val="2"/>
          <w:wAfter w:w="8096" w:type="dxa"/>
          <w:trHeight w:val="491"/>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724227" w:rsidRPr="00FA62DB" w:rsidRDefault="00724227" w:rsidP="00F45E5A">
            <w:pPr>
              <w:numPr>
                <w:ilvl w:val="0"/>
                <w:numId w:val="6"/>
              </w:numPr>
              <w:spacing w:after="200" w:line="276" w:lineRule="auto"/>
              <w:rPr>
                <w:rFonts w:cs="Arial"/>
              </w:rPr>
            </w:pPr>
          </w:p>
        </w:tc>
      </w:tr>
      <w:tr w:rsidR="00724227" w:rsidRPr="00FA62DB" w:rsidTr="00D20784">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724227" w:rsidRPr="00FA62DB" w:rsidRDefault="00724227" w:rsidP="00F45E5A">
            <w:pPr>
              <w:numPr>
                <w:ilvl w:val="0"/>
                <w:numId w:val="6"/>
              </w:numPr>
              <w:spacing w:after="200" w:line="276" w:lineRule="auto"/>
              <w:rPr>
                <w:rFonts w:cs="Arial"/>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724227" w:rsidRPr="00FA62DB" w:rsidRDefault="00724227" w:rsidP="00F45E5A">
            <w:pPr>
              <w:numPr>
                <w:ilvl w:val="0"/>
                <w:numId w:val="6"/>
              </w:numPr>
              <w:spacing w:after="200" w:line="276" w:lineRule="auto"/>
              <w:rPr>
                <w:rFonts w:cs="Arial"/>
              </w:rPr>
            </w:pPr>
            <w:r w:rsidRPr="00FA62DB">
              <w:rPr>
                <w:rFonts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724227" w:rsidRPr="00FA62DB" w:rsidRDefault="00724227" w:rsidP="00F45E5A">
            <w:pPr>
              <w:spacing w:after="200" w:line="276" w:lineRule="auto"/>
              <w:ind w:left="360"/>
              <w:rPr>
                <w:rFonts w:cs="Arial"/>
              </w:rPr>
            </w:pPr>
          </w:p>
        </w:tc>
      </w:tr>
      <w:tr w:rsidR="00724227" w:rsidRPr="00FA62DB" w:rsidTr="00D20784">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724227" w:rsidRPr="00FA62DB" w:rsidRDefault="00724227" w:rsidP="00F45E5A">
            <w:pPr>
              <w:numPr>
                <w:ilvl w:val="0"/>
                <w:numId w:val="6"/>
              </w:numPr>
              <w:spacing w:after="200" w:line="276" w:lineRule="auto"/>
              <w:rPr>
                <w:rFonts w:cs="Arial"/>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724227" w:rsidRPr="006B425D" w:rsidRDefault="00724227" w:rsidP="00F45E5A">
            <w:pPr>
              <w:pStyle w:val="ListParagraph"/>
              <w:numPr>
                <w:ilvl w:val="0"/>
                <w:numId w:val="6"/>
              </w:numPr>
              <w:spacing w:after="200" w:line="276" w:lineRule="auto"/>
              <w:contextualSpacing/>
              <w:rPr>
                <w:sz w:val="22"/>
                <w:szCs w:val="22"/>
              </w:rPr>
            </w:pPr>
            <w:r w:rsidRPr="006B425D">
              <w:rPr>
                <w:sz w:val="22"/>
                <w:szCs w:val="22"/>
              </w:rPr>
              <w:t>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724227" w:rsidRPr="00FA62DB" w:rsidRDefault="00724227" w:rsidP="00F45E5A">
            <w:pPr>
              <w:spacing w:after="200" w:line="276" w:lineRule="auto"/>
              <w:ind w:left="360"/>
              <w:rPr>
                <w:rFonts w:cs="Arial"/>
              </w:rPr>
            </w:pPr>
          </w:p>
        </w:tc>
      </w:tr>
    </w:tbl>
    <w:p w:rsidR="00724227" w:rsidRDefault="00724227" w:rsidP="00724227">
      <w:pPr>
        <w:rPr>
          <w:rFonts w:cs="Arial"/>
          <w:b/>
        </w:rPr>
      </w:pPr>
    </w:p>
    <w:p w:rsidR="00724227" w:rsidRDefault="00724227" w:rsidP="00724227">
      <w:pPr>
        <w:rPr>
          <w:rFonts w:cs="Arial"/>
          <w:b/>
        </w:rPr>
      </w:pPr>
    </w:p>
    <w:p w:rsidR="00724227" w:rsidRDefault="00724227" w:rsidP="00724227">
      <w:pPr>
        <w:rPr>
          <w:rFonts w:cs="Arial"/>
          <w:b/>
        </w:rPr>
      </w:pPr>
    </w:p>
    <w:p w:rsidR="00724227" w:rsidRPr="00FA62DB" w:rsidRDefault="00724227" w:rsidP="00724227">
      <w:pPr>
        <w:rPr>
          <w:rFonts w:cs="Arial"/>
          <w:b/>
        </w:rPr>
      </w:pPr>
      <w:r>
        <w:rPr>
          <w:rFonts w:cs="Arial"/>
          <w:b/>
        </w:rPr>
        <w:t>4</w:t>
      </w:r>
      <w:r w:rsidRPr="00FA62DB">
        <w:rPr>
          <w:rFonts w:cs="Arial"/>
          <w:b/>
        </w:rPr>
        <w:t>- Insurance</w:t>
      </w:r>
    </w:p>
    <w:tbl>
      <w:tblPr>
        <w:tblStyle w:val="TableGrid"/>
        <w:tblW w:w="0" w:type="auto"/>
        <w:tblLook w:val="04A0" w:firstRow="1" w:lastRow="0" w:firstColumn="1" w:lastColumn="0" w:noHBand="0" w:noVBand="1"/>
      </w:tblPr>
      <w:tblGrid>
        <w:gridCol w:w="4621"/>
        <w:gridCol w:w="4276"/>
      </w:tblGrid>
      <w:tr w:rsidR="00724227" w:rsidRPr="00FA62DB" w:rsidTr="00F45E5A">
        <w:tc>
          <w:tcPr>
            <w:tcW w:w="4621" w:type="dxa"/>
          </w:tcPr>
          <w:p w:rsidR="00724227" w:rsidRPr="00FA62DB" w:rsidRDefault="00724227" w:rsidP="00D20784">
            <w:pPr>
              <w:jc w:val="both"/>
              <w:rPr>
                <w:rFonts w:cs="Arial"/>
              </w:rPr>
            </w:pPr>
            <w:r w:rsidRPr="00FA62DB">
              <w:rPr>
                <w:rFonts w:cs="Arial"/>
              </w:rPr>
              <w:t>Please self-certify whether you already have, or can commit to obtain, prior to the commencement of the contract, the levels of insurance cover indicated below:</w:t>
            </w:r>
          </w:p>
          <w:p w:rsidR="00724227" w:rsidRPr="00FA62DB" w:rsidRDefault="00724227" w:rsidP="00D20784">
            <w:pPr>
              <w:rPr>
                <w:rFonts w:cs="Arial"/>
              </w:rPr>
            </w:pPr>
          </w:p>
          <w:p w:rsidR="00724227" w:rsidRPr="00DC053A" w:rsidRDefault="00724227" w:rsidP="00724227">
            <w:pPr>
              <w:pStyle w:val="ListParagraph"/>
              <w:numPr>
                <w:ilvl w:val="0"/>
                <w:numId w:val="5"/>
              </w:numPr>
              <w:contextualSpacing/>
              <w:jc w:val="both"/>
              <w:rPr>
                <w:sz w:val="22"/>
              </w:rPr>
            </w:pPr>
            <w:r w:rsidRPr="00DC053A">
              <w:rPr>
                <w:sz w:val="22"/>
              </w:rPr>
              <w:t>Employer’s (Compulsory) Liability Insurance  = £10 million per event</w:t>
            </w:r>
          </w:p>
          <w:p w:rsidR="00724227" w:rsidRPr="00DC053A" w:rsidRDefault="00724227" w:rsidP="00724227">
            <w:pPr>
              <w:pStyle w:val="ListParagraph"/>
              <w:numPr>
                <w:ilvl w:val="0"/>
                <w:numId w:val="5"/>
              </w:numPr>
              <w:contextualSpacing/>
              <w:jc w:val="both"/>
              <w:rPr>
                <w:sz w:val="22"/>
              </w:rPr>
            </w:pPr>
            <w:r w:rsidRPr="00DC053A">
              <w:rPr>
                <w:sz w:val="22"/>
              </w:rPr>
              <w:t>Public Liability Insurance = £10 million per event</w:t>
            </w:r>
          </w:p>
          <w:p w:rsidR="00724227" w:rsidRPr="00FA62DB" w:rsidRDefault="00724227" w:rsidP="00D20784">
            <w:pPr>
              <w:rPr>
                <w:rFonts w:cs="Arial"/>
              </w:rPr>
            </w:pPr>
          </w:p>
          <w:p w:rsidR="00724227" w:rsidRPr="00FA62DB" w:rsidRDefault="00724227" w:rsidP="00D20784">
            <w:pPr>
              <w:jc w:val="both"/>
              <w:rPr>
                <w:rFonts w:cs="Arial"/>
              </w:rPr>
            </w:pPr>
            <w:r w:rsidRPr="00FA62DB">
              <w:rPr>
                <w:rFonts w:cs="Arial"/>
              </w:rPr>
              <w:t xml:space="preserve">* It is a legal requirement that all companies hold Employer’s (Compulsory) Liability Insurance of £5 million as a minimum. Please note this </w:t>
            </w:r>
            <w:r w:rsidRPr="00FA62DB">
              <w:rPr>
                <w:rFonts w:cs="Arial"/>
              </w:rPr>
              <w:lastRenderedPageBreak/>
              <w:t>requirement is not applicable to Sole Traders.</w:t>
            </w:r>
          </w:p>
        </w:tc>
        <w:tc>
          <w:tcPr>
            <w:tcW w:w="4276" w:type="dxa"/>
          </w:tcPr>
          <w:p w:rsidR="00724227" w:rsidRPr="00FA62DB" w:rsidRDefault="00724227" w:rsidP="00D20784">
            <w:pPr>
              <w:rPr>
                <w:rFonts w:cs="Arial"/>
              </w:rPr>
            </w:pPr>
            <w:r w:rsidRPr="00FA62DB">
              <w:rPr>
                <w:rFonts w:ascii="MS Gothic" w:eastAsia="MS Gothic" w:hAnsi="MS Gothic" w:cs="MS Gothic" w:hint="eastAsia"/>
              </w:rPr>
              <w:lastRenderedPageBreak/>
              <w:t>▢</w:t>
            </w:r>
            <w:r w:rsidRPr="00FA62DB">
              <w:rPr>
                <w:rFonts w:cs="Arial"/>
              </w:rPr>
              <w:t xml:space="preserve">   Yes</w:t>
            </w:r>
          </w:p>
          <w:p w:rsidR="00724227" w:rsidRPr="00FA62DB" w:rsidRDefault="00724227" w:rsidP="00D20784">
            <w:pPr>
              <w:rPr>
                <w:rFonts w:cs="Arial"/>
              </w:rPr>
            </w:pPr>
          </w:p>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No    </w:t>
            </w:r>
          </w:p>
        </w:tc>
      </w:tr>
    </w:tbl>
    <w:p w:rsidR="00724227" w:rsidRPr="00FA62DB" w:rsidRDefault="00724227" w:rsidP="00724227">
      <w:pPr>
        <w:rPr>
          <w:rFonts w:cs="Arial"/>
          <w:b/>
        </w:rPr>
      </w:pPr>
    </w:p>
    <w:p w:rsidR="00724227" w:rsidRPr="00FA62DB" w:rsidRDefault="00724227" w:rsidP="00724227">
      <w:pPr>
        <w:rPr>
          <w:rFonts w:cs="Arial"/>
          <w:b/>
        </w:rPr>
      </w:pPr>
      <w:r>
        <w:rPr>
          <w:rFonts w:cs="Arial"/>
          <w:b/>
        </w:rPr>
        <w:t>5</w:t>
      </w:r>
      <w:r w:rsidRPr="00FA62DB">
        <w:rPr>
          <w:rFonts w:cs="Arial"/>
          <w:b/>
        </w:rPr>
        <w:t>- Equality</w:t>
      </w:r>
    </w:p>
    <w:tbl>
      <w:tblPr>
        <w:tblStyle w:val="TableGrid"/>
        <w:tblW w:w="0" w:type="auto"/>
        <w:tblLook w:val="04A0" w:firstRow="1" w:lastRow="0" w:firstColumn="1" w:lastColumn="0" w:noHBand="0" w:noVBand="1"/>
      </w:tblPr>
      <w:tblGrid>
        <w:gridCol w:w="605"/>
        <w:gridCol w:w="5556"/>
        <w:gridCol w:w="2736"/>
      </w:tblGrid>
      <w:tr w:rsidR="00724227" w:rsidRPr="00FA62DB" w:rsidTr="008A1531">
        <w:tc>
          <w:tcPr>
            <w:tcW w:w="8897" w:type="dxa"/>
            <w:gridSpan w:val="3"/>
          </w:tcPr>
          <w:p w:rsidR="00724227" w:rsidRPr="00FA62DB" w:rsidRDefault="00724227" w:rsidP="00D20784">
            <w:pPr>
              <w:jc w:val="both"/>
              <w:rPr>
                <w:rFonts w:cs="Arial"/>
              </w:rPr>
            </w:pPr>
            <w:r w:rsidRPr="00FA62DB">
              <w:rPr>
                <w:rFonts w:cs="Arial"/>
              </w:rPr>
              <w:t>For organisations working outside of the UK please refer to equivalent legislation in the country that you are located</w:t>
            </w:r>
          </w:p>
        </w:tc>
      </w:tr>
      <w:tr w:rsidR="00724227" w:rsidRPr="00FA62DB" w:rsidTr="008A1531">
        <w:tc>
          <w:tcPr>
            <w:tcW w:w="605" w:type="dxa"/>
          </w:tcPr>
          <w:p w:rsidR="00724227" w:rsidRPr="00FA62DB" w:rsidRDefault="00F45E5A" w:rsidP="00D20784">
            <w:pPr>
              <w:rPr>
                <w:rFonts w:cs="Arial"/>
              </w:rPr>
            </w:pPr>
            <w:r>
              <w:rPr>
                <w:rFonts w:cs="Arial"/>
              </w:rPr>
              <w:t>5</w:t>
            </w:r>
            <w:r w:rsidR="00724227" w:rsidRPr="00FA62DB">
              <w:rPr>
                <w:rFonts w:cs="Arial"/>
              </w:rPr>
              <w:t>.1</w:t>
            </w:r>
          </w:p>
        </w:tc>
        <w:tc>
          <w:tcPr>
            <w:tcW w:w="5556" w:type="dxa"/>
          </w:tcPr>
          <w:p w:rsidR="00724227" w:rsidRPr="00FA62DB" w:rsidRDefault="00724227" w:rsidP="00D20784">
            <w:pPr>
              <w:jc w:val="both"/>
              <w:rPr>
                <w:rFonts w:cs="Arial"/>
              </w:rPr>
            </w:pPr>
            <w:r w:rsidRPr="00FA62DB">
              <w:rPr>
                <w:rFonts w:cs="Arial"/>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2736" w:type="dxa"/>
          </w:tcPr>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Yes</w:t>
            </w:r>
          </w:p>
          <w:p w:rsidR="00724227" w:rsidRPr="00FA62DB" w:rsidRDefault="00724227" w:rsidP="00D20784">
            <w:pPr>
              <w:rPr>
                <w:rFonts w:cs="Arial"/>
              </w:rPr>
            </w:pPr>
          </w:p>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No    </w:t>
            </w:r>
          </w:p>
        </w:tc>
      </w:tr>
      <w:tr w:rsidR="00724227" w:rsidRPr="00FA62DB" w:rsidTr="008A1531">
        <w:tc>
          <w:tcPr>
            <w:tcW w:w="605" w:type="dxa"/>
          </w:tcPr>
          <w:p w:rsidR="00724227" w:rsidRPr="00FA62DB" w:rsidRDefault="00F45E5A" w:rsidP="00D20784">
            <w:pPr>
              <w:rPr>
                <w:rFonts w:cs="Arial"/>
              </w:rPr>
            </w:pPr>
            <w:r>
              <w:rPr>
                <w:rFonts w:cs="Arial"/>
              </w:rPr>
              <w:t>5</w:t>
            </w:r>
            <w:r w:rsidR="00724227" w:rsidRPr="00FA62DB">
              <w:rPr>
                <w:rFonts w:cs="Arial"/>
              </w:rPr>
              <w:t>.2</w:t>
            </w:r>
          </w:p>
        </w:tc>
        <w:tc>
          <w:tcPr>
            <w:tcW w:w="5556" w:type="dxa"/>
          </w:tcPr>
          <w:p w:rsidR="00724227" w:rsidRPr="00FA62DB" w:rsidRDefault="00724227" w:rsidP="00D20784">
            <w:pPr>
              <w:jc w:val="both"/>
              <w:rPr>
                <w:rFonts w:cs="Arial"/>
              </w:rPr>
            </w:pPr>
            <w:r w:rsidRPr="00FA62DB">
              <w:rPr>
                <w:rFonts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rsidR="00724227" w:rsidRPr="00FA62DB" w:rsidRDefault="00724227" w:rsidP="00D20784">
            <w:pPr>
              <w:rPr>
                <w:rFonts w:cs="Arial"/>
              </w:rPr>
            </w:pPr>
          </w:p>
          <w:p w:rsidR="00724227" w:rsidRPr="00FA62DB" w:rsidRDefault="00724227" w:rsidP="00D20784">
            <w:pPr>
              <w:jc w:val="both"/>
              <w:rPr>
                <w:rFonts w:cs="Arial"/>
              </w:rPr>
            </w:pPr>
            <w:r w:rsidRPr="00FA62DB">
              <w:rPr>
                <w:rFonts w:cs="Arial"/>
              </w:rPr>
              <w:t>If you have answered “yes” to one or both of the questions in this module, please provide, as a separate Appendix, a summary of the nature of the investigation and an explanation of the outcome of the investigation to date.</w:t>
            </w:r>
          </w:p>
          <w:p w:rsidR="00724227" w:rsidRPr="00FA62DB" w:rsidRDefault="00724227" w:rsidP="00D20784">
            <w:pPr>
              <w:rPr>
                <w:rFonts w:cs="Arial"/>
              </w:rPr>
            </w:pPr>
          </w:p>
          <w:p w:rsidR="00724227" w:rsidRDefault="00724227" w:rsidP="00D20784">
            <w:pPr>
              <w:jc w:val="both"/>
              <w:rPr>
                <w:rFonts w:cs="Arial"/>
              </w:rPr>
            </w:pPr>
            <w:r w:rsidRPr="00FA62DB">
              <w:rPr>
                <w:rFonts w:cs="Arial"/>
              </w:rPr>
              <w:t>If the investigation upheld the complaint against your organisation, please use the Appendix to explain what action (if any) you have taken to prevent unlawful discrimination from reoccurring.</w:t>
            </w:r>
          </w:p>
          <w:p w:rsidR="00724227" w:rsidRPr="00FA62DB" w:rsidRDefault="00724227" w:rsidP="00D20784">
            <w:pPr>
              <w:jc w:val="both"/>
              <w:rPr>
                <w:rFonts w:cs="Arial"/>
              </w:rPr>
            </w:pPr>
          </w:p>
          <w:p w:rsidR="00724227" w:rsidRPr="00FA62DB" w:rsidRDefault="00724227" w:rsidP="00D20784">
            <w:pPr>
              <w:jc w:val="both"/>
              <w:rPr>
                <w:rFonts w:cs="Arial"/>
              </w:rPr>
            </w:pPr>
            <w:r w:rsidRPr="00FA62DB">
              <w:rPr>
                <w:rFonts w:cs="Arial"/>
              </w:rPr>
              <w:t xml:space="preserve">You may be excluded if you are unable to demonstrate to the </w:t>
            </w:r>
            <w:r>
              <w:rPr>
                <w:rFonts w:cs="Arial"/>
              </w:rPr>
              <w:t>Council</w:t>
            </w:r>
            <w:r w:rsidRPr="00FA62DB">
              <w:rPr>
                <w:rFonts w:cs="Arial"/>
              </w:rPr>
              <w:t xml:space="preserve">’s satisfaction that appropriate remedial action has been taken to prevent similar unlawful discrimination reoccurring.    </w:t>
            </w:r>
          </w:p>
        </w:tc>
        <w:tc>
          <w:tcPr>
            <w:tcW w:w="2736" w:type="dxa"/>
          </w:tcPr>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Yes</w:t>
            </w:r>
          </w:p>
          <w:p w:rsidR="00724227" w:rsidRPr="00FA62DB" w:rsidRDefault="00724227" w:rsidP="00D20784">
            <w:pPr>
              <w:rPr>
                <w:rFonts w:cs="Arial"/>
              </w:rPr>
            </w:pPr>
          </w:p>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No</w:t>
            </w:r>
          </w:p>
        </w:tc>
      </w:tr>
      <w:tr w:rsidR="00724227" w:rsidRPr="00FA62DB" w:rsidTr="008A1531">
        <w:tc>
          <w:tcPr>
            <w:tcW w:w="605" w:type="dxa"/>
          </w:tcPr>
          <w:p w:rsidR="00724227" w:rsidRPr="00FA62DB" w:rsidRDefault="00F45E5A" w:rsidP="00D20784">
            <w:pPr>
              <w:rPr>
                <w:rFonts w:cs="Arial"/>
              </w:rPr>
            </w:pPr>
            <w:r>
              <w:rPr>
                <w:rFonts w:cs="Arial"/>
              </w:rPr>
              <w:t>5</w:t>
            </w:r>
            <w:r w:rsidR="00724227" w:rsidRPr="00FA62DB">
              <w:rPr>
                <w:rFonts w:cs="Arial"/>
              </w:rPr>
              <w:t>.3</w:t>
            </w:r>
          </w:p>
        </w:tc>
        <w:tc>
          <w:tcPr>
            <w:tcW w:w="5556" w:type="dxa"/>
          </w:tcPr>
          <w:p w:rsidR="00724227" w:rsidRPr="00FA62DB" w:rsidRDefault="00724227" w:rsidP="00D20784">
            <w:pPr>
              <w:tabs>
                <w:tab w:val="left" w:pos="1075"/>
              </w:tabs>
              <w:jc w:val="both"/>
              <w:rPr>
                <w:rFonts w:cs="Arial"/>
              </w:rPr>
            </w:pPr>
            <w:r w:rsidRPr="00FA62DB">
              <w:rPr>
                <w:rFonts w:cs="Arial"/>
              </w:rPr>
              <w:t xml:space="preserve">If you use </w:t>
            </w:r>
            <w:r>
              <w:rPr>
                <w:rFonts w:cs="Arial"/>
              </w:rPr>
              <w:t>S</w:t>
            </w:r>
            <w:r w:rsidRPr="00FA62DB">
              <w:rPr>
                <w:rFonts w:cs="Arial"/>
              </w:rPr>
              <w:t>ub-</w:t>
            </w:r>
            <w:r>
              <w:rPr>
                <w:rFonts w:cs="Arial"/>
              </w:rPr>
              <w:t>C</w:t>
            </w:r>
            <w:r w:rsidRPr="00FA62DB">
              <w:rPr>
                <w:rFonts w:cs="Arial"/>
              </w:rPr>
              <w:t>ontractors, do you have processes in place to check whether any of the above circumstances apply to these other organisations?</w:t>
            </w:r>
          </w:p>
        </w:tc>
        <w:tc>
          <w:tcPr>
            <w:tcW w:w="2736" w:type="dxa"/>
          </w:tcPr>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Yes</w:t>
            </w:r>
          </w:p>
          <w:p w:rsidR="00724227" w:rsidRPr="00FA62DB" w:rsidRDefault="00724227" w:rsidP="00D20784">
            <w:pPr>
              <w:rPr>
                <w:rFonts w:cs="Arial"/>
              </w:rPr>
            </w:pPr>
          </w:p>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No    </w:t>
            </w:r>
          </w:p>
        </w:tc>
      </w:tr>
    </w:tbl>
    <w:p w:rsidR="00724227" w:rsidRPr="00FA62DB" w:rsidRDefault="00724227" w:rsidP="00724227">
      <w:pPr>
        <w:rPr>
          <w:rFonts w:cs="Arial"/>
        </w:rPr>
      </w:pPr>
    </w:p>
    <w:p w:rsidR="00724227" w:rsidRDefault="00724227" w:rsidP="00724227">
      <w:pPr>
        <w:rPr>
          <w:rFonts w:cs="Arial"/>
          <w:b/>
        </w:rPr>
      </w:pPr>
      <w:r>
        <w:rPr>
          <w:rFonts w:cs="Arial"/>
          <w:b/>
        </w:rPr>
        <w:br w:type="page"/>
      </w:r>
    </w:p>
    <w:p w:rsidR="00724227" w:rsidRPr="00FA62DB" w:rsidRDefault="00724227" w:rsidP="00724227">
      <w:pPr>
        <w:rPr>
          <w:rFonts w:cs="Arial"/>
          <w:b/>
        </w:rPr>
      </w:pPr>
      <w:r>
        <w:rPr>
          <w:rFonts w:cs="Arial"/>
          <w:b/>
        </w:rPr>
        <w:lastRenderedPageBreak/>
        <w:t>6</w:t>
      </w:r>
      <w:r w:rsidRPr="00FA62DB">
        <w:rPr>
          <w:rFonts w:cs="Arial"/>
          <w:b/>
        </w:rPr>
        <w:t>- Health and Safety</w:t>
      </w:r>
    </w:p>
    <w:tbl>
      <w:tblPr>
        <w:tblStyle w:val="TableGrid"/>
        <w:tblW w:w="9528" w:type="dxa"/>
        <w:tblLook w:val="04A0" w:firstRow="1" w:lastRow="0" w:firstColumn="1" w:lastColumn="0" w:noHBand="0" w:noVBand="1"/>
      </w:tblPr>
      <w:tblGrid>
        <w:gridCol w:w="1248"/>
        <w:gridCol w:w="6713"/>
        <w:gridCol w:w="1567"/>
      </w:tblGrid>
      <w:tr w:rsidR="00724227" w:rsidRPr="00FA62DB" w:rsidTr="00D20784">
        <w:trPr>
          <w:trHeight w:val="1013"/>
        </w:trPr>
        <w:tc>
          <w:tcPr>
            <w:tcW w:w="1248" w:type="dxa"/>
          </w:tcPr>
          <w:p w:rsidR="00724227" w:rsidRPr="00FA62DB" w:rsidRDefault="008A1531" w:rsidP="00D20784">
            <w:pPr>
              <w:rPr>
                <w:rFonts w:cs="Arial"/>
              </w:rPr>
            </w:pPr>
            <w:r>
              <w:rPr>
                <w:rFonts w:cs="Arial"/>
              </w:rPr>
              <w:t>6</w:t>
            </w:r>
            <w:r w:rsidR="00724227" w:rsidRPr="00FA62DB">
              <w:rPr>
                <w:rFonts w:cs="Arial"/>
              </w:rPr>
              <w:t>.1</w:t>
            </w:r>
          </w:p>
        </w:tc>
        <w:tc>
          <w:tcPr>
            <w:tcW w:w="6713" w:type="dxa"/>
          </w:tcPr>
          <w:p w:rsidR="00724227" w:rsidRPr="00FA62DB" w:rsidRDefault="00724227" w:rsidP="00D20784">
            <w:pPr>
              <w:jc w:val="both"/>
              <w:rPr>
                <w:rFonts w:cs="Arial"/>
              </w:rPr>
            </w:pPr>
            <w:r w:rsidRPr="00FA62DB">
              <w:rPr>
                <w:rFonts w:cs="Arial"/>
              </w:rPr>
              <w:t>Please self-certify that your organisation has a Health and Safety Policy that complies with current legislative requirements.</w:t>
            </w:r>
          </w:p>
        </w:tc>
        <w:tc>
          <w:tcPr>
            <w:tcW w:w="1567" w:type="dxa"/>
          </w:tcPr>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Yes</w:t>
            </w:r>
          </w:p>
          <w:p w:rsidR="00724227" w:rsidRPr="00FA62DB" w:rsidRDefault="00724227" w:rsidP="00D20784">
            <w:pPr>
              <w:rPr>
                <w:rFonts w:cs="Arial"/>
              </w:rPr>
            </w:pPr>
          </w:p>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No    </w:t>
            </w:r>
          </w:p>
        </w:tc>
      </w:tr>
      <w:tr w:rsidR="00724227" w:rsidRPr="00FA62DB" w:rsidTr="00D20784">
        <w:trPr>
          <w:trHeight w:val="3903"/>
        </w:trPr>
        <w:tc>
          <w:tcPr>
            <w:tcW w:w="1248" w:type="dxa"/>
          </w:tcPr>
          <w:p w:rsidR="00724227" w:rsidRPr="00FA62DB" w:rsidRDefault="008A1531" w:rsidP="00D20784">
            <w:pPr>
              <w:rPr>
                <w:rFonts w:cs="Arial"/>
              </w:rPr>
            </w:pPr>
            <w:r>
              <w:rPr>
                <w:rFonts w:cs="Arial"/>
              </w:rPr>
              <w:t>6</w:t>
            </w:r>
            <w:r w:rsidR="00724227" w:rsidRPr="00FA62DB">
              <w:rPr>
                <w:rFonts w:cs="Arial"/>
              </w:rPr>
              <w:t>.2</w:t>
            </w:r>
          </w:p>
        </w:tc>
        <w:tc>
          <w:tcPr>
            <w:tcW w:w="6713" w:type="dxa"/>
          </w:tcPr>
          <w:p w:rsidR="00724227" w:rsidRPr="00FA62DB" w:rsidRDefault="00724227" w:rsidP="00D20784">
            <w:pPr>
              <w:jc w:val="both"/>
              <w:rPr>
                <w:rFonts w:cs="Arial"/>
              </w:rPr>
            </w:pPr>
            <w:r w:rsidRPr="00FA62DB">
              <w:rPr>
                <w:rFonts w:cs="Arial"/>
              </w:rPr>
              <w:t xml:space="preserve">Has your organisation or any of its Directors or Executive Officers been in receipt of enforcement/remedial orders in relation to the Health and Safety Executive (or equivalent body) in the last 3 years? </w:t>
            </w:r>
          </w:p>
          <w:p w:rsidR="00724227" w:rsidRPr="00FA62DB" w:rsidRDefault="00724227" w:rsidP="00D20784">
            <w:pPr>
              <w:rPr>
                <w:rFonts w:cs="Arial"/>
              </w:rPr>
            </w:pPr>
          </w:p>
          <w:p w:rsidR="00724227" w:rsidRPr="00FA62DB" w:rsidRDefault="00724227" w:rsidP="00D20784">
            <w:pPr>
              <w:jc w:val="both"/>
              <w:rPr>
                <w:rFonts w:cs="Arial"/>
              </w:rPr>
            </w:pPr>
            <w:r w:rsidRPr="00FA62DB">
              <w:rPr>
                <w:rFonts w:cs="Arial"/>
              </w:rPr>
              <w:t>If your answer to this question was “Yes”, please provide details in a separate Appendix of any enforcement/remedial orders served and give details of any remedial action or changes to procedures you have made as a result.</w:t>
            </w:r>
          </w:p>
          <w:p w:rsidR="00724227" w:rsidRPr="00FA62DB" w:rsidRDefault="00724227" w:rsidP="00D20784">
            <w:pPr>
              <w:rPr>
                <w:rFonts w:cs="Arial"/>
              </w:rPr>
            </w:pPr>
            <w:r w:rsidRPr="00FA62DB">
              <w:rPr>
                <w:rFonts w:cs="Arial"/>
              </w:rPr>
              <w:t xml:space="preserve"> </w:t>
            </w:r>
          </w:p>
          <w:p w:rsidR="00724227" w:rsidRPr="00FA62DB" w:rsidRDefault="00724227" w:rsidP="00D20784">
            <w:pPr>
              <w:jc w:val="both"/>
              <w:rPr>
                <w:rFonts w:cs="Arial"/>
              </w:rPr>
            </w:pPr>
            <w:r w:rsidRPr="00FA62DB">
              <w:rPr>
                <w:rFonts w:cs="Arial"/>
              </w:rPr>
              <w:t xml:space="preserve">The </w:t>
            </w:r>
            <w:r>
              <w:rPr>
                <w:rFonts w:cs="Arial"/>
              </w:rPr>
              <w:t>Council</w:t>
            </w:r>
            <w:r w:rsidRPr="00FA62DB">
              <w:rPr>
                <w:rFonts w:cs="Arial"/>
              </w:rPr>
              <w:t xml:space="preserve"> will exclude bidder(s) that have been in receipt of enforcement/remedial action orders unless the bidder(s) can demonstrate to the </w:t>
            </w:r>
            <w:r>
              <w:rPr>
                <w:rFonts w:cs="Arial"/>
              </w:rPr>
              <w:t>Council</w:t>
            </w:r>
            <w:r w:rsidRPr="00FA62DB">
              <w:rPr>
                <w:rFonts w:cs="Arial"/>
              </w:rPr>
              <w:t xml:space="preserve">’s satisfaction that appropriate remedial action has been taken to prevent future occurrences or breaches. </w:t>
            </w:r>
          </w:p>
        </w:tc>
        <w:tc>
          <w:tcPr>
            <w:tcW w:w="1567" w:type="dxa"/>
          </w:tcPr>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Yes</w:t>
            </w:r>
          </w:p>
          <w:p w:rsidR="00724227" w:rsidRPr="00FA62DB" w:rsidRDefault="00724227" w:rsidP="00D20784">
            <w:pPr>
              <w:rPr>
                <w:rFonts w:cs="Arial"/>
              </w:rPr>
            </w:pPr>
          </w:p>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No    </w:t>
            </w:r>
          </w:p>
        </w:tc>
      </w:tr>
      <w:tr w:rsidR="00724227" w:rsidRPr="00FA62DB" w:rsidTr="00D20784">
        <w:trPr>
          <w:trHeight w:val="1030"/>
        </w:trPr>
        <w:tc>
          <w:tcPr>
            <w:tcW w:w="1248" w:type="dxa"/>
          </w:tcPr>
          <w:p w:rsidR="00724227" w:rsidRPr="00FA62DB" w:rsidRDefault="008A1531" w:rsidP="00D20784">
            <w:pPr>
              <w:rPr>
                <w:rFonts w:cs="Arial"/>
              </w:rPr>
            </w:pPr>
            <w:r>
              <w:rPr>
                <w:rFonts w:cs="Arial"/>
              </w:rPr>
              <w:t>6</w:t>
            </w:r>
            <w:r w:rsidR="00724227" w:rsidRPr="00FA62DB">
              <w:rPr>
                <w:rFonts w:cs="Arial"/>
              </w:rPr>
              <w:t>.3</w:t>
            </w:r>
          </w:p>
        </w:tc>
        <w:tc>
          <w:tcPr>
            <w:tcW w:w="6713" w:type="dxa"/>
          </w:tcPr>
          <w:p w:rsidR="00724227" w:rsidRPr="00FA62DB" w:rsidRDefault="00724227" w:rsidP="00D20784">
            <w:pPr>
              <w:jc w:val="both"/>
              <w:rPr>
                <w:rFonts w:cs="Arial"/>
              </w:rPr>
            </w:pPr>
            <w:r w:rsidRPr="00FA62DB">
              <w:rPr>
                <w:rFonts w:cs="Arial"/>
              </w:rPr>
              <w:t xml:space="preserve">If you use </w:t>
            </w:r>
            <w:r>
              <w:rPr>
                <w:rFonts w:cs="Arial"/>
              </w:rPr>
              <w:t>S</w:t>
            </w:r>
            <w:r w:rsidRPr="00FA62DB">
              <w:rPr>
                <w:rFonts w:cs="Arial"/>
              </w:rPr>
              <w:t>ub-</w:t>
            </w:r>
            <w:r>
              <w:rPr>
                <w:rFonts w:cs="Arial"/>
              </w:rPr>
              <w:t>Service provider</w:t>
            </w:r>
            <w:r w:rsidRPr="00FA62DB">
              <w:rPr>
                <w:rFonts w:cs="Arial"/>
              </w:rPr>
              <w:t>s, do you have processes in place to check whether any of the above circumstances apply to these other organisations?</w:t>
            </w:r>
          </w:p>
        </w:tc>
        <w:tc>
          <w:tcPr>
            <w:tcW w:w="1567" w:type="dxa"/>
          </w:tcPr>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Yes</w:t>
            </w:r>
          </w:p>
          <w:p w:rsidR="00724227" w:rsidRPr="00FA62DB" w:rsidRDefault="00724227" w:rsidP="00D20784">
            <w:pPr>
              <w:rPr>
                <w:rFonts w:cs="Arial"/>
              </w:rPr>
            </w:pPr>
          </w:p>
          <w:p w:rsidR="00724227" w:rsidRPr="00FA62DB" w:rsidRDefault="00724227" w:rsidP="00D20784">
            <w:pPr>
              <w:rPr>
                <w:rFonts w:cs="Arial"/>
              </w:rPr>
            </w:pPr>
            <w:r w:rsidRPr="00FA62DB">
              <w:rPr>
                <w:rFonts w:ascii="MS Gothic" w:eastAsia="MS Gothic" w:hAnsi="MS Gothic" w:cs="MS Gothic" w:hint="eastAsia"/>
              </w:rPr>
              <w:t>▢</w:t>
            </w:r>
            <w:r w:rsidRPr="00FA62DB">
              <w:rPr>
                <w:rFonts w:cs="Arial"/>
              </w:rPr>
              <w:t xml:space="preserve">   No    </w:t>
            </w:r>
          </w:p>
        </w:tc>
      </w:tr>
    </w:tbl>
    <w:p w:rsidR="00724227" w:rsidRPr="00FA62DB" w:rsidRDefault="00724227" w:rsidP="00724227">
      <w:pPr>
        <w:rPr>
          <w:rFonts w:cs="Arial"/>
        </w:rPr>
      </w:pPr>
    </w:p>
    <w:p w:rsidR="00724227" w:rsidRDefault="00724227" w:rsidP="00724227">
      <w:pPr>
        <w:rPr>
          <w:rFonts w:cs="Arial"/>
          <w:b/>
        </w:rPr>
      </w:pPr>
      <w:r>
        <w:rPr>
          <w:rFonts w:cs="Arial"/>
          <w:b/>
        </w:rPr>
        <w:br w:type="page"/>
      </w:r>
    </w:p>
    <w:p w:rsidR="00724227" w:rsidRPr="00FA62DB" w:rsidRDefault="00724227" w:rsidP="00724227">
      <w:pPr>
        <w:rPr>
          <w:rFonts w:cs="Arial"/>
          <w:b/>
        </w:rPr>
      </w:pPr>
      <w:r>
        <w:rPr>
          <w:rFonts w:cs="Arial"/>
          <w:b/>
        </w:rPr>
        <w:lastRenderedPageBreak/>
        <w:t>7</w:t>
      </w:r>
      <w:r w:rsidRPr="00FA62DB">
        <w:rPr>
          <w:rFonts w:cs="Arial"/>
          <w:b/>
        </w:rPr>
        <w:t xml:space="preserve"> – Declaration</w:t>
      </w:r>
    </w:p>
    <w:tbl>
      <w:tblPr>
        <w:tblStyle w:val="TableGrid"/>
        <w:tblW w:w="9968" w:type="dxa"/>
        <w:tblLook w:val="04A0" w:firstRow="1" w:lastRow="0" w:firstColumn="1" w:lastColumn="0" w:noHBand="0" w:noVBand="1"/>
      </w:tblPr>
      <w:tblGrid>
        <w:gridCol w:w="910"/>
        <w:gridCol w:w="2742"/>
        <w:gridCol w:w="6316"/>
      </w:tblGrid>
      <w:tr w:rsidR="00724227" w:rsidRPr="00FA62DB" w:rsidTr="00D20784">
        <w:trPr>
          <w:trHeight w:val="6243"/>
        </w:trPr>
        <w:tc>
          <w:tcPr>
            <w:tcW w:w="9968" w:type="dxa"/>
            <w:gridSpan w:val="3"/>
          </w:tcPr>
          <w:p w:rsidR="00724227" w:rsidRDefault="00724227" w:rsidP="00D20784">
            <w:pPr>
              <w:jc w:val="both"/>
              <w:rPr>
                <w:rFonts w:cs="Arial"/>
              </w:rPr>
            </w:pPr>
          </w:p>
          <w:p w:rsidR="00724227" w:rsidRPr="00FA62DB" w:rsidRDefault="00724227" w:rsidP="00D20784">
            <w:pPr>
              <w:jc w:val="both"/>
              <w:rPr>
                <w:rFonts w:cs="Arial"/>
              </w:rPr>
            </w:pPr>
            <w:r w:rsidRPr="00FA62DB">
              <w:rPr>
                <w:rFonts w:cs="Arial"/>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FA62DB">
              <w:rPr>
                <w:rFonts w:cs="Arial"/>
                <w:b/>
              </w:rPr>
              <w:t>(Insert name of Provider</w:t>
            </w:r>
            <w:r w:rsidRPr="00FA62DB">
              <w:rPr>
                <w:rFonts w:cs="Arial"/>
              </w:rPr>
              <w:t xml:space="preserve">). </w:t>
            </w:r>
          </w:p>
          <w:p w:rsidR="00724227" w:rsidRPr="00FA62DB" w:rsidRDefault="00724227" w:rsidP="00D20784">
            <w:pPr>
              <w:rPr>
                <w:rFonts w:cs="Arial"/>
              </w:rPr>
            </w:pPr>
          </w:p>
          <w:p w:rsidR="00724227" w:rsidRPr="00FA62DB" w:rsidRDefault="00724227" w:rsidP="00D20784">
            <w:pPr>
              <w:jc w:val="both"/>
              <w:rPr>
                <w:rFonts w:cs="Arial"/>
              </w:rPr>
            </w:pPr>
            <w:r w:rsidRPr="00FA62DB">
              <w:rPr>
                <w:rFonts w:cs="Arial"/>
              </w:rPr>
              <w:t xml:space="preserve">I understand that the </w:t>
            </w:r>
            <w:r>
              <w:rPr>
                <w:rFonts w:cs="Arial"/>
              </w:rPr>
              <w:t>Council</w:t>
            </w:r>
            <w:r w:rsidRPr="00FA62DB">
              <w:rPr>
                <w:rFonts w:cs="Arial"/>
              </w:rPr>
              <w:t xml:space="preserve"> may reject my submission if there is a failure to answer all relevant questions fully or if I provide false/misleading information. I have provided a full list of any Appendices used to provide additional information in response to questions.</w:t>
            </w:r>
          </w:p>
          <w:p w:rsidR="00724227" w:rsidRPr="00FA62DB" w:rsidRDefault="00724227" w:rsidP="00D20784">
            <w:pPr>
              <w:rPr>
                <w:rFonts w:cs="Arial"/>
              </w:rPr>
            </w:pPr>
          </w:p>
          <w:p w:rsidR="00724227" w:rsidRPr="00FA62DB" w:rsidRDefault="00724227" w:rsidP="00D20784">
            <w:pPr>
              <w:jc w:val="both"/>
              <w:rPr>
                <w:rFonts w:cs="Arial"/>
              </w:rPr>
            </w:pPr>
            <w:r w:rsidRPr="00FA62DB">
              <w:rPr>
                <w:rFonts w:cs="Arial"/>
              </w:rPr>
              <w:t xml:space="preserve">I also declare that there is no conflict of interest in relation to the </w:t>
            </w:r>
            <w:r>
              <w:rPr>
                <w:rFonts w:cs="Arial"/>
              </w:rPr>
              <w:t>Council</w:t>
            </w:r>
            <w:r w:rsidRPr="00FA62DB">
              <w:rPr>
                <w:rFonts w:cs="Arial"/>
              </w:rPr>
              <w:t>’s requirement.</w:t>
            </w:r>
          </w:p>
          <w:tbl>
            <w:tblPr>
              <w:tblpPr w:leftFromText="180" w:rightFromText="180" w:vertAnchor="page" w:horzAnchor="margin" w:tblpXSpec="center" w:tblpY="3075"/>
              <w:tblOverlap w:val="never"/>
              <w:tblW w:w="6090" w:type="dxa"/>
              <w:tblCellMar>
                <w:left w:w="10" w:type="dxa"/>
                <w:right w:w="10" w:type="dxa"/>
              </w:tblCellMar>
              <w:tblLook w:val="04A0" w:firstRow="1" w:lastRow="0" w:firstColumn="1" w:lastColumn="0" w:noHBand="0" w:noVBand="1"/>
            </w:tblPr>
            <w:tblGrid>
              <w:gridCol w:w="2966"/>
              <w:gridCol w:w="3124"/>
            </w:tblGrid>
            <w:tr w:rsidR="00724227" w:rsidRPr="00FA62DB" w:rsidTr="00D20784">
              <w:trPr>
                <w:trHeight w:val="140"/>
              </w:trPr>
              <w:tc>
                <w:tcPr>
                  <w:tcW w:w="2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227" w:rsidRPr="00FA62DB" w:rsidRDefault="00724227" w:rsidP="00D20784">
                  <w:pPr>
                    <w:jc w:val="center"/>
                    <w:rPr>
                      <w:rFonts w:cs="Arial"/>
                    </w:rPr>
                  </w:pPr>
                  <w:r w:rsidRPr="00FA62DB">
                    <w:rPr>
                      <w:rFonts w:eastAsia="Arial" w:cs="Arial"/>
                      <w:b/>
                    </w:rPr>
                    <w:t xml:space="preserve">Section </w:t>
                  </w:r>
                  <w:r>
                    <w:rPr>
                      <w:rFonts w:eastAsia="Arial" w:cs="Arial"/>
                      <w:b/>
                    </w:rPr>
                    <w:t>of suitability assessment questions</w:t>
                  </w:r>
                </w:p>
              </w:tc>
              <w:tc>
                <w:tcPr>
                  <w:tcW w:w="3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4227" w:rsidRPr="00FA62DB" w:rsidRDefault="00724227" w:rsidP="00D20784">
                  <w:pPr>
                    <w:jc w:val="center"/>
                    <w:rPr>
                      <w:rFonts w:cs="Arial"/>
                    </w:rPr>
                  </w:pPr>
                  <w:r w:rsidRPr="00FA62DB">
                    <w:rPr>
                      <w:rFonts w:eastAsia="Arial" w:cs="Arial"/>
                      <w:b/>
                    </w:rPr>
                    <w:t>Appendix number</w:t>
                  </w:r>
                </w:p>
              </w:tc>
            </w:tr>
            <w:tr w:rsidR="00724227" w:rsidRPr="00FA62DB" w:rsidTr="00D20784">
              <w:trPr>
                <w:trHeight w:val="140"/>
              </w:trPr>
              <w:tc>
                <w:tcPr>
                  <w:tcW w:w="2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4227" w:rsidRPr="00FA62DB" w:rsidRDefault="00724227" w:rsidP="00D20784">
                  <w:pPr>
                    <w:jc w:val="both"/>
                    <w:rPr>
                      <w:rFonts w:cs="Arial"/>
                    </w:rPr>
                  </w:pPr>
                </w:p>
              </w:tc>
              <w:tc>
                <w:tcPr>
                  <w:tcW w:w="3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4227" w:rsidRPr="00FA62DB" w:rsidRDefault="00724227" w:rsidP="00D20784">
                  <w:pPr>
                    <w:jc w:val="both"/>
                    <w:rPr>
                      <w:rFonts w:cs="Arial"/>
                    </w:rPr>
                  </w:pPr>
                </w:p>
              </w:tc>
            </w:tr>
            <w:tr w:rsidR="00724227" w:rsidRPr="00FA62DB" w:rsidTr="00D20784">
              <w:trPr>
                <w:trHeight w:val="140"/>
              </w:trPr>
              <w:tc>
                <w:tcPr>
                  <w:tcW w:w="2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4227" w:rsidRPr="00FA62DB" w:rsidRDefault="00724227" w:rsidP="00D20784">
                  <w:pPr>
                    <w:jc w:val="both"/>
                    <w:rPr>
                      <w:rFonts w:cs="Arial"/>
                    </w:rPr>
                  </w:pPr>
                </w:p>
              </w:tc>
              <w:tc>
                <w:tcPr>
                  <w:tcW w:w="3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4227" w:rsidRPr="00FA62DB" w:rsidRDefault="00724227" w:rsidP="00D20784">
                  <w:pPr>
                    <w:jc w:val="both"/>
                    <w:rPr>
                      <w:rFonts w:cs="Arial"/>
                    </w:rPr>
                  </w:pPr>
                </w:p>
              </w:tc>
            </w:tr>
          </w:tbl>
          <w:p w:rsidR="00724227" w:rsidRPr="00FA62DB" w:rsidRDefault="00724227" w:rsidP="00D20784">
            <w:pPr>
              <w:rPr>
                <w:rFonts w:cs="Arial"/>
              </w:rPr>
            </w:pPr>
            <w:r w:rsidRPr="00FA62DB">
              <w:rPr>
                <w:rFonts w:cs="Arial"/>
              </w:rPr>
              <w:t>The following appendices form part of our submission;</w:t>
            </w:r>
          </w:p>
          <w:p w:rsidR="00724227" w:rsidRPr="00FA62DB" w:rsidRDefault="00724227" w:rsidP="00D20784">
            <w:pPr>
              <w:rPr>
                <w:rFonts w:cs="Arial"/>
              </w:rPr>
            </w:pPr>
          </w:p>
          <w:p w:rsidR="00724227" w:rsidRPr="00FA62DB" w:rsidRDefault="00724227" w:rsidP="00D20784">
            <w:pPr>
              <w:rPr>
                <w:rFonts w:cs="Arial"/>
              </w:rPr>
            </w:pPr>
          </w:p>
          <w:p w:rsidR="00724227" w:rsidRPr="00FA62DB" w:rsidRDefault="00724227" w:rsidP="00D20784">
            <w:pPr>
              <w:rPr>
                <w:rFonts w:cs="Arial"/>
              </w:rPr>
            </w:pPr>
          </w:p>
          <w:p w:rsidR="00724227" w:rsidRPr="00FA62DB" w:rsidRDefault="00724227" w:rsidP="00D20784">
            <w:pPr>
              <w:rPr>
                <w:rFonts w:cs="Arial"/>
              </w:rPr>
            </w:pPr>
          </w:p>
        </w:tc>
      </w:tr>
      <w:tr w:rsidR="00724227" w:rsidRPr="00FA62DB" w:rsidTr="00D20784">
        <w:trPr>
          <w:trHeight w:val="500"/>
        </w:trPr>
        <w:tc>
          <w:tcPr>
            <w:tcW w:w="910" w:type="dxa"/>
          </w:tcPr>
          <w:p w:rsidR="00724227" w:rsidRPr="00FA62DB" w:rsidRDefault="008A1531" w:rsidP="00D20784">
            <w:pPr>
              <w:rPr>
                <w:rFonts w:cs="Arial"/>
              </w:rPr>
            </w:pPr>
            <w:r>
              <w:rPr>
                <w:rFonts w:cs="Arial"/>
              </w:rPr>
              <w:t>7</w:t>
            </w:r>
            <w:r w:rsidR="00724227" w:rsidRPr="00FA62DB">
              <w:rPr>
                <w:rFonts w:cs="Arial"/>
              </w:rPr>
              <w:t>.1</w:t>
            </w:r>
          </w:p>
        </w:tc>
        <w:tc>
          <w:tcPr>
            <w:tcW w:w="2742" w:type="dxa"/>
          </w:tcPr>
          <w:p w:rsidR="00724227" w:rsidRPr="00FA62DB" w:rsidRDefault="00724227" w:rsidP="00D20784">
            <w:pPr>
              <w:rPr>
                <w:rFonts w:cs="Arial"/>
              </w:rPr>
            </w:pPr>
            <w:r w:rsidRPr="00FA62DB">
              <w:rPr>
                <w:rFonts w:cs="Arial"/>
              </w:rPr>
              <w:t>Name</w:t>
            </w:r>
          </w:p>
        </w:tc>
        <w:tc>
          <w:tcPr>
            <w:tcW w:w="6316" w:type="dxa"/>
          </w:tcPr>
          <w:p w:rsidR="00724227" w:rsidRPr="00FA62DB" w:rsidRDefault="00724227" w:rsidP="00D20784">
            <w:pPr>
              <w:rPr>
                <w:rFonts w:cs="Arial"/>
              </w:rPr>
            </w:pPr>
          </w:p>
        </w:tc>
      </w:tr>
      <w:tr w:rsidR="00724227" w:rsidRPr="00FA62DB" w:rsidTr="00D20784">
        <w:trPr>
          <w:trHeight w:val="500"/>
        </w:trPr>
        <w:tc>
          <w:tcPr>
            <w:tcW w:w="910" w:type="dxa"/>
          </w:tcPr>
          <w:p w:rsidR="00724227" w:rsidRPr="00FA62DB" w:rsidRDefault="008A1531" w:rsidP="00D20784">
            <w:pPr>
              <w:rPr>
                <w:rFonts w:cs="Arial"/>
              </w:rPr>
            </w:pPr>
            <w:r>
              <w:rPr>
                <w:rFonts w:cs="Arial"/>
              </w:rPr>
              <w:t>7</w:t>
            </w:r>
            <w:r w:rsidR="00724227" w:rsidRPr="00FA62DB">
              <w:rPr>
                <w:rFonts w:cs="Arial"/>
              </w:rPr>
              <w:t>.2</w:t>
            </w:r>
          </w:p>
        </w:tc>
        <w:tc>
          <w:tcPr>
            <w:tcW w:w="2742" w:type="dxa"/>
          </w:tcPr>
          <w:p w:rsidR="00724227" w:rsidRPr="00FA62DB" w:rsidRDefault="00724227" w:rsidP="00D20784">
            <w:pPr>
              <w:rPr>
                <w:rFonts w:cs="Arial"/>
              </w:rPr>
            </w:pPr>
            <w:r w:rsidRPr="00FA62DB">
              <w:rPr>
                <w:rFonts w:cs="Arial"/>
              </w:rPr>
              <w:t>Role in organisation</w:t>
            </w:r>
          </w:p>
        </w:tc>
        <w:tc>
          <w:tcPr>
            <w:tcW w:w="6316" w:type="dxa"/>
          </w:tcPr>
          <w:p w:rsidR="00724227" w:rsidRPr="00FA62DB" w:rsidRDefault="00724227" w:rsidP="00D20784">
            <w:pPr>
              <w:rPr>
                <w:rFonts w:cs="Arial"/>
              </w:rPr>
            </w:pPr>
          </w:p>
        </w:tc>
      </w:tr>
      <w:tr w:rsidR="00724227" w:rsidRPr="00FA62DB" w:rsidTr="00D20784">
        <w:trPr>
          <w:trHeight w:val="500"/>
        </w:trPr>
        <w:tc>
          <w:tcPr>
            <w:tcW w:w="910" w:type="dxa"/>
          </w:tcPr>
          <w:p w:rsidR="00724227" w:rsidRPr="00FA62DB" w:rsidRDefault="008A1531" w:rsidP="00D20784">
            <w:pPr>
              <w:rPr>
                <w:rFonts w:cs="Arial"/>
              </w:rPr>
            </w:pPr>
            <w:r>
              <w:rPr>
                <w:rFonts w:cs="Arial"/>
              </w:rPr>
              <w:t>7</w:t>
            </w:r>
            <w:r w:rsidR="00724227" w:rsidRPr="00FA62DB">
              <w:rPr>
                <w:rFonts w:cs="Arial"/>
              </w:rPr>
              <w:t>.3</w:t>
            </w:r>
          </w:p>
        </w:tc>
        <w:tc>
          <w:tcPr>
            <w:tcW w:w="2742" w:type="dxa"/>
          </w:tcPr>
          <w:p w:rsidR="00724227" w:rsidRPr="00FA62DB" w:rsidRDefault="00724227" w:rsidP="00D20784">
            <w:pPr>
              <w:rPr>
                <w:rFonts w:cs="Arial"/>
              </w:rPr>
            </w:pPr>
            <w:r w:rsidRPr="00FA62DB">
              <w:rPr>
                <w:rFonts w:cs="Arial"/>
              </w:rPr>
              <w:t>Date</w:t>
            </w:r>
          </w:p>
        </w:tc>
        <w:tc>
          <w:tcPr>
            <w:tcW w:w="6316" w:type="dxa"/>
          </w:tcPr>
          <w:p w:rsidR="00724227" w:rsidRPr="00FA62DB" w:rsidRDefault="00724227" w:rsidP="00D20784">
            <w:pPr>
              <w:rPr>
                <w:rFonts w:cs="Arial"/>
              </w:rPr>
            </w:pPr>
          </w:p>
        </w:tc>
      </w:tr>
      <w:tr w:rsidR="00724227" w:rsidRPr="00FA62DB" w:rsidTr="00D20784">
        <w:trPr>
          <w:trHeight w:val="500"/>
        </w:trPr>
        <w:tc>
          <w:tcPr>
            <w:tcW w:w="910" w:type="dxa"/>
          </w:tcPr>
          <w:p w:rsidR="00724227" w:rsidRPr="00FA62DB" w:rsidRDefault="008A1531" w:rsidP="00D20784">
            <w:pPr>
              <w:rPr>
                <w:rFonts w:cs="Arial"/>
              </w:rPr>
            </w:pPr>
            <w:r>
              <w:rPr>
                <w:rFonts w:cs="Arial"/>
              </w:rPr>
              <w:t>7</w:t>
            </w:r>
            <w:r w:rsidR="00724227" w:rsidRPr="00FA62DB">
              <w:rPr>
                <w:rFonts w:cs="Arial"/>
              </w:rPr>
              <w:t>.4</w:t>
            </w:r>
          </w:p>
        </w:tc>
        <w:tc>
          <w:tcPr>
            <w:tcW w:w="2742" w:type="dxa"/>
          </w:tcPr>
          <w:p w:rsidR="00724227" w:rsidRPr="00FA62DB" w:rsidRDefault="00724227" w:rsidP="00D20784">
            <w:pPr>
              <w:rPr>
                <w:rFonts w:cs="Arial"/>
              </w:rPr>
            </w:pPr>
            <w:r w:rsidRPr="00FA62DB">
              <w:rPr>
                <w:rFonts w:cs="Arial"/>
              </w:rPr>
              <w:t>Signature</w:t>
            </w:r>
          </w:p>
        </w:tc>
        <w:tc>
          <w:tcPr>
            <w:tcW w:w="6316" w:type="dxa"/>
          </w:tcPr>
          <w:p w:rsidR="00724227" w:rsidRPr="00FA62DB" w:rsidRDefault="00724227" w:rsidP="00D20784">
            <w:pPr>
              <w:rPr>
                <w:rFonts w:cs="Arial"/>
              </w:rPr>
            </w:pPr>
          </w:p>
        </w:tc>
      </w:tr>
    </w:tbl>
    <w:p w:rsidR="00724227" w:rsidRPr="00FA62DB" w:rsidRDefault="00724227" w:rsidP="00724227">
      <w:pPr>
        <w:rPr>
          <w:rFonts w:cs="Arial"/>
        </w:rPr>
      </w:pPr>
    </w:p>
    <w:p w:rsidR="00724227" w:rsidRPr="00FA62DB" w:rsidRDefault="00724227" w:rsidP="00724227">
      <w:pPr>
        <w:rPr>
          <w:rFonts w:cs="Arial"/>
        </w:rPr>
      </w:pPr>
    </w:p>
    <w:p w:rsidR="00724227" w:rsidRPr="00FA62DB" w:rsidRDefault="00724227" w:rsidP="00724227">
      <w:pPr>
        <w:rPr>
          <w:rFonts w:cs="Arial"/>
        </w:rPr>
      </w:pPr>
    </w:p>
    <w:p w:rsidR="00724227" w:rsidRPr="00FA62DB" w:rsidRDefault="00724227" w:rsidP="00724227">
      <w:pPr>
        <w:rPr>
          <w:rFonts w:cs="Arial"/>
        </w:rPr>
      </w:pPr>
    </w:p>
    <w:p w:rsidR="00724227" w:rsidRPr="00FA62DB" w:rsidRDefault="00724227" w:rsidP="00724227">
      <w:pPr>
        <w:rPr>
          <w:rFonts w:cs="Arial"/>
        </w:rPr>
      </w:pPr>
    </w:p>
    <w:p w:rsidR="00724227" w:rsidRPr="00FA62DB" w:rsidRDefault="00724227" w:rsidP="00724227">
      <w:pPr>
        <w:rPr>
          <w:rFonts w:cs="Arial"/>
        </w:rPr>
      </w:pPr>
    </w:p>
    <w:p w:rsidR="00724227" w:rsidRPr="00FA62DB" w:rsidRDefault="00724227" w:rsidP="00724227">
      <w:pPr>
        <w:rPr>
          <w:rFonts w:cs="Arial"/>
        </w:rPr>
      </w:pPr>
    </w:p>
    <w:p w:rsidR="00724227" w:rsidRPr="00FA62DB" w:rsidRDefault="00724227" w:rsidP="00724227">
      <w:pPr>
        <w:rPr>
          <w:rFonts w:cs="Arial"/>
        </w:rPr>
      </w:pPr>
    </w:p>
    <w:p w:rsidR="00724227" w:rsidRPr="00FA62DB" w:rsidRDefault="00724227" w:rsidP="00724227">
      <w:pPr>
        <w:rPr>
          <w:rFonts w:cs="Arial"/>
        </w:rPr>
      </w:pPr>
    </w:p>
    <w:p w:rsidR="00724227" w:rsidRPr="00FA62DB" w:rsidRDefault="00724227" w:rsidP="00724227">
      <w:pPr>
        <w:keepNext/>
        <w:jc w:val="center"/>
        <w:rPr>
          <w:rFonts w:cs="Arial"/>
        </w:rPr>
      </w:pPr>
      <w:r w:rsidRPr="00FA62DB">
        <w:rPr>
          <w:rFonts w:eastAsia="Arial" w:cs="Arial"/>
          <w:b/>
          <w:u w:val="single"/>
        </w:rPr>
        <w:lastRenderedPageBreak/>
        <w:t>Template for Appendices</w:t>
      </w:r>
    </w:p>
    <w:p w:rsidR="00724227" w:rsidRPr="00FA62DB" w:rsidRDefault="00724227" w:rsidP="00724227">
      <w:pPr>
        <w:keepNext/>
        <w:jc w:val="center"/>
        <w:rPr>
          <w:rFonts w:cs="Arial"/>
        </w:rP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724227" w:rsidRPr="00FA62DB" w:rsidTr="00D20784">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keepNext/>
              <w:rPr>
                <w:rFonts w:cs="Arial"/>
              </w:rPr>
            </w:pPr>
            <w:r w:rsidRPr="00FA62DB">
              <w:rPr>
                <w:rFonts w:eastAsia="Arial" w:cs="Arial"/>
                <w:b/>
              </w:rPr>
              <w:t>Appendix Number -</w:t>
            </w:r>
          </w:p>
        </w:tc>
      </w:tr>
      <w:tr w:rsidR="00724227" w:rsidRPr="00FA62DB" w:rsidTr="00D20784">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keepNext/>
              <w:rPr>
                <w:rFonts w:cs="Arial"/>
              </w:rPr>
            </w:pPr>
            <w:r>
              <w:rPr>
                <w:rFonts w:eastAsia="Arial" w:cs="Arial"/>
                <w:b/>
              </w:rPr>
              <w:t>Suitability assessment s</w:t>
            </w:r>
            <w:r w:rsidRPr="00FA62DB">
              <w:rPr>
                <w:rFonts w:eastAsia="Arial" w:cs="Arial"/>
                <w:b/>
              </w:rPr>
              <w:t>ection -</w:t>
            </w:r>
          </w:p>
        </w:tc>
      </w:tr>
      <w:tr w:rsidR="00724227" w:rsidRPr="00FA62DB" w:rsidTr="00D20784">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keepNext/>
              <w:rPr>
                <w:rFonts w:cs="Arial"/>
              </w:rPr>
            </w:pPr>
            <w:r w:rsidRPr="00FA62DB">
              <w:rPr>
                <w:rFonts w:eastAsia="Arial" w:cs="Arial"/>
                <w:b/>
              </w:rPr>
              <w:t>Question number -</w:t>
            </w:r>
          </w:p>
        </w:tc>
      </w:tr>
      <w:tr w:rsidR="00724227" w:rsidRPr="00FA62DB" w:rsidTr="00D20784">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p w:rsidR="00724227" w:rsidRPr="00FA62DB" w:rsidRDefault="00724227" w:rsidP="00D20784">
            <w:pPr>
              <w:keepNext/>
              <w:jc w:val="center"/>
              <w:rPr>
                <w:rFonts w:cs="Arial"/>
              </w:rPr>
            </w:pPr>
          </w:p>
        </w:tc>
      </w:tr>
    </w:tbl>
    <w:p w:rsidR="005B547E" w:rsidRDefault="005B547E"/>
    <w:sectPr w:rsidR="005B547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6F5" w:rsidRDefault="001076F5" w:rsidP="001076F5">
      <w:r>
        <w:separator/>
      </w:r>
    </w:p>
  </w:endnote>
  <w:endnote w:type="continuationSeparator" w:id="0">
    <w:p w:rsidR="001076F5" w:rsidRDefault="001076F5" w:rsidP="0010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501312"/>
      <w:docPartObj>
        <w:docPartGallery w:val="Page Numbers (Bottom of Page)"/>
        <w:docPartUnique/>
      </w:docPartObj>
    </w:sdtPr>
    <w:sdtEndPr>
      <w:rPr>
        <w:noProof/>
      </w:rPr>
    </w:sdtEndPr>
    <w:sdtContent>
      <w:p w:rsidR="00BE0CB6" w:rsidRDefault="00BE0CB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1076F5" w:rsidRDefault="00107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6F5" w:rsidRDefault="001076F5" w:rsidP="001076F5">
      <w:r>
        <w:separator/>
      </w:r>
    </w:p>
  </w:footnote>
  <w:footnote w:type="continuationSeparator" w:id="0">
    <w:p w:rsidR="001076F5" w:rsidRDefault="001076F5" w:rsidP="00107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3DD5"/>
    <w:multiLevelType w:val="hybridMultilevel"/>
    <w:tmpl w:val="3E3009A8"/>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6461A7"/>
    <w:multiLevelType w:val="multilevel"/>
    <w:tmpl w:val="D6262BA6"/>
    <w:lvl w:ilvl="0">
      <w:start w:val="1"/>
      <w:numFmt w:val="lowerLetter"/>
      <w:lvlText w:val="(%1)"/>
      <w:lvlJc w:val="left"/>
      <w:pPr>
        <w:ind w:left="360" w:firstLine="0"/>
      </w:pPr>
      <w:rPr>
        <w:rFonts w:hint="default"/>
      </w:rPr>
    </w:lvl>
    <w:lvl w:ilvl="1">
      <w:start w:val="1"/>
      <w:numFmt w:val="lowerRoman"/>
      <w:lvlText w:val="(%2)"/>
      <w:lvlJc w:val="left"/>
      <w:pPr>
        <w:ind w:left="2520" w:firstLine="0"/>
      </w:pPr>
      <w:rPr>
        <w:rFonts w:ascii="Calibri" w:eastAsia="Calibri" w:hAnsi="Calibri" w:cs="Calibri" w:hint="default"/>
      </w:rPr>
    </w:lvl>
    <w:lvl w:ilvl="2">
      <w:start w:val="1"/>
      <w:numFmt w:val="lowerRoman"/>
      <w:lvlText w:val="%3."/>
      <w:lvlJc w:val="right"/>
      <w:pPr>
        <w:ind w:left="4860" w:firstLine="0"/>
      </w:pPr>
      <w:rPr>
        <w:rFonts w:hint="default"/>
      </w:rPr>
    </w:lvl>
    <w:lvl w:ilvl="3">
      <w:start w:val="1"/>
      <w:numFmt w:val="decimal"/>
      <w:lvlText w:val="%4."/>
      <w:lvlJc w:val="left"/>
      <w:pPr>
        <w:ind w:left="6840" w:firstLine="0"/>
      </w:pPr>
      <w:rPr>
        <w:rFonts w:hint="default"/>
      </w:rPr>
    </w:lvl>
    <w:lvl w:ilvl="4">
      <w:start w:val="1"/>
      <w:numFmt w:val="lowerLetter"/>
      <w:lvlText w:val="%5."/>
      <w:lvlJc w:val="left"/>
      <w:pPr>
        <w:ind w:left="9000" w:firstLine="0"/>
      </w:pPr>
      <w:rPr>
        <w:rFonts w:hint="default"/>
      </w:rPr>
    </w:lvl>
    <w:lvl w:ilvl="5">
      <w:start w:val="1"/>
      <w:numFmt w:val="lowerRoman"/>
      <w:lvlText w:val="%6."/>
      <w:lvlJc w:val="right"/>
      <w:pPr>
        <w:ind w:left="11340" w:firstLine="0"/>
      </w:pPr>
      <w:rPr>
        <w:rFonts w:hint="default"/>
      </w:rPr>
    </w:lvl>
    <w:lvl w:ilvl="6">
      <w:start w:val="1"/>
      <w:numFmt w:val="decimal"/>
      <w:lvlText w:val="%7."/>
      <w:lvlJc w:val="left"/>
      <w:pPr>
        <w:ind w:left="13320" w:firstLine="0"/>
      </w:pPr>
      <w:rPr>
        <w:rFonts w:hint="default"/>
      </w:rPr>
    </w:lvl>
    <w:lvl w:ilvl="7">
      <w:start w:val="1"/>
      <w:numFmt w:val="lowerLetter"/>
      <w:lvlText w:val="%8."/>
      <w:lvlJc w:val="left"/>
      <w:pPr>
        <w:ind w:left="15480" w:firstLine="0"/>
      </w:pPr>
      <w:rPr>
        <w:rFonts w:hint="default"/>
      </w:rPr>
    </w:lvl>
    <w:lvl w:ilvl="8">
      <w:start w:val="1"/>
      <w:numFmt w:val="lowerRoman"/>
      <w:lvlText w:val="%9."/>
      <w:lvlJc w:val="right"/>
      <w:pPr>
        <w:ind w:left="17820" w:firstLine="0"/>
      </w:pPr>
      <w:rPr>
        <w:rFonts w:hint="default"/>
      </w:rPr>
    </w:lvl>
  </w:abstractNum>
  <w:abstractNum w:abstractNumId="2">
    <w:nsid w:val="3CCA5B78"/>
    <w:multiLevelType w:val="multilevel"/>
    <w:tmpl w:val="D6262BA6"/>
    <w:lvl w:ilvl="0">
      <w:start w:val="1"/>
      <w:numFmt w:val="lowerLetter"/>
      <w:lvlText w:val="(%1)"/>
      <w:lvlJc w:val="left"/>
      <w:pPr>
        <w:ind w:left="360" w:firstLine="0"/>
      </w:pPr>
      <w:rPr>
        <w:rFonts w:hint="default"/>
      </w:rPr>
    </w:lvl>
    <w:lvl w:ilvl="1">
      <w:start w:val="1"/>
      <w:numFmt w:val="lowerRoman"/>
      <w:lvlText w:val="(%2)"/>
      <w:lvlJc w:val="left"/>
      <w:pPr>
        <w:ind w:left="2520" w:firstLine="0"/>
      </w:pPr>
      <w:rPr>
        <w:rFonts w:ascii="Calibri" w:eastAsia="Calibri" w:hAnsi="Calibri" w:cs="Calibri" w:hint="default"/>
      </w:rPr>
    </w:lvl>
    <w:lvl w:ilvl="2">
      <w:start w:val="1"/>
      <w:numFmt w:val="lowerRoman"/>
      <w:lvlText w:val="%3."/>
      <w:lvlJc w:val="right"/>
      <w:pPr>
        <w:ind w:left="4860" w:firstLine="0"/>
      </w:pPr>
      <w:rPr>
        <w:rFonts w:hint="default"/>
      </w:rPr>
    </w:lvl>
    <w:lvl w:ilvl="3">
      <w:start w:val="1"/>
      <w:numFmt w:val="decimal"/>
      <w:lvlText w:val="%4."/>
      <w:lvlJc w:val="left"/>
      <w:pPr>
        <w:ind w:left="6840" w:firstLine="0"/>
      </w:pPr>
      <w:rPr>
        <w:rFonts w:hint="default"/>
      </w:rPr>
    </w:lvl>
    <w:lvl w:ilvl="4">
      <w:start w:val="1"/>
      <w:numFmt w:val="lowerLetter"/>
      <w:lvlText w:val="%5."/>
      <w:lvlJc w:val="left"/>
      <w:pPr>
        <w:ind w:left="9000" w:firstLine="0"/>
      </w:pPr>
      <w:rPr>
        <w:rFonts w:hint="default"/>
      </w:rPr>
    </w:lvl>
    <w:lvl w:ilvl="5">
      <w:start w:val="1"/>
      <w:numFmt w:val="lowerRoman"/>
      <w:lvlText w:val="%6."/>
      <w:lvlJc w:val="right"/>
      <w:pPr>
        <w:ind w:left="11340" w:firstLine="0"/>
      </w:pPr>
      <w:rPr>
        <w:rFonts w:hint="default"/>
      </w:rPr>
    </w:lvl>
    <w:lvl w:ilvl="6">
      <w:start w:val="1"/>
      <w:numFmt w:val="decimal"/>
      <w:lvlText w:val="%7."/>
      <w:lvlJc w:val="left"/>
      <w:pPr>
        <w:ind w:left="13320" w:firstLine="0"/>
      </w:pPr>
      <w:rPr>
        <w:rFonts w:hint="default"/>
      </w:rPr>
    </w:lvl>
    <w:lvl w:ilvl="7">
      <w:start w:val="1"/>
      <w:numFmt w:val="lowerLetter"/>
      <w:lvlText w:val="%8."/>
      <w:lvlJc w:val="left"/>
      <w:pPr>
        <w:ind w:left="15480" w:firstLine="0"/>
      </w:pPr>
      <w:rPr>
        <w:rFonts w:hint="default"/>
      </w:rPr>
    </w:lvl>
    <w:lvl w:ilvl="8">
      <w:start w:val="1"/>
      <w:numFmt w:val="lowerRoman"/>
      <w:lvlText w:val="%9."/>
      <w:lvlJc w:val="right"/>
      <w:pPr>
        <w:ind w:left="17820" w:firstLine="0"/>
      </w:pPr>
      <w:rPr>
        <w:rFonts w:hint="default"/>
      </w:rPr>
    </w:lvl>
  </w:abstractNum>
  <w:abstractNum w:abstractNumId="3">
    <w:nsid w:val="5DF54496"/>
    <w:multiLevelType w:val="hybridMultilevel"/>
    <w:tmpl w:val="E1B2E7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64306296"/>
    <w:multiLevelType w:val="multilevel"/>
    <w:tmpl w:val="AA840AC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nsid w:val="65BD62D7"/>
    <w:multiLevelType w:val="hybridMultilevel"/>
    <w:tmpl w:val="0D1C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27"/>
    <w:rsid w:val="001076F5"/>
    <w:rsid w:val="005B547E"/>
    <w:rsid w:val="0066153A"/>
    <w:rsid w:val="00724227"/>
    <w:rsid w:val="008A1531"/>
    <w:rsid w:val="00B625A4"/>
    <w:rsid w:val="00BE0CB6"/>
    <w:rsid w:val="00F45E5A"/>
    <w:rsid w:val="00F5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2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2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24227"/>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724227"/>
    <w:pPr>
      <w:ind w:left="720"/>
    </w:pPr>
    <w:rPr>
      <w:rFonts w:cs="Arial"/>
      <w:sz w:val="24"/>
      <w:szCs w:val="24"/>
    </w:rPr>
  </w:style>
  <w:style w:type="character" w:customStyle="1" w:styleId="ListParagraphChar">
    <w:name w:val="List Paragraph Char"/>
    <w:link w:val="ListParagraph"/>
    <w:uiPriority w:val="34"/>
    <w:locked/>
    <w:rsid w:val="00724227"/>
    <w:rPr>
      <w:rFonts w:ascii="Arial" w:eastAsia="Times New Roman" w:hAnsi="Arial" w:cs="Arial"/>
      <w:sz w:val="24"/>
      <w:szCs w:val="24"/>
    </w:rPr>
  </w:style>
  <w:style w:type="paragraph" w:styleId="BalloonText">
    <w:name w:val="Balloon Text"/>
    <w:basedOn w:val="Normal"/>
    <w:link w:val="BalloonTextChar"/>
    <w:uiPriority w:val="99"/>
    <w:semiHidden/>
    <w:unhideWhenUsed/>
    <w:rsid w:val="00F547AA"/>
    <w:rPr>
      <w:rFonts w:ascii="Tahoma" w:hAnsi="Tahoma" w:cs="Tahoma"/>
      <w:sz w:val="16"/>
      <w:szCs w:val="16"/>
    </w:rPr>
  </w:style>
  <w:style w:type="character" w:customStyle="1" w:styleId="BalloonTextChar">
    <w:name w:val="Balloon Text Char"/>
    <w:basedOn w:val="DefaultParagraphFont"/>
    <w:link w:val="BalloonText"/>
    <w:uiPriority w:val="99"/>
    <w:semiHidden/>
    <w:rsid w:val="00F547A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153A"/>
    <w:rPr>
      <w:sz w:val="16"/>
      <w:szCs w:val="16"/>
    </w:rPr>
  </w:style>
  <w:style w:type="paragraph" w:styleId="CommentText">
    <w:name w:val="annotation text"/>
    <w:basedOn w:val="Normal"/>
    <w:link w:val="CommentTextChar"/>
    <w:uiPriority w:val="99"/>
    <w:semiHidden/>
    <w:unhideWhenUsed/>
    <w:rsid w:val="0066153A"/>
    <w:rPr>
      <w:sz w:val="20"/>
      <w:szCs w:val="20"/>
    </w:rPr>
  </w:style>
  <w:style w:type="character" w:customStyle="1" w:styleId="CommentTextChar">
    <w:name w:val="Comment Text Char"/>
    <w:basedOn w:val="DefaultParagraphFont"/>
    <w:link w:val="CommentText"/>
    <w:uiPriority w:val="99"/>
    <w:semiHidden/>
    <w:rsid w:val="0066153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153A"/>
    <w:rPr>
      <w:b/>
      <w:bCs/>
    </w:rPr>
  </w:style>
  <w:style w:type="character" w:customStyle="1" w:styleId="CommentSubjectChar">
    <w:name w:val="Comment Subject Char"/>
    <w:basedOn w:val="CommentTextChar"/>
    <w:link w:val="CommentSubject"/>
    <w:uiPriority w:val="99"/>
    <w:semiHidden/>
    <w:rsid w:val="0066153A"/>
    <w:rPr>
      <w:rFonts w:ascii="Arial" w:eastAsia="Times New Roman" w:hAnsi="Arial" w:cs="Times New Roman"/>
      <w:b/>
      <w:bCs/>
      <w:sz w:val="20"/>
      <w:szCs w:val="20"/>
    </w:rPr>
  </w:style>
  <w:style w:type="paragraph" w:styleId="Header">
    <w:name w:val="header"/>
    <w:basedOn w:val="Normal"/>
    <w:link w:val="HeaderChar"/>
    <w:uiPriority w:val="99"/>
    <w:unhideWhenUsed/>
    <w:rsid w:val="001076F5"/>
    <w:pPr>
      <w:tabs>
        <w:tab w:val="center" w:pos="4513"/>
        <w:tab w:val="right" w:pos="9026"/>
      </w:tabs>
    </w:pPr>
  </w:style>
  <w:style w:type="character" w:customStyle="1" w:styleId="HeaderChar">
    <w:name w:val="Header Char"/>
    <w:basedOn w:val="DefaultParagraphFont"/>
    <w:link w:val="Header"/>
    <w:uiPriority w:val="99"/>
    <w:rsid w:val="001076F5"/>
    <w:rPr>
      <w:rFonts w:ascii="Arial" w:eastAsia="Times New Roman" w:hAnsi="Arial" w:cs="Times New Roman"/>
    </w:rPr>
  </w:style>
  <w:style w:type="paragraph" w:styleId="Footer">
    <w:name w:val="footer"/>
    <w:basedOn w:val="Normal"/>
    <w:link w:val="FooterChar"/>
    <w:uiPriority w:val="99"/>
    <w:unhideWhenUsed/>
    <w:rsid w:val="001076F5"/>
    <w:pPr>
      <w:tabs>
        <w:tab w:val="center" w:pos="4513"/>
        <w:tab w:val="right" w:pos="9026"/>
      </w:tabs>
    </w:pPr>
  </w:style>
  <w:style w:type="character" w:customStyle="1" w:styleId="FooterChar">
    <w:name w:val="Footer Char"/>
    <w:basedOn w:val="DefaultParagraphFont"/>
    <w:link w:val="Footer"/>
    <w:uiPriority w:val="99"/>
    <w:rsid w:val="001076F5"/>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2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2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24227"/>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724227"/>
    <w:pPr>
      <w:ind w:left="720"/>
    </w:pPr>
    <w:rPr>
      <w:rFonts w:cs="Arial"/>
      <w:sz w:val="24"/>
      <w:szCs w:val="24"/>
    </w:rPr>
  </w:style>
  <w:style w:type="character" w:customStyle="1" w:styleId="ListParagraphChar">
    <w:name w:val="List Paragraph Char"/>
    <w:link w:val="ListParagraph"/>
    <w:uiPriority w:val="34"/>
    <w:locked/>
    <w:rsid w:val="00724227"/>
    <w:rPr>
      <w:rFonts w:ascii="Arial" w:eastAsia="Times New Roman" w:hAnsi="Arial" w:cs="Arial"/>
      <w:sz w:val="24"/>
      <w:szCs w:val="24"/>
    </w:rPr>
  </w:style>
  <w:style w:type="paragraph" w:styleId="BalloonText">
    <w:name w:val="Balloon Text"/>
    <w:basedOn w:val="Normal"/>
    <w:link w:val="BalloonTextChar"/>
    <w:uiPriority w:val="99"/>
    <w:semiHidden/>
    <w:unhideWhenUsed/>
    <w:rsid w:val="00F547AA"/>
    <w:rPr>
      <w:rFonts w:ascii="Tahoma" w:hAnsi="Tahoma" w:cs="Tahoma"/>
      <w:sz w:val="16"/>
      <w:szCs w:val="16"/>
    </w:rPr>
  </w:style>
  <w:style w:type="character" w:customStyle="1" w:styleId="BalloonTextChar">
    <w:name w:val="Balloon Text Char"/>
    <w:basedOn w:val="DefaultParagraphFont"/>
    <w:link w:val="BalloonText"/>
    <w:uiPriority w:val="99"/>
    <w:semiHidden/>
    <w:rsid w:val="00F547A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153A"/>
    <w:rPr>
      <w:sz w:val="16"/>
      <w:szCs w:val="16"/>
    </w:rPr>
  </w:style>
  <w:style w:type="paragraph" w:styleId="CommentText">
    <w:name w:val="annotation text"/>
    <w:basedOn w:val="Normal"/>
    <w:link w:val="CommentTextChar"/>
    <w:uiPriority w:val="99"/>
    <w:semiHidden/>
    <w:unhideWhenUsed/>
    <w:rsid w:val="0066153A"/>
    <w:rPr>
      <w:sz w:val="20"/>
      <w:szCs w:val="20"/>
    </w:rPr>
  </w:style>
  <w:style w:type="character" w:customStyle="1" w:styleId="CommentTextChar">
    <w:name w:val="Comment Text Char"/>
    <w:basedOn w:val="DefaultParagraphFont"/>
    <w:link w:val="CommentText"/>
    <w:uiPriority w:val="99"/>
    <w:semiHidden/>
    <w:rsid w:val="0066153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153A"/>
    <w:rPr>
      <w:b/>
      <w:bCs/>
    </w:rPr>
  </w:style>
  <w:style w:type="character" w:customStyle="1" w:styleId="CommentSubjectChar">
    <w:name w:val="Comment Subject Char"/>
    <w:basedOn w:val="CommentTextChar"/>
    <w:link w:val="CommentSubject"/>
    <w:uiPriority w:val="99"/>
    <w:semiHidden/>
    <w:rsid w:val="0066153A"/>
    <w:rPr>
      <w:rFonts w:ascii="Arial" w:eastAsia="Times New Roman" w:hAnsi="Arial" w:cs="Times New Roman"/>
      <w:b/>
      <w:bCs/>
      <w:sz w:val="20"/>
      <w:szCs w:val="20"/>
    </w:rPr>
  </w:style>
  <w:style w:type="paragraph" w:styleId="Header">
    <w:name w:val="header"/>
    <w:basedOn w:val="Normal"/>
    <w:link w:val="HeaderChar"/>
    <w:uiPriority w:val="99"/>
    <w:unhideWhenUsed/>
    <w:rsid w:val="001076F5"/>
    <w:pPr>
      <w:tabs>
        <w:tab w:val="center" w:pos="4513"/>
        <w:tab w:val="right" w:pos="9026"/>
      </w:tabs>
    </w:pPr>
  </w:style>
  <w:style w:type="character" w:customStyle="1" w:styleId="HeaderChar">
    <w:name w:val="Header Char"/>
    <w:basedOn w:val="DefaultParagraphFont"/>
    <w:link w:val="Header"/>
    <w:uiPriority w:val="99"/>
    <w:rsid w:val="001076F5"/>
    <w:rPr>
      <w:rFonts w:ascii="Arial" w:eastAsia="Times New Roman" w:hAnsi="Arial" w:cs="Times New Roman"/>
    </w:rPr>
  </w:style>
  <w:style w:type="paragraph" w:styleId="Footer">
    <w:name w:val="footer"/>
    <w:basedOn w:val="Normal"/>
    <w:link w:val="FooterChar"/>
    <w:uiPriority w:val="99"/>
    <w:unhideWhenUsed/>
    <w:rsid w:val="001076F5"/>
    <w:pPr>
      <w:tabs>
        <w:tab w:val="center" w:pos="4513"/>
        <w:tab w:val="right" w:pos="9026"/>
      </w:tabs>
    </w:pPr>
  </w:style>
  <w:style w:type="character" w:customStyle="1" w:styleId="FooterChar">
    <w:name w:val="Footer Char"/>
    <w:basedOn w:val="DefaultParagraphFont"/>
    <w:link w:val="Footer"/>
    <w:uiPriority w:val="99"/>
    <w:rsid w:val="001076F5"/>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7084-E683-4046-94F3-2990A98C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Nettleship, David</dc:creator>
  <cp:lastModifiedBy>Nettleship, David</cp:lastModifiedBy>
  <cp:revision>5</cp:revision>
  <cp:lastPrinted>2016-06-16T16:00:00Z</cp:lastPrinted>
  <dcterms:created xsi:type="dcterms:W3CDTF">2016-06-29T07:21:00Z</dcterms:created>
  <dcterms:modified xsi:type="dcterms:W3CDTF">2016-06-29T13:31:00Z</dcterms:modified>
</cp:coreProperties>
</file>