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43" w:rsidRDefault="00DB5B43">
      <w:pPr>
        <w:ind w:left="-142"/>
        <w:rPr>
          <w:rFonts w:ascii="Arial" w:eastAsia="Arial" w:hAnsi="Arial" w:cs="Arial"/>
          <w:sz w:val="22"/>
          <w:szCs w:val="22"/>
        </w:rPr>
      </w:pPr>
    </w:p>
    <w:p w:rsidR="00DB5B43" w:rsidRDefault="00DB5B43">
      <w:pPr>
        <w:ind w:left="-142"/>
        <w:rPr>
          <w:rFonts w:ascii="Arial" w:eastAsia="Arial" w:hAnsi="Arial" w:cs="Arial"/>
          <w:sz w:val="22"/>
          <w:szCs w:val="22"/>
        </w:rPr>
      </w:pPr>
    </w:p>
    <w:p w:rsidR="00DB5B43" w:rsidRDefault="00390B5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Contract Notice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Authorised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Customer List RM6142</w:t>
      </w:r>
      <w:r>
        <w:rPr>
          <w:rFonts w:ascii="Arial" w:eastAsia="Arial" w:hAnsi="Arial" w:cs="Arial"/>
          <w:b/>
          <w:sz w:val="22"/>
          <w:szCs w:val="22"/>
        </w:rPr>
        <w:br/>
      </w:r>
      <w:r>
        <w:rPr>
          <w:rFonts w:ascii="Arial" w:eastAsia="Arial" w:hAnsi="Arial" w:cs="Arial"/>
          <w:b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Lot 1 is a single award Framework Agreement</w:t>
      </w:r>
      <w:r w:rsidR="008D387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 use by the Blue Light Emergency Services</w:t>
      </w:r>
      <w:r w:rsidR="008D387C">
        <w:rPr>
          <w:rFonts w:ascii="Arial" w:eastAsia="Arial" w:hAnsi="Arial" w:cs="Arial"/>
          <w:sz w:val="22"/>
          <w:szCs w:val="22"/>
        </w:rPr>
        <w:t xml:space="preserve"> Contracting Authorities (“Blue Light Buyers”) in the United Kingdom, British Overseas Territories, and Crown Dependencies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DB5B43" w:rsidRDefault="00DB5B43">
      <w:pPr>
        <w:rPr>
          <w:rFonts w:ascii="Arial" w:eastAsia="Arial" w:hAnsi="Arial" w:cs="Arial"/>
          <w:sz w:val="22"/>
          <w:szCs w:val="22"/>
        </w:rPr>
      </w:pP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Lot 2 and Lot 3 are multi-supplier Framework Agreements for use by the Blue Light Emergency Services, all UK Central Government Departments, their Arm's Length Bodies and agencies, Non-Ministerial Departments and Executive </w:t>
      </w:r>
      <w:r w:rsidR="00E6400F">
        <w:rPr>
          <w:rFonts w:ascii="Arial" w:eastAsia="Arial" w:hAnsi="Arial" w:cs="Arial"/>
          <w:sz w:val="22"/>
          <w:szCs w:val="22"/>
        </w:rPr>
        <w:t xml:space="preserve">Agencies; </w:t>
      </w:r>
      <w:r w:rsidR="00E6400F" w:rsidRPr="00E81D03">
        <w:rPr>
          <w:rFonts w:ascii="Arial" w:eastAsia="Arial" w:hAnsi="Arial" w:cs="Arial"/>
          <w:sz w:val="22"/>
          <w:szCs w:val="22"/>
        </w:rPr>
        <w:t>British</w:t>
      </w:r>
      <w:r w:rsidRPr="00E81D03">
        <w:rPr>
          <w:rFonts w:ascii="Arial" w:eastAsia="Arial" w:hAnsi="Arial" w:cs="Arial"/>
          <w:sz w:val="22"/>
          <w:szCs w:val="22"/>
        </w:rPr>
        <w:t xml:space="preserve"> Overseas Territories, and Crown Dependencies; and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the Wider Public Sector.</w:t>
      </w:r>
    </w:p>
    <w:p w:rsidR="00DB5B43" w:rsidRDefault="00DB5B43">
      <w:pPr>
        <w:rPr>
          <w:rFonts w:ascii="Arial" w:eastAsia="Arial" w:hAnsi="Arial" w:cs="Arial"/>
          <w:b/>
          <w:sz w:val="22"/>
          <w:szCs w:val="22"/>
        </w:rPr>
      </w:pPr>
    </w:p>
    <w:p w:rsidR="00DB5B43" w:rsidRDefault="00390B5C">
      <w:pPr>
        <w:rPr>
          <w:rFonts w:ascii="Arial" w:eastAsia="Arial" w:hAnsi="Arial" w:cs="Arial"/>
          <w:sz w:val="22"/>
          <w:szCs w:val="22"/>
          <w:highlight w:val="white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>Lot 2 and Lot 3 of this Framework Agreement RM</w:t>
      </w:r>
      <w:r w:rsidR="00E6400F">
        <w:rPr>
          <w:rFonts w:ascii="Arial" w:eastAsia="Arial" w:hAnsi="Arial" w:cs="Arial"/>
          <w:sz w:val="22"/>
          <w:szCs w:val="22"/>
        </w:rPr>
        <w:t>6142 is</w:t>
      </w:r>
      <w:r>
        <w:rPr>
          <w:rFonts w:ascii="Arial" w:eastAsia="Arial" w:hAnsi="Arial" w:cs="Arial"/>
          <w:sz w:val="22"/>
          <w:szCs w:val="22"/>
        </w:rPr>
        <w:t xml:space="preserve"> for use by Contracting Authorities (“Buyers”) in the United Kingdom, British Overseas Territories, and Crown </w:t>
      </w:r>
      <w:r w:rsidR="00E6400F">
        <w:rPr>
          <w:rFonts w:ascii="Arial" w:eastAsia="Arial" w:hAnsi="Arial" w:cs="Arial"/>
          <w:sz w:val="22"/>
          <w:szCs w:val="22"/>
        </w:rPr>
        <w:t>Dependencies, that</w:t>
      </w:r>
      <w:r>
        <w:rPr>
          <w:rFonts w:ascii="Arial" w:eastAsia="Arial" w:hAnsi="Arial" w:cs="Arial"/>
          <w:sz w:val="22"/>
          <w:szCs w:val="22"/>
        </w:rPr>
        <w:t xml:space="preserve"> exist on 1</w:t>
      </w:r>
      <w:r w:rsidR="00390626"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/02/2021, and which fall into one or more of the following categories: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DB5B43" w:rsidRDefault="00390B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Any of the following Customers, and any of their successors: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Ministerial government departments;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Non ministerial government departments;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Executive agencies of government; 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Non-Departmental Public Bodies (NDPBs), including advisory NDPBs, executive NDPBs, and tribunal NDPBs;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Assembly Sponsored Public Bodies (ASPBs);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Police forces;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Fire and rescue services;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Ambulance services;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Maritime and coastguard agency services;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NHS bodies;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Hospices;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National Parks;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Housing associations, including registered social landlords;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Third sector and charities;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Citizens advice bodies;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corporations;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financial bodies or institutions;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pension funds;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Central banks; and</w:t>
      </w:r>
    </w:p>
    <w:p w:rsidR="00DB5B43" w:rsidRDefault="00390B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Civil service bodies, including public sector buying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organisations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    Those listed and maintained by the Government on their website at </w:t>
      </w:r>
      <w:hyperlink r:id="rId8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https://www.gov.uk/government/organisations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or any replacement or updated web-link.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3.    Those listed and maintained by the Office of National Statistics (ONS) at: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Public sector classification guide and forward work plan</w:t>
        </w:r>
      </w:hyperlink>
      <w:r>
        <w:rPr>
          <w:rFonts w:ascii="Arial" w:eastAsia="Arial" w:hAnsi="Arial" w:cs="Arial"/>
          <w:sz w:val="22"/>
          <w:szCs w:val="22"/>
        </w:rPr>
        <w:t xml:space="preserve">  </w:t>
      </w:r>
      <w:hyperlink r:id="rId10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https://www.ons.gov.uk/file?uri=/methodology/classificationsandstandards/economicstatisticsclassifications/introductiontoeconomicstatisticsclassifications/pscgdec20.xls</w:t>
        </w:r>
      </w:hyperlink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or any replacement or updated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web-link.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    Those bodies in England, Wales or Northern Ireland which are within the scope of the definition of “Contracting Authority” in regulation 2(1) of the Public Contracts Regulations 2015 (PCR) and/or Schedule 1 PCR. </w:t>
      </w:r>
      <w:r>
        <w:rPr>
          <w:rFonts w:ascii="Arial" w:eastAsia="Arial" w:hAnsi="Arial" w:cs="Arial"/>
          <w:strike/>
          <w:color w:val="000000"/>
          <w:sz w:val="22"/>
          <w:szCs w:val="22"/>
        </w:rPr>
        <w:t xml:space="preserve"> </w:t>
      </w: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sz w:val="22"/>
          <w:szCs w:val="22"/>
        </w:rPr>
      </w:pP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 w:hanging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    Entities which are not public sector bodies may also use the Framework Agreement if the Authority is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satisfied that: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— such entity is calling off Goods and Services directly, solely and exclusively in order to satisfy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contractual obligations to one (1) or more public sector bodies, all of which are entitled to use the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Framework Agreements on their own account;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— all Goods and Services to be called-off by it are to be used directly, solely and exclusively to provide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energy at sites occupied by such public sector body(</w:t>
      </w:r>
      <w:proofErr w:type="spellStart"/>
      <w:r>
        <w:rPr>
          <w:rFonts w:ascii="Arial" w:eastAsia="Arial" w:hAnsi="Arial" w:cs="Arial"/>
          <w:sz w:val="22"/>
          <w:szCs w:val="22"/>
        </w:rPr>
        <w:t>ies</w:t>
      </w:r>
      <w:proofErr w:type="spellEnd"/>
      <w:r>
        <w:rPr>
          <w:rFonts w:ascii="Arial" w:eastAsia="Arial" w:hAnsi="Arial" w:cs="Arial"/>
          <w:sz w:val="22"/>
          <w:szCs w:val="22"/>
        </w:rPr>
        <w:t>); and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— it will pass the benefit of the Call-Off Contract to such public sector body(</w:t>
      </w:r>
      <w:proofErr w:type="spellStart"/>
      <w:r>
        <w:rPr>
          <w:rFonts w:ascii="Arial" w:eastAsia="Arial" w:hAnsi="Arial" w:cs="Arial"/>
          <w:sz w:val="22"/>
          <w:szCs w:val="22"/>
        </w:rPr>
        <w:t>ies</w:t>
      </w:r>
      <w:proofErr w:type="spellEnd"/>
      <w:r>
        <w:rPr>
          <w:rFonts w:ascii="Arial" w:eastAsia="Arial" w:hAnsi="Arial" w:cs="Arial"/>
          <w:sz w:val="22"/>
          <w:szCs w:val="22"/>
        </w:rPr>
        <w:t>) directly, in full and on a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purely ‘pass-through’ basis. </w:t>
      </w:r>
      <w:proofErr w:type="gramStart"/>
      <w:r>
        <w:rPr>
          <w:rFonts w:ascii="Arial" w:eastAsia="Arial" w:hAnsi="Arial" w:cs="Arial"/>
          <w:sz w:val="22"/>
          <w:szCs w:val="22"/>
        </w:rPr>
        <w:t>Accordingly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there must be no mark-up, management fee, service charge or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any similar cost solely in relation to the supply of energy imposed on the relevant public sector body(</w:t>
      </w:r>
      <w:proofErr w:type="spellStart"/>
      <w:r>
        <w:rPr>
          <w:rFonts w:ascii="Arial" w:eastAsia="Arial" w:hAnsi="Arial" w:cs="Arial"/>
          <w:sz w:val="22"/>
          <w:szCs w:val="22"/>
        </w:rPr>
        <w:t>ies</w:t>
      </w:r>
      <w:proofErr w:type="spellEnd"/>
      <w:r>
        <w:rPr>
          <w:rFonts w:ascii="Arial" w:eastAsia="Arial" w:hAnsi="Arial" w:cs="Arial"/>
          <w:sz w:val="22"/>
          <w:szCs w:val="22"/>
        </w:rPr>
        <w:t>), who must be able to benefit from the terms of the Framework Agreements in a like manner and to the same extent as if using the Framework Agreements on its/their own account.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 Framework Agreement will also be accessible for use by any corporation established, or a group of individuals appointed to act together, for the specific purpose of meeting needs in the general interest, not having an industrial or commercial character, and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financed wholly or mainly by another Contracting Authority (included in this </w:t>
      </w:r>
      <w:proofErr w:type="spellStart"/>
      <w:r>
        <w:rPr>
          <w:rFonts w:ascii="Arial" w:eastAsia="Arial" w:hAnsi="Arial" w:cs="Arial"/>
          <w:sz w:val="22"/>
          <w:szCs w:val="22"/>
        </w:rPr>
        <w:t>authorised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customer list) 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(ii) subject to management supervision by another Contracting Authority (included in this </w:t>
      </w:r>
      <w:proofErr w:type="spellStart"/>
      <w:r>
        <w:rPr>
          <w:rFonts w:ascii="Arial" w:eastAsia="Arial" w:hAnsi="Arial" w:cs="Arial"/>
          <w:sz w:val="22"/>
          <w:szCs w:val="22"/>
        </w:rPr>
        <w:t>authorised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customer </w:t>
      </w:r>
      <w:proofErr w:type="spellStart"/>
      <w:r>
        <w:rPr>
          <w:rFonts w:ascii="Arial" w:eastAsia="Arial" w:hAnsi="Arial" w:cs="Arial"/>
          <w:sz w:val="22"/>
          <w:szCs w:val="22"/>
        </w:rPr>
        <w:t>lis</w:t>
      </w:r>
      <w:proofErr w:type="spellEnd"/>
      <w:r>
        <w:rPr>
          <w:rFonts w:ascii="Arial" w:eastAsia="Arial" w:hAnsi="Arial" w:cs="Arial"/>
          <w:sz w:val="22"/>
          <w:szCs w:val="22"/>
        </w:rPr>
        <w:t>); or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(iii) more than half of the board of directors or members of which, or, in the case of a group of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individuals, more than half of those individuals, are appointed by another Contracting Authority (included in this </w:t>
      </w:r>
      <w:proofErr w:type="spellStart"/>
      <w:r>
        <w:rPr>
          <w:rFonts w:ascii="Arial" w:eastAsia="Arial" w:hAnsi="Arial" w:cs="Arial"/>
          <w:sz w:val="22"/>
          <w:szCs w:val="22"/>
        </w:rPr>
        <w:t>authorised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customer list);</w:t>
      </w:r>
    </w:p>
    <w:p w:rsidR="00DB5B43" w:rsidRDefault="00390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(iv) an association of or formed by one (1) or more of the Contracting Authorities (included in this </w:t>
      </w:r>
      <w:proofErr w:type="spellStart"/>
      <w:r>
        <w:rPr>
          <w:rFonts w:ascii="Arial" w:eastAsia="Arial" w:hAnsi="Arial" w:cs="Arial"/>
          <w:sz w:val="22"/>
          <w:szCs w:val="22"/>
        </w:rPr>
        <w:t>authorised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customer list).</w:t>
      </w: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z w:val="22"/>
          <w:szCs w:val="22"/>
        </w:rPr>
      </w:pP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z w:val="22"/>
          <w:szCs w:val="22"/>
        </w:rPr>
      </w:pP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sz w:val="22"/>
          <w:szCs w:val="22"/>
        </w:rPr>
      </w:pP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sz w:val="22"/>
          <w:szCs w:val="22"/>
        </w:rPr>
      </w:pPr>
    </w:p>
    <w:sectPr w:rsidR="00DB5B43">
      <w:footerReference w:type="default" r:id="rId11"/>
      <w:headerReference w:type="first" r:id="rId12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EAF" w:rsidRDefault="00C31EAF">
      <w:r>
        <w:separator/>
      </w:r>
    </w:p>
  </w:endnote>
  <w:endnote w:type="continuationSeparator" w:id="0">
    <w:p w:rsidR="00C31EAF" w:rsidRDefault="00C3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B43" w:rsidRDefault="00390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80418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DB5B43" w:rsidRDefault="00DB5B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EAF" w:rsidRDefault="00C31EAF">
      <w:r>
        <w:separator/>
      </w:r>
    </w:p>
  </w:footnote>
  <w:footnote w:type="continuationSeparator" w:id="0">
    <w:p w:rsidR="00C31EAF" w:rsidRDefault="00C3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B43" w:rsidRDefault="00390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485900" cy="1234440"/>
          <wp:effectExtent l="0" t="0" r="0" b="0"/>
          <wp:docPr id="2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5FEA"/>
    <w:multiLevelType w:val="multilevel"/>
    <w:tmpl w:val="CB8427D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1FD37F4"/>
    <w:multiLevelType w:val="multilevel"/>
    <w:tmpl w:val="B810B5D6"/>
    <w:lvl w:ilvl="0">
      <w:start w:val="1"/>
      <w:numFmt w:val="decimal"/>
      <w:lvlText w:val="%1."/>
      <w:lvlJc w:val="left"/>
      <w:pPr>
        <w:ind w:left="970" w:hanging="6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43"/>
    <w:rsid w:val="00180418"/>
    <w:rsid w:val="00390626"/>
    <w:rsid w:val="00390B5C"/>
    <w:rsid w:val="008D387C"/>
    <w:rsid w:val="00C31EAF"/>
    <w:rsid w:val="00C87C6E"/>
    <w:rsid w:val="00DB5B43"/>
    <w:rsid w:val="00E6400F"/>
    <w:rsid w:val="00E81D03"/>
    <w:rsid w:val="00F6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B475D-CA0B-43C6-B19E-9AD9F037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uz-Cyrl-U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ns.gov.uk/file?uri=/methodology/classificationsandstandards/economicstatisticsclassifications/introductiontoeconomicstatisticsclassifications/pscgdec20.x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s.gov.uk/methodology/classificationsandstandards/economicstatisticsclassifications/introductiontoeconomicstatisticsclassifica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7t8Y/fo2DCvUoQpYMAtUSfBvBQ==">AMUW2mVba+gwajAei4dS1btBkkUzB3nkycwSZUZlhvtMHCVPf8DXKNZqGb9xPjdIyznaiuFpKb4K06US5sXbY7frTavrXfuCWmctoEsR9bqEXtCAvj4s4RDwJ34S5mKjbW5GBiuz8sZI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Berriman</dc:creator>
  <cp:lastModifiedBy>Sarah Morris</cp:lastModifiedBy>
  <cp:revision>10</cp:revision>
  <dcterms:created xsi:type="dcterms:W3CDTF">2021-02-07T07:29:00Z</dcterms:created>
  <dcterms:modified xsi:type="dcterms:W3CDTF">2021-02-09T10:39:00Z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