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A07" w:rsidRDefault="00F52A07" w:rsidP="00F52A07">
      <w:pPr>
        <w:pStyle w:val="Default"/>
        <w:jc w:val="center"/>
        <w:rPr>
          <w:rFonts w:asciiTheme="minorHAnsi" w:hAnsiTheme="minorHAnsi" w:cstheme="minorHAnsi"/>
        </w:rPr>
      </w:pPr>
    </w:p>
    <w:p w:rsidR="00F52A07" w:rsidRDefault="00F52A07" w:rsidP="00F52A07">
      <w:pPr>
        <w:pStyle w:val="Default"/>
        <w:jc w:val="center"/>
        <w:rPr>
          <w:rFonts w:asciiTheme="minorHAnsi" w:hAnsiTheme="minorHAnsi" w:cstheme="minorHAnsi"/>
        </w:rPr>
      </w:pPr>
    </w:p>
    <w:p w:rsidR="00F52A07" w:rsidRDefault="00F52A07" w:rsidP="00F52A07">
      <w:pPr>
        <w:pStyle w:val="Default"/>
        <w:jc w:val="center"/>
        <w:rPr>
          <w:rFonts w:asciiTheme="minorHAnsi" w:hAnsiTheme="minorHAnsi" w:cstheme="minorHAnsi"/>
        </w:rPr>
      </w:pPr>
    </w:p>
    <w:p w:rsidR="00F52A07" w:rsidRDefault="00F52A07" w:rsidP="00F52A07">
      <w:pPr>
        <w:pStyle w:val="Default"/>
        <w:jc w:val="center"/>
        <w:rPr>
          <w:rFonts w:asciiTheme="minorHAnsi" w:hAnsiTheme="minorHAnsi" w:cstheme="minorHAnsi"/>
        </w:rPr>
      </w:pPr>
    </w:p>
    <w:p w:rsidR="00F52A07" w:rsidRDefault="00F52A07" w:rsidP="00F52A07">
      <w:pPr>
        <w:pStyle w:val="Default"/>
        <w:jc w:val="center"/>
        <w:rPr>
          <w:rFonts w:asciiTheme="minorHAnsi" w:hAnsiTheme="minorHAnsi" w:cstheme="minorHAnsi"/>
        </w:rPr>
      </w:pPr>
    </w:p>
    <w:p w:rsidR="00F52A07" w:rsidRDefault="00F52A07" w:rsidP="00F52A07">
      <w:pPr>
        <w:pStyle w:val="Default"/>
        <w:jc w:val="center"/>
        <w:rPr>
          <w:rFonts w:asciiTheme="minorHAnsi" w:hAnsiTheme="minorHAnsi" w:cstheme="minorHAnsi"/>
        </w:rPr>
      </w:pPr>
    </w:p>
    <w:p w:rsidR="00F52A07" w:rsidRPr="00F52A07" w:rsidRDefault="00F52A07" w:rsidP="00F52A07">
      <w:pPr>
        <w:pStyle w:val="Default"/>
        <w:jc w:val="center"/>
        <w:rPr>
          <w:rFonts w:asciiTheme="minorHAnsi" w:hAnsiTheme="minorHAnsi" w:cstheme="minorHAnsi"/>
          <w:sz w:val="40"/>
          <w:szCs w:val="40"/>
        </w:rPr>
      </w:pPr>
    </w:p>
    <w:p w:rsidR="00F52A07" w:rsidRDefault="00F52A07" w:rsidP="00F52A07">
      <w:pPr>
        <w:pStyle w:val="Default"/>
        <w:jc w:val="center"/>
        <w:rPr>
          <w:rFonts w:asciiTheme="minorHAnsi" w:hAnsiTheme="minorHAnsi" w:cstheme="minorHAnsi"/>
          <w:b/>
          <w:sz w:val="40"/>
          <w:szCs w:val="40"/>
        </w:rPr>
      </w:pPr>
      <w:r w:rsidRPr="00F52A07">
        <w:rPr>
          <w:rFonts w:asciiTheme="minorHAnsi" w:hAnsiTheme="minorHAnsi" w:cstheme="minorHAnsi"/>
          <w:b/>
          <w:sz w:val="40"/>
          <w:szCs w:val="40"/>
        </w:rPr>
        <w:t xml:space="preserve">Summative Assessment of </w:t>
      </w:r>
    </w:p>
    <w:p w:rsidR="00EE6873" w:rsidRPr="00F52A07" w:rsidRDefault="00F52A07" w:rsidP="00F52A07">
      <w:pPr>
        <w:pStyle w:val="Default"/>
        <w:jc w:val="center"/>
        <w:rPr>
          <w:rFonts w:asciiTheme="minorHAnsi" w:hAnsiTheme="minorHAnsi" w:cstheme="minorHAnsi"/>
          <w:b/>
          <w:sz w:val="40"/>
          <w:szCs w:val="40"/>
        </w:rPr>
      </w:pPr>
      <w:r w:rsidRPr="00F52A07">
        <w:rPr>
          <w:rFonts w:asciiTheme="minorHAnsi" w:hAnsiTheme="minorHAnsi" w:cstheme="minorHAnsi"/>
          <w:b/>
          <w:sz w:val="40"/>
          <w:szCs w:val="40"/>
        </w:rPr>
        <w:t>Enterprising West of England (EWOE)</w:t>
      </w:r>
    </w:p>
    <w:p w:rsidR="00F52A07" w:rsidRPr="00F52A07" w:rsidRDefault="00F52A07" w:rsidP="00F52A07">
      <w:pPr>
        <w:pStyle w:val="Default"/>
        <w:jc w:val="center"/>
        <w:rPr>
          <w:rFonts w:asciiTheme="minorHAnsi" w:hAnsiTheme="minorHAnsi" w:cstheme="minorHAnsi"/>
          <w:b/>
          <w:sz w:val="40"/>
          <w:szCs w:val="40"/>
        </w:rPr>
      </w:pPr>
      <w:r w:rsidRPr="00F52A07">
        <w:rPr>
          <w:rFonts w:asciiTheme="minorHAnsi" w:hAnsiTheme="minorHAnsi" w:cstheme="minorHAnsi"/>
          <w:b/>
          <w:sz w:val="40"/>
          <w:szCs w:val="40"/>
        </w:rPr>
        <w:t>Call for proposals</w:t>
      </w:r>
    </w:p>
    <w:p w:rsidR="00F52A07" w:rsidRPr="00F52A07" w:rsidRDefault="00F52A07" w:rsidP="00F52A07">
      <w:pPr>
        <w:jc w:val="center"/>
        <w:rPr>
          <w:rFonts w:cstheme="minorHAnsi"/>
          <w:b/>
          <w:sz w:val="40"/>
          <w:szCs w:val="40"/>
        </w:rPr>
      </w:pPr>
      <w:r w:rsidRPr="00F52A07">
        <w:rPr>
          <w:rFonts w:cstheme="minorHAnsi"/>
          <w:b/>
          <w:sz w:val="40"/>
          <w:szCs w:val="40"/>
        </w:rPr>
        <w:t>April 2019</w:t>
      </w:r>
    </w:p>
    <w:p w:rsidR="00C665BE" w:rsidRPr="001B6D81" w:rsidRDefault="00F52A07" w:rsidP="00EE6873">
      <w:pPr>
        <w:rPr>
          <w:rFonts w:cstheme="minorHAnsi"/>
          <w:b/>
          <w:bCs/>
          <w:sz w:val="48"/>
          <w:szCs w:val="48"/>
        </w:rPr>
      </w:pPr>
      <w:r>
        <w:rPr>
          <w:rFonts w:cstheme="minorHAnsi"/>
        </w:rPr>
        <w:br w:type="page"/>
      </w:r>
      <w:r w:rsidR="000F4F6D">
        <w:rPr>
          <w:rFonts w:cstheme="minorHAnsi"/>
          <w:b/>
          <w:bCs/>
          <w:sz w:val="48"/>
          <w:szCs w:val="48"/>
        </w:rPr>
        <w:lastRenderedPageBreak/>
        <w:t>PART ONE: T</w:t>
      </w:r>
      <w:r w:rsidR="00EE6873" w:rsidRPr="001B6D81">
        <w:rPr>
          <w:rFonts w:cstheme="minorHAnsi"/>
          <w:b/>
          <w:bCs/>
          <w:sz w:val="48"/>
          <w:szCs w:val="48"/>
        </w:rPr>
        <w:t>ender Specification</w:t>
      </w:r>
    </w:p>
    <w:tbl>
      <w:tblPr>
        <w:tblpPr w:leftFromText="180" w:rightFromText="180" w:vertAnchor="text" w:horzAnchor="margin" w:tblpY="401"/>
        <w:tblW w:w="9346" w:type="dxa"/>
        <w:tblLook w:val="04A0" w:firstRow="1" w:lastRow="0" w:firstColumn="1" w:lastColumn="0" w:noHBand="0" w:noVBand="1"/>
      </w:tblPr>
      <w:tblGrid>
        <w:gridCol w:w="2210"/>
        <w:gridCol w:w="7136"/>
      </w:tblGrid>
      <w:tr w:rsidR="00C90017" w:rsidRPr="001B6D81" w:rsidTr="000C2C91">
        <w:trPr>
          <w:trHeight w:val="375"/>
        </w:trPr>
        <w:tc>
          <w:tcPr>
            <w:tcW w:w="0" w:type="auto"/>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bottom"/>
            <w:hideMark/>
          </w:tcPr>
          <w:p w:rsidR="00A850C7" w:rsidRPr="001B6D81" w:rsidRDefault="00A850C7" w:rsidP="00A850C7">
            <w:pPr>
              <w:spacing w:after="0" w:line="240" w:lineRule="auto"/>
              <w:rPr>
                <w:rFonts w:eastAsia="Times New Roman" w:cstheme="minorHAnsi"/>
                <w:b/>
                <w:bCs/>
                <w:color w:val="FFFFFF" w:themeColor="background1"/>
                <w:sz w:val="28"/>
                <w:szCs w:val="24"/>
                <w:lang w:eastAsia="en-GB"/>
              </w:rPr>
            </w:pPr>
            <w:r w:rsidRPr="001B6D81">
              <w:rPr>
                <w:rFonts w:eastAsia="Times New Roman" w:cstheme="minorHAnsi"/>
                <w:b/>
                <w:bCs/>
                <w:color w:val="FFFFFF" w:themeColor="background1"/>
                <w:sz w:val="28"/>
                <w:szCs w:val="24"/>
                <w:lang w:eastAsia="en-GB"/>
              </w:rPr>
              <w:t xml:space="preserve">Tender Title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850C7" w:rsidRPr="001B6D81" w:rsidRDefault="00C90017" w:rsidP="00A850C7">
            <w:pPr>
              <w:spacing w:after="0" w:line="240" w:lineRule="auto"/>
              <w:rPr>
                <w:rFonts w:eastAsia="Times New Roman" w:cstheme="minorHAnsi"/>
                <w:color w:val="000000"/>
                <w:sz w:val="24"/>
                <w:lang w:eastAsia="en-GB"/>
              </w:rPr>
            </w:pPr>
            <w:r w:rsidRPr="001B6D81">
              <w:rPr>
                <w:rFonts w:eastAsia="Times New Roman" w:cstheme="minorHAnsi"/>
                <w:color w:val="000000"/>
                <w:sz w:val="24"/>
                <w:lang w:eastAsia="en-GB"/>
              </w:rPr>
              <w:t>Enterprising West of England – Summative Assessment</w:t>
            </w:r>
            <w:r w:rsidR="00A850C7" w:rsidRPr="001B6D81">
              <w:rPr>
                <w:rFonts w:eastAsia="Times New Roman" w:cstheme="minorHAnsi"/>
                <w:color w:val="000000"/>
                <w:sz w:val="24"/>
                <w:lang w:eastAsia="en-GB"/>
              </w:rPr>
              <w:t xml:space="preserve"> </w:t>
            </w:r>
          </w:p>
        </w:tc>
      </w:tr>
      <w:tr w:rsidR="00C90017" w:rsidRPr="001B6D81" w:rsidTr="00752A4C">
        <w:trPr>
          <w:trHeight w:val="375"/>
        </w:trPr>
        <w:tc>
          <w:tcPr>
            <w:tcW w:w="0" w:type="auto"/>
            <w:tcBorders>
              <w:top w:val="nil"/>
              <w:left w:val="single" w:sz="4" w:space="0" w:color="auto"/>
              <w:bottom w:val="single" w:sz="4" w:space="0" w:color="auto"/>
              <w:right w:val="single" w:sz="4" w:space="0" w:color="auto"/>
            </w:tcBorders>
            <w:shd w:val="clear" w:color="auto" w:fill="1F4E79" w:themeFill="accent1" w:themeFillShade="80"/>
            <w:vAlign w:val="center"/>
            <w:hideMark/>
          </w:tcPr>
          <w:p w:rsidR="00A850C7" w:rsidRPr="001B6D81" w:rsidRDefault="00A850C7" w:rsidP="00A850C7">
            <w:pPr>
              <w:spacing w:after="0" w:line="240" w:lineRule="auto"/>
              <w:rPr>
                <w:rFonts w:eastAsia="Times New Roman" w:cstheme="minorHAnsi"/>
                <w:color w:val="FFFFFF" w:themeColor="background1"/>
                <w:sz w:val="28"/>
                <w:szCs w:val="24"/>
                <w:lang w:eastAsia="en-GB"/>
              </w:rPr>
            </w:pPr>
            <w:r w:rsidRPr="001B6D81">
              <w:rPr>
                <w:rFonts w:eastAsia="Times New Roman" w:cstheme="minorHAnsi"/>
                <w:color w:val="FFFFFF" w:themeColor="background1"/>
                <w:sz w:val="28"/>
                <w:szCs w:val="24"/>
                <w:lang w:eastAsia="en-GB"/>
              </w:rPr>
              <w:t xml:space="preserve"> </w:t>
            </w:r>
            <w:r w:rsidRPr="001B6D81">
              <w:rPr>
                <w:rFonts w:eastAsia="Times New Roman" w:cstheme="minorHAnsi"/>
                <w:b/>
                <w:bCs/>
                <w:color w:val="FFFFFF" w:themeColor="background1"/>
                <w:sz w:val="28"/>
                <w:szCs w:val="23"/>
                <w:lang w:eastAsia="en-GB"/>
              </w:rPr>
              <w:t xml:space="preserve">Closing Date </w:t>
            </w:r>
          </w:p>
        </w:tc>
        <w:tc>
          <w:tcPr>
            <w:tcW w:w="0" w:type="auto"/>
            <w:tcBorders>
              <w:top w:val="nil"/>
              <w:left w:val="nil"/>
              <w:bottom w:val="single" w:sz="4" w:space="0" w:color="auto"/>
              <w:right w:val="single" w:sz="4" w:space="0" w:color="auto"/>
            </w:tcBorders>
            <w:shd w:val="clear" w:color="auto" w:fill="auto"/>
            <w:noWrap/>
            <w:vAlign w:val="bottom"/>
            <w:hideMark/>
          </w:tcPr>
          <w:p w:rsidR="00A850C7" w:rsidRPr="001B6D81" w:rsidRDefault="00A92D50" w:rsidP="00A850C7">
            <w:pPr>
              <w:spacing w:after="0" w:line="240" w:lineRule="auto"/>
              <w:rPr>
                <w:rFonts w:eastAsia="Times New Roman" w:cstheme="minorHAnsi"/>
                <w:color w:val="000000"/>
                <w:sz w:val="24"/>
                <w:szCs w:val="23"/>
                <w:lang w:eastAsia="en-GB"/>
              </w:rPr>
            </w:pPr>
            <w:r>
              <w:rPr>
                <w:rFonts w:eastAsia="Times New Roman" w:cstheme="minorHAnsi"/>
                <w:color w:val="000000"/>
                <w:sz w:val="24"/>
                <w:szCs w:val="23"/>
                <w:lang w:eastAsia="en-GB"/>
              </w:rPr>
              <w:t>18</w:t>
            </w:r>
            <w:r w:rsidRPr="00A92D50">
              <w:rPr>
                <w:rFonts w:eastAsia="Times New Roman" w:cstheme="minorHAnsi"/>
                <w:color w:val="000000"/>
                <w:sz w:val="24"/>
                <w:szCs w:val="23"/>
                <w:vertAlign w:val="superscript"/>
                <w:lang w:eastAsia="en-GB"/>
              </w:rPr>
              <w:t>th</w:t>
            </w:r>
            <w:r>
              <w:rPr>
                <w:rFonts w:eastAsia="Times New Roman" w:cstheme="minorHAnsi"/>
                <w:color w:val="000000"/>
                <w:sz w:val="24"/>
                <w:szCs w:val="23"/>
                <w:lang w:eastAsia="en-GB"/>
              </w:rPr>
              <w:t xml:space="preserve"> May 2019</w:t>
            </w:r>
          </w:p>
        </w:tc>
      </w:tr>
    </w:tbl>
    <w:p w:rsidR="00E57F8D" w:rsidRPr="001B6D81" w:rsidRDefault="00E57F8D" w:rsidP="00A850C7">
      <w:pPr>
        <w:autoSpaceDE w:val="0"/>
        <w:autoSpaceDN w:val="0"/>
        <w:adjustRightInd w:val="0"/>
        <w:spacing w:after="0" w:line="240" w:lineRule="auto"/>
        <w:rPr>
          <w:rFonts w:cstheme="minorHAnsi"/>
          <w:color w:val="000000"/>
          <w:sz w:val="24"/>
          <w:szCs w:val="24"/>
        </w:rPr>
      </w:pPr>
    </w:p>
    <w:p w:rsidR="00C24625" w:rsidRPr="001B6D81" w:rsidRDefault="00C24625" w:rsidP="00D75036">
      <w:pPr>
        <w:autoSpaceDE w:val="0"/>
        <w:autoSpaceDN w:val="0"/>
        <w:adjustRightInd w:val="0"/>
        <w:spacing w:after="0" w:line="240" w:lineRule="auto"/>
        <w:rPr>
          <w:rFonts w:cstheme="minorHAnsi"/>
          <w:b/>
          <w:bCs/>
          <w:sz w:val="28"/>
          <w:szCs w:val="28"/>
        </w:rPr>
      </w:pPr>
    </w:p>
    <w:p w:rsidR="00D75036" w:rsidRPr="001B6D81" w:rsidRDefault="00D75036" w:rsidP="00D75036">
      <w:pPr>
        <w:autoSpaceDE w:val="0"/>
        <w:autoSpaceDN w:val="0"/>
        <w:adjustRightInd w:val="0"/>
        <w:spacing w:after="0" w:line="240" w:lineRule="auto"/>
        <w:rPr>
          <w:rFonts w:cstheme="minorHAnsi"/>
          <w:b/>
          <w:bCs/>
          <w:sz w:val="28"/>
          <w:szCs w:val="28"/>
        </w:rPr>
      </w:pPr>
      <w:r w:rsidRPr="001B6D81">
        <w:rPr>
          <w:rFonts w:cstheme="minorHAnsi"/>
          <w:b/>
          <w:bCs/>
          <w:sz w:val="28"/>
          <w:szCs w:val="28"/>
        </w:rPr>
        <w:t>Background</w:t>
      </w:r>
    </w:p>
    <w:p w:rsidR="00137D1A" w:rsidRPr="001B6D81" w:rsidRDefault="00137D1A" w:rsidP="00137D1A">
      <w:pPr>
        <w:autoSpaceDE w:val="0"/>
        <w:autoSpaceDN w:val="0"/>
        <w:adjustRightInd w:val="0"/>
        <w:spacing w:after="0" w:line="240" w:lineRule="auto"/>
        <w:jc w:val="both"/>
        <w:rPr>
          <w:rFonts w:cstheme="minorHAnsi"/>
          <w:sz w:val="23"/>
          <w:szCs w:val="23"/>
        </w:rPr>
      </w:pPr>
    </w:p>
    <w:p w:rsidR="000C2C91" w:rsidRPr="001B6D81" w:rsidRDefault="000C2C91" w:rsidP="000C2C91">
      <w:pPr>
        <w:autoSpaceDE w:val="0"/>
        <w:autoSpaceDN w:val="0"/>
        <w:adjustRightInd w:val="0"/>
        <w:spacing w:after="0" w:line="240" w:lineRule="auto"/>
        <w:jc w:val="both"/>
        <w:rPr>
          <w:rFonts w:cstheme="minorHAnsi"/>
          <w:sz w:val="23"/>
          <w:szCs w:val="23"/>
        </w:rPr>
      </w:pPr>
      <w:r w:rsidRPr="004C4C58">
        <w:rPr>
          <w:rFonts w:cstheme="minorHAnsi"/>
          <w:b/>
          <w:sz w:val="23"/>
          <w:szCs w:val="23"/>
        </w:rPr>
        <w:t>The 2014 to 2020 European Structural and Investment Funds</w:t>
      </w:r>
      <w:r w:rsidR="004C4C58" w:rsidRPr="004C4C58">
        <w:rPr>
          <w:rFonts w:cstheme="minorHAnsi"/>
          <w:b/>
          <w:sz w:val="23"/>
          <w:szCs w:val="23"/>
        </w:rPr>
        <w:t xml:space="preserve"> (ESIF)</w:t>
      </w:r>
      <w:r w:rsidRPr="001B6D81">
        <w:rPr>
          <w:rFonts w:cstheme="minorHAnsi"/>
          <w:sz w:val="23"/>
          <w:szCs w:val="23"/>
        </w:rPr>
        <w:t xml:space="preserve"> bring the European Regional Development Fund</w:t>
      </w:r>
      <w:r w:rsidR="004C4C58">
        <w:rPr>
          <w:rFonts w:cstheme="minorHAnsi"/>
          <w:sz w:val="23"/>
          <w:szCs w:val="23"/>
        </w:rPr>
        <w:t xml:space="preserve"> (ERDF)</w:t>
      </w:r>
      <w:r w:rsidRPr="001B6D81">
        <w:rPr>
          <w:rFonts w:cstheme="minorHAnsi"/>
          <w:sz w:val="23"/>
          <w:szCs w:val="23"/>
        </w:rPr>
        <w:t>, European Social Fund</w:t>
      </w:r>
      <w:r w:rsidR="004C4C58">
        <w:rPr>
          <w:rFonts w:cstheme="minorHAnsi"/>
          <w:sz w:val="23"/>
          <w:szCs w:val="23"/>
        </w:rPr>
        <w:t xml:space="preserve"> (ESF)</w:t>
      </w:r>
      <w:r w:rsidRPr="001B6D81">
        <w:rPr>
          <w:rFonts w:cstheme="minorHAnsi"/>
          <w:sz w:val="23"/>
          <w:szCs w:val="23"/>
        </w:rPr>
        <w:t xml:space="preserve"> and part of the European Agricultural Fund for Rural Development</w:t>
      </w:r>
      <w:r w:rsidR="004C4C58">
        <w:rPr>
          <w:rFonts w:cstheme="minorHAnsi"/>
          <w:sz w:val="23"/>
          <w:szCs w:val="23"/>
        </w:rPr>
        <w:t xml:space="preserve"> (EAFRD)</w:t>
      </w:r>
      <w:r w:rsidRPr="001B6D81">
        <w:rPr>
          <w:rFonts w:cstheme="minorHAnsi"/>
          <w:sz w:val="23"/>
          <w:szCs w:val="23"/>
        </w:rPr>
        <w:t xml:space="preserve"> together into a single European Union Structural and Investment Funds Growth Programme for England supporting the key growth priorities of innovation, research and development, support for Small and Medium sized Enterprises, low carbon, skills, employment, and social inclusion.</w:t>
      </w:r>
    </w:p>
    <w:p w:rsidR="000C2C91" w:rsidRPr="001B6D81" w:rsidRDefault="000C2C91" w:rsidP="000C2C91">
      <w:pPr>
        <w:autoSpaceDE w:val="0"/>
        <w:autoSpaceDN w:val="0"/>
        <w:adjustRightInd w:val="0"/>
        <w:spacing w:after="0" w:line="240" w:lineRule="auto"/>
        <w:jc w:val="both"/>
        <w:rPr>
          <w:rFonts w:cstheme="minorHAnsi"/>
          <w:sz w:val="23"/>
          <w:szCs w:val="23"/>
        </w:rPr>
      </w:pPr>
    </w:p>
    <w:p w:rsidR="000C2C91" w:rsidRPr="001B6D81" w:rsidRDefault="000C2C91" w:rsidP="000C2C91">
      <w:pPr>
        <w:autoSpaceDE w:val="0"/>
        <w:autoSpaceDN w:val="0"/>
        <w:adjustRightInd w:val="0"/>
        <w:spacing w:after="0" w:line="240" w:lineRule="auto"/>
        <w:jc w:val="both"/>
        <w:rPr>
          <w:rFonts w:cstheme="minorHAnsi"/>
          <w:sz w:val="23"/>
          <w:szCs w:val="23"/>
        </w:rPr>
      </w:pPr>
      <w:r w:rsidRPr="00A56BA1">
        <w:rPr>
          <w:rFonts w:cstheme="minorHAnsi"/>
          <w:b/>
          <w:sz w:val="23"/>
          <w:szCs w:val="23"/>
        </w:rPr>
        <w:t xml:space="preserve">The </w:t>
      </w:r>
      <w:r w:rsidRPr="00A56BA1">
        <w:rPr>
          <w:rFonts w:cstheme="minorHAnsi"/>
          <w:b/>
          <w:bCs/>
          <w:sz w:val="23"/>
          <w:szCs w:val="23"/>
        </w:rPr>
        <w:t>European</w:t>
      </w:r>
      <w:r w:rsidRPr="001B6D81">
        <w:rPr>
          <w:rFonts w:cstheme="minorHAnsi"/>
          <w:b/>
          <w:bCs/>
          <w:sz w:val="23"/>
          <w:szCs w:val="23"/>
        </w:rPr>
        <w:t xml:space="preserve"> Regional Development Fund Operational Pro</w:t>
      </w:r>
      <w:r w:rsidR="00C36387">
        <w:rPr>
          <w:rFonts w:cstheme="minorHAnsi"/>
          <w:b/>
          <w:bCs/>
          <w:sz w:val="23"/>
          <w:szCs w:val="23"/>
        </w:rPr>
        <w:t>gramme for England 2014 to 2020</w:t>
      </w:r>
      <w:r w:rsidR="00C36387">
        <w:rPr>
          <w:rStyle w:val="FootnoteReference"/>
          <w:rFonts w:cstheme="minorHAnsi"/>
          <w:b/>
          <w:bCs/>
          <w:sz w:val="23"/>
          <w:szCs w:val="23"/>
        </w:rPr>
        <w:footnoteReference w:id="1"/>
      </w:r>
      <w:r w:rsidR="00624B8A">
        <w:rPr>
          <w:rFonts w:cstheme="minorHAnsi"/>
          <w:b/>
          <w:bCs/>
          <w:sz w:val="23"/>
          <w:szCs w:val="23"/>
        </w:rPr>
        <w:t xml:space="preserve"> </w:t>
      </w:r>
      <w:r w:rsidRPr="001B6D81">
        <w:rPr>
          <w:rFonts w:cstheme="minorHAnsi"/>
          <w:sz w:val="23"/>
          <w:szCs w:val="23"/>
        </w:rPr>
        <w:t xml:space="preserve">sets out how the European Regional Development Fund will focus on investment to support economic growth and job creation. </w:t>
      </w:r>
      <w:r w:rsidRPr="001B6D81">
        <w:rPr>
          <w:rFonts w:cstheme="minorHAnsi"/>
          <w:b/>
          <w:bCs/>
          <w:sz w:val="23"/>
          <w:szCs w:val="23"/>
        </w:rPr>
        <w:t xml:space="preserve">Priority Axis 3 </w:t>
      </w:r>
      <w:r w:rsidRPr="001B6D81">
        <w:rPr>
          <w:rFonts w:cstheme="minorHAnsi"/>
          <w:sz w:val="23"/>
          <w:szCs w:val="23"/>
        </w:rPr>
        <w:t>of the Operational Programme aims to improve the competiveness of Small and Medium Sized Enterprises by increasing capacity and capability and promoting entrepreneurship</w:t>
      </w:r>
      <w:r w:rsidRPr="001B6D81">
        <w:rPr>
          <w:rStyle w:val="FootnoteReference"/>
          <w:rFonts w:cstheme="minorHAnsi"/>
          <w:sz w:val="23"/>
          <w:szCs w:val="23"/>
        </w:rPr>
        <w:footnoteReference w:id="2"/>
      </w:r>
      <w:r w:rsidRPr="001B6D81">
        <w:rPr>
          <w:rFonts w:cstheme="minorHAnsi"/>
          <w:sz w:val="23"/>
          <w:szCs w:val="23"/>
        </w:rPr>
        <w:t>.</w:t>
      </w:r>
    </w:p>
    <w:p w:rsidR="000C2C91" w:rsidRPr="001B6D81" w:rsidRDefault="000C2C91" w:rsidP="000C2C91">
      <w:pPr>
        <w:autoSpaceDE w:val="0"/>
        <w:autoSpaceDN w:val="0"/>
        <w:adjustRightInd w:val="0"/>
        <w:spacing w:after="0" w:line="240" w:lineRule="auto"/>
        <w:jc w:val="both"/>
        <w:rPr>
          <w:rFonts w:cstheme="minorHAnsi"/>
          <w:sz w:val="23"/>
          <w:szCs w:val="23"/>
        </w:rPr>
      </w:pPr>
    </w:p>
    <w:p w:rsidR="000C2C91" w:rsidRPr="001B6D81" w:rsidRDefault="000C2C91" w:rsidP="000C2C91">
      <w:pPr>
        <w:autoSpaceDE w:val="0"/>
        <w:autoSpaceDN w:val="0"/>
        <w:adjustRightInd w:val="0"/>
        <w:spacing w:after="0" w:line="240" w:lineRule="auto"/>
        <w:jc w:val="both"/>
        <w:rPr>
          <w:rFonts w:cstheme="minorHAnsi"/>
          <w:sz w:val="23"/>
          <w:szCs w:val="23"/>
        </w:rPr>
      </w:pPr>
      <w:r w:rsidRPr="001B6D81">
        <w:rPr>
          <w:rFonts w:cstheme="minorHAnsi"/>
          <w:sz w:val="23"/>
          <w:szCs w:val="23"/>
        </w:rPr>
        <w:t>In N</w:t>
      </w:r>
      <w:r w:rsidR="009E1E51">
        <w:rPr>
          <w:rFonts w:cstheme="minorHAnsi"/>
          <w:sz w:val="23"/>
          <w:szCs w:val="23"/>
        </w:rPr>
        <w:t>ovember 2015, on behalf of the N</w:t>
      </w:r>
      <w:r w:rsidRPr="001B6D81">
        <w:rPr>
          <w:rFonts w:cstheme="minorHAnsi"/>
          <w:sz w:val="23"/>
          <w:szCs w:val="23"/>
        </w:rPr>
        <w:t>ational Growth Programme Board, the Department for Communities and Local Government (the Managing Authority) invited applications seeking European Regional Development Fund support under Priority Axis</w:t>
      </w:r>
      <w:r w:rsidR="00752A4C" w:rsidRPr="001B6D81">
        <w:rPr>
          <w:rFonts w:cstheme="minorHAnsi"/>
          <w:sz w:val="23"/>
          <w:szCs w:val="23"/>
        </w:rPr>
        <w:t xml:space="preserve"> 3, specifically</w:t>
      </w:r>
      <w:r w:rsidRPr="001B6D81">
        <w:rPr>
          <w:rFonts w:cstheme="minorHAnsi"/>
          <w:sz w:val="23"/>
          <w:szCs w:val="23"/>
        </w:rPr>
        <w:t xml:space="preserve"> the following investment priorities:</w:t>
      </w:r>
    </w:p>
    <w:p w:rsidR="000C2C91" w:rsidRPr="001B6D81" w:rsidRDefault="000C2C91" w:rsidP="000C2C91">
      <w:pPr>
        <w:autoSpaceDE w:val="0"/>
        <w:autoSpaceDN w:val="0"/>
        <w:adjustRightInd w:val="0"/>
        <w:spacing w:after="0" w:line="240" w:lineRule="auto"/>
        <w:jc w:val="both"/>
        <w:rPr>
          <w:rFonts w:cstheme="minorHAnsi"/>
          <w:sz w:val="23"/>
          <w:szCs w:val="23"/>
        </w:rPr>
      </w:pPr>
    </w:p>
    <w:p w:rsidR="000C2C91" w:rsidRPr="001B6D81" w:rsidRDefault="000C2C91" w:rsidP="00752A4C">
      <w:pPr>
        <w:autoSpaceDE w:val="0"/>
        <w:autoSpaceDN w:val="0"/>
        <w:adjustRightInd w:val="0"/>
        <w:spacing w:after="0" w:line="240" w:lineRule="auto"/>
        <w:ind w:left="720" w:hanging="720"/>
        <w:jc w:val="both"/>
        <w:rPr>
          <w:rFonts w:cstheme="minorHAnsi"/>
          <w:sz w:val="23"/>
          <w:szCs w:val="23"/>
        </w:rPr>
      </w:pPr>
      <w:r w:rsidRPr="001B6D81">
        <w:rPr>
          <w:rFonts w:cstheme="minorHAnsi"/>
          <w:sz w:val="23"/>
          <w:szCs w:val="23"/>
        </w:rPr>
        <w:t xml:space="preserve">3a </w:t>
      </w:r>
      <w:r w:rsidRPr="001B6D81">
        <w:rPr>
          <w:rFonts w:cstheme="minorHAnsi"/>
          <w:sz w:val="23"/>
          <w:szCs w:val="23"/>
        </w:rPr>
        <w:tab/>
        <w:t xml:space="preserve">Promoting entrepreneurship, in particular by facilitating the economic exploitation of new ideas and fostering the creation of new firms, including through business incubators. </w:t>
      </w:r>
    </w:p>
    <w:p w:rsidR="000C2C91" w:rsidRPr="001B6D81" w:rsidRDefault="000C2C91" w:rsidP="00752A4C">
      <w:pPr>
        <w:autoSpaceDE w:val="0"/>
        <w:autoSpaceDN w:val="0"/>
        <w:adjustRightInd w:val="0"/>
        <w:spacing w:after="0" w:line="240" w:lineRule="auto"/>
        <w:ind w:left="720" w:hanging="720"/>
        <w:jc w:val="both"/>
        <w:rPr>
          <w:rFonts w:cstheme="minorHAnsi"/>
          <w:sz w:val="23"/>
          <w:szCs w:val="23"/>
        </w:rPr>
      </w:pPr>
      <w:r w:rsidRPr="001B6D81">
        <w:rPr>
          <w:rFonts w:cstheme="minorHAnsi"/>
          <w:sz w:val="23"/>
          <w:szCs w:val="23"/>
        </w:rPr>
        <w:t xml:space="preserve">3c </w:t>
      </w:r>
      <w:r w:rsidRPr="001B6D81">
        <w:rPr>
          <w:rFonts w:cstheme="minorHAnsi"/>
          <w:sz w:val="23"/>
          <w:szCs w:val="23"/>
        </w:rPr>
        <w:tab/>
        <w:t xml:space="preserve">Supporting the creation and the extension of advanced capacities for products, services and development. </w:t>
      </w:r>
    </w:p>
    <w:p w:rsidR="000C2C91" w:rsidRPr="001B6D81" w:rsidRDefault="000C2C91" w:rsidP="00752A4C">
      <w:pPr>
        <w:autoSpaceDE w:val="0"/>
        <w:autoSpaceDN w:val="0"/>
        <w:adjustRightInd w:val="0"/>
        <w:spacing w:after="0" w:line="240" w:lineRule="auto"/>
        <w:ind w:left="720" w:hanging="720"/>
        <w:jc w:val="both"/>
        <w:rPr>
          <w:rFonts w:cstheme="minorHAnsi"/>
          <w:sz w:val="23"/>
          <w:szCs w:val="23"/>
        </w:rPr>
      </w:pPr>
      <w:r w:rsidRPr="001B6D81">
        <w:rPr>
          <w:rFonts w:cstheme="minorHAnsi"/>
          <w:sz w:val="23"/>
          <w:szCs w:val="23"/>
        </w:rPr>
        <w:t xml:space="preserve">3d </w:t>
      </w:r>
      <w:r w:rsidRPr="001B6D81">
        <w:rPr>
          <w:rFonts w:cstheme="minorHAnsi"/>
          <w:sz w:val="23"/>
          <w:szCs w:val="23"/>
        </w:rPr>
        <w:tab/>
        <w:t>Supporting the capacity of Small and Medium Sized Enterprises to grow in regional, national and international markets and to engage in innovation processes</w:t>
      </w:r>
    </w:p>
    <w:p w:rsidR="000C2C91" w:rsidRPr="001B6D81" w:rsidRDefault="000C2C91" w:rsidP="000C2C91">
      <w:pPr>
        <w:autoSpaceDE w:val="0"/>
        <w:autoSpaceDN w:val="0"/>
        <w:adjustRightInd w:val="0"/>
        <w:spacing w:after="0" w:line="240" w:lineRule="auto"/>
        <w:jc w:val="both"/>
        <w:rPr>
          <w:rFonts w:cstheme="minorHAnsi"/>
          <w:sz w:val="23"/>
          <w:szCs w:val="23"/>
        </w:rPr>
      </w:pPr>
    </w:p>
    <w:p w:rsidR="00752A4C" w:rsidRPr="001B6D81" w:rsidRDefault="00752A4C" w:rsidP="00752A4C">
      <w:pPr>
        <w:pStyle w:val="Default"/>
        <w:jc w:val="both"/>
        <w:rPr>
          <w:rFonts w:asciiTheme="minorHAnsi" w:hAnsiTheme="minorHAnsi" w:cstheme="minorHAnsi"/>
          <w:sz w:val="23"/>
          <w:szCs w:val="23"/>
        </w:rPr>
      </w:pPr>
      <w:r w:rsidRPr="001B6D81">
        <w:rPr>
          <w:rFonts w:asciiTheme="minorHAnsi" w:hAnsiTheme="minorHAnsi" w:cstheme="minorHAnsi"/>
          <w:sz w:val="23"/>
          <w:szCs w:val="23"/>
        </w:rPr>
        <w:t xml:space="preserve">All applicants for funding were required to clearly demonstrate that the project would meet the requirement of, and make a meaningful contribution to, the delivery of the relevant Priority Axis of the European Regional Development Fund Operational Programme. </w:t>
      </w:r>
    </w:p>
    <w:p w:rsidR="00752A4C" w:rsidRPr="001B6D81" w:rsidRDefault="00752A4C" w:rsidP="00752A4C">
      <w:pPr>
        <w:autoSpaceDE w:val="0"/>
        <w:autoSpaceDN w:val="0"/>
        <w:adjustRightInd w:val="0"/>
        <w:spacing w:after="0" w:line="240" w:lineRule="auto"/>
        <w:jc w:val="both"/>
        <w:rPr>
          <w:rFonts w:cstheme="minorHAnsi"/>
          <w:sz w:val="23"/>
          <w:szCs w:val="23"/>
        </w:rPr>
      </w:pPr>
    </w:p>
    <w:p w:rsidR="002C233D" w:rsidRDefault="002C233D" w:rsidP="00752A4C">
      <w:pPr>
        <w:autoSpaceDE w:val="0"/>
        <w:autoSpaceDN w:val="0"/>
        <w:adjustRightInd w:val="0"/>
        <w:spacing w:after="0" w:line="240" w:lineRule="auto"/>
        <w:jc w:val="both"/>
        <w:rPr>
          <w:rFonts w:cstheme="minorHAnsi"/>
          <w:sz w:val="23"/>
          <w:szCs w:val="23"/>
        </w:rPr>
      </w:pPr>
    </w:p>
    <w:p w:rsidR="002C233D" w:rsidRDefault="002C233D" w:rsidP="00752A4C">
      <w:pPr>
        <w:autoSpaceDE w:val="0"/>
        <w:autoSpaceDN w:val="0"/>
        <w:adjustRightInd w:val="0"/>
        <w:spacing w:after="0" w:line="240" w:lineRule="auto"/>
        <w:jc w:val="both"/>
        <w:rPr>
          <w:rFonts w:cstheme="minorHAnsi"/>
          <w:sz w:val="23"/>
          <w:szCs w:val="23"/>
        </w:rPr>
      </w:pPr>
    </w:p>
    <w:p w:rsidR="002C233D" w:rsidRDefault="002C233D" w:rsidP="00752A4C">
      <w:pPr>
        <w:autoSpaceDE w:val="0"/>
        <w:autoSpaceDN w:val="0"/>
        <w:adjustRightInd w:val="0"/>
        <w:spacing w:after="0" w:line="240" w:lineRule="auto"/>
        <w:jc w:val="both"/>
        <w:rPr>
          <w:rFonts w:cstheme="minorHAnsi"/>
          <w:sz w:val="23"/>
          <w:szCs w:val="23"/>
        </w:rPr>
      </w:pPr>
    </w:p>
    <w:p w:rsidR="00137D1A" w:rsidRPr="001B6D81" w:rsidRDefault="00752A4C" w:rsidP="00752A4C">
      <w:pPr>
        <w:autoSpaceDE w:val="0"/>
        <w:autoSpaceDN w:val="0"/>
        <w:adjustRightInd w:val="0"/>
        <w:spacing w:after="0" w:line="240" w:lineRule="auto"/>
        <w:jc w:val="both"/>
        <w:rPr>
          <w:rFonts w:cstheme="minorHAnsi"/>
          <w:sz w:val="23"/>
          <w:szCs w:val="23"/>
        </w:rPr>
      </w:pPr>
      <w:r w:rsidRPr="001B6D81">
        <w:rPr>
          <w:rFonts w:cstheme="minorHAnsi"/>
          <w:sz w:val="23"/>
          <w:szCs w:val="23"/>
        </w:rPr>
        <w:lastRenderedPageBreak/>
        <w:t>In addition, applicants were expected to meet identified local development need, as expressed in the scope of the call and as set out in the West of England Local Enterprise Partnership European Structural and Investment Funds Strategy</w:t>
      </w:r>
      <w:r w:rsidR="00624B8A">
        <w:rPr>
          <w:rStyle w:val="FootnoteReference"/>
          <w:rFonts w:cstheme="minorHAnsi"/>
          <w:sz w:val="23"/>
          <w:szCs w:val="23"/>
        </w:rPr>
        <w:footnoteReference w:id="3"/>
      </w:r>
    </w:p>
    <w:p w:rsidR="00A46DA3" w:rsidRDefault="00A46DA3" w:rsidP="00AB7FF9">
      <w:pPr>
        <w:autoSpaceDE w:val="0"/>
        <w:autoSpaceDN w:val="0"/>
        <w:adjustRightInd w:val="0"/>
        <w:spacing w:after="0" w:line="240" w:lineRule="auto"/>
        <w:jc w:val="both"/>
        <w:rPr>
          <w:rFonts w:cstheme="minorHAnsi"/>
          <w:sz w:val="23"/>
          <w:szCs w:val="23"/>
        </w:rPr>
      </w:pPr>
    </w:p>
    <w:p w:rsidR="00DC2218" w:rsidRPr="001B6D81" w:rsidRDefault="00DC2218" w:rsidP="00AB7FF9">
      <w:pPr>
        <w:autoSpaceDE w:val="0"/>
        <w:autoSpaceDN w:val="0"/>
        <w:adjustRightInd w:val="0"/>
        <w:spacing w:after="0" w:line="240" w:lineRule="auto"/>
        <w:jc w:val="both"/>
        <w:rPr>
          <w:rFonts w:cstheme="minorHAnsi"/>
          <w:sz w:val="23"/>
          <w:szCs w:val="23"/>
        </w:rPr>
      </w:pPr>
      <w:r w:rsidRPr="001B6D81">
        <w:rPr>
          <w:rFonts w:cstheme="minorHAnsi"/>
          <w:sz w:val="23"/>
          <w:szCs w:val="23"/>
        </w:rPr>
        <w:t>In response, the Enterprising West of England (EWOE) programme was designed</w:t>
      </w:r>
      <w:r w:rsidR="004C4C58">
        <w:rPr>
          <w:rFonts w:cstheme="minorHAnsi"/>
          <w:sz w:val="23"/>
          <w:szCs w:val="23"/>
        </w:rPr>
        <w:t xml:space="preserve">. </w:t>
      </w:r>
      <w:r w:rsidRPr="001B6D81">
        <w:rPr>
          <w:rFonts w:cstheme="minorHAnsi"/>
          <w:sz w:val="23"/>
          <w:szCs w:val="23"/>
        </w:rPr>
        <w:t>Following a long application process the EWOE programme began delivery on the 1</w:t>
      </w:r>
      <w:r w:rsidRPr="001B6D81">
        <w:rPr>
          <w:rFonts w:cstheme="minorHAnsi"/>
          <w:sz w:val="23"/>
          <w:szCs w:val="23"/>
          <w:vertAlign w:val="superscript"/>
        </w:rPr>
        <w:t>st</w:t>
      </w:r>
      <w:r w:rsidRPr="001B6D81">
        <w:rPr>
          <w:rFonts w:cstheme="minorHAnsi"/>
          <w:sz w:val="23"/>
          <w:szCs w:val="23"/>
        </w:rPr>
        <w:t xml:space="preserve"> January 2017 and is expect to conclude on the 31</w:t>
      </w:r>
      <w:r w:rsidRPr="001B6D81">
        <w:rPr>
          <w:rFonts w:cstheme="minorHAnsi"/>
          <w:sz w:val="23"/>
          <w:szCs w:val="23"/>
          <w:vertAlign w:val="superscript"/>
        </w:rPr>
        <w:t>st</w:t>
      </w:r>
      <w:r w:rsidRPr="001B6D81">
        <w:rPr>
          <w:rFonts w:cstheme="minorHAnsi"/>
          <w:sz w:val="23"/>
          <w:szCs w:val="23"/>
        </w:rPr>
        <w:t xml:space="preserve"> December 2019. </w:t>
      </w:r>
    </w:p>
    <w:p w:rsidR="00DC2218" w:rsidRPr="001B6D81" w:rsidRDefault="00DC2218" w:rsidP="00AB7FF9">
      <w:pPr>
        <w:autoSpaceDE w:val="0"/>
        <w:autoSpaceDN w:val="0"/>
        <w:adjustRightInd w:val="0"/>
        <w:spacing w:after="0" w:line="240" w:lineRule="auto"/>
        <w:jc w:val="both"/>
        <w:rPr>
          <w:rFonts w:cstheme="minorHAnsi"/>
          <w:sz w:val="23"/>
          <w:szCs w:val="23"/>
        </w:rPr>
      </w:pPr>
    </w:p>
    <w:p w:rsidR="00DC2218" w:rsidRPr="001B6D81" w:rsidRDefault="00ED4738" w:rsidP="00AB7FF9">
      <w:pPr>
        <w:autoSpaceDE w:val="0"/>
        <w:autoSpaceDN w:val="0"/>
        <w:adjustRightInd w:val="0"/>
        <w:spacing w:after="0" w:line="240" w:lineRule="auto"/>
        <w:jc w:val="both"/>
        <w:rPr>
          <w:rFonts w:cstheme="minorHAnsi"/>
          <w:sz w:val="23"/>
          <w:szCs w:val="23"/>
        </w:rPr>
      </w:pPr>
      <w:r w:rsidRPr="001B6D81">
        <w:rPr>
          <w:rFonts w:cstheme="minorHAnsi"/>
          <w:sz w:val="23"/>
          <w:szCs w:val="23"/>
        </w:rPr>
        <w:t>EWOE</w:t>
      </w:r>
      <w:r w:rsidR="004E3355" w:rsidRPr="001B6D81">
        <w:rPr>
          <w:rFonts w:cstheme="minorHAnsi"/>
          <w:sz w:val="23"/>
          <w:szCs w:val="23"/>
        </w:rPr>
        <w:t xml:space="preserve"> </w:t>
      </w:r>
      <w:hyperlink r:id="rId8" w:history="1">
        <w:r w:rsidR="004E3355" w:rsidRPr="001B6D81">
          <w:rPr>
            <w:rStyle w:val="Hyperlink"/>
            <w:rFonts w:cstheme="minorHAnsi"/>
            <w:sz w:val="23"/>
            <w:szCs w:val="23"/>
          </w:rPr>
          <w:t>www.ewoe.co.uk</w:t>
        </w:r>
      </w:hyperlink>
      <w:r w:rsidR="004E3355" w:rsidRPr="001B6D81">
        <w:rPr>
          <w:rFonts w:cstheme="minorHAnsi"/>
          <w:sz w:val="23"/>
          <w:szCs w:val="23"/>
        </w:rPr>
        <w:t xml:space="preserve"> </w:t>
      </w:r>
      <w:r w:rsidR="00C90017" w:rsidRPr="001B6D81">
        <w:rPr>
          <w:rFonts w:cstheme="minorHAnsi"/>
          <w:sz w:val="23"/>
          <w:szCs w:val="23"/>
        </w:rPr>
        <w:t>is a £3.8m ERDF funded business support programme, delivered in the West of England</w:t>
      </w:r>
      <w:r w:rsidR="00DC2218" w:rsidRPr="001B6D81">
        <w:rPr>
          <w:rFonts w:cstheme="minorHAnsi"/>
          <w:sz w:val="23"/>
          <w:szCs w:val="23"/>
        </w:rPr>
        <w:t xml:space="preserve"> only</w:t>
      </w:r>
      <w:r w:rsidR="00C90017" w:rsidRPr="001B6D81">
        <w:rPr>
          <w:rFonts w:cstheme="minorHAnsi"/>
          <w:sz w:val="23"/>
          <w:szCs w:val="23"/>
        </w:rPr>
        <w:t xml:space="preserve">. It is run by a consortium of 7 partner organisations </w:t>
      </w:r>
      <w:r w:rsidR="0024391B" w:rsidRPr="001B6D81">
        <w:rPr>
          <w:rFonts w:cstheme="minorHAnsi"/>
          <w:sz w:val="23"/>
          <w:szCs w:val="23"/>
        </w:rPr>
        <w:t>including Business</w:t>
      </w:r>
      <w:r w:rsidR="00C90017" w:rsidRPr="001B6D81">
        <w:rPr>
          <w:rFonts w:cstheme="minorHAnsi"/>
          <w:sz w:val="23"/>
          <w:szCs w:val="23"/>
        </w:rPr>
        <w:t xml:space="preserve"> West</w:t>
      </w:r>
      <w:r w:rsidR="00137D1A" w:rsidRPr="001B6D81">
        <w:rPr>
          <w:rFonts w:cstheme="minorHAnsi"/>
          <w:sz w:val="23"/>
          <w:szCs w:val="23"/>
        </w:rPr>
        <w:t xml:space="preserve"> (lead)</w:t>
      </w:r>
      <w:r w:rsidR="00C90017" w:rsidRPr="001B6D81">
        <w:rPr>
          <w:rFonts w:cstheme="minorHAnsi"/>
          <w:sz w:val="23"/>
          <w:szCs w:val="23"/>
        </w:rPr>
        <w:t xml:space="preserve">, Bristol City Council, Bath and East Somerset Council, South Gloucestershire Council, North Somerset Council, YTKO and Prince’s Trust. </w:t>
      </w:r>
      <w:r w:rsidR="00194C0B" w:rsidRPr="001B6D81">
        <w:rPr>
          <w:rFonts w:cstheme="minorHAnsi"/>
          <w:sz w:val="23"/>
          <w:szCs w:val="23"/>
        </w:rPr>
        <w:t>During its lifetime, EWOE is expected to support over 1000 potential entrepreneurs to be</w:t>
      </w:r>
      <w:r w:rsidR="002C233D">
        <w:rPr>
          <w:rFonts w:cstheme="minorHAnsi"/>
          <w:sz w:val="23"/>
          <w:szCs w:val="23"/>
        </w:rPr>
        <w:t>come</w:t>
      </w:r>
      <w:r w:rsidR="00194C0B" w:rsidRPr="001B6D81">
        <w:rPr>
          <w:rFonts w:cstheme="minorHAnsi"/>
          <w:sz w:val="23"/>
          <w:szCs w:val="23"/>
        </w:rPr>
        <w:t xml:space="preserve"> enterprise ready, refer over 1000 businesses to appropriate</w:t>
      </w:r>
      <w:r w:rsidR="002C233D">
        <w:rPr>
          <w:rFonts w:cstheme="minorHAnsi"/>
          <w:sz w:val="23"/>
          <w:szCs w:val="23"/>
        </w:rPr>
        <w:t xml:space="preserve"> business</w:t>
      </w:r>
      <w:r w:rsidR="00194C0B" w:rsidRPr="001B6D81">
        <w:rPr>
          <w:rFonts w:cstheme="minorHAnsi"/>
          <w:sz w:val="23"/>
          <w:szCs w:val="23"/>
        </w:rPr>
        <w:t xml:space="preserve"> support and support over 500 businesses with either grants or business advice. </w:t>
      </w:r>
      <w:r w:rsidRPr="001B6D81">
        <w:rPr>
          <w:rFonts w:cstheme="minorHAnsi"/>
          <w:sz w:val="23"/>
          <w:szCs w:val="23"/>
        </w:rPr>
        <w:t xml:space="preserve">EWOE was designed to deliver outputs under all three of the relevant priority axis, 3a, 3c and 3d. </w:t>
      </w:r>
    </w:p>
    <w:p w:rsidR="00752A4C" w:rsidRPr="001B6D81" w:rsidRDefault="00752A4C" w:rsidP="00AB7FF9">
      <w:pPr>
        <w:autoSpaceDE w:val="0"/>
        <w:autoSpaceDN w:val="0"/>
        <w:adjustRightInd w:val="0"/>
        <w:spacing w:after="0" w:line="240" w:lineRule="auto"/>
        <w:jc w:val="both"/>
        <w:rPr>
          <w:rFonts w:cstheme="minorHAnsi"/>
          <w:sz w:val="23"/>
          <w:szCs w:val="23"/>
        </w:rPr>
      </w:pPr>
    </w:p>
    <w:p w:rsidR="00C90017" w:rsidRPr="001B6D81" w:rsidRDefault="00C90017" w:rsidP="00AB7FF9">
      <w:pPr>
        <w:autoSpaceDE w:val="0"/>
        <w:autoSpaceDN w:val="0"/>
        <w:adjustRightInd w:val="0"/>
        <w:spacing w:after="0" w:line="240" w:lineRule="auto"/>
        <w:jc w:val="both"/>
        <w:rPr>
          <w:rFonts w:cstheme="minorHAnsi"/>
          <w:sz w:val="23"/>
          <w:szCs w:val="23"/>
        </w:rPr>
      </w:pPr>
      <w:r w:rsidRPr="001B6D81">
        <w:rPr>
          <w:rFonts w:cstheme="minorHAnsi"/>
          <w:sz w:val="23"/>
          <w:szCs w:val="23"/>
        </w:rPr>
        <w:t xml:space="preserve">The delivery model comprises the following parts: </w:t>
      </w:r>
    </w:p>
    <w:p w:rsidR="00C90017" w:rsidRPr="001B6D81" w:rsidRDefault="00C90017" w:rsidP="00AB7FF9">
      <w:pPr>
        <w:autoSpaceDE w:val="0"/>
        <w:autoSpaceDN w:val="0"/>
        <w:adjustRightInd w:val="0"/>
        <w:spacing w:after="0" w:line="240" w:lineRule="auto"/>
        <w:jc w:val="both"/>
        <w:rPr>
          <w:rFonts w:cstheme="minorHAnsi"/>
          <w:sz w:val="23"/>
          <w:szCs w:val="23"/>
        </w:rPr>
      </w:pPr>
    </w:p>
    <w:p w:rsidR="004E3355" w:rsidRPr="001B6D81" w:rsidRDefault="004E3355" w:rsidP="004E3355">
      <w:pPr>
        <w:pStyle w:val="ListParagraph"/>
        <w:numPr>
          <w:ilvl w:val="0"/>
          <w:numId w:val="12"/>
        </w:numPr>
        <w:autoSpaceDE w:val="0"/>
        <w:autoSpaceDN w:val="0"/>
        <w:adjustRightInd w:val="0"/>
        <w:spacing w:after="0" w:line="240" w:lineRule="auto"/>
        <w:rPr>
          <w:rFonts w:cstheme="minorHAnsi"/>
          <w:sz w:val="23"/>
          <w:szCs w:val="23"/>
        </w:rPr>
      </w:pPr>
      <w:r w:rsidRPr="001B6D81">
        <w:rPr>
          <w:rFonts w:cstheme="minorHAnsi"/>
          <w:sz w:val="23"/>
          <w:szCs w:val="23"/>
        </w:rPr>
        <w:t xml:space="preserve">North Somerset Council has procured the North Somerset Enterprise Agency to deliver support to start-ups and businesses in the North Somerset Area. </w:t>
      </w:r>
    </w:p>
    <w:p w:rsidR="004E3355" w:rsidRPr="001B6D81" w:rsidRDefault="004E3355" w:rsidP="004E3355">
      <w:pPr>
        <w:pStyle w:val="ListParagraph"/>
        <w:numPr>
          <w:ilvl w:val="0"/>
          <w:numId w:val="12"/>
        </w:numPr>
        <w:autoSpaceDE w:val="0"/>
        <w:autoSpaceDN w:val="0"/>
        <w:adjustRightInd w:val="0"/>
        <w:spacing w:after="0" w:line="240" w:lineRule="auto"/>
        <w:rPr>
          <w:rFonts w:cstheme="minorHAnsi"/>
          <w:sz w:val="23"/>
          <w:szCs w:val="23"/>
        </w:rPr>
      </w:pPr>
      <w:r w:rsidRPr="001B6D81">
        <w:rPr>
          <w:rFonts w:cstheme="minorHAnsi"/>
          <w:sz w:val="23"/>
          <w:szCs w:val="23"/>
        </w:rPr>
        <w:t xml:space="preserve">Bath and North East Somerset Council have procured Cool Ventures to deliver support to start-ups and businesses in the Bath and North East Somerset Area. </w:t>
      </w:r>
    </w:p>
    <w:p w:rsidR="004E3355" w:rsidRPr="001B6D81" w:rsidRDefault="004E3355" w:rsidP="004E3355">
      <w:pPr>
        <w:pStyle w:val="ListParagraph"/>
        <w:numPr>
          <w:ilvl w:val="0"/>
          <w:numId w:val="12"/>
        </w:numPr>
        <w:autoSpaceDE w:val="0"/>
        <w:autoSpaceDN w:val="0"/>
        <w:adjustRightInd w:val="0"/>
        <w:spacing w:after="0" w:line="240" w:lineRule="auto"/>
        <w:rPr>
          <w:rFonts w:cstheme="minorHAnsi"/>
          <w:sz w:val="23"/>
          <w:szCs w:val="23"/>
        </w:rPr>
      </w:pPr>
      <w:r w:rsidRPr="001B6D81">
        <w:rPr>
          <w:rFonts w:cstheme="minorHAnsi"/>
          <w:sz w:val="23"/>
          <w:szCs w:val="23"/>
        </w:rPr>
        <w:t>Bristol City Council, BANES and South Gloucestershire Council have procured Planet First to deliver and Environmental Business and Resource Efficiency programme in the Bristol, Bath and South Gloucestershire area</w:t>
      </w:r>
    </w:p>
    <w:p w:rsidR="004E3355" w:rsidRPr="001B6D81" w:rsidRDefault="004E3355" w:rsidP="004E3355">
      <w:pPr>
        <w:pStyle w:val="ListParagraph"/>
        <w:numPr>
          <w:ilvl w:val="0"/>
          <w:numId w:val="12"/>
        </w:numPr>
        <w:autoSpaceDE w:val="0"/>
        <w:autoSpaceDN w:val="0"/>
        <w:adjustRightInd w:val="0"/>
        <w:spacing w:after="0" w:line="240" w:lineRule="auto"/>
        <w:jc w:val="both"/>
        <w:rPr>
          <w:rFonts w:cstheme="minorHAnsi"/>
          <w:sz w:val="23"/>
          <w:szCs w:val="23"/>
        </w:rPr>
      </w:pPr>
      <w:r w:rsidRPr="001B6D81">
        <w:rPr>
          <w:rFonts w:cstheme="minorHAnsi"/>
          <w:sz w:val="23"/>
          <w:szCs w:val="23"/>
        </w:rPr>
        <w:t>Business West is delivering Scale Up Coaching Grant Scheme which provides grants for leadership training and coaching throughout the West of England</w:t>
      </w:r>
    </w:p>
    <w:p w:rsidR="004E3355" w:rsidRPr="001B6D81" w:rsidRDefault="0024391B" w:rsidP="004E3355">
      <w:pPr>
        <w:pStyle w:val="ListParagraph"/>
        <w:numPr>
          <w:ilvl w:val="0"/>
          <w:numId w:val="12"/>
        </w:numPr>
        <w:autoSpaceDE w:val="0"/>
        <w:autoSpaceDN w:val="0"/>
        <w:adjustRightInd w:val="0"/>
        <w:spacing w:after="0" w:line="240" w:lineRule="auto"/>
        <w:jc w:val="both"/>
        <w:rPr>
          <w:rFonts w:cstheme="minorHAnsi"/>
          <w:sz w:val="23"/>
          <w:szCs w:val="23"/>
        </w:rPr>
      </w:pPr>
      <w:r w:rsidRPr="001B6D81">
        <w:rPr>
          <w:rFonts w:cstheme="minorHAnsi"/>
          <w:sz w:val="23"/>
          <w:szCs w:val="23"/>
        </w:rPr>
        <w:t>Bristol City Council and South Gloucestershire council have grant funded YTKO to deliver a programme of support for entrepreneurs thinking about starting a business in Bristol and South Gloucestershire</w:t>
      </w:r>
    </w:p>
    <w:p w:rsidR="004E3355" w:rsidRPr="001B6D81" w:rsidRDefault="0024391B" w:rsidP="004E3355">
      <w:pPr>
        <w:pStyle w:val="ListParagraph"/>
        <w:numPr>
          <w:ilvl w:val="0"/>
          <w:numId w:val="12"/>
        </w:numPr>
        <w:autoSpaceDE w:val="0"/>
        <w:autoSpaceDN w:val="0"/>
        <w:adjustRightInd w:val="0"/>
        <w:spacing w:after="0" w:line="240" w:lineRule="auto"/>
        <w:jc w:val="both"/>
        <w:rPr>
          <w:rFonts w:cstheme="minorHAnsi"/>
          <w:sz w:val="23"/>
          <w:szCs w:val="23"/>
        </w:rPr>
      </w:pPr>
      <w:r w:rsidRPr="001B6D81">
        <w:rPr>
          <w:rFonts w:cstheme="minorHAnsi"/>
          <w:sz w:val="23"/>
          <w:szCs w:val="23"/>
        </w:rPr>
        <w:t xml:space="preserve">YTKO are delivering a programme of business support for growth businesses called </w:t>
      </w:r>
      <w:proofErr w:type="spellStart"/>
      <w:r w:rsidRPr="001B6D81">
        <w:rPr>
          <w:rFonts w:cstheme="minorHAnsi"/>
          <w:sz w:val="23"/>
          <w:szCs w:val="23"/>
        </w:rPr>
        <w:t>GetSet</w:t>
      </w:r>
      <w:proofErr w:type="spellEnd"/>
      <w:r w:rsidRPr="001B6D81">
        <w:rPr>
          <w:rFonts w:cstheme="minorHAnsi"/>
          <w:sz w:val="23"/>
          <w:szCs w:val="23"/>
        </w:rPr>
        <w:t xml:space="preserve"> for Growth across the West of England </w:t>
      </w:r>
    </w:p>
    <w:p w:rsidR="0024391B" w:rsidRPr="001B6D81" w:rsidRDefault="0024391B" w:rsidP="004E3355">
      <w:pPr>
        <w:pStyle w:val="ListParagraph"/>
        <w:numPr>
          <w:ilvl w:val="0"/>
          <w:numId w:val="12"/>
        </w:numPr>
        <w:autoSpaceDE w:val="0"/>
        <w:autoSpaceDN w:val="0"/>
        <w:adjustRightInd w:val="0"/>
        <w:spacing w:after="0" w:line="240" w:lineRule="auto"/>
        <w:jc w:val="both"/>
        <w:rPr>
          <w:rFonts w:cstheme="minorHAnsi"/>
          <w:sz w:val="23"/>
          <w:szCs w:val="23"/>
        </w:rPr>
      </w:pPr>
      <w:r w:rsidRPr="001B6D81">
        <w:rPr>
          <w:rFonts w:cstheme="minorHAnsi"/>
          <w:sz w:val="23"/>
          <w:szCs w:val="23"/>
        </w:rPr>
        <w:t>Prince’s Trust are running a</w:t>
      </w:r>
      <w:r w:rsidR="004C4C58">
        <w:rPr>
          <w:rFonts w:cstheme="minorHAnsi"/>
          <w:sz w:val="23"/>
          <w:szCs w:val="23"/>
        </w:rPr>
        <w:t>n Enterprise Programme</w:t>
      </w:r>
      <w:r w:rsidRPr="001B6D81">
        <w:rPr>
          <w:rFonts w:cstheme="minorHAnsi"/>
          <w:sz w:val="23"/>
          <w:szCs w:val="23"/>
        </w:rPr>
        <w:t xml:space="preserve"> for 18 -30 year olds thi</w:t>
      </w:r>
      <w:r w:rsidR="004C4C58">
        <w:rPr>
          <w:rFonts w:cstheme="minorHAnsi"/>
          <w:sz w:val="23"/>
          <w:szCs w:val="23"/>
        </w:rPr>
        <w:t>nking about starting a business.</w:t>
      </w:r>
    </w:p>
    <w:p w:rsidR="00137D1A" w:rsidRPr="001B6D81" w:rsidRDefault="00137D1A" w:rsidP="00137D1A">
      <w:pPr>
        <w:autoSpaceDE w:val="0"/>
        <w:autoSpaceDN w:val="0"/>
        <w:adjustRightInd w:val="0"/>
        <w:spacing w:after="0" w:line="240" w:lineRule="auto"/>
        <w:jc w:val="both"/>
        <w:rPr>
          <w:rFonts w:cstheme="minorHAnsi"/>
          <w:sz w:val="23"/>
          <w:szCs w:val="23"/>
        </w:rPr>
      </w:pPr>
    </w:p>
    <w:p w:rsidR="00ED4738" w:rsidRPr="001B6D81" w:rsidRDefault="00137D1A" w:rsidP="00ED4738">
      <w:pPr>
        <w:autoSpaceDE w:val="0"/>
        <w:autoSpaceDN w:val="0"/>
        <w:adjustRightInd w:val="0"/>
        <w:spacing w:after="0" w:line="240" w:lineRule="auto"/>
        <w:jc w:val="both"/>
        <w:rPr>
          <w:rFonts w:cstheme="minorHAnsi"/>
          <w:sz w:val="23"/>
          <w:szCs w:val="23"/>
        </w:rPr>
      </w:pPr>
      <w:r w:rsidRPr="001B6D81">
        <w:rPr>
          <w:rFonts w:cstheme="minorHAnsi"/>
          <w:sz w:val="23"/>
          <w:szCs w:val="23"/>
        </w:rPr>
        <w:t>More details about the programme</w:t>
      </w:r>
      <w:r w:rsidR="00DC2218" w:rsidRPr="001B6D81">
        <w:rPr>
          <w:rFonts w:cstheme="minorHAnsi"/>
          <w:sz w:val="23"/>
          <w:szCs w:val="23"/>
        </w:rPr>
        <w:t xml:space="preserve"> and links to each partner</w:t>
      </w:r>
      <w:r w:rsidR="004C4C58">
        <w:rPr>
          <w:rFonts w:cstheme="minorHAnsi"/>
          <w:sz w:val="23"/>
          <w:szCs w:val="23"/>
        </w:rPr>
        <w:t>’</w:t>
      </w:r>
      <w:r w:rsidR="00DC2218" w:rsidRPr="001B6D81">
        <w:rPr>
          <w:rFonts w:cstheme="minorHAnsi"/>
          <w:sz w:val="23"/>
          <w:szCs w:val="23"/>
        </w:rPr>
        <w:t>s activities</w:t>
      </w:r>
      <w:r w:rsidRPr="001B6D81">
        <w:rPr>
          <w:rFonts w:cstheme="minorHAnsi"/>
          <w:sz w:val="23"/>
          <w:szCs w:val="23"/>
        </w:rPr>
        <w:t xml:space="preserve"> can be found at </w:t>
      </w:r>
      <w:hyperlink r:id="rId9" w:history="1">
        <w:r w:rsidRPr="001B6D81">
          <w:rPr>
            <w:rStyle w:val="Hyperlink"/>
            <w:rFonts w:cstheme="minorHAnsi"/>
            <w:sz w:val="23"/>
            <w:szCs w:val="23"/>
          </w:rPr>
          <w:t>www.ewoe.co.uk</w:t>
        </w:r>
      </w:hyperlink>
      <w:r w:rsidR="00ED4738" w:rsidRPr="001B6D81">
        <w:rPr>
          <w:rStyle w:val="Hyperlink"/>
          <w:rFonts w:cstheme="minorHAnsi"/>
          <w:sz w:val="23"/>
          <w:szCs w:val="23"/>
        </w:rPr>
        <w:t>.</w:t>
      </w:r>
      <w:r w:rsidR="00ED4738" w:rsidRPr="001B6D81">
        <w:rPr>
          <w:rFonts w:cstheme="minorHAnsi"/>
          <w:sz w:val="23"/>
          <w:szCs w:val="23"/>
        </w:rPr>
        <w:t xml:space="preserve"> For a specific breakdown of the output targets per partn</w:t>
      </w:r>
      <w:r w:rsidR="004A2A00">
        <w:rPr>
          <w:rFonts w:cstheme="minorHAnsi"/>
          <w:sz w:val="23"/>
          <w:szCs w:val="23"/>
        </w:rPr>
        <w:t xml:space="preserve">er, please refer to </w:t>
      </w:r>
      <w:r w:rsidR="004A2A00" w:rsidRPr="00BD7FB7">
        <w:rPr>
          <w:rFonts w:cstheme="minorHAnsi"/>
          <w:sz w:val="23"/>
          <w:szCs w:val="23"/>
        </w:rPr>
        <w:t>Appendix 1</w:t>
      </w:r>
      <w:r w:rsidR="000063EB" w:rsidRPr="00BD7FB7">
        <w:rPr>
          <w:rFonts w:cstheme="minorHAnsi"/>
          <w:sz w:val="23"/>
          <w:szCs w:val="23"/>
        </w:rPr>
        <w:t>.</w:t>
      </w:r>
    </w:p>
    <w:p w:rsidR="002C233D" w:rsidRDefault="002C233D" w:rsidP="00A850C7">
      <w:pPr>
        <w:autoSpaceDE w:val="0"/>
        <w:autoSpaceDN w:val="0"/>
        <w:adjustRightInd w:val="0"/>
        <w:spacing w:after="0" w:line="240" w:lineRule="auto"/>
        <w:rPr>
          <w:rFonts w:cstheme="minorHAnsi"/>
          <w:sz w:val="23"/>
          <w:szCs w:val="23"/>
        </w:rPr>
      </w:pPr>
    </w:p>
    <w:p w:rsidR="002C233D" w:rsidRDefault="002C233D" w:rsidP="00A850C7">
      <w:pPr>
        <w:autoSpaceDE w:val="0"/>
        <w:autoSpaceDN w:val="0"/>
        <w:adjustRightInd w:val="0"/>
        <w:spacing w:after="0" w:line="240" w:lineRule="auto"/>
        <w:rPr>
          <w:rFonts w:cstheme="minorHAnsi"/>
          <w:b/>
          <w:sz w:val="28"/>
          <w:szCs w:val="28"/>
        </w:rPr>
      </w:pPr>
    </w:p>
    <w:p w:rsidR="00BD4D32" w:rsidRDefault="005B44EF" w:rsidP="00A850C7">
      <w:pPr>
        <w:autoSpaceDE w:val="0"/>
        <w:autoSpaceDN w:val="0"/>
        <w:adjustRightInd w:val="0"/>
        <w:spacing w:after="0" w:line="240" w:lineRule="auto"/>
        <w:rPr>
          <w:rFonts w:cstheme="minorHAnsi"/>
          <w:b/>
          <w:sz w:val="28"/>
          <w:szCs w:val="28"/>
        </w:rPr>
      </w:pPr>
      <w:r w:rsidRPr="001B6D81">
        <w:rPr>
          <w:rFonts w:cstheme="minorHAnsi"/>
          <w:b/>
          <w:sz w:val="28"/>
          <w:szCs w:val="28"/>
        </w:rPr>
        <w:t>Overall o</w:t>
      </w:r>
      <w:r w:rsidR="00D75036" w:rsidRPr="001B6D81">
        <w:rPr>
          <w:rFonts w:cstheme="minorHAnsi"/>
          <w:b/>
          <w:sz w:val="28"/>
          <w:szCs w:val="28"/>
        </w:rPr>
        <w:t xml:space="preserve">bjective </w:t>
      </w:r>
    </w:p>
    <w:p w:rsidR="002C233D" w:rsidRPr="001B6D81" w:rsidRDefault="002C233D" w:rsidP="00A850C7">
      <w:pPr>
        <w:autoSpaceDE w:val="0"/>
        <w:autoSpaceDN w:val="0"/>
        <w:adjustRightInd w:val="0"/>
        <w:spacing w:after="0" w:line="240" w:lineRule="auto"/>
        <w:rPr>
          <w:rFonts w:cstheme="minorHAnsi"/>
          <w:b/>
          <w:sz w:val="28"/>
          <w:szCs w:val="28"/>
        </w:rPr>
      </w:pPr>
    </w:p>
    <w:p w:rsidR="00861B2D" w:rsidRPr="001B6D81" w:rsidRDefault="00BD4D32" w:rsidP="00194C0B">
      <w:pPr>
        <w:jc w:val="both"/>
        <w:rPr>
          <w:rFonts w:cstheme="minorHAnsi"/>
          <w:sz w:val="23"/>
          <w:szCs w:val="23"/>
        </w:rPr>
      </w:pPr>
      <w:r w:rsidRPr="001B6D81">
        <w:rPr>
          <w:rFonts w:cstheme="minorHAnsi"/>
          <w:sz w:val="23"/>
          <w:szCs w:val="23"/>
        </w:rPr>
        <w:lastRenderedPageBreak/>
        <w:t xml:space="preserve">As part of the contractual requirements of ERDF funding, EWOE is </w:t>
      </w:r>
      <w:r w:rsidR="00194C0B" w:rsidRPr="001B6D81">
        <w:rPr>
          <w:rFonts w:cstheme="minorHAnsi"/>
          <w:sz w:val="23"/>
          <w:szCs w:val="23"/>
        </w:rPr>
        <w:t xml:space="preserve">now </w:t>
      </w:r>
      <w:r w:rsidRPr="001B6D81">
        <w:rPr>
          <w:rFonts w:cstheme="minorHAnsi"/>
          <w:sz w:val="23"/>
          <w:szCs w:val="23"/>
        </w:rPr>
        <w:t>required to</w:t>
      </w:r>
      <w:r w:rsidR="00194C0B" w:rsidRPr="001B6D81">
        <w:rPr>
          <w:rFonts w:cstheme="minorHAnsi"/>
          <w:sz w:val="23"/>
          <w:szCs w:val="23"/>
        </w:rPr>
        <w:t xml:space="preserve"> procure a supplier to</w:t>
      </w:r>
      <w:r w:rsidRPr="001B6D81">
        <w:rPr>
          <w:rFonts w:cstheme="minorHAnsi"/>
          <w:sz w:val="23"/>
          <w:szCs w:val="23"/>
        </w:rPr>
        <w:t xml:space="preserve"> conduct an</w:t>
      </w:r>
      <w:r w:rsidR="00194C0B" w:rsidRPr="001B6D81">
        <w:rPr>
          <w:rFonts w:cstheme="minorHAnsi"/>
          <w:sz w:val="23"/>
          <w:szCs w:val="23"/>
        </w:rPr>
        <w:t xml:space="preserve"> impact</w:t>
      </w:r>
      <w:r w:rsidRPr="001B6D81">
        <w:rPr>
          <w:rFonts w:cstheme="minorHAnsi"/>
          <w:sz w:val="23"/>
          <w:szCs w:val="23"/>
        </w:rPr>
        <w:t xml:space="preserve"> evaluation of the project, known as a “Summative Assessment”</w:t>
      </w:r>
      <w:r w:rsidR="00194C0B" w:rsidRPr="001B6D81">
        <w:rPr>
          <w:rFonts w:cstheme="minorHAnsi"/>
          <w:sz w:val="23"/>
          <w:szCs w:val="23"/>
        </w:rPr>
        <w:t>.</w:t>
      </w:r>
      <w:r w:rsidR="00CD3F8D" w:rsidRPr="001B6D81">
        <w:rPr>
          <w:rFonts w:cstheme="minorHAnsi"/>
          <w:sz w:val="23"/>
          <w:szCs w:val="23"/>
        </w:rPr>
        <w:t xml:space="preserve"> </w:t>
      </w:r>
      <w:r w:rsidR="00CD3F8D" w:rsidRPr="001B6D81">
        <w:rPr>
          <w:rFonts w:cstheme="minorHAnsi"/>
          <w:bCs/>
        </w:rPr>
        <w:t>The Managing Authority</w:t>
      </w:r>
      <w:r w:rsidR="004C4C58">
        <w:rPr>
          <w:rFonts w:cstheme="minorHAnsi"/>
          <w:bCs/>
        </w:rPr>
        <w:t>, the Ministry for Housing, Communities and Local Level Government (MHCLG)</w:t>
      </w:r>
      <w:r w:rsidR="00CD3F8D" w:rsidRPr="001B6D81">
        <w:rPr>
          <w:rFonts w:cstheme="minorHAnsi"/>
          <w:bCs/>
        </w:rPr>
        <w:t xml:space="preserve"> is seeking to ensure </w:t>
      </w:r>
      <w:r w:rsidR="004C4C58">
        <w:rPr>
          <w:rFonts w:cstheme="minorHAnsi"/>
          <w:bCs/>
        </w:rPr>
        <w:t xml:space="preserve">that </w:t>
      </w:r>
      <w:r w:rsidR="00CD3F8D" w:rsidRPr="001B6D81">
        <w:rPr>
          <w:rFonts w:cstheme="minorHAnsi"/>
          <w:bCs/>
        </w:rPr>
        <w:t>Summative Assessments</w:t>
      </w:r>
      <w:r w:rsidR="004C4C58">
        <w:rPr>
          <w:rFonts w:cstheme="minorHAnsi"/>
          <w:bCs/>
        </w:rPr>
        <w:t xml:space="preserve"> are of a high quality and that they </w:t>
      </w:r>
      <w:r w:rsidR="005B44EF" w:rsidRPr="001B6D81">
        <w:rPr>
          <w:rFonts w:cstheme="minorHAnsi"/>
          <w:bCs/>
        </w:rPr>
        <w:t xml:space="preserve">will </w:t>
      </w:r>
      <w:r w:rsidR="00CD3F8D" w:rsidRPr="001B6D81">
        <w:rPr>
          <w:rFonts w:cstheme="minorHAnsi"/>
          <w:bCs/>
        </w:rPr>
        <w:t>help inform evaluations</w:t>
      </w:r>
      <w:r w:rsidR="00CD3F8D" w:rsidRPr="001B6D81">
        <w:rPr>
          <w:rFonts w:cstheme="minorHAnsi"/>
          <w:bCs/>
          <w:color w:val="FF0000"/>
        </w:rPr>
        <w:t xml:space="preserve"> </w:t>
      </w:r>
      <w:r w:rsidR="00CD3F8D" w:rsidRPr="001B6D81">
        <w:rPr>
          <w:rFonts w:cstheme="minorHAnsi"/>
          <w:bCs/>
        </w:rPr>
        <w:t xml:space="preserve">of the national programme. </w:t>
      </w:r>
      <w:r w:rsidRPr="001B6D81">
        <w:rPr>
          <w:rFonts w:cstheme="minorHAnsi"/>
          <w:sz w:val="23"/>
          <w:szCs w:val="23"/>
        </w:rPr>
        <w:t xml:space="preserve"> </w:t>
      </w:r>
    </w:p>
    <w:p w:rsidR="00194C0B" w:rsidRPr="001B6D81" w:rsidRDefault="004C4C58" w:rsidP="00194C0B">
      <w:pPr>
        <w:jc w:val="both"/>
        <w:rPr>
          <w:rFonts w:eastAsia="Times New Roman" w:cstheme="minorHAnsi"/>
          <w:lang w:eastAsia="en-GB"/>
        </w:rPr>
      </w:pPr>
      <w:r>
        <w:rPr>
          <w:rFonts w:eastAsia="Times New Roman" w:cstheme="minorHAnsi"/>
          <w:lang w:eastAsia="en-GB"/>
        </w:rPr>
        <w:t>With this in mind, the key objectives of this</w:t>
      </w:r>
      <w:r w:rsidR="00194C0B" w:rsidRPr="001B6D81">
        <w:rPr>
          <w:rFonts w:eastAsia="Times New Roman" w:cstheme="minorHAnsi"/>
          <w:lang w:eastAsia="en-GB"/>
        </w:rPr>
        <w:t xml:space="preserve"> summative assessment will be to:</w:t>
      </w:r>
    </w:p>
    <w:p w:rsidR="00194C0B" w:rsidRPr="001B6D81" w:rsidRDefault="00194C0B" w:rsidP="00194C0B">
      <w:pPr>
        <w:pStyle w:val="ListParagraph"/>
        <w:numPr>
          <w:ilvl w:val="0"/>
          <w:numId w:val="14"/>
        </w:numPr>
        <w:spacing w:after="200" w:line="276" w:lineRule="auto"/>
        <w:jc w:val="both"/>
        <w:rPr>
          <w:rFonts w:eastAsia="Times New Roman" w:cstheme="minorHAnsi"/>
          <w:lang w:eastAsia="en-GB"/>
        </w:rPr>
      </w:pPr>
      <w:r w:rsidRPr="001B6D81">
        <w:rPr>
          <w:rFonts w:eastAsia="Times New Roman" w:cstheme="minorHAnsi"/>
          <w:lang w:eastAsia="en-GB"/>
        </w:rPr>
        <w:t>Identify whether the programme was relevant for the local context</w:t>
      </w:r>
    </w:p>
    <w:p w:rsidR="00194C0B" w:rsidRPr="001B6D81" w:rsidRDefault="00194C0B" w:rsidP="00194C0B">
      <w:pPr>
        <w:pStyle w:val="ListParagraph"/>
        <w:numPr>
          <w:ilvl w:val="0"/>
          <w:numId w:val="14"/>
        </w:numPr>
        <w:spacing w:after="200" w:line="276" w:lineRule="auto"/>
        <w:jc w:val="both"/>
        <w:rPr>
          <w:rFonts w:eastAsia="Times New Roman" w:cstheme="minorHAnsi"/>
          <w:lang w:eastAsia="en-GB"/>
        </w:rPr>
      </w:pPr>
      <w:r w:rsidRPr="001B6D81">
        <w:rPr>
          <w:rFonts w:eastAsia="Times New Roman" w:cstheme="minorHAnsi"/>
          <w:lang w:eastAsia="en-GB"/>
        </w:rPr>
        <w:t>Identify whether expected outputs, outcomes and impact were achieved (including an assessment of equality and diversity)</w:t>
      </w:r>
    </w:p>
    <w:p w:rsidR="00194C0B" w:rsidRPr="001B6D81" w:rsidRDefault="00194C0B" w:rsidP="00194C0B">
      <w:pPr>
        <w:pStyle w:val="ListParagraph"/>
        <w:numPr>
          <w:ilvl w:val="0"/>
          <w:numId w:val="14"/>
        </w:numPr>
        <w:spacing w:after="200" w:line="276" w:lineRule="auto"/>
        <w:jc w:val="both"/>
        <w:rPr>
          <w:rFonts w:eastAsia="Times New Roman" w:cstheme="minorHAnsi"/>
          <w:lang w:eastAsia="en-GB"/>
        </w:rPr>
      </w:pPr>
      <w:r w:rsidRPr="001B6D81">
        <w:rPr>
          <w:rFonts w:eastAsia="Times New Roman" w:cstheme="minorHAnsi"/>
          <w:lang w:eastAsia="en-GB"/>
        </w:rPr>
        <w:t>Demonstrate the economy, efficiency and effectiveness offered by the consortium in delivering the programme. This includes an assessment of the management capability</w:t>
      </w:r>
      <w:r w:rsidR="004C4C58">
        <w:rPr>
          <w:rFonts w:eastAsia="Times New Roman" w:cstheme="minorHAnsi"/>
          <w:lang w:eastAsia="en-GB"/>
        </w:rPr>
        <w:t xml:space="preserve"> of the management team and delivery partners</w:t>
      </w:r>
      <w:r w:rsidRPr="001B6D81">
        <w:rPr>
          <w:rFonts w:eastAsia="Times New Roman" w:cstheme="minorHAnsi"/>
          <w:lang w:eastAsia="en-GB"/>
        </w:rPr>
        <w:t>.</w:t>
      </w:r>
    </w:p>
    <w:p w:rsidR="00194C0B" w:rsidRPr="001B6D81" w:rsidRDefault="00194C0B" w:rsidP="00194C0B">
      <w:pPr>
        <w:pStyle w:val="ListParagraph"/>
        <w:numPr>
          <w:ilvl w:val="0"/>
          <w:numId w:val="14"/>
        </w:numPr>
        <w:spacing w:after="200" w:line="276" w:lineRule="auto"/>
        <w:jc w:val="both"/>
        <w:rPr>
          <w:rFonts w:eastAsia="Times New Roman" w:cstheme="minorHAnsi"/>
          <w:lang w:eastAsia="en-GB"/>
        </w:rPr>
      </w:pPr>
      <w:r w:rsidRPr="001B6D81">
        <w:rPr>
          <w:rFonts w:eastAsia="Times New Roman" w:cstheme="minorHAnsi"/>
          <w:lang w:eastAsia="en-GB"/>
        </w:rPr>
        <w:t>Combining the above, assess whether the project provided VFM.</w:t>
      </w:r>
    </w:p>
    <w:p w:rsidR="005B44EF" w:rsidRPr="001B6D81" w:rsidRDefault="005B44EF" w:rsidP="005B44EF">
      <w:pPr>
        <w:pStyle w:val="ListParagraph"/>
        <w:numPr>
          <w:ilvl w:val="0"/>
          <w:numId w:val="14"/>
        </w:numPr>
        <w:spacing w:after="200" w:line="276" w:lineRule="auto"/>
        <w:jc w:val="both"/>
        <w:rPr>
          <w:rFonts w:eastAsia="Times New Roman" w:cstheme="minorHAnsi"/>
          <w:lang w:eastAsia="en-GB"/>
        </w:rPr>
      </w:pPr>
      <w:r w:rsidRPr="001B6D81">
        <w:rPr>
          <w:rFonts w:eastAsia="Times New Roman" w:cstheme="minorHAnsi"/>
          <w:lang w:eastAsia="en-GB"/>
        </w:rPr>
        <w:t>Identify lessons learned.</w:t>
      </w:r>
    </w:p>
    <w:p w:rsidR="00CD3F8D" w:rsidRPr="001B6D81" w:rsidRDefault="00CD3F8D" w:rsidP="00CD3F8D">
      <w:pPr>
        <w:jc w:val="both"/>
        <w:rPr>
          <w:rFonts w:eastAsia="Times New Roman" w:cstheme="minorHAnsi"/>
          <w:lang w:eastAsia="en-GB"/>
        </w:rPr>
      </w:pPr>
      <w:r w:rsidRPr="001B6D81">
        <w:rPr>
          <w:rFonts w:eastAsia="Times New Roman" w:cstheme="minorHAnsi"/>
          <w:lang w:eastAsia="en-GB"/>
        </w:rPr>
        <w:t xml:space="preserve">The key internal and external audiences for the summative assessment will be: </w:t>
      </w:r>
    </w:p>
    <w:p w:rsidR="0096277C" w:rsidRPr="0088592B" w:rsidRDefault="0096277C" w:rsidP="0096277C">
      <w:pPr>
        <w:pStyle w:val="ListParagraph"/>
        <w:numPr>
          <w:ilvl w:val="0"/>
          <w:numId w:val="14"/>
        </w:numPr>
        <w:spacing w:after="200" w:line="276" w:lineRule="auto"/>
        <w:jc w:val="both"/>
        <w:rPr>
          <w:rFonts w:cstheme="minorHAnsi"/>
          <w:sz w:val="23"/>
          <w:szCs w:val="23"/>
        </w:rPr>
      </w:pPr>
      <w:r w:rsidRPr="001B6D81">
        <w:rPr>
          <w:rFonts w:eastAsia="Times New Roman" w:cstheme="minorHAnsi"/>
          <w:lang w:eastAsia="en-GB"/>
        </w:rPr>
        <w:t>External: Key stakeholders including</w:t>
      </w:r>
      <w:r w:rsidR="009E1E51">
        <w:rPr>
          <w:rFonts w:eastAsia="Times New Roman" w:cstheme="minorHAnsi"/>
          <w:lang w:eastAsia="en-GB"/>
        </w:rPr>
        <w:t xml:space="preserve"> (but not limited to)</w:t>
      </w:r>
      <w:r w:rsidRPr="001B6D81">
        <w:rPr>
          <w:rFonts w:eastAsia="Times New Roman" w:cstheme="minorHAnsi"/>
          <w:lang w:eastAsia="en-GB"/>
        </w:rPr>
        <w:t xml:space="preserve"> MHCLG, HMG and the EU. Their interest will be in demonstrating that the projects funded achieved the intended resul</w:t>
      </w:r>
      <w:r w:rsidR="009E1E51">
        <w:rPr>
          <w:rFonts w:eastAsia="Times New Roman" w:cstheme="minorHAnsi"/>
          <w:lang w:eastAsia="en-GB"/>
        </w:rPr>
        <w:t>ts and provided value for money as well as learning about the wider benefits of the programme.</w:t>
      </w:r>
    </w:p>
    <w:p w:rsidR="00CD3F8D" w:rsidRPr="001B6D81" w:rsidRDefault="00CD3F8D" w:rsidP="00CD3F8D">
      <w:pPr>
        <w:pStyle w:val="ListParagraph"/>
        <w:numPr>
          <w:ilvl w:val="0"/>
          <w:numId w:val="14"/>
        </w:numPr>
        <w:spacing w:after="200" w:line="276" w:lineRule="auto"/>
        <w:jc w:val="both"/>
        <w:rPr>
          <w:rFonts w:eastAsia="Times New Roman" w:cstheme="minorHAnsi"/>
          <w:lang w:eastAsia="en-GB"/>
        </w:rPr>
      </w:pPr>
      <w:r w:rsidRPr="001B6D81">
        <w:rPr>
          <w:rFonts w:eastAsia="Times New Roman" w:cstheme="minorHAnsi"/>
          <w:lang w:eastAsia="en-GB"/>
        </w:rPr>
        <w:t>Internal: All the project partners who delivered Enterprising West of England. Their interest will be in lesso</w:t>
      </w:r>
      <w:r w:rsidR="009E1E51">
        <w:rPr>
          <w:rFonts w:eastAsia="Times New Roman" w:cstheme="minorHAnsi"/>
          <w:lang w:eastAsia="en-GB"/>
        </w:rPr>
        <w:t xml:space="preserve">ns learned for future projects, demonstrating value for money internally and externally, generating case studies and gaining useful economic insights for internal and external use. </w:t>
      </w:r>
    </w:p>
    <w:p w:rsidR="00CD3F8D" w:rsidRPr="001B6D81" w:rsidRDefault="00F70362" w:rsidP="00F70362">
      <w:pPr>
        <w:autoSpaceDE w:val="0"/>
        <w:autoSpaceDN w:val="0"/>
        <w:adjustRightInd w:val="0"/>
        <w:spacing w:after="0" w:line="240" w:lineRule="auto"/>
        <w:jc w:val="both"/>
        <w:rPr>
          <w:rFonts w:cstheme="minorHAnsi"/>
          <w:sz w:val="23"/>
          <w:szCs w:val="23"/>
        </w:rPr>
      </w:pPr>
      <w:r w:rsidRPr="001B6D81">
        <w:rPr>
          <w:rFonts w:cstheme="minorHAnsi"/>
          <w:sz w:val="23"/>
          <w:szCs w:val="23"/>
        </w:rPr>
        <w:t>Suppliers are encouraged to be innovative in their proposals and design of the assessment to reflect the nature of the programme, suggesting any additional insights and added value they may be able to provide.</w:t>
      </w:r>
    </w:p>
    <w:p w:rsidR="00F70362" w:rsidRPr="001B6D81" w:rsidRDefault="00F70362" w:rsidP="00F70362">
      <w:pPr>
        <w:autoSpaceDE w:val="0"/>
        <w:autoSpaceDN w:val="0"/>
        <w:adjustRightInd w:val="0"/>
        <w:spacing w:after="0" w:line="240" w:lineRule="auto"/>
        <w:jc w:val="both"/>
        <w:rPr>
          <w:rFonts w:cstheme="minorHAnsi"/>
          <w:sz w:val="23"/>
          <w:szCs w:val="23"/>
        </w:rPr>
      </w:pPr>
    </w:p>
    <w:p w:rsidR="00861B2D" w:rsidRPr="001B6D81" w:rsidRDefault="005B44EF" w:rsidP="00861B2D">
      <w:pPr>
        <w:autoSpaceDE w:val="0"/>
        <w:autoSpaceDN w:val="0"/>
        <w:adjustRightInd w:val="0"/>
        <w:spacing w:after="0" w:line="240" w:lineRule="auto"/>
        <w:rPr>
          <w:rFonts w:cstheme="minorHAnsi"/>
          <w:color w:val="000000"/>
          <w:sz w:val="28"/>
          <w:szCs w:val="28"/>
        </w:rPr>
      </w:pPr>
      <w:r w:rsidRPr="001B6D81">
        <w:rPr>
          <w:rFonts w:cstheme="minorHAnsi"/>
          <w:b/>
          <w:bCs/>
          <w:color w:val="000000"/>
          <w:sz w:val="28"/>
          <w:szCs w:val="28"/>
        </w:rPr>
        <w:t>Specific r</w:t>
      </w:r>
      <w:r w:rsidR="00861B2D" w:rsidRPr="001B6D81">
        <w:rPr>
          <w:rFonts w:cstheme="minorHAnsi"/>
          <w:b/>
          <w:bCs/>
          <w:color w:val="000000"/>
          <w:sz w:val="28"/>
          <w:szCs w:val="28"/>
        </w:rPr>
        <w:t xml:space="preserve">equirements </w:t>
      </w:r>
    </w:p>
    <w:p w:rsidR="00D75036" w:rsidRPr="001B6D81" w:rsidRDefault="00D75036" w:rsidP="00861B2D">
      <w:pPr>
        <w:autoSpaceDE w:val="0"/>
        <w:autoSpaceDN w:val="0"/>
        <w:adjustRightInd w:val="0"/>
        <w:spacing w:after="0" w:line="240" w:lineRule="auto"/>
        <w:rPr>
          <w:rFonts w:cstheme="minorHAnsi"/>
          <w:color w:val="000000"/>
          <w:sz w:val="23"/>
          <w:szCs w:val="23"/>
        </w:rPr>
      </w:pPr>
    </w:p>
    <w:p w:rsidR="00D75036" w:rsidRPr="001B6D81" w:rsidRDefault="00861B2D" w:rsidP="00C2214D">
      <w:pPr>
        <w:autoSpaceDE w:val="0"/>
        <w:autoSpaceDN w:val="0"/>
        <w:adjustRightInd w:val="0"/>
        <w:spacing w:after="0" w:line="240" w:lineRule="auto"/>
        <w:jc w:val="both"/>
        <w:rPr>
          <w:rFonts w:cstheme="minorHAnsi"/>
          <w:color w:val="000000"/>
          <w:sz w:val="23"/>
          <w:szCs w:val="23"/>
        </w:rPr>
      </w:pPr>
      <w:r w:rsidRPr="001B6D81">
        <w:rPr>
          <w:rFonts w:cstheme="minorHAnsi"/>
          <w:color w:val="000000"/>
          <w:sz w:val="23"/>
          <w:szCs w:val="23"/>
        </w:rPr>
        <w:t xml:space="preserve">ERDF have published updated guidance on the project </w:t>
      </w:r>
      <w:r w:rsidR="001A317E" w:rsidRPr="001B6D81">
        <w:rPr>
          <w:rFonts w:cstheme="minorHAnsi"/>
          <w:color w:val="000000"/>
          <w:sz w:val="23"/>
          <w:szCs w:val="23"/>
        </w:rPr>
        <w:t>evaluation summative assessment which all final assessment reports</w:t>
      </w:r>
      <w:r w:rsidRPr="001B6D81">
        <w:rPr>
          <w:rFonts w:cstheme="minorHAnsi"/>
          <w:color w:val="000000"/>
          <w:sz w:val="23"/>
          <w:szCs w:val="23"/>
        </w:rPr>
        <w:t xml:space="preserve"> must comply with</w:t>
      </w:r>
      <w:r w:rsidR="001A317E" w:rsidRPr="001B6D81">
        <w:rPr>
          <w:rFonts w:cstheme="minorHAnsi"/>
          <w:color w:val="000000"/>
          <w:sz w:val="23"/>
          <w:szCs w:val="23"/>
        </w:rPr>
        <w:t>. Th</w:t>
      </w:r>
      <w:r w:rsidR="004C4C58">
        <w:rPr>
          <w:rFonts w:cstheme="minorHAnsi"/>
          <w:color w:val="000000"/>
          <w:sz w:val="23"/>
          <w:szCs w:val="23"/>
        </w:rPr>
        <w:t>is guidance can be accessed at the following link</w:t>
      </w:r>
      <w:r w:rsidR="001A317E" w:rsidRPr="001B6D81">
        <w:rPr>
          <w:rFonts w:cstheme="minorHAnsi"/>
          <w:color w:val="000000"/>
          <w:sz w:val="23"/>
          <w:szCs w:val="23"/>
        </w:rPr>
        <w:t xml:space="preserve"> and bidders should familiarise the</w:t>
      </w:r>
      <w:r w:rsidR="00C2214D" w:rsidRPr="001B6D81">
        <w:rPr>
          <w:rFonts w:cstheme="minorHAnsi"/>
          <w:color w:val="000000"/>
          <w:sz w:val="23"/>
          <w:szCs w:val="23"/>
        </w:rPr>
        <w:t xml:space="preserve">mselves with the documentation and the key requirements of the Summative Assessment:  </w:t>
      </w:r>
      <w:hyperlink r:id="rId10" w:history="1">
        <w:r w:rsidR="001A317E" w:rsidRPr="001B6D81">
          <w:rPr>
            <w:rStyle w:val="Hyperlink"/>
            <w:rFonts w:cstheme="minorHAnsi"/>
            <w:sz w:val="23"/>
            <w:szCs w:val="23"/>
          </w:rPr>
          <w:t>https://www.gov.uk/government/publications/evaluation-of-the-european-regional-development-fund-2014-to-2020</w:t>
        </w:r>
      </w:hyperlink>
      <w:r w:rsidR="001A317E" w:rsidRPr="001B6D81">
        <w:rPr>
          <w:rFonts w:cstheme="minorHAnsi"/>
          <w:color w:val="000000"/>
          <w:sz w:val="23"/>
          <w:szCs w:val="23"/>
        </w:rPr>
        <w:t xml:space="preserve"> </w:t>
      </w:r>
    </w:p>
    <w:p w:rsidR="00CD3F8D" w:rsidRPr="001B6D81" w:rsidRDefault="00CD3F8D" w:rsidP="00861B2D">
      <w:pPr>
        <w:autoSpaceDE w:val="0"/>
        <w:autoSpaceDN w:val="0"/>
        <w:adjustRightInd w:val="0"/>
        <w:spacing w:after="0" w:line="240" w:lineRule="auto"/>
        <w:rPr>
          <w:rFonts w:cstheme="minorHAnsi"/>
          <w:color w:val="000000"/>
          <w:sz w:val="23"/>
          <w:szCs w:val="23"/>
        </w:rPr>
      </w:pPr>
    </w:p>
    <w:p w:rsidR="00CD3F8D" w:rsidRPr="001B6D81" w:rsidRDefault="00CD3F8D" w:rsidP="00861B2D">
      <w:pPr>
        <w:autoSpaceDE w:val="0"/>
        <w:autoSpaceDN w:val="0"/>
        <w:adjustRightInd w:val="0"/>
        <w:spacing w:after="0" w:line="240" w:lineRule="auto"/>
        <w:rPr>
          <w:rFonts w:cstheme="minorHAnsi"/>
          <w:color w:val="000000"/>
          <w:sz w:val="23"/>
          <w:szCs w:val="23"/>
        </w:rPr>
      </w:pPr>
      <w:r w:rsidRPr="001B6D81">
        <w:rPr>
          <w:rFonts w:cstheme="minorHAnsi"/>
          <w:color w:val="000000"/>
          <w:sz w:val="23"/>
          <w:szCs w:val="23"/>
        </w:rPr>
        <w:t xml:space="preserve">Specific details of the requirements are as follows: </w:t>
      </w:r>
    </w:p>
    <w:p w:rsidR="001A317E" w:rsidRPr="001B6D81" w:rsidRDefault="001A317E" w:rsidP="00861B2D">
      <w:pPr>
        <w:autoSpaceDE w:val="0"/>
        <w:autoSpaceDN w:val="0"/>
        <w:adjustRightInd w:val="0"/>
        <w:spacing w:after="0" w:line="240" w:lineRule="auto"/>
        <w:rPr>
          <w:rFonts w:cstheme="minorHAnsi"/>
          <w:b/>
          <w:bCs/>
          <w:iCs/>
          <w:color w:val="000000"/>
          <w:sz w:val="23"/>
          <w:szCs w:val="23"/>
        </w:rPr>
      </w:pPr>
    </w:p>
    <w:p w:rsidR="004067C6" w:rsidRPr="002C233D" w:rsidRDefault="006A3FC2" w:rsidP="002C233D">
      <w:pPr>
        <w:pStyle w:val="ListParagraph"/>
        <w:numPr>
          <w:ilvl w:val="0"/>
          <w:numId w:val="30"/>
        </w:numPr>
        <w:autoSpaceDE w:val="0"/>
        <w:autoSpaceDN w:val="0"/>
        <w:adjustRightInd w:val="0"/>
        <w:spacing w:after="0" w:line="240" w:lineRule="auto"/>
        <w:rPr>
          <w:rFonts w:cstheme="minorHAnsi"/>
          <w:color w:val="000000"/>
          <w:sz w:val="23"/>
          <w:szCs w:val="23"/>
        </w:rPr>
      </w:pPr>
      <w:r w:rsidRPr="002C233D">
        <w:rPr>
          <w:rFonts w:cstheme="minorHAnsi"/>
          <w:b/>
          <w:bCs/>
          <w:iCs/>
          <w:color w:val="000000"/>
          <w:sz w:val="23"/>
          <w:szCs w:val="23"/>
        </w:rPr>
        <w:t>ESIF-</w:t>
      </w:r>
      <w:r w:rsidR="00861B2D" w:rsidRPr="002C233D">
        <w:rPr>
          <w:rFonts w:cstheme="minorHAnsi"/>
          <w:b/>
          <w:bCs/>
          <w:iCs/>
          <w:color w:val="000000"/>
          <w:sz w:val="23"/>
          <w:szCs w:val="23"/>
        </w:rPr>
        <w:t xml:space="preserve">GN-1-011 – ERDF Summative Assessment Logic Model </w:t>
      </w:r>
    </w:p>
    <w:p w:rsidR="002C233D" w:rsidRPr="002C233D" w:rsidRDefault="002C233D" w:rsidP="002C233D">
      <w:pPr>
        <w:pStyle w:val="ListParagraph"/>
        <w:autoSpaceDE w:val="0"/>
        <w:autoSpaceDN w:val="0"/>
        <w:adjustRightInd w:val="0"/>
        <w:spacing w:after="0" w:line="240" w:lineRule="auto"/>
        <w:rPr>
          <w:rFonts w:cstheme="minorHAnsi"/>
          <w:color w:val="000000"/>
          <w:sz w:val="23"/>
          <w:szCs w:val="23"/>
        </w:rPr>
      </w:pPr>
    </w:p>
    <w:p w:rsidR="009E1E51" w:rsidRDefault="009E1E51" w:rsidP="002C233D">
      <w:pPr>
        <w:autoSpaceDE w:val="0"/>
        <w:autoSpaceDN w:val="0"/>
        <w:adjustRightInd w:val="0"/>
        <w:spacing w:after="0" w:line="240" w:lineRule="auto"/>
        <w:ind w:left="360"/>
        <w:jc w:val="both"/>
        <w:rPr>
          <w:rFonts w:cstheme="minorHAnsi"/>
          <w:color w:val="000000"/>
          <w:sz w:val="23"/>
          <w:szCs w:val="23"/>
        </w:rPr>
      </w:pPr>
    </w:p>
    <w:p w:rsidR="00861B2D" w:rsidRPr="001B6D81" w:rsidRDefault="00861B2D" w:rsidP="002C233D">
      <w:pPr>
        <w:autoSpaceDE w:val="0"/>
        <w:autoSpaceDN w:val="0"/>
        <w:adjustRightInd w:val="0"/>
        <w:spacing w:after="0" w:line="240" w:lineRule="auto"/>
        <w:ind w:left="360"/>
        <w:jc w:val="both"/>
        <w:rPr>
          <w:rFonts w:cstheme="minorHAnsi"/>
          <w:color w:val="000000"/>
          <w:sz w:val="23"/>
          <w:szCs w:val="23"/>
        </w:rPr>
      </w:pPr>
      <w:r w:rsidRPr="001B6D81">
        <w:rPr>
          <w:rFonts w:cstheme="minorHAnsi"/>
          <w:color w:val="000000"/>
          <w:sz w:val="23"/>
          <w:szCs w:val="23"/>
        </w:rPr>
        <w:t xml:space="preserve">The basis of the assessment is taken from a </w:t>
      </w:r>
      <w:r w:rsidR="002C233D">
        <w:rPr>
          <w:rFonts w:cstheme="minorHAnsi"/>
          <w:color w:val="000000"/>
          <w:sz w:val="23"/>
          <w:szCs w:val="23"/>
        </w:rPr>
        <w:t>logic model</w:t>
      </w:r>
      <w:r w:rsidR="00C2214D" w:rsidRPr="001B6D81">
        <w:rPr>
          <w:rFonts w:cstheme="minorHAnsi"/>
          <w:color w:val="000000"/>
          <w:sz w:val="23"/>
          <w:szCs w:val="23"/>
        </w:rPr>
        <w:t xml:space="preserve">, </w:t>
      </w:r>
      <w:r w:rsidR="00631A3B" w:rsidRPr="001B6D81">
        <w:rPr>
          <w:rFonts w:cstheme="minorHAnsi"/>
          <w:color w:val="000000"/>
          <w:sz w:val="23"/>
          <w:szCs w:val="23"/>
        </w:rPr>
        <w:t>completed in 2017</w:t>
      </w:r>
      <w:r w:rsidR="00C2214D" w:rsidRPr="001B6D81">
        <w:rPr>
          <w:rFonts w:cstheme="minorHAnsi"/>
          <w:color w:val="000000"/>
          <w:sz w:val="23"/>
          <w:szCs w:val="23"/>
        </w:rPr>
        <w:t>. T</w:t>
      </w:r>
      <w:r w:rsidRPr="001B6D81">
        <w:rPr>
          <w:rFonts w:cstheme="minorHAnsi"/>
          <w:color w:val="000000"/>
          <w:sz w:val="23"/>
          <w:szCs w:val="23"/>
        </w:rPr>
        <w:t>he sub-contractor will be required</w:t>
      </w:r>
      <w:r w:rsidR="002C233D">
        <w:rPr>
          <w:rFonts w:cstheme="minorHAnsi"/>
          <w:color w:val="000000"/>
          <w:sz w:val="23"/>
          <w:szCs w:val="23"/>
        </w:rPr>
        <w:t xml:space="preserve"> to refresh this logic m</w:t>
      </w:r>
      <w:r w:rsidR="00ED4738" w:rsidRPr="001B6D81">
        <w:rPr>
          <w:rFonts w:cstheme="minorHAnsi"/>
          <w:color w:val="000000"/>
          <w:sz w:val="23"/>
          <w:szCs w:val="23"/>
        </w:rPr>
        <w:t xml:space="preserve">odel, if necessary, to maximise relevance </w:t>
      </w:r>
      <w:r w:rsidRPr="001B6D81">
        <w:rPr>
          <w:rFonts w:cstheme="minorHAnsi"/>
          <w:color w:val="000000"/>
          <w:sz w:val="23"/>
          <w:szCs w:val="23"/>
        </w:rPr>
        <w:t>(</w:t>
      </w:r>
      <w:r w:rsidR="00C2214D" w:rsidRPr="001B6D81">
        <w:rPr>
          <w:rFonts w:cstheme="minorHAnsi"/>
          <w:b/>
          <w:bCs/>
          <w:color w:val="000000"/>
          <w:sz w:val="23"/>
          <w:szCs w:val="23"/>
        </w:rPr>
        <w:t>Appendix 1</w:t>
      </w:r>
      <w:r w:rsidRPr="001B6D81">
        <w:rPr>
          <w:rFonts w:cstheme="minorHAnsi"/>
          <w:b/>
          <w:bCs/>
          <w:color w:val="000000"/>
          <w:sz w:val="23"/>
          <w:szCs w:val="23"/>
        </w:rPr>
        <w:t>:</w:t>
      </w:r>
      <w:r w:rsidR="00C2214D" w:rsidRPr="001B6D81">
        <w:rPr>
          <w:rFonts w:cstheme="minorHAnsi"/>
          <w:b/>
          <w:bCs/>
          <w:color w:val="000000"/>
          <w:sz w:val="23"/>
          <w:szCs w:val="23"/>
        </w:rPr>
        <w:t xml:space="preserve"> </w:t>
      </w:r>
      <w:r w:rsidRPr="001B6D81">
        <w:rPr>
          <w:rFonts w:cstheme="minorHAnsi"/>
          <w:b/>
          <w:bCs/>
          <w:i/>
          <w:iCs/>
          <w:color w:val="000000"/>
          <w:sz w:val="23"/>
          <w:szCs w:val="23"/>
        </w:rPr>
        <w:t>ESIF-Form -1-011 – ERDF Summa</w:t>
      </w:r>
      <w:r w:rsidR="00ED4738" w:rsidRPr="001B6D81">
        <w:rPr>
          <w:rFonts w:cstheme="minorHAnsi"/>
          <w:b/>
          <w:bCs/>
          <w:i/>
          <w:iCs/>
          <w:color w:val="000000"/>
          <w:sz w:val="23"/>
          <w:szCs w:val="23"/>
        </w:rPr>
        <w:t xml:space="preserve">tive Assessment Logic Model v2). </w:t>
      </w:r>
      <w:r w:rsidR="002653BF" w:rsidRPr="001B6D81">
        <w:rPr>
          <w:rFonts w:cstheme="minorHAnsi"/>
          <w:color w:val="000000"/>
          <w:sz w:val="23"/>
          <w:szCs w:val="23"/>
        </w:rPr>
        <w:t xml:space="preserve"> </w:t>
      </w:r>
    </w:p>
    <w:p w:rsidR="00C2214D" w:rsidRPr="001B6D81" w:rsidRDefault="00C2214D" w:rsidP="001A317E">
      <w:pPr>
        <w:autoSpaceDE w:val="0"/>
        <w:autoSpaceDN w:val="0"/>
        <w:adjustRightInd w:val="0"/>
        <w:spacing w:after="0" w:line="240" w:lineRule="auto"/>
        <w:jc w:val="both"/>
        <w:rPr>
          <w:rFonts w:cstheme="minorHAnsi"/>
          <w:color w:val="000000"/>
          <w:sz w:val="23"/>
          <w:szCs w:val="23"/>
        </w:rPr>
      </w:pPr>
    </w:p>
    <w:p w:rsidR="00C2214D" w:rsidRPr="002C233D" w:rsidRDefault="006A3FC2" w:rsidP="002C233D">
      <w:pPr>
        <w:pStyle w:val="ListParagraph"/>
        <w:numPr>
          <w:ilvl w:val="0"/>
          <w:numId w:val="30"/>
        </w:numPr>
        <w:autoSpaceDE w:val="0"/>
        <w:autoSpaceDN w:val="0"/>
        <w:adjustRightInd w:val="0"/>
        <w:spacing w:after="0" w:line="240" w:lineRule="auto"/>
        <w:jc w:val="both"/>
        <w:rPr>
          <w:rFonts w:cstheme="minorHAnsi"/>
          <w:b/>
          <w:bCs/>
          <w:iCs/>
          <w:color w:val="000000"/>
          <w:sz w:val="23"/>
          <w:szCs w:val="23"/>
        </w:rPr>
      </w:pPr>
      <w:r w:rsidRPr="002C233D">
        <w:rPr>
          <w:rFonts w:cstheme="minorHAnsi"/>
          <w:b/>
          <w:bCs/>
          <w:iCs/>
          <w:color w:val="000000"/>
          <w:sz w:val="23"/>
          <w:szCs w:val="23"/>
        </w:rPr>
        <w:t>ESIF-GN-1-034 - Project plan</w:t>
      </w:r>
    </w:p>
    <w:p w:rsidR="002C233D" w:rsidRDefault="002C233D" w:rsidP="002C233D">
      <w:pPr>
        <w:autoSpaceDE w:val="0"/>
        <w:autoSpaceDN w:val="0"/>
        <w:adjustRightInd w:val="0"/>
        <w:spacing w:after="0" w:line="240" w:lineRule="auto"/>
        <w:ind w:left="360"/>
        <w:jc w:val="both"/>
        <w:rPr>
          <w:rFonts w:cstheme="minorHAnsi"/>
          <w:color w:val="000000"/>
          <w:sz w:val="23"/>
          <w:szCs w:val="23"/>
        </w:rPr>
      </w:pPr>
    </w:p>
    <w:p w:rsidR="002C233D" w:rsidRDefault="002C233D" w:rsidP="002C233D">
      <w:pPr>
        <w:autoSpaceDE w:val="0"/>
        <w:autoSpaceDN w:val="0"/>
        <w:adjustRightInd w:val="0"/>
        <w:spacing w:after="0" w:line="240" w:lineRule="auto"/>
        <w:ind w:left="360"/>
        <w:jc w:val="both"/>
        <w:rPr>
          <w:rFonts w:cstheme="minorHAnsi"/>
          <w:color w:val="000000"/>
          <w:sz w:val="23"/>
          <w:szCs w:val="23"/>
        </w:rPr>
      </w:pPr>
    </w:p>
    <w:p w:rsidR="00C2214D" w:rsidRPr="001B6D81" w:rsidRDefault="00C2214D" w:rsidP="002C233D">
      <w:pPr>
        <w:autoSpaceDE w:val="0"/>
        <w:autoSpaceDN w:val="0"/>
        <w:adjustRightInd w:val="0"/>
        <w:spacing w:after="0" w:line="240" w:lineRule="auto"/>
        <w:ind w:left="360"/>
        <w:jc w:val="both"/>
        <w:rPr>
          <w:rFonts w:cstheme="minorHAnsi"/>
          <w:color w:val="000000"/>
          <w:sz w:val="23"/>
          <w:szCs w:val="23"/>
        </w:rPr>
      </w:pPr>
      <w:r w:rsidRPr="001B6D81">
        <w:rPr>
          <w:rFonts w:cstheme="minorHAnsi"/>
          <w:color w:val="000000"/>
          <w:sz w:val="23"/>
          <w:szCs w:val="23"/>
        </w:rPr>
        <w:t xml:space="preserve">A summative </w:t>
      </w:r>
      <w:r w:rsidR="002C233D">
        <w:rPr>
          <w:rFonts w:cstheme="minorHAnsi"/>
          <w:color w:val="000000"/>
          <w:sz w:val="23"/>
          <w:szCs w:val="23"/>
        </w:rPr>
        <w:t>assessment plan was</w:t>
      </w:r>
      <w:r w:rsidRPr="001B6D81">
        <w:rPr>
          <w:rFonts w:cstheme="minorHAnsi"/>
          <w:color w:val="000000"/>
          <w:sz w:val="23"/>
          <w:szCs w:val="23"/>
        </w:rPr>
        <w:t xml:space="preserve"> completed in 2018, however, the supplier will be required to update and improve this plan to ensure that the necessary research can be conducted within the relevant timelines</w:t>
      </w:r>
      <w:r w:rsidR="005B44EF" w:rsidRPr="001B6D81">
        <w:rPr>
          <w:rFonts w:cstheme="minorHAnsi"/>
          <w:color w:val="000000"/>
          <w:sz w:val="23"/>
          <w:szCs w:val="23"/>
        </w:rPr>
        <w:t xml:space="preserve"> and available budget</w:t>
      </w:r>
      <w:r w:rsidRPr="001B6D81">
        <w:rPr>
          <w:rFonts w:cstheme="minorHAnsi"/>
          <w:color w:val="000000"/>
          <w:sz w:val="23"/>
          <w:szCs w:val="23"/>
        </w:rPr>
        <w:t xml:space="preserve">. </w:t>
      </w:r>
    </w:p>
    <w:p w:rsidR="002653BF" w:rsidRPr="001B6D81" w:rsidRDefault="002653BF" w:rsidP="00CD2E41">
      <w:pPr>
        <w:autoSpaceDE w:val="0"/>
        <w:autoSpaceDN w:val="0"/>
        <w:adjustRightInd w:val="0"/>
        <w:spacing w:after="0" w:line="240" w:lineRule="auto"/>
        <w:rPr>
          <w:rFonts w:cstheme="minorHAnsi"/>
          <w:b/>
          <w:bCs/>
          <w:i/>
          <w:iCs/>
          <w:color w:val="000000"/>
          <w:sz w:val="23"/>
          <w:szCs w:val="23"/>
        </w:rPr>
      </w:pPr>
    </w:p>
    <w:p w:rsidR="00CD2E41" w:rsidRPr="002C233D" w:rsidRDefault="00CD2E41" w:rsidP="002C233D">
      <w:pPr>
        <w:pStyle w:val="ListParagraph"/>
        <w:numPr>
          <w:ilvl w:val="0"/>
          <w:numId w:val="30"/>
        </w:numPr>
        <w:autoSpaceDE w:val="0"/>
        <w:autoSpaceDN w:val="0"/>
        <w:adjustRightInd w:val="0"/>
        <w:spacing w:after="0" w:line="240" w:lineRule="auto"/>
        <w:rPr>
          <w:rFonts w:cstheme="minorHAnsi"/>
          <w:color w:val="000000"/>
          <w:sz w:val="23"/>
          <w:szCs w:val="23"/>
        </w:rPr>
      </w:pPr>
      <w:r w:rsidRPr="002C233D">
        <w:rPr>
          <w:rFonts w:cstheme="minorHAnsi"/>
          <w:b/>
          <w:bCs/>
          <w:iCs/>
          <w:color w:val="000000"/>
          <w:sz w:val="23"/>
          <w:szCs w:val="23"/>
        </w:rPr>
        <w:t xml:space="preserve">ESIF Form 1-014 – Summative Assessment Report Summary </w:t>
      </w:r>
    </w:p>
    <w:p w:rsidR="002C233D" w:rsidRDefault="002C233D" w:rsidP="002C233D">
      <w:pPr>
        <w:autoSpaceDE w:val="0"/>
        <w:autoSpaceDN w:val="0"/>
        <w:adjustRightInd w:val="0"/>
        <w:spacing w:after="0" w:line="240" w:lineRule="auto"/>
        <w:ind w:left="360"/>
        <w:jc w:val="both"/>
        <w:rPr>
          <w:rFonts w:cstheme="minorHAnsi"/>
          <w:color w:val="000000"/>
          <w:sz w:val="23"/>
          <w:szCs w:val="23"/>
        </w:rPr>
      </w:pPr>
    </w:p>
    <w:p w:rsidR="00CD2E41" w:rsidRPr="001B6D81" w:rsidRDefault="00CD2E41" w:rsidP="002C233D">
      <w:pPr>
        <w:autoSpaceDE w:val="0"/>
        <w:autoSpaceDN w:val="0"/>
        <w:adjustRightInd w:val="0"/>
        <w:spacing w:after="0" w:line="240" w:lineRule="auto"/>
        <w:ind w:left="360"/>
        <w:jc w:val="both"/>
        <w:rPr>
          <w:rFonts w:cstheme="minorHAnsi"/>
          <w:color w:val="000000"/>
          <w:sz w:val="23"/>
          <w:szCs w:val="23"/>
        </w:rPr>
      </w:pPr>
      <w:r w:rsidRPr="001B6D81">
        <w:rPr>
          <w:rFonts w:cstheme="minorHAnsi"/>
          <w:color w:val="000000"/>
          <w:sz w:val="23"/>
          <w:szCs w:val="23"/>
        </w:rPr>
        <w:t xml:space="preserve">The </w:t>
      </w:r>
      <w:r w:rsidR="005B44EF" w:rsidRPr="001B6D81">
        <w:rPr>
          <w:rFonts w:cstheme="minorHAnsi"/>
          <w:color w:val="000000"/>
          <w:sz w:val="23"/>
          <w:szCs w:val="23"/>
        </w:rPr>
        <w:t xml:space="preserve">final </w:t>
      </w:r>
      <w:r w:rsidRPr="001B6D81">
        <w:rPr>
          <w:rFonts w:cstheme="minorHAnsi"/>
          <w:color w:val="000000"/>
          <w:sz w:val="23"/>
          <w:szCs w:val="23"/>
        </w:rPr>
        <w:t xml:space="preserve">summative assessment report summary must be produced using this standard template. </w:t>
      </w:r>
    </w:p>
    <w:p w:rsidR="002653BF" w:rsidRPr="001B6D81" w:rsidRDefault="002653BF" w:rsidP="002653BF">
      <w:pPr>
        <w:autoSpaceDE w:val="0"/>
        <w:autoSpaceDN w:val="0"/>
        <w:adjustRightInd w:val="0"/>
        <w:spacing w:after="0" w:line="240" w:lineRule="auto"/>
        <w:jc w:val="both"/>
        <w:rPr>
          <w:rFonts w:cstheme="minorHAnsi"/>
          <w:color w:val="000000"/>
          <w:sz w:val="23"/>
          <w:szCs w:val="23"/>
        </w:rPr>
      </w:pPr>
    </w:p>
    <w:p w:rsidR="00CD2E41" w:rsidRDefault="00CD2E41" w:rsidP="002C233D">
      <w:pPr>
        <w:autoSpaceDE w:val="0"/>
        <w:autoSpaceDN w:val="0"/>
        <w:adjustRightInd w:val="0"/>
        <w:spacing w:after="0" w:line="240" w:lineRule="auto"/>
        <w:ind w:left="360"/>
        <w:jc w:val="both"/>
        <w:rPr>
          <w:rFonts w:cstheme="minorHAnsi"/>
          <w:color w:val="000000"/>
          <w:sz w:val="23"/>
          <w:szCs w:val="23"/>
        </w:rPr>
      </w:pPr>
      <w:r w:rsidRPr="001B6D81">
        <w:rPr>
          <w:rFonts w:cstheme="minorHAnsi"/>
          <w:color w:val="000000"/>
          <w:sz w:val="23"/>
          <w:szCs w:val="23"/>
        </w:rPr>
        <w:t xml:space="preserve">The summative assessment aims to identify and attribute changes achieved by the programme. As detailed within the ERDF guidance (links below), all assessments will need to cover the following key themes: </w:t>
      </w:r>
    </w:p>
    <w:p w:rsidR="002C233D" w:rsidRPr="001B6D81" w:rsidRDefault="002C233D" w:rsidP="002C233D">
      <w:pPr>
        <w:autoSpaceDE w:val="0"/>
        <w:autoSpaceDN w:val="0"/>
        <w:adjustRightInd w:val="0"/>
        <w:spacing w:after="0" w:line="240" w:lineRule="auto"/>
        <w:ind w:left="360"/>
        <w:jc w:val="both"/>
        <w:rPr>
          <w:rFonts w:cstheme="minorHAnsi"/>
          <w:color w:val="000000"/>
          <w:sz w:val="23"/>
          <w:szCs w:val="23"/>
        </w:rPr>
      </w:pPr>
    </w:p>
    <w:p w:rsidR="00CD2E41" w:rsidRPr="001B6D81" w:rsidRDefault="009E1E51" w:rsidP="002653BF">
      <w:pPr>
        <w:pStyle w:val="Default"/>
        <w:numPr>
          <w:ilvl w:val="0"/>
          <w:numId w:val="21"/>
        </w:numPr>
        <w:jc w:val="both"/>
        <w:rPr>
          <w:rFonts w:asciiTheme="minorHAnsi" w:hAnsiTheme="minorHAnsi" w:cstheme="minorHAnsi"/>
          <w:sz w:val="23"/>
          <w:szCs w:val="23"/>
        </w:rPr>
      </w:pPr>
      <w:r>
        <w:rPr>
          <w:rFonts w:asciiTheme="minorHAnsi" w:hAnsiTheme="minorHAnsi" w:cstheme="minorHAnsi"/>
          <w:b/>
          <w:sz w:val="23"/>
          <w:szCs w:val="23"/>
        </w:rPr>
        <w:t>Relevance</w:t>
      </w:r>
      <w:r w:rsidR="00CD2E41" w:rsidRPr="001B6D81">
        <w:rPr>
          <w:rFonts w:asciiTheme="minorHAnsi" w:hAnsiTheme="minorHAnsi" w:cstheme="minorHAnsi"/>
          <w:b/>
          <w:sz w:val="23"/>
          <w:szCs w:val="23"/>
        </w:rPr>
        <w:t xml:space="preserve"> and consistency of the programme</w:t>
      </w:r>
      <w:r w:rsidR="00CD2E41" w:rsidRPr="001B6D81">
        <w:rPr>
          <w:rFonts w:asciiTheme="minorHAnsi" w:hAnsiTheme="minorHAnsi" w:cstheme="minorHAnsi"/>
          <w:sz w:val="23"/>
          <w:szCs w:val="23"/>
        </w:rPr>
        <w:t xml:space="preserve"> - in light of any changes in policy or economic circumstances during its delivery period and appropriateness of programme design. </w:t>
      </w:r>
    </w:p>
    <w:p w:rsidR="00CD2E41" w:rsidRPr="001B6D81" w:rsidRDefault="00CD2E41" w:rsidP="002653BF">
      <w:pPr>
        <w:pStyle w:val="Default"/>
        <w:numPr>
          <w:ilvl w:val="0"/>
          <w:numId w:val="21"/>
        </w:numPr>
        <w:jc w:val="both"/>
        <w:rPr>
          <w:rFonts w:asciiTheme="minorHAnsi" w:hAnsiTheme="minorHAnsi" w:cstheme="minorHAnsi"/>
          <w:sz w:val="23"/>
          <w:szCs w:val="23"/>
        </w:rPr>
      </w:pPr>
      <w:r w:rsidRPr="001B6D81">
        <w:rPr>
          <w:rFonts w:asciiTheme="minorHAnsi" w:hAnsiTheme="minorHAnsi" w:cstheme="minorHAnsi"/>
          <w:b/>
          <w:sz w:val="23"/>
          <w:szCs w:val="23"/>
        </w:rPr>
        <w:t>Progress of the programme against contractual targets</w:t>
      </w:r>
      <w:r w:rsidRPr="001B6D81">
        <w:rPr>
          <w:rFonts w:asciiTheme="minorHAnsi" w:hAnsiTheme="minorHAnsi" w:cstheme="minorHAnsi"/>
          <w:sz w:val="23"/>
          <w:szCs w:val="23"/>
        </w:rPr>
        <w:t xml:space="preserve"> – any reasons for under / over-performance and expected lifetime results. </w:t>
      </w:r>
    </w:p>
    <w:p w:rsidR="00CD2E41" w:rsidRPr="001B6D81" w:rsidRDefault="00CD2E41" w:rsidP="002653BF">
      <w:pPr>
        <w:pStyle w:val="Default"/>
        <w:numPr>
          <w:ilvl w:val="0"/>
          <w:numId w:val="21"/>
        </w:numPr>
        <w:jc w:val="both"/>
        <w:rPr>
          <w:rFonts w:asciiTheme="minorHAnsi" w:hAnsiTheme="minorHAnsi" w:cstheme="minorHAnsi"/>
          <w:b/>
          <w:sz w:val="23"/>
          <w:szCs w:val="23"/>
        </w:rPr>
      </w:pPr>
      <w:r w:rsidRPr="001B6D81">
        <w:rPr>
          <w:rFonts w:asciiTheme="minorHAnsi" w:hAnsiTheme="minorHAnsi" w:cstheme="minorHAnsi"/>
          <w:b/>
          <w:sz w:val="23"/>
          <w:szCs w:val="23"/>
        </w:rPr>
        <w:t xml:space="preserve">The experience of delivering and managing the programme </w:t>
      </w:r>
      <w:r w:rsidR="00C2214D" w:rsidRPr="001B6D81">
        <w:rPr>
          <w:rFonts w:asciiTheme="minorHAnsi" w:hAnsiTheme="minorHAnsi" w:cstheme="minorHAnsi"/>
          <w:b/>
          <w:sz w:val="23"/>
          <w:szCs w:val="23"/>
        </w:rPr>
        <w:t xml:space="preserve">– </w:t>
      </w:r>
      <w:r w:rsidR="00C2214D" w:rsidRPr="001B6D81">
        <w:rPr>
          <w:rFonts w:asciiTheme="minorHAnsi" w:hAnsiTheme="minorHAnsi" w:cstheme="minorHAnsi"/>
          <w:sz w:val="23"/>
          <w:szCs w:val="23"/>
        </w:rPr>
        <w:t>including lessons emerging from this</w:t>
      </w:r>
    </w:p>
    <w:p w:rsidR="00C2214D" w:rsidRPr="001B6D81" w:rsidRDefault="00C2214D" w:rsidP="002653BF">
      <w:pPr>
        <w:pStyle w:val="Default"/>
        <w:numPr>
          <w:ilvl w:val="0"/>
          <w:numId w:val="21"/>
        </w:numPr>
        <w:jc w:val="both"/>
        <w:rPr>
          <w:rFonts w:asciiTheme="minorHAnsi" w:hAnsiTheme="minorHAnsi" w:cstheme="minorHAnsi"/>
          <w:b/>
          <w:sz w:val="23"/>
          <w:szCs w:val="23"/>
        </w:rPr>
      </w:pPr>
      <w:r w:rsidRPr="001B6D81">
        <w:rPr>
          <w:rFonts w:asciiTheme="minorHAnsi" w:hAnsiTheme="minorHAnsi" w:cstheme="minorHAnsi"/>
          <w:b/>
          <w:sz w:val="23"/>
          <w:szCs w:val="23"/>
        </w:rPr>
        <w:t xml:space="preserve">The economic impact attributable to the project </w:t>
      </w:r>
      <w:r w:rsidRPr="001B6D81">
        <w:rPr>
          <w:rFonts w:asciiTheme="minorHAnsi" w:hAnsiTheme="minorHAnsi" w:cstheme="minorHAnsi"/>
          <w:sz w:val="23"/>
          <w:szCs w:val="23"/>
        </w:rPr>
        <w:t>– measured in GVA</w:t>
      </w:r>
    </w:p>
    <w:p w:rsidR="00C2214D" w:rsidRPr="001B6D81" w:rsidRDefault="00C2214D" w:rsidP="002653BF">
      <w:pPr>
        <w:pStyle w:val="Default"/>
        <w:numPr>
          <w:ilvl w:val="0"/>
          <w:numId w:val="21"/>
        </w:numPr>
        <w:jc w:val="both"/>
        <w:rPr>
          <w:rFonts w:asciiTheme="minorHAnsi" w:hAnsiTheme="minorHAnsi" w:cstheme="minorHAnsi"/>
          <w:b/>
          <w:sz w:val="23"/>
          <w:szCs w:val="23"/>
        </w:rPr>
      </w:pPr>
      <w:r w:rsidRPr="001B6D81">
        <w:rPr>
          <w:rFonts w:asciiTheme="minorHAnsi" w:hAnsiTheme="minorHAnsi" w:cstheme="minorHAnsi"/>
          <w:b/>
          <w:sz w:val="23"/>
          <w:szCs w:val="23"/>
        </w:rPr>
        <w:t>The cost ef</w:t>
      </w:r>
      <w:r w:rsidR="004C4C58">
        <w:rPr>
          <w:rFonts w:asciiTheme="minorHAnsi" w:hAnsiTheme="minorHAnsi" w:cstheme="minorHAnsi"/>
          <w:b/>
          <w:sz w:val="23"/>
          <w:szCs w:val="23"/>
        </w:rPr>
        <w:t>fectiveness of the project and subsequently</w:t>
      </w:r>
      <w:r w:rsidRPr="001B6D81">
        <w:rPr>
          <w:rFonts w:asciiTheme="minorHAnsi" w:hAnsiTheme="minorHAnsi" w:cstheme="minorHAnsi"/>
          <w:b/>
          <w:sz w:val="23"/>
          <w:szCs w:val="23"/>
        </w:rPr>
        <w:t xml:space="preserve"> it’s value for money</w:t>
      </w:r>
    </w:p>
    <w:p w:rsidR="00C2214D" w:rsidRPr="001B6D81" w:rsidRDefault="00C2214D" w:rsidP="00C2214D">
      <w:pPr>
        <w:pStyle w:val="Default"/>
        <w:jc w:val="both"/>
        <w:rPr>
          <w:rFonts w:asciiTheme="minorHAnsi" w:hAnsiTheme="minorHAnsi" w:cstheme="minorHAnsi"/>
          <w:b/>
          <w:sz w:val="23"/>
          <w:szCs w:val="23"/>
        </w:rPr>
      </w:pPr>
    </w:p>
    <w:p w:rsidR="00C2214D" w:rsidRPr="001B6D81" w:rsidRDefault="00C2214D" w:rsidP="00C2214D">
      <w:pPr>
        <w:pStyle w:val="Default"/>
        <w:jc w:val="both"/>
        <w:rPr>
          <w:rFonts w:asciiTheme="minorHAnsi" w:hAnsiTheme="minorHAnsi" w:cstheme="minorHAnsi"/>
          <w:sz w:val="23"/>
          <w:szCs w:val="23"/>
        </w:rPr>
      </w:pPr>
      <w:r w:rsidRPr="001B6D81">
        <w:rPr>
          <w:rFonts w:asciiTheme="minorHAnsi" w:hAnsiTheme="minorHAnsi" w:cstheme="minorHAnsi"/>
          <w:sz w:val="23"/>
          <w:szCs w:val="23"/>
        </w:rPr>
        <w:t>Due to the size of the programme, a counterfactual is not an essential requirement. Additionally, due to the area coverage of the Enterprising West of England programme ensuring a relevant sample may provide some challenges. Applicants should therefore consider the best approach for delivering a robust summa</w:t>
      </w:r>
      <w:r w:rsidR="004C4C58">
        <w:rPr>
          <w:rFonts w:asciiTheme="minorHAnsi" w:hAnsiTheme="minorHAnsi" w:cstheme="minorHAnsi"/>
          <w:sz w:val="23"/>
          <w:szCs w:val="23"/>
        </w:rPr>
        <w:t>tive assessment and include these considerations</w:t>
      </w:r>
      <w:r w:rsidRPr="001B6D81">
        <w:rPr>
          <w:rFonts w:asciiTheme="minorHAnsi" w:hAnsiTheme="minorHAnsi" w:cstheme="minorHAnsi"/>
          <w:sz w:val="23"/>
          <w:szCs w:val="23"/>
        </w:rPr>
        <w:t xml:space="preserve"> in their proposals. </w:t>
      </w:r>
    </w:p>
    <w:p w:rsidR="00C2214D" w:rsidRPr="001B6D81" w:rsidRDefault="00C2214D" w:rsidP="00C2214D">
      <w:pPr>
        <w:pStyle w:val="Default"/>
        <w:jc w:val="both"/>
        <w:rPr>
          <w:rFonts w:asciiTheme="minorHAnsi" w:hAnsiTheme="minorHAnsi" w:cstheme="minorHAnsi"/>
          <w:sz w:val="23"/>
          <w:szCs w:val="23"/>
        </w:rPr>
      </w:pPr>
    </w:p>
    <w:p w:rsidR="00C2214D" w:rsidRPr="00537FAB" w:rsidRDefault="001B6D81" w:rsidP="00537FAB">
      <w:pPr>
        <w:autoSpaceDE w:val="0"/>
        <w:autoSpaceDN w:val="0"/>
        <w:adjustRightInd w:val="0"/>
        <w:spacing w:after="0" w:line="240" w:lineRule="auto"/>
        <w:rPr>
          <w:rFonts w:cstheme="minorHAnsi"/>
          <w:b/>
          <w:bCs/>
          <w:color w:val="000000"/>
          <w:sz w:val="28"/>
          <w:szCs w:val="28"/>
        </w:rPr>
      </w:pPr>
      <w:r w:rsidRPr="00537FAB">
        <w:rPr>
          <w:rFonts w:cstheme="minorHAnsi"/>
          <w:b/>
          <w:bCs/>
          <w:color w:val="000000"/>
          <w:sz w:val="28"/>
          <w:szCs w:val="28"/>
        </w:rPr>
        <w:t>Scope and t</w:t>
      </w:r>
      <w:r w:rsidR="005B44EF" w:rsidRPr="00537FAB">
        <w:rPr>
          <w:rFonts w:cstheme="minorHAnsi"/>
          <w:b/>
          <w:bCs/>
          <w:color w:val="000000"/>
          <w:sz w:val="28"/>
          <w:szCs w:val="28"/>
        </w:rPr>
        <w:t>imefra</w:t>
      </w:r>
      <w:r w:rsidR="00C2214D" w:rsidRPr="00537FAB">
        <w:rPr>
          <w:rFonts w:cstheme="minorHAnsi"/>
          <w:b/>
          <w:bCs/>
          <w:color w:val="000000"/>
          <w:sz w:val="28"/>
          <w:szCs w:val="28"/>
        </w:rPr>
        <w:t xml:space="preserve">me </w:t>
      </w:r>
    </w:p>
    <w:p w:rsidR="005B44EF" w:rsidRPr="001B6D81" w:rsidRDefault="005B44EF" w:rsidP="00C2214D">
      <w:pPr>
        <w:pStyle w:val="Default"/>
        <w:jc w:val="both"/>
        <w:rPr>
          <w:rFonts w:asciiTheme="minorHAnsi" w:hAnsiTheme="minorHAnsi" w:cstheme="minorHAnsi"/>
          <w:b/>
          <w:sz w:val="23"/>
          <w:szCs w:val="23"/>
        </w:rPr>
      </w:pPr>
    </w:p>
    <w:p w:rsidR="00F70362" w:rsidRPr="001B6D81" w:rsidRDefault="00F70362" w:rsidP="00C2214D">
      <w:pPr>
        <w:pStyle w:val="Default"/>
        <w:jc w:val="both"/>
        <w:rPr>
          <w:rFonts w:asciiTheme="minorHAnsi" w:hAnsiTheme="minorHAnsi" w:cstheme="minorHAnsi"/>
          <w:sz w:val="23"/>
          <w:szCs w:val="23"/>
        </w:rPr>
      </w:pPr>
      <w:r w:rsidRPr="001B6D81">
        <w:rPr>
          <w:rFonts w:asciiTheme="minorHAnsi" w:hAnsiTheme="minorHAnsi" w:cstheme="minorHAnsi"/>
          <w:sz w:val="23"/>
          <w:szCs w:val="23"/>
        </w:rPr>
        <w:t xml:space="preserve">The final summative assessment report will be due to CLG in September 2019 with the Q3 claim for funding. With this in mind, the timeframe and scope for delivery should factor in: </w:t>
      </w:r>
    </w:p>
    <w:p w:rsidR="00F70362" w:rsidRPr="001B6D81" w:rsidRDefault="00F70362" w:rsidP="00C2214D">
      <w:pPr>
        <w:pStyle w:val="Default"/>
        <w:jc w:val="both"/>
        <w:rPr>
          <w:rFonts w:asciiTheme="minorHAnsi" w:hAnsiTheme="minorHAnsi" w:cstheme="minorHAnsi"/>
          <w:sz w:val="23"/>
          <w:szCs w:val="23"/>
        </w:rPr>
      </w:pPr>
    </w:p>
    <w:p w:rsidR="00F70362" w:rsidRPr="001B6D81" w:rsidRDefault="00F70362" w:rsidP="00F70362">
      <w:pPr>
        <w:pStyle w:val="Default"/>
        <w:numPr>
          <w:ilvl w:val="0"/>
          <w:numId w:val="26"/>
        </w:numPr>
        <w:jc w:val="both"/>
        <w:rPr>
          <w:rFonts w:asciiTheme="minorHAnsi" w:hAnsiTheme="minorHAnsi" w:cstheme="minorHAnsi"/>
          <w:sz w:val="23"/>
          <w:szCs w:val="23"/>
        </w:rPr>
      </w:pPr>
      <w:r w:rsidRPr="001B6D81">
        <w:rPr>
          <w:rFonts w:asciiTheme="minorHAnsi" w:hAnsiTheme="minorHAnsi" w:cstheme="minorHAnsi"/>
          <w:sz w:val="23"/>
          <w:szCs w:val="23"/>
        </w:rPr>
        <w:t>An initial planning meeting</w:t>
      </w:r>
      <w:r w:rsidR="004C4C58">
        <w:rPr>
          <w:rFonts w:asciiTheme="minorHAnsi" w:hAnsiTheme="minorHAnsi" w:cstheme="minorHAnsi"/>
          <w:sz w:val="23"/>
          <w:szCs w:val="23"/>
        </w:rPr>
        <w:t>, to be scheduled within 2 weeks</w:t>
      </w:r>
      <w:r w:rsidRPr="001B6D81">
        <w:rPr>
          <w:rFonts w:asciiTheme="minorHAnsi" w:hAnsiTheme="minorHAnsi" w:cstheme="minorHAnsi"/>
          <w:sz w:val="23"/>
          <w:szCs w:val="23"/>
        </w:rPr>
        <w:t xml:space="preserve"> of the selection of the preferred supplier. </w:t>
      </w:r>
    </w:p>
    <w:p w:rsidR="00F70362" w:rsidRPr="001B6D81" w:rsidRDefault="00F70362" w:rsidP="00F70362">
      <w:pPr>
        <w:pStyle w:val="Default"/>
        <w:numPr>
          <w:ilvl w:val="0"/>
          <w:numId w:val="26"/>
        </w:numPr>
        <w:jc w:val="both"/>
        <w:rPr>
          <w:rFonts w:asciiTheme="minorHAnsi" w:hAnsiTheme="minorHAnsi" w:cstheme="minorHAnsi"/>
          <w:sz w:val="23"/>
          <w:szCs w:val="23"/>
        </w:rPr>
      </w:pPr>
      <w:r w:rsidRPr="001B6D81">
        <w:rPr>
          <w:rFonts w:asciiTheme="minorHAnsi" w:hAnsiTheme="minorHAnsi" w:cstheme="minorHAnsi"/>
          <w:sz w:val="23"/>
          <w:szCs w:val="23"/>
        </w:rPr>
        <w:t xml:space="preserve">A draft version of the report to be submitted </w:t>
      </w:r>
      <w:r w:rsidR="001B6D81" w:rsidRPr="001B6D81">
        <w:rPr>
          <w:rFonts w:asciiTheme="minorHAnsi" w:hAnsiTheme="minorHAnsi" w:cstheme="minorHAnsi"/>
          <w:sz w:val="23"/>
          <w:szCs w:val="23"/>
        </w:rPr>
        <w:t xml:space="preserve">no later than </w:t>
      </w:r>
      <w:r w:rsidR="00D53DB2">
        <w:rPr>
          <w:rFonts w:asciiTheme="minorHAnsi" w:hAnsiTheme="minorHAnsi" w:cstheme="minorHAnsi"/>
          <w:sz w:val="23"/>
          <w:szCs w:val="23"/>
        </w:rPr>
        <w:t>1</w:t>
      </w:r>
      <w:r w:rsidR="00D53DB2" w:rsidRPr="00D53DB2">
        <w:rPr>
          <w:rFonts w:asciiTheme="minorHAnsi" w:hAnsiTheme="minorHAnsi" w:cstheme="minorHAnsi"/>
          <w:sz w:val="23"/>
          <w:szCs w:val="23"/>
          <w:vertAlign w:val="superscript"/>
        </w:rPr>
        <w:t>st</w:t>
      </w:r>
      <w:r w:rsidR="00D53DB2">
        <w:rPr>
          <w:rFonts w:asciiTheme="minorHAnsi" w:hAnsiTheme="minorHAnsi" w:cstheme="minorHAnsi"/>
          <w:sz w:val="23"/>
          <w:szCs w:val="23"/>
        </w:rPr>
        <w:t xml:space="preserve"> </w:t>
      </w:r>
      <w:r w:rsidR="004C4C58">
        <w:rPr>
          <w:rFonts w:asciiTheme="minorHAnsi" w:hAnsiTheme="minorHAnsi" w:cstheme="minorHAnsi"/>
          <w:sz w:val="23"/>
          <w:szCs w:val="23"/>
        </w:rPr>
        <w:t xml:space="preserve"> </w:t>
      </w:r>
      <w:r w:rsidR="00D53DB2">
        <w:rPr>
          <w:rFonts w:asciiTheme="minorHAnsi" w:hAnsiTheme="minorHAnsi" w:cstheme="minorHAnsi"/>
          <w:sz w:val="23"/>
          <w:szCs w:val="23"/>
        </w:rPr>
        <w:t>September 2019</w:t>
      </w:r>
      <w:r w:rsidRPr="001B6D81">
        <w:rPr>
          <w:rFonts w:asciiTheme="minorHAnsi" w:hAnsiTheme="minorHAnsi" w:cstheme="minorHAnsi"/>
          <w:sz w:val="23"/>
          <w:szCs w:val="23"/>
        </w:rPr>
        <w:t xml:space="preserve"> </w:t>
      </w:r>
    </w:p>
    <w:p w:rsidR="00F70362" w:rsidRDefault="00F70362" w:rsidP="00F70362">
      <w:pPr>
        <w:pStyle w:val="Default"/>
        <w:numPr>
          <w:ilvl w:val="0"/>
          <w:numId w:val="26"/>
        </w:numPr>
        <w:jc w:val="both"/>
        <w:rPr>
          <w:rFonts w:asciiTheme="minorHAnsi" w:hAnsiTheme="minorHAnsi" w:cstheme="minorHAnsi"/>
          <w:sz w:val="23"/>
          <w:szCs w:val="23"/>
        </w:rPr>
      </w:pPr>
      <w:r w:rsidRPr="001B6D81">
        <w:rPr>
          <w:rFonts w:asciiTheme="minorHAnsi" w:hAnsiTheme="minorHAnsi" w:cstheme="minorHAnsi"/>
          <w:sz w:val="23"/>
          <w:szCs w:val="23"/>
        </w:rPr>
        <w:t xml:space="preserve">The final report should </w:t>
      </w:r>
      <w:r w:rsidR="00D53DB2">
        <w:rPr>
          <w:rFonts w:asciiTheme="minorHAnsi" w:hAnsiTheme="minorHAnsi" w:cstheme="minorHAnsi"/>
          <w:sz w:val="23"/>
          <w:szCs w:val="23"/>
        </w:rPr>
        <w:t>be submitted no later than the 15</w:t>
      </w:r>
      <w:r w:rsidR="00D53DB2">
        <w:rPr>
          <w:rFonts w:asciiTheme="minorHAnsi" w:hAnsiTheme="minorHAnsi" w:cstheme="minorHAnsi"/>
          <w:sz w:val="23"/>
          <w:szCs w:val="23"/>
          <w:vertAlign w:val="superscript"/>
        </w:rPr>
        <w:t>th</w:t>
      </w:r>
      <w:r w:rsidR="00DF1EC9">
        <w:rPr>
          <w:rFonts w:asciiTheme="minorHAnsi" w:hAnsiTheme="minorHAnsi" w:cstheme="minorHAnsi"/>
          <w:sz w:val="23"/>
          <w:szCs w:val="23"/>
        </w:rPr>
        <w:t xml:space="preserve"> September 2019</w:t>
      </w:r>
      <w:r w:rsidRPr="001B6D81">
        <w:rPr>
          <w:rFonts w:asciiTheme="minorHAnsi" w:hAnsiTheme="minorHAnsi" w:cstheme="minorHAnsi"/>
          <w:sz w:val="23"/>
          <w:szCs w:val="23"/>
        </w:rPr>
        <w:t xml:space="preserve">. </w:t>
      </w:r>
    </w:p>
    <w:p w:rsidR="00D53DB2" w:rsidRDefault="00D53DB2" w:rsidP="00D53DB2">
      <w:pPr>
        <w:pStyle w:val="Default"/>
        <w:jc w:val="both"/>
        <w:rPr>
          <w:rFonts w:asciiTheme="minorHAnsi" w:hAnsiTheme="minorHAnsi" w:cstheme="minorHAnsi"/>
          <w:sz w:val="23"/>
          <w:szCs w:val="23"/>
        </w:rPr>
      </w:pPr>
    </w:p>
    <w:p w:rsidR="00D53DB2" w:rsidRDefault="00D53DB2" w:rsidP="00D53DB2">
      <w:pPr>
        <w:pStyle w:val="Default"/>
        <w:jc w:val="both"/>
        <w:rPr>
          <w:rFonts w:asciiTheme="minorHAnsi" w:hAnsiTheme="minorHAnsi" w:cstheme="minorHAnsi"/>
          <w:sz w:val="23"/>
          <w:szCs w:val="23"/>
        </w:rPr>
      </w:pPr>
    </w:p>
    <w:p w:rsidR="00240DBF" w:rsidRDefault="00240DBF">
      <w:pPr>
        <w:rPr>
          <w:rFonts w:cstheme="minorHAnsi"/>
          <w:b/>
          <w:bCs/>
          <w:color w:val="000000"/>
          <w:sz w:val="28"/>
          <w:szCs w:val="28"/>
        </w:rPr>
      </w:pPr>
      <w:r>
        <w:rPr>
          <w:rFonts w:cstheme="minorHAnsi"/>
          <w:b/>
          <w:bCs/>
          <w:color w:val="000000"/>
          <w:sz w:val="28"/>
          <w:szCs w:val="28"/>
        </w:rPr>
        <w:br w:type="page"/>
      </w:r>
    </w:p>
    <w:p w:rsidR="00D53DB2" w:rsidRDefault="00D53DB2" w:rsidP="00D53DB2">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lastRenderedPageBreak/>
        <w:t>Milestones</w:t>
      </w:r>
      <w:r w:rsidR="00240DBF">
        <w:rPr>
          <w:rFonts w:cstheme="minorHAnsi"/>
          <w:b/>
          <w:bCs/>
          <w:color w:val="000000"/>
          <w:sz w:val="28"/>
          <w:szCs w:val="28"/>
        </w:rPr>
        <w:t xml:space="preserve"> and payment terms</w:t>
      </w:r>
    </w:p>
    <w:p w:rsidR="00A46DA3" w:rsidRDefault="00A46DA3" w:rsidP="00A46DA3">
      <w:pPr>
        <w:pStyle w:val="Default"/>
        <w:jc w:val="both"/>
        <w:rPr>
          <w:rFonts w:asciiTheme="minorHAnsi" w:hAnsiTheme="minorHAnsi" w:cstheme="minorHAnsi"/>
          <w:sz w:val="23"/>
          <w:szCs w:val="23"/>
        </w:rPr>
      </w:pPr>
    </w:p>
    <w:tbl>
      <w:tblPr>
        <w:tblStyle w:val="TableGrid"/>
        <w:tblW w:w="0" w:type="auto"/>
        <w:tblLook w:val="04A0" w:firstRow="1" w:lastRow="0" w:firstColumn="1" w:lastColumn="0" w:noHBand="0" w:noVBand="1"/>
      </w:tblPr>
      <w:tblGrid>
        <w:gridCol w:w="4508"/>
        <w:gridCol w:w="4508"/>
      </w:tblGrid>
      <w:tr w:rsidR="00240DBF" w:rsidTr="00240DBF">
        <w:tc>
          <w:tcPr>
            <w:tcW w:w="4508" w:type="dxa"/>
          </w:tcPr>
          <w:p w:rsidR="00240DBF" w:rsidRPr="00240DBF" w:rsidRDefault="00240DBF" w:rsidP="00240DBF">
            <w:pPr>
              <w:pStyle w:val="Default"/>
              <w:jc w:val="center"/>
              <w:rPr>
                <w:rFonts w:asciiTheme="minorHAnsi" w:hAnsiTheme="minorHAnsi" w:cstheme="minorHAnsi"/>
                <w:b/>
                <w:sz w:val="23"/>
                <w:szCs w:val="23"/>
              </w:rPr>
            </w:pPr>
            <w:r w:rsidRPr="00240DBF">
              <w:rPr>
                <w:rFonts w:asciiTheme="minorHAnsi" w:hAnsiTheme="minorHAnsi" w:cstheme="minorHAnsi"/>
                <w:b/>
                <w:sz w:val="23"/>
                <w:szCs w:val="23"/>
              </w:rPr>
              <w:t>Milestones</w:t>
            </w:r>
          </w:p>
        </w:tc>
        <w:tc>
          <w:tcPr>
            <w:tcW w:w="4508" w:type="dxa"/>
          </w:tcPr>
          <w:p w:rsidR="00240DBF" w:rsidRPr="00240DBF" w:rsidRDefault="00240DBF" w:rsidP="00240DBF">
            <w:pPr>
              <w:pStyle w:val="Default"/>
              <w:jc w:val="center"/>
              <w:rPr>
                <w:rFonts w:asciiTheme="minorHAnsi" w:hAnsiTheme="minorHAnsi" w:cstheme="minorHAnsi"/>
                <w:b/>
                <w:sz w:val="23"/>
                <w:szCs w:val="23"/>
              </w:rPr>
            </w:pPr>
            <w:r w:rsidRPr="00240DBF">
              <w:rPr>
                <w:rFonts w:asciiTheme="minorHAnsi" w:hAnsiTheme="minorHAnsi" w:cstheme="minorHAnsi"/>
                <w:b/>
                <w:sz w:val="23"/>
                <w:szCs w:val="23"/>
              </w:rPr>
              <w:t>Payment terms</w:t>
            </w:r>
          </w:p>
        </w:tc>
      </w:tr>
      <w:tr w:rsidR="00240DBF" w:rsidTr="00240DBF">
        <w:tc>
          <w:tcPr>
            <w:tcW w:w="4508" w:type="dxa"/>
          </w:tcPr>
          <w:p w:rsidR="00240DBF" w:rsidRPr="00240DBF" w:rsidRDefault="00240DBF" w:rsidP="00240DBF">
            <w:pPr>
              <w:pStyle w:val="Default"/>
              <w:numPr>
                <w:ilvl w:val="0"/>
                <w:numId w:val="40"/>
              </w:numPr>
              <w:jc w:val="both"/>
              <w:rPr>
                <w:rFonts w:asciiTheme="minorHAnsi" w:hAnsiTheme="minorHAnsi" w:cstheme="minorHAnsi"/>
                <w:sz w:val="23"/>
                <w:szCs w:val="23"/>
              </w:rPr>
            </w:pPr>
            <w:r>
              <w:rPr>
                <w:rFonts w:asciiTheme="minorHAnsi" w:hAnsiTheme="minorHAnsi" w:cstheme="minorHAnsi"/>
                <w:sz w:val="23"/>
                <w:szCs w:val="23"/>
              </w:rPr>
              <w:t>Updated logic model and summative assessment plan (including schedule and timeframe for delivery)</w:t>
            </w:r>
          </w:p>
        </w:tc>
        <w:tc>
          <w:tcPr>
            <w:tcW w:w="4508" w:type="dxa"/>
          </w:tcPr>
          <w:p w:rsidR="00240DBF" w:rsidRDefault="00240DBF" w:rsidP="00240DBF">
            <w:pPr>
              <w:pStyle w:val="Default"/>
              <w:jc w:val="center"/>
              <w:rPr>
                <w:rFonts w:asciiTheme="minorHAnsi" w:hAnsiTheme="minorHAnsi" w:cstheme="minorHAnsi"/>
                <w:sz w:val="23"/>
                <w:szCs w:val="23"/>
              </w:rPr>
            </w:pPr>
            <w:r>
              <w:rPr>
                <w:rFonts w:asciiTheme="minorHAnsi" w:hAnsiTheme="minorHAnsi" w:cstheme="minorHAnsi"/>
                <w:sz w:val="23"/>
                <w:szCs w:val="23"/>
              </w:rPr>
              <w:t>20%</w:t>
            </w:r>
          </w:p>
        </w:tc>
      </w:tr>
      <w:tr w:rsidR="00240DBF" w:rsidTr="00240DBF">
        <w:tc>
          <w:tcPr>
            <w:tcW w:w="4508" w:type="dxa"/>
          </w:tcPr>
          <w:p w:rsidR="00240DBF" w:rsidRPr="00240DBF" w:rsidRDefault="00240DBF" w:rsidP="00240DBF">
            <w:pPr>
              <w:pStyle w:val="Default"/>
              <w:numPr>
                <w:ilvl w:val="0"/>
                <w:numId w:val="40"/>
              </w:numPr>
              <w:jc w:val="both"/>
              <w:rPr>
                <w:rFonts w:asciiTheme="minorHAnsi" w:hAnsiTheme="minorHAnsi" w:cstheme="minorHAnsi"/>
                <w:sz w:val="23"/>
                <w:szCs w:val="23"/>
              </w:rPr>
            </w:pPr>
            <w:r>
              <w:rPr>
                <w:rFonts w:asciiTheme="minorHAnsi" w:hAnsiTheme="minorHAnsi" w:cstheme="minorHAnsi"/>
                <w:sz w:val="23"/>
                <w:szCs w:val="23"/>
              </w:rPr>
              <w:t>First draft of report</w:t>
            </w:r>
          </w:p>
        </w:tc>
        <w:tc>
          <w:tcPr>
            <w:tcW w:w="4508" w:type="dxa"/>
          </w:tcPr>
          <w:p w:rsidR="00240DBF" w:rsidRDefault="00240DBF" w:rsidP="00240DBF">
            <w:pPr>
              <w:pStyle w:val="Default"/>
              <w:jc w:val="center"/>
              <w:rPr>
                <w:rFonts w:asciiTheme="minorHAnsi" w:hAnsiTheme="minorHAnsi" w:cstheme="minorHAnsi"/>
                <w:sz w:val="23"/>
                <w:szCs w:val="23"/>
              </w:rPr>
            </w:pPr>
            <w:r>
              <w:rPr>
                <w:rFonts w:asciiTheme="minorHAnsi" w:hAnsiTheme="minorHAnsi" w:cstheme="minorHAnsi"/>
                <w:sz w:val="23"/>
                <w:szCs w:val="23"/>
              </w:rPr>
              <w:t>30%</w:t>
            </w:r>
          </w:p>
        </w:tc>
      </w:tr>
      <w:tr w:rsidR="00240DBF" w:rsidTr="00240DBF">
        <w:tc>
          <w:tcPr>
            <w:tcW w:w="4508" w:type="dxa"/>
          </w:tcPr>
          <w:p w:rsidR="00240DBF" w:rsidRPr="00240DBF" w:rsidRDefault="00240DBF" w:rsidP="00240DBF">
            <w:pPr>
              <w:pStyle w:val="Default"/>
              <w:numPr>
                <w:ilvl w:val="0"/>
                <w:numId w:val="40"/>
              </w:numPr>
              <w:jc w:val="both"/>
              <w:rPr>
                <w:rFonts w:asciiTheme="minorHAnsi" w:hAnsiTheme="minorHAnsi" w:cstheme="minorHAnsi"/>
                <w:sz w:val="23"/>
                <w:szCs w:val="23"/>
              </w:rPr>
            </w:pPr>
            <w:r>
              <w:rPr>
                <w:rFonts w:asciiTheme="minorHAnsi" w:hAnsiTheme="minorHAnsi" w:cstheme="minorHAnsi"/>
                <w:sz w:val="23"/>
                <w:szCs w:val="23"/>
              </w:rPr>
              <w:t>Acceptance of final report</w:t>
            </w:r>
          </w:p>
          <w:p w:rsidR="00240DBF" w:rsidRDefault="00240DBF" w:rsidP="00A46DA3">
            <w:pPr>
              <w:pStyle w:val="Default"/>
              <w:jc w:val="both"/>
              <w:rPr>
                <w:rFonts w:asciiTheme="minorHAnsi" w:hAnsiTheme="minorHAnsi" w:cstheme="minorHAnsi"/>
                <w:sz w:val="23"/>
                <w:szCs w:val="23"/>
              </w:rPr>
            </w:pPr>
          </w:p>
        </w:tc>
        <w:tc>
          <w:tcPr>
            <w:tcW w:w="4508" w:type="dxa"/>
          </w:tcPr>
          <w:p w:rsidR="00240DBF" w:rsidRDefault="00240DBF" w:rsidP="00240DBF">
            <w:pPr>
              <w:pStyle w:val="Default"/>
              <w:jc w:val="center"/>
              <w:rPr>
                <w:rFonts w:asciiTheme="minorHAnsi" w:hAnsiTheme="minorHAnsi" w:cstheme="minorHAnsi"/>
                <w:sz w:val="23"/>
                <w:szCs w:val="23"/>
              </w:rPr>
            </w:pPr>
            <w:r>
              <w:rPr>
                <w:rFonts w:asciiTheme="minorHAnsi" w:hAnsiTheme="minorHAnsi" w:cstheme="minorHAnsi"/>
                <w:sz w:val="23"/>
                <w:szCs w:val="23"/>
              </w:rPr>
              <w:t>50%</w:t>
            </w:r>
          </w:p>
        </w:tc>
      </w:tr>
    </w:tbl>
    <w:p w:rsidR="00240DBF" w:rsidRDefault="00240DBF" w:rsidP="00A46DA3">
      <w:pPr>
        <w:pStyle w:val="Default"/>
        <w:jc w:val="both"/>
        <w:rPr>
          <w:rFonts w:asciiTheme="minorHAnsi" w:hAnsiTheme="minorHAnsi" w:cstheme="minorHAnsi"/>
          <w:sz w:val="23"/>
          <w:szCs w:val="23"/>
        </w:rPr>
      </w:pPr>
    </w:p>
    <w:p w:rsidR="00E5043E" w:rsidRDefault="00E5043E" w:rsidP="00A46DA3">
      <w:pPr>
        <w:pStyle w:val="Default"/>
        <w:jc w:val="both"/>
        <w:rPr>
          <w:rFonts w:asciiTheme="minorHAnsi" w:hAnsiTheme="minorHAnsi" w:cstheme="minorHAnsi"/>
          <w:sz w:val="23"/>
          <w:szCs w:val="23"/>
        </w:rPr>
      </w:pPr>
      <w:r>
        <w:rPr>
          <w:rFonts w:asciiTheme="minorHAnsi" w:hAnsiTheme="minorHAnsi" w:cstheme="minorHAnsi"/>
          <w:sz w:val="23"/>
          <w:szCs w:val="23"/>
        </w:rPr>
        <w:t xml:space="preserve">An example contract has been included </w:t>
      </w:r>
      <w:r w:rsidRPr="00E5043E">
        <w:rPr>
          <w:rFonts w:asciiTheme="minorHAnsi" w:hAnsiTheme="minorHAnsi" w:cstheme="minorHAnsi"/>
          <w:sz w:val="23"/>
          <w:szCs w:val="23"/>
        </w:rPr>
        <w:t>as Appendix 3 and</w:t>
      </w:r>
      <w:r>
        <w:rPr>
          <w:rFonts w:asciiTheme="minorHAnsi" w:hAnsiTheme="minorHAnsi" w:cstheme="minorHAnsi"/>
          <w:sz w:val="23"/>
          <w:szCs w:val="23"/>
        </w:rPr>
        <w:t xml:space="preserve"> includes our standard terms and conditions. </w:t>
      </w:r>
    </w:p>
    <w:p w:rsidR="00E5043E" w:rsidRPr="00E5043E" w:rsidRDefault="00E5043E" w:rsidP="00A46DA3">
      <w:pPr>
        <w:pStyle w:val="Default"/>
        <w:jc w:val="both"/>
        <w:rPr>
          <w:rFonts w:asciiTheme="minorHAnsi" w:hAnsiTheme="minorHAnsi" w:cstheme="minorHAnsi"/>
          <w:sz w:val="23"/>
          <w:szCs w:val="23"/>
        </w:rPr>
      </w:pPr>
    </w:p>
    <w:p w:rsidR="00B91A96" w:rsidRPr="00537FAB" w:rsidRDefault="00B91A96" w:rsidP="00240DBF">
      <w:pPr>
        <w:rPr>
          <w:rFonts w:cstheme="minorHAnsi"/>
          <w:b/>
          <w:bCs/>
          <w:color w:val="000000"/>
          <w:sz w:val="28"/>
          <w:szCs w:val="28"/>
        </w:rPr>
      </w:pPr>
      <w:r w:rsidRPr="00537FAB">
        <w:rPr>
          <w:rFonts w:cstheme="minorHAnsi"/>
          <w:b/>
          <w:bCs/>
          <w:color w:val="000000"/>
          <w:sz w:val="28"/>
          <w:szCs w:val="28"/>
        </w:rPr>
        <w:t xml:space="preserve">Cost </w:t>
      </w:r>
    </w:p>
    <w:p w:rsidR="00B91A96" w:rsidRPr="00240DBF" w:rsidRDefault="00B91A96" w:rsidP="00240DBF">
      <w:pPr>
        <w:autoSpaceDE w:val="0"/>
        <w:autoSpaceDN w:val="0"/>
        <w:adjustRightInd w:val="0"/>
        <w:spacing w:after="0" w:line="240" w:lineRule="auto"/>
        <w:jc w:val="both"/>
        <w:rPr>
          <w:rFonts w:cstheme="minorHAnsi"/>
          <w:b/>
          <w:bCs/>
          <w:color w:val="000000"/>
          <w:sz w:val="16"/>
          <w:szCs w:val="16"/>
        </w:rPr>
      </w:pPr>
      <w:r w:rsidRPr="001B6D81">
        <w:rPr>
          <w:rFonts w:cstheme="minorHAnsi"/>
          <w:b/>
          <w:bCs/>
          <w:color w:val="000000"/>
          <w:sz w:val="16"/>
          <w:szCs w:val="16"/>
        </w:rPr>
        <w:t xml:space="preserve"> </w:t>
      </w:r>
      <w:r w:rsidRPr="001B6D81">
        <w:rPr>
          <w:rFonts w:cstheme="minorHAnsi"/>
          <w:sz w:val="23"/>
          <w:szCs w:val="23"/>
        </w:rPr>
        <w:t xml:space="preserve">The available budget for the Summative Assessment </w:t>
      </w:r>
      <w:r w:rsidRPr="0096277C">
        <w:rPr>
          <w:rFonts w:cstheme="minorHAnsi"/>
          <w:sz w:val="23"/>
          <w:szCs w:val="23"/>
        </w:rPr>
        <w:t>is £20,000</w:t>
      </w:r>
      <w:r w:rsidR="009512D6">
        <w:rPr>
          <w:rFonts w:cstheme="minorHAnsi"/>
          <w:sz w:val="23"/>
          <w:szCs w:val="23"/>
        </w:rPr>
        <w:t xml:space="preserve"> (Exc. VAT)</w:t>
      </w:r>
    </w:p>
    <w:p w:rsidR="00B91A96" w:rsidRDefault="00B91A96" w:rsidP="00A46DA3">
      <w:pPr>
        <w:pStyle w:val="Default"/>
        <w:rPr>
          <w:b/>
          <w:bCs/>
          <w:sz w:val="28"/>
          <w:szCs w:val="28"/>
        </w:rPr>
      </w:pPr>
    </w:p>
    <w:p w:rsidR="00B91A96" w:rsidRDefault="00B91A96" w:rsidP="00A46DA3">
      <w:pPr>
        <w:pStyle w:val="Default"/>
        <w:rPr>
          <w:b/>
          <w:bCs/>
          <w:sz w:val="28"/>
          <w:szCs w:val="28"/>
        </w:rPr>
      </w:pPr>
    </w:p>
    <w:p w:rsidR="00B91A96" w:rsidRDefault="00B91A96" w:rsidP="00A46DA3">
      <w:pPr>
        <w:pStyle w:val="Default"/>
        <w:rPr>
          <w:b/>
          <w:bCs/>
          <w:sz w:val="28"/>
          <w:szCs w:val="28"/>
        </w:rPr>
      </w:pPr>
    </w:p>
    <w:p w:rsidR="00F73F40" w:rsidRDefault="00F73F40" w:rsidP="00A46DA3">
      <w:pPr>
        <w:pStyle w:val="Default"/>
        <w:rPr>
          <w:rFonts w:cstheme="minorHAnsi"/>
          <w:b/>
          <w:bCs/>
          <w:sz w:val="48"/>
          <w:szCs w:val="48"/>
        </w:rPr>
      </w:pPr>
    </w:p>
    <w:p w:rsidR="009E1E51" w:rsidRDefault="009E1E51">
      <w:pPr>
        <w:rPr>
          <w:rFonts w:ascii="Calibri" w:hAnsi="Calibri" w:cstheme="minorHAnsi"/>
          <w:b/>
          <w:bCs/>
          <w:color w:val="000000"/>
          <w:sz w:val="48"/>
          <w:szCs w:val="48"/>
        </w:rPr>
      </w:pPr>
      <w:r>
        <w:rPr>
          <w:rFonts w:cstheme="minorHAnsi"/>
          <w:b/>
          <w:bCs/>
          <w:sz w:val="48"/>
          <w:szCs w:val="48"/>
        </w:rPr>
        <w:br w:type="page"/>
      </w:r>
    </w:p>
    <w:p w:rsidR="00F73F40" w:rsidRDefault="00F73F40" w:rsidP="00A46DA3">
      <w:pPr>
        <w:pStyle w:val="Default"/>
        <w:rPr>
          <w:b/>
          <w:bCs/>
          <w:sz w:val="28"/>
          <w:szCs w:val="28"/>
        </w:rPr>
      </w:pPr>
      <w:r>
        <w:rPr>
          <w:rFonts w:cstheme="minorHAnsi"/>
          <w:b/>
          <w:bCs/>
          <w:sz w:val="48"/>
          <w:szCs w:val="48"/>
        </w:rPr>
        <w:lastRenderedPageBreak/>
        <w:t>PART TWO: Application Process</w:t>
      </w:r>
    </w:p>
    <w:p w:rsidR="00F73F40" w:rsidRDefault="00F73F40" w:rsidP="00F73F40">
      <w:pPr>
        <w:pStyle w:val="Default"/>
        <w:rPr>
          <w:color w:val="auto"/>
          <w:sz w:val="23"/>
          <w:szCs w:val="23"/>
        </w:rPr>
      </w:pPr>
    </w:p>
    <w:p w:rsidR="00F73F40" w:rsidRDefault="00F73F40" w:rsidP="00F73F40">
      <w:pPr>
        <w:pStyle w:val="Default"/>
        <w:rPr>
          <w:b/>
          <w:bCs/>
          <w:sz w:val="28"/>
          <w:szCs w:val="28"/>
        </w:rPr>
      </w:pPr>
      <w:r>
        <w:rPr>
          <w:b/>
          <w:bCs/>
          <w:sz w:val="28"/>
          <w:szCs w:val="28"/>
        </w:rPr>
        <w:t>Proposal format</w:t>
      </w:r>
    </w:p>
    <w:p w:rsidR="00F73F40" w:rsidRDefault="00F73F40" w:rsidP="00F73F40">
      <w:pPr>
        <w:pStyle w:val="Default"/>
        <w:rPr>
          <w:color w:val="auto"/>
          <w:sz w:val="23"/>
          <w:szCs w:val="23"/>
        </w:rPr>
      </w:pPr>
    </w:p>
    <w:p w:rsidR="00F73F40" w:rsidRPr="00801B23" w:rsidRDefault="00801B23" w:rsidP="00801B23">
      <w:pPr>
        <w:pStyle w:val="Default"/>
        <w:jc w:val="both"/>
        <w:rPr>
          <w:b/>
          <w:bCs/>
        </w:rPr>
      </w:pPr>
      <w:r w:rsidRPr="00801B23">
        <w:rPr>
          <w:color w:val="auto"/>
        </w:rPr>
        <w:t>P</w:t>
      </w:r>
      <w:r w:rsidR="00F73F40" w:rsidRPr="00801B23">
        <w:rPr>
          <w:color w:val="auto"/>
        </w:rPr>
        <w:t>ro</w:t>
      </w:r>
      <w:r w:rsidRPr="00801B23">
        <w:rPr>
          <w:color w:val="auto"/>
        </w:rPr>
        <w:t>posals</w:t>
      </w:r>
      <w:r w:rsidR="00F73F40" w:rsidRPr="00801B23">
        <w:rPr>
          <w:color w:val="auto"/>
        </w:rPr>
        <w:t xml:space="preserve"> should no more than 30 pages</w:t>
      </w:r>
      <w:r>
        <w:rPr>
          <w:color w:val="auto"/>
        </w:rPr>
        <w:t>. F</w:t>
      </w:r>
      <w:r w:rsidRPr="00801B23">
        <w:rPr>
          <w:color w:val="auto"/>
        </w:rPr>
        <w:t xml:space="preserve">ont </w:t>
      </w:r>
      <w:r>
        <w:rPr>
          <w:color w:val="auto"/>
        </w:rPr>
        <w:t>size should</w:t>
      </w:r>
      <w:r w:rsidR="00240DBF">
        <w:rPr>
          <w:color w:val="auto"/>
        </w:rPr>
        <w:t xml:space="preserve"> be</w:t>
      </w:r>
      <w:r>
        <w:rPr>
          <w:color w:val="auto"/>
        </w:rPr>
        <w:t xml:space="preserve"> </w:t>
      </w:r>
      <w:r w:rsidRPr="00801B23">
        <w:rPr>
          <w:color w:val="auto"/>
        </w:rPr>
        <w:t>no smaller than Arial 11</w:t>
      </w:r>
      <w:r w:rsidR="00F73F40" w:rsidRPr="00801B23">
        <w:rPr>
          <w:color w:val="auto"/>
        </w:rPr>
        <w:t>. There is no template for proposals.</w:t>
      </w:r>
    </w:p>
    <w:p w:rsidR="00F73F40" w:rsidRDefault="00F73F40" w:rsidP="00A46DA3">
      <w:pPr>
        <w:pStyle w:val="Default"/>
        <w:rPr>
          <w:b/>
          <w:bCs/>
          <w:sz w:val="28"/>
          <w:szCs w:val="28"/>
        </w:rPr>
      </w:pPr>
    </w:p>
    <w:p w:rsidR="00A46DA3" w:rsidRDefault="00A46DA3" w:rsidP="00A46DA3">
      <w:pPr>
        <w:pStyle w:val="Default"/>
        <w:rPr>
          <w:b/>
          <w:bCs/>
          <w:sz w:val="28"/>
          <w:szCs w:val="28"/>
        </w:rPr>
      </w:pPr>
      <w:r>
        <w:rPr>
          <w:b/>
          <w:bCs/>
          <w:sz w:val="28"/>
          <w:szCs w:val="28"/>
        </w:rPr>
        <w:t>Assessment Criteria</w:t>
      </w:r>
    </w:p>
    <w:p w:rsidR="00F73F40" w:rsidRDefault="00F73F40" w:rsidP="00A46DA3">
      <w:pPr>
        <w:pStyle w:val="Default"/>
        <w:rPr>
          <w:b/>
          <w:bCs/>
          <w:sz w:val="28"/>
          <w:szCs w:val="28"/>
        </w:rPr>
      </w:pPr>
    </w:p>
    <w:p w:rsidR="00A46DA3" w:rsidRDefault="00A46DA3" w:rsidP="00F73F40">
      <w:pPr>
        <w:pStyle w:val="Default"/>
        <w:jc w:val="both"/>
        <w:rPr>
          <w:sz w:val="23"/>
          <w:szCs w:val="23"/>
        </w:rPr>
      </w:pPr>
      <w:r>
        <w:rPr>
          <w:sz w:val="23"/>
          <w:szCs w:val="23"/>
        </w:rPr>
        <w:t xml:space="preserve">Applicants are required to provide evidence of the following in respect of the scope of work defined: </w:t>
      </w:r>
    </w:p>
    <w:p w:rsidR="00A46DA3" w:rsidRDefault="00A46DA3" w:rsidP="00A46DA3">
      <w:pPr>
        <w:pStyle w:val="Default"/>
        <w:rPr>
          <w:sz w:val="23"/>
          <w:szCs w:val="23"/>
        </w:rPr>
      </w:pPr>
    </w:p>
    <w:p w:rsidR="00A46DA3" w:rsidRDefault="00A46DA3" w:rsidP="0096277C">
      <w:pPr>
        <w:pStyle w:val="Default"/>
        <w:numPr>
          <w:ilvl w:val="0"/>
          <w:numId w:val="27"/>
        </w:numPr>
        <w:spacing w:after="25"/>
        <w:jc w:val="both"/>
        <w:rPr>
          <w:sz w:val="23"/>
          <w:szCs w:val="23"/>
        </w:rPr>
      </w:pPr>
      <w:r>
        <w:rPr>
          <w:sz w:val="23"/>
          <w:szCs w:val="23"/>
        </w:rPr>
        <w:t xml:space="preserve">2 recent examples (within the last two years) to demonstrate a successful track record of conducting final evaluations of projects similar to the Enterprising West of England programme. </w:t>
      </w:r>
    </w:p>
    <w:p w:rsidR="00A46DA3" w:rsidRDefault="00A46DA3" w:rsidP="0096277C">
      <w:pPr>
        <w:pStyle w:val="Default"/>
        <w:numPr>
          <w:ilvl w:val="0"/>
          <w:numId w:val="27"/>
        </w:numPr>
        <w:spacing w:after="25"/>
        <w:jc w:val="both"/>
        <w:rPr>
          <w:sz w:val="23"/>
          <w:szCs w:val="23"/>
        </w:rPr>
      </w:pPr>
      <w:r>
        <w:rPr>
          <w:sz w:val="23"/>
          <w:szCs w:val="23"/>
        </w:rPr>
        <w:t>Experience and/or knowled</w:t>
      </w:r>
      <w:r w:rsidR="0096277C">
        <w:rPr>
          <w:sz w:val="23"/>
          <w:szCs w:val="23"/>
        </w:rPr>
        <w:t>ge of</w:t>
      </w:r>
      <w:r w:rsidR="00240DBF">
        <w:rPr>
          <w:sz w:val="23"/>
          <w:szCs w:val="23"/>
        </w:rPr>
        <w:t xml:space="preserve"> how to</w:t>
      </w:r>
      <w:r w:rsidR="0096277C">
        <w:rPr>
          <w:sz w:val="23"/>
          <w:szCs w:val="23"/>
        </w:rPr>
        <w:t xml:space="preserve"> </w:t>
      </w:r>
      <w:r w:rsidR="00240DBF">
        <w:rPr>
          <w:sz w:val="23"/>
          <w:szCs w:val="23"/>
        </w:rPr>
        <w:t>conduct</w:t>
      </w:r>
      <w:r w:rsidR="0096277C">
        <w:rPr>
          <w:sz w:val="23"/>
          <w:szCs w:val="23"/>
        </w:rPr>
        <w:t xml:space="preserve"> final evaluations</w:t>
      </w:r>
      <w:r w:rsidR="00240DBF">
        <w:rPr>
          <w:sz w:val="23"/>
          <w:szCs w:val="23"/>
        </w:rPr>
        <w:t xml:space="preserve"> for ERDF Funded projects</w:t>
      </w:r>
    </w:p>
    <w:p w:rsidR="00A46DA3" w:rsidRDefault="00A46DA3" w:rsidP="00A46DA3">
      <w:pPr>
        <w:pStyle w:val="Default"/>
        <w:rPr>
          <w:sz w:val="23"/>
          <w:szCs w:val="23"/>
        </w:rPr>
      </w:pPr>
    </w:p>
    <w:p w:rsidR="00A46DA3" w:rsidRDefault="00A46DA3" w:rsidP="0096277C">
      <w:pPr>
        <w:pStyle w:val="Default"/>
        <w:jc w:val="both"/>
        <w:rPr>
          <w:sz w:val="23"/>
          <w:szCs w:val="23"/>
        </w:rPr>
      </w:pPr>
      <w:r>
        <w:rPr>
          <w:sz w:val="23"/>
          <w:szCs w:val="23"/>
        </w:rPr>
        <w:t xml:space="preserve">All applicants will be subject to Business West Vendor assessment and credit check prior to any contract being awarded. Proposals will be rejected if the applicant fails the vendor assessment or credit check, or are unable to provide the correct policies. </w:t>
      </w:r>
    </w:p>
    <w:p w:rsidR="00BA54EC" w:rsidRDefault="00BA54EC" w:rsidP="00A46DA3">
      <w:pPr>
        <w:pStyle w:val="Default"/>
        <w:rPr>
          <w:sz w:val="23"/>
          <w:szCs w:val="23"/>
        </w:rPr>
      </w:pPr>
    </w:p>
    <w:p w:rsidR="00A46DA3" w:rsidRDefault="004C4C58" w:rsidP="00A46DA3">
      <w:pPr>
        <w:pStyle w:val="Default"/>
        <w:rPr>
          <w:sz w:val="23"/>
          <w:szCs w:val="23"/>
        </w:rPr>
      </w:pPr>
      <w:r>
        <w:rPr>
          <w:sz w:val="23"/>
          <w:szCs w:val="23"/>
        </w:rPr>
        <w:t xml:space="preserve"> </w:t>
      </w:r>
      <w:r w:rsidR="00F73F40">
        <w:rPr>
          <w:sz w:val="23"/>
          <w:szCs w:val="23"/>
        </w:rPr>
        <w:t>Proposals</w:t>
      </w:r>
      <w:r w:rsidR="00A46DA3">
        <w:rPr>
          <w:sz w:val="23"/>
          <w:szCs w:val="23"/>
        </w:rPr>
        <w:t xml:space="preserve"> will be evaluated upon the following criteria: </w:t>
      </w:r>
    </w:p>
    <w:p w:rsidR="00BA54EC" w:rsidRDefault="00BA54EC" w:rsidP="00A46DA3">
      <w:pPr>
        <w:pStyle w:val="Default"/>
        <w:rPr>
          <w:sz w:val="23"/>
          <w:szCs w:val="23"/>
        </w:rPr>
      </w:pPr>
    </w:p>
    <w:p w:rsidR="00356A48" w:rsidRDefault="00356A48" w:rsidP="004C4C58">
      <w:pPr>
        <w:pStyle w:val="Default"/>
        <w:numPr>
          <w:ilvl w:val="0"/>
          <w:numId w:val="29"/>
        </w:numPr>
        <w:jc w:val="both"/>
        <w:rPr>
          <w:sz w:val="23"/>
          <w:szCs w:val="23"/>
        </w:rPr>
      </w:pPr>
      <w:r>
        <w:rPr>
          <w:sz w:val="23"/>
          <w:szCs w:val="23"/>
        </w:rPr>
        <w:t>Previous experience of delivering final evaluations of a similar size/complexity (preferably within a business support context)</w:t>
      </w:r>
    </w:p>
    <w:p w:rsidR="00240DBF" w:rsidRDefault="00240DBF" w:rsidP="00240DBF">
      <w:pPr>
        <w:pStyle w:val="Default"/>
        <w:numPr>
          <w:ilvl w:val="0"/>
          <w:numId w:val="29"/>
        </w:numPr>
        <w:spacing w:after="25"/>
        <w:jc w:val="both"/>
        <w:rPr>
          <w:sz w:val="23"/>
          <w:szCs w:val="23"/>
        </w:rPr>
      </w:pPr>
      <w:r>
        <w:rPr>
          <w:sz w:val="23"/>
          <w:szCs w:val="23"/>
        </w:rPr>
        <w:t>Experience and/or knowledge of how to conduct final evaluations for ERDF Funded projects</w:t>
      </w:r>
    </w:p>
    <w:p w:rsidR="00A3776D" w:rsidRDefault="00356A48" w:rsidP="004C4C58">
      <w:pPr>
        <w:pStyle w:val="Default"/>
        <w:numPr>
          <w:ilvl w:val="0"/>
          <w:numId w:val="29"/>
        </w:numPr>
        <w:jc w:val="both"/>
        <w:rPr>
          <w:sz w:val="23"/>
          <w:szCs w:val="23"/>
        </w:rPr>
      </w:pPr>
      <w:r>
        <w:rPr>
          <w:sz w:val="23"/>
          <w:szCs w:val="23"/>
        </w:rPr>
        <w:t>Strength of methodology</w:t>
      </w:r>
      <w:r w:rsidR="00C27CC2">
        <w:rPr>
          <w:sz w:val="23"/>
          <w:szCs w:val="23"/>
        </w:rPr>
        <w:t>, including technical approach proposed.</w:t>
      </w:r>
    </w:p>
    <w:p w:rsidR="00A46DA3" w:rsidRPr="00A3776D" w:rsidRDefault="00A25FB6" w:rsidP="004C4C58">
      <w:pPr>
        <w:pStyle w:val="Default"/>
        <w:numPr>
          <w:ilvl w:val="0"/>
          <w:numId w:val="29"/>
        </w:numPr>
        <w:jc w:val="both"/>
        <w:rPr>
          <w:sz w:val="23"/>
          <w:szCs w:val="23"/>
        </w:rPr>
      </w:pPr>
      <w:r w:rsidRPr="00A3776D">
        <w:rPr>
          <w:color w:val="auto"/>
          <w:sz w:val="23"/>
          <w:szCs w:val="23"/>
        </w:rPr>
        <w:t>Capability</w:t>
      </w:r>
      <w:r w:rsidR="00A46DA3" w:rsidRPr="00A3776D">
        <w:rPr>
          <w:color w:val="auto"/>
          <w:sz w:val="23"/>
          <w:szCs w:val="23"/>
        </w:rPr>
        <w:t xml:space="preserve"> and capacity to deliver the </w:t>
      </w:r>
      <w:r w:rsidR="00A3776D">
        <w:rPr>
          <w:color w:val="auto"/>
          <w:sz w:val="23"/>
          <w:szCs w:val="23"/>
        </w:rPr>
        <w:t xml:space="preserve">summative assessment, including </w:t>
      </w:r>
      <w:r w:rsidR="00276165">
        <w:rPr>
          <w:color w:val="auto"/>
          <w:sz w:val="23"/>
          <w:szCs w:val="23"/>
        </w:rPr>
        <w:t xml:space="preserve">previous </w:t>
      </w:r>
      <w:r w:rsidR="00A3776D">
        <w:rPr>
          <w:color w:val="auto"/>
          <w:sz w:val="23"/>
          <w:szCs w:val="23"/>
        </w:rPr>
        <w:t xml:space="preserve">experience and knowledge of staff. </w:t>
      </w:r>
    </w:p>
    <w:p w:rsidR="00A46DA3" w:rsidRPr="00F73F40" w:rsidRDefault="00276165" w:rsidP="00356A48">
      <w:pPr>
        <w:pStyle w:val="Default"/>
        <w:numPr>
          <w:ilvl w:val="0"/>
          <w:numId w:val="29"/>
        </w:numPr>
        <w:spacing w:after="22"/>
        <w:jc w:val="both"/>
        <w:rPr>
          <w:color w:val="auto"/>
          <w:sz w:val="23"/>
          <w:szCs w:val="23"/>
        </w:rPr>
      </w:pPr>
      <w:r>
        <w:rPr>
          <w:color w:val="auto"/>
          <w:sz w:val="23"/>
          <w:szCs w:val="23"/>
        </w:rPr>
        <w:t>V</w:t>
      </w:r>
      <w:r w:rsidR="00A46DA3" w:rsidRPr="00356A48">
        <w:rPr>
          <w:color w:val="auto"/>
          <w:sz w:val="23"/>
          <w:szCs w:val="23"/>
        </w:rPr>
        <w:t xml:space="preserve">alue for money </w:t>
      </w:r>
    </w:p>
    <w:p w:rsidR="00A46DA3" w:rsidRDefault="00A46DA3" w:rsidP="00A46DA3">
      <w:pPr>
        <w:pStyle w:val="Default"/>
        <w:rPr>
          <w:rFonts w:ascii="Arial" w:hAnsi="Arial" w:cs="Arial"/>
          <w:color w:val="auto"/>
          <w:sz w:val="23"/>
          <w:szCs w:val="23"/>
        </w:rPr>
      </w:pPr>
      <w:r>
        <w:rPr>
          <w:rFonts w:ascii="Arial" w:hAnsi="Arial" w:cs="Arial"/>
          <w:color w:val="auto"/>
          <w:sz w:val="23"/>
          <w:szCs w:val="23"/>
        </w:rPr>
        <w:t xml:space="preserve"> </w:t>
      </w:r>
    </w:p>
    <w:p w:rsidR="00F73F40" w:rsidRPr="00F73F40" w:rsidRDefault="00F73F40" w:rsidP="00240DBF">
      <w:pPr>
        <w:pStyle w:val="Default"/>
        <w:jc w:val="both"/>
        <w:rPr>
          <w:color w:val="auto"/>
          <w:sz w:val="23"/>
          <w:szCs w:val="23"/>
        </w:rPr>
      </w:pPr>
      <w:r w:rsidRPr="00F73F40">
        <w:rPr>
          <w:color w:val="auto"/>
          <w:sz w:val="23"/>
          <w:szCs w:val="23"/>
        </w:rPr>
        <w:t xml:space="preserve">A copy of the scorecard that will be used to evaluate proposals has been included </w:t>
      </w:r>
      <w:r>
        <w:rPr>
          <w:color w:val="auto"/>
          <w:sz w:val="23"/>
          <w:szCs w:val="23"/>
        </w:rPr>
        <w:t xml:space="preserve">with this tender pack </w:t>
      </w:r>
      <w:r w:rsidRPr="00F73F40">
        <w:rPr>
          <w:color w:val="auto"/>
          <w:sz w:val="23"/>
          <w:szCs w:val="23"/>
        </w:rPr>
        <w:t xml:space="preserve">as </w:t>
      </w:r>
      <w:r w:rsidRPr="00801B23">
        <w:rPr>
          <w:b/>
          <w:color w:val="auto"/>
          <w:sz w:val="23"/>
          <w:szCs w:val="23"/>
        </w:rPr>
        <w:t>“Appendix 2 –</w:t>
      </w:r>
      <w:r w:rsidR="00801B23">
        <w:rPr>
          <w:b/>
          <w:color w:val="auto"/>
          <w:sz w:val="23"/>
          <w:szCs w:val="23"/>
        </w:rPr>
        <w:t xml:space="preserve"> EWO</w:t>
      </w:r>
      <w:r w:rsidRPr="00801B23">
        <w:rPr>
          <w:b/>
          <w:color w:val="auto"/>
          <w:sz w:val="23"/>
          <w:szCs w:val="23"/>
        </w:rPr>
        <w:t>ESA – Example Scorecard”</w:t>
      </w:r>
    </w:p>
    <w:p w:rsidR="00537FAB" w:rsidRDefault="00537FAB" w:rsidP="005B44EF">
      <w:pPr>
        <w:autoSpaceDE w:val="0"/>
        <w:autoSpaceDN w:val="0"/>
        <w:adjustRightInd w:val="0"/>
        <w:spacing w:after="0" w:line="240" w:lineRule="auto"/>
        <w:rPr>
          <w:rFonts w:cstheme="minorHAnsi"/>
          <w:b/>
          <w:bCs/>
          <w:color w:val="000000"/>
          <w:sz w:val="28"/>
          <w:szCs w:val="28"/>
        </w:rPr>
      </w:pPr>
    </w:p>
    <w:p w:rsidR="00240DBF" w:rsidRDefault="00240DBF">
      <w:pPr>
        <w:rPr>
          <w:rFonts w:cstheme="minorHAnsi"/>
          <w:b/>
          <w:bCs/>
          <w:color w:val="000000"/>
          <w:sz w:val="28"/>
          <w:szCs w:val="28"/>
        </w:rPr>
      </w:pPr>
      <w:r>
        <w:rPr>
          <w:rFonts w:cstheme="minorHAnsi"/>
          <w:b/>
          <w:bCs/>
          <w:color w:val="000000"/>
          <w:sz w:val="28"/>
          <w:szCs w:val="28"/>
        </w:rPr>
        <w:br w:type="page"/>
      </w:r>
    </w:p>
    <w:p w:rsidR="00537FAB" w:rsidRPr="00537FAB" w:rsidRDefault="00537FAB" w:rsidP="005B44EF">
      <w:pPr>
        <w:autoSpaceDE w:val="0"/>
        <w:autoSpaceDN w:val="0"/>
        <w:adjustRightInd w:val="0"/>
        <w:spacing w:after="0" w:line="240" w:lineRule="auto"/>
        <w:rPr>
          <w:rFonts w:cstheme="minorHAnsi"/>
          <w:b/>
          <w:bCs/>
          <w:color w:val="000000"/>
          <w:sz w:val="28"/>
          <w:szCs w:val="28"/>
        </w:rPr>
      </w:pPr>
      <w:r w:rsidRPr="00537FAB">
        <w:rPr>
          <w:rFonts w:cstheme="minorHAnsi"/>
          <w:b/>
          <w:bCs/>
          <w:color w:val="000000"/>
          <w:sz w:val="28"/>
          <w:szCs w:val="28"/>
        </w:rPr>
        <w:lastRenderedPageBreak/>
        <w:t>Tender Process Timetable</w:t>
      </w:r>
    </w:p>
    <w:p w:rsidR="00537FAB" w:rsidRPr="00537FAB" w:rsidRDefault="00537FAB" w:rsidP="005B44EF">
      <w:pPr>
        <w:autoSpaceDE w:val="0"/>
        <w:autoSpaceDN w:val="0"/>
        <w:adjustRightInd w:val="0"/>
        <w:spacing w:after="0" w:line="240" w:lineRule="auto"/>
        <w:rPr>
          <w:rFonts w:cstheme="minorHAnsi"/>
          <w:b/>
          <w:sz w:val="23"/>
          <w:szCs w:val="23"/>
        </w:rPr>
      </w:pPr>
    </w:p>
    <w:tbl>
      <w:tblPr>
        <w:tblStyle w:val="TableGrid"/>
        <w:tblW w:w="0" w:type="auto"/>
        <w:tblLook w:val="04A0" w:firstRow="1" w:lastRow="0" w:firstColumn="1" w:lastColumn="0" w:noHBand="0" w:noVBand="1"/>
      </w:tblPr>
      <w:tblGrid>
        <w:gridCol w:w="4508"/>
        <w:gridCol w:w="4508"/>
      </w:tblGrid>
      <w:tr w:rsidR="00537FAB" w:rsidTr="00537FAB">
        <w:tc>
          <w:tcPr>
            <w:tcW w:w="4508" w:type="dxa"/>
            <w:shd w:val="clear" w:color="auto" w:fill="D9D9D9" w:themeFill="background1" w:themeFillShade="D9"/>
          </w:tcPr>
          <w:p w:rsidR="00537FAB" w:rsidRPr="00537FAB" w:rsidRDefault="00537FAB" w:rsidP="005B44EF">
            <w:pPr>
              <w:autoSpaceDE w:val="0"/>
              <w:autoSpaceDN w:val="0"/>
              <w:adjustRightInd w:val="0"/>
              <w:rPr>
                <w:rFonts w:cstheme="minorHAnsi"/>
                <w:b/>
                <w:sz w:val="23"/>
                <w:szCs w:val="23"/>
              </w:rPr>
            </w:pPr>
            <w:r w:rsidRPr="00537FAB">
              <w:rPr>
                <w:rFonts w:cstheme="minorHAnsi"/>
                <w:b/>
                <w:sz w:val="23"/>
                <w:szCs w:val="23"/>
              </w:rPr>
              <w:t>Action</w:t>
            </w:r>
          </w:p>
        </w:tc>
        <w:tc>
          <w:tcPr>
            <w:tcW w:w="4508" w:type="dxa"/>
            <w:shd w:val="clear" w:color="auto" w:fill="D9D9D9" w:themeFill="background1" w:themeFillShade="D9"/>
          </w:tcPr>
          <w:p w:rsidR="00537FAB" w:rsidRPr="00537FAB" w:rsidRDefault="00537FAB" w:rsidP="005B44EF">
            <w:pPr>
              <w:autoSpaceDE w:val="0"/>
              <w:autoSpaceDN w:val="0"/>
              <w:adjustRightInd w:val="0"/>
              <w:rPr>
                <w:rFonts w:cstheme="minorHAnsi"/>
                <w:b/>
                <w:sz w:val="23"/>
                <w:szCs w:val="23"/>
              </w:rPr>
            </w:pPr>
            <w:r w:rsidRPr="00537FAB">
              <w:rPr>
                <w:rFonts w:cstheme="minorHAnsi"/>
                <w:b/>
                <w:sz w:val="23"/>
                <w:szCs w:val="23"/>
              </w:rPr>
              <w:t>Target date for completion</w:t>
            </w:r>
          </w:p>
          <w:p w:rsidR="00537FAB" w:rsidRPr="00537FAB" w:rsidRDefault="00537FAB" w:rsidP="005B44EF">
            <w:pPr>
              <w:autoSpaceDE w:val="0"/>
              <w:autoSpaceDN w:val="0"/>
              <w:adjustRightInd w:val="0"/>
              <w:rPr>
                <w:rFonts w:cstheme="minorHAnsi"/>
                <w:b/>
                <w:sz w:val="23"/>
                <w:szCs w:val="23"/>
              </w:rPr>
            </w:pPr>
          </w:p>
        </w:tc>
      </w:tr>
      <w:tr w:rsidR="00537FAB" w:rsidTr="00537FAB">
        <w:tc>
          <w:tcPr>
            <w:tcW w:w="4508" w:type="dxa"/>
          </w:tcPr>
          <w:p w:rsidR="00537FAB" w:rsidRDefault="00537FAB" w:rsidP="005B44EF">
            <w:pPr>
              <w:autoSpaceDE w:val="0"/>
              <w:autoSpaceDN w:val="0"/>
              <w:adjustRightInd w:val="0"/>
              <w:rPr>
                <w:rFonts w:cstheme="minorHAnsi"/>
                <w:sz w:val="23"/>
                <w:szCs w:val="23"/>
              </w:rPr>
            </w:pPr>
            <w:r>
              <w:rPr>
                <w:rFonts w:cstheme="minorHAnsi"/>
                <w:sz w:val="23"/>
                <w:szCs w:val="23"/>
              </w:rPr>
              <w:t>Contract Notice Published</w:t>
            </w:r>
          </w:p>
        </w:tc>
        <w:tc>
          <w:tcPr>
            <w:tcW w:w="4508" w:type="dxa"/>
          </w:tcPr>
          <w:p w:rsidR="00537FAB" w:rsidRDefault="009512D6" w:rsidP="005B44EF">
            <w:pPr>
              <w:autoSpaceDE w:val="0"/>
              <w:autoSpaceDN w:val="0"/>
              <w:adjustRightInd w:val="0"/>
              <w:rPr>
                <w:rFonts w:cstheme="minorHAnsi"/>
                <w:sz w:val="23"/>
                <w:szCs w:val="23"/>
              </w:rPr>
            </w:pPr>
            <w:r>
              <w:rPr>
                <w:rFonts w:cstheme="minorHAnsi"/>
                <w:sz w:val="23"/>
                <w:szCs w:val="23"/>
              </w:rPr>
              <w:t>2</w:t>
            </w:r>
            <w:r w:rsidR="00437600">
              <w:rPr>
                <w:rFonts w:cstheme="minorHAnsi"/>
                <w:sz w:val="23"/>
                <w:szCs w:val="23"/>
              </w:rPr>
              <w:t>6</w:t>
            </w:r>
            <w:r w:rsidR="006B7CC0">
              <w:rPr>
                <w:rFonts w:cstheme="minorHAnsi"/>
                <w:sz w:val="23"/>
                <w:szCs w:val="23"/>
                <w:vertAlign w:val="superscript"/>
              </w:rPr>
              <w:t>th</w:t>
            </w:r>
            <w:r w:rsidR="00CA7D8F">
              <w:rPr>
                <w:rFonts w:cstheme="minorHAnsi"/>
                <w:sz w:val="23"/>
                <w:szCs w:val="23"/>
              </w:rPr>
              <w:t xml:space="preserve"> April</w:t>
            </w:r>
            <w:r w:rsidR="0096277C">
              <w:rPr>
                <w:rFonts w:cstheme="minorHAnsi"/>
                <w:sz w:val="23"/>
                <w:szCs w:val="23"/>
              </w:rPr>
              <w:t xml:space="preserve"> 2019 </w:t>
            </w:r>
          </w:p>
          <w:p w:rsidR="0096277C" w:rsidRDefault="0096277C" w:rsidP="005B44EF">
            <w:pPr>
              <w:autoSpaceDE w:val="0"/>
              <w:autoSpaceDN w:val="0"/>
              <w:adjustRightInd w:val="0"/>
              <w:rPr>
                <w:rFonts w:cstheme="minorHAnsi"/>
                <w:sz w:val="23"/>
                <w:szCs w:val="23"/>
              </w:rPr>
            </w:pPr>
            <w:bookmarkStart w:id="0" w:name="_GoBack"/>
            <w:bookmarkEnd w:id="0"/>
          </w:p>
        </w:tc>
      </w:tr>
      <w:tr w:rsidR="00537FAB" w:rsidTr="00537FAB">
        <w:tc>
          <w:tcPr>
            <w:tcW w:w="4508" w:type="dxa"/>
          </w:tcPr>
          <w:p w:rsidR="00537FAB" w:rsidRDefault="00537FAB" w:rsidP="005B44EF">
            <w:pPr>
              <w:autoSpaceDE w:val="0"/>
              <w:autoSpaceDN w:val="0"/>
              <w:adjustRightInd w:val="0"/>
              <w:rPr>
                <w:rFonts w:cstheme="minorHAnsi"/>
                <w:sz w:val="23"/>
                <w:szCs w:val="23"/>
              </w:rPr>
            </w:pPr>
            <w:r>
              <w:rPr>
                <w:rFonts w:cstheme="minorHAnsi"/>
                <w:sz w:val="23"/>
                <w:szCs w:val="23"/>
              </w:rPr>
              <w:t xml:space="preserve">Deadline for receipt of written clarification questions from Tenderers </w:t>
            </w:r>
          </w:p>
          <w:p w:rsidR="0096277C" w:rsidRDefault="0096277C" w:rsidP="005B44EF">
            <w:pPr>
              <w:autoSpaceDE w:val="0"/>
              <w:autoSpaceDN w:val="0"/>
              <w:adjustRightInd w:val="0"/>
              <w:rPr>
                <w:rFonts w:cstheme="minorHAnsi"/>
                <w:sz w:val="23"/>
                <w:szCs w:val="23"/>
              </w:rPr>
            </w:pPr>
          </w:p>
        </w:tc>
        <w:tc>
          <w:tcPr>
            <w:tcW w:w="4508" w:type="dxa"/>
          </w:tcPr>
          <w:p w:rsidR="0096277C" w:rsidRDefault="009512D6" w:rsidP="005B44EF">
            <w:pPr>
              <w:autoSpaceDE w:val="0"/>
              <w:autoSpaceDN w:val="0"/>
              <w:adjustRightInd w:val="0"/>
              <w:rPr>
                <w:rFonts w:cstheme="minorHAnsi"/>
                <w:sz w:val="23"/>
                <w:szCs w:val="23"/>
              </w:rPr>
            </w:pPr>
            <w:r>
              <w:rPr>
                <w:rFonts w:cstheme="minorHAnsi"/>
                <w:sz w:val="23"/>
                <w:szCs w:val="23"/>
              </w:rPr>
              <w:t>7</w:t>
            </w:r>
            <w:r w:rsidRPr="009512D6">
              <w:rPr>
                <w:rFonts w:cstheme="minorHAnsi"/>
                <w:sz w:val="23"/>
                <w:szCs w:val="23"/>
                <w:vertAlign w:val="superscript"/>
              </w:rPr>
              <w:t>th</w:t>
            </w:r>
            <w:r>
              <w:rPr>
                <w:rFonts w:cstheme="minorHAnsi"/>
                <w:sz w:val="23"/>
                <w:szCs w:val="23"/>
              </w:rPr>
              <w:t xml:space="preserve"> </w:t>
            </w:r>
            <w:r w:rsidR="00A92D50">
              <w:rPr>
                <w:rFonts w:cstheme="minorHAnsi"/>
                <w:sz w:val="23"/>
                <w:szCs w:val="23"/>
              </w:rPr>
              <w:t>May</w:t>
            </w:r>
            <w:r w:rsidR="0096277C">
              <w:rPr>
                <w:rFonts w:cstheme="minorHAnsi"/>
                <w:sz w:val="23"/>
                <w:szCs w:val="23"/>
              </w:rPr>
              <w:t xml:space="preserve"> 2019 </w:t>
            </w:r>
          </w:p>
          <w:p w:rsidR="00537FAB" w:rsidRDefault="00537FAB" w:rsidP="005B44EF">
            <w:pPr>
              <w:autoSpaceDE w:val="0"/>
              <w:autoSpaceDN w:val="0"/>
              <w:adjustRightInd w:val="0"/>
              <w:rPr>
                <w:rFonts w:cstheme="minorHAnsi"/>
                <w:sz w:val="23"/>
                <w:szCs w:val="23"/>
              </w:rPr>
            </w:pPr>
            <w:r>
              <w:rPr>
                <w:rFonts w:cstheme="minorHAnsi"/>
                <w:sz w:val="23"/>
                <w:szCs w:val="23"/>
              </w:rPr>
              <w:t>(by 12:00pm)</w:t>
            </w:r>
          </w:p>
        </w:tc>
      </w:tr>
      <w:tr w:rsidR="00537FAB" w:rsidTr="00537FAB">
        <w:tc>
          <w:tcPr>
            <w:tcW w:w="4508" w:type="dxa"/>
          </w:tcPr>
          <w:p w:rsidR="00537FAB" w:rsidRDefault="00537FAB" w:rsidP="005B44EF">
            <w:pPr>
              <w:autoSpaceDE w:val="0"/>
              <w:autoSpaceDN w:val="0"/>
              <w:adjustRightInd w:val="0"/>
              <w:rPr>
                <w:rFonts w:cstheme="minorHAnsi"/>
                <w:sz w:val="23"/>
                <w:szCs w:val="23"/>
              </w:rPr>
            </w:pPr>
            <w:r>
              <w:rPr>
                <w:rFonts w:cstheme="minorHAnsi"/>
                <w:sz w:val="23"/>
                <w:szCs w:val="23"/>
              </w:rPr>
              <w:t>Responses to ITT clarification questions by</w:t>
            </w:r>
          </w:p>
        </w:tc>
        <w:tc>
          <w:tcPr>
            <w:tcW w:w="4508" w:type="dxa"/>
          </w:tcPr>
          <w:p w:rsidR="00537FAB" w:rsidRDefault="009512D6" w:rsidP="00CA7D8F">
            <w:pPr>
              <w:autoSpaceDE w:val="0"/>
              <w:autoSpaceDN w:val="0"/>
              <w:adjustRightInd w:val="0"/>
              <w:rPr>
                <w:rFonts w:cstheme="minorHAnsi"/>
                <w:sz w:val="23"/>
                <w:szCs w:val="23"/>
              </w:rPr>
            </w:pPr>
            <w:r>
              <w:rPr>
                <w:rFonts w:cstheme="minorHAnsi"/>
                <w:sz w:val="23"/>
                <w:szCs w:val="23"/>
              </w:rPr>
              <w:t>8</w:t>
            </w:r>
            <w:r w:rsidR="006B7CC0" w:rsidRPr="006B7CC0">
              <w:rPr>
                <w:rFonts w:cstheme="minorHAnsi"/>
                <w:sz w:val="23"/>
                <w:szCs w:val="23"/>
                <w:vertAlign w:val="superscript"/>
              </w:rPr>
              <w:t>th</w:t>
            </w:r>
            <w:r w:rsidR="006B7CC0">
              <w:rPr>
                <w:rFonts w:cstheme="minorHAnsi"/>
                <w:sz w:val="23"/>
                <w:szCs w:val="23"/>
              </w:rPr>
              <w:t xml:space="preserve"> </w:t>
            </w:r>
            <w:r w:rsidR="00CA7D8F">
              <w:rPr>
                <w:rFonts w:cstheme="minorHAnsi"/>
                <w:sz w:val="23"/>
                <w:szCs w:val="23"/>
              </w:rPr>
              <w:t>May</w:t>
            </w:r>
            <w:r w:rsidR="0096277C">
              <w:rPr>
                <w:rFonts w:cstheme="minorHAnsi"/>
                <w:sz w:val="23"/>
                <w:szCs w:val="23"/>
              </w:rPr>
              <w:t xml:space="preserve"> 2019</w:t>
            </w:r>
          </w:p>
        </w:tc>
      </w:tr>
      <w:tr w:rsidR="00537FAB" w:rsidTr="00537FAB">
        <w:tc>
          <w:tcPr>
            <w:tcW w:w="4508" w:type="dxa"/>
          </w:tcPr>
          <w:p w:rsidR="00537FAB" w:rsidRDefault="00537FAB" w:rsidP="005B44EF">
            <w:pPr>
              <w:autoSpaceDE w:val="0"/>
              <w:autoSpaceDN w:val="0"/>
              <w:adjustRightInd w:val="0"/>
              <w:rPr>
                <w:rFonts w:cstheme="minorHAnsi"/>
                <w:sz w:val="23"/>
                <w:szCs w:val="23"/>
              </w:rPr>
            </w:pPr>
            <w:r>
              <w:rPr>
                <w:rFonts w:cstheme="minorHAnsi"/>
                <w:sz w:val="23"/>
                <w:szCs w:val="23"/>
              </w:rPr>
              <w:t>Closing date for receipt of tenders</w:t>
            </w:r>
          </w:p>
        </w:tc>
        <w:tc>
          <w:tcPr>
            <w:tcW w:w="4508" w:type="dxa"/>
          </w:tcPr>
          <w:p w:rsidR="0096277C" w:rsidRDefault="00A92D50" w:rsidP="005B44EF">
            <w:pPr>
              <w:autoSpaceDE w:val="0"/>
              <w:autoSpaceDN w:val="0"/>
              <w:adjustRightInd w:val="0"/>
              <w:rPr>
                <w:rFonts w:cstheme="minorHAnsi"/>
                <w:sz w:val="23"/>
                <w:szCs w:val="23"/>
              </w:rPr>
            </w:pPr>
            <w:r>
              <w:rPr>
                <w:rFonts w:cstheme="minorHAnsi"/>
                <w:sz w:val="23"/>
                <w:szCs w:val="23"/>
              </w:rPr>
              <w:t>17</w:t>
            </w:r>
            <w:r w:rsidRPr="00A92D50">
              <w:rPr>
                <w:rFonts w:cstheme="minorHAnsi"/>
                <w:sz w:val="23"/>
                <w:szCs w:val="23"/>
                <w:vertAlign w:val="superscript"/>
              </w:rPr>
              <w:t>th</w:t>
            </w:r>
            <w:r>
              <w:rPr>
                <w:rFonts w:cstheme="minorHAnsi"/>
                <w:sz w:val="23"/>
                <w:szCs w:val="23"/>
              </w:rPr>
              <w:t xml:space="preserve"> May</w:t>
            </w:r>
            <w:r w:rsidR="0096277C">
              <w:rPr>
                <w:rFonts w:cstheme="minorHAnsi"/>
                <w:sz w:val="23"/>
                <w:szCs w:val="23"/>
              </w:rPr>
              <w:t xml:space="preserve"> 2019</w:t>
            </w:r>
          </w:p>
          <w:p w:rsidR="00537FAB" w:rsidRDefault="00276165" w:rsidP="005B44EF">
            <w:pPr>
              <w:autoSpaceDE w:val="0"/>
              <w:autoSpaceDN w:val="0"/>
              <w:adjustRightInd w:val="0"/>
              <w:rPr>
                <w:rFonts w:cstheme="minorHAnsi"/>
                <w:sz w:val="23"/>
                <w:szCs w:val="23"/>
              </w:rPr>
            </w:pPr>
            <w:r>
              <w:rPr>
                <w:rFonts w:cstheme="minorHAnsi"/>
                <w:sz w:val="23"/>
                <w:szCs w:val="23"/>
              </w:rPr>
              <w:t>(</w:t>
            </w:r>
            <w:r w:rsidR="00537FAB">
              <w:rPr>
                <w:rFonts w:cstheme="minorHAnsi"/>
                <w:sz w:val="23"/>
                <w:szCs w:val="23"/>
              </w:rPr>
              <w:t>By 12:00pm</w:t>
            </w:r>
            <w:r>
              <w:rPr>
                <w:rFonts w:cstheme="minorHAnsi"/>
                <w:sz w:val="23"/>
                <w:szCs w:val="23"/>
              </w:rPr>
              <w:t>)</w:t>
            </w:r>
          </w:p>
        </w:tc>
      </w:tr>
      <w:tr w:rsidR="00537FAB" w:rsidTr="00537FAB">
        <w:tc>
          <w:tcPr>
            <w:tcW w:w="4508" w:type="dxa"/>
          </w:tcPr>
          <w:p w:rsidR="00537FAB" w:rsidRDefault="00537FAB" w:rsidP="005B44EF">
            <w:pPr>
              <w:autoSpaceDE w:val="0"/>
              <w:autoSpaceDN w:val="0"/>
              <w:adjustRightInd w:val="0"/>
              <w:rPr>
                <w:rFonts w:cstheme="minorHAnsi"/>
                <w:sz w:val="23"/>
                <w:szCs w:val="23"/>
              </w:rPr>
            </w:pPr>
            <w:r>
              <w:rPr>
                <w:rFonts w:cstheme="minorHAnsi"/>
                <w:sz w:val="23"/>
                <w:szCs w:val="23"/>
              </w:rPr>
              <w:t>Evaluation</w:t>
            </w:r>
          </w:p>
        </w:tc>
        <w:tc>
          <w:tcPr>
            <w:tcW w:w="4508" w:type="dxa"/>
          </w:tcPr>
          <w:p w:rsidR="00537FAB" w:rsidRPr="00F73F40" w:rsidRDefault="00283FB0" w:rsidP="005B44EF">
            <w:pPr>
              <w:autoSpaceDE w:val="0"/>
              <w:autoSpaceDN w:val="0"/>
              <w:adjustRightInd w:val="0"/>
              <w:rPr>
                <w:rFonts w:cstheme="minorHAnsi"/>
                <w:sz w:val="23"/>
                <w:szCs w:val="23"/>
              </w:rPr>
            </w:pPr>
            <w:r>
              <w:rPr>
                <w:rFonts w:cstheme="minorHAnsi"/>
                <w:sz w:val="23"/>
                <w:szCs w:val="23"/>
              </w:rPr>
              <w:t>20</w:t>
            </w:r>
            <w:r>
              <w:rPr>
                <w:rFonts w:cstheme="minorHAnsi"/>
                <w:sz w:val="23"/>
                <w:szCs w:val="23"/>
                <w:vertAlign w:val="superscript"/>
              </w:rPr>
              <w:t xml:space="preserve">th </w:t>
            </w:r>
            <w:r>
              <w:rPr>
                <w:rFonts w:cstheme="minorHAnsi"/>
                <w:sz w:val="23"/>
                <w:szCs w:val="23"/>
              </w:rPr>
              <w:t>May</w:t>
            </w:r>
            <w:r w:rsidR="00BD7FB7" w:rsidRPr="00F73F40">
              <w:rPr>
                <w:rFonts w:cstheme="minorHAnsi"/>
                <w:sz w:val="23"/>
                <w:szCs w:val="23"/>
              </w:rPr>
              <w:t xml:space="preserve"> 2019</w:t>
            </w:r>
          </w:p>
        </w:tc>
      </w:tr>
      <w:tr w:rsidR="00537FAB" w:rsidTr="00537FAB">
        <w:tc>
          <w:tcPr>
            <w:tcW w:w="4508" w:type="dxa"/>
          </w:tcPr>
          <w:p w:rsidR="00537FAB" w:rsidRDefault="00537FAB" w:rsidP="005B44EF">
            <w:pPr>
              <w:autoSpaceDE w:val="0"/>
              <w:autoSpaceDN w:val="0"/>
              <w:adjustRightInd w:val="0"/>
              <w:rPr>
                <w:rFonts w:cstheme="minorHAnsi"/>
                <w:sz w:val="23"/>
                <w:szCs w:val="23"/>
              </w:rPr>
            </w:pPr>
            <w:r>
              <w:rPr>
                <w:rFonts w:cstheme="minorHAnsi"/>
                <w:sz w:val="23"/>
                <w:szCs w:val="23"/>
              </w:rPr>
              <w:t>Notification of award</w:t>
            </w:r>
          </w:p>
        </w:tc>
        <w:tc>
          <w:tcPr>
            <w:tcW w:w="4508" w:type="dxa"/>
          </w:tcPr>
          <w:p w:rsidR="00537FAB" w:rsidRPr="00F73F40" w:rsidRDefault="00A92D50" w:rsidP="005B44EF">
            <w:pPr>
              <w:autoSpaceDE w:val="0"/>
              <w:autoSpaceDN w:val="0"/>
              <w:adjustRightInd w:val="0"/>
              <w:rPr>
                <w:rFonts w:cstheme="minorHAnsi"/>
                <w:sz w:val="23"/>
                <w:szCs w:val="23"/>
              </w:rPr>
            </w:pPr>
            <w:r w:rsidRPr="00F73F40">
              <w:rPr>
                <w:rFonts w:cstheme="minorHAnsi"/>
                <w:sz w:val="23"/>
                <w:szCs w:val="23"/>
              </w:rPr>
              <w:t>24</w:t>
            </w:r>
            <w:r w:rsidR="006B7CC0" w:rsidRPr="00F73F40">
              <w:rPr>
                <w:rFonts w:cstheme="minorHAnsi"/>
                <w:sz w:val="23"/>
                <w:szCs w:val="23"/>
                <w:vertAlign w:val="superscript"/>
              </w:rPr>
              <w:t>th</w:t>
            </w:r>
            <w:r w:rsidR="006B7CC0" w:rsidRPr="00F73F40">
              <w:rPr>
                <w:rFonts w:cstheme="minorHAnsi"/>
                <w:sz w:val="23"/>
                <w:szCs w:val="23"/>
              </w:rPr>
              <w:t xml:space="preserve"> </w:t>
            </w:r>
            <w:r w:rsidRPr="00F73F40">
              <w:rPr>
                <w:rFonts w:cstheme="minorHAnsi"/>
                <w:sz w:val="23"/>
                <w:szCs w:val="23"/>
              </w:rPr>
              <w:t>May</w:t>
            </w:r>
            <w:r w:rsidR="00BD7FB7" w:rsidRPr="00F73F40">
              <w:rPr>
                <w:rFonts w:cstheme="minorHAnsi"/>
                <w:sz w:val="23"/>
                <w:szCs w:val="23"/>
              </w:rPr>
              <w:t xml:space="preserve"> 2019</w:t>
            </w:r>
          </w:p>
        </w:tc>
      </w:tr>
      <w:tr w:rsidR="00537FAB" w:rsidTr="00537FAB">
        <w:tc>
          <w:tcPr>
            <w:tcW w:w="4508" w:type="dxa"/>
          </w:tcPr>
          <w:p w:rsidR="00537FAB" w:rsidRDefault="00537FAB" w:rsidP="005B44EF">
            <w:pPr>
              <w:autoSpaceDE w:val="0"/>
              <w:autoSpaceDN w:val="0"/>
              <w:adjustRightInd w:val="0"/>
              <w:rPr>
                <w:rFonts w:cstheme="minorHAnsi"/>
                <w:sz w:val="23"/>
                <w:szCs w:val="23"/>
              </w:rPr>
            </w:pPr>
            <w:r>
              <w:rPr>
                <w:rFonts w:cstheme="minorHAnsi"/>
                <w:sz w:val="23"/>
                <w:szCs w:val="23"/>
              </w:rPr>
              <w:t>Commencement no later than</w:t>
            </w:r>
          </w:p>
        </w:tc>
        <w:tc>
          <w:tcPr>
            <w:tcW w:w="4508" w:type="dxa"/>
          </w:tcPr>
          <w:p w:rsidR="00537FAB" w:rsidRPr="00F73F40" w:rsidRDefault="006B7CC0" w:rsidP="00A92D50">
            <w:pPr>
              <w:autoSpaceDE w:val="0"/>
              <w:autoSpaceDN w:val="0"/>
              <w:adjustRightInd w:val="0"/>
              <w:rPr>
                <w:rFonts w:cstheme="minorHAnsi"/>
                <w:sz w:val="23"/>
                <w:szCs w:val="23"/>
              </w:rPr>
            </w:pPr>
            <w:r w:rsidRPr="00F73F40">
              <w:rPr>
                <w:rFonts w:cstheme="minorHAnsi"/>
                <w:sz w:val="23"/>
                <w:szCs w:val="23"/>
              </w:rPr>
              <w:t>1</w:t>
            </w:r>
            <w:r w:rsidRPr="00F73F40">
              <w:rPr>
                <w:rFonts w:cstheme="minorHAnsi"/>
                <w:sz w:val="23"/>
                <w:szCs w:val="23"/>
                <w:vertAlign w:val="superscript"/>
              </w:rPr>
              <w:t>st</w:t>
            </w:r>
            <w:r w:rsidR="00A92D50" w:rsidRPr="00F73F40">
              <w:rPr>
                <w:rFonts w:cstheme="minorHAnsi"/>
                <w:sz w:val="23"/>
                <w:szCs w:val="23"/>
              </w:rPr>
              <w:t xml:space="preserve"> June</w:t>
            </w:r>
            <w:r w:rsidR="00BD7FB7" w:rsidRPr="00F73F40">
              <w:rPr>
                <w:rFonts w:cstheme="minorHAnsi"/>
                <w:sz w:val="23"/>
                <w:szCs w:val="23"/>
              </w:rPr>
              <w:t xml:space="preserve"> 2019 </w:t>
            </w:r>
          </w:p>
        </w:tc>
      </w:tr>
    </w:tbl>
    <w:p w:rsidR="00537FAB" w:rsidRDefault="00537FAB" w:rsidP="005B44EF">
      <w:pPr>
        <w:autoSpaceDE w:val="0"/>
        <w:autoSpaceDN w:val="0"/>
        <w:adjustRightInd w:val="0"/>
        <w:spacing w:after="0" w:line="240" w:lineRule="auto"/>
        <w:rPr>
          <w:rFonts w:cstheme="minorHAnsi"/>
          <w:sz w:val="23"/>
          <w:szCs w:val="23"/>
        </w:rPr>
      </w:pPr>
    </w:p>
    <w:p w:rsidR="00BD7FB7" w:rsidRDefault="00BD7FB7" w:rsidP="00BD7FB7">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Clarification questions</w:t>
      </w:r>
    </w:p>
    <w:p w:rsidR="00BD7FB7" w:rsidRDefault="00BD7FB7" w:rsidP="00BD7FB7">
      <w:pPr>
        <w:pStyle w:val="Default"/>
        <w:rPr>
          <w:sz w:val="23"/>
          <w:szCs w:val="23"/>
        </w:rPr>
      </w:pPr>
    </w:p>
    <w:p w:rsidR="00BD7FB7" w:rsidRDefault="00BD7FB7" w:rsidP="00283FB0">
      <w:pPr>
        <w:pStyle w:val="Default"/>
        <w:jc w:val="both"/>
        <w:rPr>
          <w:sz w:val="23"/>
          <w:szCs w:val="23"/>
        </w:rPr>
      </w:pPr>
      <w:r>
        <w:rPr>
          <w:sz w:val="23"/>
          <w:szCs w:val="23"/>
        </w:rPr>
        <w:t xml:space="preserve">Any questions relating to the clarification of any aspect of this invitation to tender must be made in writing via email </w:t>
      </w:r>
      <w:r w:rsidRPr="0096277C">
        <w:rPr>
          <w:sz w:val="23"/>
          <w:szCs w:val="23"/>
        </w:rPr>
        <w:t>to</w:t>
      </w:r>
      <w:r w:rsidRPr="0096277C">
        <w:rPr>
          <w:b/>
          <w:bCs/>
          <w:sz w:val="23"/>
          <w:szCs w:val="23"/>
        </w:rPr>
        <w:t xml:space="preserve">: </w:t>
      </w:r>
      <w:hyperlink r:id="rId11" w:history="1">
        <w:r w:rsidR="00231C5F" w:rsidRPr="00AE5367">
          <w:rPr>
            <w:rStyle w:val="Hyperlink"/>
            <w:b/>
            <w:bCs/>
            <w:sz w:val="23"/>
            <w:szCs w:val="23"/>
          </w:rPr>
          <w:t>procurement@businesswest.co.uk</w:t>
        </w:r>
      </w:hyperlink>
      <w:r w:rsidR="00231C5F">
        <w:rPr>
          <w:b/>
          <w:bCs/>
          <w:sz w:val="23"/>
          <w:szCs w:val="23"/>
        </w:rPr>
        <w:t xml:space="preserve"> </w:t>
      </w:r>
      <w:r w:rsidRPr="0096277C">
        <w:rPr>
          <w:sz w:val="23"/>
          <w:szCs w:val="23"/>
        </w:rPr>
        <w:t>by</w:t>
      </w:r>
      <w:r w:rsidR="00283FB0">
        <w:rPr>
          <w:sz w:val="23"/>
          <w:szCs w:val="23"/>
        </w:rPr>
        <w:t xml:space="preserve"> no later than </w:t>
      </w:r>
      <w:r w:rsidR="00283FB0" w:rsidRPr="00283FB0">
        <w:rPr>
          <w:b/>
          <w:sz w:val="23"/>
          <w:szCs w:val="23"/>
        </w:rPr>
        <w:t>12pm on the</w:t>
      </w:r>
      <w:r w:rsidRPr="00283FB0">
        <w:rPr>
          <w:b/>
          <w:sz w:val="23"/>
          <w:szCs w:val="23"/>
        </w:rPr>
        <w:t xml:space="preserve"> </w:t>
      </w:r>
      <w:r w:rsidR="009512D6">
        <w:rPr>
          <w:rFonts w:cstheme="minorHAnsi"/>
          <w:b/>
          <w:sz w:val="23"/>
          <w:szCs w:val="23"/>
        </w:rPr>
        <w:t>7</w:t>
      </w:r>
      <w:r w:rsidR="009512D6">
        <w:rPr>
          <w:rFonts w:cstheme="minorHAnsi"/>
          <w:b/>
          <w:sz w:val="23"/>
          <w:szCs w:val="23"/>
          <w:vertAlign w:val="superscript"/>
        </w:rPr>
        <w:t>th</w:t>
      </w:r>
      <w:r w:rsidR="00F73F40" w:rsidRPr="00283FB0">
        <w:rPr>
          <w:rFonts w:cstheme="minorHAnsi"/>
          <w:b/>
          <w:sz w:val="23"/>
          <w:szCs w:val="23"/>
        </w:rPr>
        <w:t xml:space="preserve"> May</w:t>
      </w:r>
      <w:r w:rsidR="00231C5F">
        <w:rPr>
          <w:rFonts w:cstheme="minorHAnsi"/>
          <w:sz w:val="23"/>
          <w:szCs w:val="23"/>
        </w:rPr>
        <w:t xml:space="preserve"> 2019</w:t>
      </w:r>
      <w:r w:rsidR="00231C5F">
        <w:rPr>
          <w:sz w:val="23"/>
          <w:szCs w:val="23"/>
        </w:rPr>
        <w:t>. Please include</w:t>
      </w:r>
      <w:r>
        <w:rPr>
          <w:sz w:val="23"/>
          <w:szCs w:val="23"/>
        </w:rPr>
        <w:t xml:space="preserve"> </w:t>
      </w:r>
      <w:r>
        <w:rPr>
          <w:b/>
          <w:bCs/>
          <w:i/>
          <w:iCs/>
          <w:sz w:val="23"/>
          <w:szCs w:val="23"/>
        </w:rPr>
        <w:t xml:space="preserve">“EWOE Summative Assessment- Clarification” </w:t>
      </w:r>
      <w:r>
        <w:rPr>
          <w:sz w:val="23"/>
          <w:szCs w:val="23"/>
        </w:rPr>
        <w:t xml:space="preserve">in </w:t>
      </w:r>
      <w:r w:rsidR="00283FB0">
        <w:rPr>
          <w:sz w:val="23"/>
          <w:szCs w:val="23"/>
        </w:rPr>
        <w:t xml:space="preserve">the subject line of the email. </w:t>
      </w:r>
    </w:p>
    <w:p w:rsidR="00283FB0" w:rsidRPr="00283FB0" w:rsidRDefault="00283FB0" w:rsidP="00283FB0">
      <w:pPr>
        <w:pStyle w:val="Default"/>
        <w:jc w:val="both"/>
        <w:rPr>
          <w:sz w:val="23"/>
          <w:szCs w:val="23"/>
        </w:rPr>
      </w:pPr>
    </w:p>
    <w:p w:rsidR="00BD7FB7" w:rsidRDefault="00BD7FB7" w:rsidP="00231C5F">
      <w:pPr>
        <w:autoSpaceDE w:val="0"/>
        <w:autoSpaceDN w:val="0"/>
        <w:adjustRightInd w:val="0"/>
        <w:spacing w:after="0" w:line="240" w:lineRule="auto"/>
        <w:jc w:val="both"/>
        <w:rPr>
          <w:rFonts w:cstheme="minorHAnsi"/>
          <w:b/>
          <w:bCs/>
          <w:color w:val="000000"/>
          <w:sz w:val="28"/>
          <w:szCs w:val="28"/>
        </w:rPr>
      </w:pPr>
      <w:r>
        <w:rPr>
          <w:sz w:val="23"/>
          <w:szCs w:val="23"/>
        </w:rPr>
        <w:t xml:space="preserve">Business West will post responses to such requests on the Business West website (including a description of the enquiry without identifying the source) on or before </w:t>
      </w:r>
      <w:r w:rsidR="009512D6">
        <w:rPr>
          <w:b/>
          <w:sz w:val="23"/>
          <w:szCs w:val="23"/>
        </w:rPr>
        <w:t>8</w:t>
      </w:r>
      <w:r w:rsidR="00B91A96" w:rsidRPr="00B91A96">
        <w:rPr>
          <w:b/>
          <w:sz w:val="23"/>
          <w:szCs w:val="23"/>
          <w:vertAlign w:val="superscript"/>
        </w:rPr>
        <w:t>th</w:t>
      </w:r>
      <w:r w:rsidR="00B91A96">
        <w:rPr>
          <w:b/>
          <w:sz w:val="23"/>
          <w:szCs w:val="23"/>
        </w:rPr>
        <w:t xml:space="preserve"> May</w:t>
      </w:r>
      <w:r>
        <w:rPr>
          <w:b/>
          <w:sz w:val="23"/>
          <w:szCs w:val="23"/>
        </w:rPr>
        <w:t xml:space="preserve"> 2019 </w:t>
      </w:r>
      <w:hyperlink r:id="rId12" w:history="1">
        <w:r w:rsidRPr="001E49D8">
          <w:rPr>
            <w:rStyle w:val="Hyperlink"/>
            <w:sz w:val="23"/>
            <w:szCs w:val="23"/>
          </w:rPr>
          <w:t>https://www.businesswest.co.uk/tenders</w:t>
        </w:r>
      </w:hyperlink>
      <w:r>
        <w:rPr>
          <w:sz w:val="23"/>
          <w:szCs w:val="23"/>
        </w:rPr>
        <w:t xml:space="preserve"> </w:t>
      </w:r>
    </w:p>
    <w:p w:rsidR="00BD7FB7" w:rsidRDefault="00BD7FB7" w:rsidP="0096277C">
      <w:pPr>
        <w:autoSpaceDE w:val="0"/>
        <w:autoSpaceDN w:val="0"/>
        <w:adjustRightInd w:val="0"/>
        <w:spacing w:after="0" w:line="240" w:lineRule="auto"/>
        <w:rPr>
          <w:rFonts w:cstheme="minorHAnsi"/>
          <w:b/>
          <w:bCs/>
          <w:color w:val="000000"/>
          <w:sz w:val="28"/>
          <w:szCs w:val="28"/>
        </w:rPr>
      </w:pPr>
    </w:p>
    <w:p w:rsidR="0096277C" w:rsidRDefault="0096277C" w:rsidP="0096277C">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Instructions for submission</w:t>
      </w:r>
    </w:p>
    <w:p w:rsidR="0096277C" w:rsidRDefault="0096277C" w:rsidP="0096277C">
      <w:pPr>
        <w:pStyle w:val="Default"/>
        <w:rPr>
          <w:sz w:val="23"/>
          <w:szCs w:val="23"/>
        </w:rPr>
      </w:pPr>
    </w:p>
    <w:p w:rsidR="0096277C" w:rsidRDefault="0096277C" w:rsidP="0096277C">
      <w:pPr>
        <w:pStyle w:val="Default"/>
        <w:rPr>
          <w:sz w:val="23"/>
          <w:szCs w:val="23"/>
        </w:rPr>
      </w:pPr>
      <w:r>
        <w:rPr>
          <w:sz w:val="23"/>
          <w:szCs w:val="23"/>
        </w:rPr>
        <w:t xml:space="preserve">Please email </w:t>
      </w:r>
      <w:r w:rsidRPr="00BD7FB7">
        <w:rPr>
          <w:sz w:val="23"/>
          <w:szCs w:val="23"/>
        </w:rPr>
        <w:t xml:space="preserve">your </w:t>
      </w:r>
      <w:r w:rsidR="00B91A96">
        <w:rPr>
          <w:sz w:val="23"/>
          <w:szCs w:val="23"/>
        </w:rPr>
        <w:t>proposal</w:t>
      </w:r>
      <w:r w:rsidRPr="00BD7FB7">
        <w:rPr>
          <w:sz w:val="23"/>
          <w:szCs w:val="23"/>
        </w:rPr>
        <w:t xml:space="preserve"> to </w:t>
      </w:r>
      <w:hyperlink r:id="rId13" w:history="1">
        <w:r w:rsidR="00231C5F" w:rsidRPr="00AE5367">
          <w:rPr>
            <w:rStyle w:val="Hyperlink"/>
            <w:b/>
            <w:bCs/>
            <w:sz w:val="23"/>
            <w:szCs w:val="23"/>
          </w:rPr>
          <w:t>procurement@businesswest.co.uk</w:t>
        </w:r>
      </w:hyperlink>
      <w:r w:rsidR="00231C5F">
        <w:rPr>
          <w:b/>
          <w:bCs/>
          <w:sz w:val="23"/>
          <w:szCs w:val="23"/>
        </w:rPr>
        <w:t xml:space="preserve"> </w:t>
      </w:r>
      <w:r w:rsidRPr="00BD7FB7">
        <w:rPr>
          <w:sz w:val="23"/>
          <w:szCs w:val="23"/>
        </w:rPr>
        <w:t>entitled:</w:t>
      </w:r>
      <w:r>
        <w:rPr>
          <w:sz w:val="23"/>
          <w:szCs w:val="23"/>
        </w:rPr>
        <w:t xml:space="preserve"> </w:t>
      </w:r>
    </w:p>
    <w:p w:rsidR="0096277C" w:rsidRDefault="0096277C" w:rsidP="0096277C">
      <w:pPr>
        <w:pStyle w:val="Default"/>
        <w:rPr>
          <w:sz w:val="23"/>
          <w:szCs w:val="23"/>
        </w:rPr>
      </w:pPr>
    </w:p>
    <w:p w:rsidR="0096277C" w:rsidRPr="00E5043E" w:rsidRDefault="0096277C" w:rsidP="0096277C">
      <w:pPr>
        <w:pStyle w:val="ListParagraph"/>
        <w:numPr>
          <w:ilvl w:val="0"/>
          <w:numId w:val="26"/>
        </w:numPr>
        <w:autoSpaceDE w:val="0"/>
        <w:autoSpaceDN w:val="0"/>
        <w:adjustRightInd w:val="0"/>
        <w:spacing w:after="0" w:line="240" w:lineRule="auto"/>
        <w:rPr>
          <w:rFonts w:cstheme="minorHAnsi"/>
          <w:b/>
          <w:bCs/>
          <w:color w:val="000000"/>
          <w:sz w:val="28"/>
          <w:szCs w:val="28"/>
        </w:rPr>
      </w:pPr>
      <w:r>
        <w:rPr>
          <w:b/>
          <w:bCs/>
          <w:i/>
          <w:iCs/>
          <w:sz w:val="23"/>
          <w:szCs w:val="23"/>
        </w:rPr>
        <w:t>EWOE Summative Assessment</w:t>
      </w:r>
      <w:r w:rsidRPr="00537FAB">
        <w:rPr>
          <w:b/>
          <w:bCs/>
          <w:i/>
          <w:iCs/>
          <w:sz w:val="23"/>
          <w:szCs w:val="23"/>
        </w:rPr>
        <w:t>: name of your company</w:t>
      </w:r>
    </w:p>
    <w:p w:rsidR="00E5043E" w:rsidRDefault="00E5043E" w:rsidP="00E5043E">
      <w:pPr>
        <w:autoSpaceDE w:val="0"/>
        <w:autoSpaceDN w:val="0"/>
        <w:adjustRightInd w:val="0"/>
        <w:spacing w:after="0" w:line="240" w:lineRule="auto"/>
        <w:rPr>
          <w:rFonts w:cstheme="minorHAnsi"/>
          <w:b/>
          <w:bCs/>
          <w:color w:val="000000"/>
          <w:sz w:val="28"/>
          <w:szCs w:val="28"/>
        </w:rPr>
      </w:pPr>
    </w:p>
    <w:p w:rsidR="00E5043E" w:rsidRDefault="00E5043E" w:rsidP="00E5043E">
      <w:pPr>
        <w:pStyle w:val="Default"/>
        <w:rPr>
          <w:color w:val="auto"/>
          <w:sz w:val="23"/>
          <w:szCs w:val="23"/>
        </w:rPr>
      </w:pPr>
      <w:r>
        <w:rPr>
          <w:color w:val="auto"/>
          <w:sz w:val="23"/>
          <w:szCs w:val="23"/>
        </w:rPr>
        <w:t xml:space="preserve">In addition, please submit a copy of your policies: </w:t>
      </w:r>
    </w:p>
    <w:p w:rsidR="00E5043E" w:rsidRDefault="00E5043E" w:rsidP="00E5043E">
      <w:pPr>
        <w:pStyle w:val="Default"/>
        <w:rPr>
          <w:color w:val="auto"/>
          <w:sz w:val="23"/>
          <w:szCs w:val="23"/>
        </w:rPr>
      </w:pPr>
    </w:p>
    <w:p w:rsidR="00E5043E" w:rsidRDefault="00E5043E" w:rsidP="00E5043E">
      <w:pPr>
        <w:pStyle w:val="Default"/>
        <w:spacing w:after="22"/>
        <w:rPr>
          <w:color w:val="auto"/>
          <w:sz w:val="23"/>
          <w:szCs w:val="23"/>
        </w:rPr>
      </w:pPr>
      <w:r>
        <w:rPr>
          <w:color w:val="auto"/>
          <w:sz w:val="23"/>
          <w:szCs w:val="23"/>
        </w:rPr>
        <w:t xml:space="preserve">1. Equality and diversity </w:t>
      </w:r>
    </w:p>
    <w:p w:rsidR="00E5043E" w:rsidRDefault="00E5043E" w:rsidP="00E5043E">
      <w:pPr>
        <w:pStyle w:val="Default"/>
        <w:spacing w:after="22"/>
        <w:rPr>
          <w:color w:val="auto"/>
          <w:sz w:val="23"/>
          <w:szCs w:val="23"/>
        </w:rPr>
      </w:pPr>
      <w:r>
        <w:rPr>
          <w:color w:val="auto"/>
          <w:sz w:val="23"/>
          <w:szCs w:val="23"/>
        </w:rPr>
        <w:t xml:space="preserve">2. Health and safety </w:t>
      </w:r>
    </w:p>
    <w:p w:rsidR="00E5043E" w:rsidRDefault="00E5043E" w:rsidP="00E5043E">
      <w:pPr>
        <w:pStyle w:val="Default"/>
        <w:spacing w:after="22"/>
        <w:rPr>
          <w:color w:val="auto"/>
          <w:sz w:val="23"/>
          <w:szCs w:val="23"/>
        </w:rPr>
      </w:pPr>
      <w:r>
        <w:rPr>
          <w:color w:val="auto"/>
          <w:sz w:val="23"/>
          <w:szCs w:val="23"/>
        </w:rPr>
        <w:t xml:space="preserve">3. Data protection </w:t>
      </w:r>
    </w:p>
    <w:p w:rsidR="00E5043E" w:rsidRDefault="00E5043E" w:rsidP="00E5043E">
      <w:pPr>
        <w:pStyle w:val="Default"/>
        <w:rPr>
          <w:color w:val="auto"/>
          <w:sz w:val="23"/>
          <w:szCs w:val="23"/>
        </w:rPr>
      </w:pPr>
      <w:r>
        <w:rPr>
          <w:color w:val="auto"/>
          <w:sz w:val="23"/>
          <w:szCs w:val="23"/>
        </w:rPr>
        <w:t xml:space="preserve">4. Sustainability </w:t>
      </w:r>
    </w:p>
    <w:p w:rsidR="00E5043E" w:rsidRDefault="00E5043E" w:rsidP="00E5043E">
      <w:pPr>
        <w:pStyle w:val="Default"/>
        <w:rPr>
          <w:color w:val="auto"/>
          <w:sz w:val="23"/>
          <w:szCs w:val="23"/>
        </w:rPr>
      </w:pPr>
    </w:p>
    <w:p w:rsidR="00E5043E" w:rsidRPr="00E5043E" w:rsidRDefault="00E5043E" w:rsidP="00E5043E">
      <w:pPr>
        <w:pStyle w:val="Default"/>
        <w:rPr>
          <w:color w:val="auto"/>
          <w:sz w:val="23"/>
          <w:szCs w:val="23"/>
        </w:rPr>
      </w:pPr>
      <w:r>
        <w:rPr>
          <w:color w:val="auto"/>
          <w:sz w:val="23"/>
          <w:szCs w:val="23"/>
        </w:rPr>
        <w:t xml:space="preserve">Please also complete and submit the conflict of interest declaration included as </w:t>
      </w:r>
      <w:r w:rsidRPr="00E5043E">
        <w:rPr>
          <w:color w:val="auto"/>
          <w:sz w:val="23"/>
          <w:szCs w:val="23"/>
        </w:rPr>
        <w:t>Appendix 4.</w:t>
      </w:r>
      <w:r>
        <w:rPr>
          <w:color w:val="auto"/>
          <w:sz w:val="23"/>
          <w:szCs w:val="23"/>
        </w:rPr>
        <w:t xml:space="preserve"> </w:t>
      </w:r>
    </w:p>
    <w:p w:rsidR="005B44EF" w:rsidRPr="001B6D81" w:rsidRDefault="005B44EF" w:rsidP="001C5F85">
      <w:pPr>
        <w:pStyle w:val="Default"/>
        <w:rPr>
          <w:rFonts w:asciiTheme="minorHAnsi" w:hAnsiTheme="minorHAnsi" w:cstheme="minorHAnsi"/>
          <w:sz w:val="23"/>
          <w:szCs w:val="23"/>
        </w:rPr>
      </w:pPr>
    </w:p>
    <w:p w:rsidR="00290F83" w:rsidRPr="001B6D81" w:rsidRDefault="0059545E" w:rsidP="0059545E">
      <w:pPr>
        <w:rPr>
          <w:rFonts w:cstheme="minorHAnsi"/>
        </w:rPr>
      </w:pPr>
      <w:r w:rsidRPr="001B6D81">
        <w:rPr>
          <w:rFonts w:cstheme="minorHAnsi"/>
          <w:b/>
          <w:bCs/>
          <w:sz w:val="28"/>
          <w:szCs w:val="28"/>
        </w:rPr>
        <w:t>Contact details</w:t>
      </w:r>
    </w:p>
    <w:p w:rsidR="00276165" w:rsidRDefault="0059545E" w:rsidP="00283FB0">
      <w:pPr>
        <w:jc w:val="both"/>
        <w:rPr>
          <w:rFonts w:cstheme="minorHAnsi"/>
        </w:rPr>
      </w:pPr>
      <w:r w:rsidRPr="001B6D81">
        <w:rPr>
          <w:rFonts w:cstheme="minorHAnsi"/>
        </w:rPr>
        <w:t xml:space="preserve">All communications throughout this process should be channelled through </w:t>
      </w:r>
      <w:hyperlink r:id="rId14" w:history="1">
        <w:r w:rsidR="00283FB0" w:rsidRPr="00283FB0">
          <w:rPr>
            <w:rStyle w:val="Hyperlink"/>
            <w:rFonts w:cstheme="minorHAnsi"/>
            <w:b/>
          </w:rPr>
          <w:t>procurement@businesswest.co.uk</w:t>
        </w:r>
      </w:hyperlink>
      <w:r w:rsidR="00283FB0">
        <w:rPr>
          <w:rStyle w:val="Hyperlink"/>
          <w:rFonts w:cstheme="minorHAnsi"/>
        </w:rPr>
        <w:t xml:space="preserve"> </w:t>
      </w:r>
    </w:p>
    <w:p w:rsidR="00276165" w:rsidRDefault="00276165" w:rsidP="00290F83">
      <w:pPr>
        <w:rPr>
          <w:rFonts w:cstheme="minorHAnsi"/>
          <w:b/>
          <w:sz w:val="24"/>
        </w:rPr>
      </w:pPr>
      <w:r w:rsidRPr="00276165">
        <w:rPr>
          <w:rFonts w:cstheme="minorHAnsi"/>
          <w:b/>
          <w:sz w:val="24"/>
        </w:rPr>
        <w:lastRenderedPageBreak/>
        <w:t>APPENDIX 1:</w:t>
      </w:r>
    </w:p>
    <w:p w:rsidR="0096277C" w:rsidRPr="0096277C" w:rsidRDefault="0096277C" w:rsidP="00290F83">
      <w:pPr>
        <w:rPr>
          <w:rFonts w:cstheme="minorHAnsi"/>
          <w:sz w:val="24"/>
        </w:rPr>
      </w:pPr>
      <w:r>
        <w:rPr>
          <w:rFonts w:cstheme="minorHAnsi"/>
          <w:sz w:val="24"/>
        </w:rPr>
        <w:t>Enterprising West of England outputs per partner:</w:t>
      </w:r>
    </w:p>
    <w:p w:rsidR="00276165" w:rsidRDefault="00276165" w:rsidP="00276165">
      <w:pPr>
        <w:spacing w:after="0" w:line="240" w:lineRule="auto"/>
        <w:rPr>
          <w:rFonts w:ascii="Calibri" w:eastAsia="Times New Roman" w:hAnsi="Calibri" w:cs="Calibri"/>
          <w:b/>
          <w:bCs/>
          <w:color w:val="A6A6A6"/>
          <w:lang w:eastAsia="en-GB"/>
        </w:rPr>
      </w:pPr>
    </w:p>
    <w:tbl>
      <w:tblPr>
        <w:tblW w:w="8760" w:type="dxa"/>
        <w:tblLook w:val="04A0" w:firstRow="1" w:lastRow="0" w:firstColumn="1" w:lastColumn="0" w:noHBand="0" w:noVBand="1"/>
      </w:tblPr>
      <w:tblGrid>
        <w:gridCol w:w="2501"/>
        <w:gridCol w:w="305"/>
        <w:gridCol w:w="760"/>
        <w:gridCol w:w="760"/>
        <w:gridCol w:w="632"/>
        <w:gridCol w:w="632"/>
        <w:gridCol w:w="632"/>
        <w:gridCol w:w="632"/>
        <w:gridCol w:w="637"/>
        <w:gridCol w:w="637"/>
        <w:gridCol w:w="632"/>
      </w:tblGrid>
      <w:tr w:rsidR="006D3D45" w:rsidRPr="006D3D45" w:rsidTr="006D3D45">
        <w:trPr>
          <w:trHeight w:val="405"/>
        </w:trPr>
        <w:tc>
          <w:tcPr>
            <w:tcW w:w="2501" w:type="dxa"/>
            <w:tcBorders>
              <w:top w:val="single" w:sz="8" w:space="0" w:color="auto"/>
              <w:left w:val="single" w:sz="8" w:space="0" w:color="auto"/>
              <w:bottom w:val="single" w:sz="8" w:space="0" w:color="auto"/>
              <w:right w:val="single" w:sz="4" w:space="0" w:color="auto"/>
            </w:tcBorders>
            <w:shd w:val="clear" w:color="auto" w:fill="auto"/>
            <w:noWrap/>
            <w:hideMark/>
          </w:tcPr>
          <w:p w:rsidR="006D3D45" w:rsidRPr="006D3D45" w:rsidRDefault="006D3D45" w:rsidP="006D3D45">
            <w:pPr>
              <w:spacing w:after="0" w:line="240" w:lineRule="auto"/>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Delivery Partner</w:t>
            </w:r>
          </w:p>
        </w:tc>
        <w:tc>
          <w:tcPr>
            <w:tcW w:w="305" w:type="dxa"/>
            <w:tcBorders>
              <w:top w:val="single" w:sz="8" w:space="0" w:color="auto"/>
              <w:left w:val="nil"/>
              <w:bottom w:val="single" w:sz="8"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 </w:t>
            </w:r>
          </w:p>
        </w:tc>
        <w:tc>
          <w:tcPr>
            <w:tcW w:w="760" w:type="dxa"/>
            <w:tcBorders>
              <w:top w:val="single" w:sz="8" w:space="0" w:color="auto"/>
              <w:left w:val="nil"/>
              <w:bottom w:val="single" w:sz="8" w:space="0" w:color="auto"/>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 xml:space="preserve">P13 </w:t>
            </w:r>
          </w:p>
        </w:tc>
        <w:tc>
          <w:tcPr>
            <w:tcW w:w="760" w:type="dxa"/>
            <w:tcBorders>
              <w:top w:val="single" w:sz="8" w:space="0" w:color="auto"/>
              <w:left w:val="nil"/>
              <w:bottom w:val="single" w:sz="8" w:space="0" w:color="auto"/>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P11</w:t>
            </w:r>
          </w:p>
        </w:tc>
        <w:tc>
          <w:tcPr>
            <w:tcW w:w="632" w:type="dxa"/>
            <w:tcBorders>
              <w:top w:val="single" w:sz="8" w:space="0" w:color="auto"/>
              <w:left w:val="single" w:sz="8" w:space="0" w:color="auto"/>
              <w:bottom w:val="single" w:sz="8"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C1</w:t>
            </w:r>
          </w:p>
        </w:tc>
        <w:tc>
          <w:tcPr>
            <w:tcW w:w="632" w:type="dxa"/>
            <w:tcBorders>
              <w:top w:val="single" w:sz="8" w:space="0" w:color="auto"/>
              <w:left w:val="nil"/>
              <w:bottom w:val="single" w:sz="8"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 xml:space="preserve">C2 </w:t>
            </w:r>
          </w:p>
        </w:tc>
        <w:tc>
          <w:tcPr>
            <w:tcW w:w="632" w:type="dxa"/>
            <w:tcBorders>
              <w:top w:val="single" w:sz="8" w:space="0" w:color="auto"/>
              <w:left w:val="nil"/>
              <w:bottom w:val="single" w:sz="8"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C4</w:t>
            </w:r>
          </w:p>
        </w:tc>
        <w:tc>
          <w:tcPr>
            <w:tcW w:w="632" w:type="dxa"/>
            <w:tcBorders>
              <w:top w:val="single" w:sz="8" w:space="0" w:color="auto"/>
              <w:left w:val="nil"/>
              <w:bottom w:val="single" w:sz="8"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C5</w:t>
            </w:r>
          </w:p>
        </w:tc>
        <w:tc>
          <w:tcPr>
            <w:tcW w:w="637" w:type="dxa"/>
            <w:tcBorders>
              <w:top w:val="single" w:sz="8" w:space="0" w:color="auto"/>
              <w:left w:val="nil"/>
              <w:bottom w:val="single" w:sz="8" w:space="0" w:color="auto"/>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C28</w:t>
            </w:r>
          </w:p>
        </w:tc>
        <w:tc>
          <w:tcPr>
            <w:tcW w:w="637" w:type="dxa"/>
            <w:tcBorders>
              <w:top w:val="single" w:sz="8" w:space="0" w:color="auto"/>
              <w:left w:val="nil"/>
              <w:bottom w:val="single" w:sz="8" w:space="0" w:color="auto"/>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C29</w:t>
            </w:r>
          </w:p>
        </w:tc>
        <w:tc>
          <w:tcPr>
            <w:tcW w:w="632" w:type="dxa"/>
            <w:tcBorders>
              <w:top w:val="single" w:sz="8" w:space="0" w:color="auto"/>
              <w:left w:val="single" w:sz="8" w:space="0" w:color="auto"/>
              <w:bottom w:val="single" w:sz="8"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C8</w:t>
            </w:r>
          </w:p>
        </w:tc>
      </w:tr>
      <w:tr w:rsidR="006D3D45" w:rsidRPr="006D3D45" w:rsidTr="006D3D45">
        <w:trPr>
          <w:trHeight w:val="386"/>
        </w:trPr>
        <w:tc>
          <w:tcPr>
            <w:tcW w:w="2501" w:type="dxa"/>
            <w:tcBorders>
              <w:top w:val="nil"/>
              <w:left w:val="single" w:sz="8" w:space="0" w:color="auto"/>
              <w:bottom w:val="single" w:sz="4" w:space="0" w:color="auto"/>
              <w:right w:val="single" w:sz="4" w:space="0" w:color="auto"/>
            </w:tcBorders>
            <w:shd w:val="clear" w:color="auto" w:fill="auto"/>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BANES</w:t>
            </w:r>
          </w:p>
        </w:tc>
        <w:tc>
          <w:tcPr>
            <w:tcW w:w="305" w:type="dxa"/>
            <w:tcBorders>
              <w:top w:val="nil"/>
              <w:left w:val="nil"/>
              <w:bottom w:val="single" w:sz="4"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tcBorders>
              <w:top w:val="nil"/>
              <w:left w:val="nil"/>
              <w:bottom w:val="single" w:sz="4" w:space="0" w:color="auto"/>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220</w:t>
            </w:r>
          </w:p>
        </w:tc>
        <w:tc>
          <w:tcPr>
            <w:tcW w:w="760" w:type="dxa"/>
            <w:tcBorders>
              <w:top w:val="nil"/>
              <w:left w:val="nil"/>
              <w:bottom w:val="single" w:sz="4" w:space="0" w:color="auto"/>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100</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32</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32</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10</w:t>
            </w:r>
          </w:p>
        </w:tc>
        <w:tc>
          <w:tcPr>
            <w:tcW w:w="637" w:type="dxa"/>
            <w:tcBorders>
              <w:top w:val="nil"/>
              <w:left w:val="nil"/>
              <w:bottom w:val="single" w:sz="4" w:space="0" w:color="auto"/>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tcBorders>
              <w:top w:val="nil"/>
              <w:left w:val="nil"/>
              <w:bottom w:val="single" w:sz="4" w:space="0" w:color="auto"/>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8</w:t>
            </w:r>
          </w:p>
        </w:tc>
      </w:tr>
      <w:tr w:rsidR="006D3D45" w:rsidRPr="006D3D45" w:rsidTr="006D3D45">
        <w:trPr>
          <w:trHeight w:val="386"/>
        </w:trPr>
        <w:tc>
          <w:tcPr>
            <w:tcW w:w="2501" w:type="dxa"/>
            <w:tcBorders>
              <w:top w:val="nil"/>
              <w:left w:val="single" w:sz="8" w:space="0" w:color="auto"/>
              <w:bottom w:val="single" w:sz="4" w:space="0" w:color="auto"/>
              <w:right w:val="single" w:sz="4" w:space="0" w:color="auto"/>
            </w:tcBorders>
            <w:shd w:val="clear" w:color="auto" w:fill="auto"/>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BCC</w:t>
            </w:r>
          </w:p>
        </w:tc>
        <w:tc>
          <w:tcPr>
            <w:tcW w:w="305" w:type="dxa"/>
            <w:tcBorders>
              <w:top w:val="nil"/>
              <w:left w:val="nil"/>
              <w:bottom w:val="single" w:sz="4"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vMerge w:val="restart"/>
            <w:tcBorders>
              <w:top w:val="nil"/>
              <w:left w:val="single" w:sz="4" w:space="0" w:color="auto"/>
              <w:bottom w:val="single" w:sz="4" w:space="0" w:color="auto"/>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344</w:t>
            </w:r>
          </w:p>
        </w:tc>
        <w:tc>
          <w:tcPr>
            <w:tcW w:w="760" w:type="dxa"/>
            <w:vMerge w:val="restart"/>
            <w:tcBorders>
              <w:top w:val="nil"/>
              <w:left w:val="single" w:sz="4" w:space="0" w:color="auto"/>
              <w:bottom w:val="single" w:sz="4" w:space="0" w:color="auto"/>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231</w:t>
            </w:r>
          </w:p>
        </w:tc>
        <w:tc>
          <w:tcPr>
            <w:tcW w:w="632" w:type="dxa"/>
            <w:vMerge w:val="restart"/>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58</w:t>
            </w:r>
          </w:p>
        </w:tc>
        <w:tc>
          <w:tcPr>
            <w:tcW w:w="632" w:type="dxa"/>
            <w:vMerge w:val="restart"/>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vMerge w:val="restart"/>
            <w:tcBorders>
              <w:top w:val="nil"/>
              <w:left w:val="single" w:sz="4" w:space="0" w:color="auto"/>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58</w:t>
            </w:r>
          </w:p>
        </w:tc>
        <w:tc>
          <w:tcPr>
            <w:tcW w:w="632" w:type="dxa"/>
            <w:vMerge w:val="restart"/>
            <w:tcBorders>
              <w:top w:val="nil"/>
              <w:left w:val="single" w:sz="4" w:space="0" w:color="auto"/>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22</w:t>
            </w:r>
          </w:p>
        </w:tc>
        <w:tc>
          <w:tcPr>
            <w:tcW w:w="637" w:type="dxa"/>
            <w:vMerge w:val="restart"/>
            <w:tcBorders>
              <w:top w:val="nil"/>
              <w:left w:val="single" w:sz="4" w:space="0" w:color="auto"/>
              <w:bottom w:val="single" w:sz="4" w:space="0" w:color="auto"/>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vMerge w:val="restart"/>
            <w:tcBorders>
              <w:top w:val="nil"/>
              <w:left w:val="single" w:sz="4" w:space="0" w:color="auto"/>
              <w:bottom w:val="single" w:sz="4" w:space="0" w:color="auto"/>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vMerge w:val="restart"/>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10</w:t>
            </w:r>
          </w:p>
        </w:tc>
      </w:tr>
      <w:tr w:rsidR="006D3D45" w:rsidRPr="006D3D45" w:rsidTr="006D3D45">
        <w:trPr>
          <w:trHeight w:val="386"/>
        </w:trPr>
        <w:tc>
          <w:tcPr>
            <w:tcW w:w="2501" w:type="dxa"/>
            <w:tcBorders>
              <w:top w:val="nil"/>
              <w:left w:val="single" w:sz="8" w:space="0" w:color="auto"/>
              <w:bottom w:val="single" w:sz="4" w:space="0" w:color="auto"/>
              <w:right w:val="single" w:sz="4" w:space="0" w:color="auto"/>
            </w:tcBorders>
            <w:shd w:val="clear" w:color="auto" w:fill="auto"/>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SGC</w:t>
            </w:r>
          </w:p>
        </w:tc>
        <w:tc>
          <w:tcPr>
            <w:tcW w:w="305" w:type="dxa"/>
            <w:tcBorders>
              <w:top w:val="nil"/>
              <w:left w:val="nil"/>
              <w:bottom w:val="single" w:sz="4"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vMerge/>
            <w:tcBorders>
              <w:top w:val="nil"/>
              <w:left w:val="single" w:sz="4" w:space="0" w:color="auto"/>
              <w:bottom w:val="single" w:sz="4" w:space="0" w:color="auto"/>
              <w:right w:val="single" w:sz="4" w:space="0" w:color="auto"/>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c>
          <w:tcPr>
            <w:tcW w:w="760" w:type="dxa"/>
            <w:vMerge/>
            <w:tcBorders>
              <w:top w:val="nil"/>
              <w:left w:val="single" w:sz="4" w:space="0" w:color="auto"/>
              <w:bottom w:val="single" w:sz="4" w:space="0" w:color="auto"/>
              <w:right w:val="nil"/>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c>
          <w:tcPr>
            <w:tcW w:w="632" w:type="dxa"/>
            <w:vMerge/>
            <w:tcBorders>
              <w:top w:val="nil"/>
              <w:left w:val="single" w:sz="8" w:space="0" w:color="auto"/>
              <w:bottom w:val="single" w:sz="4" w:space="0" w:color="auto"/>
              <w:right w:val="single" w:sz="8" w:space="0" w:color="auto"/>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c>
          <w:tcPr>
            <w:tcW w:w="632" w:type="dxa"/>
            <w:vMerge/>
            <w:tcBorders>
              <w:top w:val="nil"/>
              <w:left w:val="nil"/>
              <w:bottom w:val="single" w:sz="4" w:space="0" w:color="auto"/>
              <w:right w:val="single" w:sz="4" w:space="0" w:color="auto"/>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c>
          <w:tcPr>
            <w:tcW w:w="632" w:type="dxa"/>
            <w:vMerge/>
            <w:tcBorders>
              <w:top w:val="nil"/>
              <w:left w:val="single" w:sz="4" w:space="0" w:color="auto"/>
              <w:bottom w:val="single" w:sz="4" w:space="0" w:color="auto"/>
              <w:right w:val="single" w:sz="4" w:space="0" w:color="auto"/>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c>
          <w:tcPr>
            <w:tcW w:w="632" w:type="dxa"/>
            <w:vMerge/>
            <w:tcBorders>
              <w:top w:val="nil"/>
              <w:left w:val="single" w:sz="4" w:space="0" w:color="auto"/>
              <w:bottom w:val="single" w:sz="4" w:space="0" w:color="auto"/>
              <w:right w:val="single" w:sz="4" w:space="0" w:color="auto"/>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c>
          <w:tcPr>
            <w:tcW w:w="637" w:type="dxa"/>
            <w:vMerge/>
            <w:tcBorders>
              <w:top w:val="nil"/>
              <w:left w:val="single" w:sz="4" w:space="0" w:color="auto"/>
              <w:bottom w:val="single" w:sz="4" w:space="0" w:color="auto"/>
              <w:right w:val="single" w:sz="4" w:space="0" w:color="auto"/>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c>
          <w:tcPr>
            <w:tcW w:w="637" w:type="dxa"/>
            <w:vMerge/>
            <w:tcBorders>
              <w:top w:val="nil"/>
              <w:left w:val="single" w:sz="4" w:space="0" w:color="auto"/>
              <w:bottom w:val="single" w:sz="4" w:space="0" w:color="auto"/>
              <w:right w:val="nil"/>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c>
          <w:tcPr>
            <w:tcW w:w="632" w:type="dxa"/>
            <w:vMerge/>
            <w:tcBorders>
              <w:top w:val="nil"/>
              <w:left w:val="single" w:sz="8" w:space="0" w:color="auto"/>
              <w:bottom w:val="single" w:sz="4" w:space="0" w:color="auto"/>
              <w:right w:val="single" w:sz="8" w:space="0" w:color="auto"/>
            </w:tcBorders>
            <w:vAlign w:val="center"/>
            <w:hideMark/>
          </w:tcPr>
          <w:p w:rsidR="006D3D45" w:rsidRPr="006D3D45" w:rsidRDefault="006D3D45" w:rsidP="006D3D45">
            <w:pPr>
              <w:spacing w:after="0" w:line="240" w:lineRule="auto"/>
              <w:rPr>
                <w:rFonts w:ascii="Calibri" w:eastAsia="Times New Roman" w:hAnsi="Calibri" w:cs="Calibri"/>
                <w:color w:val="000000"/>
                <w:lang w:eastAsia="en-GB"/>
              </w:rPr>
            </w:pPr>
          </w:p>
        </w:tc>
      </w:tr>
      <w:tr w:rsidR="006D3D45" w:rsidRPr="006D3D45" w:rsidTr="006D3D45">
        <w:trPr>
          <w:trHeight w:val="386"/>
        </w:trPr>
        <w:tc>
          <w:tcPr>
            <w:tcW w:w="2501" w:type="dxa"/>
            <w:tcBorders>
              <w:top w:val="nil"/>
              <w:left w:val="single" w:sz="8" w:space="0" w:color="auto"/>
              <w:bottom w:val="single" w:sz="4" w:space="0" w:color="auto"/>
              <w:right w:val="single" w:sz="4" w:space="0" w:color="auto"/>
            </w:tcBorders>
            <w:shd w:val="clear" w:color="auto" w:fill="auto"/>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N/Somerset</w:t>
            </w:r>
          </w:p>
        </w:tc>
        <w:tc>
          <w:tcPr>
            <w:tcW w:w="305" w:type="dxa"/>
            <w:tcBorders>
              <w:top w:val="nil"/>
              <w:left w:val="nil"/>
              <w:bottom w:val="single" w:sz="4"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tcBorders>
              <w:top w:val="nil"/>
              <w:left w:val="nil"/>
              <w:bottom w:val="single" w:sz="4" w:space="0" w:color="auto"/>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75</w:t>
            </w:r>
          </w:p>
        </w:tc>
        <w:tc>
          <w:tcPr>
            <w:tcW w:w="760" w:type="dxa"/>
            <w:tcBorders>
              <w:top w:val="nil"/>
              <w:left w:val="nil"/>
              <w:bottom w:val="single" w:sz="4" w:space="0" w:color="auto"/>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75</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15</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15</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10</w:t>
            </w:r>
          </w:p>
        </w:tc>
        <w:tc>
          <w:tcPr>
            <w:tcW w:w="637" w:type="dxa"/>
            <w:tcBorders>
              <w:top w:val="nil"/>
              <w:left w:val="nil"/>
              <w:bottom w:val="single" w:sz="4" w:space="0" w:color="auto"/>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tcBorders>
              <w:top w:val="nil"/>
              <w:left w:val="nil"/>
              <w:bottom w:val="single" w:sz="4" w:space="0" w:color="auto"/>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8</w:t>
            </w:r>
          </w:p>
        </w:tc>
      </w:tr>
      <w:tr w:rsidR="006D3D45" w:rsidRPr="006D3D45" w:rsidTr="006D3D45">
        <w:trPr>
          <w:trHeight w:val="386"/>
        </w:trPr>
        <w:tc>
          <w:tcPr>
            <w:tcW w:w="2501" w:type="dxa"/>
            <w:tcBorders>
              <w:top w:val="nil"/>
              <w:left w:val="single" w:sz="8" w:space="0" w:color="auto"/>
              <w:bottom w:val="single" w:sz="4" w:space="0" w:color="auto"/>
              <w:right w:val="single" w:sz="4" w:space="0" w:color="auto"/>
            </w:tcBorders>
            <w:shd w:val="clear" w:color="auto" w:fill="auto"/>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Princes Trust</w:t>
            </w:r>
          </w:p>
        </w:tc>
        <w:tc>
          <w:tcPr>
            <w:tcW w:w="305" w:type="dxa"/>
            <w:tcBorders>
              <w:top w:val="nil"/>
              <w:left w:val="nil"/>
              <w:bottom w:val="single" w:sz="4"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tcBorders>
              <w:top w:val="nil"/>
              <w:left w:val="nil"/>
              <w:bottom w:val="single" w:sz="4" w:space="0" w:color="auto"/>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tcBorders>
              <w:top w:val="nil"/>
              <w:left w:val="nil"/>
              <w:bottom w:val="single" w:sz="4" w:space="0" w:color="auto"/>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696</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125</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125</w:t>
            </w:r>
          </w:p>
        </w:tc>
        <w:tc>
          <w:tcPr>
            <w:tcW w:w="637" w:type="dxa"/>
            <w:tcBorders>
              <w:top w:val="nil"/>
              <w:left w:val="nil"/>
              <w:bottom w:val="single" w:sz="4" w:space="0" w:color="auto"/>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tcBorders>
              <w:top w:val="nil"/>
              <w:left w:val="nil"/>
              <w:bottom w:val="single" w:sz="4" w:space="0" w:color="auto"/>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11</w:t>
            </w:r>
          </w:p>
        </w:tc>
      </w:tr>
      <w:tr w:rsidR="006D3D45" w:rsidRPr="006D3D45" w:rsidTr="006D3D45">
        <w:trPr>
          <w:trHeight w:val="386"/>
        </w:trPr>
        <w:tc>
          <w:tcPr>
            <w:tcW w:w="2501" w:type="dxa"/>
            <w:tcBorders>
              <w:top w:val="nil"/>
              <w:left w:val="single" w:sz="8" w:space="0" w:color="auto"/>
              <w:bottom w:val="single" w:sz="4" w:space="0" w:color="auto"/>
              <w:right w:val="single" w:sz="4" w:space="0" w:color="auto"/>
            </w:tcBorders>
            <w:shd w:val="clear" w:color="auto" w:fill="auto"/>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YTKO</w:t>
            </w:r>
          </w:p>
        </w:tc>
        <w:tc>
          <w:tcPr>
            <w:tcW w:w="305" w:type="dxa"/>
            <w:tcBorders>
              <w:top w:val="nil"/>
              <w:left w:val="nil"/>
              <w:bottom w:val="single" w:sz="4"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tcBorders>
              <w:top w:val="nil"/>
              <w:left w:val="nil"/>
              <w:bottom w:val="single" w:sz="4" w:space="0" w:color="auto"/>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190</w:t>
            </w:r>
          </w:p>
        </w:tc>
        <w:tc>
          <w:tcPr>
            <w:tcW w:w="760" w:type="dxa"/>
            <w:tcBorders>
              <w:top w:val="nil"/>
              <w:left w:val="nil"/>
              <w:bottom w:val="single" w:sz="4" w:space="0" w:color="auto"/>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141</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141</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tcBorders>
              <w:top w:val="nil"/>
              <w:left w:val="nil"/>
              <w:bottom w:val="single" w:sz="4" w:space="0" w:color="auto"/>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tcBorders>
              <w:top w:val="nil"/>
              <w:left w:val="nil"/>
              <w:bottom w:val="single" w:sz="4" w:space="0" w:color="auto"/>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52</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120</w:t>
            </w:r>
          </w:p>
        </w:tc>
      </w:tr>
      <w:tr w:rsidR="006D3D45" w:rsidRPr="006D3D45" w:rsidTr="006D3D45">
        <w:trPr>
          <w:trHeight w:val="386"/>
        </w:trPr>
        <w:tc>
          <w:tcPr>
            <w:tcW w:w="2501" w:type="dxa"/>
            <w:tcBorders>
              <w:top w:val="nil"/>
              <w:left w:val="single" w:sz="8" w:space="0" w:color="auto"/>
              <w:bottom w:val="single" w:sz="4" w:space="0" w:color="auto"/>
              <w:right w:val="single" w:sz="4" w:space="0" w:color="auto"/>
            </w:tcBorders>
            <w:shd w:val="clear" w:color="auto" w:fill="auto"/>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BW Delivery</w:t>
            </w:r>
          </w:p>
        </w:tc>
        <w:tc>
          <w:tcPr>
            <w:tcW w:w="305" w:type="dxa"/>
            <w:tcBorders>
              <w:top w:val="nil"/>
              <w:left w:val="nil"/>
              <w:bottom w:val="single" w:sz="4"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tcBorders>
              <w:top w:val="nil"/>
              <w:left w:val="nil"/>
              <w:bottom w:val="single" w:sz="4" w:space="0" w:color="auto"/>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225</w:t>
            </w:r>
          </w:p>
        </w:tc>
        <w:tc>
          <w:tcPr>
            <w:tcW w:w="760" w:type="dxa"/>
            <w:tcBorders>
              <w:top w:val="nil"/>
              <w:left w:val="nil"/>
              <w:bottom w:val="single" w:sz="4" w:space="0" w:color="auto"/>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150</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150</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single" w:sz="4"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tcBorders>
              <w:top w:val="nil"/>
              <w:left w:val="nil"/>
              <w:bottom w:val="single" w:sz="4" w:space="0" w:color="auto"/>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52</w:t>
            </w:r>
          </w:p>
        </w:tc>
        <w:tc>
          <w:tcPr>
            <w:tcW w:w="637" w:type="dxa"/>
            <w:tcBorders>
              <w:top w:val="nil"/>
              <w:left w:val="nil"/>
              <w:bottom w:val="single" w:sz="4" w:space="0" w:color="auto"/>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single" w:sz="8" w:space="0" w:color="auto"/>
              <w:bottom w:val="single" w:sz="4"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75</w:t>
            </w:r>
          </w:p>
        </w:tc>
      </w:tr>
      <w:tr w:rsidR="006D3D45" w:rsidRPr="006D3D45" w:rsidTr="006D3D45">
        <w:trPr>
          <w:trHeight w:val="405"/>
        </w:trPr>
        <w:tc>
          <w:tcPr>
            <w:tcW w:w="2501" w:type="dxa"/>
            <w:tcBorders>
              <w:top w:val="nil"/>
              <w:left w:val="single" w:sz="8" w:space="0" w:color="auto"/>
              <w:bottom w:val="nil"/>
              <w:right w:val="single" w:sz="4" w:space="0" w:color="auto"/>
            </w:tcBorders>
            <w:shd w:val="clear" w:color="auto" w:fill="auto"/>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BW Project Central</w:t>
            </w:r>
          </w:p>
        </w:tc>
        <w:tc>
          <w:tcPr>
            <w:tcW w:w="305" w:type="dxa"/>
            <w:tcBorders>
              <w:top w:val="nil"/>
              <w:left w:val="nil"/>
              <w:bottom w:val="nil"/>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tcBorders>
              <w:top w:val="nil"/>
              <w:left w:val="nil"/>
              <w:bottom w:val="nil"/>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760" w:type="dxa"/>
            <w:tcBorders>
              <w:top w:val="nil"/>
              <w:left w:val="nil"/>
              <w:bottom w:val="nil"/>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single" w:sz="8" w:space="0" w:color="auto"/>
              <w:bottom w:val="nil"/>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nil"/>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nil"/>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nil"/>
              <w:bottom w:val="nil"/>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tcBorders>
              <w:top w:val="nil"/>
              <w:left w:val="nil"/>
              <w:bottom w:val="nil"/>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7" w:type="dxa"/>
            <w:tcBorders>
              <w:top w:val="nil"/>
              <w:left w:val="nil"/>
              <w:bottom w:val="nil"/>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c>
          <w:tcPr>
            <w:tcW w:w="632" w:type="dxa"/>
            <w:tcBorders>
              <w:top w:val="nil"/>
              <w:left w:val="single" w:sz="8" w:space="0" w:color="auto"/>
              <w:bottom w:val="nil"/>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color w:val="000000"/>
                <w:lang w:eastAsia="en-GB"/>
              </w:rPr>
            </w:pPr>
            <w:r w:rsidRPr="006D3D45">
              <w:rPr>
                <w:rFonts w:ascii="Calibri" w:eastAsia="Times New Roman" w:hAnsi="Calibri" w:cs="Calibri"/>
                <w:color w:val="000000"/>
                <w:lang w:eastAsia="en-GB"/>
              </w:rPr>
              <w:t> </w:t>
            </w:r>
          </w:p>
        </w:tc>
      </w:tr>
      <w:tr w:rsidR="006D3D45" w:rsidRPr="006D3D45" w:rsidTr="006D3D45">
        <w:trPr>
          <w:trHeight w:val="405"/>
        </w:trPr>
        <w:tc>
          <w:tcPr>
            <w:tcW w:w="2501" w:type="dxa"/>
            <w:tcBorders>
              <w:top w:val="single" w:sz="8" w:space="0" w:color="auto"/>
              <w:left w:val="single" w:sz="8" w:space="0" w:color="auto"/>
              <w:bottom w:val="single" w:sz="8"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 </w:t>
            </w:r>
          </w:p>
        </w:tc>
        <w:tc>
          <w:tcPr>
            <w:tcW w:w="305" w:type="dxa"/>
            <w:tcBorders>
              <w:top w:val="single" w:sz="8" w:space="0" w:color="auto"/>
              <w:left w:val="nil"/>
              <w:bottom w:val="single" w:sz="8" w:space="0" w:color="auto"/>
              <w:right w:val="single" w:sz="4" w:space="0" w:color="auto"/>
            </w:tcBorders>
            <w:shd w:val="clear" w:color="000000" w:fill="000000"/>
            <w:noWrap/>
            <w:vAlign w:val="bottom"/>
            <w:hideMark/>
          </w:tcPr>
          <w:p w:rsidR="006D3D45" w:rsidRPr="006D3D45" w:rsidRDefault="006D3D45" w:rsidP="006D3D45">
            <w:pPr>
              <w:spacing w:after="0" w:line="240" w:lineRule="auto"/>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 </w:t>
            </w:r>
          </w:p>
        </w:tc>
        <w:tc>
          <w:tcPr>
            <w:tcW w:w="760" w:type="dxa"/>
            <w:tcBorders>
              <w:top w:val="single" w:sz="8" w:space="0" w:color="auto"/>
              <w:left w:val="nil"/>
              <w:bottom w:val="single" w:sz="8" w:space="0" w:color="auto"/>
              <w:right w:val="single" w:sz="4" w:space="0" w:color="auto"/>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1054</w:t>
            </w:r>
          </w:p>
        </w:tc>
        <w:tc>
          <w:tcPr>
            <w:tcW w:w="760" w:type="dxa"/>
            <w:tcBorders>
              <w:top w:val="single" w:sz="8" w:space="0" w:color="auto"/>
              <w:left w:val="nil"/>
              <w:bottom w:val="single" w:sz="8" w:space="0" w:color="auto"/>
              <w:right w:val="nil"/>
            </w:tcBorders>
            <w:shd w:val="clear" w:color="000000" w:fill="DAEEF3"/>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1102</w:t>
            </w:r>
          </w:p>
        </w:tc>
        <w:tc>
          <w:tcPr>
            <w:tcW w:w="632" w:type="dxa"/>
            <w:tcBorders>
              <w:top w:val="single" w:sz="8" w:space="0" w:color="auto"/>
              <w:left w:val="single" w:sz="8" w:space="0" w:color="auto"/>
              <w:bottom w:val="single" w:sz="8"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521</w:t>
            </w:r>
          </w:p>
        </w:tc>
        <w:tc>
          <w:tcPr>
            <w:tcW w:w="632" w:type="dxa"/>
            <w:tcBorders>
              <w:top w:val="single" w:sz="8" w:space="0" w:color="auto"/>
              <w:left w:val="nil"/>
              <w:bottom w:val="single" w:sz="8"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150</w:t>
            </w:r>
          </w:p>
        </w:tc>
        <w:tc>
          <w:tcPr>
            <w:tcW w:w="632" w:type="dxa"/>
            <w:tcBorders>
              <w:top w:val="single" w:sz="8" w:space="0" w:color="auto"/>
              <w:left w:val="nil"/>
              <w:bottom w:val="single" w:sz="8"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246</w:t>
            </w:r>
          </w:p>
        </w:tc>
        <w:tc>
          <w:tcPr>
            <w:tcW w:w="632" w:type="dxa"/>
            <w:tcBorders>
              <w:top w:val="single" w:sz="8" w:space="0" w:color="auto"/>
              <w:left w:val="nil"/>
              <w:bottom w:val="single" w:sz="8" w:space="0" w:color="auto"/>
              <w:right w:val="single" w:sz="4" w:space="0" w:color="auto"/>
            </w:tcBorders>
            <w:shd w:val="clear" w:color="000000" w:fill="E4DFEC"/>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167</w:t>
            </w:r>
          </w:p>
        </w:tc>
        <w:tc>
          <w:tcPr>
            <w:tcW w:w="637" w:type="dxa"/>
            <w:tcBorders>
              <w:top w:val="single" w:sz="8" w:space="0" w:color="auto"/>
              <w:left w:val="nil"/>
              <w:bottom w:val="single" w:sz="8" w:space="0" w:color="auto"/>
              <w:right w:val="single" w:sz="4" w:space="0" w:color="auto"/>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52</w:t>
            </w:r>
          </w:p>
        </w:tc>
        <w:tc>
          <w:tcPr>
            <w:tcW w:w="637" w:type="dxa"/>
            <w:tcBorders>
              <w:top w:val="single" w:sz="8" w:space="0" w:color="auto"/>
              <w:left w:val="nil"/>
              <w:bottom w:val="single" w:sz="8" w:space="0" w:color="auto"/>
              <w:right w:val="nil"/>
            </w:tcBorders>
            <w:shd w:val="clear" w:color="000000" w:fill="EBF1DE"/>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52</w:t>
            </w:r>
          </w:p>
        </w:tc>
        <w:tc>
          <w:tcPr>
            <w:tcW w:w="632" w:type="dxa"/>
            <w:tcBorders>
              <w:top w:val="single" w:sz="8" w:space="0" w:color="auto"/>
              <w:left w:val="single" w:sz="8" w:space="0" w:color="auto"/>
              <w:bottom w:val="single" w:sz="8" w:space="0" w:color="auto"/>
              <w:right w:val="single" w:sz="8" w:space="0" w:color="auto"/>
            </w:tcBorders>
            <w:shd w:val="clear" w:color="000000" w:fill="C4BD97"/>
            <w:noWrap/>
            <w:vAlign w:val="bottom"/>
            <w:hideMark/>
          </w:tcPr>
          <w:p w:rsidR="006D3D45" w:rsidRPr="006D3D45" w:rsidRDefault="006D3D45" w:rsidP="006D3D45">
            <w:pPr>
              <w:spacing w:after="0" w:line="240" w:lineRule="auto"/>
              <w:jc w:val="center"/>
              <w:rPr>
                <w:rFonts w:ascii="Calibri" w:eastAsia="Times New Roman" w:hAnsi="Calibri" w:cs="Calibri"/>
                <w:b/>
                <w:bCs/>
                <w:color w:val="000000"/>
                <w:lang w:eastAsia="en-GB"/>
              </w:rPr>
            </w:pPr>
            <w:r w:rsidRPr="006D3D45">
              <w:rPr>
                <w:rFonts w:ascii="Calibri" w:eastAsia="Times New Roman" w:hAnsi="Calibri" w:cs="Calibri"/>
                <w:b/>
                <w:bCs/>
                <w:color w:val="000000"/>
                <w:lang w:eastAsia="en-GB"/>
              </w:rPr>
              <w:t>232</w:t>
            </w:r>
          </w:p>
        </w:tc>
      </w:tr>
    </w:tbl>
    <w:p w:rsidR="00283FB0" w:rsidRDefault="00283FB0" w:rsidP="00283FB0">
      <w:pPr>
        <w:spacing w:after="0" w:line="240" w:lineRule="auto"/>
        <w:rPr>
          <w:rFonts w:cstheme="minorHAnsi"/>
        </w:rPr>
      </w:pPr>
    </w:p>
    <w:p w:rsidR="00DE59E2" w:rsidRPr="001B6D81" w:rsidRDefault="00DE59E2" w:rsidP="00283FB0">
      <w:pPr>
        <w:spacing w:after="0" w:line="240" w:lineRule="auto"/>
        <w:rPr>
          <w:rFonts w:cstheme="minorHAnsi"/>
        </w:rPr>
      </w:pPr>
      <w:r>
        <w:rPr>
          <w:rFonts w:cstheme="minorHAnsi"/>
        </w:rPr>
        <w:t xml:space="preserve">For details regarding the specifications of each output, please refer to the ERDF Output Indicator Definitions Guidance at the following link:  </w:t>
      </w:r>
      <w:hyperlink r:id="rId15" w:history="1">
        <w:r>
          <w:rPr>
            <w:rStyle w:val="Hyperlink"/>
          </w:rPr>
          <w:t>https://www.gov.uk/government/publications/european-structural-and-investment-funds-outputs-and-results</w:t>
        </w:r>
      </w:hyperlink>
    </w:p>
    <w:sectPr w:rsidR="00DE59E2" w:rsidRPr="001B6D81" w:rsidSect="00F52A07">
      <w:headerReference w:type="default" r:id="rId16"/>
      <w:footerReference w:type="default" r:id="rId17"/>
      <w:headerReference w:type="first" r:id="rId18"/>
      <w:footerReference w:type="first" r:id="rId19"/>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F40" w:rsidRDefault="00F73F40" w:rsidP="00EE6873">
      <w:pPr>
        <w:spacing w:after="0" w:line="240" w:lineRule="auto"/>
      </w:pPr>
      <w:r>
        <w:separator/>
      </w:r>
    </w:p>
  </w:endnote>
  <w:endnote w:type="continuationSeparator" w:id="0">
    <w:p w:rsidR="00F73F40" w:rsidRDefault="00F73F40" w:rsidP="00EE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83744893"/>
      <w:docPartObj>
        <w:docPartGallery w:val="Page Numbers (Bottom of Page)"/>
        <w:docPartUnique/>
      </w:docPartObj>
    </w:sdtPr>
    <w:sdtEndPr>
      <w:rPr>
        <w:noProof/>
      </w:rPr>
    </w:sdtEndPr>
    <w:sdtContent>
      <w:p w:rsidR="00DE59E2" w:rsidRPr="00DE59E2" w:rsidRDefault="00DE59E2">
        <w:pPr>
          <w:pStyle w:val="Footer"/>
          <w:rPr>
            <w:sz w:val="16"/>
            <w:szCs w:val="16"/>
          </w:rPr>
        </w:pPr>
        <w:r w:rsidRPr="009512D6">
          <w:rPr>
            <w:sz w:val="16"/>
            <w:szCs w:val="16"/>
          </w:rPr>
          <w:fldChar w:fldCharType="begin"/>
        </w:r>
        <w:r w:rsidRPr="009512D6">
          <w:rPr>
            <w:sz w:val="16"/>
            <w:szCs w:val="16"/>
          </w:rPr>
          <w:instrText xml:space="preserve"> PAGE   \* MERGEFORMAT </w:instrText>
        </w:r>
        <w:r w:rsidRPr="009512D6">
          <w:rPr>
            <w:sz w:val="16"/>
            <w:szCs w:val="16"/>
          </w:rPr>
          <w:fldChar w:fldCharType="separate"/>
        </w:r>
        <w:r w:rsidR="00437600">
          <w:rPr>
            <w:noProof/>
            <w:sz w:val="16"/>
            <w:szCs w:val="16"/>
          </w:rPr>
          <w:t>8</w:t>
        </w:r>
        <w:r w:rsidRPr="009512D6">
          <w:rPr>
            <w:noProof/>
            <w:sz w:val="16"/>
            <w:szCs w:val="16"/>
          </w:rPr>
          <w:fldChar w:fldCharType="end"/>
        </w:r>
        <w:r w:rsidRPr="009512D6">
          <w:rPr>
            <w:noProof/>
            <w:sz w:val="16"/>
            <w:szCs w:val="16"/>
          </w:rPr>
          <w:t>.</w:t>
        </w:r>
        <w:r w:rsidRPr="009512D6">
          <w:rPr>
            <w:noProof/>
            <w:sz w:val="18"/>
            <w:szCs w:val="16"/>
          </w:rPr>
          <w:t xml:space="preserve"> </w:t>
        </w:r>
        <w:r w:rsidRPr="00DE59E2">
          <w:rPr>
            <w:noProof/>
            <w:sz w:val="16"/>
            <w:szCs w:val="16"/>
          </w:rPr>
          <w:t>Enterprising West of England – Summative Assessment call for proposals – Tender Specification – April 2019</w:t>
        </w:r>
      </w:p>
    </w:sdtContent>
  </w:sdt>
  <w:p w:rsidR="00F73F40" w:rsidRDefault="00F7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9E2" w:rsidRDefault="00F52A07">
    <w:pPr>
      <w:pStyle w:val="Footer"/>
    </w:pPr>
    <w:r>
      <w:rPr>
        <w:noProof/>
        <w:lang w:eastAsia="en-GB"/>
      </w:rPr>
      <w:drawing>
        <wp:inline distT="0" distB="0" distL="0" distR="0" wp14:anchorId="0A8FC76B" wp14:editId="5C0E8EDE">
          <wp:extent cx="5731510" cy="192468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9246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F40" w:rsidRDefault="00F73F40" w:rsidP="00EE6873">
      <w:pPr>
        <w:spacing w:after="0" w:line="240" w:lineRule="auto"/>
      </w:pPr>
      <w:r>
        <w:separator/>
      </w:r>
    </w:p>
  </w:footnote>
  <w:footnote w:type="continuationSeparator" w:id="0">
    <w:p w:rsidR="00F73F40" w:rsidRDefault="00F73F40" w:rsidP="00EE6873">
      <w:pPr>
        <w:spacing w:after="0" w:line="240" w:lineRule="auto"/>
      </w:pPr>
      <w:r>
        <w:continuationSeparator/>
      </w:r>
    </w:p>
  </w:footnote>
  <w:footnote w:id="1">
    <w:p w:rsidR="00F73F40" w:rsidRDefault="00F73F40">
      <w:pPr>
        <w:pStyle w:val="FootnoteText"/>
      </w:pPr>
      <w:r>
        <w:rPr>
          <w:rStyle w:val="FootnoteReference"/>
        </w:rPr>
        <w:footnoteRef/>
      </w:r>
      <w:r>
        <w:t xml:space="preserve"> </w:t>
      </w:r>
      <w:r w:rsidR="00283FB0">
        <w:t xml:space="preserve">ERDF Operational Programme 2014 to 2020, </w:t>
      </w:r>
      <w:hyperlink r:id="rId1" w:history="1">
        <w:r w:rsidRPr="008D6C2C">
          <w:rPr>
            <w:rStyle w:val="Hyperlink"/>
          </w:rPr>
          <w:t>https://www.gov.uk/government/publications/draft-european-regional-development-fund-operational-programme-2014-to-2020</w:t>
        </w:r>
      </w:hyperlink>
      <w:r w:rsidR="00283FB0">
        <w:t xml:space="preserve">. </w:t>
      </w:r>
    </w:p>
  </w:footnote>
  <w:footnote w:id="2">
    <w:p w:rsidR="00F73F40" w:rsidRDefault="00F73F40">
      <w:pPr>
        <w:pStyle w:val="FootnoteText"/>
      </w:pPr>
      <w:r>
        <w:rPr>
          <w:rStyle w:val="FootnoteReference"/>
        </w:rPr>
        <w:footnoteRef/>
      </w:r>
      <w:r>
        <w:t xml:space="preserve"> Call for Proposals, European Regional Development fund, Priority Axis 3, West of England  (27</w:t>
      </w:r>
      <w:r w:rsidRPr="000C2C91">
        <w:rPr>
          <w:vertAlign w:val="superscript"/>
        </w:rPr>
        <w:t>th</w:t>
      </w:r>
      <w:r>
        <w:t xml:space="preserve"> November 2015)</w:t>
      </w:r>
    </w:p>
  </w:footnote>
  <w:footnote w:id="3">
    <w:p w:rsidR="00F73F40" w:rsidRDefault="00F73F40">
      <w:pPr>
        <w:pStyle w:val="FootnoteText"/>
      </w:pPr>
      <w:r>
        <w:rPr>
          <w:rStyle w:val="FootnoteReference"/>
        </w:rPr>
        <w:footnoteRef/>
      </w:r>
      <w:r>
        <w:t xml:space="preserve"> </w:t>
      </w:r>
      <w:hyperlink r:id="rId2" w:history="1">
        <w:r w:rsidRPr="008D6C2C">
          <w:rPr>
            <w:rStyle w:val="Hyperlink"/>
          </w:rPr>
          <w:t>https://www.gov.uk/european-structural-investment-funds/sme-support-call-in-the-west-of-england-oc37r15p-0227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40" w:rsidRPr="00746655" w:rsidRDefault="00F73F40">
    <w:pPr>
      <w:pStyle w:val="Header"/>
      <w:rPr>
        <w:b/>
        <w:sz w:val="32"/>
      </w:rPr>
    </w:pPr>
    <w:r w:rsidRPr="00746655">
      <w:rPr>
        <w:b/>
        <w:noProof/>
        <w:sz w:val="32"/>
        <w:lang w:eastAsia="en-GB"/>
      </w:rPr>
      <w:drawing>
        <wp:anchor distT="0" distB="0" distL="114300" distR="114300" simplePos="0" relativeHeight="251659264" behindDoc="1" locked="0" layoutInCell="1" allowOverlap="1" wp14:anchorId="509220FE" wp14:editId="11089FFF">
          <wp:simplePos x="0" y="0"/>
          <wp:positionH relativeFrom="column">
            <wp:posOffset>3562350</wp:posOffset>
          </wp:positionH>
          <wp:positionV relativeFrom="paragraph">
            <wp:posOffset>8890</wp:posOffset>
          </wp:positionV>
          <wp:extent cx="2873375" cy="643255"/>
          <wp:effectExtent l="0" t="0" r="3175" b="4445"/>
          <wp:wrapTight wrapText="bothSides">
            <wp:wrapPolygon edited="0">
              <wp:start x="0" y="0"/>
              <wp:lineTo x="0" y="21110"/>
              <wp:lineTo x="21481" y="21110"/>
              <wp:lineTo x="2148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3375" cy="643255"/>
                  </a:xfrm>
                  <a:prstGeom prst="rect">
                    <a:avLst/>
                  </a:prstGeom>
                </pic:spPr>
              </pic:pic>
            </a:graphicData>
          </a:graphic>
          <wp14:sizeRelH relativeFrom="margin">
            <wp14:pctWidth>0</wp14:pctWidth>
          </wp14:sizeRelH>
          <wp14:sizeRelV relativeFrom="margin">
            <wp14:pctHeight>0</wp14:pctHeight>
          </wp14:sizeRelV>
        </wp:anchor>
      </w:drawing>
    </w:r>
    <w:r w:rsidRPr="00746655">
      <w:rPr>
        <w:b/>
        <w:sz w:val="32"/>
      </w:rPr>
      <w:t xml:space="preserve">Enterprising West of England </w:t>
    </w:r>
  </w:p>
  <w:p w:rsidR="00F73F40" w:rsidRPr="00746655" w:rsidRDefault="00F73F40">
    <w:pPr>
      <w:pStyle w:val="Header"/>
      <w:rPr>
        <w:b/>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9E2" w:rsidRDefault="00F52A07">
    <w:pPr>
      <w:pStyle w:val="Header"/>
    </w:pPr>
    <w:r w:rsidRPr="00746655">
      <w:rPr>
        <w:b/>
        <w:noProof/>
        <w:sz w:val="32"/>
        <w:lang w:eastAsia="en-GB"/>
      </w:rPr>
      <w:drawing>
        <wp:anchor distT="0" distB="0" distL="114300" distR="114300" simplePos="0" relativeHeight="251661312" behindDoc="1" locked="0" layoutInCell="1" allowOverlap="1" wp14:anchorId="563B4F84" wp14:editId="3C66638E">
          <wp:simplePos x="0" y="0"/>
          <wp:positionH relativeFrom="column">
            <wp:posOffset>3990975</wp:posOffset>
          </wp:positionH>
          <wp:positionV relativeFrom="paragraph">
            <wp:posOffset>-30480</wp:posOffset>
          </wp:positionV>
          <wp:extent cx="2159000" cy="483235"/>
          <wp:effectExtent l="0" t="0" r="0" b="0"/>
          <wp:wrapTight wrapText="bothSides">
            <wp:wrapPolygon edited="0">
              <wp:start x="0" y="0"/>
              <wp:lineTo x="0" y="20436"/>
              <wp:lineTo x="21346" y="20436"/>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0" cy="483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A8DF53"/>
    <w:multiLevelType w:val="hybridMultilevel"/>
    <w:tmpl w:val="1A73EC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8C4DAD"/>
    <w:multiLevelType w:val="hybridMultilevel"/>
    <w:tmpl w:val="9C9C5C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D6F5AA"/>
    <w:multiLevelType w:val="hybridMultilevel"/>
    <w:tmpl w:val="7F54C6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D1B546"/>
    <w:multiLevelType w:val="hybridMultilevel"/>
    <w:tmpl w:val="F7E261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745424"/>
    <w:multiLevelType w:val="hybridMultilevel"/>
    <w:tmpl w:val="5520AE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E93B31"/>
    <w:multiLevelType w:val="hybridMultilevel"/>
    <w:tmpl w:val="17B033B8"/>
    <w:lvl w:ilvl="0" w:tplc="6DA278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8A779AE"/>
    <w:multiLevelType w:val="hybridMultilevel"/>
    <w:tmpl w:val="367B85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401DD4"/>
    <w:multiLevelType w:val="hybridMultilevel"/>
    <w:tmpl w:val="0FC2D9E4"/>
    <w:lvl w:ilvl="0" w:tplc="94B2D8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2D13F"/>
    <w:multiLevelType w:val="hybridMultilevel"/>
    <w:tmpl w:val="3192F6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61747E"/>
    <w:multiLevelType w:val="hybridMultilevel"/>
    <w:tmpl w:val="7B5037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6DAD0B"/>
    <w:multiLevelType w:val="hybridMultilevel"/>
    <w:tmpl w:val="6365A4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B02BA2"/>
    <w:multiLevelType w:val="hybridMultilevel"/>
    <w:tmpl w:val="2AAC6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26147F"/>
    <w:multiLevelType w:val="hybridMultilevel"/>
    <w:tmpl w:val="607878EA"/>
    <w:lvl w:ilvl="0" w:tplc="94B2D8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C0DE1"/>
    <w:multiLevelType w:val="hybridMultilevel"/>
    <w:tmpl w:val="97B6C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1C7C4B"/>
    <w:multiLevelType w:val="hybridMultilevel"/>
    <w:tmpl w:val="440C05E4"/>
    <w:lvl w:ilvl="0" w:tplc="0AD6020C">
      <w:numFmt w:val="bullet"/>
      <w:lvlText w:val="-"/>
      <w:lvlJc w:val="left"/>
      <w:pPr>
        <w:ind w:left="720" w:hanging="360"/>
      </w:pPr>
      <w:rPr>
        <w:rFonts w:ascii="Calibri" w:eastAsiaTheme="minorHAnsi" w:hAnsi="Calibri" w:cs="Calibr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C2FB12"/>
    <w:multiLevelType w:val="hybridMultilevel"/>
    <w:tmpl w:val="E97F76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3676C8E"/>
    <w:multiLevelType w:val="hybridMultilevel"/>
    <w:tmpl w:val="D9FAE6D2"/>
    <w:lvl w:ilvl="0" w:tplc="0AD6020C">
      <w:numFmt w:val="bullet"/>
      <w:lvlText w:val="-"/>
      <w:lvlJc w:val="left"/>
      <w:pPr>
        <w:ind w:left="720" w:hanging="360"/>
      </w:pPr>
      <w:rPr>
        <w:rFonts w:ascii="Calibri" w:eastAsiaTheme="minorHAnsi" w:hAnsi="Calibri" w:cs="Calibr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664769C"/>
    <w:multiLevelType w:val="hybridMultilevel"/>
    <w:tmpl w:val="25A0C222"/>
    <w:lvl w:ilvl="0" w:tplc="322AE8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C3614"/>
    <w:multiLevelType w:val="hybridMultilevel"/>
    <w:tmpl w:val="9454F0F4"/>
    <w:lvl w:ilvl="0" w:tplc="08090001">
      <w:start w:val="1"/>
      <w:numFmt w:val="bullet"/>
      <w:lvlText w:val=""/>
      <w:lvlJc w:val="left"/>
      <w:pPr>
        <w:ind w:left="720" w:hanging="360"/>
      </w:pPr>
      <w:rPr>
        <w:rFonts w:ascii="Symbol" w:hAnsi="Symbol" w:hint="default"/>
      </w:rPr>
    </w:lvl>
    <w:lvl w:ilvl="1" w:tplc="EABCB3B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4E1C22"/>
    <w:multiLevelType w:val="hybridMultilevel"/>
    <w:tmpl w:val="DC94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64134F"/>
    <w:multiLevelType w:val="hybridMultilevel"/>
    <w:tmpl w:val="43A6C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4090DCD"/>
    <w:multiLevelType w:val="hybridMultilevel"/>
    <w:tmpl w:val="BD9ED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BD3C78"/>
    <w:multiLevelType w:val="multilevel"/>
    <w:tmpl w:val="2A3E194C"/>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B351650"/>
    <w:multiLevelType w:val="hybridMultilevel"/>
    <w:tmpl w:val="0BEEF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A93DE6"/>
    <w:multiLevelType w:val="hybridMultilevel"/>
    <w:tmpl w:val="D61A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966D4"/>
    <w:multiLevelType w:val="hybridMultilevel"/>
    <w:tmpl w:val="26C4AF16"/>
    <w:lvl w:ilvl="0" w:tplc="F6F85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55672"/>
    <w:multiLevelType w:val="hybridMultilevel"/>
    <w:tmpl w:val="30823C16"/>
    <w:lvl w:ilvl="0" w:tplc="226AAC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B536CD"/>
    <w:multiLevelType w:val="hybridMultilevel"/>
    <w:tmpl w:val="447C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12384"/>
    <w:multiLevelType w:val="multilevel"/>
    <w:tmpl w:val="21480E5C"/>
    <w:lvl w:ilvl="0">
      <w:start w:val="7"/>
      <w:numFmt w:val="decimal"/>
      <w:lvlText w:val="%1"/>
      <w:lvlJc w:val="left"/>
      <w:pPr>
        <w:ind w:left="503" w:hanging="503"/>
      </w:pPr>
      <w:rPr>
        <w:rFonts w:hint="default"/>
      </w:rPr>
    </w:lvl>
    <w:lvl w:ilvl="1">
      <w:start w:val="6"/>
      <w:numFmt w:val="decimal"/>
      <w:lvlText w:val="%1.%2"/>
      <w:lvlJc w:val="left"/>
      <w:pPr>
        <w:ind w:left="787"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4A5170F"/>
    <w:multiLevelType w:val="hybridMultilevel"/>
    <w:tmpl w:val="6A163D68"/>
    <w:lvl w:ilvl="0" w:tplc="B3CC4E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7F10197"/>
    <w:multiLevelType w:val="multilevel"/>
    <w:tmpl w:val="1DC68D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81A16FB"/>
    <w:multiLevelType w:val="hybridMultilevel"/>
    <w:tmpl w:val="835CC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F87A41"/>
    <w:multiLevelType w:val="hybridMultilevel"/>
    <w:tmpl w:val="6CF67806"/>
    <w:lvl w:ilvl="0" w:tplc="322AE8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591F06"/>
    <w:multiLevelType w:val="hybridMultilevel"/>
    <w:tmpl w:val="CAB066A6"/>
    <w:lvl w:ilvl="0" w:tplc="08090001">
      <w:start w:val="1"/>
      <w:numFmt w:val="bullet"/>
      <w:lvlText w:val=""/>
      <w:lvlJc w:val="left"/>
      <w:pPr>
        <w:ind w:left="720" w:hanging="360"/>
      </w:pPr>
      <w:rPr>
        <w:rFonts w:ascii="Symbol" w:hAnsi="Symbol" w:hint="default"/>
      </w:rPr>
    </w:lvl>
    <w:lvl w:ilvl="1" w:tplc="A914FAB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C2ADE"/>
    <w:multiLevelType w:val="hybridMultilevel"/>
    <w:tmpl w:val="9DF8A838"/>
    <w:lvl w:ilvl="0" w:tplc="94B2D8D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BA9656F"/>
    <w:multiLevelType w:val="hybridMultilevel"/>
    <w:tmpl w:val="49CA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E617E"/>
    <w:multiLevelType w:val="hybridMultilevel"/>
    <w:tmpl w:val="CD0AAFC0"/>
    <w:lvl w:ilvl="0" w:tplc="FFFFFFFF">
      <w:start w:val="1"/>
      <w:numFmt w:val="bullet"/>
      <w:lvlText w:val="•"/>
      <w:lvlJc w:val="left"/>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
  </w:num>
  <w:num w:numId="4">
    <w:abstractNumId w:val="22"/>
  </w:num>
  <w:num w:numId="5">
    <w:abstractNumId w:val="2"/>
  </w:num>
  <w:num w:numId="6">
    <w:abstractNumId w:val="7"/>
  </w:num>
  <w:num w:numId="7">
    <w:abstractNumId w:val="11"/>
  </w:num>
  <w:num w:numId="8">
    <w:abstractNumId w:val="9"/>
  </w:num>
  <w:num w:numId="9">
    <w:abstractNumId w:val="3"/>
  </w:num>
  <w:num w:numId="10">
    <w:abstractNumId w:val="1"/>
  </w:num>
  <w:num w:numId="11">
    <w:abstractNumId w:val="28"/>
  </w:num>
  <w:num w:numId="12">
    <w:abstractNumId w:val="27"/>
  </w:num>
  <w:num w:numId="13">
    <w:abstractNumId w:val="34"/>
  </w:num>
  <w:num w:numId="14">
    <w:abstractNumId w:val="20"/>
  </w:num>
  <w:num w:numId="15">
    <w:abstractNumId w:val="17"/>
  </w:num>
  <w:num w:numId="16">
    <w:abstractNumId w:val="15"/>
  </w:num>
  <w:num w:numId="17">
    <w:abstractNumId w:val="12"/>
  </w:num>
  <w:num w:numId="18">
    <w:abstractNumId w:val="21"/>
  </w:num>
  <w:num w:numId="19">
    <w:abstractNumId w:val="30"/>
  </w:num>
  <w:num w:numId="20">
    <w:abstractNumId w:val="39"/>
  </w:num>
  <w:num w:numId="21">
    <w:abstractNumId w:val="36"/>
  </w:num>
  <w:num w:numId="22">
    <w:abstractNumId w:val="38"/>
  </w:num>
  <w:num w:numId="23">
    <w:abstractNumId w:val="13"/>
  </w:num>
  <w:num w:numId="24">
    <w:abstractNumId w:val="37"/>
  </w:num>
  <w:num w:numId="25">
    <w:abstractNumId w:val="8"/>
  </w:num>
  <w:num w:numId="26">
    <w:abstractNumId w:val="35"/>
  </w:num>
  <w:num w:numId="27">
    <w:abstractNumId w:val="10"/>
  </w:num>
  <w:num w:numId="28">
    <w:abstractNumId w:val="19"/>
  </w:num>
  <w:num w:numId="29">
    <w:abstractNumId w:val="5"/>
  </w:num>
  <w:num w:numId="30">
    <w:abstractNumId w:val="29"/>
  </w:num>
  <w:num w:numId="31">
    <w:abstractNumId w:val="24"/>
  </w:num>
  <w:num w:numId="32">
    <w:abstractNumId w:val="26"/>
  </w:num>
  <w:num w:numId="33">
    <w:abstractNumId w:val="33"/>
  </w:num>
  <w:num w:numId="34">
    <w:abstractNumId w:val="25"/>
  </w:num>
  <w:num w:numId="35">
    <w:abstractNumId w:val="6"/>
  </w:num>
  <w:num w:numId="36">
    <w:abstractNumId w:val="31"/>
  </w:num>
  <w:num w:numId="37">
    <w:abstractNumId w:val="18"/>
  </w:num>
  <w:num w:numId="38">
    <w:abstractNumId w:val="23"/>
  </w:num>
  <w:num w:numId="39">
    <w:abstractNumId w:val="3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73"/>
    <w:rsid w:val="000063EB"/>
    <w:rsid w:val="00007100"/>
    <w:rsid w:val="00094209"/>
    <w:rsid w:val="00094CF2"/>
    <w:rsid w:val="000A1E94"/>
    <w:rsid w:val="000C2C91"/>
    <w:rsid w:val="000D6D83"/>
    <w:rsid w:val="000E7A92"/>
    <w:rsid w:val="000F4F6D"/>
    <w:rsid w:val="0013738F"/>
    <w:rsid w:val="00137D1A"/>
    <w:rsid w:val="001811F5"/>
    <w:rsid w:val="00194C0B"/>
    <w:rsid w:val="001A317E"/>
    <w:rsid w:val="001B37EB"/>
    <w:rsid w:val="001B6D81"/>
    <w:rsid w:val="001C5F85"/>
    <w:rsid w:val="001F05C9"/>
    <w:rsid w:val="001F45D5"/>
    <w:rsid w:val="002249EA"/>
    <w:rsid w:val="00231C5F"/>
    <w:rsid w:val="00240DBF"/>
    <w:rsid w:val="0024391B"/>
    <w:rsid w:val="00245C0C"/>
    <w:rsid w:val="00254FAA"/>
    <w:rsid w:val="002653BF"/>
    <w:rsid w:val="00276165"/>
    <w:rsid w:val="00282614"/>
    <w:rsid w:val="00283FB0"/>
    <w:rsid w:val="00290F83"/>
    <w:rsid w:val="002C233D"/>
    <w:rsid w:val="0030215D"/>
    <w:rsid w:val="0031353C"/>
    <w:rsid w:val="00356A48"/>
    <w:rsid w:val="003B449A"/>
    <w:rsid w:val="004067C6"/>
    <w:rsid w:val="00412B72"/>
    <w:rsid w:val="004303BD"/>
    <w:rsid w:val="00437600"/>
    <w:rsid w:val="00476B78"/>
    <w:rsid w:val="004A2A00"/>
    <w:rsid w:val="004C4C58"/>
    <w:rsid w:val="004E3355"/>
    <w:rsid w:val="004F77E5"/>
    <w:rsid w:val="00512F09"/>
    <w:rsid w:val="00531B9B"/>
    <w:rsid w:val="005363FF"/>
    <w:rsid w:val="00537FAB"/>
    <w:rsid w:val="005475D9"/>
    <w:rsid w:val="00594724"/>
    <w:rsid w:val="0059545E"/>
    <w:rsid w:val="00596E7E"/>
    <w:rsid w:val="005B44EF"/>
    <w:rsid w:val="005C441E"/>
    <w:rsid w:val="00624B8A"/>
    <w:rsid w:val="00631A3B"/>
    <w:rsid w:val="0066161A"/>
    <w:rsid w:val="006A0F52"/>
    <w:rsid w:val="006A3FC2"/>
    <w:rsid w:val="006B7CC0"/>
    <w:rsid w:val="006C58F1"/>
    <w:rsid w:val="006D3D45"/>
    <w:rsid w:val="006D7577"/>
    <w:rsid w:val="00700857"/>
    <w:rsid w:val="00702DD2"/>
    <w:rsid w:val="0072085F"/>
    <w:rsid w:val="00746655"/>
    <w:rsid w:val="00752A4C"/>
    <w:rsid w:val="00753100"/>
    <w:rsid w:val="00756D65"/>
    <w:rsid w:val="0075733C"/>
    <w:rsid w:val="007673ED"/>
    <w:rsid w:val="007A2CBF"/>
    <w:rsid w:val="007C65EA"/>
    <w:rsid w:val="007D77DC"/>
    <w:rsid w:val="007E2977"/>
    <w:rsid w:val="007E6B52"/>
    <w:rsid w:val="007F7A2C"/>
    <w:rsid w:val="00801B23"/>
    <w:rsid w:val="008138EA"/>
    <w:rsid w:val="00814896"/>
    <w:rsid w:val="00861B2D"/>
    <w:rsid w:val="0088592B"/>
    <w:rsid w:val="008953B9"/>
    <w:rsid w:val="008B41DD"/>
    <w:rsid w:val="008B4265"/>
    <w:rsid w:val="008C04C1"/>
    <w:rsid w:val="008C4A42"/>
    <w:rsid w:val="008D36C7"/>
    <w:rsid w:val="00901461"/>
    <w:rsid w:val="0090590F"/>
    <w:rsid w:val="00915890"/>
    <w:rsid w:val="00927823"/>
    <w:rsid w:val="009512D6"/>
    <w:rsid w:val="009562DB"/>
    <w:rsid w:val="0096277C"/>
    <w:rsid w:val="009D15B0"/>
    <w:rsid w:val="009E1E51"/>
    <w:rsid w:val="009F731F"/>
    <w:rsid w:val="00A25208"/>
    <w:rsid w:val="00A25FB6"/>
    <w:rsid w:val="00A27EE9"/>
    <w:rsid w:val="00A3776D"/>
    <w:rsid w:val="00A46DA3"/>
    <w:rsid w:val="00A56BA1"/>
    <w:rsid w:val="00A721FB"/>
    <w:rsid w:val="00A850C7"/>
    <w:rsid w:val="00A92D50"/>
    <w:rsid w:val="00AB7FF9"/>
    <w:rsid w:val="00AC7896"/>
    <w:rsid w:val="00AE77AC"/>
    <w:rsid w:val="00B04DE3"/>
    <w:rsid w:val="00B3500F"/>
    <w:rsid w:val="00B54E50"/>
    <w:rsid w:val="00B91A96"/>
    <w:rsid w:val="00BA54EC"/>
    <w:rsid w:val="00BD4D32"/>
    <w:rsid w:val="00BD7FB7"/>
    <w:rsid w:val="00C2214D"/>
    <w:rsid w:val="00C24625"/>
    <w:rsid w:val="00C27CC2"/>
    <w:rsid w:val="00C36387"/>
    <w:rsid w:val="00C40B70"/>
    <w:rsid w:val="00C605CE"/>
    <w:rsid w:val="00C665BE"/>
    <w:rsid w:val="00C772A1"/>
    <w:rsid w:val="00C803F6"/>
    <w:rsid w:val="00C90017"/>
    <w:rsid w:val="00CA7D8F"/>
    <w:rsid w:val="00CD107E"/>
    <w:rsid w:val="00CD2E41"/>
    <w:rsid w:val="00CD3F8D"/>
    <w:rsid w:val="00CE5141"/>
    <w:rsid w:val="00D1403E"/>
    <w:rsid w:val="00D33BC1"/>
    <w:rsid w:val="00D33D5B"/>
    <w:rsid w:val="00D53DB2"/>
    <w:rsid w:val="00D63872"/>
    <w:rsid w:val="00D738A5"/>
    <w:rsid w:val="00D73A09"/>
    <w:rsid w:val="00D75036"/>
    <w:rsid w:val="00DB6152"/>
    <w:rsid w:val="00DB759B"/>
    <w:rsid w:val="00DC2218"/>
    <w:rsid w:val="00DC2ED1"/>
    <w:rsid w:val="00DC474A"/>
    <w:rsid w:val="00DE59E2"/>
    <w:rsid w:val="00DF1EC9"/>
    <w:rsid w:val="00E13F0F"/>
    <w:rsid w:val="00E335C9"/>
    <w:rsid w:val="00E441C6"/>
    <w:rsid w:val="00E5043E"/>
    <w:rsid w:val="00E57F8D"/>
    <w:rsid w:val="00E70473"/>
    <w:rsid w:val="00E810A4"/>
    <w:rsid w:val="00EA372C"/>
    <w:rsid w:val="00ED4738"/>
    <w:rsid w:val="00EE6873"/>
    <w:rsid w:val="00F52A07"/>
    <w:rsid w:val="00F5686D"/>
    <w:rsid w:val="00F70362"/>
    <w:rsid w:val="00F73F40"/>
    <w:rsid w:val="00F80AFC"/>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7537C1"/>
  <w15:chartTrackingRefBased/>
  <w15:docId w15:val="{757E92BE-134B-41E0-8258-AA6846A8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7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A31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873"/>
  </w:style>
  <w:style w:type="paragraph" w:styleId="Footer">
    <w:name w:val="footer"/>
    <w:basedOn w:val="Normal"/>
    <w:link w:val="FooterChar"/>
    <w:uiPriority w:val="99"/>
    <w:unhideWhenUsed/>
    <w:rsid w:val="00EE6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873"/>
  </w:style>
  <w:style w:type="paragraph" w:customStyle="1" w:styleId="Default">
    <w:name w:val="Default"/>
    <w:rsid w:val="00EE687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E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46655"/>
    <w:rPr>
      <w:color w:val="0563C1" w:themeColor="hyperlink"/>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2E41"/>
    <w:pPr>
      <w:ind w:left="720"/>
      <w:contextualSpacing/>
    </w:pPr>
  </w:style>
  <w:style w:type="paragraph" w:styleId="BalloonText">
    <w:name w:val="Balloon Text"/>
    <w:basedOn w:val="Normal"/>
    <w:link w:val="BalloonTextChar"/>
    <w:uiPriority w:val="99"/>
    <w:semiHidden/>
    <w:unhideWhenUsed/>
    <w:rsid w:val="00E57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F8D"/>
    <w:rPr>
      <w:rFonts w:ascii="Segoe UI" w:hAnsi="Segoe UI" w:cs="Segoe UI"/>
      <w:sz w:val="18"/>
      <w:szCs w:val="18"/>
    </w:rPr>
  </w:style>
  <w:style w:type="paragraph" w:styleId="BodyText">
    <w:name w:val="Body Text"/>
    <w:aliases w:val="Body Text2"/>
    <w:basedOn w:val="Normal"/>
    <w:link w:val="BodyTextChar1"/>
    <w:uiPriority w:val="19"/>
    <w:rsid w:val="00C772A1"/>
    <w:pPr>
      <w:spacing w:after="240" w:line="240" w:lineRule="auto"/>
    </w:pPr>
    <w:rPr>
      <w:rFonts w:ascii="Arial" w:eastAsia="Times New Roman" w:hAnsi="Arial" w:cs="Times New Roman"/>
      <w:sz w:val="24"/>
      <w:szCs w:val="24"/>
    </w:rPr>
  </w:style>
  <w:style w:type="character" w:customStyle="1" w:styleId="BodyTextChar">
    <w:name w:val="Body Text Char"/>
    <w:basedOn w:val="DefaultParagraphFont"/>
    <w:uiPriority w:val="99"/>
    <w:semiHidden/>
    <w:rsid w:val="00C772A1"/>
  </w:style>
  <w:style w:type="character" w:customStyle="1" w:styleId="BodyTextChar1">
    <w:name w:val="Body Text Char1"/>
    <w:aliases w:val="Body Text2 Char"/>
    <w:link w:val="BodyText"/>
    <w:uiPriority w:val="19"/>
    <w:rsid w:val="00C772A1"/>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4E3355"/>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194C0B"/>
  </w:style>
  <w:style w:type="character" w:customStyle="1" w:styleId="Heading2Char">
    <w:name w:val="Heading 2 Char"/>
    <w:basedOn w:val="DefaultParagraphFont"/>
    <w:link w:val="Heading2"/>
    <w:uiPriority w:val="9"/>
    <w:rsid w:val="001A317E"/>
    <w:rPr>
      <w:rFonts w:ascii="Times New Roman" w:eastAsia="Times New Roman" w:hAnsi="Times New Roman" w:cs="Times New Roman"/>
      <w:b/>
      <w:bCs/>
      <w:sz w:val="36"/>
      <w:szCs w:val="36"/>
      <w:lang w:eastAsia="en-GB"/>
    </w:rPr>
  </w:style>
  <w:style w:type="paragraph" w:styleId="FootnoteText">
    <w:name w:val="footnote text"/>
    <w:basedOn w:val="Normal"/>
    <w:link w:val="FootnoteTextChar"/>
    <w:uiPriority w:val="99"/>
    <w:semiHidden/>
    <w:unhideWhenUsed/>
    <w:rsid w:val="000C2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C91"/>
    <w:rPr>
      <w:sz w:val="20"/>
      <w:szCs w:val="20"/>
    </w:rPr>
  </w:style>
  <w:style w:type="character" w:styleId="FootnoteReference">
    <w:name w:val="footnote reference"/>
    <w:basedOn w:val="DefaultParagraphFont"/>
    <w:uiPriority w:val="99"/>
    <w:semiHidden/>
    <w:unhideWhenUsed/>
    <w:rsid w:val="000C2C91"/>
    <w:rPr>
      <w:vertAlign w:val="superscript"/>
    </w:rPr>
  </w:style>
  <w:style w:type="paragraph" w:styleId="EndnoteText">
    <w:name w:val="endnote text"/>
    <w:basedOn w:val="Normal"/>
    <w:link w:val="EndnoteTextChar"/>
    <w:uiPriority w:val="99"/>
    <w:semiHidden/>
    <w:unhideWhenUsed/>
    <w:rsid w:val="00624B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4B8A"/>
    <w:rPr>
      <w:sz w:val="20"/>
      <w:szCs w:val="20"/>
    </w:rPr>
  </w:style>
  <w:style w:type="character" w:styleId="EndnoteReference">
    <w:name w:val="endnote reference"/>
    <w:basedOn w:val="DefaultParagraphFont"/>
    <w:uiPriority w:val="99"/>
    <w:semiHidden/>
    <w:unhideWhenUsed/>
    <w:rsid w:val="00624B8A"/>
    <w:rPr>
      <w:vertAlign w:val="superscript"/>
    </w:rPr>
  </w:style>
  <w:style w:type="character" w:customStyle="1" w:styleId="Heading1Char">
    <w:name w:val="Heading 1 Char"/>
    <w:basedOn w:val="DefaultParagraphFont"/>
    <w:link w:val="Heading1"/>
    <w:rsid w:val="007D77DC"/>
    <w:rPr>
      <w:rFonts w:asciiTheme="majorHAnsi" w:eastAsiaTheme="majorEastAsia" w:hAnsiTheme="majorHAnsi" w:cstheme="majorBidi"/>
      <w:color w:val="2E74B5" w:themeColor="accent1" w:themeShade="BF"/>
      <w:sz w:val="32"/>
      <w:szCs w:val="32"/>
    </w:rPr>
  </w:style>
  <w:style w:type="paragraph" w:customStyle="1" w:styleId="Style1">
    <w:name w:val="Style1"/>
    <w:basedOn w:val="Normal"/>
    <w:rsid w:val="007D77DC"/>
    <w:pPr>
      <w:tabs>
        <w:tab w:val="left" w:pos="-720"/>
      </w:tabs>
      <w:suppressAutoHyphens/>
      <w:spacing w:after="0" w:line="240" w:lineRule="auto"/>
      <w:ind w:left="720" w:hanging="720"/>
      <w:jc w:val="both"/>
    </w:pPr>
    <w:rPr>
      <w:rFonts w:ascii="Times New Roman" w:eastAsia="Times New Roman" w:hAnsi="Times New Roman" w:cs="Times New Roman"/>
      <w:spacing w:val="-2"/>
      <w:sz w:val="24"/>
      <w:szCs w:val="20"/>
      <w:lang w:bidi="en-US"/>
    </w:rPr>
  </w:style>
  <w:style w:type="paragraph" w:styleId="NormalWeb">
    <w:name w:val="Normal (Web)"/>
    <w:basedOn w:val="Normal"/>
    <w:rsid w:val="007D77DC"/>
    <w:pPr>
      <w:spacing w:before="100" w:beforeAutospacing="1" w:after="100" w:afterAutospacing="1" w:line="240" w:lineRule="auto"/>
    </w:pPr>
    <w:rPr>
      <w:rFonts w:ascii="Arial Unicode MS" w:eastAsia="Arial Unicode MS" w:hAnsi="Arial Unicode MS" w:cs="Arial Unicode MS"/>
      <w:sz w:val="24"/>
      <w:szCs w:val="24"/>
      <w:lang w:bidi="en-US"/>
    </w:rPr>
  </w:style>
  <w:style w:type="paragraph" w:customStyle="1" w:styleId="TableParagraph">
    <w:name w:val="Table Paragraph"/>
    <w:basedOn w:val="Normal"/>
    <w:uiPriority w:val="1"/>
    <w:qFormat/>
    <w:rsid w:val="007D77DC"/>
    <w:pPr>
      <w:widowControl w:val="0"/>
      <w:autoSpaceDE w:val="0"/>
      <w:autoSpaceDN w:val="0"/>
      <w:spacing w:after="0" w:line="240" w:lineRule="auto"/>
      <w:ind w:left="919"/>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961">
      <w:bodyDiv w:val="1"/>
      <w:marLeft w:val="0"/>
      <w:marRight w:val="0"/>
      <w:marTop w:val="0"/>
      <w:marBottom w:val="0"/>
      <w:divBdr>
        <w:top w:val="none" w:sz="0" w:space="0" w:color="auto"/>
        <w:left w:val="none" w:sz="0" w:space="0" w:color="auto"/>
        <w:bottom w:val="none" w:sz="0" w:space="0" w:color="auto"/>
        <w:right w:val="none" w:sz="0" w:space="0" w:color="auto"/>
      </w:divBdr>
    </w:div>
    <w:div w:id="421610676">
      <w:bodyDiv w:val="1"/>
      <w:marLeft w:val="0"/>
      <w:marRight w:val="0"/>
      <w:marTop w:val="0"/>
      <w:marBottom w:val="0"/>
      <w:divBdr>
        <w:top w:val="none" w:sz="0" w:space="0" w:color="auto"/>
        <w:left w:val="none" w:sz="0" w:space="0" w:color="auto"/>
        <w:bottom w:val="none" w:sz="0" w:space="0" w:color="auto"/>
        <w:right w:val="none" w:sz="0" w:space="0" w:color="auto"/>
      </w:divBdr>
    </w:div>
    <w:div w:id="666132170">
      <w:bodyDiv w:val="1"/>
      <w:marLeft w:val="0"/>
      <w:marRight w:val="0"/>
      <w:marTop w:val="0"/>
      <w:marBottom w:val="0"/>
      <w:divBdr>
        <w:top w:val="none" w:sz="0" w:space="0" w:color="auto"/>
        <w:left w:val="none" w:sz="0" w:space="0" w:color="auto"/>
        <w:bottom w:val="none" w:sz="0" w:space="0" w:color="auto"/>
        <w:right w:val="none" w:sz="0" w:space="0" w:color="auto"/>
      </w:divBdr>
    </w:div>
    <w:div w:id="704981437">
      <w:bodyDiv w:val="1"/>
      <w:marLeft w:val="0"/>
      <w:marRight w:val="0"/>
      <w:marTop w:val="0"/>
      <w:marBottom w:val="0"/>
      <w:divBdr>
        <w:top w:val="none" w:sz="0" w:space="0" w:color="auto"/>
        <w:left w:val="none" w:sz="0" w:space="0" w:color="auto"/>
        <w:bottom w:val="none" w:sz="0" w:space="0" w:color="auto"/>
        <w:right w:val="none" w:sz="0" w:space="0" w:color="auto"/>
      </w:divBdr>
    </w:div>
    <w:div w:id="783308394">
      <w:bodyDiv w:val="1"/>
      <w:marLeft w:val="0"/>
      <w:marRight w:val="0"/>
      <w:marTop w:val="0"/>
      <w:marBottom w:val="0"/>
      <w:divBdr>
        <w:top w:val="none" w:sz="0" w:space="0" w:color="auto"/>
        <w:left w:val="none" w:sz="0" w:space="0" w:color="auto"/>
        <w:bottom w:val="none" w:sz="0" w:space="0" w:color="auto"/>
        <w:right w:val="none" w:sz="0" w:space="0" w:color="auto"/>
      </w:divBdr>
    </w:div>
    <w:div w:id="1406025390">
      <w:bodyDiv w:val="1"/>
      <w:marLeft w:val="0"/>
      <w:marRight w:val="0"/>
      <w:marTop w:val="0"/>
      <w:marBottom w:val="0"/>
      <w:divBdr>
        <w:top w:val="none" w:sz="0" w:space="0" w:color="auto"/>
        <w:left w:val="none" w:sz="0" w:space="0" w:color="auto"/>
        <w:bottom w:val="none" w:sz="0" w:space="0" w:color="auto"/>
        <w:right w:val="none" w:sz="0" w:space="0" w:color="auto"/>
      </w:divBdr>
    </w:div>
    <w:div w:id="1477336032">
      <w:bodyDiv w:val="1"/>
      <w:marLeft w:val="0"/>
      <w:marRight w:val="0"/>
      <w:marTop w:val="0"/>
      <w:marBottom w:val="0"/>
      <w:divBdr>
        <w:top w:val="none" w:sz="0" w:space="0" w:color="auto"/>
        <w:left w:val="none" w:sz="0" w:space="0" w:color="auto"/>
        <w:bottom w:val="none" w:sz="0" w:space="0" w:color="auto"/>
        <w:right w:val="none" w:sz="0" w:space="0" w:color="auto"/>
      </w:divBdr>
    </w:div>
    <w:div w:id="1662387253">
      <w:bodyDiv w:val="1"/>
      <w:marLeft w:val="0"/>
      <w:marRight w:val="0"/>
      <w:marTop w:val="0"/>
      <w:marBottom w:val="0"/>
      <w:divBdr>
        <w:top w:val="none" w:sz="0" w:space="0" w:color="auto"/>
        <w:left w:val="none" w:sz="0" w:space="0" w:color="auto"/>
        <w:bottom w:val="none" w:sz="0" w:space="0" w:color="auto"/>
        <w:right w:val="none" w:sz="0" w:space="0" w:color="auto"/>
      </w:divBdr>
    </w:div>
    <w:div w:id="1944730436">
      <w:bodyDiv w:val="1"/>
      <w:marLeft w:val="0"/>
      <w:marRight w:val="0"/>
      <w:marTop w:val="0"/>
      <w:marBottom w:val="0"/>
      <w:divBdr>
        <w:top w:val="none" w:sz="0" w:space="0" w:color="auto"/>
        <w:left w:val="none" w:sz="0" w:space="0" w:color="auto"/>
        <w:bottom w:val="none" w:sz="0" w:space="0" w:color="auto"/>
        <w:right w:val="none" w:sz="0" w:space="0" w:color="auto"/>
      </w:divBdr>
    </w:div>
    <w:div w:id="2046174811">
      <w:bodyDiv w:val="1"/>
      <w:marLeft w:val="0"/>
      <w:marRight w:val="0"/>
      <w:marTop w:val="0"/>
      <w:marBottom w:val="0"/>
      <w:divBdr>
        <w:top w:val="none" w:sz="0" w:space="0" w:color="auto"/>
        <w:left w:val="none" w:sz="0" w:space="0" w:color="auto"/>
        <w:bottom w:val="none" w:sz="0" w:space="0" w:color="auto"/>
        <w:right w:val="none" w:sz="0" w:space="0" w:color="auto"/>
      </w:divBdr>
    </w:div>
    <w:div w:id="20985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woe.co.uk" TargetMode="External"/><Relationship Id="rId13" Type="http://schemas.openxmlformats.org/officeDocument/2006/relationships/hyperlink" Target="mailto:procurement@businesswest.co.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usinesswest.co.uk/tend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businesswest.co.uk" TargetMode="External"/><Relationship Id="rId5" Type="http://schemas.openxmlformats.org/officeDocument/2006/relationships/webSettings" Target="webSettings.xml"/><Relationship Id="rId15" Type="http://schemas.openxmlformats.org/officeDocument/2006/relationships/hyperlink" Target="https://www.gov.uk/government/publications/european-structural-and-investment-funds-outputs-and-results" TargetMode="External"/><Relationship Id="rId10" Type="http://schemas.openxmlformats.org/officeDocument/2006/relationships/hyperlink" Target="https://www.gov.uk/government/publications/evaluation-of-the-european-regional-development-fund-2014-to-202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woe.co.uk" TargetMode="External"/><Relationship Id="rId14" Type="http://schemas.openxmlformats.org/officeDocument/2006/relationships/hyperlink" Target="mailto:procurement@businesswest.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gov.uk/european-structural-investment-funds/sme-support-call-in-the-west-of-england-oc37r15p-0227" TargetMode="External"/><Relationship Id="rId1" Type="http://schemas.openxmlformats.org/officeDocument/2006/relationships/hyperlink" Target="https://www.gov.uk/government/publications/draft-european-regional-development-fund-operational-programme-2014-to-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659B-0B6C-470A-8339-A9CB896D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9</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Watson</dc:creator>
  <cp:keywords/>
  <dc:description/>
  <cp:lastModifiedBy>Paul Coopey</cp:lastModifiedBy>
  <cp:revision>43</cp:revision>
  <cp:lastPrinted>2018-12-20T10:58:00Z</cp:lastPrinted>
  <dcterms:created xsi:type="dcterms:W3CDTF">2018-11-06T17:00:00Z</dcterms:created>
  <dcterms:modified xsi:type="dcterms:W3CDTF">2019-04-26T13:10:00Z</dcterms:modified>
</cp:coreProperties>
</file>