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1FAD" w14:textId="784B36F9" w:rsidR="002F4A7A" w:rsidRDefault="00797E3B" w:rsidP="0019168F">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7888F540" w14:textId="32BB7980" w:rsidR="000D0C4F" w:rsidRPr="000D0C4F" w:rsidRDefault="005D53C4" w:rsidP="000D0C4F">
      <w:r>
        <w:t xml:space="preserve">Track / Path Link using cell web product at </w:t>
      </w:r>
      <w:proofErr w:type="spellStart"/>
      <w:r>
        <w:t>Edenbrook</w:t>
      </w:r>
      <w:proofErr w:type="spellEnd"/>
      <w:r>
        <w:t xml:space="preserve"> Country Park.  </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2AE52DA1">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0F32A72E" w:rsidR="0019168F" w:rsidRPr="007E3548" w:rsidRDefault="000A5C33" w:rsidP="00A85180">
            <w:r>
              <w:rPr>
                <w:rFonts w:ascii="Gill Sans MT" w:hAnsi="Gill Sans MT" w:cs="Arial"/>
              </w:rPr>
              <w:t>1</w:t>
            </w:r>
            <w:r w:rsidR="007A0EDD">
              <w:rPr>
                <w:rFonts w:ascii="Gill Sans MT" w:hAnsi="Gill Sans MT" w:cs="Arial"/>
              </w:rPr>
              <w:t xml:space="preserve">4 </w:t>
            </w:r>
            <w:r w:rsidR="00A178AB" w:rsidRPr="2AE52DA1">
              <w:rPr>
                <w:rFonts w:ascii="Gill Sans MT" w:hAnsi="Gill Sans MT" w:cs="Arial"/>
              </w:rPr>
              <w:t xml:space="preserve">/ </w:t>
            </w:r>
            <w:r w:rsidR="00463AF8">
              <w:rPr>
                <w:rFonts w:ascii="Gill Sans MT" w:hAnsi="Gill Sans MT" w:cs="Arial"/>
              </w:rPr>
              <w:t>10</w:t>
            </w:r>
            <w:r w:rsidR="001C24BD" w:rsidRPr="2AE52DA1">
              <w:rPr>
                <w:rFonts w:ascii="Gill Sans MT" w:hAnsi="Gill Sans MT" w:cs="Arial"/>
              </w:rPr>
              <w:t xml:space="preserve"> </w:t>
            </w:r>
            <w:r w:rsidR="00A178AB" w:rsidRPr="2AE52DA1">
              <w:rPr>
                <w:rFonts w:ascii="Gill Sans MT" w:hAnsi="Gill Sans MT" w:cs="Arial"/>
              </w:rPr>
              <w:t>/ 21</w:t>
            </w:r>
          </w:p>
        </w:tc>
      </w:tr>
      <w:tr w:rsidR="0019168F" w14:paraId="7AACCC93" w14:textId="77777777" w:rsidTr="2AE52DA1">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2D6BFE39" w:rsidR="0019168F" w:rsidRPr="007E3548" w:rsidRDefault="006018E2" w:rsidP="00A85180">
            <w:r w:rsidRPr="2AE52DA1">
              <w:rPr>
                <w:rFonts w:ascii="Gill Sans MT" w:hAnsi="Gill Sans MT" w:cs="Arial"/>
              </w:rPr>
              <w:t>2</w:t>
            </w:r>
            <w:r w:rsidR="00FA59AE">
              <w:rPr>
                <w:rFonts w:ascii="Gill Sans MT" w:hAnsi="Gill Sans MT" w:cs="Arial"/>
              </w:rPr>
              <w:t>9</w:t>
            </w:r>
            <w:r w:rsidR="001C24BD" w:rsidRPr="2AE52DA1">
              <w:rPr>
                <w:rFonts w:ascii="Gill Sans MT" w:hAnsi="Gill Sans MT" w:cs="Arial"/>
              </w:rPr>
              <w:t xml:space="preserve"> </w:t>
            </w:r>
            <w:r w:rsidRPr="2AE52DA1">
              <w:rPr>
                <w:rFonts w:ascii="Gill Sans MT" w:hAnsi="Gill Sans MT" w:cs="Arial"/>
              </w:rPr>
              <w:t>/</w:t>
            </w:r>
            <w:r w:rsidR="001C24BD" w:rsidRPr="2AE52DA1">
              <w:rPr>
                <w:rFonts w:ascii="Gill Sans MT" w:hAnsi="Gill Sans MT" w:cs="Arial"/>
              </w:rPr>
              <w:t xml:space="preserve"> </w:t>
            </w:r>
            <w:r w:rsidR="00FA59AE">
              <w:rPr>
                <w:rFonts w:ascii="Gill Sans MT" w:hAnsi="Gill Sans MT" w:cs="Arial"/>
              </w:rPr>
              <w:t>10</w:t>
            </w:r>
            <w:r w:rsidR="001C24BD" w:rsidRPr="2AE52DA1">
              <w:rPr>
                <w:rFonts w:ascii="Gill Sans MT" w:hAnsi="Gill Sans MT" w:cs="Arial"/>
              </w:rPr>
              <w:t xml:space="preserve"> </w:t>
            </w:r>
            <w:r w:rsidRPr="2AE52DA1">
              <w:rPr>
                <w:rFonts w:ascii="Gill Sans MT" w:hAnsi="Gill Sans MT" w:cs="Arial"/>
              </w:rPr>
              <w:t>/</w:t>
            </w:r>
            <w:r w:rsidR="001C24BD" w:rsidRPr="2AE52DA1">
              <w:rPr>
                <w:rFonts w:ascii="Gill Sans MT" w:hAnsi="Gill Sans MT" w:cs="Arial"/>
              </w:rPr>
              <w:t xml:space="preserve"> </w:t>
            </w:r>
            <w:r w:rsidRPr="2AE52DA1">
              <w:rPr>
                <w:rFonts w:ascii="Gill Sans MT" w:hAnsi="Gill Sans MT" w:cs="Arial"/>
              </w:rPr>
              <w:t>21</w:t>
            </w:r>
          </w:p>
        </w:tc>
      </w:tr>
      <w:tr w:rsidR="0019168F" w14:paraId="1004F8B8" w14:textId="77777777" w:rsidTr="2AE52DA1">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7EA8C888" w:rsidR="0019168F" w:rsidRPr="007E3548" w:rsidRDefault="008E27FA" w:rsidP="00A85180">
            <w:r w:rsidRPr="2AE52DA1">
              <w:rPr>
                <w:rFonts w:ascii="Gill Sans MT" w:hAnsi="Gill Sans MT" w:cs="Arial"/>
                <w:b/>
                <w:bCs/>
              </w:rPr>
              <w:t>12 noon</w:t>
            </w:r>
            <w:r w:rsidR="005D62BB" w:rsidRPr="2AE52DA1">
              <w:rPr>
                <w:rFonts w:ascii="Gill Sans MT" w:hAnsi="Gill Sans MT" w:cs="Arial"/>
                <w:b/>
                <w:bCs/>
              </w:rPr>
              <w:t>,</w:t>
            </w:r>
            <w:r w:rsidRPr="2AE52DA1">
              <w:rPr>
                <w:rFonts w:ascii="Gill Sans MT" w:hAnsi="Gill Sans MT" w:cs="Arial"/>
                <w:b/>
                <w:bCs/>
              </w:rPr>
              <w:t xml:space="preserve"> </w:t>
            </w:r>
            <w:r w:rsidR="000A5C33">
              <w:rPr>
                <w:rFonts w:ascii="Gill Sans MT" w:hAnsi="Gill Sans MT" w:cs="Arial"/>
                <w:b/>
                <w:bCs/>
              </w:rPr>
              <w:t>9</w:t>
            </w:r>
            <w:r w:rsidR="00FA59AE" w:rsidRPr="00FA59AE">
              <w:rPr>
                <w:rFonts w:ascii="Gill Sans MT" w:hAnsi="Gill Sans MT" w:cs="Arial"/>
                <w:b/>
                <w:bCs/>
                <w:vertAlign w:val="superscript"/>
              </w:rPr>
              <w:t>th</w:t>
            </w:r>
            <w:r w:rsidR="00FA59AE">
              <w:rPr>
                <w:rFonts w:ascii="Gill Sans MT" w:hAnsi="Gill Sans MT" w:cs="Arial"/>
                <w:b/>
                <w:bCs/>
              </w:rPr>
              <w:t xml:space="preserve"> </w:t>
            </w:r>
            <w:r w:rsidR="007679D9">
              <w:rPr>
                <w:rFonts w:ascii="Gill Sans MT" w:hAnsi="Gill Sans MT" w:cs="Arial"/>
                <w:b/>
                <w:bCs/>
              </w:rPr>
              <w:t>Novem</w:t>
            </w:r>
            <w:r w:rsidR="2E87AD20" w:rsidRPr="2AE52DA1">
              <w:rPr>
                <w:rFonts w:ascii="Gill Sans MT" w:hAnsi="Gill Sans MT" w:cs="Arial"/>
                <w:b/>
                <w:bCs/>
              </w:rPr>
              <w:t>ber</w:t>
            </w:r>
            <w:r w:rsidR="006018E2" w:rsidRPr="2AE52DA1">
              <w:rPr>
                <w:rFonts w:ascii="Gill Sans MT" w:hAnsi="Gill Sans MT" w:cs="Arial"/>
                <w:b/>
                <w:bCs/>
              </w:rPr>
              <w:t xml:space="preserve"> 2021</w:t>
            </w:r>
            <w:r w:rsidR="00A85180" w:rsidRPr="2AE52DA1">
              <w:rPr>
                <w:rFonts w:ascii="Gill Sans MT" w:hAnsi="Gill Sans MT" w:cs="Arial"/>
                <w:b/>
                <w:bCs/>
              </w:rPr>
              <w:t xml:space="preserve"> </w:t>
            </w:r>
          </w:p>
        </w:tc>
      </w:tr>
      <w:tr w:rsidR="0019168F" w14:paraId="682430E8" w14:textId="77777777" w:rsidTr="2AE52DA1">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2AE52DA1">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B8084A"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2AE52DA1">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33FABFFA" w:rsidR="0019168F" w:rsidRDefault="008E27FA" w:rsidP="00E812AD">
            <w:r w:rsidRPr="00480057">
              <w:rPr>
                <w:rFonts w:ascii="Gill Sans MT" w:hAnsi="Gill Sans MT" w:cs="Arial"/>
                <w:szCs w:val="24"/>
              </w:rPr>
              <w:t xml:space="preserve">Quotation for </w:t>
            </w:r>
            <w:r w:rsidR="00B770C9" w:rsidRPr="00B770C9">
              <w:rPr>
                <w:rFonts w:ascii="Gill Sans MT" w:hAnsi="Gill Sans MT" w:cs="Arial"/>
                <w:szCs w:val="24"/>
              </w:rPr>
              <w:t xml:space="preserve">Track / Path Link using cell web product at </w:t>
            </w:r>
            <w:proofErr w:type="spellStart"/>
            <w:r w:rsidR="00B770C9" w:rsidRPr="00B770C9">
              <w:rPr>
                <w:rFonts w:ascii="Gill Sans MT" w:hAnsi="Gill Sans MT" w:cs="Arial"/>
                <w:szCs w:val="24"/>
              </w:rPr>
              <w:t>Edenbrook</w:t>
            </w:r>
            <w:proofErr w:type="spellEnd"/>
            <w:r w:rsidR="00B770C9" w:rsidRPr="00B770C9">
              <w:rPr>
                <w:rFonts w:ascii="Gill Sans MT" w:hAnsi="Gill Sans MT" w:cs="Arial"/>
                <w:szCs w:val="24"/>
              </w:rPr>
              <w:t xml:space="preserve"> Country Park</w:t>
            </w:r>
            <w:r w:rsidRPr="00480057">
              <w:rPr>
                <w:rFonts w:ascii="Gill Sans MT" w:hAnsi="Gill Sans MT" w:cs="Arial"/>
                <w:szCs w:val="24"/>
              </w:rPr>
              <w:t xml:space="preserve"> - 20</w:t>
            </w:r>
            <w:r w:rsidR="00B770C9">
              <w:rPr>
                <w:rFonts w:ascii="Gill Sans MT" w:hAnsi="Gill Sans MT" w:cs="Arial"/>
                <w:szCs w:val="24"/>
              </w:rPr>
              <w:t>21</w:t>
            </w:r>
          </w:p>
        </w:tc>
      </w:tr>
      <w:tr w:rsidR="0019168F" w14:paraId="38AFAEFF" w14:textId="77777777" w:rsidTr="2AE52DA1">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28CDF1A2" w14:textId="6CF9534C" w:rsidR="008E27FA" w:rsidRPr="007E3548" w:rsidRDefault="00B770C9" w:rsidP="008E27F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Steven</w:t>
            </w:r>
            <w:r w:rsidR="00B77CC3">
              <w:rPr>
                <w:rStyle w:val="Hyperlink"/>
                <w:rFonts w:ascii="Gill Sans MT" w:hAnsi="Gill Sans MT" w:cs="Arial"/>
                <w:color w:val="auto"/>
                <w:szCs w:val="24"/>
                <w:u w:val="none"/>
              </w:rPr>
              <w:t>.Lyons</w:t>
            </w:r>
            <w:r w:rsidR="007E3548" w:rsidRPr="007E3548">
              <w:rPr>
                <w:rStyle w:val="Hyperlink"/>
                <w:rFonts w:ascii="Gill Sans MT" w:hAnsi="Gill Sans MT" w:cs="Arial"/>
                <w:color w:val="auto"/>
                <w:szCs w:val="24"/>
                <w:u w:val="none"/>
              </w:rPr>
              <w:t>@hart.gov.uk</w:t>
            </w:r>
          </w:p>
          <w:p w14:paraId="312D7A0A" w14:textId="575F36E3" w:rsidR="0019168F" w:rsidRDefault="008E27FA" w:rsidP="008D7D40">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w:t>
            </w:r>
            <w:r w:rsidR="007E3548" w:rsidRPr="007E3548">
              <w:rPr>
                <w:rFonts w:ascii="Gill Sans MT" w:hAnsi="Gill Sans MT" w:cs="Arial"/>
                <w:szCs w:val="24"/>
              </w:rPr>
              <w:t>77</w:t>
            </w:r>
            <w:r w:rsidR="00B77CC3">
              <w:rPr>
                <w:rFonts w:ascii="Gill Sans MT" w:hAnsi="Gill Sans MT" w:cs="Arial"/>
                <w:szCs w:val="24"/>
              </w:rPr>
              <w:t>4224</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2F93ED24" w14:textId="4566C37E" w:rsidR="00A56B22" w:rsidRDefault="00A56B22" w:rsidP="008E27FA">
      <w:pPr>
        <w:pStyle w:val="BodyText"/>
        <w:tabs>
          <w:tab w:val="left" w:pos="1134"/>
        </w:tabs>
        <w:spacing w:before="0" w:line="240" w:lineRule="auto"/>
        <w:ind w:left="0"/>
        <w:rPr>
          <w:rFonts w:ascii="Gill Sans MT" w:hAnsi="Gill Sans MT"/>
          <w:b/>
          <w:bCs/>
          <w:sz w:val="28"/>
          <w:szCs w:val="28"/>
          <w:u w:val="single"/>
        </w:rPr>
      </w:pPr>
    </w:p>
    <w:p w14:paraId="126693F7" w14:textId="77777777" w:rsidR="00B77CC3" w:rsidRPr="00480057" w:rsidRDefault="00B77CC3"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C177D8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B8084A">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B8084A">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B8084A">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B8084A">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B8084A">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B8084A">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2AE52DA1">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1C4844D8" w:rsidR="000D1848" w:rsidRPr="002B4704" w:rsidRDefault="00B82B1C" w:rsidP="002B4704">
            <w:r>
              <w:t>6</w:t>
            </w:r>
            <w:r w:rsidR="03EDF266">
              <w:t>/ 1</w:t>
            </w:r>
            <w:r>
              <w:t>2</w:t>
            </w:r>
            <w:r w:rsidR="03EDF266">
              <w:t xml:space="preserve"> / 21</w:t>
            </w:r>
          </w:p>
        </w:tc>
      </w:tr>
      <w:tr w:rsidR="000D1848" w14:paraId="6106E704" w14:textId="77777777" w:rsidTr="2AE52DA1">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5A7C908C" w:rsidR="000D1848" w:rsidRPr="002B4704" w:rsidRDefault="3629DE1B" w:rsidP="2AE52DA1">
            <w:pPr>
              <w:rPr>
                <w:rFonts w:ascii="Gill Sans MT" w:hAnsi="Gill Sans MT" w:cs="Arial"/>
              </w:rPr>
            </w:pPr>
            <w:r w:rsidRPr="2AE52DA1">
              <w:rPr>
                <w:rFonts w:ascii="Gill Sans MT" w:hAnsi="Gill Sans MT" w:cs="Arial"/>
              </w:rPr>
              <w:t>6 months</w:t>
            </w:r>
          </w:p>
        </w:tc>
      </w:tr>
      <w:tr w:rsidR="000D1848" w14:paraId="60A3258D" w14:textId="77777777" w:rsidTr="2AE52DA1">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04820DC5" w:rsidR="000D1848" w:rsidRPr="002B4704" w:rsidRDefault="000B77E0" w:rsidP="002B4704">
            <w:r>
              <w:t>28</w:t>
            </w:r>
            <w:r w:rsidRPr="000B77E0">
              <w:rPr>
                <w:vertAlign w:val="superscript"/>
              </w:rPr>
              <w:t>th</w:t>
            </w:r>
            <w:r>
              <w:t xml:space="preserve"> January </w:t>
            </w:r>
            <w:r w:rsidR="00EB08C1">
              <w:t>202</w:t>
            </w:r>
            <w:r w:rsidR="00752540">
              <w:t>2</w:t>
            </w:r>
          </w:p>
        </w:tc>
      </w:tr>
      <w:tr w:rsidR="000D1848" w14:paraId="5A717C63" w14:textId="77777777" w:rsidTr="2AE52DA1">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1D05CAC4" w:rsidR="000D1848" w:rsidRPr="002B4704" w:rsidRDefault="00C0554A" w:rsidP="00E272E9">
            <w:r>
              <w:t xml:space="preserve">Only if bad weather delays </w:t>
            </w:r>
            <w:proofErr w:type="gramStart"/>
            <w:r>
              <w:t>works</w:t>
            </w:r>
            <w:proofErr w:type="gramEnd"/>
            <w:r>
              <w:t>, flood, snow or storm damage to surrounding trees.</w:t>
            </w:r>
          </w:p>
        </w:tc>
      </w:tr>
    </w:tbl>
    <w:p w14:paraId="0C0F1723" w14:textId="77777777" w:rsidR="000D1848" w:rsidRDefault="000D1848" w:rsidP="000D1848"/>
    <w:p w14:paraId="77D09AF6" w14:textId="77777777" w:rsidR="000D1848" w:rsidRDefault="000D1848" w:rsidP="000D1848">
      <w:pPr>
        <w:pStyle w:val="ListParagraph"/>
        <w:numPr>
          <w:ilvl w:val="1"/>
          <w:numId w:val="1"/>
        </w:numPr>
      </w:pPr>
      <w:r>
        <w:t>Aim:</w:t>
      </w:r>
    </w:p>
    <w:p w14:paraId="18D5CB14" w14:textId="60D0137E" w:rsidR="000D1848" w:rsidRDefault="000D1848" w:rsidP="000D1848">
      <w:pPr>
        <w:pStyle w:val="ListParagraph"/>
        <w:numPr>
          <w:ilvl w:val="2"/>
          <w:numId w:val="1"/>
        </w:numPr>
      </w:pPr>
      <w:r>
        <w:t>The Council is seeking</w:t>
      </w:r>
      <w:r w:rsidR="00EB08C1">
        <w:t xml:space="preserve"> to install a </w:t>
      </w:r>
      <w:r w:rsidR="007A08EE">
        <w:t xml:space="preserve">track and path utilising a cell web product to connect an existing </w:t>
      </w:r>
      <w:proofErr w:type="spellStart"/>
      <w:r w:rsidR="007A08EE">
        <w:t>goopla</w:t>
      </w:r>
      <w:proofErr w:type="spellEnd"/>
      <w:r w:rsidR="007A08EE">
        <w:t xml:space="preserve"> roadway to </w:t>
      </w:r>
      <w:r w:rsidR="00A551B9">
        <w:t xml:space="preserve">a gravel path and track. The current surface is dirt </w:t>
      </w:r>
      <w:r w:rsidR="00F335D9">
        <w:t xml:space="preserve">that becomes soft and muddy in winter. An underground power cable, water main and tree route protection zones require </w:t>
      </w:r>
      <w:r w:rsidR="004E19C3">
        <w:t>the use of an above ground construction solution such as a</w:t>
      </w:r>
      <w:r w:rsidR="003B5910">
        <w:t xml:space="preserve"> </w:t>
      </w:r>
      <w:r w:rsidR="004E19C3">
        <w:t>cell web product</w:t>
      </w:r>
      <w:r w:rsidR="003B5910">
        <w:t>. N</w:t>
      </w:r>
      <w:r w:rsidR="00F335D9">
        <w:t xml:space="preserve">o </w:t>
      </w:r>
      <w:r w:rsidR="000F06F1">
        <w:t xml:space="preserve">excavation </w:t>
      </w:r>
      <w:r w:rsidR="003B5910">
        <w:t xml:space="preserve">down can be </w:t>
      </w:r>
      <w:r w:rsidR="000F06F1">
        <w:t xml:space="preserve">done other than to gently flatten the existing ground surface where needed. </w:t>
      </w:r>
    </w:p>
    <w:p w14:paraId="5CDC6D8B" w14:textId="77777777" w:rsidR="000D1848" w:rsidRDefault="000D1848" w:rsidP="000D1848">
      <w:pPr>
        <w:pStyle w:val="ListParagraph"/>
        <w:numPr>
          <w:ilvl w:val="1"/>
          <w:numId w:val="1"/>
        </w:numPr>
      </w:pPr>
      <w:r>
        <w:t>Objectives:</w:t>
      </w:r>
    </w:p>
    <w:p w14:paraId="3371B295" w14:textId="244DB4B4" w:rsidR="000D1848" w:rsidRPr="000D1848" w:rsidRDefault="00954492" w:rsidP="000A0456">
      <w:pPr>
        <w:pStyle w:val="ListParagraph"/>
        <w:numPr>
          <w:ilvl w:val="2"/>
          <w:numId w:val="1"/>
        </w:numPr>
      </w:pPr>
      <w:r>
        <w:t xml:space="preserve">Level route and lay geotextile fabric, build up track that is wide enough and strong enough </w:t>
      </w:r>
      <w:r w:rsidR="00E832A7">
        <w:t>to take a 6 – 8 tonne tractor and trailer f</w:t>
      </w:r>
      <w:r w:rsidR="00811776">
        <w:t>or</w:t>
      </w:r>
      <w:r w:rsidR="00E832A7">
        <w:t xml:space="preserve"> site maintenance</w:t>
      </w:r>
      <w:r w:rsidR="000C6598">
        <w:t xml:space="preserve"> and a section of path capable of taking a gator type buggy or ride-on mower</w:t>
      </w:r>
      <w:r w:rsidR="00391B8F">
        <w:t>. Install cell web product in accordance with manufactures instructions</w:t>
      </w:r>
      <w:r w:rsidR="007E7FB5">
        <w:t xml:space="preserve">, </w:t>
      </w:r>
      <w:r w:rsidR="002B1596">
        <w:t xml:space="preserve">infilling with limestone </w:t>
      </w:r>
      <w:proofErr w:type="spellStart"/>
      <w:r w:rsidR="002B1596">
        <w:t>scalpings</w:t>
      </w:r>
      <w:proofErr w:type="spellEnd"/>
      <w:r w:rsidR="00A8584F">
        <w:t>, or reclaimed stone</w:t>
      </w:r>
      <w:r w:rsidR="00485122">
        <w:t>,</w:t>
      </w:r>
      <w:r w:rsidR="002B1596">
        <w:t xml:space="preserve"> and top dressing to hide cellular structure with 10mm limestone fines</w:t>
      </w:r>
      <w:r w:rsidR="00C31B0F">
        <w:t xml:space="preserve"> (sample can be provided)</w:t>
      </w:r>
      <w:r w:rsidR="00485122">
        <w:t xml:space="preserve"> </w:t>
      </w:r>
      <w:proofErr w:type="spellStart"/>
      <w:r w:rsidR="00485122">
        <w:t>dommed</w:t>
      </w:r>
      <w:proofErr w:type="spellEnd"/>
      <w:r w:rsidR="00485122">
        <w:t xml:space="preserve"> to allow run off</w:t>
      </w:r>
      <w:r w:rsidR="00C31B0F">
        <w:t>. Care taken around services when driving fixing pins for the cell web</w:t>
      </w:r>
      <w:r w:rsidR="00340453">
        <w:t>.</w:t>
      </w:r>
      <w:r w:rsidR="00602D65">
        <w:t xml:space="preserve"> (services drawings provided)</w:t>
      </w:r>
      <w:r w:rsidR="00340453">
        <w:t xml:space="preserve"> Edges of new track and path to have topsoil banked up against </w:t>
      </w:r>
      <w:proofErr w:type="gramStart"/>
      <w:r w:rsidR="00340453">
        <w:t>so as to</w:t>
      </w:r>
      <w:proofErr w:type="gramEnd"/>
      <w:r w:rsidR="00340453">
        <w:t xml:space="preserve"> allow regular mowing maintenance. </w:t>
      </w:r>
    </w:p>
    <w:p w14:paraId="60B1505F" w14:textId="7E70CBBF" w:rsidR="000D1848" w:rsidRDefault="000D1848" w:rsidP="000D1848">
      <w:pPr>
        <w:pStyle w:val="ListParagraph"/>
        <w:numPr>
          <w:ilvl w:val="1"/>
          <w:numId w:val="1"/>
        </w:numPr>
      </w:pPr>
      <w:r>
        <w:t>Timetable:</w:t>
      </w:r>
    </w:p>
    <w:p w14:paraId="48455BBE" w14:textId="2CE61D9C" w:rsidR="00F503A4" w:rsidRDefault="00F503A4" w:rsidP="00F503A4">
      <w:pPr>
        <w:pStyle w:val="ListParagraph"/>
        <w:ind w:left="851"/>
      </w:pPr>
      <w:r>
        <w:t xml:space="preserve">Works to start by beginning of </w:t>
      </w:r>
      <w:r w:rsidR="00C04881">
        <w:t>November</w:t>
      </w:r>
      <w:r>
        <w:t xml:space="preserve"> 2021 and to be completed as soon as possible, no later than end of </w:t>
      </w:r>
      <w:r w:rsidR="00C04881">
        <w:t>January</w:t>
      </w:r>
      <w:r>
        <w:t xml:space="preserve"> 202</w:t>
      </w:r>
      <w:r w:rsidR="00C04881">
        <w:t>2</w:t>
      </w:r>
      <w:r w:rsidR="003C645C">
        <w:t xml:space="preserve">. </w:t>
      </w:r>
    </w:p>
    <w:p w14:paraId="7F293D96" w14:textId="77F56F6B" w:rsidR="000D1848" w:rsidRDefault="000D1848" w:rsidP="000D1848">
      <w:pPr>
        <w:pStyle w:val="ListParagraph"/>
        <w:numPr>
          <w:ilvl w:val="1"/>
          <w:numId w:val="1"/>
        </w:numPr>
      </w:pPr>
      <w:r>
        <w:t>Scope:</w:t>
      </w:r>
    </w:p>
    <w:p w14:paraId="22DB5123" w14:textId="35020331" w:rsidR="005C43FF" w:rsidRPr="005C43FF" w:rsidRDefault="005C43FF" w:rsidP="005C43FF">
      <w:pPr>
        <w:pStyle w:val="ListParagraph"/>
        <w:numPr>
          <w:ilvl w:val="2"/>
          <w:numId w:val="1"/>
        </w:numPr>
      </w:pPr>
      <w:proofErr w:type="gramStart"/>
      <w:r w:rsidRPr="005C43FF">
        <w:t>Eight wheeler</w:t>
      </w:r>
      <w:proofErr w:type="gramEnd"/>
      <w:r w:rsidRPr="005C43FF">
        <w:t xml:space="preserve"> lorry access for</w:t>
      </w:r>
      <w:r w:rsidR="00B119E1">
        <w:t xml:space="preserve"> equipment and / or</w:t>
      </w:r>
      <w:r w:rsidRPr="005C43FF">
        <w:t xml:space="preserve"> materials is possible on the existing </w:t>
      </w:r>
      <w:proofErr w:type="spellStart"/>
      <w:r w:rsidRPr="005C43FF">
        <w:t>goopla</w:t>
      </w:r>
      <w:proofErr w:type="spellEnd"/>
      <w:r w:rsidRPr="005C43FF">
        <w:t xml:space="preserve"> roadway off of Pale Lane. Equipment, site hut and materials can be kept in the site compound a short distance away for the duration of works. Site access is via a height barrier and locked gates or drop posts, keys and codes provided. Height barrier to be kept shut and locked between deliveries. </w:t>
      </w:r>
    </w:p>
    <w:p w14:paraId="2751BD93" w14:textId="77777777" w:rsidR="005C105B" w:rsidRDefault="004B1F5B" w:rsidP="004E1F43">
      <w:pPr>
        <w:pStyle w:val="ListParagraph"/>
        <w:numPr>
          <w:ilvl w:val="2"/>
          <w:numId w:val="1"/>
        </w:numPr>
      </w:pPr>
      <w:r>
        <w:lastRenderedPageBreak/>
        <w:t>Clearly mark services on site. Secure</w:t>
      </w:r>
      <w:r w:rsidR="005C43FF">
        <w:t xml:space="preserve"> work</w:t>
      </w:r>
      <w:r>
        <w:t xml:space="preserve"> </w:t>
      </w:r>
      <w:r w:rsidR="00775A5C">
        <w:t xml:space="preserve">site with </w:t>
      </w:r>
      <w:proofErr w:type="spellStart"/>
      <w:r w:rsidR="00775A5C">
        <w:t>heras</w:t>
      </w:r>
      <w:proofErr w:type="spellEnd"/>
      <w:r w:rsidR="00775A5C">
        <w:t xml:space="preserve"> fencing</w:t>
      </w:r>
      <w:r w:rsidR="00B272F9">
        <w:t xml:space="preserve"> (on site ditches</w:t>
      </w:r>
      <w:r w:rsidR="00DB2126">
        <w:t xml:space="preserve"> and vegetation</w:t>
      </w:r>
      <w:r w:rsidR="00B272F9">
        <w:t xml:space="preserve"> provide convenient points </w:t>
      </w:r>
      <w:r w:rsidR="00DB2126">
        <w:t>to do this so the work zone does not need to be ring fenced) Provide</w:t>
      </w:r>
      <w:r w:rsidR="00A42408">
        <w:t xml:space="preserve">, </w:t>
      </w:r>
      <w:proofErr w:type="gramStart"/>
      <w:r w:rsidR="00A42408">
        <w:t>display</w:t>
      </w:r>
      <w:proofErr w:type="gramEnd"/>
      <w:r w:rsidR="00DB2126">
        <w:t xml:space="preserve"> and maintain appropriate safety signage throughout works</w:t>
      </w:r>
      <w:r w:rsidR="00775A5C">
        <w:t xml:space="preserve">. HDC will </w:t>
      </w:r>
      <w:r w:rsidR="00A42408">
        <w:t>mark and publicise an alternative route for the public.</w:t>
      </w:r>
    </w:p>
    <w:p w14:paraId="043DDBB2" w14:textId="0E216815" w:rsidR="000D1848" w:rsidRDefault="005C105B" w:rsidP="004E1F43">
      <w:pPr>
        <w:pStyle w:val="ListParagraph"/>
        <w:numPr>
          <w:ilvl w:val="2"/>
          <w:numId w:val="1"/>
        </w:numPr>
      </w:pPr>
      <w:r>
        <w:t xml:space="preserve">Working in from the </w:t>
      </w:r>
      <w:proofErr w:type="spellStart"/>
      <w:r>
        <w:t>goopla</w:t>
      </w:r>
      <w:proofErr w:type="spellEnd"/>
      <w:r>
        <w:t xml:space="preserve"> roadway</w:t>
      </w:r>
      <w:r w:rsidR="00FF4AD3">
        <w:t>,</w:t>
      </w:r>
      <w:r>
        <w:t xml:space="preserve"> to avoid services or tree route damage</w:t>
      </w:r>
      <w:r w:rsidR="00FF4AD3">
        <w:t>,</w:t>
      </w:r>
      <w:r>
        <w:t xml:space="preserve"> the </w:t>
      </w:r>
      <w:r w:rsidR="00C911B9">
        <w:t xml:space="preserve">cell web </w:t>
      </w:r>
      <w:r w:rsidR="00FF4AD3">
        <w:t xml:space="preserve">product </w:t>
      </w:r>
      <w:r w:rsidR="00C911B9">
        <w:t xml:space="preserve">and infill to be laid down and driven on as the track is built </w:t>
      </w:r>
      <w:proofErr w:type="gramStart"/>
      <w:r w:rsidR="00C911B9">
        <w:t>north west</w:t>
      </w:r>
      <w:proofErr w:type="gramEnd"/>
      <w:r w:rsidR="00C911B9">
        <w:t xml:space="preserve"> to southeast</w:t>
      </w:r>
      <w:r w:rsidR="00FF4AD3">
        <w:t xml:space="preserve">. Section of path </w:t>
      </w:r>
      <w:r w:rsidR="00A85886">
        <w:t xml:space="preserve">can be built </w:t>
      </w:r>
      <w:proofErr w:type="gramStart"/>
      <w:r w:rsidR="00A85886">
        <w:t>off of</w:t>
      </w:r>
      <w:proofErr w:type="gramEnd"/>
      <w:r w:rsidR="00A85886">
        <w:t xml:space="preserve"> this once down</w:t>
      </w:r>
      <w:r w:rsidR="00C928CE">
        <w:t xml:space="preserve"> including a French drain as indicated on the plan</w:t>
      </w:r>
      <w:r w:rsidR="007E6597">
        <w:t xml:space="preserve"> attached</w:t>
      </w:r>
      <w:r w:rsidR="00A85886">
        <w:t xml:space="preserve">. All areas to be top dressed </w:t>
      </w:r>
      <w:proofErr w:type="gramStart"/>
      <w:r w:rsidR="00A85886">
        <w:t>with</w:t>
      </w:r>
      <w:proofErr w:type="gramEnd"/>
      <w:r w:rsidR="00A85886">
        <w:t xml:space="preserve"> fines on way out and topsoil to go down either side as this is done, raked level and left to seed naturally. </w:t>
      </w:r>
    </w:p>
    <w:p w14:paraId="73E60430" w14:textId="47BB72E0" w:rsidR="004148C3" w:rsidRDefault="004148C3" w:rsidP="004E1F43">
      <w:pPr>
        <w:pStyle w:val="ListParagraph"/>
        <w:numPr>
          <w:ilvl w:val="2"/>
          <w:numId w:val="1"/>
        </w:numPr>
      </w:pPr>
      <w:r>
        <w:t xml:space="preserve">All materials and equipment </w:t>
      </w:r>
      <w:r w:rsidR="001C24BD">
        <w:t xml:space="preserve">brought onto site by the contractor to be removed at end of works. </w:t>
      </w:r>
    </w:p>
    <w:p w14:paraId="34B20BD2" w14:textId="77777777" w:rsidR="000D1848" w:rsidRDefault="000D1848" w:rsidP="000D1848">
      <w:pPr>
        <w:pStyle w:val="ListParagraph"/>
        <w:numPr>
          <w:ilvl w:val="1"/>
          <w:numId w:val="1"/>
        </w:numPr>
      </w:pPr>
      <w:r>
        <w:t>Deliverables:</w:t>
      </w:r>
    </w:p>
    <w:p w14:paraId="3DDE41CC" w14:textId="0F18B9D8" w:rsidR="000D1848" w:rsidRDefault="000D1848" w:rsidP="004E1F43">
      <w:pPr>
        <w:pStyle w:val="ListParagraph"/>
        <w:numPr>
          <w:ilvl w:val="2"/>
          <w:numId w:val="1"/>
        </w:numPr>
      </w:pPr>
      <w:r>
        <w:t xml:space="preserve">The successful </w:t>
      </w:r>
      <w:r w:rsidR="002056BD">
        <w:t>bidder</w:t>
      </w:r>
      <w:r>
        <w:t xml:space="preserve"> must: </w:t>
      </w:r>
    </w:p>
    <w:p w14:paraId="757282B9" w14:textId="358EBBA9" w:rsidR="00BA767E" w:rsidRDefault="00BA767E" w:rsidP="00AB291B">
      <w:pPr>
        <w:ind w:left="794"/>
      </w:pPr>
      <w:r>
        <w:t>Demonstrate previous similar work with examples</w:t>
      </w:r>
      <w:r w:rsidR="00EE09C0">
        <w:t>.</w:t>
      </w:r>
    </w:p>
    <w:p w14:paraId="2733275C" w14:textId="70688991" w:rsidR="000D1848" w:rsidRDefault="00AB291B" w:rsidP="00AB291B">
      <w:pPr>
        <w:ind w:left="794"/>
      </w:pPr>
      <w:r w:rsidRPr="00AB291B">
        <w:t>Be able to mobilise and complete within the allotted time scales</w:t>
      </w:r>
      <w:r>
        <w:t>.</w:t>
      </w:r>
    </w:p>
    <w:p w14:paraId="4B370204" w14:textId="1C470E35" w:rsidR="00AB291B" w:rsidRDefault="00EE09C0" w:rsidP="00AB291B">
      <w:pPr>
        <w:ind w:left="794"/>
      </w:pPr>
      <w:r>
        <w:t xml:space="preserve">Secure materials appropriately and </w:t>
      </w:r>
      <w:r w:rsidR="00161726">
        <w:t xml:space="preserve">timely </w:t>
      </w:r>
      <w:proofErr w:type="gramStart"/>
      <w:r w:rsidR="00161726">
        <w:t>so as to</w:t>
      </w:r>
      <w:proofErr w:type="gramEnd"/>
      <w:r w:rsidR="00161726">
        <w:t xml:space="preserve"> not extend the works time. </w:t>
      </w:r>
    </w:p>
    <w:p w14:paraId="6CF8BC60" w14:textId="19361335" w:rsidR="005173F0" w:rsidRDefault="005173F0" w:rsidP="00AB291B">
      <w:pPr>
        <w:ind w:left="794"/>
      </w:pPr>
      <w:r>
        <w:t>Deliver a quality finish and leave site neat and tidy.</w:t>
      </w:r>
    </w:p>
    <w:p w14:paraId="7639541A" w14:textId="77777777" w:rsidR="00AB291B" w:rsidRPr="00AB291B" w:rsidRDefault="00AB291B" w:rsidP="00AB291B">
      <w:pPr>
        <w:ind w:left="794"/>
        <w:rPr>
          <w:color w:val="FF0000"/>
        </w:rPr>
      </w:pPr>
    </w:p>
    <w:p w14:paraId="127E25E1" w14:textId="77777777" w:rsidR="002056BD" w:rsidRDefault="000D1848" w:rsidP="002056BD">
      <w:pPr>
        <w:pStyle w:val="ListParagraph"/>
        <w:numPr>
          <w:ilvl w:val="1"/>
          <w:numId w:val="1"/>
        </w:numPr>
      </w:pPr>
      <w:r>
        <w:t>Monitoring arrangements:</w:t>
      </w:r>
    </w:p>
    <w:p w14:paraId="32AB4932" w14:textId="77777777" w:rsidR="00F357E1" w:rsidRDefault="00DE6664" w:rsidP="00DE6664">
      <w:pPr>
        <w:pStyle w:val="ListParagraph"/>
        <w:numPr>
          <w:ilvl w:val="2"/>
          <w:numId w:val="1"/>
        </w:numPr>
      </w:pPr>
      <w:r w:rsidRPr="00DE6664">
        <w:t>The Council may monitor the performance of the Services by the Supplier.</w:t>
      </w:r>
    </w:p>
    <w:p w14:paraId="5A9B8183" w14:textId="226CA72D" w:rsidR="009C6470" w:rsidRPr="00DE6664" w:rsidRDefault="00F357E1" w:rsidP="005173F0">
      <w:pPr>
        <w:pStyle w:val="ListParagraph"/>
        <w:ind w:left="851"/>
      </w:pPr>
      <w:r>
        <w:t>Regular site meeting</w:t>
      </w:r>
      <w:r w:rsidR="00781CAE">
        <w:t>s</w:t>
      </w:r>
      <w:r>
        <w:t xml:space="preserve"> will be arranged and agreed as appropriate.</w:t>
      </w:r>
      <w:r w:rsidR="005173F0">
        <w:t xml:space="preserve">                        </w:t>
      </w:r>
      <w:r w:rsidR="009C6470" w:rsidRPr="009C6470">
        <w:t>Notify HDC of any unforeseen cost changes in</w:t>
      </w:r>
      <w:r w:rsidR="005173F0">
        <w:t xml:space="preserve"> </w:t>
      </w:r>
      <w:r w:rsidR="009C6470" w:rsidRPr="009C6470">
        <w:t>a timely manner and only proceed with written authority</w:t>
      </w:r>
      <w:r w:rsidR="00781CAE">
        <w:t>.</w:t>
      </w:r>
    </w:p>
    <w:p w14:paraId="46013F94" w14:textId="085B150E" w:rsidR="00480057" w:rsidRPr="00A237F7" w:rsidRDefault="00BE35CD" w:rsidP="00CB7E4E">
      <w:pPr>
        <w:pStyle w:val="Heading1"/>
        <w:numPr>
          <w:ilvl w:val="0"/>
          <w:numId w:val="1"/>
        </w:numPr>
      </w:pPr>
      <w:bookmarkStart w:id="2" w:name="_Toc22814575"/>
      <w:r w:rsidRPr="007E4A31">
        <w:t xml:space="preserve">Information for </w:t>
      </w:r>
      <w:r w:rsidR="005973E0">
        <w:t>Bidders</w:t>
      </w:r>
      <w:bookmarkEnd w:id="2"/>
    </w:p>
    <w:p w14:paraId="11694B02" w14:textId="50C8DCEB"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50D6142B" w:rsidR="001C7E14" w:rsidRDefault="001C7E14" w:rsidP="001C7E14">
      <w:pPr>
        <w:pStyle w:val="ListParagraph"/>
        <w:numPr>
          <w:ilvl w:val="1"/>
          <w:numId w:val="1"/>
        </w:numPr>
      </w:pPr>
      <w:r w:rsidRPr="00871595">
        <w:lastRenderedPageBreak/>
        <w:t xml:space="preserve">If the Council considers a query may have a material effect on quotation </w:t>
      </w:r>
      <w:proofErr w:type="gramStart"/>
      <w:r w:rsidRPr="00871595">
        <w:t>responses,  all</w:t>
      </w:r>
      <w:proofErr w:type="gramEnd"/>
      <w:r w:rsidRPr="00871595">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CB7E4E">
      <w:pPr>
        <w:pStyle w:val="ListParagraph"/>
        <w:numPr>
          <w:ilvl w:val="1"/>
          <w:numId w:val="1"/>
        </w:numPr>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entered </w:t>
      </w:r>
      <w:proofErr w:type="gramStart"/>
      <w:r w:rsidRPr="00A237F7">
        <w:rPr>
          <w:rFonts w:ascii="Gill Sans MT" w:hAnsi="Gill Sans MT" w:cs="Arial"/>
        </w:rPr>
        <w:t>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1DB48909" w14:textId="305990B0" w:rsidR="00DE4D88" w:rsidRPr="002362B2"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ers will be deemed to fully understand the processes that the Council must follow under relevant European and UK legislation, particularly The Public Contracts Regulations 2015 an</w:t>
      </w:r>
      <w:r w:rsidR="00486245">
        <w:rPr>
          <w:rFonts w:ascii="Gill Sans MT" w:hAnsi="Gill Sans MT" w:cs="Arial"/>
        </w:rPr>
        <w:t>d the Public Procurement Amendment (EU Exit) Regulations 2019.</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3" w:name="_Toc22814576"/>
      <w:r>
        <w:lastRenderedPageBreak/>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23985FA8" w:rsidR="0035714E" w:rsidRPr="001F0050" w:rsidRDefault="007E6597" w:rsidP="00EA5C74">
            <w:pPr>
              <w:jc w:val="center"/>
              <w:rPr>
                <w:rFonts w:asciiTheme="majorHAnsi" w:hAnsiTheme="majorHAnsi" w:cs="Arial"/>
                <w:b/>
                <w:sz w:val="22"/>
                <w:szCs w:val="22"/>
              </w:rPr>
            </w:pPr>
            <w:r>
              <w:rPr>
                <w:rFonts w:asciiTheme="majorHAnsi" w:hAnsiTheme="majorHAnsi" w:cs="Arial"/>
                <w:b/>
                <w:sz w:val="22"/>
                <w:szCs w:val="22"/>
              </w:rPr>
              <w:t>6</w:t>
            </w:r>
            <w:r w:rsidR="0035714E" w:rsidRPr="001F0050">
              <w:rPr>
                <w:rFonts w:asciiTheme="majorHAnsi" w:hAnsiTheme="majorHAnsi" w:cs="Arial"/>
                <w:b/>
                <w:sz w:val="22"/>
                <w:szCs w:val="22"/>
              </w:rPr>
              <w:t>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6A8BF104" w:rsidR="0035714E" w:rsidRPr="001F0050" w:rsidRDefault="007E6597" w:rsidP="0035714E">
            <w:pPr>
              <w:jc w:val="center"/>
              <w:rPr>
                <w:rFonts w:asciiTheme="majorHAnsi" w:hAnsiTheme="majorHAnsi" w:cs="Arial"/>
                <w:b/>
                <w:sz w:val="22"/>
                <w:szCs w:val="22"/>
              </w:rPr>
            </w:pPr>
            <w:r>
              <w:rPr>
                <w:rFonts w:asciiTheme="majorHAnsi" w:hAnsiTheme="majorHAnsi" w:cs="Arial"/>
                <w:b/>
                <w:sz w:val="22"/>
                <w:szCs w:val="22"/>
              </w:rPr>
              <w:t>4</w:t>
            </w:r>
            <w:r w:rsidR="0035714E" w:rsidRPr="001F0050">
              <w:rPr>
                <w:rFonts w:asciiTheme="majorHAnsi" w:hAnsiTheme="majorHAnsi" w:cs="Arial"/>
                <w:b/>
                <w:sz w:val="22"/>
                <w:szCs w:val="22"/>
              </w:rPr>
              <w:t>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651FA6F7" w:rsidR="0035714E" w:rsidRPr="001F0050" w:rsidRDefault="008E1C73" w:rsidP="0035714E">
            <w:pPr>
              <w:jc w:val="center"/>
              <w:rPr>
                <w:rFonts w:asciiTheme="majorHAnsi" w:hAnsiTheme="majorHAnsi" w:cs="Arial"/>
                <w:i/>
                <w:sz w:val="22"/>
                <w:szCs w:val="22"/>
              </w:rPr>
            </w:pPr>
            <w:r>
              <w:rPr>
                <w:rFonts w:asciiTheme="majorHAnsi" w:hAnsiTheme="majorHAnsi" w:cs="Arial"/>
                <w:i/>
                <w:sz w:val="22"/>
                <w:szCs w:val="22"/>
              </w:rPr>
              <w:t>2</w:t>
            </w:r>
            <w:r w:rsidR="00D64B8A">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73F23521"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1</w:t>
            </w:r>
            <w:r w:rsidR="00D64B8A">
              <w:rPr>
                <w:rFonts w:asciiTheme="majorHAnsi" w:hAnsiTheme="majorHAnsi" w:cs="Arial"/>
                <w:i/>
                <w:sz w:val="22"/>
                <w:szCs w:val="22"/>
              </w:rPr>
              <w:t xml:space="preserve">5 </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0C0E910F" w:rsidR="0035714E" w:rsidRPr="001F0050" w:rsidRDefault="008E1C73" w:rsidP="0035714E">
            <w:pPr>
              <w:jc w:val="center"/>
              <w:rPr>
                <w:rFonts w:asciiTheme="majorHAnsi" w:hAnsiTheme="majorHAnsi" w:cs="Arial"/>
                <w:i/>
                <w:sz w:val="22"/>
                <w:szCs w:val="22"/>
              </w:rPr>
            </w:pPr>
            <w:r>
              <w:rPr>
                <w:rFonts w:asciiTheme="majorHAnsi" w:hAnsiTheme="majorHAnsi" w:cs="Arial"/>
                <w:i/>
                <w:sz w:val="22"/>
                <w:szCs w:val="22"/>
              </w:rPr>
              <w:t>5</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Pr="002B68D8"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5" w:name="_Toc22814577"/>
      <w:r w:rsidRPr="00050FE3">
        <w:lastRenderedPageBreak/>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lastRenderedPageBreak/>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00D34A78">
        <w:tc>
          <w:tcPr>
            <w:tcW w:w="5240" w:type="dxa"/>
          </w:tcPr>
          <w:p w14:paraId="06FF4943" w14:textId="4EC307EA" w:rsidR="00C20FA0" w:rsidRPr="00E56139" w:rsidRDefault="00E56139" w:rsidP="00C20FA0">
            <w:pPr>
              <w:jc w:val="both"/>
              <w:rPr>
                <w:rFonts w:ascii="Gill Sans MT" w:hAnsi="Gill Sans MT" w:cs="Arial"/>
                <w:bCs/>
                <w:szCs w:val="24"/>
              </w:rPr>
            </w:pPr>
            <w:r w:rsidRPr="00E56139">
              <w:rPr>
                <w:rFonts w:ascii="Gill Sans MT" w:hAnsi="Gill Sans MT" w:cs="Arial"/>
                <w:szCs w:val="24"/>
              </w:rPr>
              <w:t>[</w:t>
            </w:r>
            <w:r>
              <w:rPr>
                <w:rFonts w:ascii="Gill Sans MT" w:hAnsi="Gill Sans MT" w:cs="Arial"/>
                <w:szCs w:val="24"/>
              </w:rPr>
              <w:t>Breakdown as needed</w:t>
            </w:r>
            <w:r w:rsidRPr="00E56139">
              <w:rPr>
                <w:rFonts w:ascii="Gill Sans MT" w:hAnsi="Gill Sans MT" w:cs="Arial"/>
                <w:szCs w:val="24"/>
              </w:rPr>
              <w:t>]</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00D34A78">
        <w:tc>
          <w:tcPr>
            <w:tcW w:w="5240" w:type="dxa"/>
          </w:tcPr>
          <w:p w14:paraId="0E142504" w14:textId="2A6EBA2B" w:rsidR="004B2F24" w:rsidRPr="007708B1" w:rsidRDefault="00E56139" w:rsidP="00C20FA0">
            <w:pPr>
              <w:jc w:val="both"/>
              <w:rPr>
                <w:rFonts w:ascii="Gill Sans MT" w:hAnsi="Gill Sans MT" w:cs="Arial"/>
                <w:bCs/>
                <w:szCs w:val="24"/>
              </w:rPr>
            </w:pPr>
            <w:r w:rsidRPr="00E56139">
              <w:rPr>
                <w:rFonts w:ascii="Gill Sans MT" w:hAnsi="Gill Sans MT" w:cs="Arial"/>
                <w:szCs w:val="24"/>
              </w:rPr>
              <w:t>[</w:t>
            </w:r>
            <w:r>
              <w:rPr>
                <w:rFonts w:ascii="Gill Sans MT" w:hAnsi="Gill Sans MT" w:cs="Arial"/>
                <w:szCs w:val="24"/>
              </w:rPr>
              <w:t>Breakdown as needed</w:t>
            </w:r>
            <w:r w:rsidRPr="00E56139">
              <w:rPr>
                <w:rFonts w:ascii="Gill Sans MT" w:hAnsi="Gill Sans MT" w:cs="Arial"/>
                <w:szCs w:val="24"/>
              </w:rPr>
              <w:t>]</w:t>
            </w: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C20FA0" w:rsidRPr="004B2F24" w14:paraId="5871B494" w14:textId="77777777" w:rsidTr="00D34A78">
        <w:tc>
          <w:tcPr>
            <w:tcW w:w="5240" w:type="dxa"/>
          </w:tcPr>
          <w:p w14:paraId="43C45854" w14:textId="24904906" w:rsidR="00C20FA0" w:rsidRPr="007708B1" w:rsidRDefault="00E56139" w:rsidP="00C20FA0">
            <w:pPr>
              <w:jc w:val="both"/>
              <w:rPr>
                <w:rFonts w:ascii="Gill Sans MT" w:hAnsi="Gill Sans MT" w:cs="Arial"/>
                <w:bCs/>
                <w:i/>
                <w:szCs w:val="24"/>
              </w:rPr>
            </w:pPr>
            <w:r w:rsidRPr="00E56139">
              <w:rPr>
                <w:rFonts w:ascii="Gill Sans MT" w:hAnsi="Gill Sans MT" w:cs="Arial"/>
                <w:szCs w:val="24"/>
              </w:rPr>
              <w:t>[</w:t>
            </w:r>
            <w:r>
              <w:rPr>
                <w:rFonts w:ascii="Gill Sans MT" w:hAnsi="Gill Sans MT" w:cs="Arial"/>
                <w:szCs w:val="24"/>
              </w:rPr>
              <w:t>Breakdown as needed</w:t>
            </w:r>
            <w:r w:rsidRPr="00E56139">
              <w:rPr>
                <w:rFonts w:ascii="Gill Sans MT" w:hAnsi="Gill Sans MT" w:cs="Arial"/>
                <w:szCs w:val="24"/>
              </w:rPr>
              <w:t>]</w:t>
            </w:r>
          </w:p>
        </w:tc>
        <w:tc>
          <w:tcPr>
            <w:tcW w:w="546" w:type="dxa"/>
            <w:tcBorders>
              <w:right w:val="single" w:sz="4" w:space="0" w:color="808080" w:themeColor="background1" w:themeShade="80"/>
            </w:tcBorders>
          </w:tcPr>
          <w:p w14:paraId="5E7D77F0" w14:textId="60E3A797"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E6F21D6" w14:textId="77777777" w:rsidR="00C20FA0" w:rsidRPr="00387A29" w:rsidRDefault="00C20FA0" w:rsidP="004B2F24">
            <w:pPr>
              <w:jc w:val="both"/>
              <w:rPr>
                <w:rFonts w:ascii="Gill Sans MT" w:hAnsi="Gill Sans MT" w:cs="Arial"/>
                <w:bCs/>
                <w:szCs w:val="24"/>
              </w:rPr>
            </w:pPr>
          </w:p>
        </w:tc>
      </w:tr>
      <w:tr w:rsidR="004B2F24" w:rsidRPr="004B2F24" w14:paraId="3E80AF74" w14:textId="77777777" w:rsidTr="00D34A78">
        <w:tc>
          <w:tcPr>
            <w:tcW w:w="5240" w:type="dxa"/>
          </w:tcPr>
          <w:p w14:paraId="76D2673F" w14:textId="5D6B1718" w:rsidR="004B2F24" w:rsidRPr="007708B1" w:rsidRDefault="00E56139"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00387A29">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004A3259">
        <w:tc>
          <w:tcPr>
            <w:tcW w:w="9174" w:type="dxa"/>
            <w:vAlign w:val="center"/>
          </w:tcPr>
          <w:p w14:paraId="0C7214C5" w14:textId="7DF7239D" w:rsidR="009F21C9" w:rsidRPr="004B31F4" w:rsidRDefault="00E56139" w:rsidP="00330ACD">
            <w:pPr>
              <w:pStyle w:val="ListParagraph"/>
              <w:numPr>
                <w:ilvl w:val="0"/>
                <w:numId w:val="8"/>
              </w:numPr>
            </w:pPr>
            <w:r>
              <w:t>[</w:t>
            </w:r>
            <w:r w:rsidR="009114DF">
              <w:t>set the questions you’ll score the bid against</w:t>
            </w:r>
            <w:r>
              <w:t>]</w:t>
            </w:r>
          </w:p>
          <w:p w14:paraId="1202B1F7" w14:textId="77777777" w:rsidR="009F21C9" w:rsidRPr="004B31F4" w:rsidRDefault="009F21C9" w:rsidP="009F21C9">
            <w:pPr>
              <w:pStyle w:val="ListParagraph"/>
              <w:ind w:left="360"/>
            </w:pPr>
          </w:p>
          <w:p w14:paraId="67A964CB" w14:textId="5AE1D3A1" w:rsidR="009F21C9" w:rsidRPr="004B31F4" w:rsidRDefault="009F21C9" w:rsidP="009F21C9"/>
        </w:tc>
      </w:tr>
      <w:tr w:rsidR="00F01E6B" w:rsidRPr="00F01E6B" w14:paraId="08FCC801" w14:textId="77777777" w:rsidTr="00387A29">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Method Statement and approach</w:t>
            </w:r>
          </w:p>
        </w:tc>
      </w:tr>
      <w:tr w:rsidR="00F01E6B" w:rsidRPr="00F01E6B" w14:paraId="3B127F17" w14:textId="77777777" w:rsidTr="00F01E6B">
        <w:tc>
          <w:tcPr>
            <w:tcW w:w="9174" w:type="dxa"/>
          </w:tcPr>
          <w:p w14:paraId="647A02AF" w14:textId="6BFD972A" w:rsidR="004B31F4" w:rsidRPr="004B31F4" w:rsidRDefault="00E56139" w:rsidP="00330ACD">
            <w:pPr>
              <w:pStyle w:val="ListParagraph"/>
              <w:numPr>
                <w:ilvl w:val="0"/>
                <w:numId w:val="13"/>
              </w:numPr>
              <w:ind w:left="360"/>
            </w:pPr>
            <w:r>
              <w:rPr>
                <w:rFonts w:ascii="Gill Sans MT" w:hAnsi="Gill Sans MT" w:cs="Arial"/>
                <w:szCs w:val="24"/>
              </w:rPr>
              <w:t>[</w:t>
            </w:r>
            <w:r w:rsidR="009114DF">
              <w:t>set the questions you’ll score the bid against</w:t>
            </w:r>
            <w:r>
              <w:rPr>
                <w:rFonts w:ascii="Gill Sans MT" w:hAnsi="Gill Sans MT" w:cs="Arial"/>
                <w:szCs w:val="24"/>
              </w:rPr>
              <w:t>]</w:t>
            </w:r>
          </w:p>
          <w:p w14:paraId="58F2772F" w14:textId="6856C96B" w:rsidR="002056BD" w:rsidRPr="004B31F4" w:rsidRDefault="002056BD" w:rsidP="009F21C9">
            <w:pPr>
              <w:pStyle w:val="ListParagraph"/>
              <w:ind w:left="0"/>
              <w:rPr>
                <w:rFonts w:ascii="Gill Sans MT" w:hAnsi="Gill Sans MT" w:cs="Arial"/>
                <w:szCs w:val="24"/>
              </w:rPr>
            </w:pPr>
          </w:p>
          <w:p w14:paraId="0ED5269E" w14:textId="77777777" w:rsidR="00387A29" w:rsidRPr="004B31F4" w:rsidRDefault="00387A29" w:rsidP="00F01E6B">
            <w:pPr>
              <w:jc w:val="both"/>
              <w:rPr>
                <w:rFonts w:ascii="Gill Sans MT" w:hAnsi="Gill Sans MT" w:cs="Arial"/>
                <w:szCs w:val="24"/>
              </w:rPr>
            </w:pPr>
          </w:p>
          <w:p w14:paraId="649173C0" w14:textId="77777777" w:rsidR="00387A29" w:rsidRPr="004B31F4" w:rsidRDefault="00387A29" w:rsidP="00F01E6B">
            <w:pPr>
              <w:jc w:val="both"/>
              <w:rPr>
                <w:rFonts w:ascii="Gill Sans MT" w:hAnsi="Gill Sans MT" w:cs="Arial"/>
                <w:szCs w:val="24"/>
              </w:rPr>
            </w:pPr>
          </w:p>
        </w:tc>
      </w:tr>
      <w:tr w:rsidR="00F01E6B" w:rsidRPr="00F01E6B" w14:paraId="269ED6AE" w14:textId="77777777" w:rsidTr="00387A29">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References / Case studies</w:t>
            </w:r>
          </w:p>
        </w:tc>
      </w:tr>
      <w:tr w:rsidR="00F01E6B" w:rsidRPr="00F01E6B" w14:paraId="7F73EAA2" w14:textId="77777777" w:rsidTr="00F01E6B">
        <w:tc>
          <w:tcPr>
            <w:tcW w:w="9174" w:type="dxa"/>
          </w:tcPr>
          <w:p w14:paraId="6CF98FA5" w14:textId="7A9D07E3" w:rsidR="00387A29" w:rsidRPr="004B31F4" w:rsidRDefault="00164ABC" w:rsidP="00330ACD">
            <w:pPr>
              <w:pStyle w:val="ListParagraph"/>
              <w:numPr>
                <w:ilvl w:val="0"/>
                <w:numId w:val="14"/>
              </w:numPr>
              <w:jc w:val="both"/>
              <w:rPr>
                <w:rFonts w:ascii="Gill Sans MT" w:hAnsi="Gill Sans MT" w:cs="Arial"/>
                <w:szCs w:val="24"/>
              </w:rPr>
            </w:pPr>
            <w:r>
              <w:rPr>
                <w:rFonts w:ascii="Gill Sans MT" w:hAnsi="Gill Sans MT" w:cs="Arial"/>
                <w:szCs w:val="24"/>
              </w:rPr>
              <w:t>[</w:t>
            </w:r>
            <w:r w:rsidR="009114DF">
              <w:t>set the questions you’ll score the bid against</w:t>
            </w:r>
            <w:r>
              <w:rPr>
                <w:rFonts w:ascii="Gill Sans MT" w:hAnsi="Gill Sans MT" w:cs="Arial"/>
                <w:szCs w:val="24"/>
              </w:rPr>
              <w:t>]</w:t>
            </w:r>
          </w:p>
          <w:p w14:paraId="3D089D1C" w14:textId="77777777" w:rsidR="00387A29" w:rsidRPr="004B31F4" w:rsidRDefault="00387A29" w:rsidP="00F01E6B">
            <w:pPr>
              <w:jc w:val="both"/>
              <w:rPr>
                <w:rFonts w:ascii="Gill Sans MT" w:hAnsi="Gill Sans MT" w:cs="Arial"/>
                <w:szCs w:val="24"/>
              </w:rPr>
            </w:pPr>
          </w:p>
          <w:p w14:paraId="3CE589A3" w14:textId="77777777" w:rsidR="00387A29" w:rsidRPr="004B31F4" w:rsidRDefault="00387A29" w:rsidP="00F01E6B">
            <w:pPr>
              <w:jc w:val="both"/>
              <w:rPr>
                <w:rFonts w:ascii="Gill Sans MT" w:hAnsi="Gill Sans MT" w:cs="Arial"/>
                <w:szCs w:val="24"/>
              </w:rPr>
            </w:pPr>
          </w:p>
          <w:p w14:paraId="0E8011DE" w14:textId="77777777" w:rsidR="00387A29" w:rsidRPr="004B31F4" w:rsidRDefault="00387A29" w:rsidP="00F01E6B">
            <w:pPr>
              <w:jc w:val="both"/>
              <w:rPr>
                <w:rFonts w:ascii="Gill Sans MT" w:hAnsi="Gill Sans MT" w:cs="Arial"/>
                <w:szCs w:val="24"/>
              </w:rPr>
            </w:pPr>
          </w:p>
          <w:p w14:paraId="369EA6DB" w14:textId="77777777" w:rsidR="00387A29" w:rsidRPr="004B31F4" w:rsidRDefault="00387A29" w:rsidP="00F01E6B">
            <w:pPr>
              <w:jc w:val="both"/>
              <w:rPr>
                <w:rFonts w:ascii="Gill Sans MT" w:hAnsi="Gill Sans MT" w:cs="Arial"/>
                <w:szCs w:val="24"/>
              </w:rPr>
            </w:pPr>
          </w:p>
        </w:tc>
      </w:tr>
    </w:tbl>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003D5288">
      <w:pPr>
        <w:jc w:val="both"/>
        <w:rPr>
          <w:rFonts w:ascii="Gill Sans MT" w:hAnsi="Gill Sans MT" w:cs="Arial"/>
          <w:szCs w:val="24"/>
        </w:rPr>
      </w:pPr>
    </w:p>
    <w:p w14:paraId="1A55625D" w14:textId="77777777" w:rsidR="008E0A1E" w:rsidRPr="00480057" w:rsidRDefault="008E0A1E" w:rsidP="003D5288">
      <w:pPr>
        <w:jc w:val="both"/>
        <w:rPr>
          <w:rFonts w:ascii="Gill Sans MT" w:hAnsi="Gill Sans MT" w:cs="Arial"/>
          <w:szCs w:val="24"/>
        </w:rPr>
      </w:pPr>
    </w:p>
    <w:p w14:paraId="796068AD" w14:textId="5A38475C" w:rsidR="009165D7" w:rsidRDefault="009165D7" w:rsidP="009165D7">
      <w:pPr>
        <w:pStyle w:val="Heading1"/>
        <w:numPr>
          <w:ilvl w:val="0"/>
          <w:numId w:val="1"/>
        </w:numPr>
      </w:pPr>
      <w:bookmarkStart w:id="7" w:name="_Toc22814579"/>
      <w:r w:rsidRPr="009165D7">
        <w:lastRenderedPageBreak/>
        <w:t>Terms and Conditions of Contract for Services</w:t>
      </w:r>
      <w:bookmarkEnd w:id="7"/>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w:t>
            </w:r>
            <w:proofErr w:type="gramStart"/>
            <w:r>
              <w:rPr>
                <w:rFonts w:asciiTheme="majorHAnsi" w:hAnsiTheme="majorHAnsi" w:cs="Arial"/>
                <w:szCs w:val="24"/>
              </w:rPr>
              <w:t>explosion</w:t>
            </w:r>
            <w:proofErr w:type="gramEnd"/>
            <w:r>
              <w:rPr>
                <w:rFonts w:asciiTheme="majorHAnsi" w:hAnsiTheme="majorHAnsi" w:cs="Arial"/>
                <w:szCs w:val="24"/>
              </w:rPr>
              <w:t xml:space="preserve">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lastRenderedPageBreak/>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w:t>
            </w:r>
            <w:proofErr w:type="gramStart"/>
            <w:r w:rsidRPr="005D62BB">
              <w:rPr>
                <w:rFonts w:asciiTheme="majorHAnsi" w:hAnsiTheme="majorHAnsi" w:cs="Arial"/>
                <w:szCs w:val="24"/>
              </w:rPr>
              <w:t>description</w:t>
            </w:r>
            <w:proofErr w:type="gramEnd"/>
            <w:r w:rsidRPr="005D62BB">
              <w:rPr>
                <w:rFonts w:asciiTheme="majorHAnsi" w:hAnsiTheme="majorHAnsi" w:cs="Arial"/>
                <w:szCs w:val="24"/>
              </w:rPr>
              <w:t xml:space="preserve">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w:t>
            </w:r>
            <w:proofErr w:type="gramStart"/>
            <w:r w:rsidRPr="005D62BB">
              <w:rPr>
                <w:rFonts w:asciiTheme="majorHAnsi" w:hAnsiTheme="majorHAnsi" w:cs="Arial"/>
                <w:szCs w:val="24"/>
              </w:rPr>
              <w:t>consultants</w:t>
            </w:r>
            <w:proofErr w:type="gramEnd"/>
            <w:r w:rsidRPr="005D62BB">
              <w:rPr>
                <w:rFonts w:asciiTheme="majorHAnsi" w:hAnsiTheme="majorHAnsi" w:cs="Arial"/>
                <w:szCs w:val="24"/>
              </w:rPr>
              <w:t xml:space="preserve">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provide all equipment, tools and vehicles and other items as are required to provide the Services.</w:t>
      </w:r>
      <w:bookmarkEnd w:id="10"/>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take effect on the date specified in Award Letter and shall expire on the Expiry </w:t>
      </w:r>
      <w:proofErr w:type="gramStart"/>
      <w:r w:rsidRPr="005D62BB">
        <w:rPr>
          <w:rFonts w:asciiTheme="majorHAnsi" w:hAnsiTheme="majorHAnsi" w:cs="Arial"/>
          <w:b w:val="0"/>
          <w:sz w:val="24"/>
          <w:szCs w:val="24"/>
        </w:rPr>
        <w:t>Date, unless</w:t>
      </w:r>
      <w:proofErr w:type="gramEnd"/>
      <w:r w:rsidRPr="005D62BB">
        <w:rPr>
          <w:rFonts w:asciiTheme="majorHAnsi" w:hAnsiTheme="majorHAnsi" w:cs="Arial"/>
          <w:b w:val="0"/>
          <w:sz w:val="24"/>
          <w:szCs w:val="24"/>
        </w:rPr>
        <w:t xml:space="preserve">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w:t>
      </w:r>
      <w:proofErr w:type="gramStart"/>
      <w:r w:rsidRPr="005D62BB">
        <w:rPr>
          <w:rFonts w:asciiTheme="majorHAnsi" w:hAnsiTheme="majorHAnsi" w:cs="Arial"/>
          <w:b w:val="0"/>
          <w:sz w:val="24"/>
          <w:szCs w:val="24"/>
        </w:rPr>
        <w:t>in order to</w:t>
      </w:r>
      <w:proofErr w:type="gramEnd"/>
      <w:r w:rsidRPr="005D62BB">
        <w:rPr>
          <w:rFonts w:asciiTheme="majorHAnsi" w:hAnsiTheme="majorHAnsi" w:cs="Arial"/>
          <w:b w:val="0"/>
          <w:sz w:val="24"/>
          <w:szCs w:val="24"/>
        </w:rPr>
        <w:t xml:space="preserve">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by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w:t>
      </w:r>
      <w:proofErr w:type="gramStart"/>
      <w:r w:rsidRPr="005D62BB">
        <w:rPr>
          <w:rFonts w:asciiTheme="majorHAnsi" w:hAnsiTheme="majorHAnsi" w:cs="Arial"/>
          <w:b w:val="0"/>
          <w:sz w:val="24"/>
          <w:szCs w:val="24"/>
        </w:rPr>
        <w:t>safe</w:t>
      </w:r>
      <w:proofErr w:type="gramEnd"/>
      <w:r w:rsidRPr="005D62BB">
        <w:rPr>
          <w:rFonts w:asciiTheme="majorHAnsi" w:hAnsiTheme="majorHAnsi" w:cs="Arial"/>
          <w:b w:val="0"/>
          <w:sz w:val="24"/>
          <w:szCs w:val="24"/>
        </w:rPr>
        <w:t xml:space="preserv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w:t>
      </w:r>
      <w:proofErr w:type="gramStart"/>
      <w:r w:rsidRPr="005D62BB">
        <w:rPr>
          <w:rFonts w:asciiTheme="majorHAnsi" w:hAnsiTheme="majorHAnsi" w:cs="Arial"/>
          <w:b w:val="0"/>
          <w:sz w:val="24"/>
          <w:szCs w:val="24"/>
        </w:rPr>
        <w:t>manner in which</w:t>
      </w:r>
      <w:proofErr w:type="gramEnd"/>
      <w:r w:rsidRPr="005D62BB">
        <w:rPr>
          <w:rFonts w:asciiTheme="majorHAnsi" w:hAnsiTheme="majorHAnsi" w:cs="Arial"/>
          <w:b w:val="0"/>
          <w:sz w:val="24"/>
          <w:szCs w:val="24"/>
        </w:rPr>
        <w:t xml:space="preserve">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lastRenderedPageBreak/>
        <w:t>Staff and Key Personnel</w:t>
      </w:r>
      <w:bookmarkEnd w:id="17"/>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w:t>
      </w:r>
      <w:proofErr w:type="gramStart"/>
      <w:r w:rsidRPr="005D62BB">
        <w:rPr>
          <w:rFonts w:asciiTheme="majorHAnsi" w:hAnsiTheme="majorHAnsi" w:cs="Arial"/>
          <w:b w:val="0"/>
          <w:sz w:val="24"/>
          <w:szCs w:val="24"/>
        </w:rPr>
        <w:t>novation</w:t>
      </w:r>
      <w:proofErr w:type="gramEnd"/>
      <w:r w:rsidRPr="005D62BB">
        <w:rPr>
          <w:rFonts w:asciiTheme="majorHAnsi" w:hAnsiTheme="majorHAnsi" w:cs="Arial"/>
          <w:b w:val="0"/>
          <w:sz w:val="24"/>
          <w:szCs w:val="24"/>
        </w:rPr>
        <w:t xml:space="preserve">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lastRenderedPageBreak/>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w:t>
      </w:r>
      <w:proofErr w:type="gramStart"/>
      <w:r w:rsidRPr="005D62BB">
        <w:rPr>
          <w:rFonts w:asciiTheme="majorHAnsi" w:hAnsiTheme="majorHAnsi" w:cs="Arial"/>
          <w:b w:val="0"/>
          <w:sz w:val="24"/>
          <w:szCs w:val="24"/>
        </w:rPr>
        <w:t>non-exclusive</w:t>
      </w:r>
      <w:proofErr w:type="gramEnd"/>
      <w:r w:rsidRPr="005D62BB">
        <w:rPr>
          <w:rFonts w:asciiTheme="majorHAnsi" w:hAnsiTheme="majorHAnsi"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w:t>
      </w:r>
      <w:proofErr w:type="gramStart"/>
      <w:r w:rsidRPr="005D62BB">
        <w:rPr>
          <w:rFonts w:asciiTheme="majorHAnsi" w:hAnsiTheme="majorHAnsi" w:cs="Arial"/>
          <w:b w:val="0"/>
          <w:sz w:val="24"/>
          <w:szCs w:val="24"/>
        </w:rPr>
        <w:t>as a result of</w:t>
      </w:r>
      <w:proofErr w:type="gramEnd"/>
      <w:r w:rsidRPr="005D62BB">
        <w:rPr>
          <w:rFonts w:asciiTheme="majorHAnsi" w:hAnsiTheme="majorHAnsi" w:cs="Arial"/>
          <w:b w:val="0"/>
          <w:sz w:val="24"/>
          <w:szCs w:val="24"/>
        </w:rPr>
        <w:t xml:space="preserve">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asciiTheme="majorHAnsi" w:hAnsiTheme="majorHAnsi" w:cs="Arial"/>
          <w:b w:val="0"/>
          <w:sz w:val="24"/>
          <w:szCs w:val="24"/>
        </w:rPr>
        <w:t>third party</w:t>
      </w:r>
      <w:proofErr w:type="gramEnd"/>
      <w:r w:rsidRPr="005D62BB">
        <w:rPr>
          <w:rFonts w:asciiTheme="majorHAnsi" w:hAnsiTheme="majorHAnsi" w:cs="Arial"/>
          <w:b w:val="0"/>
          <w:sz w:val="24"/>
          <w:szCs w:val="24"/>
        </w:rPr>
        <w:t xml:space="preserve">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asciiTheme="majorHAnsi" w:hAnsiTheme="majorHAnsi" w:cs="Arial"/>
          <w:sz w:val="24"/>
          <w:szCs w:val="24"/>
        </w:rPr>
        <w:t>as a result of</w:t>
      </w:r>
      <w:proofErr w:type="gramEnd"/>
      <w:r w:rsidRPr="005D62BB">
        <w:rPr>
          <w:rFonts w:asciiTheme="majorHAnsi" w:hAnsiTheme="majorHAnsi" w:cs="Arial"/>
          <w:sz w:val="24"/>
          <w:szCs w:val="24"/>
        </w:rPr>
        <w:t xml:space="preserve">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w:t>
      </w:r>
      <w:proofErr w:type="gramStart"/>
      <w:r w:rsidRPr="005D62BB">
        <w:rPr>
          <w:rFonts w:asciiTheme="majorHAnsi" w:hAnsiTheme="majorHAnsi" w:cs="Arial"/>
          <w:sz w:val="24"/>
          <w:szCs w:val="24"/>
        </w:rPr>
        <w:t>irrevocable</w:t>
      </w:r>
      <w:proofErr w:type="gramEnd"/>
      <w:r w:rsidRPr="005D62BB">
        <w:rPr>
          <w:rFonts w:asciiTheme="majorHAnsi" w:hAnsiTheme="majorHAnsi" w:cs="Arial"/>
          <w:sz w:val="24"/>
          <w:szCs w:val="24"/>
        </w:rPr>
        <w:t xml:space="preserv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 xml:space="preserve">any intellectual property rights created during the </w:t>
      </w:r>
      <w:proofErr w:type="gramStart"/>
      <w:r w:rsidRPr="00486245">
        <w:rPr>
          <w:rFonts w:asciiTheme="majorHAnsi" w:hAnsiTheme="majorHAnsi" w:cs="Arial"/>
          <w:sz w:val="24"/>
          <w:szCs w:val="24"/>
        </w:rPr>
        <w:t>Term</w:t>
      </w:r>
      <w:proofErr w:type="gramEnd"/>
      <w:r w:rsidRPr="00486245">
        <w:rPr>
          <w:rFonts w:asciiTheme="majorHAnsi" w:hAnsiTheme="majorHAnsi" w:cs="Arial"/>
          <w:sz w:val="24"/>
          <w:szCs w:val="24"/>
        </w:rPr>
        <w:t xml:space="preserve">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asciiTheme="majorHAnsi" w:hAnsiTheme="majorHAnsi" w:cs="Arial"/>
          <w:b w:val="0"/>
          <w:sz w:val="24"/>
          <w:szCs w:val="24"/>
        </w:rPr>
        <w:t>Information</w:t>
      </w:r>
      <w:proofErr w:type="gramEnd"/>
      <w:r w:rsidRPr="005D62BB">
        <w:rPr>
          <w:rFonts w:asciiTheme="majorHAnsi" w:hAnsiTheme="majorHAnsi" w:cs="Arial"/>
          <w:b w:val="0"/>
          <w:sz w:val="24"/>
          <w:szCs w:val="24"/>
        </w:rPr>
        <w:t xml:space="preserve">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w:t>
      </w:r>
      <w:proofErr w:type="gramStart"/>
      <w:r w:rsidRPr="005D62BB">
        <w:rPr>
          <w:rFonts w:asciiTheme="majorHAnsi" w:hAnsiTheme="majorHAnsi" w:cs="Arial"/>
          <w:sz w:val="24"/>
          <w:szCs w:val="24"/>
        </w:rPr>
        <w:t>possession  or</w:t>
      </w:r>
      <w:proofErr w:type="gramEnd"/>
      <w:r w:rsidRPr="005D62BB">
        <w:rPr>
          <w:rFonts w:asciiTheme="majorHAnsi" w:hAnsiTheme="majorHAnsi" w:cs="Arial"/>
          <w:sz w:val="24"/>
          <w:szCs w:val="24"/>
        </w:rPr>
        <w:t xml:space="preserve">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w:t>
      </w:r>
      <w:proofErr w:type="gramStart"/>
      <w:r>
        <w:rPr>
          <w:rFonts w:asciiTheme="majorHAnsi" w:hAnsiTheme="majorHAnsi" w:cs="Arial"/>
          <w:b w:val="0"/>
          <w:sz w:val="24"/>
          <w:szCs w:val="24"/>
        </w:rPr>
        <w:t>Controller</w:t>
      </w:r>
      <w:proofErr w:type="gramEnd"/>
      <w:r>
        <w:rPr>
          <w:rFonts w:asciiTheme="majorHAnsi" w:hAnsiTheme="majorHAnsi" w:cs="Arial"/>
          <w:b w:val="0"/>
          <w:sz w:val="24"/>
          <w:szCs w:val="24"/>
        </w:rPr>
        <w:t xml:space="preserve">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proofErr w:type="gramStart"/>
      <w:r w:rsidR="00D23F8F">
        <w:rPr>
          <w:rFonts w:asciiTheme="majorHAnsi" w:hAnsiTheme="majorHAnsi" w:cs="Arial"/>
          <w:sz w:val="24"/>
          <w:szCs w:val="24"/>
        </w:rPr>
        <w:t>Council</w:t>
      </w:r>
      <w:r w:rsidR="00054A79">
        <w:rPr>
          <w:rFonts w:asciiTheme="majorHAnsi" w:hAnsiTheme="majorHAnsi" w:cs="Arial"/>
          <w:sz w:val="24"/>
          <w:szCs w:val="24"/>
        </w:rPr>
        <w:t>;</w:t>
      </w:r>
      <w:proofErr w:type="gramEnd"/>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asciiTheme="majorHAnsi" w:hAnsiTheme="majorHAnsi" w:cs="Arial"/>
          <w:sz w:val="24"/>
          <w:szCs w:val="24"/>
        </w:rPr>
        <w:t>DPA;</w:t>
      </w:r>
      <w:proofErr w:type="gramEnd"/>
      <w:r w:rsidRPr="005D62BB">
        <w:rPr>
          <w:rFonts w:asciiTheme="majorHAnsi" w:hAnsiTheme="majorHAnsi" w:cs="Arial"/>
          <w:sz w:val="24"/>
          <w:szCs w:val="24"/>
        </w:rPr>
        <w:t xml:space="preserve">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lastRenderedPageBreak/>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w:t>
      </w:r>
      <w:proofErr w:type="gramStart"/>
      <w:r w:rsidRPr="005D62BB">
        <w:rPr>
          <w:rFonts w:asciiTheme="majorHAnsi" w:hAnsiTheme="majorHAnsi" w:cs="Arial"/>
          <w:b w:val="0"/>
          <w:sz w:val="24"/>
          <w:szCs w:val="24"/>
        </w:rPr>
        <w:t>cost</w:t>
      </w:r>
      <w:proofErr w:type="gramEnd"/>
      <w:r w:rsidRPr="005D62BB">
        <w:rPr>
          <w:rFonts w:asciiTheme="majorHAnsi" w:hAnsiTheme="majorHAnsi" w:cs="Arial"/>
          <w:b w:val="0"/>
          <w:sz w:val="24"/>
          <w:szCs w:val="24"/>
        </w:rPr>
        <w:t xml:space="preserve">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 xml:space="preserve">the aggregate liability of the Supplier in respect of all defaults, claims, </w:t>
      </w:r>
      <w:proofErr w:type="gramStart"/>
      <w:r w:rsidRPr="005D62BB">
        <w:rPr>
          <w:rFonts w:asciiTheme="majorHAnsi" w:hAnsiTheme="majorHAnsi" w:cs="Arial"/>
          <w:sz w:val="24"/>
          <w:szCs w:val="24"/>
        </w:rPr>
        <w:t>losses</w:t>
      </w:r>
      <w:proofErr w:type="gramEnd"/>
      <w:r w:rsidRPr="005D62BB">
        <w:rPr>
          <w:rFonts w:asciiTheme="majorHAnsi" w:hAnsiTheme="majorHAnsi"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any indirect, </w:t>
      </w:r>
      <w:proofErr w:type="gramStart"/>
      <w:r w:rsidRPr="005D62BB">
        <w:rPr>
          <w:rFonts w:asciiTheme="majorHAnsi" w:hAnsiTheme="majorHAnsi" w:cs="Arial"/>
          <w:sz w:val="24"/>
          <w:szCs w:val="24"/>
        </w:rPr>
        <w:t>special</w:t>
      </w:r>
      <w:proofErr w:type="gramEnd"/>
      <w:r w:rsidRPr="005D62BB">
        <w:rPr>
          <w:rFonts w:asciiTheme="majorHAnsi" w:hAnsiTheme="majorHAnsi" w:cs="Arial"/>
          <w:sz w:val="24"/>
          <w:szCs w:val="24"/>
        </w:rPr>
        <w:t xml:space="preserve">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Nothing in the Agreement shall be construed to limit or exclude either Party's liability for:</w:t>
      </w:r>
      <w:bookmarkEnd w:id="41"/>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lastRenderedPageBreak/>
        <w:t>Termination</w:t>
      </w:r>
      <w:bookmarkEnd w:id="44"/>
    </w:p>
    <w:bookmarkEnd w:id="45"/>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t>
      </w:r>
      <w:proofErr w:type="gramStart"/>
      <w:r w:rsidRPr="005D62BB">
        <w:rPr>
          <w:rFonts w:asciiTheme="majorHAnsi" w:hAnsiTheme="majorHAnsi" w:cs="Arial"/>
          <w:sz w:val="24"/>
          <w:szCs w:val="24"/>
        </w:rPr>
        <w:t>without</w:t>
      </w:r>
      <w:proofErr w:type="gramEnd"/>
      <w:r w:rsidRPr="005D62BB">
        <w:rPr>
          <w:rFonts w:asciiTheme="majorHAnsi" w:hAnsiTheme="majorHAnsi" w:cs="Arial"/>
          <w:sz w:val="24"/>
          <w:szCs w:val="24"/>
        </w:rPr>
        <w:t xml:space="preserve">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asciiTheme="majorHAnsi" w:hAnsiTheme="majorHAnsi" w:cs="Arial"/>
          <w:sz w:val="24"/>
          <w:szCs w:val="24"/>
        </w:rPr>
        <w:t>Agreement;</w:t>
      </w:r>
      <w:proofErr w:type="gramEnd"/>
      <w:r w:rsidRPr="005D62BB">
        <w:rPr>
          <w:rFonts w:asciiTheme="majorHAnsi" w:hAnsiTheme="majorHAnsi" w:cs="Arial"/>
          <w:sz w:val="24"/>
          <w:szCs w:val="24"/>
        </w:rPr>
        <w:t xml:space="preserve">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7"/>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fails to comply with legal obligations in the fields of environmental, </w:t>
      </w:r>
      <w:proofErr w:type="gramStart"/>
      <w:r w:rsidRPr="005D62BB">
        <w:rPr>
          <w:rFonts w:asciiTheme="majorHAnsi" w:hAnsiTheme="majorHAnsi" w:cs="Arial"/>
          <w:sz w:val="24"/>
          <w:szCs w:val="24"/>
        </w:rPr>
        <w:t>social</w:t>
      </w:r>
      <w:proofErr w:type="gramEnd"/>
      <w:r w:rsidRPr="005D62BB">
        <w:rPr>
          <w:rFonts w:asciiTheme="majorHAnsi" w:hAnsiTheme="majorHAnsi" w:cs="Arial"/>
          <w:sz w:val="24"/>
          <w:szCs w:val="24"/>
        </w:rPr>
        <w:t xml:space="preserve"> or labour law.</w:t>
      </w:r>
      <w:bookmarkEnd w:id="49"/>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w:t>
      </w:r>
      <w:proofErr w:type="gramStart"/>
      <w:r w:rsidRPr="005D62BB">
        <w:rPr>
          <w:rFonts w:asciiTheme="majorHAnsi" w:hAnsiTheme="majorHAnsi" w:cs="Arial"/>
          <w:sz w:val="24"/>
          <w:szCs w:val="24"/>
        </w:rPr>
        <w:t>information</w:t>
      </w:r>
      <w:proofErr w:type="gramEnd"/>
      <w:r w:rsidRPr="005D62BB">
        <w:rPr>
          <w:rFonts w:asciiTheme="majorHAnsi" w:hAnsiTheme="majorHAnsi" w:cs="Arial"/>
          <w:sz w:val="24"/>
          <w:szCs w:val="24"/>
        </w:rPr>
        <w:t xml:space="preserve">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lastRenderedPageBreak/>
        <w:t>Compliance</w:t>
      </w:r>
      <w:bookmarkEnd w:id="53"/>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w:t>
      </w:r>
      <w:proofErr w:type="gramStart"/>
      <w:r w:rsidRPr="005D62BB">
        <w:rPr>
          <w:rFonts w:asciiTheme="majorHAnsi" w:hAnsiTheme="majorHAnsi" w:cs="Arial"/>
          <w:b w:val="0"/>
          <w:sz w:val="24"/>
          <w:szCs w:val="24"/>
        </w:rPr>
        <w:t>premises</w:t>
      </w:r>
      <w:proofErr w:type="gramEnd"/>
      <w:r w:rsidRPr="005D62BB">
        <w:rPr>
          <w:rFonts w:asciiTheme="majorHAnsi" w:hAnsiTheme="majorHAnsi" w:cs="Arial"/>
          <w:b w:val="0"/>
          <w:sz w:val="24"/>
          <w:szCs w:val="24"/>
        </w:rPr>
        <w:t xml:space="preserve">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w:t>
      </w:r>
      <w:proofErr w:type="gramStart"/>
      <w:r w:rsidRPr="005D62BB">
        <w:rPr>
          <w:rFonts w:asciiTheme="majorHAnsi" w:hAnsiTheme="majorHAnsi" w:cs="Arial"/>
          <w:b w:val="0"/>
          <w:sz w:val="24"/>
          <w:szCs w:val="24"/>
        </w:rPr>
        <w:t>licences</w:t>
      </w:r>
      <w:proofErr w:type="gramEnd"/>
      <w:r w:rsidRPr="005D62BB">
        <w:rPr>
          <w:rFonts w:asciiTheme="majorHAnsi" w:hAnsiTheme="majorHAnsi"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w:t>
      </w:r>
      <w:proofErr w:type="gramStart"/>
      <w:r w:rsidRPr="005D62BB">
        <w:rPr>
          <w:rFonts w:asciiTheme="majorHAnsi" w:hAnsiTheme="majorHAnsi" w:cs="Arial"/>
          <w:b w:val="0"/>
          <w:sz w:val="24"/>
          <w:szCs w:val="24"/>
        </w:rPr>
        <w:t>representations</w:t>
      </w:r>
      <w:proofErr w:type="gramEnd"/>
      <w:r w:rsidRPr="005D62BB">
        <w:rPr>
          <w:rFonts w:asciiTheme="majorHAnsi" w:hAnsiTheme="majorHAnsi" w:cs="Arial"/>
          <w:b w:val="0"/>
          <w:sz w:val="24"/>
          <w:szCs w:val="24"/>
        </w:rPr>
        <w:t xml:space="preserve">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not constitute or imply any partnership, joint venture, agency, fiduciary </w:t>
      </w:r>
      <w:proofErr w:type="gramStart"/>
      <w:r w:rsidRPr="005D62BB">
        <w:rPr>
          <w:rFonts w:asciiTheme="majorHAnsi" w:hAnsiTheme="majorHAnsi" w:cs="Arial"/>
          <w:b w:val="0"/>
          <w:sz w:val="24"/>
          <w:szCs w:val="24"/>
        </w:rPr>
        <w:t>relationship</w:t>
      </w:r>
      <w:proofErr w:type="gramEnd"/>
      <w:r w:rsidRPr="005D62BB">
        <w:rPr>
          <w:rFonts w:asciiTheme="majorHAnsi" w:hAnsiTheme="majorHAnsi"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w:t>
      </w:r>
      <w:proofErr w:type="gramStart"/>
      <w:r w:rsidRPr="005D62BB">
        <w:rPr>
          <w:rFonts w:asciiTheme="majorHAnsi" w:hAnsiTheme="majorHAnsi" w:cs="Arial"/>
          <w:b w:val="0"/>
          <w:sz w:val="24"/>
          <w:szCs w:val="24"/>
        </w:rPr>
        <w:t>statute</w:t>
      </w:r>
      <w:proofErr w:type="gramEnd"/>
      <w:r w:rsidRPr="005D62BB">
        <w:rPr>
          <w:rFonts w:asciiTheme="majorHAnsi" w:hAnsiTheme="majorHAnsi" w:cs="Arial"/>
          <w:b w:val="0"/>
          <w:sz w:val="24"/>
          <w:szCs w:val="24"/>
        </w:rPr>
        <w:t xml:space="preserve"> or common law) are cumulative and may be exercised concurrently or separately, and the exercise of one remedy shall not be deemed an election of such remedy to the </w:t>
      </w:r>
      <w:r w:rsidRPr="005D62BB">
        <w:rPr>
          <w:rFonts w:asciiTheme="majorHAnsi" w:hAnsiTheme="majorHAnsi" w:cs="Arial"/>
          <w:b w:val="0"/>
          <w:sz w:val="24"/>
          <w:szCs w:val="24"/>
        </w:rPr>
        <w:lastRenderedPageBreak/>
        <w:t>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asciiTheme="majorHAnsi" w:hAnsiTheme="majorHAnsi" w:cs="Arial"/>
          <w:b w:val="0"/>
          <w:sz w:val="24"/>
          <w:szCs w:val="24"/>
        </w:rPr>
        <w:t>Agreement, and</w:t>
      </w:r>
      <w:proofErr w:type="gramEnd"/>
      <w:r w:rsidRPr="005D62BB">
        <w:rPr>
          <w:rFonts w:asciiTheme="majorHAnsi" w:hAnsiTheme="majorHAnsi" w:cs="Arial"/>
          <w:b w:val="0"/>
          <w:sz w:val="24"/>
          <w:szCs w:val="24"/>
        </w:rPr>
        <w:t xml:space="preserve">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 xml:space="preserve">Notices served as above shall be deemed served on the Working Day of delivery provided delivery is before 5.00pm on a Working Day.  </w:t>
      </w:r>
      <w:proofErr w:type="gramStart"/>
      <w:r w:rsidRPr="005D62BB">
        <w:rPr>
          <w:rFonts w:asciiTheme="majorHAnsi" w:hAnsiTheme="majorHAnsi" w:cs="Arial"/>
          <w:b w:val="0"/>
          <w:sz w:val="24"/>
          <w:szCs w:val="24"/>
        </w:rPr>
        <w:t>Otherwise</w:t>
      </w:r>
      <w:proofErr w:type="gramEnd"/>
      <w:r w:rsidRPr="005D62BB">
        <w:rPr>
          <w:rFonts w:asciiTheme="majorHAnsi" w:hAnsiTheme="majorHAnsi" w:cs="Arial"/>
          <w:b w:val="0"/>
          <w:sz w:val="24"/>
          <w:szCs w:val="24"/>
        </w:rPr>
        <w:t xml:space="preserv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5685" w14:textId="77777777" w:rsidR="00B8084A" w:rsidRDefault="00B8084A">
      <w:r>
        <w:separator/>
      </w:r>
    </w:p>
  </w:endnote>
  <w:endnote w:type="continuationSeparator" w:id="0">
    <w:p w14:paraId="7350A614" w14:textId="77777777" w:rsidR="00B8084A" w:rsidRDefault="00B8084A">
      <w:r>
        <w:continuationSeparator/>
      </w:r>
    </w:p>
  </w:endnote>
  <w:endnote w:type="continuationNotice" w:id="1">
    <w:p w14:paraId="3FBCB9ED" w14:textId="77777777" w:rsidR="00B8084A" w:rsidRDefault="00B8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E3BD" w14:textId="77777777" w:rsidR="00B8084A" w:rsidRDefault="00B8084A">
      <w:r>
        <w:separator/>
      </w:r>
    </w:p>
  </w:footnote>
  <w:footnote w:type="continuationSeparator" w:id="0">
    <w:p w14:paraId="43BC8D1A" w14:textId="77777777" w:rsidR="00B8084A" w:rsidRDefault="00B8084A">
      <w:r>
        <w:continuationSeparator/>
      </w:r>
    </w:p>
  </w:footnote>
  <w:footnote w:type="continuationNotice" w:id="1">
    <w:p w14:paraId="016BC88D" w14:textId="77777777" w:rsidR="00B8084A" w:rsidRDefault="00B80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00A85180">
    <w:pPr>
      <w:pStyle w:val="Header"/>
      <w:tabs>
        <w:tab w:val="clear" w:pos="4153"/>
        <w:tab w:val="left" w:pos="6379"/>
      </w:tabs>
    </w:pPr>
    <w:r>
      <w:rPr>
        <w:noProof/>
        <w:lang w:eastAsia="en-GB"/>
      </w:rPr>
      <w:drawing>
        <wp:inline distT="0" distB="0" distL="0" distR="0" wp14:anchorId="5F25B641" wp14:editId="3F8A9711">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st\Downloads\HartGreenDS2751c - 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480" cy="72520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1"/>
  </w:num>
  <w:num w:numId="2">
    <w:abstractNumId w:val="5"/>
  </w:num>
  <w:num w:numId="3">
    <w:abstractNumId w:val="12"/>
  </w:num>
  <w:num w:numId="4">
    <w:abstractNumId w:val="1"/>
  </w:num>
  <w:num w:numId="5">
    <w:abstractNumId w:val="8"/>
  </w:num>
  <w:num w:numId="6">
    <w:abstractNumId w:val="15"/>
  </w:num>
  <w:num w:numId="7">
    <w:abstractNumId w:val="6"/>
  </w:num>
  <w:num w:numId="8">
    <w:abstractNumId w:val="7"/>
  </w:num>
  <w:num w:numId="9">
    <w:abstractNumId w:val="13"/>
  </w:num>
  <w:num w:numId="10">
    <w:abstractNumId w:val="14"/>
  </w:num>
  <w:num w:numId="11">
    <w:abstractNumId w:val="10"/>
  </w:num>
  <w:num w:numId="12">
    <w:abstractNumId w:val="0"/>
  </w:num>
  <w:num w:numId="13">
    <w:abstractNumId w:val="4"/>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81D90"/>
    <w:rsid w:val="000916F3"/>
    <w:rsid w:val="000A0456"/>
    <w:rsid w:val="000A0F3A"/>
    <w:rsid w:val="000A113B"/>
    <w:rsid w:val="000A5434"/>
    <w:rsid w:val="000A5C33"/>
    <w:rsid w:val="000B1639"/>
    <w:rsid w:val="000B53EC"/>
    <w:rsid w:val="000B77E0"/>
    <w:rsid w:val="000B7DE8"/>
    <w:rsid w:val="000C13B9"/>
    <w:rsid w:val="000C6598"/>
    <w:rsid w:val="000C7917"/>
    <w:rsid w:val="000D0C4F"/>
    <w:rsid w:val="000D1848"/>
    <w:rsid w:val="000D34A1"/>
    <w:rsid w:val="000D5EB1"/>
    <w:rsid w:val="000D6296"/>
    <w:rsid w:val="000E3977"/>
    <w:rsid w:val="000E535C"/>
    <w:rsid w:val="000F06F1"/>
    <w:rsid w:val="000F0D5B"/>
    <w:rsid w:val="000F4C13"/>
    <w:rsid w:val="000F508B"/>
    <w:rsid w:val="00106BB7"/>
    <w:rsid w:val="00107790"/>
    <w:rsid w:val="001103F3"/>
    <w:rsid w:val="00117502"/>
    <w:rsid w:val="001254EC"/>
    <w:rsid w:val="0013786B"/>
    <w:rsid w:val="0014293F"/>
    <w:rsid w:val="0014374C"/>
    <w:rsid w:val="00145053"/>
    <w:rsid w:val="00150043"/>
    <w:rsid w:val="00151D37"/>
    <w:rsid w:val="001534E0"/>
    <w:rsid w:val="00153B9E"/>
    <w:rsid w:val="001565CF"/>
    <w:rsid w:val="00161726"/>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4BD"/>
    <w:rsid w:val="001C2685"/>
    <w:rsid w:val="001C2D0C"/>
    <w:rsid w:val="001C4250"/>
    <w:rsid w:val="001C7E14"/>
    <w:rsid w:val="001D3688"/>
    <w:rsid w:val="001D5E91"/>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809"/>
    <w:rsid w:val="00254D2F"/>
    <w:rsid w:val="00262991"/>
    <w:rsid w:val="002677EE"/>
    <w:rsid w:val="00267DCE"/>
    <w:rsid w:val="00271405"/>
    <w:rsid w:val="00274144"/>
    <w:rsid w:val="0027516E"/>
    <w:rsid w:val="00275D29"/>
    <w:rsid w:val="00281A05"/>
    <w:rsid w:val="002845D5"/>
    <w:rsid w:val="002862D0"/>
    <w:rsid w:val="0028740A"/>
    <w:rsid w:val="0029188C"/>
    <w:rsid w:val="00291FE3"/>
    <w:rsid w:val="00292AD6"/>
    <w:rsid w:val="0029393B"/>
    <w:rsid w:val="00294807"/>
    <w:rsid w:val="002A2CE3"/>
    <w:rsid w:val="002A3103"/>
    <w:rsid w:val="002A3FCE"/>
    <w:rsid w:val="002A55BA"/>
    <w:rsid w:val="002B1596"/>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0453"/>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1B8F"/>
    <w:rsid w:val="00394F05"/>
    <w:rsid w:val="00396817"/>
    <w:rsid w:val="003A397A"/>
    <w:rsid w:val="003A66E4"/>
    <w:rsid w:val="003A69BD"/>
    <w:rsid w:val="003B5910"/>
    <w:rsid w:val="003C1AD6"/>
    <w:rsid w:val="003C352A"/>
    <w:rsid w:val="003C645C"/>
    <w:rsid w:val="003C79C8"/>
    <w:rsid w:val="003D5288"/>
    <w:rsid w:val="003E27A2"/>
    <w:rsid w:val="003E5B3E"/>
    <w:rsid w:val="003F0D68"/>
    <w:rsid w:val="003F6190"/>
    <w:rsid w:val="003F636A"/>
    <w:rsid w:val="00400140"/>
    <w:rsid w:val="00401061"/>
    <w:rsid w:val="00402CAA"/>
    <w:rsid w:val="004148C3"/>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3AF8"/>
    <w:rsid w:val="00464366"/>
    <w:rsid w:val="004650A7"/>
    <w:rsid w:val="00472839"/>
    <w:rsid w:val="00473DBF"/>
    <w:rsid w:val="00480057"/>
    <w:rsid w:val="00485122"/>
    <w:rsid w:val="00486245"/>
    <w:rsid w:val="00494767"/>
    <w:rsid w:val="00495130"/>
    <w:rsid w:val="00497E17"/>
    <w:rsid w:val="004A1949"/>
    <w:rsid w:val="004A292F"/>
    <w:rsid w:val="004A3259"/>
    <w:rsid w:val="004A5AE3"/>
    <w:rsid w:val="004B1F5B"/>
    <w:rsid w:val="004B2F24"/>
    <w:rsid w:val="004B31F4"/>
    <w:rsid w:val="004C0055"/>
    <w:rsid w:val="004C3E9B"/>
    <w:rsid w:val="004C694E"/>
    <w:rsid w:val="004C78C8"/>
    <w:rsid w:val="004D0711"/>
    <w:rsid w:val="004D5035"/>
    <w:rsid w:val="004D5B25"/>
    <w:rsid w:val="004E19C3"/>
    <w:rsid w:val="004E1F43"/>
    <w:rsid w:val="004E3150"/>
    <w:rsid w:val="004F2DB1"/>
    <w:rsid w:val="004F66C1"/>
    <w:rsid w:val="00500715"/>
    <w:rsid w:val="00500799"/>
    <w:rsid w:val="005071BB"/>
    <w:rsid w:val="00510F9B"/>
    <w:rsid w:val="00515015"/>
    <w:rsid w:val="00515CC6"/>
    <w:rsid w:val="005173F0"/>
    <w:rsid w:val="005303A8"/>
    <w:rsid w:val="00530A36"/>
    <w:rsid w:val="005344E0"/>
    <w:rsid w:val="00535D19"/>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77A2D"/>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05B"/>
    <w:rsid w:val="005C1347"/>
    <w:rsid w:val="005C2205"/>
    <w:rsid w:val="005C2A11"/>
    <w:rsid w:val="005C43FF"/>
    <w:rsid w:val="005C6F60"/>
    <w:rsid w:val="005D0D0E"/>
    <w:rsid w:val="005D12FE"/>
    <w:rsid w:val="005D1390"/>
    <w:rsid w:val="005D3F89"/>
    <w:rsid w:val="005D53C4"/>
    <w:rsid w:val="005D62BB"/>
    <w:rsid w:val="005E01A8"/>
    <w:rsid w:val="005E0E10"/>
    <w:rsid w:val="005E1183"/>
    <w:rsid w:val="005E63E2"/>
    <w:rsid w:val="005E69B8"/>
    <w:rsid w:val="005F1437"/>
    <w:rsid w:val="005F2B15"/>
    <w:rsid w:val="005F4CCD"/>
    <w:rsid w:val="006018E2"/>
    <w:rsid w:val="00602D65"/>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A1769"/>
    <w:rsid w:val="006A4ECE"/>
    <w:rsid w:val="006A4F3C"/>
    <w:rsid w:val="006A5475"/>
    <w:rsid w:val="006A548F"/>
    <w:rsid w:val="006B2C3A"/>
    <w:rsid w:val="006B3ABA"/>
    <w:rsid w:val="006C6783"/>
    <w:rsid w:val="006C736C"/>
    <w:rsid w:val="006D43F6"/>
    <w:rsid w:val="006E193A"/>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4AB6"/>
    <w:rsid w:val="00750424"/>
    <w:rsid w:val="00752540"/>
    <w:rsid w:val="00753ABB"/>
    <w:rsid w:val="00755076"/>
    <w:rsid w:val="0075550D"/>
    <w:rsid w:val="00757719"/>
    <w:rsid w:val="007679D9"/>
    <w:rsid w:val="007708B1"/>
    <w:rsid w:val="00775A5C"/>
    <w:rsid w:val="007764B1"/>
    <w:rsid w:val="0078113A"/>
    <w:rsid w:val="00781CAE"/>
    <w:rsid w:val="007875DA"/>
    <w:rsid w:val="0079300C"/>
    <w:rsid w:val="00793A9C"/>
    <w:rsid w:val="00797A26"/>
    <w:rsid w:val="00797E3B"/>
    <w:rsid w:val="007A08EE"/>
    <w:rsid w:val="007A0D8B"/>
    <w:rsid w:val="007A0EDD"/>
    <w:rsid w:val="007A1619"/>
    <w:rsid w:val="007A4F67"/>
    <w:rsid w:val="007B1DF4"/>
    <w:rsid w:val="007B239D"/>
    <w:rsid w:val="007B2BE8"/>
    <w:rsid w:val="007B6EE4"/>
    <w:rsid w:val="007D1078"/>
    <w:rsid w:val="007D42F2"/>
    <w:rsid w:val="007E1ABD"/>
    <w:rsid w:val="007E3548"/>
    <w:rsid w:val="007E3908"/>
    <w:rsid w:val="007E4A31"/>
    <w:rsid w:val="007E618B"/>
    <w:rsid w:val="007E6597"/>
    <w:rsid w:val="007E7FB5"/>
    <w:rsid w:val="007F38FB"/>
    <w:rsid w:val="007F52E4"/>
    <w:rsid w:val="007F63F3"/>
    <w:rsid w:val="007F730F"/>
    <w:rsid w:val="00800B3B"/>
    <w:rsid w:val="00807E01"/>
    <w:rsid w:val="008101A1"/>
    <w:rsid w:val="00810F51"/>
    <w:rsid w:val="00811776"/>
    <w:rsid w:val="00827FEB"/>
    <w:rsid w:val="008302A9"/>
    <w:rsid w:val="00837CF7"/>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1C73"/>
    <w:rsid w:val="008E27FA"/>
    <w:rsid w:val="008E34B0"/>
    <w:rsid w:val="008E363D"/>
    <w:rsid w:val="008F3EB3"/>
    <w:rsid w:val="008F4954"/>
    <w:rsid w:val="008F4A61"/>
    <w:rsid w:val="00901122"/>
    <w:rsid w:val="00902F3B"/>
    <w:rsid w:val="009036D3"/>
    <w:rsid w:val="00904004"/>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4492"/>
    <w:rsid w:val="00956BB6"/>
    <w:rsid w:val="00960EBC"/>
    <w:rsid w:val="00961A42"/>
    <w:rsid w:val="009648A6"/>
    <w:rsid w:val="0096550B"/>
    <w:rsid w:val="0097681F"/>
    <w:rsid w:val="00977378"/>
    <w:rsid w:val="009820F5"/>
    <w:rsid w:val="00982663"/>
    <w:rsid w:val="00983499"/>
    <w:rsid w:val="00985838"/>
    <w:rsid w:val="009A187F"/>
    <w:rsid w:val="009B291D"/>
    <w:rsid w:val="009B36FC"/>
    <w:rsid w:val="009B4C53"/>
    <w:rsid w:val="009C0C91"/>
    <w:rsid w:val="009C4F67"/>
    <w:rsid w:val="009C6470"/>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178AB"/>
    <w:rsid w:val="00A237F7"/>
    <w:rsid w:val="00A255F0"/>
    <w:rsid w:val="00A26C15"/>
    <w:rsid w:val="00A35916"/>
    <w:rsid w:val="00A36A85"/>
    <w:rsid w:val="00A42408"/>
    <w:rsid w:val="00A436B6"/>
    <w:rsid w:val="00A46933"/>
    <w:rsid w:val="00A47802"/>
    <w:rsid w:val="00A51FCF"/>
    <w:rsid w:val="00A52D89"/>
    <w:rsid w:val="00A551B9"/>
    <w:rsid w:val="00A558C8"/>
    <w:rsid w:val="00A56B22"/>
    <w:rsid w:val="00A6725B"/>
    <w:rsid w:val="00A7164F"/>
    <w:rsid w:val="00A73BB2"/>
    <w:rsid w:val="00A75FC0"/>
    <w:rsid w:val="00A76249"/>
    <w:rsid w:val="00A7691D"/>
    <w:rsid w:val="00A82C3C"/>
    <w:rsid w:val="00A85180"/>
    <w:rsid w:val="00A8584F"/>
    <w:rsid w:val="00A85886"/>
    <w:rsid w:val="00A85FA8"/>
    <w:rsid w:val="00A94754"/>
    <w:rsid w:val="00A94861"/>
    <w:rsid w:val="00AA0DA7"/>
    <w:rsid w:val="00AA2B32"/>
    <w:rsid w:val="00AB291B"/>
    <w:rsid w:val="00AB5C27"/>
    <w:rsid w:val="00AB5FAC"/>
    <w:rsid w:val="00AB6505"/>
    <w:rsid w:val="00AB676E"/>
    <w:rsid w:val="00AC418E"/>
    <w:rsid w:val="00AC7F24"/>
    <w:rsid w:val="00AD01BE"/>
    <w:rsid w:val="00AD0638"/>
    <w:rsid w:val="00AD2361"/>
    <w:rsid w:val="00AD4EB9"/>
    <w:rsid w:val="00AD5A5A"/>
    <w:rsid w:val="00AE5248"/>
    <w:rsid w:val="00AF0117"/>
    <w:rsid w:val="00AF6EC7"/>
    <w:rsid w:val="00B0018B"/>
    <w:rsid w:val="00B05034"/>
    <w:rsid w:val="00B119E1"/>
    <w:rsid w:val="00B12A8C"/>
    <w:rsid w:val="00B228A6"/>
    <w:rsid w:val="00B2467E"/>
    <w:rsid w:val="00B2642C"/>
    <w:rsid w:val="00B272F9"/>
    <w:rsid w:val="00B37715"/>
    <w:rsid w:val="00B379C3"/>
    <w:rsid w:val="00B40479"/>
    <w:rsid w:val="00B441E3"/>
    <w:rsid w:val="00B517AA"/>
    <w:rsid w:val="00B52A69"/>
    <w:rsid w:val="00B547C8"/>
    <w:rsid w:val="00B72ECC"/>
    <w:rsid w:val="00B73E12"/>
    <w:rsid w:val="00B770C9"/>
    <w:rsid w:val="00B77CC3"/>
    <w:rsid w:val="00B802F8"/>
    <w:rsid w:val="00B8084A"/>
    <w:rsid w:val="00B80B60"/>
    <w:rsid w:val="00B82B1C"/>
    <w:rsid w:val="00B84867"/>
    <w:rsid w:val="00B86E7C"/>
    <w:rsid w:val="00B96700"/>
    <w:rsid w:val="00BA767E"/>
    <w:rsid w:val="00BA7E7E"/>
    <w:rsid w:val="00BB1F56"/>
    <w:rsid w:val="00BB34F5"/>
    <w:rsid w:val="00BC3113"/>
    <w:rsid w:val="00BC37E3"/>
    <w:rsid w:val="00BC6AB6"/>
    <w:rsid w:val="00BD4013"/>
    <w:rsid w:val="00BD52F1"/>
    <w:rsid w:val="00BD6B01"/>
    <w:rsid w:val="00BD7D36"/>
    <w:rsid w:val="00BE1EC1"/>
    <w:rsid w:val="00BE35CD"/>
    <w:rsid w:val="00BE629E"/>
    <w:rsid w:val="00BE760F"/>
    <w:rsid w:val="00BF1C98"/>
    <w:rsid w:val="00BF1EEB"/>
    <w:rsid w:val="00BF401F"/>
    <w:rsid w:val="00BF7B4C"/>
    <w:rsid w:val="00BF7FF8"/>
    <w:rsid w:val="00C04881"/>
    <w:rsid w:val="00C04C7C"/>
    <w:rsid w:val="00C050FB"/>
    <w:rsid w:val="00C05484"/>
    <w:rsid w:val="00C0554A"/>
    <w:rsid w:val="00C1009A"/>
    <w:rsid w:val="00C1049D"/>
    <w:rsid w:val="00C139FC"/>
    <w:rsid w:val="00C15F1E"/>
    <w:rsid w:val="00C20FA0"/>
    <w:rsid w:val="00C24691"/>
    <w:rsid w:val="00C25C5D"/>
    <w:rsid w:val="00C31B0F"/>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11B9"/>
    <w:rsid w:val="00C928CE"/>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CF7A70"/>
    <w:rsid w:val="00D04503"/>
    <w:rsid w:val="00D119AF"/>
    <w:rsid w:val="00D158AE"/>
    <w:rsid w:val="00D2115B"/>
    <w:rsid w:val="00D23F8F"/>
    <w:rsid w:val="00D30967"/>
    <w:rsid w:val="00D31B42"/>
    <w:rsid w:val="00D33324"/>
    <w:rsid w:val="00D34A78"/>
    <w:rsid w:val="00D37747"/>
    <w:rsid w:val="00D40E3E"/>
    <w:rsid w:val="00D45D94"/>
    <w:rsid w:val="00D51F0A"/>
    <w:rsid w:val="00D54716"/>
    <w:rsid w:val="00D565D5"/>
    <w:rsid w:val="00D57037"/>
    <w:rsid w:val="00D602DA"/>
    <w:rsid w:val="00D61FCF"/>
    <w:rsid w:val="00D628FF"/>
    <w:rsid w:val="00D64B8A"/>
    <w:rsid w:val="00D72B8C"/>
    <w:rsid w:val="00D733C1"/>
    <w:rsid w:val="00D747B7"/>
    <w:rsid w:val="00D749FE"/>
    <w:rsid w:val="00D753A1"/>
    <w:rsid w:val="00D84C5C"/>
    <w:rsid w:val="00D917C5"/>
    <w:rsid w:val="00D974B2"/>
    <w:rsid w:val="00DA2724"/>
    <w:rsid w:val="00DA60C1"/>
    <w:rsid w:val="00DA6482"/>
    <w:rsid w:val="00DA7D28"/>
    <w:rsid w:val="00DB2126"/>
    <w:rsid w:val="00DB2592"/>
    <w:rsid w:val="00DB4AAD"/>
    <w:rsid w:val="00DC319C"/>
    <w:rsid w:val="00DC5834"/>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32A7"/>
    <w:rsid w:val="00E86ACF"/>
    <w:rsid w:val="00E87F89"/>
    <w:rsid w:val="00E90A09"/>
    <w:rsid w:val="00E93331"/>
    <w:rsid w:val="00E95081"/>
    <w:rsid w:val="00EA1710"/>
    <w:rsid w:val="00EA2CAB"/>
    <w:rsid w:val="00EA369A"/>
    <w:rsid w:val="00EA49E6"/>
    <w:rsid w:val="00EA5C74"/>
    <w:rsid w:val="00EA63CC"/>
    <w:rsid w:val="00EA7364"/>
    <w:rsid w:val="00EB08C1"/>
    <w:rsid w:val="00EB2164"/>
    <w:rsid w:val="00EB2B36"/>
    <w:rsid w:val="00EB2D05"/>
    <w:rsid w:val="00EB79B1"/>
    <w:rsid w:val="00ED04B0"/>
    <w:rsid w:val="00ED3C42"/>
    <w:rsid w:val="00ED6F87"/>
    <w:rsid w:val="00ED7809"/>
    <w:rsid w:val="00EE09C0"/>
    <w:rsid w:val="00EE607B"/>
    <w:rsid w:val="00EE7F92"/>
    <w:rsid w:val="00EF3672"/>
    <w:rsid w:val="00F00F2C"/>
    <w:rsid w:val="00F01E6B"/>
    <w:rsid w:val="00F03D54"/>
    <w:rsid w:val="00F04D5C"/>
    <w:rsid w:val="00F1296F"/>
    <w:rsid w:val="00F14571"/>
    <w:rsid w:val="00F17439"/>
    <w:rsid w:val="00F20DDB"/>
    <w:rsid w:val="00F249A8"/>
    <w:rsid w:val="00F25607"/>
    <w:rsid w:val="00F2666E"/>
    <w:rsid w:val="00F335D9"/>
    <w:rsid w:val="00F357E1"/>
    <w:rsid w:val="00F35B17"/>
    <w:rsid w:val="00F36576"/>
    <w:rsid w:val="00F45B01"/>
    <w:rsid w:val="00F47355"/>
    <w:rsid w:val="00F503A4"/>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27AA"/>
    <w:rsid w:val="00FA31D5"/>
    <w:rsid w:val="00FA4667"/>
    <w:rsid w:val="00FA59AE"/>
    <w:rsid w:val="00FA7B76"/>
    <w:rsid w:val="00FC028E"/>
    <w:rsid w:val="00FC266F"/>
    <w:rsid w:val="00FC63E8"/>
    <w:rsid w:val="00FD617D"/>
    <w:rsid w:val="00FE0228"/>
    <w:rsid w:val="00FF013E"/>
    <w:rsid w:val="00FF4AD3"/>
    <w:rsid w:val="00FF7064"/>
    <w:rsid w:val="03EDF266"/>
    <w:rsid w:val="1EF28006"/>
    <w:rsid w:val="2AE52DA1"/>
    <w:rsid w:val="2E87AD20"/>
    <w:rsid w:val="3629DE1B"/>
    <w:rsid w:val="4932906E"/>
    <w:rsid w:val="4CC5F313"/>
    <w:rsid w:val="52A85755"/>
    <w:rsid w:val="53BD0109"/>
    <w:rsid w:val="53D2072E"/>
    <w:rsid w:val="6B32B867"/>
    <w:rsid w:val="7032803D"/>
    <w:rsid w:val="758F1895"/>
    <w:rsid w:val="75B5EC54"/>
    <w:rsid w:val="7E540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9f7c4bcf78343dcb6b0e22788a9078c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4395f41c-d56d-4b33-b39b-c25e180121a3">
      <Value>5</Value>
      <Value>32</Value>
      <Value>3</Value>
    </TaxCatchAll>
    <Review_x0020_date xmlns="4395f41c-d56d-4b33-b39b-c25e180121a3" xsi:nil="true"/>
    <m2f4770ba8f44238ba90ebb9faff9089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4395f41c-d56d-4b33-b39b-c25e180121a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Document" ma:contentTypeID="0x010100427C565BDA332142BF9CCE4E82C7DE6E00E0C7F06CBE5C85469C9E8E4FFA33CF19" ma:contentTypeVersion="24" ma:contentTypeDescription="" ma:contentTypeScope="" ma:versionID="61cd1dab85b44b6298cd636dcde23637">
  <xsd:schema xmlns:xsd="http://www.w3.org/2001/XMLSchema" xmlns:xs="http://www.w3.org/2001/XMLSchema" xmlns:p="http://schemas.microsoft.com/office/2006/metadata/properties" xmlns:ns2="4395f41c-d56d-4b33-b39b-c25e180121a3" xmlns:ns3="051b4735-d666-43b0-b5ef-20eb16db7d90" targetNamespace="http://schemas.microsoft.com/office/2006/metadata/properties" ma:root="true" ma:fieldsID="326e14b78ca8c8501762a3cad4e14793" ns2:_="" ns3:_="">
    <xsd:import namespace="4395f41c-d56d-4b33-b39b-c25e180121a3"/>
    <xsd:import namespace="051b4735-d666-43b0-b5ef-20eb16db7d90"/>
    <xsd:element name="properties">
      <xsd:complexType>
        <xsd:sequence>
          <xsd:element name="documentManagement">
            <xsd:complexType>
              <xsd:all>
                <xsd:element ref="ns2:Review_x0020_date" minOccurs="0"/>
                <xsd:element ref="ns2:c350606c0ebb4ccb87d46c55427aec54" minOccurs="0"/>
                <xsd:element ref="ns2:TaxCatchAll" minOccurs="0"/>
                <xsd:element ref="ns2:TaxCatchAllLabel" minOccurs="0"/>
                <xsd:element ref="ns2:m2f4770ba8f44238ba90ebb9faff9089" minOccurs="0"/>
                <xsd:element ref="ns2:f9f7c4bcf78343dcb6b0e22788a9078c"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f41c-d56d-4b33-b39b-c25e180121a3" elementFormDefault="qualified">
    <xsd:import namespace="http://schemas.microsoft.com/office/2006/documentManagement/types"/>
    <xsd:import namespace="http://schemas.microsoft.com/office/infopath/2007/PartnerControls"/>
    <xsd:element name="Review_x0020_date" ma:index="5" nillable="true" ma:displayName="Review date" ma:format="DateOnly" ma:internalName="Review_x0020_date" ma:readOnly="false">
      <xsd:simpleType>
        <xsd:restriction base="dms:DateTime"/>
      </xsd:simpleType>
    </xsd:element>
    <xsd:element name="c350606c0ebb4ccb87d46c55427aec54" ma:index="8" nillable="true" ma:taxonomy="true" ma:internalName="c350606c0ebb4ccb87d46c55427aec54" ma:taxonomyFieldName="Document_x0020_Type" ma:displayName="Document Tag" ma:indexed="true" ma:readOnly="false"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e0a913-b0f6-417b-926c-4b7aa2dc5d45}" ma:internalName="TaxCatchAll" ma:readOnly="false" ma:showField="CatchAllData"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e0a913-b0f6-417b-926c-4b7aa2dc5d45}" ma:internalName="TaxCatchAllLabel" ma:readOnly="true" ma:showField="CatchAllDataLabel"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1" nillable="true" ma:taxonomy="true" ma:internalName="m2f4770ba8f44238ba90ebb9faff9089" ma:taxonomyFieldName="Hart_x0020_Department" ma:displayName="Hart Department" ma:indexed="true" ma:readOnly="false"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f9f7c4bcf78343dcb6b0e22788a9078c" ma:index="13" nillable="true" ma:taxonomy="true" ma:internalName="f9f7c4bcf78343dcb6b0e22788a9078c" ma:taxonomyFieldName="Subject_x0020_Matter" ma:displayName="Subject Matter" ma:indexed="true" ma:readOnly="false"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1b4735-d666-43b0-b5ef-20eb16db7d9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505F6D4D-7276-404F-8CD4-0AD35E4C4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f41c-d56d-4b33-b39b-c25e180121a3"/>
    <ds:schemaRef ds:uri="051b4735-d666-43b0-b5ef-20eb16db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8063</Words>
  <Characters>45963</Characters>
  <Application>Microsoft Office Word</Application>
  <DocSecurity>0</DocSecurity>
  <Lines>383</Lines>
  <Paragraphs>107</Paragraphs>
  <ScaleCrop>false</ScaleCrop>
  <Company>Basingstoke &amp; Deane Borough Council</Company>
  <LinksUpToDate>false</LinksUpToDate>
  <CharactersWithSpaces>53919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Ashley Grist</cp:lastModifiedBy>
  <cp:revision>78</cp:revision>
  <cp:lastPrinted>2019-10-29T16:31:00Z</cp:lastPrinted>
  <dcterms:created xsi:type="dcterms:W3CDTF">2021-07-27T14:49:00Z</dcterms:created>
  <dcterms:modified xsi:type="dcterms:W3CDTF">2021-10-14T19:15:00Z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0x010100427C565BDA332142BF9CCE4E82C7DE6E00E0C7F06CBE5C85469C9E8E4FFA33CF19</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wic_System_Copyright">
    <vt:lpwstr/>
  </property>
  <property fmtid="{D5CDD505-2E9C-101B-9397-08002B2CF9AE}" pid="11" name="ReportCategory">
    <vt:lpwstr/>
  </property>
  <property fmtid="{D5CDD505-2E9C-101B-9397-08002B2CF9AE}" pid="12" name="ReportDescription">
    <vt:lpwstr/>
  </property>
  <property fmtid="{D5CDD505-2E9C-101B-9397-08002B2CF9AE}" pid="13" name="ReportStatus">
    <vt:lpwstr/>
  </property>
  <property fmtid="{D5CDD505-2E9C-101B-9397-08002B2CF9AE}" pid="14" name="_ExtendedDescription">
    <vt:lpwstr/>
  </property>
</Properties>
</file>