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14B358BF" w:rsidR="00AA1382" w:rsidRPr="00EE675A" w:rsidRDefault="00AA1382" w:rsidP="00AA1382">
      <w:pPr>
        <w:spacing w:after="200" w:line="276" w:lineRule="auto"/>
        <w:rPr>
          <w:b/>
          <w:sz w:val="48"/>
          <w:szCs w:val="48"/>
        </w:rPr>
      </w:pPr>
    </w:p>
    <w:p w14:paraId="30B7DA56" w14:textId="12F0DD14" w:rsidR="00AA1382" w:rsidRPr="0029061C" w:rsidRDefault="00E101CA" w:rsidP="00AA1382">
      <w:pPr>
        <w:spacing w:after="200" w:line="276" w:lineRule="auto"/>
        <w:rPr>
          <w:b/>
          <w:sz w:val="36"/>
          <w:szCs w:val="36"/>
        </w:rPr>
      </w:pPr>
      <w:bookmarkStart w:id="0" w:name="_xraukwuezq6d" w:colFirst="0" w:colLast="0"/>
      <w:bookmarkEnd w:id="0"/>
      <w:r>
        <w:rPr>
          <w:b/>
          <w:sz w:val="36"/>
          <w:szCs w:val="36"/>
        </w:rPr>
        <w:t>Annex A</w:t>
      </w:r>
      <w:r w:rsidR="00AA1382">
        <w:rPr>
          <w:b/>
          <w:sz w:val="36"/>
          <w:szCs w:val="36"/>
        </w:rPr>
        <w:t xml:space="preserve"> – Statement of Requirements</w:t>
      </w:r>
    </w:p>
    <w:p w14:paraId="183FEB6A" w14:textId="74F3907F" w:rsidR="00AA1382"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5E2066">
        <w:rPr>
          <w:sz w:val="32"/>
          <w:szCs w:val="32"/>
        </w:rPr>
        <w:t xml:space="preserve"> </w:t>
      </w:r>
      <w:r w:rsidR="004A2410">
        <w:rPr>
          <w:sz w:val="32"/>
          <w:szCs w:val="32"/>
        </w:rPr>
        <w:t xml:space="preserve">CCCC20A92 – The Provision of </w:t>
      </w:r>
      <w:r w:rsidR="002C4DB8" w:rsidRPr="002C4DB8">
        <w:rPr>
          <w:sz w:val="32"/>
          <w:szCs w:val="32"/>
        </w:rPr>
        <w:t>Geospatial Commission Tech</w:t>
      </w:r>
      <w:r w:rsidR="00552F87">
        <w:rPr>
          <w:sz w:val="32"/>
          <w:szCs w:val="32"/>
        </w:rPr>
        <w:t>nical Adviser/Business Analyst</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E2834B4" w14:textId="77777777" w:rsidR="00E101CA"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655251" w:history="1">
        <w:r w:rsidR="00E101CA" w:rsidRPr="00B9146F">
          <w:rPr>
            <w:rStyle w:val="Hyperlink"/>
            <w:noProof/>
          </w:rPr>
          <w:t>1.</w:t>
        </w:r>
        <w:r w:rsidR="00E101CA">
          <w:rPr>
            <w:rFonts w:asciiTheme="minorHAnsi" w:eastAsiaTheme="minorEastAsia" w:hAnsiTheme="minorHAnsi" w:cstheme="minorBidi"/>
            <w:caps w:val="0"/>
            <w:noProof/>
            <w:szCs w:val="22"/>
            <w:lang w:eastAsia="en-GB"/>
          </w:rPr>
          <w:tab/>
        </w:r>
        <w:r w:rsidR="00E101CA" w:rsidRPr="00B9146F">
          <w:rPr>
            <w:rStyle w:val="Hyperlink"/>
            <w:noProof/>
          </w:rPr>
          <w:t>Background to requirement/OVERVIEW of requirement</w:t>
        </w:r>
        <w:r w:rsidR="00E101CA">
          <w:rPr>
            <w:noProof/>
            <w:webHidden/>
          </w:rPr>
          <w:tab/>
        </w:r>
        <w:r w:rsidR="00E101CA">
          <w:rPr>
            <w:noProof/>
            <w:webHidden/>
          </w:rPr>
          <w:fldChar w:fldCharType="begin"/>
        </w:r>
        <w:r w:rsidR="00E101CA">
          <w:rPr>
            <w:noProof/>
            <w:webHidden/>
          </w:rPr>
          <w:instrText xml:space="preserve"> PAGEREF _Toc48655251 \h </w:instrText>
        </w:r>
        <w:r w:rsidR="00E101CA">
          <w:rPr>
            <w:noProof/>
            <w:webHidden/>
          </w:rPr>
        </w:r>
        <w:r w:rsidR="00E101CA">
          <w:rPr>
            <w:noProof/>
            <w:webHidden/>
          </w:rPr>
          <w:fldChar w:fldCharType="separate"/>
        </w:r>
        <w:r w:rsidR="009539BC">
          <w:rPr>
            <w:noProof/>
            <w:webHidden/>
          </w:rPr>
          <w:t>3</w:t>
        </w:r>
        <w:r w:rsidR="00E101CA">
          <w:rPr>
            <w:noProof/>
            <w:webHidden/>
          </w:rPr>
          <w:fldChar w:fldCharType="end"/>
        </w:r>
      </w:hyperlink>
    </w:p>
    <w:p w14:paraId="777AC6A9" w14:textId="77777777" w:rsidR="00E101CA" w:rsidRDefault="00DE0CAF">
      <w:pPr>
        <w:pStyle w:val="TOC1"/>
        <w:rPr>
          <w:rFonts w:asciiTheme="minorHAnsi" w:eastAsiaTheme="minorEastAsia" w:hAnsiTheme="minorHAnsi" w:cstheme="minorBidi"/>
          <w:caps w:val="0"/>
          <w:noProof/>
          <w:szCs w:val="22"/>
          <w:lang w:eastAsia="en-GB"/>
        </w:rPr>
      </w:pPr>
      <w:hyperlink w:anchor="_Toc48655252" w:history="1">
        <w:r w:rsidR="00E101CA" w:rsidRPr="00B9146F">
          <w:rPr>
            <w:rStyle w:val="Hyperlink"/>
            <w:noProof/>
          </w:rPr>
          <w:t>2.</w:t>
        </w:r>
        <w:r w:rsidR="00E101CA">
          <w:rPr>
            <w:rFonts w:asciiTheme="minorHAnsi" w:eastAsiaTheme="minorEastAsia" w:hAnsiTheme="minorHAnsi" w:cstheme="minorBidi"/>
            <w:caps w:val="0"/>
            <w:noProof/>
            <w:szCs w:val="22"/>
            <w:lang w:eastAsia="en-GB"/>
          </w:rPr>
          <w:tab/>
        </w:r>
        <w:r w:rsidR="00E101CA" w:rsidRPr="00B9146F">
          <w:rPr>
            <w:rStyle w:val="Hyperlink"/>
            <w:noProof/>
          </w:rPr>
          <w:t>definitions</w:t>
        </w:r>
        <w:r w:rsidR="00E101CA">
          <w:rPr>
            <w:noProof/>
            <w:webHidden/>
          </w:rPr>
          <w:tab/>
        </w:r>
        <w:r w:rsidR="00E101CA">
          <w:rPr>
            <w:noProof/>
            <w:webHidden/>
          </w:rPr>
          <w:fldChar w:fldCharType="begin"/>
        </w:r>
        <w:r w:rsidR="00E101CA">
          <w:rPr>
            <w:noProof/>
            <w:webHidden/>
          </w:rPr>
          <w:instrText xml:space="preserve"> PAGEREF _Toc48655252 \h </w:instrText>
        </w:r>
        <w:r w:rsidR="00E101CA">
          <w:rPr>
            <w:noProof/>
            <w:webHidden/>
          </w:rPr>
        </w:r>
        <w:r w:rsidR="00E101CA">
          <w:rPr>
            <w:noProof/>
            <w:webHidden/>
          </w:rPr>
          <w:fldChar w:fldCharType="separate"/>
        </w:r>
        <w:r w:rsidR="009539BC">
          <w:rPr>
            <w:noProof/>
            <w:webHidden/>
          </w:rPr>
          <w:t>3</w:t>
        </w:r>
        <w:r w:rsidR="00E101CA">
          <w:rPr>
            <w:noProof/>
            <w:webHidden/>
          </w:rPr>
          <w:fldChar w:fldCharType="end"/>
        </w:r>
      </w:hyperlink>
    </w:p>
    <w:p w14:paraId="3C244977" w14:textId="77777777" w:rsidR="00E101CA" w:rsidRDefault="00DE0CAF">
      <w:pPr>
        <w:pStyle w:val="TOC1"/>
        <w:rPr>
          <w:rFonts w:asciiTheme="minorHAnsi" w:eastAsiaTheme="minorEastAsia" w:hAnsiTheme="minorHAnsi" w:cstheme="minorBidi"/>
          <w:caps w:val="0"/>
          <w:noProof/>
          <w:szCs w:val="22"/>
          <w:lang w:eastAsia="en-GB"/>
        </w:rPr>
      </w:pPr>
      <w:hyperlink w:anchor="_Toc48655253" w:history="1">
        <w:r w:rsidR="00E101CA" w:rsidRPr="00B9146F">
          <w:rPr>
            <w:rStyle w:val="Hyperlink"/>
            <w:noProof/>
          </w:rPr>
          <w:t>3.</w:t>
        </w:r>
        <w:r w:rsidR="00E101CA">
          <w:rPr>
            <w:rFonts w:asciiTheme="minorHAnsi" w:eastAsiaTheme="minorEastAsia" w:hAnsiTheme="minorHAnsi" w:cstheme="minorBidi"/>
            <w:caps w:val="0"/>
            <w:noProof/>
            <w:szCs w:val="22"/>
            <w:lang w:eastAsia="en-GB"/>
          </w:rPr>
          <w:tab/>
        </w:r>
        <w:r w:rsidR="00E101CA" w:rsidRPr="00B9146F">
          <w:rPr>
            <w:rStyle w:val="Hyperlink"/>
            <w:noProof/>
          </w:rPr>
          <w:t>scope of requirement</w:t>
        </w:r>
        <w:r w:rsidR="00E101CA">
          <w:rPr>
            <w:noProof/>
            <w:webHidden/>
          </w:rPr>
          <w:tab/>
        </w:r>
        <w:r w:rsidR="00E101CA">
          <w:rPr>
            <w:noProof/>
            <w:webHidden/>
          </w:rPr>
          <w:fldChar w:fldCharType="begin"/>
        </w:r>
        <w:r w:rsidR="00E101CA">
          <w:rPr>
            <w:noProof/>
            <w:webHidden/>
          </w:rPr>
          <w:instrText xml:space="preserve"> PAGEREF _Toc48655253 \h </w:instrText>
        </w:r>
        <w:r w:rsidR="00E101CA">
          <w:rPr>
            <w:noProof/>
            <w:webHidden/>
          </w:rPr>
        </w:r>
        <w:r w:rsidR="00E101CA">
          <w:rPr>
            <w:noProof/>
            <w:webHidden/>
          </w:rPr>
          <w:fldChar w:fldCharType="separate"/>
        </w:r>
        <w:r w:rsidR="009539BC">
          <w:rPr>
            <w:noProof/>
            <w:webHidden/>
          </w:rPr>
          <w:t>4</w:t>
        </w:r>
        <w:r w:rsidR="00E101CA">
          <w:rPr>
            <w:noProof/>
            <w:webHidden/>
          </w:rPr>
          <w:fldChar w:fldCharType="end"/>
        </w:r>
      </w:hyperlink>
    </w:p>
    <w:p w14:paraId="57232EAC" w14:textId="77777777" w:rsidR="00E101CA" w:rsidRDefault="00DE0CAF">
      <w:pPr>
        <w:pStyle w:val="TOC1"/>
        <w:rPr>
          <w:rFonts w:asciiTheme="minorHAnsi" w:eastAsiaTheme="minorEastAsia" w:hAnsiTheme="minorHAnsi" w:cstheme="minorBidi"/>
          <w:caps w:val="0"/>
          <w:noProof/>
          <w:szCs w:val="22"/>
          <w:lang w:eastAsia="en-GB"/>
        </w:rPr>
      </w:pPr>
      <w:hyperlink w:anchor="_Toc48655254" w:history="1">
        <w:r w:rsidR="00E101CA" w:rsidRPr="00B9146F">
          <w:rPr>
            <w:rStyle w:val="Hyperlink"/>
            <w:noProof/>
          </w:rPr>
          <w:t>4.</w:t>
        </w:r>
        <w:r w:rsidR="00E101CA">
          <w:rPr>
            <w:rFonts w:asciiTheme="minorHAnsi" w:eastAsiaTheme="minorEastAsia" w:hAnsiTheme="minorHAnsi" w:cstheme="minorBidi"/>
            <w:caps w:val="0"/>
            <w:noProof/>
            <w:szCs w:val="22"/>
            <w:lang w:eastAsia="en-GB"/>
          </w:rPr>
          <w:tab/>
        </w:r>
        <w:r w:rsidR="00E101CA" w:rsidRPr="00B9146F">
          <w:rPr>
            <w:rStyle w:val="Hyperlink"/>
            <w:noProof/>
          </w:rPr>
          <w:t>The requirement</w:t>
        </w:r>
        <w:r w:rsidR="00E101CA">
          <w:rPr>
            <w:noProof/>
            <w:webHidden/>
          </w:rPr>
          <w:tab/>
        </w:r>
        <w:r w:rsidR="00E101CA">
          <w:rPr>
            <w:noProof/>
            <w:webHidden/>
          </w:rPr>
          <w:fldChar w:fldCharType="begin"/>
        </w:r>
        <w:r w:rsidR="00E101CA">
          <w:rPr>
            <w:noProof/>
            <w:webHidden/>
          </w:rPr>
          <w:instrText xml:space="preserve"> PAGEREF _Toc48655254 \h </w:instrText>
        </w:r>
        <w:r w:rsidR="00E101CA">
          <w:rPr>
            <w:noProof/>
            <w:webHidden/>
          </w:rPr>
        </w:r>
        <w:r w:rsidR="00E101CA">
          <w:rPr>
            <w:noProof/>
            <w:webHidden/>
          </w:rPr>
          <w:fldChar w:fldCharType="separate"/>
        </w:r>
        <w:r w:rsidR="009539BC">
          <w:rPr>
            <w:noProof/>
            <w:webHidden/>
          </w:rPr>
          <w:t>5</w:t>
        </w:r>
        <w:r w:rsidR="00E101CA">
          <w:rPr>
            <w:noProof/>
            <w:webHidden/>
          </w:rPr>
          <w:fldChar w:fldCharType="end"/>
        </w:r>
      </w:hyperlink>
    </w:p>
    <w:p w14:paraId="7BC27185" w14:textId="77777777" w:rsidR="00E101CA" w:rsidRDefault="00DE0CAF">
      <w:pPr>
        <w:pStyle w:val="TOC1"/>
        <w:rPr>
          <w:rFonts w:asciiTheme="minorHAnsi" w:eastAsiaTheme="minorEastAsia" w:hAnsiTheme="minorHAnsi" w:cstheme="minorBidi"/>
          <w:caps w:val="0"/>
          <w:noProof/>
          <w:szCs w:val="22"/>
          <w:lang w:eastAsia="en-GB"/>
        </w:rPr>
      </w:pPr>
      <w:hyperlink w:anchor="_Toc48655255" w:history="1">
        <w:r w:rsidR="00E101CA" w:rsidRPr="00B9146F">
          <w:rPr>
            <w:rStyle w:val="Hyperlink"/>
            <w:rFonts w:cs="Arial"/>
            <w:noProof/>
          </w:rPr>
          <w:t>5.</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MANAGEMENT INFORMATION/reporting</w:t>
        </w:r>
        <w:r w:rsidR="00E101CA">
          <w:rPr>
            <w:noProof/>
            <w:webHidden/>
          </w:rPr>
          <w:tab/>
        </w:r>
        <w:r w:rsidR="00E101CA">
          <w:rPr>
            <w:noProof/>
            <w:webHidden/>
          </w:rPr>
          <w:fldChar w:fldCharType="begin"/>
        </w:r>
        <w:r w:rsidR="00E101CA">
          <w:rPr>
            <w:noProof/>
            <w:webHidden/>
          </w:rPr>
          <w:instrText xml:space="preserve"> PAGEREF _Toc48655255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5FEAC16D" w14:textId="77777777" w:rsidR="00E101CA" w:rsidRDefault="00DE0CAF">
      <w:pPr>
        <w:pStyle w:val="TOC1"/>
        <w:rPr>
          <w:rFonts w:asciiTheme="minorHAnsi" w:eastAsiaTheme="minorEastAsia" w:hAnsiTheme="minorHAnsi" w:cstheme="minorBidi"/>
          <w:caps w:val="0"/>
          <w:noProof/>
          <w:szCs w:val="22"/>
          <w:lang w:eastAsia="en-GB"/>
        </w:rPr>
      </w:pPr>
      <w:hyperlink w:anchor="_Toc48655257" w:history="1">
        <w:r w:rsidR="00E101CA" w:rsidRPr="00B9146F">
          <w:rPr>
            <w:rStyle w:val="Hyperlink"/>
            <w:rFonts w:cs="Arial"/>
            <w:noProof/>
          </w:rPr>
          <w:t>6.</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continuous improvement</w:t>
        </w:r>
        <w:r w:rsidR="00E101CA">
          <w:rPr>
            <w:noProof/>
            <w:webHidden/>
          </w:rPr>
          <w:tab/>
        </w:r>
        <w:r w:rsidR="00E101CA">
          <w:rPr>
            <w:noProof/>
            <w:webHidden/>
          </w:rPr>
          <w:fldChar w:fldCharType="begin"/>
        </w:r>
        <w:r w:rsidR="00E101CA">
          <w:rPr>
            <w:noProof/>
            <w:webHidden/>
          </w:rPr>
          <w:instrText xml:space="preserve"> PAGEREF _Toc48655257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4C0B5CC5" w14:textId="77777777" w:rsidR="00E101CA" w:rsidRDefault="00DE0CAF">
      <w:pPr>
        <w:pStyle w:val="TOC1"/>
        <w:rPr>
          <w:rFonts w:asciiTheme="minorHAnsi" w:eastAsiaTheme="minorEastAsia" w:hAnsiTheme="minorHAnsi" w:cstheme="minorBidi"/>
          <w:caps w:val="0"/>
          <w:noProof/>
          <w:szCs w:val="22"/>
          <w:lang w:eastAsia="en-GB"/>
        </w:rPr>
      </w:pPr>
      <w:hyperlink w:anchor="_Toc48655258" w:history="1">
        <w:r w:rsidR="00E101CA" w:rsidRPr="00B9146F">
          <w:rPr>
            <w:rStyle w:val="Hyperlink"/>
            <w:rFonts w:cs="Arial"/>
            <w:noProof/>
          </w:rPr>
          <w:t>7.</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quality</w:t>
        </w:r>
        <w:r w:rsidR="00E101CA">
          <w:rPr>
            <w:noProof/>
            <w:webHidden/>
          </w:rPr>
          <w:tab/>
        </w:r>
        <w:r w:rsidR="00E101CA">
          <w:rPr>
            <w:noProof/>
            <w:webHidden/>
          </w:rPr>
          <w:fldChar w:fldCharType="begin"/>
        </w:r>
        <w:r w:rsidR="00E101CA">
          <w:rPr>
            <w:noProof/>
            <w:webHidden/>
          </w:rPr>
          <w:instrText xml:space="preserve"> PAGEREF _Toc48655258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6AF2DA2A" w14:textId="77777777" w:rsidR="00E101CA" w:rsidRDefault="00DE0CAF">
      <w:pPr>
        <w:pStyle w:val="TOC1"/>
        <w:rPr>
          <w:rFonts w:asciiTheme="minorHAnsi" w:eastAsiaTheme="minorEastAsia" w:hAnsiTheme="minorHAnsi" w:cstheme="minorBidi"/>
          <w:caps w:val="0"/>
          <w:noProof/>
          <w:szCs w:val="22"/>
          <w:lang w:eastAsia="en-GB"/>
        </w:rPr>
      </w:pPr>
      <w:hyperlink w:anchor="_Toc48655259" w:history="1">
        <w:r w:rsidR="00E101CA" w:rsidRPr="00B9146F">
          <w:rPr>
            <w:rStyle w:val="Hyperlink"/>
            <w:rFonts w:cs="Arial"/>
            <w:noProof/>
          </w:rPr>
          <w:t>8.</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STAFF AND CUSTOMER SERVICE</w:t>
        </w:r>
        <w:r w:rsidR="00E101CA">
          <w:rPr>
            <w:noProof/>
            <w:webHidden/>
          </w:rPr>
          <w:tab/>
        </w:r>
        <w:r w:rsidR="00E101CA">
          <w:rPr>
            <w:noProof/>
            <w:webHidden/>
          </w:rPr>
          <w:fldChar w:fldCharType="begin"/>
        </w:r>
        <w:r w:rsidR="00E101CA">
          <w:rPr>
            <w:noProof/>
            <w:webHidden/>
          </w:rPr>
          <w:instrText xml:space="preserve"> PAGEREF _Toc48655259 \h </w:instrText>
        </w:r>
        <w:r w:rsidR="00E101CA">
          <w:rPr>
            <w:noProof/>
            <w:webHidden/>
          </w:rPr>
        </w:r>
        <w:r w:rsidR="00E101CA">
          <w:rPr>
            <w:noProof/>
            <w:webHidden/>
          </w:rPr>
          <w:fldChar w:fldCharType="separate"/>
        </w:r>
        <w:r w:rsidR="009539BC">
          <w:rPr>
            <w:noProof/>
            <w:webHidden/>
          </w:rPr>
          <w:t>7</w:t>
        </w:r>
        <w:r w:rsidR="00E101CA">
          <w:rPr>
            <w:noProof/>
            <w:webHidden/>
          </w:rPr>
          <w:fldChar w:fldCharType="end"/>
        </w:r>
      </w:hyperlink>
    </w:p>
    <w:p w14:paraId="01A86CFB" w14:textId="77777777" w:rsidR="00E101CA" w:rsidRDefault="00DE0CAF">
      <w:pPr>
        <w:pStyle w:val="TOC1"/>
        <w:rPr>
          <w:rFonts w:asciiTheme="minorHAnsi" w:eastAsiaTheme="minorEastAsia" w:hAnsiTheme="minorHAnsi" w:cstheme="minorBidi"/>
          <w:caps w:val="0"/>
          <w:noProof/>
          <w:szCs w:val="22"/>
          <w:lang w:eastAsia="en-GB"/>
        </w:rPr>
      </w:pPr>
      <w:hyperlink w:anchor="_Toc48655260" w:history="1">
        <w:r w:rsidR="00E101CA" w:rsidRPr="00B9146F">
          <w:rPr>
            <w:rStyle w:val="Hyperlink"/>
            <w:noProof/>
          </w:rPr>
          <w:t>9.</w:t>
        </w:r>
        <w:r w:rsidR="00E101CA">
          <w:rPr>
            <w:rFonts w:asciiTheme="minorHAnsi" w:eastAsiaTheme="minorEastAsia" w:hAnsiTheme="minorHAnsi" w:cstheme="minorBidi"/>
            <w:caps w:val="0"/>
            <w:noProof/>
            <w:szCs w:val="22"/>
            <w:lang w:eastAsia="en-GB"/>
          </w:rPr>
          <w:tab/>
        </w:r>
        <w:r w:rsidR="00E101CA" w:rsidRPr="00B9146F">
          <w:rPr>
            <w:rStyle w:val="Hyperlink"/>
            <w:noProof/>
          </w:rPr>
          <w:t>Security and CONFIDENTIALITY requirements</w:t>
        </w:r>
        <w:r w:rsidR="00E101CA">
          <w:rPr>
            <w:noProof/>
            <w:webHidden/>
          </w:rPr>
          <w:tab/>
        </w:r>
        <w:r w:rsidR="00E101CA">
          <w:rPr>
            <w:noProof/>
            <w:webHidden/>
          </w:rPr>
          <w:fldChar w:fldCharType="begin"/>
        </w:r>
        <w:r w:rsidR="00E101CA">
          <w:rPr>
            <w:noProof/>
            <w:webHidden/>
          </w:rPr>
          <w:instrText xml:space="preserve"> PAGEREF _Toc48655260 \h </w:instrText>
        </w:r>
        <w:r w:rsidR="00E101CA">
          <w:rPr>
            <w:noProof/>
            <w:webHidden/>
          </w:rPr>
        </w:r>
        <w:r w:rsidR="00E101CA">
          <w:rPr>
            <w:noProof/>
            <w:webHidden/>
          </w:rPr>
          <w:fldChar w:fldCharType="separate"/>
        </w:r>
        <w:r w:rsidR="009539BC">
          <w:rPr>
            <w:noProof/>
            <w:webHidden/>
          </w:rPr>
          <w:t>8</w:t>
        </w:r>
        <w:r w:rsidR="00E101CA">
          <w:rPr>
            <w:noProof/>
            <w:webHidden/>
          </w:rPr>
          <w:fldChar w:fldCharType="end"/>
        </w:r>
      </w:hyperlink>
    </w:p>
    <w:p w14:paraId="35698611" w14:textId="77777777" w:rsidR="00E101CA" w:rsidRDefault="00DE0CAF">
      <w:pPr>
        <w:pStyle w:val="TOC1"/>
        <w:rPr>
          <w:rFonts w:asciiTheme="minorHAnsi" w:eastAsiaTheme="minorEastAsia" w:hAnsiTheme="minorHAnsi" w:cstheme="minorBidi"/>
          <w:caps w:val="0"/>
          <w:noProof/>
          <w:szCs w:val="22"/>
          <w:lang w:eastAsia="en-GB"/>
        </w:rPr>
      </w:pPr>
      <w:hyperlink w:anchor="_Toc48655261" w:history="1">
        <w:r w:rsidR="00E101CA" w:rsidRPr="00B9146F">
          <w:rPr>
            <w:rStyle w:val="Hyperlink"/>
            <w:rFonts w:cs="Arial"/>
            <w:noProof/>
          </w:rPr>
          <w:t>10.</w:t>
        </w:r>
        <w:r w:rsidR="00E101CA">
          <w:rPr>
            <w:rFonts w:asciiTheme="minorHAnsi" w:eastAsiaTheme="minorEastAsia" w:hAnsiTheme="minorHAnsi" w:cstheme="minorBidi"/>
            <w:caps w:val="0"/>
            <w:noProof/>
            <w:szCs w:val="22"/>
            <w:lang w:eastAsia="en-GB"/>
          </w:rPr>
          <w:tab/>
        </w:r>
        <w:r w:rsidR="00E101CA" w:rsidRPr="00B9146F">
          <w:rPr>
            <w:rStyle w:val="Hyperlink"/>
            <w:rFonts w:cs="Arial"/>
            <w:noProof/>
          </w:rPr>
          <w:t>CONTRACT MANAGEMENT</w:t>
        </w:r>
        <w:r w:rsidR="00E101CA">
          <w:rPr>
            <w:noProof/>
            <w:webHidden/>
          </w:rPr>
          <w:tab/>
        </w:r>
        <w:r w:rsidR="00E101CA">
          <w:rPr>
            <w:noProof/>
            <w:webHidden/>
          </w:rPr>
          <w:fldChar w:fldCharType="begin"/>
        </w:r>
        <w:r w:rsidR="00E101CA">
          <w:rPr>
            <w:noProof/>
            <w:webHidden/>
          </w:rPr>
          <w:instrText xml:space="preserve"> PAGEREF _Toc48655261 \h </w:instrText>
        </w:r>
        <w:r w:rsidR="00E101CA">
          <w:rPr>
            <w:noProof/>
            <w:webHidden/>
          </w:rPr>
        </w:r>
        <w:r w:rsidR="00E101CA">
          <w:rPr>
            <w:noProof/>
            <w:webHidden/>
          </w:rPr>
          <w:fldChar w:fldCharType="separate"/>
        </w:r>
        <w:r w:rsidR="009539BC">
          <w:rPr>
            <w:noProof/>
            <w:webHidden/>
          </w:rPr>
          <w:t>8</w:t>
        </w:r>
        <w:r w:rsidR="00E101CA">
          <w:rPr>
            <w:noProof/>
            <w:webHidden/>
          </w:rPr>
          <w:fldChar w:fldCharType="end"/>
        </w:r>
      </w:hyperlink>
    </w:p>
    <w:p w14:paraId="2C490C73" w14:textId="77777777" w:rsidR="00E101CA" w:rsidRDefault="00DE0CAF">
      <w:pPr>
        <w:pStyle w:val="TOC1"/>
        <w:rPr>
          <w:rFonts w:asciiTheme="minorHAnsi" w:eastAsiaTheme="minorEastAsia" w:hAnsiTheme="minorHAnsi" w:cstheme="minorBidi"/>
          <w:caps w:val="0"/>
          <w:noProof/>
          <w:szCs w:val="22"/>
          <w:lang w:eastAsia="en-GB"/>
        </w:rPr>
      </w:pPr>
      <w:hyperlink w:anchor="_Toc48655262" w:history="1">
        <w:r w:rsidR="00E101CA" w:rsidRPr="00B9146F">
          <w:rPr>
            <w:rStyle w:val="Hyperlink"/>
            <w:noProof/>
          </w:rPr>
          <w:t>11.</w:t>
        </w:r>
        <w:r w:rsidR="00E101CA">
          <w:rPr>
            <w:rFonts w:asciiTheme="minorHAnsi" w:eastAsiaTheme="minorEastAsia" w:hAnsiTheme="minorHAnsi" w:cstheme="minorBidi"/>
            <w:caps w:val="0"/>
            <w:noProof/>
            <w:szCs w:val="22"/>
            <w:lang w:eastAsia="en-GB"/>
          </w:rPr>
          <w:tab/>
        </w:r>
        <w:r w:rsidR="00E101CA" w:rsidRPr="00B9146F">
          <w:rPr>
            <w:rStyle w:val="Hyperlink"/>
            <w:noProof/>
          </w:rPr>
          <w:t>Location</w:t>
        </w:r>
        <w:r w:rsidR="00E101CA">
          <w:rPr>
            <w:noProof/>
            <w:webHidden/>
          </w:rPr>
          <w:tab/>
        </w:r>
        <w:r w:rsidR="00E101CA">
          <w:rPr>
            <w:noProof/>
            <w:webHidden/>
          </w:rPr>
          <w:fldChar w:fldCharType="begin"/>
        </w:r>
        <w:r w:rsidR="00E101CA">
          <w:rPr>
            <w:noProof/>
            <w:webHidden/>
          </w:rPr>
          <w:instrText xml:space="preserve"> PAGEREF _Toc48655262 \h </w:instrText>
        </w:r>
        <w:r w:rsidR="00E101CA">
          <w:rPr>
            <w:noProof/>
            <w:webHidden/>
          </w:rPr>
        </w:r>
        <w:r w:rsidR="00E101CA">
          <w:rPr>
            <w:noProof/>
            <w:webHidden/>
          </w:rPr>
          <w:fldChar w:fldCharType="separate"/>
        </w:r>
        <w:r w:rsidR="009539BC">
          <w:rPr>
            <w:noProof/>
            <w:webHidden/>
          </w:rPr>
          <w:t>8</w:t>
        </w:r>
        <w:r w:rsidR="00E101CA">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3D1977ED" w14:textId="1328452D" w:rsidR="00671798" w:rsidRPr="00E101CA" w:rsidRDefault="00FE18AC" w:rsidP="00E101CA">
      <w:pPr>
        <w:pStyle w:val="Heading1"/>
        <w:numPr>
          <w:ilvl w:val="0"/>
          <w:numId w:val="0"/>
        </w:numPr>
        <w:overflowPunct w:val="0"/>
        <w:autoSpaceDE w:val="0"/>
        <w:autoSpaceDN w:val="0"/>
        <w:spacing w:after="120"/>
        <w:ind w:left="720"/>
        <w:textAlignment w:val="baseline"/>
        <w:rPr>
          <w:szCs w:val="22"/>
        </w:rPr>
      </w:pPr>
      <w:bookmarkStart w:id="2" w:name="_Toc297554772"/>
      <w:r>
        <w:rPr>
          <w:caps w:val="0"/>
          <w:szCs w:val="22"/>
        </w:rPr>
        <w:br w:type="page"/>
      </w:r>
      <w:bookmarkStart w:id="3" w:name="_Toc297554773"/>
      <w:bookmarkStart w:id="4" w:name="_Toc296415805"/>
      <w:bookmarkStart w:id="5" w:name="_Toc296415793"/>
      <w:bookmarkEnd w:id="2"/>
    </w:p>
    <w:p w14:paraId="151A9D23" w14:textId="77777777" w:rsidR="00FE18AC" w:rsidRPr="005C67D5" w:rsidRDefault="00FE18AC" w:rsidP="008F3470">
      <w:pPr>
        <w:pStyle w:val="Heading1"/>
        <w:tabs>
          <w:tab w:val="clear" w:pos="720"/>
        </w:tabs>
        <w:overflowPunct w:val="0"/>
        <w:autoSpaceDE w:val="0"/>
        <w:autoSpaceDN w:val="0"/>
        <w:spacing w:after="120"/>
        <w:textAlignment w:val="baseline"/>
        <w:rPr>
          <w:sz w:val="32"/>
          <w:szCs w:val="32"/>
        </w:rPr>
      </w:pPr>
      <w:bookmarkStart w:id="6" w:name="_Toc368573029"/>
      <w:bookmarkStart w:id="7" w:name="_Toc48655251"/>
      <w:r w:rsidRPr="005C67D5">
        <w:rPr>
          <w:sz w:val="32"/>
          <w:szCs w:val="32"/>
        </w:rPr>
        <w:lastRenderedPageBreak/>
        <w:t>Background to requirement/OVERVIEW</w:t>
      </w:r>
      <w:bookmarkEnd w:id="3"/>
      <w:r w:rsidRPr="005C67D5">
        <w:rPr>
          <w:sz w:val="32"/>
          <w:szCs w:val="32"/>
        </w:rPr>
        <w:t xml:space="preserve"> of requirement</w:t>
      </w:r>
      <w:bookmarkEnd w:id="6"/>
      <w:bookmarkEnd w:id="7"/>
    </w:p>
    <w:p w14:paraId="57ED9C5D" w14:textId="59DE2719" w:rsidR="006D6AE9" w:rsidRPr="00477E2F" w:rsidRDefault="005C67D5" w:rsidP="006D6AE9">
      <w:pPr>
        <w:pStyle w:val="Heading2"/>
        <w:rPr>
          <w:sz w:val="24"/>
          <w:szCs w:val="24"/>
        </w:rPr>
      </w:pPr>
      <w:bookmarkStart w:id="8" w:name="_Toc297554774"/>
      <w:bookmarkEnd w:id="4"/>
      <w:r w:rsidRPr="00477E2F">
        <w:rPr>
          <w:sz w:val="24"/>
          <w:szCs w:val="24"/>
        </w:rPr>
        <w:t>The Customer</w:t>
      </w:r>
      <w:r w:rsidR="006D6AE9" w:rsidRPr="00477E2F">
        <w:rPr>
          <w:sz w:val="24"/>
          <w:szCs w:val="24"/>
        </w:rPr>
        <w:t xml:space="preserve"> was set up as an expert committee within the Cabinet Office to ensure that the UK is equipped to capitalise on geospatial opportunities. The Cabinet Office’s Single Departmental Plan commits the Customer to delivering projects and services that underpinned by the first UK Geospatial Strategy</w:t>
      </w:r>
      <w:r w:rsidRPr="00477E2F">
        <w:rPr>
          <w:sz w:val="24"/>
          <w:szCs w:val="24"/>
        </w:rPr>
        <w:t>.</w:t>
      </w:r>
    </w:p>
    <w:p w14:paraId="4CBC3EA9" w14:textId="156BF7F2" w:rsidR="003550E1" w:rsidRPr="00477E2F" w:rsidRDefault="003550E1" w:rsidP="003550E1">
      <w:pPr>
        <w:pStyle w:val="Heading2"/>
        <w:rPr>
          <w:sz w:val="24"/>
          <w:szCs w:val="24"/>
        </w:rPr>
      </w:pPr>
      <w:r w:rsidRPr="00477E2F">
        <w:rPr>
          <w:sz w:val="24"/>
          <w:szCs w:val="24"/>
        </w:rPr>
        <w:t xml:space="preserve">The purpose of this work is focussed on the objective, </w:t>
      </w:r>
      <w:r w:rsidR="00E101CA">
        <w:rPr>
          <w:sz w:val="24"/>
          <w:szCs w:val="24"/>
        </w:rPr>
        <w:t xml:space="preserve">is </w:t>
      </w:r>
      <w:r w:rsidRPr="00477E2F">
        <w:rPr>
          <w:sz w:val="24"/>
          <w:szCs w:val="24"/>
        </w:rPr>
        <w:t>to improve the accessibility, interoperability and quality of data. This can only be achieved within Housing and Planning by being well informed of datasets available, issues and challenges, tools in use current and upcoming interventions.</w:t>
      </w:r>
    </w:p>
    <w:p w14:paraId="6CBCBFBF" w14:textId="3FE1FA1D" w:rsidR="003550E1" w:rsidRPr="00477E2F" w:rsidRDefault="003550E1" w:rsidP="003550E1">
      <w:pPr>
        <w:pStyle w:val="Heading2"/>
        <w:rPr>
          <w:sz w:val="24"/>
          <w:szCs w:val="24"/>
        </w:rPr>
      </w:pPr>
      <w:r w:rsidRPr="00477E2F">
        <w:rPr>
          <w:sz w:val="24"/>
          <w:szCs w:val="24"/>
        </w:rPr>
        <w:t>In Apri</w:t>
      </w:r>
      <w:r w:rsidR="00112275">
        <w:rPr>
          <w:sz w:val="24"/>
          <w:szCs w:val="24"/>
        </w:rPr>
        <w:t>l 2020 the Customer established [REDACTED]</w:t>
      </w:r>
      <w:bookmarkStart w:id="9" w:name="_GoBack"/>
      <w:bookmarkEnd w:id="9"/>
      <w:r w:rsidRPr="00477E2F">
        <w:rPr>
          <w:sz w:val="24"/>
          <w:szCs w:val="24"/>
        </w:rPr>
        <w:t xml:space="preserve"> fund to support the development and implementation of housing and planning projects with a geospatial focus. This pot is designed to support projects that improve the quality or sustainability of existing datasets, improve access to key datasets, improve the usability of key datasets and foster collaboration between public and private sectors. </w:t>
      </w:r>
    </w:p>
    <w:p w14:paraId="2014E0E0" w14:textId="4FA4759F" w:rsidR="003550E1" w:rsidRPr="003550E1" w:rsidRDefault="003550E1" w:rsidP="003550E1">
      <w:pPr>
        <w:pStyle w:val="Heading2"/>
        <w:rPr>
          <w:sz w:val="24"/>
          <w:szCs w:val="24"/>
        </w:rPr>
      </w:pPr>
      <w:r w:rsidRPr="00477E2F">
        <w:rPr>
          <w:sz w:val="24"/>
          <w:szCs w:val="24"/>
        </w:rPr>
        <w:t>The Customer is currently in the process of shaping the Housing and Planning (HP)</w:t>
      </w:r>
      <w:r w:rsidR="0073087F">
        <w:rPr>
          <w:sz w:val="24"/>
          <w:szCs w:val="24"/>
        </w:rPr>
        <w:t>. This</w:t>
      </w:r>
      <w:r w:rsidRPr="00477E2F">
        <w:rPr>
          <w:sz w:val="24"/>
          <w:szCs w:val="24"/>
        </w:rPr>
        <w:t xml:space="preserve"> will be </w:t>
      </w:r>
      <w:r w:rsidR="00477E2F" w:rsidRPr="00477E2F">
        <w:rPr>
          <w:sz w:val="24"/>
          <w:szCs w:val="24"/>
        </w:rPr>
        <w:t>commencing with</w:t>
      </w:r>
      <w:r>
        <w:rPr>
          <w:sz w:val="24"/>
          <w:szCs w:val="24"/>
        </w:rPr>
        <w:t xml:space="preserve"> the programme with the initiation of the Housing and Planning FAIR (findable, accessible, interoperable, reusable) data project</w:t>
      </w:r>
      <w:r w:rsidRPr="003550E1">
        <w:rPr>
          <w:sz w:val="24"/>
          <w:szCs w:val="24"/>
        </w:rPr>
        <w:t xml:space="preserve"> </w:t>
      </w:r>
      <w:r>
        <w:rPr>
          <w:sz w:val="24"/>
          <w:szCs w:val="24"/>
        </w:rPr>
        <w:t xml:space="preserve">(discovery phase) as well as </w:t>
      </w:r>
      <w:r w:rsidRPr="003550E1">
        <w:rPr>
          <w:sz w:val="24"/>
          <w:szCs w:val="24"/>
        </w:rPr>
        <w:t>identifying the most effective and value add interventions.</w:t>
      </w:r>
    </w:p>
    <w:p w14:paraId="5C03A6CC" w14:textId="3A8ED767" w:rsidR="003550E1" w:rsidRPr="003550E1" w:rsidRDefault="003550E1" w:rsidP="003550E1">
      <w:pPr>
        <w:pStyle w:val="Heading2"/>
        <w:rPr>
          <w:sz w:val="24"/>
          <w:szCs w:val="24"/>
        </w:rPr>
      </w:pPr>
      <w:r w:rsidRPr="003550E1">
        <w:rPr>
          <w:sz w:val="24"/>
          <w:szCs w:val="24"/>
        </w:rPr>
        <w:t>As a resul</w:t>
      </w:r>
      <w:r>
        <w:rPr>
          <w:sz w:val="24"/>
          <w:szCs w:val="24"/>
        </w:rPr>
        <w:t>t, the Customer needs to have an experience</w:t>
      </w:r>
      <w:r w:rsidR="005C67D5">
        <w:rPr>
          <w:sz w:val="24"/>
          <w:szCs w:val="24"/>
        </w:rPr>
        <w:t>d</w:t>
      </w:r>
      <w:r>
        <w:rPr>
          <w:sz w:val="24"/>
          <w:szCs w:val="24"/>
        </w:rPr>
        <w:t xml:space="preserve"> Technical Adviser/Business Analyst to provide assurance on supplier outputs, outline requirements and inform decision making about how to progress the project. </w:t>
      </w:r>
    </w:p>
    <w:p w14:paraId="081CFAE7" w14:textId="4E2D457B" w:rsidR="00C4233A" w:rsidRDefault="00106F24">
      <w:pPr>
        <w:pStyle w:val="Heading1"/>
        <w:tabs>
          <w:tab w:val="clear" w:pos="720"/>
        </w:tabs>
        <w:overflowPunct w:val="0"/>
        <w:autoSpaceDE w:val="0"/>
        <w:autoSpaceDN w:val="0"/>
        <w:spacing w:after="120"/>
        <w:textAlignment w:val="baseline"/>
        <w:rPr>
          <w:sz w:val="32"/>
          <w:szCs w:val="32"/>
        </w:rPr>
      </w:pPr>
      <w:bookmarkStart w:id="10" w:name="_Toc48655252"/>
      <w:bookmarkStart w:id="11" w:name="_Toc368573030"/>
      <w:r w:rsidRPr="001A45DF">
        <w:rPr>
          <w:sz w:val="32"/>
          <w:szCs w:val="32"/>
        </w:rPr>
        <w:t>definitions</w:t>
      </w:r>
      <w:bookmarkEnd w:id="10"/>
      <w:r w:rsidRPr="001A45DF">
        <w:rPr>
          <w:sz w:val="32"/>
          <w:szCs w:val="32"/>
        </w:rPr>
        <w:t xml:space="preserve"> </w:t>
      </w:r>
    </w:p>
    <w:p w14:paraId="39CF661C" w14:textId="1DDDB0FC" w:rsidR="00773E78" w:rsidRDefault="00773E78" w:rsidP="00773E78">
      <w:pPr>
        <w:pStyle w:val="Heading1"/>
        <w:numPr>
          <w:ilvl w:val="0"/>
          <w:numId w:val="0"/>
        </w:numPr>
        <w:overflowPunct w:val="0"/>
        <w:autoSpaceDE w:val="0"/>
        <w:autoSpaceDN w:val="0"/>
        <w:spacing w:after="120"/>
        <w:ind w:left="720"/>
        <w:textAlignment w:val="baseline"/>
        <w:rPr>
          <w:sz w:val="32"/>
          <w:szCs w:val="32"/>
        </w:rPr>
      </w:pPr>
    </w:p>
    <w:tbl>
      <w:tblPr>
        <w:tblStyle w:val="TableGrid"/>
        <w:tblW w:w="0" w:type="auto"/>
        <w:tblInd w:w="720" w:type="dxa"/>
        <w:tblLook w:val="04A0" w:firstRow="1" w:lastRow="0" w:firstColumn="1" w:lastColumn="0" w:noHBand="0" w:noVBand="1"/>
      </w:tblPr>
      <w:tblGrid>
        <w:gridCol w:w="1871"/>
        <w:gridCol w:w="6428"/>
      </w:tblGrid>
      <w:tr w:rsidR="00773E78" w14:paraId="0DFA6563" w14:textId="77777777" w:rsidTr="00D03C13">
        <w:tc>
          <w:tcPr>
            <w:tcW w:w="1871" w:type="dxa"/>
            <w:shd w:val="clear" w:color="auto" w:fill="C6D9F1" w:themeFill="text2" w:themeFillTint="33"/>
          </w:tcPr>
          <w:p w14:paraId="02A1CBBE" w14:textId="77777777" w:rsidR="00773E78" w:rsidRPr="001A45DF" w:rsidRDefault="00773E78" w:rsidP="00D03C13">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28" w:type="dxa"/>
            <w:shd w:val="clear" w:color="auto" w:fill="C6D9F1" w:themeFill="text2" w:themeFillTint="33"/>
          </w:tcPr>
          <w:p w14:paraId="1411E7E8" w14:textId="77777777" w:rsidR="00773E78" w:rsidRPr="001A45DF" w:rsidRDefault="00773E78" w:rsidP="00D03C13">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5C67D5" w14:paraId="3E0D4DB7" w14:textId="77777777" w:rsidTr="00D03C13">
        <w:tc>
          <w:tcPr>
            <w:tcW w:w="1871" w:type="dxa"/>
          </w:tcPr>
          <w:p w14:paraId="590B434B" w14:textId="147B0D25" w:rsidR="005C67D5" w:rsidRDefault="005C67D5" w:rsidP="00D03C13">
            <w:pPr>
              <w:rPr>
                <w:sz w:val="24"/>
              </w:rPr>
            </w:pPr>
            <w:r>
              <w:rPr>
                <w:sz w:val="24"/>
              </w:rPr>
              <w:t>FAIR</w:t>
            </w:r>
          </w:p>
        </w:tc>
        <w:tc>
          <w:tcPr>
            <w:tcW w:w="6428" w:type="dxa"/>
          </w:tcPr>
          <w:p w14:paraId="20217189" w14:textId="615FBAA7" w:rsidR="005C67D5" w:rsidRPr="009E28F2" w:rsidRDefault="005C67D5" w:rsidP="00D03C13">
            <w:pPr>
              <w:pStyle w:val="Heading2"/>
              <w:numPr>
                <w:ilvl w:val="0"/>
                <w:numId w:val="0"/>
              </w:numPr>
              <w:spacing w:after="120"/>
              <w:outlineLvl w:val="1"/>
              <w:rPr>
                <w:sz w:val="24"/>
                <w:szCs w:val="24"/>
              </w:rPr>
            </w:pPr>
            <w:r>
              <w:rPr>
                <w:sz w:val="24"/>
                <w:szCs w:val="24"/>
              </w:rPr>
              <w:t>Findable, a</w:t>
            </w:r>
            <w:r w:rsidRPr="009E28F2">
              <w:rPr>
                <w:sz w:val="24"/>
                <w:szCs w:val="24"/>
              </w:rPr>
              <w:t>ccessible, interoperable, reusable</w:t>
            </w:r>
          </w:p>
        </w:tc>
      </w:tr>
      <w:tr w:rsidR="005C67D5" w14:paraId="09AC9A2B" w14:textId="77777777" w:rsidTr="00D03C13">
        <w:tc>
          <w:tcPr>
            <w:tcW w:w="1871" w:type="dxa"/>
          </w:tcPr>
          <w:p w14:paraId="690CE3ED" w14:textId="3D71103B" w:rsidR="005C67D5" w:rsidRPr="000E47E9" w:rsidRDefault="005C67D5" w:rsidP="00D03C13">
            <w:pPr>
              <w:rPr>
                <w:sz w:val="24"/>
              </w:rPr>
            </w:pPr>
            <w:r>
              <w:rPr>
                <w:sz w:val="24"/>
              </w:rPr>
              <w:t>GDS</w:t>
            </w:r>
          </w:p>
        </w:tc>
        <w:tc>
          <w:tcPr>
            <w:tcW w:w="6428" w:type="dxa"/>
          </w:tcPr>
          <w:p w14:paraId="2E90F24F" w14:textId="754ABBAE" w:rsidR="005C67D5" w:rsidRDefault="005C67D5" w:rsidP="00D03C13">
            <w:pPr>
              <w:pStyle w:val="Heading2"/>
              <w:numPr>
                <w:ilvl w:val="0"/>
                <w:numId w:val="0"/>
              </w:numPr>
              <w:spacing w:after="120"/>
              <w:outlineLvl w:val="1"/>
              <w:rPr>
                <w:sz w:val="24"/>
              </w:rPr>
            </w:pPr>
            <w:r w:rsidRPr="009E28F2">
              <w:rPr>
                <w:sz w:val="24"/>
                <w:szCs w:val="24"/>
              </w:rPr>
              <w:t>Government Digital Service</w:t>
            </w:r>
          </w:p>
        </w:tc>
      </w:tr>
      <w:tr w:rsidR="00773E78" w14:paraId="0D3C9D40" w14:textId="77777777" w:rsidTr="00D03C13">
        <w:tc>
          <w:tcPr>
            <w:tcW w:w="1871" w:type="dxa"/>
          </w:tcPr>
          <w:p w14:paraId="5A1030A0" w14:textId="77777777" w:rsidR="00773E78" w:rsidRPr="000E47E9" w:rsidRDefault="00773E78" w:rsidP="00D03C13">
            <w:pPr>
              <w:rPr>
                <w:sz w:val="24"/>
              </w:rPr>
            </w:pPr>
            <w:r w:rsidRPr="000E47E9">
              <w:rPr>
                <w:sz w:val="24"/>
              </w:rPr>
              <w:t>Geospatial Commission (GC)</w:t>
            </w:r>
          </w:p>
        </w:tc>
        <w:tc>
          <w:tcPr>
            <w:tcW w:w="6428" w:type="dxa"/>
          </w:tcPr>
          <w:p w14:paraId="3A2643AA" w14:textId="77777777" w:rsidR="00773E78" w:rsidRDefault="00773E78" w:rsidP="00D03C13">
            <w:pPr>
              <w:pStyle w:val="Heading2"/>
              <w:numPr>
                <w:ilvl w:val="0"/>
                <w:numId w:val="0"/>
              </w:numPr>
              <w:spacing w:after="120"/>
              <w:outlineLvl w:val="1"/>
              <w:rPr>
                <w:sz w:val="24"/>
              </w:rPr>
            </w:pPr>
            <w:r>
              <w:rPr>
                <w:sz w:val="24"/>
              </w:rPr>
              <w:t xml:space="preserve">The Customer. </w:t>
            </w:r>
          </w:p>
          <w:p w14:paraId="68FEACEB" w14:textId="77777777" w:rsidR="00773E78" w:rsidRPr="000E47E9" w:rsidRDefault="00773E78" w:rsidP="00D03C13">
            <w:pPr>
              <w:pStyle w:val="Heading2"/>
              <w:numPr>
                <w:ilvl w:val="0"/>
                <w:numId w:val="0"/>
              </w:numPr>
              <w:spacing w:after="120"/>
              <w:outlineLvl w:val="1"/>
              <w:rPr>
                <w:sz w:val="24"/>
                <w:szCs w:val="24"/>
                <w:highlight w:val="yellow"/>
              </w:rPr>
            </w:pPr>
            <w:r w:rsidRPr="000E47E9">
              <w:rPr>
                <w:sz w:val="24"/>
                <w:szCs w:val="24"/>
              </w:rPr>
              <w:t>The Commission is an enduring, impartial entity that is responsible for setting the UK’s geospatial strategy and promoting the best use of geospatial data to drive productivity, promote economic growth and improve the delivery of public services, while safeguarding considerations such as national security and intellectual property rights.</w:t>
            </w:r>
          </w:p>
        </w:tc>
      </w:tr>
      <w:tr w:rsidR="00773E78" w14:paraId="13FB390D" w14:textId="77777777" w:rsidTr="00D03C13">
        <w:tc>
          <w:tcPr>
            <w:tcW w:w="1871" w:type="dxa"/>
          </w:tcPr>
          <w:p w14:paraId="6969469C" w14:textId="77777777" w:rsidR="00773E78" w:rsidRPr="000E47E9" w:rsidRDefault="00773E78" w:rsidP="00D03C13">
            <w:pPr>
              <w:jc w:val="left"/>
              <w:rPr>
                <w:sz w:val="24"/>
              </w:rPr>
            </w:pPr>
            <w:r w:rsidRPr="000E47E9">
              <w:rPr>
                <w:sz w:val="24"/>
              </w:rPr>
              <w:lastRenderedPageBreak/>
              <w:t>Geospatial data</w:t>
            </w:r>
          </w:p>
        </w:tc>
        <w:tc>
          <w:tcPr>
            <w:tcW w:w="6428" w:type="dxa"/>
          </w:tcPr>
          <w:p w14:paraId="06C6CEE1" w14:textId="77777777" w:rsidR="00773E78" w:rsidRPr="000E47E9" w:rsidRDefault="00773E78" w:rsidP="00D03C13">
            <w:pPr>
              <w:pStyle w:val="Heading2"/>
              <w:numPr>
                <w:ilvl w:val="0"/>
                <w:numId w:val="0"/>
              </w:numPr>
              <w:spacing w:after="120"/>
              <w:outlineLvl w:val="1"/>
              <w:rPr>
                <w:sz w:val="24"/>
                <w:szCs w:val="24"/>
              </w:rPr>
            </w:pPr>
            <w:r w:rsidRPr="000E47E9">
              <w:rPr>
                <w:sz w:val="24"/>
                <w:szCs w:val="24"/>
              </w:rPr>
              <w:t xml:space="preserve">Data about where people and objects are in relation to a particular geographic location </w:t>
            </w:r>
          </w:p>
        </w:tc>
      </w:tr>
      <w:tr w:rsidR="00773E78" w14:paraId="71DF5392" w14:textId="77777777" w:rsidTr="00D03C13">
        <w:tc>
          <w:tcPr>
            <w:tcW w:w="1871" w:type="dxa"/>
          </w:tcPr>
          <w:p w14:paraId="27C85AC0" w14:textId="77777777" w:rsidR="00773E78" w:rsidRPr="000E47E9" w:rsidRDefault="00773E78" w:rsidP="00D03C13">
            <w:pPr>
              <w:jc w:val="left"/>
              <w:rPr>
                <w:sz w:val="24"/>
              </w:rPr>
            </w:pPr>
            <w:r w:rsidRPr="000E47E9">
              <w:rPr>
                <w:sz w:val="24"/>
              </w:rPr>
              <w:t>Housing and Planning (HP)</w:t>
            </w:r>
          </w:p>
        </w:tc>
        <w:tc>
          <w:tcPr>
            <w:tcW w:w="6428" w:type="dxa"/>
          </w:tcPr>
          <w:p w14:paraId="4C4E45FA" w14:textId="77777777" w:rsidR="00773E78" w:rsidRPr="000E47E9" w:rsidRDefault="00773E78" w:rsidP="00D03C13">
            <w:pPr>
              <w:pStyle w:val="Heading2"/>
              <w:numPr>
                <w:ilvl w:val="0"/>
                <w:numId w:val="0"/>
              </w:numPr>
              <w:spacing w:after="120"/>
              <w:outlineLvl w:val="1"/>
              <w:rPr>
                <w:sz w:val="24"/>
                <w:szCs w:val="24"/>
              </w:rPr>
            </w:pPr>
            <w:r w:rsidRPr="000E47E9">
              <w:rPr>
                <w:sz w:val="24"/>
                <w:szCs w:val="24"/>
              </w:rPr>
              <w:t xml:space="preserve">Geospatial Commission’s Housing and Planning programme </w:t>
            </w:r>
          </w:p>
        </w:tc>
      </w:tr>
    </w:tbl>
    <w:p w14:paraId="5CDB837E" w14:textId="77777777" w:rsidR="00773E78" w:rsidRDefault="00773E78" w:rsidP="00773E78">
      <w:pPr>
        <w:pStyle w:val="Heading1"/>
        <w:numPr>
          <w:ilvl w:val="0"/>
          <w:numId w:val="0"/>
        </w:numPr>
        <w:overflowPunct w:val="0"/>
        <w:autoSpaceDE w:val="0"/>
        <w:autoSpaceDN w:val="0"/>
        <w:spacing w:after="120"/>
        <w:ind w:left="720"/>
        <w:textAlignment w:val="baseline"/>
        <w:rPr>
          <w:sz w:val="32"/>
          <w:szCs w:val="32"/>
        </w:rPr>
      </w:pPr>
    </w:p>
    <w:p w14:paraId="1A60C58F" w14:textId="77777777" w:rsidR="00773E78" w:rsidRPr="001A45DF" w:rsidRDefault="00773E78" w:rsidP="00773E78">
      <w:pPr>
        <w:pStyle w:val="Heading1"/>
        <w:numPr>
          <w:ilvl w:val="0"/>
          <w:numId w:val="0"/>
        </w:numPr>
        <w:overflowPunct w:val="0"/>
        <w:autoSpaceDE w:val="0"/>
        <w:autoSpaceDN w:val="0"/>
        <w:spacing w:after="120"/>
        <w:ind w:left="720"/>
        <w:textAlignment w:val="baseline"/>
        <w:rPr>
          <w:sz w:val="32"/>
          <w:szCs w:val="32"/>
        </w:rPr>
      </w:pPr>
    </w:p>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2" w:name="_Toc48655253"/>
      <w:r w:rsidRPr="001A45DF">
        <w:rPr>
          <w:sz w:val="32"/>
          <w:szCs w:val="32"/>
        </w:rPr>
        <w:t>scope of requirement</w:t>
      </w:r>
      <w:bookmarkEnd w:id="8"/>
      <w:bookmarkEnd w:id="11"/>
      <w:bookmarkEnd w:id="12"/>
      <w:r w:rsidRPr="001A45DF">
        <w:rPr>
          <w:sz w:val="32"/>
          <w:szCs w:val="32"/>
        </w:rPr>
        <w:t xml:space="preserve"> </w:t>
      </w:r>
    </w:p>
    <w:bookmarkEnd w:id="5"/>
    <w:p w14:paraId="2D0F5CC1" w14:textId="394E522F" w:rsidR="00D12E3C" w:rsidRPr="005C67D5" w:rsidRDefault="00547E94" w:rsidP="00547E94">
      <w:pPr>
        <w:pStyle w:val="Heading2"/>
        <w:rPr>
          <w:sz w:val="24"/>
          <w:szCs w:val="24"/>
        </w:rPr>
      </w:pPr>
      <w:r w:rsidRPr="005C67D5">
        <w:rPr>
          <w:sz w:val="24"/>
          <w:szCs w:val="24"/>
        </w:rPr>
        <w:t xml:space="preserve">In overview, the successful </w:t>
      </w:r>
      <w:r w:rsidR="00A778D8" w:rsidRPr="005C67D5">
        <w:rPr>
          <w:sz w:val="24"/>
          <w:szCs w:val="24"/>
        </w:rPr>
        <w:t>Supplier</w:t>
      </w:r>
      <w:r w:rsidRPr="005C67D5">
        <w:rPr>
          <w:sz w:val="24"/>
          <w:szCs w:val="24"/>
        </w:rPr>
        <w:t xml:space="preserve"> </w:t>
      </w:r>
      <w:r w:rsidR="005C67D5">
        <w:rPr>
          <w:sz w:val="24"/>
          <w:szCs w:val="24"/>
        </w:rPr>
        <w:t xml:space="preserve">will </w:t>
      </w:r>
      <w:r w:rsidRPr="005C67D5">
        <w:rPr>
          <w:sz w:val="24"/>
          <w:szCs w:val="24"/>
        </w:rPr>
        <w:t xml:space="preserve">have specialist business analyst and technical adviser skills to support the Commission’s H&amp;P FAIR data project and upcoming housing and planning interventions.  </w:t>
      </w:r>
    </w:p>
    <w:p w14:paraId="728E76A2" w14:textId="5184C155" w:rsidR="00547E94" w:rsidRPr="0036676A" w:rsidRDefault="00547E94" w:rsidP="00547E94">
      <w:pPr>
        <w:pStyle w:val="Heading2"/>
        <w:rPr>
          <w:sz w:val="24"/>
          <w:szCs w:val="24"/>
        </w:rPr>
      </w:pPr>
      <w:r w:rsidRPr="005C67D5">
        <w:rPr>
          <w:rFonts w:eastAsia="Times New Roman" w:cs="Arial"/>
          <w:color w:val="000000"/>
          <w:sz w:val="24"/>
          <w:szCs w:val="24"/>
          <w:lang w:eastAsia="en-GB"/>
        </w:rPr>
        <w:t xml:space="preserve">The </w:t>
      </w:r>
      <w:r w:rsidR="00A778D8" w:rsidRPr="005C67D5">
        <w:rPr>
          <w:rFonts w:eastAsia="Times New Roman" w:cs="Arial"/>
          <w:color w:val="000000"/>
          <w:sz w:val="24"/>
          <w:szCs w:val="24"/>
          <w:lang w:eastAsia="en-GB"/>
        </w:rPr>
        <w:t>Supplier</w:t>
      </w:r>
      <w:r w:rsidRPr="005C67D5">
        <w:rPr>
          <w:rFonts w:eastAsia="Times New Roman" w:cs="Arial"/>
          <w:color w:val="000000"/>
          <w:sz w:val="24"/>
          <w:szCs w:val="24"/>
          <w:lang w:eastAsia="en-GB"/>
        </w:rPr>
        <w:t xml:space="preserve"> will work w</w:t>
      </w:r>
      <w:r w:rsidR="00D12E3C" w:rsidRPr="005C67D5">
        <w:rPr>
          <w:rFonts w:eastAsia="Times New Roman" w:cs="Arial"/>
          <w:color w:val="000000"/>
          <w:sz w:val="24"/>
          <w:szCs w:val="24"/>
          <w:lang w:eastAsia="en-GB"/>
        </w:rPr>
        <w:t>ith the Commission’s H&amp;P</w:t>
      </w:r>
      <w:r w:rsidRPr="005C67D5">
        <w:rPr>
          <w:rFonts w:eastAsia="Times New Roman" w:cs="Arial"/>
          <w:color w:val="000000"/>
          <w:sz w:val="24"/>
          <w:szCs w:val="24"/>
          <w:lang w:eastAsia="en-GB"/>
        </w:rPr>
        <w:t xml:space="preserve"> team to support the initiation and delivery of </w:t>
      </w:r>
      <w:r w:rsidR="00D12E3C" w:rsidRPr="005C67D5">
        <w:rPr>
          <w:rFonts w:eastAsia="Times New Roman" w:cs="Arial"/>
          <w:color w:val="000000"/>
          <w:sz w:val="24"/>
          <w:szCs w:val="24"/>
          <w:lang w:eastAsia="en-GB"/>
        </w:rPr>
        <w:t>projects within the H&amp;P programme</w:t>
      </w:r>
      <w:r w:rsidRPr="005C67D5">
        <w:rPr>
          <w:rFonts w:eastAsia="Times New Roman" w:cs="Arial"/>
          <w:color w:val="000000"/>
          <w:sz w:val="24"/>
          <w:szCs w:val="24"/>
          <w:lang w:eastAsia="en-GB"/>
        </w:rPr>
        <w:t>. This includes activity from initial concept to implementation, working with a range of stakeholders across the public and private sectors. </w:t>
      </w:r>
    </w:p>
    <w:p w14:paraId="69C6D2EE" w14:textId="3833E4E2" w:rsidR="008A7224" w:rsidRPr="0036676A" w:rsidRDefault="008A7224" w:rsidP="0036676A">
      <w:pPr>
        <w:pStyle w:val="Heading2"/>
        <w:rPr>
          <w:sz w:val="24"/>
        </w:rPr>
      </w:pPr>
      <w:r w:rsidRPr="0036676A">
        <w:rPr>
          <w:sz w:val="24"/>
        </w:rPr>
        <w:t>Essential experience, knowledge and skills required:</w:t>
      </w:r>
    </w:p>
    <w:p w14:paraId="39E073E4" w14:textId="77777777" w:rsidR="008A7224" w:rsidRPr="008A7224" w:rsidRDefault="008A7224" w:rsidP="008A7224">
      <w:pPr>
        <w:jc w:val="both"/>
        <w:rPr>
          <w:rFonts w:ascii="Times New Roman" w:eastAsia="Times New Roman" w:hAnsi="Times New Roman"/>
          <w:sz w:val="24"/>
          <w:lang w:eastAsia="en-GB"/>
        </w:rPr>
      </w:pPr>
    </w:p>
    <w:p w14:paraId="37B6A0A1" w14:textId="130A1820" w:rsidR="008A7224" w:rsidRPr="008A7224" w:rsidRDefault="008A7224" w:rsidP="008A7224">
      <w:pPr>
        <w:pStyle w:val="Heading3"/>
        <w:rPr>
          <w:sz w:val="24"/>
          <w:szCs w:val="24"/>
        </w:rPr>
      </w:pPr>
      <w:r w:rsidRPr="008A7224">
        <w:rPr>
          <w:sz w:val="24"/>
          <w:szCs w:val="24"/>
        </w:rPr>
        <w:t>Ability to provide assurance, investigate, analyse, visualise, articulate and solve complex problems and make disciplined decisions based on available information.</w:t>
      </w:r>
    </w:p>
    <w:p w14:paraId="68BD27F3" w14:textId="67A39C50" w:rsidR="008A7224" w:rsidRPr="008A7224" w:rsidRDefault="008A7224" w:rsidP="008A7224">
      <w:pPr>
        <w:pStyle w:val="Heading3"/>
        <w:rPr>
          <w:sz w:val="24"/>
          <w:szCs w:val="24"/>
        </w:rPr>
      </w:pPr>
      <w:r w:rsidRPr="008A7224">
        <w:rPr>
          <w:sz w:val="24"/>
          <w:szCs w:val="24"/>
        </w:rPr>
        <w:t>Ability to identify and pinpoint business opportunities to allow organisations to perform more effectively.</w:t>
      </w:r>
    </w:p>
    <w:p w14:paraId="4C376BB3" w14:textId="7C048A57" w:rsidR="008A7224" w:rsidRPr="008A7224" w:rsidRDefault="008A7224" w:rsidP="008A7224">
      <w:pPr>
        <w:pStyle w:val="Heading3"/>
        <w:rPr>
          <w:sz w:val="24"/>
          <w:szCs w:val="24"/>
        </w:rPr>
      </w:pPr>
      <w:r w:rsidRPr="008A7224">
        <w:rPr>
          <w:sz w:val="24"/>
          <w:szCs w:val="24"/>
        </w:rPr>
        <w:t>Knowledge of housing and planning sector and housing data</w:t>
      </w:r>
    </w:p>
    <w:p w14:paraId="75FA2EC7" w14:textId="4CA90C5E" w:rsidR="008A7224" w:rsidRPr="008A7224" w:rsidRDefault="008A7224" w:rsidP="008A7224">
      <w:pPr>
        <w:pStyle w:val="Heading3"/>
        <w:rPr>
          <w:sz w:val="24"/>
          <w:szCs w:val="24"/>
        </w:rPr>
      </w:pPr>
      <w:r w:rsidRPr="008A7224">
        <w:rPr>
          <w:sz w:val="24"/>
          <w:szCs w:val="24"/>
        </w:rPr>
        <w:t>Ability to be an effective communicator to various audiences, present findings and make recommendations.</w:t>
      </w:r>
    </w:p>
    <w:p w14:paraId="7C1BC36F" w14:textId="0CB3B908" w:rsidR="008A7224" w:rsidRPr="008A7224" w:rsidRDefault="008A7224" w:rsidP="008A7224">
      <w:pPr>
        <w:pStyle w:val="Heading3"/>
        <w:rPr>
          <w:sz w:val="24"/>
          <w:szCs w:val="24"/>
        </w:rPr>
      </w:pPr>
      <w:r w:rsidRPr="008A7224">
        <w:rPr>
          <w:sz w:val="24"/>
          <w:szCs w:val="24"/>
        </w:rPr>
        <w:t xml:space="preserve">Ability to understand complex technical requirements, give advice </w:t>
      </w:r>
      <w:r w:rsidR="00180B7A">
        <w:rPr>
          <w:sz w:val="24"/>
          <w:szCs w:val="24"/>
        </w:rPr>
        <w:t>and</w:t>
      </w:r>
      <w:r w:rsidR="00180B7A" w:rsidRPr="008A7224">
        <w:rPr>
          <w:sz w:val="24"/>
          <w:szCs w:val="24"/>
        </w:rPr>
        <w:t xml:space="preserve"> </w:t>
      </w:r>
      <w:r w:rsidRPr="008A7224">
        <w:rPr>
          <w:sz w:val="24"/>
          <w:szCs w:val="24"/>
        </w:rPr>
        <w:t>translate these into user stories and/or IT specifications.</w:t>
      </w:r>
    </w:p>
    <w:p w14:paraId="4597C5B0" w14:textId="7E6D79CA" w:rsidR="008A7224" w:rsidRPr="008A7224" w:rsidRDefault="008A7224" w:rsidP="008A7224">
      <w:pPr>
        <w:pStyle w:val="Heading3"/>
        <w:rPr>
          <w:sz w:val="24"/>
          <w:szCs w:val="24"/>
        </w:rPr>
      </w:pPr>
      <w:r w:rsidRPr="008A7224">
        <w:rPr>
          <w:sz w:val="24"/>
          <w:szCs w:val="24"/>
        </w:rPr>
        <w:t>Experience of scoping out work packages</w:t>
      </w:r>
    </w:p>
    <w:p w14:paraId="77191ED9" w14:textId="0B114B9A" w:rsidR="008A7224" w:rsidRPr="008A7224" w:rsidRDefault="008A7224" w:rsidP="008A7224">
      <w:pPr>
        <w:pStyle w:val="Heading3"/>
        <w:rPr>
          <w:sz w:val="24"/>
          <w:szCs w:val="24"/>
        </w:rPr>
      </w:pPr>
      <w:r w:rsidRPr="008A7224">
        <w:rPr>
          <w:sz w:val="24"/>
          <w:szCs w:val="24"/>
        </w:rPr>
        <w:t>Strong organisational skills, detail-orientated, able to balance a range of activities and projects simultaneously to ensure they remain on track.</w:t>
      </w:r>
    </w:p>
    <w:p w14:paraId="2CA9E4A4" w14:textId="281ED35C" w:rsidR="008A7224" w:rsidRPr="008A7224" w:rsidRDefault="008A7224" w:rsidP="008A7224">
      <w:pPr>
        <w:pStyle w:val="Heading3"/>
        <w:rPr>
          <w:sz w:val="24"/>
          <w:szCs w:val="24"/>
        </w:rPr>
      </w:pPr>
      <w:r w:rsidRPr="008A7224">
        <w:rPr>
          <w:sz w:val="24"/>
          <w:szCs w:val="24"/>
        </w:rPr>
        <w:t>Knowledge of Government Digital Service</w:t>
      </w:r>
      <w:r w:rsidR="009E28F2">
        <w:rPr>
          <w:sz w:val="24"/>
          <w:szCs w:val="24"/>
        </w:rPr>
        <w:t xml:space="preserve"> (GDS)</w:t>
      </w:r>
      <w:r w:rsidRPr="008A7224">
        <w:rPr>
          <w:sz w:val="24"/>
          <w:szCs w:val="24"/>
        </w:rPr>
        <w:t xml:space="preserve"> requirements and experience of advising organisations how to navigate these requirements.</w:t>
      </w:r>
    </w:p>
    <w:p w14:paraId="1E373317" w14:textId="73D68F43" w:rsidR="008A7224" w:rsidRPr="00BD38BA" w:rsidRDefault="008A7224" w:rsidP="00BD38BA">
      <w:pPr>
        <w:pStyle w:val="Heading3"/>
        <w:rPr>
          <w:sz w:val="24"/>
          <w:szCs w:val="24"/>
        </w:rPr>
      </w:pPr>
      <w:r w:rsidRPr="008A7224">
        <w:rPr>
          <w:sz w:val="24"/>
          <w:szCs w:val="24"/>
        </w:rPr>
        <w:lastRenderedPageBreak/>
        <w:t>Ability to work flexibly as part of a team, adapting to changing priorities and workloads</w:t>
      </w:r>
      <w:r w:rsidR="005C67D5">
        <w:rPr>
          <w:sz w:val="24"/>
          <w:szCs w:val="24"/>
        </w:rPr>
        <w:t>.</w:t>
      </w:r>
    </w:p>
    <w:p w14:paraId="61855F80" w14:textId="731310DB" w:rsidR="008A7224" w:rsidRPr="00BD38BA" w:rsidRDefault="008A7224" w:rsidP="00BD38BA">
      <w:pPr>
        <w:pStyle w:val="Heading3"/>
        <w:rPr>
          <w:sz w:val="24"/>
          <w:szCs w:val="24"/>
        </w:rPr>
      </w:pPr>
      <w:r w:rsidRPr="008A7224">
        <w:rPr>
          <w:sz w:val="24"/>
          <w:szCs w:val="24"/>
        </w:rPr>
        <w:t>Ability to engage with senior stakeholders across the public and private sectors to identify needs, constructively challenge assumptions, breakdown busine</w:t>
      </w:r>
      <w:r w:rsidR="00BD38BA">
        <w:rPr>
          <w:sz w:val="24"/>
          <w:szCs w:val="24"/>
        </w:rPr>
        <w:t>ss problems and offer solutions.</w:t>
      </w:r>
    </w:p>
    <w:p w14:paraId="21D86DFE" w14:textId="0688EC49" w:rsidR="008A7224" w:rsidRPr="00BD38BA" w:rsidRDefault="008A7224" w:rsidP="00BD38BA">
      <w:pPr>
        <w:pStyle w:val="Heading3"/>
        <w:rPr>
          <w:sz w:val="24"/>
          <w:szCs w:val="24"/>
        </w:rPr>
      </w:pPr>
      <w:r w:rsidRPr="008A7224">
        <w:rPr>
          <w:sz w:val="24"/>
          <w:szCs w:val="24"/>
        </w:rPr>
        <w:t>Ability to deliver at speed and under pressure, balancing both immediate priorities and longer-term goals.</w:t>
      </w:r>
    </w:p>
    <w:p w14:paraId="3873AF90" w14:textId="3151B991" w:rsidR="008A7224" w:rsidRPr="00BD38BA" w:rsidRDefault="008A7224" w:rsidP="00BD38BA">
      <w:pPr>
        <w:pStyle w:val="Heading3"/>
        <w:rPr>
          <w:sz w:val="24"/>
          <w:szCs w:val="24"/>
        </w:rPr>
      </w:pPr>
      <w:r w:rsidRPr="008A7224">
        <w:rPr>
          <w:sz w:val="24"/>
          <w:szCs w:val="24"/>
        </w:rPr>
        <w:t>Understanding of users and ability to identify who they are and what their needs are based on evidence.</w:t>
      </w:r>
    </w:p>
    <w:p w14:paraId="4922FDC8" w14:textId="77777777" w:rsidR="008A7224" w:rsidRDefault="008A7224" w:rsidP="008A7224">
      <w:pPr>
        <w:pStyle w:val="Heading3"/>
        <w:rPr>
          <w:sz w:val="24"/>
          <w:szCs w:val="24"/>
        </w:rPr>
      </w:pPr>
      <w:r w:rsidRPr="008A7224">
        <w:rPr>
          <w:sz w:val="24"/>
          <w:szCs w:val="24"/>
        </w:rPr>
        <w:t>Ability to coach existing staff within the Commission on business analysis techniques as well as ensuring knowledge transfer is retained</w:t>
      </w:r>
    </w:p>
    <w:p w14:paraId="4F7DA03D" w14:textId="70B9BC17" w:rsidR="008A7224" w:rsidRPr="0036676A" w:rsidRDefault="008A7224" w:rsidP="0036676A">
      <w:pPr>
        <w:pStyle w:val="Heading2"/>
        <w:rPr>
          <w:sz w:val="24"/>
          <w:szCs w:val="24"/>
        </w:rPr>
      </w:pPr>
      <w:r w:rsidRPr="0036676A">
        <w:rPr>
          <w:sz w:val="24"/>
          <w:szCs w:val="24"/>
        </w:rPr>
        <w:t>Desirable experience, knowledge and skills</w:t>
      </w:r>
    </w:p>
    <w:p w14:paraId="3D24E752" w14:textId="1D659767" w:rsidR="008A7224" w:rsidRPr="008A7224" w:rsidRDefault="008A7224" w:rsidP="008A7224">
      <w:pPr>
        <w:pStyle w:val="Heading3"/>
        <w:rPr>
          <w:sz w:val="24"/>
          <w:szCs w:val="24"/>
        </w:rPr>
      </w:pPr>
      <w:r w:rsidRPr="008A7224">
        <w:rPr>
          <w:sz w:val="24"/>
          <w:szCs w:val="24"/>
        </w:rPr>
        <w:t>Experience of developing project concepts, analysing problem spaces, assessing option</w:t>
      </w:r>
      <w:r>
        <w:rPr>
          <w:sz w:val="24"/>
          <w:szCs w:val="24"/>
        </w:rPr>
        <w:t>s and developing business cases.</w:t>
      </w:r>
    </w:p>
    <w:p w14:paraId="47E8E911" w14:textId="1449EAD1" w:rsidR="008A7224" w:rsidRPr="008A7224" w:rsidRDefault="008A7224" w:rsidP="008A7224">
      <w:pPr>
        <w:pStyle w:val="Heading3"/>
        <w:rPr>
          <w:sz w:val="24"/>
          <w:szCs w:val="24"/>
        </w:rPr>
      </w:pPr>
      <w:r w:rsidRPr="008A7224">
        <w:rPr>
          <w:sz w:val="24"/>
          <w:szCs w:val="24"/>
        </w:rPr>
        <w:t>An awareness and understanding of agile methodology and how to apply the agile mind-set to all aspects of their work.</w:t>
      </w:r>
    </w:p>
    <w:p w14:paraId="1FBF9A6E" w14:textId="65CE2738" w:rsidR="008A7224" w:rsidRPr="005C67D5" w:rsidRDefault="008A7224" w:rsidP="0036676A">
      <w:pPr>
        <w:pStyle w:val="Heading3"/>
        <w:rPr>
          <w:sz w:val="24"/>
          <w:szCs w:val="24"/>
        </w:rPr>
      </w:pPr>
      <w:r w:rsidRPr="008A7224">
        <w:rPr>
          <w:sz w:val="24"/>
          <w:szCs w:val="24"/>
        </w:rPr>
        <w:t>Experience of, or an interest in, the geospatial sectors, and working with Geospatial data.</w:t>
      </w:r>
    </w:p>
    <w:p w14:paraId="3491B80B" w14:textId="77777777" w:rsidR="00671798" w:rsidRPr="001A45DF" w:rsidRDefault="00FE18AC">
      <w:pPr>
        <w:pStyle w:val="Heading1"/>
        <w:spacing w:after="120"/>
        <w:rPr>
          <w:sz w:val="32"/>
          <w:szCs w:val="32"/>
        </w:rPr>
      </w:pPr>
      <w:bookmarkStart w:id="13" w:name="_Toc368573031"/>
      <w:bookmarkStart w:id="14" w:name="_Toc48655254"/>
      <w:r w:rsidRPr="001A45DF">
        <w:rPr>
          <w:sz w:val="32"/>
          <w:szCs w:val="32"/>
        </w:rPr>
        <w:t>The requirement</w:t>
      </w:r>
      <w:bookmarkEnd w:id="13"/>
      <w:bookmarkEnd w:id="14"/>
    </w:p>
    <w:p w14:paraId="57DBCE6A" w14:textId="3F605BA6" w:rsidR="00D12E3C" w:rsidRPr="00E060B7" w:rsidRDefault="00D12E3C" w:rsidP="00E060B7">
      <w:pPr>
        <w:pStyle w:val="Heading2"/>
        <w:rPr>
          <w:sz w:val="24"/>
          <w:szCs w:val="24"/>
        </w:rPr>
      </w:pPr>
      <w:r w:rsidRPr="00E060B7">
        <w:rPr>
          <w:sz w:val="24"/>
          <w:szCs w:val="24"/>
        </w:rPr>
        <w:t xml:space="preserve">The Requirement is for a period up to six (6) months commencing on Contract Award with the expectation for the </w:t>
      </w:r>
      <w:r w:rsidR="00D366FD" w:rsidRPr="00E060B7">
        <w:rPr>
          <w:sz w:val="24"/>
          <w:szCs w:val="24"/>
        </w:rPr>
        <w:t>Supplier</w:t>
      </w:r>
      <w:r w:rsidRPr="00E060B7">
        <w:rPr>
          <w:sz w:val="24"/>
          <w:szCs w:val="24"/>
        </w:rPr>
        <w:t xml:space="preserve"> to deliver all outputs </w:t>
      </w:r>
      <w:r w:rsidR="00751171" w:rsidRPr="00E060B7">
        <w:rPr>
          <w:sz w:val="24"/>
          <w:szCs w:val="24"/>
        </w:rPr>
        <w:t xml:space="preserve">but not limited to </w:t>
      </w:r>
      <w:r w:rsidRPr="00E060B7">
        <w:rPr>
          <w:sz w:val="24"/>
          <w:szCs w:val="24"/>
        </w:rPr>
        <w:t xml:space="preserve">as outlined in </w:t>
      </w:r>
      <w:r w:rsidR="009539BC">
        <w:rPr>
          <w:sz w:val="24"/>
          <w:szCs w:val="24"/>
        </w:rPr>
        <w:t>the Key Milestones and Deliverables (Section 3.1 Contract Order Form)</w:t>
      </w:r>
      <w:r w:rsidRPr="00E060B7">
        <w:rPr>
          <w:sz w:val="24"/>
          <w:szCs w:val="24"/>
        </w:rPr>
        <w:t xml:space="preserve">. </w:t>
      </w:r>
      <w:r w:rsidR="00E060B7" w:rsidRPr="00477E2F">
        <w:rPr>
          <w:sz w:val="24"/>
          <w:szCs w:val="24"/>
        </w:rPr>
        <w:t>There is an option to ext</w:t>
      </w:r>
      <w:r w:rsidR="0077342E">
        <w:rPr>
          <w:sz w:val="24"/>
          <w:szCs w:val="24"/>
        </w:rPr>
        <w:t>end for up to one (1) month.</w:t>
      </w:r>
    </w:p>
    <w:p w14:paraId="268A95B8" w14:textId="482C811D" w:rsidR="00D12E3C" w:rsidRPr="008B5377" w:rsidRDefault="00D12E3C" w:rsidP="00D12E3C">
      <w:pPr>
        <w:pStyle w:val="Heading2"/>
        <w:rPr>
          <w:sz w:val="24"/>
          <w:szCs w:val="24"/>
        </w:rPr>
      </w:pPr>
      <w:r w:rsidRPr="008B5377">
        <w:rPr>
          <w:sz w:val="24"/>
          <w:szCs w:val="24"/>
        </w:rPr>
        <w:t xml:space="preserve">The primary requirement is to carry out business analysis activity, provide technical </w:t>
      </w:r>
      <w:r w:rsidR="00180B7A">
        <w:rPr>
          <w:sz w:val="24"/>
          <w:szCs w:val="24"/>
        </w:rPr>
        <w:t>advice</w:t>
      </w:r>
      <w:r w:rsidR="00180B7A" w:rsidRPr="008B5377">
        <w:rPr>
          <w:sz w:val="24"/>
          <w:szCs w:val="24"/>
        </w:rPr>
        <w:t xml:space="preserve"> </w:t>
      </w:r>
      <w:r w:rsidRPr="008B5377">
        <w:rPr>
          <w:sz w:val="24"/>
          <w:szCs w:val="24"/>
        </w:rPr>
        <w:t>and assurance, produce reports and recommendations that provide a comprehensive overview of the project opportunities and challenges, as well as informin</w:t>
      </w:r>
      <w:r w:rsidR="00506DFD" w:rsidRPr="008B5377">
        <w:rPr>
          <w:sz w:val="24"/>
          <w:szCs w:val="24"/>
        </w:rPr>
        <w:t xml:space="preserve">g the decision making process.  </w:t>
      </w:r>
      <w:r w:rsidR="00BD38BA">
        <w:rPr>
          <w:sz w:val="24"/>
          <w:szCs w:val="24"/>
        </w:rPr>
        <w:t xml:space="preserve">The </w:t>
      </w:r>
      <w:r w:rsidR="00751171">
        <w:rPr>
          <w:sz w:val="24"/>
          <w:szCs w:val="24"/>
        </w:rPr>
        <w:t>Supplier</w:t>
      </w:r>
      <w:r w:rsidRPr="008B5377">
        <w:rPr>
          <w:sz w:val="24"/>
          <w:szCs w:val="24"/>
        </w:rPr>
        <w:t xml:space="preserve"> </w:t>
      </w:r>
      <w:r w:rsidR="005C67D5">
        <w:rPr>
          <w:sz w:val="24"/>
          <w:szCs w:val="24"/>
        </w:rPr>
        <w:t>will</w:t>
      </w:r>
      <w:r w:rsidR="00506DFD" w:rsidRPr="008B5377">
        <w:rPr>
          <w:sz w:val="24"/>
          <w:szCs w:val="24"/>
        </w:rPr>
        <w:t xml:space="preserve"> lead on all technical and</w:t>
      </w:r>
      <w:r w:rsidR="00BD38BA">
        <w:rPr>
          <w:sz w:val="24"/>
          <w:szCs w:val="24"/>
        </w:rPr>
        <w:t xml:space="preserve"> business analysis</w:t>
      </w:r>
      <w:r w:rsidR="00506DFD" w:rsidRPr="008B5377">
        <w:rPr>
          <w:sz w:val="24"/>
          <w:szCs w:val="24"/>
        </w:rPr>
        <w:t xml:space="preserve"> activity</w:t>
      </w:r>
      <w:r w:rsidRPr="008B5377">
        <w:rPr>
          <w:sz w:val="24"/>
          <w:szCs w:val="24"/>
        </w:rPr>
        <w:t>.</w:t>
      </w:r>
    </w:p>
    <w:p w14:paraId="53DA9CE0" w14:textId="3638A2A2" w:rsidR="008B5377" w:rsidRPr="008B5377" w:rsidRDefault="008B5377" w:rsidP="008B5377">
      <w:pPr>
        <w:pStyle w:val="Heading2"/>
        <w:numPr>
          <w:ilvl w:val="0"/>
          <w:numId w:val="0"/>
        </w:numPr>
        <w:ind w:firstLine="720"/>
        <w:rPr>
          <w:sz w:val="24"/>
          <w:szCs w:val="24"/>
        </w:rPr>
      </w:pPr>
      <w:r w:rsidRPr="008B5377">
        <w:rPr>
          <w:sz w:val="24"/>
          <w:szCs w:val="24"/>
        </w:rPr>
        <w:t>Key responsibilities will include:</w:t>
      </w:r>
    </w:p>
    <w:p w14:paraId="04C10F80" w14:textId="77777777" w:rsidR="008B5377" w:rsidRPr="008B5377" w:rsidRDefault="008B5377" w:rsidP="008B5377">
      <w:pPr>
        <w:pStyle w:val="Heading3"/>
        <w:rPr>
          <w:sz w:val="24"/>
          <w:szCs w:val="24"/>
        </w:rPr>
      </w:pPr>
      <w:r w:rsidRPr="008B5377">
        <w:rPr>
          <w:sz w:val="24"/>
          <w:szCs w:val="24"/>
        </w:rPr>
        <w:t xml:space="preserve">Lead on investigative work to identify existing problems in relation to access, use and creation of derived geospatial data. </w:t>
      </w:r>
    </w:p>
    <w:p w14:paraId="7D7C57F8" w14:textId="77777777" w:rsidR="008B5377" w:rsidRPr="008B5377" w:rsidRDefault="008B5377" w:rsidP="008B5377">
      <w:pPr>
        <w:pStyle w:val="Heading3"/>
        <w:rPr>
          <w:sz w:val="24"/>
          <w:szCs w:val="24"/>
        </w:rPr>
      </w:pPr>
      <w:r w:rsidRPr="008B5377">
        <w:rPr>
          <w:sz w:val="24"/>
          <w:szCs w:val="24"/>
        </w:rPr>
        <w:t xml:space="preserve">Lead on the analysis and collection of information to formulate evidence-based recommendations for data and service improvements. </w:t>
      </w:r>
    </w:p>
    <w:p w14:paraId="2647C752" w14:textId="2A5C45E1" w:rsidR="008B5377" w:rsidRPr="008B5377" w:rsidRDefault="008B5377" w:rsidP="008B5377">
      <w:pPr>
        <w:pStyle w:val="Heading3"/>
        <w:rPr>
          <w:sz w:val="24"/>
          <w:szCs w:val="24"/>
        </w:rPr>
      </w:pPr>
      <w:r w:rsidRPr="008B5377">
        <w:rPr>
          <w:sz w:val="24"/>
          <w:szCs w:val="24"/>
        </w:rPr>
        <w:lastRenderedPageBreak/>
        <w:t>Scope out work packages for stages of projects to be outsourced</w:t>
      </w:r>
      <w:r w:rsidR="005C67D5">
        <w:rPr>
          <w:sz w:val="24"/>
          <w:szCs w:val="24"/>
        </w:rPr>
        <w:t>.</w:t>
      </w:r>
    </w:p>
    <w:p w14:paraId="2AB662F1" w14:textId="378C1BA4" w:rsidR="008B5377" w:rsidRPr="008B5377" w:rsidRDefault="008B5377" w:rsidP="008B5377">
      <w:pPr>
        <w:pStyle w:val="Heading3"/>
        <w:rPr>
          <w:sz w:val="24"/>
          <w:szCs w:val="24"/>
        </w:rPr>
      </w:pPr>
      <w:r w:rsidRPr="008B5377">
        <w:rPr>
          <w:sz w:val="24"/>
          <w:szCs w:val="24"/>
        </w:rPr>
        <w:t xml:space="preserve">Set exit criteria </w:t>
      </w:r>
      <w:r w:rsidR="00180B7A">
        <w:rPr>
          <w:sz w:val="24"/>
          <w:szCs w:val="24"/>
        </w:rPr>
        <w:t xml:space="preserve">(technical) </w:t>
      </w:r>
      <w:r w:rsidRPr="008B5377">
        <w:rPr>
          <w:sz w:val="24"/>
          <w:szCs w:val="24"/>
        </w:rPr>
        <w:t>for specific project phases</w:t>
      </w:r>
      <w:r w:rsidR="005C67D5">
        <w:rPr>
          <w:sz w:val="24"/>
          <w:szCs w:val="24"/>
        </w:rPr>
        <w:t>.</w:t>
      </w:r>
    </w:p>
    <w:p w14:paraId="31FE7C56" w14:textId="3C6AADD1" w:rsidR="008B5377" w:rsidRPr="008B5377" w:rsidRDefault="008B5377" w:rsidP="008B5377">
      <w:pPr>
        <w:pStyle w:val="Heading3"/>
        <w:rPr>
          <w:sz w:val="24"/>
          <w:szCs w:val="24"/>
        </w:rPr>
      </w:pPr>
      <w:r w:rsidRPr="008B5377">
        <w:rPr>
          <w:sz w:val="24"/>
          <w:szCs w:val="24"/>
        </w:rPr>
        <w:t>Review outputs produced by suppliers, as well as providing sufficient challenge and identifying opportunities</w:t>
      </w:r>
      <w:r w:rsidR="005C67D5">
        <w:rPr>
          <w:sz w:val="24"/>
          <w:szCs w:val="24"/>
        </w:rPr>
        <w:t>.</w:t>
      </w:r>
      <w:r w:rsidRPr="008B5377">
        <w:rPr>
          <w:sz w:val="24"/>
          <w:szCs w:val="24"/>
        </w:rPr>
        <w:t xml:space="preserve"> </w:t>
      </w:r>
    </w:p>
    <w:p w14:paraId="3BCADA75" w14:textId="639AF15B" w:rsidR="008B5377" w:rsidRPr="008B5377" w:rsidRDefault="008B5377" w:rsidP="008B5377">
      <w:pPr>
        <w:pStyle w:val="Heading3"/>
        <w:rPr>
          <w:sz w:val="24"/>
          <w:szCs w:val="24"/>
        </w:rPr>
      </w:pPr>
      <w:r w:rsidRPr="008B5377">
        <w:rPr>
          <w:sz w:val="24"/>
          <w:szCs w:val="24"/>
        </w:rPr>
        <w:t>Carry out or lead on any relevant functionality, compatibility or acceptance testing activity</w:t>
      </w:r>
      <w:r w:rsidR="005C67D5">
        <w:rPr>
          <w:sz w:val="24"/>
          <w:szCs w:val="24"/>
        </w:rPr>
        <w:t>.</w:t>
      </w:r>
    </w:p>
    <w:p w14:paraId="0AF4BF58" w14:textId="4A2A265F" w:rsidR="008B5377" w:rsidRPr="008B5377" w:rsidRDefault="008B5377" w:rsidP="008B5377">
      <w:pPr>
        <w:pStyle w:val="Heading3"/>
        <w:rPr>
          <w:sz w:val="24"/>
          <w:szCs w:val="24"/>
        </w:rPr>
      </w:pPr>
      <w:r w:rsidRPr="008B5377">
        <w:rPr>
          <w:sz w:val="24"/>
          <w:szCs w:val="24"/>
        </w:rPr>
        <w:t>Provide technical advice regarding solutions as well as identifying risks and challenges</w:t>
      </w:r>
      <w:r w:rsidR="005C67D5">
        <w:rPr>
          <w:sz w:val="24"/>
          <w:szCs w:val="24"/>
        </w:rPr>
        <w:t>.</w:t>
      </w:r>
    </w:p>
    <w:p w14:paraId="6A5D4D1C" w14:textId="77777777" w:rsidR="008B5377" w:rsidRPr="008B5377" w:rsidRDefault="008B5377" w:rsidP="008B5377">
      <w:pPr>
        <w:pStyle w:val="Heading3"/>
        <w:rPr>
          <w:sz w:val="24"/>
          <w:szCs w:val="24"/>
        </w:rPr>
      </w:pPr>
      <w:r w:rsidRPr="008B5377">
        <w:rPr>
          <w:sz w:val="24"/>
          <w:szCs w:val="24"/>
        </w:rPr>
        <w:t>Support the process to identify projects that can be delivered with partners in the public and private sectors, in line with the Commission’s strategic objectives and Government priorities.</w:t>
      </w:r>
    </w:p>
    <w:p w14:paraId="18642994" w14:textId="77777777" w:rsidR="008B5377" w:rsidRPr="008B5377" w:rsidRDefault="008B5377" w:rsidP="008B5377">
      <w:pPr>
        <w:pStyle w:val="Heading3"/>
        <w:rPr>
          <w:sz w:val="24"/>
          <w:szCs w:val="24"/>
        </w:rPr>
      </w:pPr>
      <w:r w:rsidRPr="008B5377">
        <w:rPr>
          <w:sz w:val="24"/>
          <w:szCs w:val="24"/>
        </w:rPr>
        <w:t>Drive the research and gathering of business requirements against those articulated for the project, determining the need and value of performing the activity based on the context.</w:t>
      </w:r>
    </w:p>
    <w:p w14:paraId="559BD6A6" w14:textId="77777777" w:rsidR="008B5377" w:rsidRPr="008B5377" w:rsidRDefault="008B5377" w:rsidP="008B5377">
      <w:pPr>
        <w:pStyle w:val="Heading3"/>
        <w:rPr>
          <w:sz w:val="24"/>
          <w:szCs w:val="24"/>
        </w:rPr>
      </w:pPr>
      <w:r w:rsidRPr="008B5377">
        <w:rPr>
          <w:sz w:val="24"/>
          <w:szCs w:val="24"/>
        </w:rPr>
        <w:t>Assist in the design, set up and delivery of projects by evaluating requirements against the present state (where we are) &amp; the target state (where we want to be), developing business requirements needed to make the transition successful.</w:t>
      </w:r>
    </w:p>
    <w:p w14:paraId="56868DDF" w14:textId="77777777" w:rsidR="008B5377" w:rsidRPr="008B5377" w:rsidRDefault="008B5377" w:rsidP="008B5377">
      <w:pPr>
        <w:pStyle w:val="Heading3"/>
        <w:rPr>
          <w:sz w:val="24"/>
          <w:szCs w:val="24"/>
        </w:rPr>
      </w:pPr>
      <w:r w:rsidRPr="008B5377">
        <w:rPr>
          <w:sz w:val="24"/>
          <w:szCs w:val="24"/>
        </w:rPr>
        <w:t>Elicit requirements from subject area experts and users or potential users and translate these into functional specifications for suppliers and/or project leads.</w:t>
      </w:r>
    </w:p>
    <w:p w14:paraId="02FD8F9D" w14:textId="4E0EDD15" w:rsidR="008B5377" w:rsidRPr="008B5377" w:rsidRDefault="008B5377" w:rsidP="008B5377">
      <w:pPr>
        <w:pStyle w:val="Heading3"/>
        <w:rPr>
          <w:sz w:val="24"/>
          <w:szCs w:val="24"/>
        </w:rPr>
      </w:pPr>
      <w:r w:rsidRPr="008B5377">
        <w:rPr>
          <w:sz w:val="24"/>
          <w:szCs w:val="24"/>
        </w:rPr>
        <w:t>Analyse the potential consequences of a change, estimate what needs to be modified to accomplish that change, and scope changes within the details of the overall project design, identifying potential stakeholders</w:t>
      </w:r>
      <w:r w:rsidR="005C67D5">
        <w:rPr>
          <w:sz w:val="24"/>
          <w:szCs w:val="24"/>
        </w:rPr>
        <w:t>.</w:t>
      </w:r>
    </w:p>
    <w:p w14:paraId="547B2737" w14:textId="77777777" w:rsidR="008B5377" w:rsidRPr="008B5377" w:rsidRDefault="008B5377" w:rsidP="008B5377">
      <w:pPr>
        <w:pStyle w:val="Heading3"/>
        <w:rPr>
          <w:sz w:val="24"/>
          <w:szCs w:val="24"/>
        </w:rPr>
      </w:pPr>
      <w:r w:rsidRPr="008B5377">
        <w:rPr>
          <w:sz w:val="24"/>
          <w:szCs w:val="24"/>
        </w:rPr>
        <w:t>Work with users (internal and external) to identify needs.</w:t>
      </w:r>
    </w:p>
    <w:p w14:paraId="1805103C" w14:textId="64ED27AF" w:rsidR="008B5377" w:rsidRDefault="008B5377" w:rsidP="008B5377">
      <w:pPr>
        <w:pStyle w:val="Heading3"/>
        <w:rPr>
          <w:sz w:val="24"/>
          <w:szCs w:val="24"/>
        </w:rPr>
      </w:pPr>
      <w:r w:rsidRPr="008B5377">
        <w:rPr>
          <w:sz w:val="24"/>
          <w:szCs w:val="24"/>
        </w:rPr>
        <w:t>Engage with policy and strategy colleagues to ensure business systems, workflows and processes contribute to the target operating model.</w:t>
      </w:r>
    </w:p>
    <w:p w14:paraId="79185AA8" w14:textId="60ACC53B" w:rsidR="009E28F2" w:rsidRDefault="009E28F2" w:rsidP="008B5377">
      <w:pPr>
        <w:pStyle w:val="Heading3"/>
        <w:rPr>
          <w:sz w:val="24"/>
          <w:szCs w:val="24"/>
        </w:rPr>
      </w:pPr>
      <w:r>
        <w:rPr>
          <w:sz w:val="24"/>
          <w:szCs w:val="24"/>
        </w:rPr>
        <w:t xml:space="preserve">Lead on engagement with GDS and </w:t>
      </w:r>
      <w:r w:rsidR="0067598A">
        <w:rPr>
          <w:sz w:val="24"/>
          <w:szCs w:val="24"/>
        </w:rPr>
        <w:t>seek relevant approvals</w:t>
      </w:r>
      <w:r w:rsidR="005C67D5">
        <w:rPr>
          <w:sz w:val="24"/>
          <w:szCs w:val="24"/>
        </w:rPr>
        <w:t>.</w:t>
      </w:r>
    </w:p>
    <w:p w14:paraId="5F175454" w14:textId="2A1A35E7" w:rsidR="00180B7A" w:rsidRDefault="00180B7A" w:rsidP="008B5377">
      <w:pPr>
        <w:pStyle w:val="Heading3"/>
        <w:rPr>
          <w:sz w:val="24"/>
          <w:szCs w:val="24"/>
        </w:rPr>
      </w:pPr>
      <w:r>
        <w:rPr>
          <w:sz w:val="24"/>
          <w:szCs w:val="24"/>
        </w:rPr>
        <w:t>Lead on system architects and developer engagement</w:t>
      </w:r>
      <w:r w:rsidRPr="00F54080">
        <w:rPr>
          <w:sz w:val="24"/>
          <w:szCs w:val="24"/>
        </w:rPr>
        <w:t xml:space="preserve"> </w:t>
      </w:r>
      <w:r>
        <w:rPr>
          <w:sz w:val="24"/>
          <w:szCs w:val="24"/>
        </w:rPr>
        <w:t>and make recomm</w:t>
      </w:r>
      <w:r w:rsidRPr="00F54080">
        <w:rPr>
          <w:sz w:val="24"/>
          <w:szCs w:val="24"/>
        </w:rPr>
        <w:t>e</w:t>
      </w:r>
      <w:r>
        <w:rPr>
          <w:sz w:val="24"/>
          <w:szCs w:val="24"/>
        </w:rPr>
        <w:t>ndations to e</w:t>
      </w:r>
      <w:r w:rsidRPr="00F54080">
        <w:rPr>
          <w:sz w:val="24"/>
          <w:szCs w:val="24"/>
        </w:rPr>
        <w:t xml:space="preserve">nsure systems </w:t>
      </w:r>
      <w:r>
        <w:rPr>
          <w:sz w:val="24"/>
          <w:szCs w:val="24"/>
        </w:rPr>
        <w:t xml:space="preserve">and processes </w:t>
      </w:r>
      <w:r w:rsidRPr="00F54080">
        <w:rPr>
          <w:sz w:val="24"/>
          <w:szCs w:val="24"/>
        </w:rPr>
        <w:t>are properly implemented</w:t>
      </w:r>
    </w:p>
    <w:p w14:paraId="4A929684" w14:textId="059C1AA7" w:rsidR="00180B7A" w:rsidRPr="008B5377" w:rsidRDefault="00180B7A" w:rsidP="008B5377">
      <w:pPr>
        <w:pStyle w:val="Heading3"/>
        <w:rPr>
          <w:sz w:val="24"/>
          <w:szCs w:val="24"/>
        </w:rPr>
      </w:pPr>
      <w:r>
        <w:rPr>
          <w:sz w:val="24"/>
          <w:szCs w:val="24"/>
        </w:rPr>
        <w:t>C</w:t>
      </w:r>
      <w:r w:rsidRPr="0067598A">
        <w:rPr>
          <w:sz w:val="24"/>
          <w:szCs w:val="24"/>
        </w:rPr>
        <w:t>oach existing staff within the Commission on business analysis techniques as well as ensuring knowledge transfer is retained</w:t>
      </w:r>
    </w:p>
    <w:p w14:paraId="1502CBC4" w14:textId="76942A24" w:rsidR="008B5377" w:rsidRPr="008B5377" w:rsidRDefault="008B5377" w:rsidP="008B5377">
      <w:pPr>
        <w:pStyle w:val="Heading3"/>
        <w:rPr>
          <w:sz w:val="24"/>
          <w:szCs w:val="24"/>
        </w:rPr>
      </w:pPr>
      <w:r w:rsidRPr="008B5377">
        <w:rPr>
          <w:sz w:val="24"/>
          <w:szCs w:val="24"/>
        </w:rPr>
        <w:lastRenderedPageBreak/>
        <w:t>Capture lessons learned from projects and ensure they are effectively used to inform future activity</w:t>
      </w:r>
      <w:r w:rsidR="005C67D5">
        <w:rPr>
          <w:sz w:val="24"/>
          <w:szCs w:val="24"/>
        </w:rPr>
        <w:t>.</w:t>
      </w:r>
    </w:p>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5"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6" w:name="_Toc368573033"/>
      <w:bookmarkStart w:id="17" w:name="_Toc48655255"/>
      <w:r w:rsidRPr="001A45DF">
        <w:rPr>
          <w:rFonts w:cs="Arial"/>
          <w:sz w:val="32"/>
          <w:szCs w:val="32"/>
        </w:rPr>
        <w:t>MANAGEMENT INFORMATION/</w:t>
      </w:r>
      <w:r w:rsidR="00FE18AC" w:rsidRPr="001A45DF">
        <w:rPr>
          <w:rFonts w:cs="Arial"/>
          <w:sz w:val="32"/>
          <w:szCs w:val="32"/>
        </w:rPr>
        <w:t>reporting</w:t>
      </w:r>
      <w:bookmarkEnd w:id="16"/>
      <w:bookmarkEnd w:id="17"/>
    </w:p>
    <w:p w14:paraId="3AB9FCA7" w14:textId="6EA8B4FC" w:rsidR="00671798" w:rsidRPr="00E101CA" w:rsidRDefault="00A778D8" w:rsidP="00E101CA">
      <w:pPr>
        <w:pStyle w:val="Heading1"/>
        <w:numPr>
          <w:ilvl w:val="0"/>
          <w:numId w:val="0"/>
        </w:numPr>
        <w:ind w:left="720"/>
        <w:rPr>
          <w:b w:val="0"/>
          <w:caps w:val="0"/>
          <w:sz w:val="24"/>
          <w:szCs w:val="24"/>
        </w:rPr>
      </w:pPr>
      <w:bookmarkStart w:id="18" w:name="_Toc45113835"/>
      <w:bookmarkStart w:id="19" w:name="_Toc368573034"/>
      <w:bookmarkStart w:id="20" w:name="_Toc48655256"/>
      <w:r w:rsidRPr="00A778D8">
        <w:rPr>
          <w:b w:val="0"/>
          <w:caps w:val="0"/>
          <w:sz w:val="24"/>
          <w:szCs w:val="24"/>
        </w:rPr>
        <w:t xml:space="preserve">The Supplier shall give regular updates on progress through weekly progress review meetings by teleconference. The Supplier shall provide more detailed updates at key points in the Contract as outlined in the milestones in </w:t>
      </w:r>
      <w:r w:rsidR="009539BC" w:rsidRPr="009539BC">
        <w:rPr>
          <w:b w:val="0"/>
          <w:caps w:val="0"/>
          <w:sz w:val="24"/>
          <w:szCs w:val="24"/>
        </w:rPr>
        <w:t>Key Milestones and Deliverables (Section 3.1 Contract Order Form</w:t>
      </w:r>
      <w:r w:rsidR="009539BC">
        <w:rPr>
          <w:b w:val="0"/>
          <w:caps w:val="0"/>
          <w:sz w:val="24"/>
          <w:szCs w:val="24"/>
        </w:rPr>
        <w:t>)</w:t>
      </w:r>
      <w:r w:rsidRPr="00A778D8">
        <w:rPr>
          <w:b w:val="0"/>
          <w:caps w:val="0"/>
          <w:sz w:val="24"/>
          <w:szCs w:val="24"/>
        </w:rPr>
        <w:t>, either through Contract Review meetings or other discrete meetings as agreed with the Customer.</w:t>
      </w:r>
      <w:bookmarkEnd w:id="18"/>
      <w:bookmarkEnd w:id="19"/>
      <w:bookmarkEnd w:id="20"/>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1" w:name="_Toc368573035"/>
      <w:bookmarkStart w:id="22" w:name="_Toc48655257"/>
      <w:r w:rsidRPr="001A45DF">
        <w:rPr>
          <w:rFonts w:cs="Arial"/>
          <w:sz w:val="32"/>
          <w:szCs w:val="32"/>
        </w:rPr>
        <w:t>continuous improvement</w:t>
      </w:r>
      <w:bookmarkEnd w:id="21"/>
      <w:bookmarkEnd w:id="22"/>
    </w:p>
    <w:p w14:paraId="5DA81DC6" w14:textId="77777777" w:rsidR="00F24523" w:rsidRPr="00F24523" w:rsidRDefault="00F24523" w:rsidP="00F24523">
      <w:pPr>
        <w:pStyle w:val="Heading2"/>
        <w:rPr>
          <w:sz w:val="24"/>
          <w:szCs w:val="24"/>
        </w:rPr>
      </w:pPr>
      <w:r w:rsidRPr="00F24523">
        <w:rPr>
          <w:sz w:val="24"/>
          <w:szCs w:val="24"/>
        </w:rPr>
        <w:t>The Supplier will be expected to continually improve the way in which the required Services are to be delivered throughout the Contract duration.</w:t>
      </w:r>
    </w:p>
    <w:p w14:paraId="158B24A7" w14:textId="77777777" w:rsidR="00F24523" w:rsidRPr="00F24523" w:rsidRDefault="00F24523" w:rsidP="00F24523">
      <w:pPr>
        <w:pStyle w:val="Heading2"/>
        <w:rPr>
          <w:sz w:val="24"/>
          <w:szCs w:val="24"/>
        </w:rPr>
      </w:pPr>
      <w:r w:rsidRPr="00F24523">
        <w:rPr>
          <w:sz w:val="24"/>
          <w:szCs w:val="24"/>
        </w:rPr>
        <w:t xml:space="preserve">The Supplier should present new ways of working to the Customer during Contract review meetings. </w:t>
      </w:r>
    </w:p>
    <w:p w14:paraId="031D2B5A" w14:textId="2650AB15" w:rsidR="00671798" w:rsidRPr="00F24523" w:rsidRDefault="00F24523" w:rsidP="00F24523">
      <w:pPr>
        <w:pStyle w:val="Heading2"/>
        <w:rPr>
          <w:sz w:val="24"/>
          <w:szCs w:val="24"/>
        </w:rPr>
      </w:pPr>
      <w:r w:rsidRPr="00F24523">
        <w:rPr>
          <w:sz w:val="24"/>
          <w:szCs w:val="24"/>
        </w:rPr>
        <w:t>Changes to the way in which the Services are to be delivered must be brought to the Customer’s attention and agreed prior to any changes being implemented.</w:t>
      </w:r>
    </w:p>
    <w:p w14:paraId="1114BE17" w14:textId="737A91F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3" w:name="_Toc368573036"/>
      <w:bookmarkStart w:id="24" w:name="_Toc48655258"/>
      <w:r w:rsidRPr="001A45DF">
        <w:rPr>
          <w:rFonts w:cs="Arial"/>
          <w:sz w:val="32"/>
          <w:szCs w:val="32"/>
        </w:rPr>
        <w:t>quality</w:t>
      </w:r>
      <w:bookmarkEnd w:id="23"/>
      <w:bookmarkEnd w:id="24"/>
    </w:p>
    <w:p w14:paraId="2560C9B7" w14:textId="23B2D4F9" w:rsidR="00D52278" w:rsidRPr="00D52278" w:rsidRDefault="00D52278" w:rsidP="00D52278">
      <w:pPr>
        <w:pStyle w:val="Heading2"/>
        <w:rPr>
          <w:sz w:val="24"/>
          <w:szCs w:val="24"/>
        </w:rPr>
      </w:pPr>
      <w:r w:rsidRPr="00D52278">
        <w:rPr>
          <w:sz w:val="24"/>
          <w:szCs w:val="24"/>
        </w:rPr>
        <w:t>The Supplier shall have sound processes for quality assurance of both quantitative and qualitative out</w:t>
      </w:r>
      <w:r w:rsidR="0077342E">
        <w:rPr>
          <w:sz w:val="24"/>
          <w:szCs w:val="24"/>
        </w:rPr>
        <w:t>puts in place. Suppliers</w:t>
      </w:r>
      <w:r w:rsidRPr="00D52278">
        <w:rPr>
          <w:sz w:val="24"/>
          <w:szCs w:val="24"/>
        </w:rPr>
        <w:t xml:space="preserve"> shall outline within their proposals their internal procedures for assurance and quality control in reference to the research, including: </w:t>
      </w:r>
    </w:p>
    <w:p w14:paraId="0D273931" w14:textId="77777777" w:rsidR="00D52278" w:rsidRPr="00D52278" w:rsidRDefault="00D52278" w:rsidP="00D52278">
      <w:pPr>
        <w:pStyle w:val="Heading2"/>
        <w:rPr>
          <w:sz w:val="24"/>
          <w:szCs w:val="24"/>
        </w:rPr>
      </w:pPr>
      <w:r w:rsidRPr="00D52278">
        <w:rPr>
          <w:sz w:val="24"/>
          <w:szCs w:val="24"/>
        </w:rPr>
        <w:t xml:space="preserve">Procedures for working closely with the Customer; </w:t>
      </w:r>
    </w:p>
    <w:p w14:paraId="34C9B9C2" w14:textId="77777777" w:rsidR="00D52278" w:rsidRPr="00D52278" w:rsidRDefault="00D52278" w:rsidP="00D52278">
      <w:pPr>
        <w:pStyle w:val="Heading2"/>
        <w:rPr>
          <w:sz w:val="24"/>
          <w:szCs w:val="24"/>
        </w:rPr>
      </w:pPr>
      <w:r w:rsidRPr="00D52278">
        <w:rPr>
          <w:sz w:val="24"/>
          <w:szCs w:val="24"/>
        </w:rPr>
        <w:t xml:space="preserve">The approach to report writing, ensuring deliverables meet key objectives; </w:t>
      </w:r>
    </w:p>
    <w:p w14:paraId="3E8C5B44" w14:textId="5BD981BB" w:rsidR="005C2A84" w:rsidRPr="008A379B" w:rsidRDefault="00D52278" w:rsidP="008A379B">
      <w:pPr>
        <w:pStyle w:val="Heading2"/>
        <w:rPr>
          <w:sz w:val="24"/>
          <w:szCs w:val="24"/>
        </w:rPr>
      </w:pPr>
      <w:r w:rsidRPr="00D52278">
        <w:rPr>
          <w:sz w:val="24"/>
          <w:szCs w:val="24"/>
        </w:rPr>
        <w:t>Procedures for handling complaints.</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8"/>
      <w:bookmarkStart w:id="26" w:name="_Toc48655259"/>
      <w:r w:rsidRPr="001A45DF">
        <w:rPr>
          <w:rFonts w:cs="Arial"/>
          <w:sz w:val="32"/>
          <w:szCs w:val="32"/>
        </w:rPr>
        <w:t>STAFF AND CUSTOMER SERVICE</w:t>
      </w:r>
      <w:bookmarkEnd w:id="25"/>
      <w:bookmarkEnd w:id="26"/>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40788769"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253574">
        <w:rPr>
          <w:sz w:val="24"/>
          <w:szCs w:val="24"/>
        </w:rPr>
        <w:t xml:space="preserve"> as outlined in </w:t>
      </w:r>
      <w:r w:rsidR="009539BC">
        <w:rPr>
          <w:sz w:val="24"/>
          <w:szCs w:val="24"/>
        </w:rPr>
        <w:t>Statement of Requirements and Contract Order Form.</w:t>
      </w:r>
      <w:r w:rsidR="00FE18AC" w:rsidRPr="001A45DF">
        <w:rPr>
          <w:sz w:val="24"/>
          <w:szCs w:val="24"/>
        </w:rPr>
        <w:t xml:space="preserve"> </w:t>
      </w:r>
    </w:p>
    <w:p w14:paraId="0837E02A" w14:textId="703FAC63"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w:t>
      </w:r>
      <w:r w:rsidR="00253574">
        <w:rPr>
          <w:sz w:val="24"/>
          <w:szCs w:val="24"/>
        </w:rPr>
        <w:t>Customer’s</w:t>
      </w:r>
      <w:r w:rsidR="00FE18AC" w:rsidRPr="001A45DF">
        <w:rPr>
          <w:sz w:val="24"/>
          <w:szCs w:val="24"/>
        </w:rPr>
        <w:t xml:space="preserve"> vision and objectives and </w:t>
      </w:r>
      <w:r w:rsidR="00E63412" w:rsidRPr="001A45DF">
        <w:rPr>
          <w:sz w:val="24"/>
          <w:szCs w:val="24"/>
        </w:rPr>
        <w:t xml:space="preserve">will </w:t>
      </w:r>
      <w:r w:rsidR="00FE18AC" w:rsidRPr="001A45DF">
        <w:rPr>
          <w:sz w:val="24"/>
          <w:szCs w:val="24"/>
        </w:rPr>
        <w:t xml:space="preserve">provide excellent customer service to the </w:t>
      </w:r>
      <w:r w:rsidR="00253574">
        <w:rPr>
          <w:sz w:val="24"/>
          <w:szCs w:val="24"/>
        </w:rPr>
        <w:t>Customer</w:t>
      </w:r>
      <w:r w:rsidR="00FE18AC" w:rsidRPr="001A45DF">
        <w:rPr>
          <w:sz w:val="24"/>
          <w:szCs w:val="24"/>
        </w:rPr>
        <w:t xml:space="preserve"> throughout the duration of the Contract.  </w:t>
      </w:r>
    </w:p>
    <w:p w14:paraId="3F767EF8" w14:textId="19C77641" w:rsidR="00671798" w:rsidRPr="001A45DF" w:rsidRDefault="00FE18AC">
      <w:pPr>
        <w:pStyle w:val="Heading1"/>
        <w:spacing w:after="120"/>
        <w:rPr>
          <w:sz w:val="32"/>
          <w:szCs w:val="32"/>
        </w:rPr>
      </w:pPr>
      <w:bookmarkStart w:id="27" w:name="_Toc368573040"/>
      <w:bookmarkStart w:id="28" w:name="_Toc48655260"/>
      <w:r w:rsidRPr="001A45DF">
        <w:rPr>
          <w:sz w:val="32"/>
          <w:szCs w:val="32"/>
        </w:rPr>
        <w:lastRenderedPageBreak/>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27"/>
      <w:bookmarkEnd w:id="28"/>
    </w:p>
    <w:p w14:paraId="7FEDB096" w14:textId="28DCF567" w:rsidR="00F940D5" w:rsidRPr="00F940D5" w:rsidRDefault="00F940D5" w:rsidP="00F940D5">
      <w:pPr>
        <w:pStyle w:val="Heading2"/>
        <w:rPr>
          <w:sz w:val="24"/>
          <w:szCs w:val="24"/>
        </w:rPr>
      </w:pPr>
      <w:r>
        <w:rPr>
          <w:sz w:val="24"/>
          <w:szCs w:val="24"/>
        </w:rPr>
        <w:t>In light of Coivd-19 measures,</w:t>
      </w:r>
      <w:r w:rsidRPr="00F940D5">
        <w:rPr>
          <w:sz w:val="24"/>
          <w:szCs w:val="24"/>
        </w:rPr>
        <w:t xml:space="preserve"> meetings </w:t>
      </w:r>
      <w:r>
        <w:rPr>
          <w:sz w:val="24"/>
          <w:szCs w:val="24"/>
        </w:rPr>
        <w:t xml:space="preserve">will be held remotely using Google Hangouts. If and when social distancing measures are relaxed, meeting will be </w:t>
      </w:r>
      <w:r w:rsidRPr="00F940D5">
        <w:rPr>
          <w:sz w:val="24"/>
          <w:szCs w:val="24"/>
        </w:rPr>
        <w:t xml:space="preserve">held at the Customer’s </w:t>
      </w:r>
      <w:r>
        <w:rPr>
          <w:sz w:val="24"/>
          <w:szCs w:val="24"/>
        </w:rPr>
        <w:t xml:space="preserve">current </w:t>
      </w:r>
      <w:r w:rsidRPr="00F940D5">
        <w:rPr>
          <w:sz w:val="24"/>
          <w:szCs w:val="24"/>
        </w:rPr>
        <w:t xml:space="preserve">location (100 Parliament Street, London, SW1A 2BQ) the Supplier shall need to be escorted to/from meetings and around the building due to security restrictions. </w:t>
      </w:r>
    </w:p>
    <w:p w14:paraId="5C9C702A" w14:textId="77777777" w:rsidR="00F940D5" w:rsidRPr="00F940D5" w:rsidRDefault="00F940D5" w:rsidP="00F940D5">
      <w:pPr>
        <w:pStyle w:val="Heading2"/>
        <w:rPr>
          <w:sz w:val="24"/>
          <w:szCs w:val="24"/>
        </w:rPr>
      </w:pPr>
      <w:r w:rsidRPr="00F940D5">
        <w:rPr>
          <w:sz w:val="24"/>
          <w:szCs w:val="24"/>
        </w:rPr>
        <w:t>The successful Supplier will need to confirm the attendee’s names to the Customer’s point of contact with twenty-four (24) hours’ notice of the meeting.</w:t>
      </w:r>
    </w:p>
    <w:p w14:paraId="7887D6E4" w14:textId="77777777" w:rsidR="00F940D5" w:rsidRPr="00F940D5" w:rsidRDefault="00F940D5" w:rsidP="00F940D5">
      <w:pPr>
        <w:pStyle w:val="Heading2"/>
        <w:rPr>
          <w:sz w:val="24"/>
          <w:szCs w:val="24"/>
        </w:rPr>
      </w:pPr>
      <w:r w:rsidRPr="00F940D5">
        <w:rPr>
          <w:sz w:val="24"/>
          <w:szCs w:val="24"/>
        </w:rPr>
        <w:t>The results/deliverables of the Contract should not be shared wider than the Supplier’s project team without receiving any explicit written approval from the Customer.</w:t>
      </w:r>
    </w:p>
    <w:p w14:paraId="0E4BEEA7" w14:textId="318C82AD" w:rsidR="00F940D5" w:rsidRPr="00F940D5" w:rsidRDefault="00F940D5" w:rsidP="00F940D5">
      <w:pPr>
        <w:pStyle w:val="Heading2"/>
        <w:rPr>
          <w:sz w:val="24"/>
          <w:szCs w:val="24"/>
        </w:rPr>
      </w:pPr>
      <w:r w:rsidRPr="00F940D5">
        <w:rPr>
          <w:sz w:val="24"/>
          <w:szCs w:val="24"/>
        </w:rPr>
        <w:t>The resulting outputs shall be the intellectual property of the Customer. The analysis, data collected, the interim and final reports, shall also be the property of the Customer. The Supplier shall not disclose the report (either in part or in full) to any third parties prior to publication by the Customer, unless the Customer gives expressed written consent to do so</w:t>
      </w:r>
      <w:r w:rsidR="00C02589">
        <w:rPr>
          <w:sz w:val="24"/>
          <w:szCs w:val="24"/>
        </w:rPr>
        <w:t>.</w:t>
      </w:r>
      <w:r w:rsidR="0073087F">
        <w:rPr>
          <w:sz w:val="24"/>
          <w:szCs w:val="24"/>
        </w:rPr>
        <w:t xml:space="preserve"> </w:t>
      </w:r>
    </w:p>
    <w:p w14:paraId="120F4008" w14:textId="767DEFFA" w:rsidR="00F940D5" w:rsidRPr="00F940D5" w:rsidRDefault="00F940D5" w:rsidP="00F940D5">
      <w:pPr>
        <w:pStyle w:val="Heading2"/>
        <w:rPr>
          <w:sz w:val="24"/>
          <w:szCs w:val="24"/>
        </w:rPr>
      </w:pPr>
      <w:r w:rsidRPr="00F940D5">
        <w:rPr>
          <w:sz w:val="24"/>
          <w:szCs w:val="24"/>
        </w:rPr>
        <w:t>All data security processes must be compliant with the General Data Protection Regulation (GDPR)</w:t>
      </w:r>
      <w:r w:rsidR="00C02589">
        <w:rPr>
          <w:sz w:val="24"/>
          <w:szCs w:val="24"/>
        </w:rPr>
        <w:t xml:space="preserve"> as well as all other applicable laws of England and Wales.</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48655261"/>
      <w:r w:rsidRPr="001A45DF">
        <w:rPr>
          <w:rFonts w:cs="Arial"/>
          <w:sz w:val="32"/>
          <w:szCs w:val="32"/>
        </w:rPr>
        <w:t>CONTRACT MANAGEMENT</w:t>
      </w:r>
      <w:bookmarkEnd w:id="29"/>
      <w:r w:rsidR="00FE18AC" w:rsidRPr="001A45DF">
        <w:rPr>
          <w:rFonts w:cs="Arial"/>
          <w:sz w:val="32"/>
          <w:szCs w:val="32"/>
        </w:rPr>
        <w:t xml:space="preserve"> </w:t>
      </w:r>
    </w:p>
    <w:p w14:paraId="37EF8D49" w14:textId="78122114" w:rsidR="0073087F" w:rsidRDefault="0073087F" w:rsidP="00BE5FEF">
      <w:pPr>
        <w:pStyle w:val="Heading2"/>
        <w:spacing w:after="120"/>
        <w:ind w:left="709" w:hanging="709"/>
        <w:rPr>
          <w:sz w:val="24"/>
          <w:szCs w:val="24"/>
        </w:rPr>
      </w:pPr>
      <w:r>
        <w:rPr>
          <w:sz w:val="24"/>
          <w:szCs w:val="24"/>
        </w:rPr>
        <w:t>The Customer and the Supplier will be responsible for managing this Contract upon award.</w:t>
      </w:r>
    </w:p>
    <w:p w14:paraId="788E4129" w14:textId="28BC9DD9" w:rsidR="00BE5FEF"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67004CEB" w14:textId="3F26E56D" w:rsidR="00CA2BF9" w:rsidRPr="00CA2BF9" w:rsidRDefault="00CA2BF9" w:rsidP="00CA2BF9">
      <w:pPr>
        <w:pStyle w:val="Heading2"/>
        <w:rPr>
          <w:sz w:val="24"/>
          <w:szCs w:val="24"/>
        </w:rPr>
      </w:pPr>
      <w:r w:rsidRPr="00CA2BF9">
        <w:rPr>
          <w:sz w:val="24"/>
          <w:szCs w:val="24"/>
        </w:rPr>
        <w:t>Progress reporting should be given to the Customer weekly. The format and detail covered within these updates is to be agreed at the project kick off meeting.</w:t>
      </w:r>
    </w:p>
    <w:p w14:paraId="04BBE808" w14:textId="77777777" w:rsidR="00671798" w:rsidRPr="009106C8" w:rsidRDefault="00FE18AC">
      <w:pPr>
        <w:pStyle w:val="Heading1"/>
        <w:spacing w:after="120"/>
        <w:rPr>
          <w:sz w:val="32"/>
          <w:szCs w:val="32"/>
        </w:rPr>
      </w:pPr>
      <w:bookmarkStart w:id="30" w:name="_Toc368573043"/>
      <w:bookmarkStart w:id="31" w:name="_Toc48655262"/>
      <w:bookmarkEnd w:id="15"/>
      <w:r w:rsidRPr="009106C8">
        <w:rPr>
          <w:sz w:val="32"/>
          <w:szCs w:val="32"/>
        </w:rPr>
        <w:t>Location</w:t>
      </w:r>
      <w:bookmarkEnd w:id="30"/>
      <w:bookmarkEnd w:id="31"/>
      <w:r w:rsidRPr="009106C8">
        <w:rPr>
          <w:sz w:val="32"/>
          <w:szCs w:val="32"/>
        </w:rPr>
        <w:t xml:space="preserve"> </w:t>
      </w:r>
    </w:p>
    <w:p w14:paraId="3638A2ED" w14:textId="25F97002" w:rsidR="00CA2BF9" w:rsidRPr="00CA2BF9" w:rsidRDefault="00CA2BF9" w:rsidP="00CA2BF9">
      <w:pPr>
        <w:pStyle w:val="Heading2"/>
        <w:rPr>
          <w:sz w:val="24"/>
          <w:szCs w:val="24"/>
        </w:rPr>
      </w:pPr>
      <w:r w:rsidRPr="00CA2BF9">
        <w:rPr>
          <w:sz w:val="24"/>
          <w:szCs w:val="24"/>
        </w:rPr>
        <w:t xml:space="preserve">The location of the Services will be carried out </w:t>
      </w:r>
      <w:r>
        <w:rPr>
          <w:sz w:val="24"/>
          <w:szCs w:val="24"/>
        </w:rPr>
        <w:t xml:space="preserve">remotely in line with Governments guidance regarding Covid-19 social distancing rules. </w:t>
      </w:r>
    </w:p>
    <w:p w14:paraId="35CF335E" w14:textId="77777777" w:rsidR="00CA2BF9" w:rsidRPr="00CA2BF9" w:rsidRDefault="00CA2BF9" w:rsidP="00CA2BF9">
      <w:pPr>
        <w:pStyle w:val="Heading2"/>
        <w:rPr>
          <w:sz w:val="24"/>
          <w:szCs w:val="24"/>
        </w:rPr>
      </w:pPr>
      <w:r w:rsidRPr="00CA2BF9">
        <w:rPr>
          <w:sz w:val="24"/>
          <w:szCs w:val="24"/>
        </w:rPr>
        <w:t xml:space="preserve">The Customer is based at 100 Parliament Street, London, SW1A 2BQ. </w:t>
      </w:r>
    </w:p>
    <w:p w14:paraId="68F26BBF" w14:textId="5AA6D8C0" w:rsidR="00CA2BF9" w:rsidRPr="00CA2BF9" w:rsidRDefault="00CA2BF9" w:rsidP="00CA2BF9">
      <w:pPr>
        <w:pStyle w:val="Heading2"/>
        <w:rPr>
          <w:sz w:val="24"/>
          <w:szCs w:val="24"/>
        </w:rPr>
      </w:pPr>
      <w:r w:rsidRPr="00CA2BF9">
        <w:rPr>
          <w:sz w:val="24"/>
          <w:szCs w:val="24"/>
        </w:rPr>
        <w:t xml:space="preserve">The Supplier shall be expected to attend meetings </w:t>
      </w:r>
      <w:r>
        <w:rPr>
          <w:sz w:val="24"/>
          <w:szCs w:val="24"/>
        </w:rPr>
        <w:t xml:space="preserve">remotely or </w:t>
      </w:r>
      <w:r w:rsidRPr="00CA2BF9">
        <w:rPr>
          <w:sz w:val="24"/>
          <w:szCs w:val="24"/>
        </w:rPr>
        <w:t>at this location</w:t>
      </w:r>
      <w:r>
        <w:rPr>
          <w:sz w:val="24"/>
          <w:szCs w:val="24"/>
        </w:rPr>
        <w:t xml:space="preserve"> if and when Covid-19 social distancing restrictions are lifted. These meetings will be for </w:t>
      </w:r>
      <w:r w:rsidRPr="00CA2BF9">
        <w:rPr>
          <w:sz w:val="24"/>
          <w:szCs w:val="24"/>
        </w:rPr>
        <w:t>contract reviews</w:t>
      </w:r>
      <w:r>
        <w:rPr>
          <w:sz w:val="24"/>
          <w:szCs w:val="24"/>
        </w:rPr>
        <w:t xml:space="preserve"> and</w:t>
      </w:r>
      <w:r w:rsidRPr="00CA2BF9">
        <w:rPr>
          <w:sz w:val="24"/>
          <w:szCs w:val="24"/>
        </w:rPr>
        <w:t xml:space="preserve"> progress checks </w:t>
      </w:r>
      <w:r>
        <w:rPr>
          <w:sz w:val="24"/>
          <w:szCs w:val="24"/>
        </w:rPr>
        <w:t>as work is being carried out.</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D5294" w14:textId="77777777" w:rsidR="00DE0CAF" w:rsidRDefault="00DE0CAF">
      <w:pPr>
        <w:spacing w:line="20" w:lineRule="exact"/>
      </w:pPr>
    </w:p>
  </w:endnote>
  <w:endnote w:type="continuationSeparator" w:id="0">
    <w:p w14:paraId="1AD1B9DF" w14:textId="77777777" w:rsidR="00DE0CAF" w:rsidRDefault="00DE0CAF">
      <w:pPr>
        <w:spacing w:line="20" w:lineRule="exact"/>
      </w:pPr>
      <w:r>
        <w:t xml:space="preserve"> </w:t>
      </w:r>
    </w:p>
  </w:endnote>
  <w:endnote w:type="continuationNotice" w:id="1">
    <w:p w14:paraId="41D54E94" w14:textId="77777777" w:rsidR="00DE0CAF" w:rsidRDefault="00DE0CA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F23DC3" w:rsidRDefault="00F23DC3"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2317A6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F23DC3" w:rsidRPr="00985B4D" w:rsidRDefault="00F23DC3" w:rsidP="00985B4D">
        <w:pPr>
          <w:pStyle w:val="Footer"/>
          <w:jc w:val="center"/>
          <w:rPr>
            <w:sz w:val="20"/>
            <w:szCs w:val="20"/>
          </w:rPr>
        </w:pPr>
        <w:r w:rsidRPr="00985B4D">
          <w:rPr>
            <w:sz w:val="20"/>
            <w:szCs w:val="20"/>
          </w:rPr>
          <w:t>OFFICIAL</w:t>
        </w:r>
      </w:p>
      <w:p w14:paraId="5D89FCCB" w14:textId="60E00DDD" w:rsidR="00F23DC3" w:rsidRDefault="00F23DC3">
        <w:pPr>
          <w:pStyle w:val="Footer"/>
          <w:rPr>
            <w:sz w:val="20"/>
            <w:szCs w:val="20"/>
          </w:rPr>
        </w:pPr>
        <w:r>
          <w:rPr>
            <w:sz w:val="20"/>
            <w:szCs w:val="20"/>
          </w:rPr>
          <w:t xml:space="preserve">Attachment 3 </w:t>
        </w:r>
        <w:r w:rsidRPr="00985B4D">
          <w:rPr>
            <w:sz w:val="20"/>
            <w:szCs w:val="20"/>
          </w:rPr>
          <w:t>– Statement of Requirements</w:t>
        </w:r>
      </w:p>
      <w:p w14:paraId="1D01BFF0" w14:textId="672D288F" w:rsidR="00F23DC3" w:rsidRDefault="00F23DC3">
        <w:pPr>
          <w:pStyle w:val="Footer"/>
          <w:rPr>
            <w:sz w:val="20"/>
            <w:szCs w:val="20"/>
          </w:rPr>
        </w:pPr>
        <w:r>
          <w:rPr>
            <w:sz w:val="20"/>
            <w:szCs w:val="20"/>
          </w:rPr>
          <w:t>Hannah Edwards</w:t>
        </w:r>
      </w:p>
      <w:p w14:paraId="1CB7D5DC" w14:textId="19129C8E" w:rsidR="00F23DC3" w:rsidRPr="001A45DF" w:rsidRDefault="00F23DC3">
        <w:pPr>
          <w:pStyle w:val="Footer"/>
          <w:rPr>
            <w:sz w:val="20"/>
            <w:szCs w:val="20"/>
          </w:rPr>
        </w:pPr>
        <w:r w:rsidRPr="001A45DF">
          <w:rPr>
            <w:rFonts w:cs="Arial"/>
            <w:color w:val="222222"/>
            <w:sz w:val="20"/>
            <w:szCs w:val="20"/>
            <w:shd w:val="clear" w:color="auto" w:fill="FFFFFF"/>
          </w:rPr>
          <w:t>© Crown copyright 2018</w:t>
        </w:r>
      </w:p>
      <w:p w14:paraId="42D6E6E6" w14:textId="14AE5FFB" w:rsidR="00F23DC3" w:rsidRPr="00985B4D" w:rsidRDefault="00F23DC3" w:rsidP="00985B4D">
        <w:pPr>
          <w:pStyle w:val="Footer"/>
          <w:jc w:val="right"/>
          <w:rPr>
            <w:sz w:val="20"/>
            <w:szCs w:val="20"/>
          </w:rPr>
        </w:pPr>
        <w:r w:rsidRPr="0080656E">
          <w:rPr>
            <w:sz w:val="20"/>
            <w:szCs w:val="20"/>
          </w:rPr>
          <w:t>V1.0 8 July 2020</w:t>
        </w:r>
      </w:p>
      <w:p w14:paraId="5214230D" w14:textId="31B693FD" w:rsidR="00F23DC3" w:rsidRDefault="00F23DC3"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112275">
          <w:rPr>
            <w:noProof/>
            <w:sz w:val="20"/>
            <w:szCs w:val="20"/>
          </w:rPr>
          <w:t>2</w:t>
        </w:r>
        <w:r w:rsidRPr="00985B4D">
          <w:rPr>
            <w:noProof/>
            <w:sz w:val="20"/>
            <w:szCs w:val="20"/>
          </w:rPr>
          <w:fldChar w:fldCharType="end"/>
        </w:r>
      </w:p>
    </w:sdtContent>
  </w:sdt>
  <w:p w14:paraId="6CEF1DBF" w14:textId="77777777" w:rsidR="00F23DC3" w:rsidRPr="002933F8" w:rsidRDefault="00F23DC3"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6AAA3" w14:textId="77777777" w:rsidR="00DE0CAF" w:rsidRDefault="00DE0CAF">
      <w:r>
        <w:separator/>
      </w:r>
    </w:p>
  </w:footnote>
  <w:footnote w:type="continuationSeparator" w:id="0">
    <w:p w14:paraId="3E0BCB4A" w14:textId="77777777" w:rsidR="00DE0CAF" w:rsidRDefault="00DE0CAF">
      <w:r>
        <w:continuationSeparator/>
      </w:r>
    </w:p>
  </w:footnote>
  <w:footnote w:type="continuationNotice" w:id="1">
    <w:p w14:paraId="5FDBB20D" w14:textId="77777777" w:rsidR="00DE0CAF" w:rsidRDefault="00DE0C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3446" w14:textId="1C5596A0" w:rsidR="00F23DC3" w:rsidRPr="009D0EAE" w:rsidRDefault="00F23DC3" w:rsidP="00F946AC">
    <w:pPr>
      <w:pStyle w:val="Header"/>
      <w:jc w:val="center"/>
      <w:rPr>
        <w:rFonts w:cs="Arial"/>
        <w:sz w:val="20"/>
        <w:szCs w:val="20"/>
        <w:highlight w:val="yellow"/>
      </w:rPr>
    </w:pPr>
  </w:p>
  <w:p w14:paraId="6F1572B1" w14:textId="4D54AA85" w:rsidR="00F23DC3" w:rsidRPr="00074357" w:rsidRDefault="00F23DC3" w:rsidP="0007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CEE74F3"/>
    <w:multiLevelType w:val="hybridMultilevel"/>
    <w:tmpl w:val="5DC02CFE"/>
    <w:lvl w:ilvl="0" w:tplc="762C13C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6C2C5C"/>
    <w:multiLevelType w:val="multilevel"/>
    <w:tmpl w:val="1332CCD4"/>
    <w:name w:val="Plato Schedule Numbering List"/>
    <w:numStyleLink w:val="111111"/>
  </w:abstractNum>
  <w:abstractNum w:abstractNumId="22" w15:restartNumberingAfterBreak="0">
    <w:nsid w:val="50965CCA"/>
    <w:multiLevelType w:val="multilevel"/>
    <w:tmpl w:val="1332CCD4"/>
    <w:name w:val="Appendicies Heading List"/>
    <w:numStyleLink w:val="111111"/>
  </w:abstractNum>
  <w:abstractNum w:abstractNumId="23"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3"/>
  </w:num>
  <w:num w:numId="3">
    <w:abstractNumId w:val="14"/>
  </w:num>
  <w:num w:numId="4">
    <w:abstractNumId w:val="16"/>
  </w:num>
  <w:num w:numId="5">
    <w:abstractNumId w:val="5"/>
  </w:num>
  <w:num w:numId="6">
    <w:abstractNumId w:val="20"/>
  </w:num>
  <w:num w:numId="7">
    <w:abstractNumId w:val="18"/>
  </w:num>
  <w:num w:numId="8">
    <w:abstractNumId w:val="13"/>
  </w:num>
  <w:num w:numId="9">
    <w:abstractNumId w:val="4"/>
  </w:num>
  <w:num w:numId="10">
    <w:abstractNumId w:val="3"/>
  </w:num>
  <w:num w:numId="11">
    <w:abstractNumId w:val="2"/>
  </w:num>
  <w:num w:numId="12">
    <w:abstractNumId w:val="1"/>
  </w:num>
  <w:num w:numId="13">
    <w:abstractNumId w:val="0"/>
  </w:num>
  <w:num w:numId="14">
    <w:abstractNumId w:val="27"/>
  </w:num>
  <w:num w:numId="15">
    <w:abstractNumId w:val="9"/>
  </w:num>
  <w:num w:numId="16">
    <w:abstractNumId w:val="26"/>
  </w:num>
  <w:num w:numId="17">
    <w:abstractNumId w:val="8"/>
  </w:num>
  <w:num w:numId="18">
    <w:abstractNumId w:val="19"/>
  </w:num>
  <w:num w:numId="19">
    <w:abstractNumId w:val="17"/>
  </w:num>
  <w:num w:numId="20">
    <w:abstractNumId w:val="24"/>
  </w:num>
  <w:num w:numId="21">
    <w:abstractNumId w:val="1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5AD"/>
    <w:rsid w:val="00002A5E"/>
    <w:rsid w:val="000033CA"/>
    <w:rsid w:val="00004DDC"/>
    <w:rsid w:val="0000639C"/>
    <w:rsid w:val="000067FA"/>
    <w:rsid w:val="00007A30"/>
    <w:rsid w:val="000110CC"/>
    <w:rsid w:val="00011988"/>
    <w:rsid w:val="00011D27"/>
    <w:rsid w:val="00012987"/>
    <w:rsid w:val="0001386E"/>
    <w:rsid w:val="0001408F"/>
    <w:rsid w:val="00014A44"/>
    <w:rsid w:val="00020611"/>
    <w:rsid w:val="000209FA"/>
    <w:rsid w:val="0002117B"/>
    <w:rsid w:val="000213ED"/>
    <w:rsid w:val="00022304"/>
    <w:rsid w:val="0002302C"/>
    <w:rsid w:val="0002409B"/>
    <w:rsid w:val="00024684"/>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3D9C"/>
    <w:rsid w:val="00094E2D"/>
    <w:rsid w:val="00095BEC"/>
    <w:rsid w:val="00096F76"/>
    <w:rsid w:val="00097EBA"/>
    <w:rsid w:val="000A0BB0"/>
    <w:rsid w:val="000A0C5F"/>
    <w:rsid w:val="000A0D22"/>
    <w:rsid w:val="000A1031"/>
    <w:rsid w:val="000A462F"/>
    <w:rsid w:val="000A5C7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2275"/>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0B7A"/>
    <w:rsid w:val="00181D58"/>
    <w:rsid w:val="00181E75"/>
    <w:rsid w:val="001838F8"/>
    <w:rsid w:val="00183DAF"/>
    <w:rsid w:val="00183EB0"/>
    <w:rsid w:val="001842F4"/>
    <w:rsid w:val="00184673"/>
    <w:rsid w:val="001863E6"/>
    <w:rsid w:val="001866C8"/>
    <w:rsid w:val="0018756A"/>
    <w:rsid w:val="00190525"/>
    <w:rsid w:val="00190ECA"/>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654"/>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3574"/>
    <w:rsid w:val="00255F6A"/>
    <w:rsid w:val="00255F90"/>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4DB8"/>
    <w:rsid w:val="002C519F"/>
    <w:rsid w:val="002C538F"/>
    <w:rsid w:val="002C671C"/>
    <w:rsid w:val="002D268A"/>
    <w:rsid w:val="002D2841"/>
    <w:rsid w:val="002D3A27"/>
    <w:rsid w:val="002D7AC9"/>
    <w:rsid w:val="002E05A6"/>
    <w:rsid w:val="002E2836"/>
    <w:rsid w:val="002E5436"/>
    <w:rsid w:val="002E6400"/>
    <w:rsid w:val="002F13FD"/>
    <w:rsid w:val="002F1F7F"/>
    <w:rsid w:val="002F3129"/>
    <w:rsid w:val="002F42F4"/>
    <w:rsid w:val="002F7AA1"/>
    <w:rsid w:val="0030038A"/>
    <w:rsid w:val="0030185A"/>
    <w:rsid w:val="0030285B"/>
    <w:rsid w:val="0030439A"/>
    <w:rsid w:val="003047E0"/>
    <w:rsid w:val="0030606A"/>
    <w:rsid w:val="00313DC4"/>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50E1"/>
    <w:rsid w:val="00357E6F"/>
    <w:rsid w:val="003627B1"/>
    <w:rsid w:val="00362A29"/>
    <w:rsid w:val="00362B3B"/>
    <w:rsid w:val="00362E9E"/>
    <w:rsid w:val="003631FE"/>
    <w:rsid w:val="00363D74"/>
    <w:rsid w:val="00364FCA"/>
    <w:rsid w:val="0036555C"/>
    <w:rsid w:val="0036574F"/>
    <w:rsid w:val="003660F6"/>
    <w:rsid w:val="0036676A"/>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01B3"/>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1741"/>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6FB"/>
    <w:rsid w:val="0041576D"/>
    <w:rsid w:val="00416045"/>
    <w:rsid w:val="00422823"/>
    <w:rsid w:val="0042602C"/>
    <w:rsid w:val="00426AB4"/>
    <w:rsid w:val="00427A64"/>
    <w:rsid w:val="00430054"/>
    <w:rsid w:val="004300D8"/>
    <w:rsid w:val="0043067F"/>
    <w:rsid w:val="004324B4"/>
    <w:rsid w:val="00433761"/>
    <w:rsid w:val="00437EF8"/>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77E2F"/>
    <w:rsid w:val="00480506"/>
    <w:rsid w:val="00480E50"/>
    <w:rsid w:val="004900A1"/>
    <w:rsid w:val="004909B0"/>
    <w:rsid w:val="0049625F"/>
    <w:rsid w:val="00497D0E"/>
    <w:rsid w:val="004A225E"/>
    <w:rsid w:val="004A2410"/>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C7E78"/>
    <w:rsid w:val="004D0392"/>
    <w:rsid w:val="004D0A59"/>
    <w:rsid w:val="004D1EED"/>
    <w:rsid w:val="004D22DF"/>
    <w:rsid w:val="004D267E"/>
    <w:rsid w:val="004D2D01"/>
    <w:rsid w:val="004D34B9"/>
    <w:rsid w:val="004D4D43"/>
    <w:rsid w:val="004D4E92"/>
    <w:rsid w:val="004D5500"/>
    <w:rsid w:val="004E14FA"/>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06DFD"/>
    <w:rsid w:val="005147FE"/>
    <w:rsid w:val="00515D51"/>
    <w:rsid w:val="00517904"/>
    <w:rsid w:val="0052027A"/>
    <w:rsid w:val="0052086C"/>
    <w:rsid w:val="00522AAC"/>
    <w:rsid w:val="0052365A"/>
    <w:rsid w:val="0052487A"/>
    <w:rsid w:val="00527040"/>
    <w:rsid w:val="00531417"/>
    <w:rsid w:val="0053220D"/>
    <w:rsid w:val="005334EA"/>
    <w:rsid w:val="00533F76"/>
    <w:rsid w:val="005364E3"/>
    <w:rsid w:val="00542DF8"/>
    <w:rsid w:val="00547E94"/>
    <w:rsid w:val="0055006C"/>
    <w:rsid w:val="00551203"/>
    <w:rsid w:val="00551397"/>
    <w:rsid w:val="00552F87"/>
    <w:rsid w:val="00553F0A"/>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C67D5"/>
    <w:rsid w:val="005D1196"/>
    <w:rsid w:val="005D2362"/>
    <w:rsid w:val="005E00DA"/>
    <w:rsid w:val="005E2029"/>
    <w:rsid w:val="005E2066"/>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17DA6"/>
    <w:rsid w:val="0062312A"/>
    <w:rsid w:val="006231D2"/>
    <w:rsid w:val="00627B4B"/>
    <w:rsid w:val="00627D1B"/>
    <w:rsid w:val="0063134B"/>
    <w:rsid w:val="00631AE2"/>
    <w:rsid w:val="00632838"/>
    <w:rsid w:val="00633225"/>
    <w:rsid w:val="00635B31"/>
    <w:rsid w:val="00636209"/>
    <w:rsid w:val="00636E2D"/>
    <w:rsid w:val="006373DB"/>
    <w:rsid w:val="00641ACD"/>
    <w:rsid w:val="0064354C"/>
    <w:rsid w:val="00644149"/>
    <w:rsid w:val="006455A0"/>
    <w:rsid w:val="0064629E"/>
    <w:rsid w:val="00646588"/>
    <w:rsid w:val="00646B4C"/>
    <w:rsid w:val="006502CE"/>
    <w:rsid w:val="00650B3E"/>
    <w:rsid w:val="0065221F"/>
    <w:rsid w:val="00653D40"/>
    <w:rsid w:val="00654173"/>
    <w:rsid w:val="006549BE"/>
    <w:rsid w:val="00657DE2"/>
    <w:rsid w:val="006600A8"/>
    <w:rsid w:val="00660E0B"/>
    <w:rsid w:val="006641E1"/>
    <w:rsid w:val="006645BF"/>
    <w:rsid w:val="0066553E"/>
    <w:rsid w:val="00671798"/>
    <w:rsid w:val="00671C2E"/>
    <w:rsid w:val="0067453E"/>
    <w:rsid w:val="006754B9"/>
    <w:rsid w:val="0067598A"/>
    <w:rsid w:val="006772C0"/>
    <w:rsid w:val="00680C72"/>
    <w:rsid w:val="00682677"/>
    <w:rsid w:val="00683380"/>
    <w:rsid w:val="00684493"/>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6AE9"/>
    <w:rsid w:val="006D6EFD"/>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153C5"/>
    <w:rsid w:val="0072081F"/>
    <w:rsid w:val="007217F8"/>
    <w:rsid w:val="00724885"/>
    <w:rsid w:val="0073087F"/>
    <w:rsid w:val="00733ACF"/>
    <w:rsid w:val="0073540C"/>
    <w:rsid w:val="00735596"/>
    <w:rsid w:val="00735D7F"/>
    <w:rsid w:val="00740B2E"/>
    <w:rsid w:val="007411D4"/>
    <w:rsid w:val="007435B9"/>
    <w:rsid w:val="00743726"/>
    <w:rsid w:val="00745FE8"/>
    <w:rsid w:val="0075008F"/>
    <w:rsid w:val="00751171"/>
    <w:rsid w:val="00753744"/>
    <w:rsid w:val="00753ABE"/>
    <w:rsid w:val="0075444C"/>
    <w:rsid w:val="00755A73"/>
    <w:rsid w:val="00756064"/>
    <w:rsid w:val="007569B8"/>
    <w:rsid w:val="007603EE"/>
    <w:rsid w:val="00760E17"/>
    <w:rsid w:val="0076144F"/>
    <w:rsid w:val="0076417D"/>
    <w:rsid w:val="007667BD"/>
    <w:rsid w:val="0077082E"/>
    <w:rsid w:val="00770F75"/>
    <w:rsid w:val="0077138F"/>
    <w:rsid w:val="00772062"/>
    <w:rsid w:val="007723BF"/>
    <w:rsid w:val="0077342E"/>
    <w:rsid w:val="007734F9"/>
    <w:rsid w:val="00773C5A"/>
    <w:rsid w:val="00773E78"/>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5739"/>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2E3"/>
    <w:rsid w:val="007F062B"/>
    <w:rsid w:val="007F255C"/>
    <w:rsid w:val="007F48F8"/>
    <w:rsid w:val="007F521C"/>
    <w:rsid w:val="007F78F3"/>
    <w:rsid w:val="007F7976"/>
    <w:rsid w:val="00800097"/>
    <w:rsid w:val="0080204D"/>
    <w:rsid w:val="00802735"/>
    <w:rsid w:val="00803909"/>
    <w:rsid w:val="00804229"/>
    <w:rsid w:val="008042A5"/>
    <w:rsid w:val="0080626B"/>
    <w:rsid w:val="0080656E"/>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B32"/>
    <w:rsid w:val="00830EA9"/>
    <w:rsid w:val="008311F8"/>
    <w:rsid w:val="0083566B"/>
    <w:rsid w:val="00835F9E"/>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79B"/>
    <w:rsid w:val="008A3F1A"/>
    <w:rsid w:val="008A3FCF"/>
    <w:rsid w:val="008A41ED"/>
    <w:rsid w:val="008A5EAC"/>
    <w:rsid w:val="008A6E2A"/>
    <w:rsid w:val="008A7224"/>
    <w:rsid w:val="008A74AE"/>
    <w:rsid w:val="008A7C5C"/>
    <w:rsid w:val="008B2760"/>
    <w:rsid w:val="008B3DC8"/>
    <w:rsid w:val="008B4EC5"/>
    <w:rsid w:val="008B5210"/>
    <w:rsid w:val="008B5377"/>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3D88"/>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3F2"/>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9BC"/>
    <w:rsid w:val="00953FE8"/>
    <w:rsid w:val="00954DF5"/>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8F2"/>
    <w:rsid w:val="009E2B2D"/>
    <w:rsid w:val="009E3739"/>
    <w:rsid w:val="009E38B3"/>
    <w:rsid w:val="009E46E8"/>
    <w:rsid w:val="009E7CA6"/>
    <w:rsid w:val="009F0B88"/>
    <w:rsid w:val="009F0C3F"/>
    <w:rsid w:val="009F0C62"/>
    <w:rsid w:val="009F0DAB"/>
    <w:rsid w:val="009F44CA"/>
    <w:rsid w:val="00A017DF"/>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29D"/>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778D8"/>
    <w:rsid w:val="00A81243"/>
    <w:rsid w:val="00A845EC"/>
    <w:rsid w:val="00A852B4"/>
    <w:rsid w:val="00A90772"/>
    <w:rsid w:val="00A913D3"/>
    <w:rsid w:val="00A91BED"/>
    <w:rsid w:val="00A93E74"/>
    <w:rsid w:val="00A949A8"/>
    <w:rsid w:val="00A959B8"/>
    <w:rsid w:val="00A9628B"/>
    <w:rsid w:val="00A96390"/>
    <w:rsid w:val="00A968E7"/>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423"/>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71AE"/>
    <w:rsid w:val="00B2325C"/>
    <w:rsid w:val="00B238B0"/>
    <w:rsid w:val="00B240CE"/>
    <w:rsid w:val="00B25132"/>
    <w:rsid w:val="00B2520D"/>
    <w:rsid w:val="00B25BB6"/>
    <w:rsid w:val="00B262F8"/>
    <w:rsid w:val="00B27A67"/>
    <w:rsid w:val="00B27E61"/>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9AB"/>
    <w:rsid w:val="00BC1EBF"/>
    <w:rsid w:val="00BC2E68"/>
    <w:rsid w:val="00BC44B6"/>
    <w:rsid w:val="00BC79C0"/>
    <w:rsid w:val="00BD1D37"/>
    <w:rsid w:val="00BD212B"/>
    <w:rsid w:val="00BD38BA"/>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589"/>
    <w:rsid w:val="00C027FC"/>
    <w:rsid w:val="00C02A15"/>
    <w:rsid w:val="00C02C4F"/>
    <w:rsid w:val="00C0327F"/>
    <w:rsid w:val="00C0387E"/>
    <w:rsid w:val="00C1747F"/>
    <w:rsid w:val="00C20E79"/>
    <w:rsid w:val="00C226E8"/>
    <w:rsid w:val="00C233B8"/>
    <w:rsid w:val="00C25BEE"/>
    <w:rsid w:val="00C26F1C"/>
    <w:rsid w:val="00C3280C"/>
    <w:rsid w:val="00C33423"/>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2BF9"/>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3C13"/>
    <w:rsid w:val="00D056A2"/>
    <w:rsid w:val="00D06184"/>
    <w:rsid w:val="00D10BD3"/>
    <w:rsid w:val="00D12A9F"/>
    <w:rsid w:val="00D12E3C"/>
    <w:rsid w:val="00D16593"/>
    <w:rsid w:val="00D17764"/>
    <w:rsid w:val="00D178E0"/>
    <w:rsid w:val="00D20164"/>
    <w:rsid w:val="00D20C5C"/>
    <w:rsid w:val="00D21E06"/>
    <w:rsid w:val="00D23214"/>
    <w:rsid w:val="00D25E4D"/>
    <w:rsid w:val="00D26A0C"/>
    <w:rsid w:val="00D2700C"/>
    <w:rsid w:val="00D32B32"/>
    <w:rsid w:val="00D336B8"/>
    <w:rsid w:val="00D353B7"/>
    <w:rsid w:val="00D366FD"/>
    <w:rsid w:val="00D37365"/>
    <w:rsid w:val="00D3778B"/>
    <w:rsid w:val="00D37F0C"/>
    <w:rsid w:val="00D4133C"/>
    <w:rsid w:val="00D42A06"/>
    <w:rsid w:val="00D440C9"/>
    <w:rsid w:val="00D44A45"/>
    <w:rsid w:val="00D47B67"/>
    <w:rsid w:val="00D5114F"/>
    <w:rsid w:val="00D52278"/>
    <w:rsid w:val="00D53F84"/>
    <w:rsid w:val="00D551DF"/>
    <w:rsid w:val="00D555B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1B5B"/>
    <w:rsid w:val="00DD4374"/>
    <w:rsid w:val="00DD6502"/>
    <w:rsid w:val="00DD6E07"/>
    <w:rsid w:val="00DD714C"/>
    <w:rsid w:val="00DE0CAF"/>
    <w:rsid w:val="00DE0CDD"/>
    <w:rsid w:val="00DE1254"/>
    <w:rsid w:val="00DE29D7"/>
    <w:rsid w:val="00DE3681"/>
    <w:rsid w:val="00DE39A0"/>
    <w:rsid w:val="00DE3C97"/>
    <w:rsid w:val="00DE4B4B"/>
    <w:rsid w:val="00DE4B85"/>
    <w:rsid w:val="00DF55DF"/>
    <w:rsid w:val="00DF5A32"/>
    <w:rsid w:val="00DF61D8"/>
    <w:rsid w:val="00E0083E"/>
    <w:rsid w:val="00E024D2"/>
    <w:rsid w:val="00E030C9"/>
    <w:rsid w:val="00E05439"/>
    <w:rsid w:val="00E05F1D"/>
    <w:rsid w:val="00E060B7"/>
    <w:rsid w:val="00E101CA"/>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0B0"/>
    <w:rsid w:val="00EA0A6E"/>
    <w:rsid w:val="00EA3CBF"/>
    <w:rsid w:val="00EA6A93"/>
    <w:rsid w:val="00EB1275"/>
    <w:rsid w:val="00EB1ECC"/>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EF6E80"/>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092"/>
    <w:rsid w:val="00F21DC2"/>
    <w:rsid w:val="00F23DC3"/>
    <w:rsid w:val="00F242C1"/>
    <w:rsid w:val="00F24523"/>
    <w:rsid w:val="00F26236"/>
    <w:rsid w:val="00F26367"/>
    <w:rsid w:val="00F267CA"/>
    <w:rsid w:val="00F2778E"/>
    <w:rsid w:val="00F30696"/>
    <w:rsid w:val="00F3220E"/>
    <w:rsid w:val="00F34D03"/>
    <w:rsid w:val="00F3576A"/>
    <w:rsid w:val="00F35B2B"/>
    <w:rsid w:val="00F37B26"/>
    <w:rsid w:val="00F40B47"/>
    <w:rsid w:val="00F439AD"/>
    <w:rsid w:val="00F44D62"/>
    <w:rsid w:val="00F45A2A"/>
    <w:rsid w:val="00F4664B"/>
    <w:rsid w:val="00F468FE"/>
    <w:rsid w:val="00F476A1"/>
    <w:rsid w:val="00F533A3"/>
    <w:rsid w:val="00F54080"/>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0D5"/>
    <w:rsid w:val="00F946AC"/>
    <w:rsid w:val="00F9506B"/>
    <w:rsid w:val="00F950A3"/>
    <w:rsid w:val="00FA0C0A"/>
    <w:rsid w:val="00FA0E10"/>
    <w:rsid w:val="00FA11A4"/>
    <w:rsid w:val="00FA27DB"/>
    <w:rsid w:val="00FA27DF"/>
    <w:rsid w:val="00FA43B4"/>
    <w:rsid w:val="00FA5C55"/>
    <w:rsid w:val="00FA79DC"/>
    <w:rsid w:val="00FB1A3D"/>
    <w:rsid w:val="00FB1E81"/>
    <w:rsid w:val="00FB2431"/>
    <w:rsid w:val="00FC0100"/>
    <w:rsid w:val="00FC01AE"/>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2D6E"/>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239426">
      <w:bodyDiv w:val="1"/>
      <w:marLeft w:val="0"/>
      <w:marRight w:val="0"/>
      <w:marTop w:val="0"/>
      <w:marBottom w:val="0"/>
      <w:divBdr>
        <w:top w:val="none" w:sz="0" w:space="0" w:color="auto"/>
        <w:left w:val="none" w:sz="0" w:space="0" w:color="auto"/>
        <w:bottom w:val="none" w:sz="0" w:space="0" w:color="auto"/>
        <w:right w:val="none" w:sz="0" w:space="0" w:color="auto"/>
      </w:divBdr>
    </w:div>
    <w:div w:id="1152451267">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384E-F4B6-49A7-B84F-0C9C0026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Hannah Edwards</cp:lastModifiedBy>
  <cp:revision>2</cp:revision>
  <dcterms:created xsi:type="dcterms:W3CDTF">2020-09-28T09:58:00Z</dcterms:created>
  <dcterms:modified xsi:type="dcterms:W3CDTF">2020-09-28T09:58:00Z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